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672BB" w14:textId="77777777" w:rsidR="002B77EE" w:rsidRDefault="002B77EE"/>
    <w:p w14:paraId="11CEFC3A" w14:textId="77777777" w:rsidR="002B77EE" w:rsidRDefault="002B77EE"/>
    <w:p w14:paraId="70CA3FF3" w14:textId="77777777" w:rsidR="002B77EE" w:rsidRDefault="002B77EE"/>
    <w:p w14:paraId="2DCA8B4C" w14:textId="77777777" w:rsidR="002B77EE" w:rsidRDefault="002B77EE"/>
    <w:p w14:paraId="3BF40CB8" w14:textId="7ADEE55E" w:rsidR="002B77EE" w:rsidRDefault="002B77EE">
      <w:r>
        <w:t xml:space="preserve">                                                   Lecturer : Samuel Ofori</w:t>
      </w:r>
    </w:p>
    <w:p w14:paraId="2C4F13A3" w14:textId="77777777" w:rsidR="002B77EE" w:rsidRDefault="002B77EE"/>
    <w:p w14:paraId="5449EE69" w14:textId="20813162" w:rsidR="002B77EE" w:rsidRDefault="002B77EE">
      <w:r>
        <w:t xml:space="preserve">            </w:t>
      </w:r>
      <w:r w:rsidR="00936ED1">
        <w:t xml:space="preserve">        </w:t>
      </w:r>
      <w:r>
        <w:t xml:space="preserve">Student name and number : Adriana Mihaela </w:t>
      </w:r>
      <w:proofErr w:type="spellStart"/>
      <w:r>
        <w:t>Petcu</w:t>
      </w:r>
      <w:proofErr w:type="spellEnd"/>
      <w:r>
        <w:t xml:space="preserve"> , 2126831</w:t>
      </w:r>
    </w:p>
    <w:p w14:paraId="5756DA76" w14:textId="77777777" w:rsidR="002B77EE" w:rsidRDefault="002B77EE"/>
    <w:p w14:paraId="56531AC3" w14:textId="4E9C1AD4" w:rsidR="002B77EE" w:rsidRDefault="002B77EE">
      <w:r>
        <w:t xml:space="preserve">                                            Assignment : Individual Report </w:t>
      </w:r>
    </w:p>
    <w:p w14:paraId="4EE6D635" w14:textId="77777777" w:rsidR="002B77EE" w:rsidRDefault="002B77EE"/>
    <w:p w14:paraId="06F05A2C" w14:textId="325BA2A9" w:rsidR="002B77EE" w:rsidRDefault="002B77EE">
      <w:r>
        <w:t xml:space="preserve">                                                 Module code : LCBB5004</w:t>
      </w:r>
    </w:p>
    <w:p w14:paraId="5903EE32" w14:textId="77777777" w:rsidR="002B77EE" w:rsidRDefault="002B77EE"/>
    <w:p w14:paraId="5278179B" w14:textId="77777777" w:rsidR="002B77EE" w:rsidRDefault="002B77EE"/>
    <w:p w14:paraId="640EDA9D" w14:textId="77777777" w:rsidR="002B77EE" w:rsidRDefault="002B77EE"/>
    <w:p w14:paraId="0CB310DB" w14:textId="77777777" w:rsidR="002B77EE" w:rsidRDefault="002B77EE"/>
    <w:p w14:paraId="5B04662D" w14:textId="77777777" w:rsidR="002B77EE" w:rsidRDefault="002B77EE"/>
    <w:p w14:paraId="2D1667FC" w14:textId="77777777" w:rsidR="002B77EE" w:rsidRDefault="002B77EE"/>
    <w:p w14:paraId="48719B04" w14:textId="77777777" w:rsidR="002B77EE" w:rsidRDefault="002B77EE"/>
    <w:p w14:paraId="56382BB0" w14:textId="77777777" w:rsidR="002B77EE" w:rsidRDefault="002B77EE"/>
    <w:p w14:paraId="0DCF6CE5" w14:textId="77777777" w:rsidR="002B77EE" w:rsidRDefault="002B77EE"/>
    <w:p w14:paraId="03C3F94C" w14:textId="77777777" w:rsidR="002B77EE" w:rsidRDefault="002B77EE"/>
    <w:p w14:paraId="722FEB2D" w14:textId="77777777" w:rsidR="002B77EE" w:rsidRDefault="002B77EE"/>
    <w:p w14:paraId="3C613ED1" w14:textId="77777777" w:rsidR="002B77EE" w:rsidRDefault="002B77EE"/>
    <w:p w14:paraId="7B087CC8" w14:textId="77777777" w:rsidR="002B77EE" w:rsidRDefault="002B77EE"/>
    <w:p w14:paraId="39E0D3EA" w14:textId="77777777" w:rsidR="002B77EE" w:rsidRDefault="002B77EE"/>
    <w:p w14:paraId="7095BAE9" w14:textId="77777777" w:rsidR="002B77EE" w:rsidRDefault="002B77EE"/>
    <w:p w14:paraId="4AEDF3AD" w14:textId="77777777" w:rsidR="002B77EE" w:rsidRDefault="002B77EE"/>
    <w:p w14:paraId="0920BC00" w14:textId="77777777" w:rsidR="002B77EE" w:rsidRDefault="002B77EE"/>
    <w:p w14:paraId="69F066F3" w14:textId="77777777" w:rsidR="002B77EE" w:rsidRDefault="002B77EE"/>
    <w:p w14:paraId="109B6960" w14:textId="77777777" w:rsidR="002B77EE" w:rsidRDefault="002B77EE"/>
    <w:p w14:paraId="1507F128" w14:textId="77777777" w:rsidR="002B77EE" w:rsidRDefault="002B77EE"/>
    <w:p w14:paraId="68DCC555" w14:textId="77777777" w:rsidR="002B77EE" w:rsidRDefault="002B77EE"/>
    <w:p w14:paraId="1167E283" w14:textId="77777777" w:rsidR="002B77EE" w:rsidRDefault="002B77EE"/>
    <w:p w14:paraId="40578880" w14:textId="77777777" w:rsidR="002B77EE" w:rsidRDefault="002B77EE"/>
    <w:p w14:paraId="50066E32" w14:textId="77777777" w:rsidR="002B77EE" w:rsidRDefault="002B77EE"/>
    <w:p w14:paraId="1CB7CE8E" w14:textId="77777777" w:rsidR="002B77EE" w:rsidRDefault="002B77EE"/>
    <w:p w14:paraId="757748CE" w14:textId="77777777" w:rsidR="002B77EE" w:rsidRDefault="002B77EE"/>
    <w:p w14:paraId="7FE7DC60" w14:textId="77777777" w:rsidR="002B77EE" w:rsidRDefault="002B77EE"/>
    <w:p w14:paraId="442978A2" w14:textId="77777777" w:rsidR="002B77EE" w:rsidRDefault="002B77EE"/>
    <w:p w14:paraId="22ED4299" w14:textId="77777777" w:rsidR="002B77EE" w:rsidRDefault="002B77EE"/>
    <w:p w14:paraId="178A01DD" w14:textId="77777777" w:rsidR="002B77EE" w:rsidRDefault="002B77EE"/>
    <w:p w14:paraId="64126157" w14:textId="77777777" w:rsidR="002B77EE" w:rsidRDefault="002B77EE"/>
    <w:p w14:paraId="5386AA6E" w14:textId="77777777" w:rsidR="002B77EE" w:rsidRDefault="002B77EE"/>
    <w:p w14:paraId="292CDCED" w14:textId="77777777" w:rsidR="002B77EE" w:rsidRDefault="002B77EE"/>
    <w:p w14:paraId="3DCE2989" w14:textId="77777777" w:rsidR="002B77EE" w:rsidRDefault="002B77EE"/>
    <w:p w14:paraId="3CAB21E5" w14:textId="77777777" w:rsidR="002B77EE" w:rsidRDefault="002B77EE"/>
    <w:p w14:paraId="15E4BA37" w14:textId="77777777" w:rsidR="002B77EE" w:rsidRDefault="002B77EE"/>
    <w:p w14:paraId="65A0C08C" w14:textId="77777777" w:rsidR="002B77EE" w:rsidRDefault="002B77EE"/>
    <w:p w14:paraId="38501821" w14:textId="77777777" w:rsidR="002B77EE" w:rsidRDefault="002B77EE"/>
    <w:p w14:paraId="2ADE0F2F" w14:textId="77777777" w:rsidR="002B77EE" w:rsidRDefault="002B77EE"/>
    <w:p w14:paraId="522172DE" w14:textId="45175328" w:rsidR="00B20A91" w:rsidRPr="00C60FC1" w:rsidRDefault="00C60FC1">
      <w:r w:rsidRPr="00C60FC1">
        <w:t>Managing people</w:t>
      </w:r>
    </w:p>
    <w:p w14:paraId="2C84C492" w14:textId="77777777" w:rsidR="00B20A91" w:rsidRPr="00C60FC1" w:rsidRDefault="00B20A91"/>
    <w:p w14:paraId="7B6E94C7" w14:textId="77777777" w:rsidR="00C60FC1" w:rsidRPr="00C60FC1" w:rsidRDefault="00C60FC1"/>
    <w:p w14:paraId="4DDC38B7" w14:textId="77777777" w:rsidR="00C60FC1" w:rsidRPr="00C60FC1" w:rsidRDefault="00C60FC1"/>
    <w:p w14:paraId="14D7656A" w14:textId="2616985E" w:rsidR="00B20A91" w:rsidRPr="00C60FC1" w:rsidRDefault="00B20A91" w:rsidP="00B20A91">
      <w:pPr>
        <w:pStyle w:val="ListParagraph"/>
        <w:numPr>
          <w:ilvl w:val="0"/>
          <w:numId w:val="1"/>
        </w:numPr>
        <w:spacing w:after="160" w:line="259" w:lineRule="auto"/>
        <w:ind w:right="0"/>
        <w:rPr>
          <w:color w:val="auto"/>
          <w:lang w:eastAsia="en-US"/>
        </w:rPr>
      </w:pPr>
      <w:r w:rsidRPr="00C60FC1">
        <w:rPr>
          <w:color w:val="auto"/>
          <w:lang w:eastAsia="en-US"/>
        </w:rPr>
        <w:t>Outlin</w:t>
      </w:r>
      <w:r w:rsidR="00C60FC1" w:rsidRPr="00C60FC1">
        <w:rPr>
          <w:color w:val="auto"/>
          <w:lang w:eastAsia="en-US"/>
        </w:rPr>
        <w:t>e</w:t>
      </w:r>
      <w:r w:rsidRPr="00C60FC1">
        <w:rPr>
          <w:color w:val="auto"/>
          <w:lang w:eastAsia="en-US"/>
        </w:rPr>
        <w:t xml:space="preserve"> the benefits of implementing flexible working strategies into the organisation</w:t>
      </w:r>
    </w:p>
    <w:p w14:paraId="28E9A671" w14:textId="77777777" w:rsidR="00C60FC1" w:rsidRPr="00C60FC1" w:rsidRDefault="00C60FC1" w:rsidP="00C60FC1">
      <w:pPr>
        <w:spacing w:line="360" w:lineRule="auto"/>
        <w:rPr>
          <w:rFonts w:ascii="Arial" w:hAnsi="Arial" w:cs="Arial"/>
          <w:sz w:val="22"/>
          <w:szCs w:val="22"/>
        </w:rPr>
      </w:pPr>
    </w:p>
    <w:p w14:paraId="6AABB019" w14:textId="4E25CFF5" w:rsidR="00B20A91" w:rsidRPr="00C60FC1" w:rsidRDefault="00B20A91" w:rsidP="00C60FC1">
      <w:pPr>
        <w:spacing w:line="360" w:lineRule="auto"/>
        <w:ind w:firstLine="360"/>
        <w:rPr>
          <w:rFonts w:ascii="Arial" w:hAnsi="Arial" w:cs="Arial"/>
          <w:sz w:val="22"/>
          <w:szCs w:val="22"/>
        </w:rPr>
      </w:pPr>
      <w:r w:rsidRPr="00C60FC1">
        <w:rPr>
          <w:rFonts w:ascii="Arial" w:hAnsi="Arial" w:cs="Arial"/>
          <w:b/>
          <w:bCs/>
          <w:sz w:val="22"/>
          <w:szCs w:val="22"/>
        </w:rPr>
        <w:t>Introduction:</w:t>
      </w:r>
      <w:r w:rsidRPr="00C60FC1">
        <w:rPr>
          <w:rFonts w:ascii="Arial" w:hAnsi="Arial" w:cs="Arial"/>
          <w:sz w:val="22"/>
          <w:szCs w:val="22"/>
        </w:rPr>
        <w:t xml:space="preserve"> Flexible working strategies have gained significant attention in recent years due to their potential to create a harmonious work-life balance, increase productivity, and promote employee well-being. </w:t>
      </w:r>
      <w:proofErr w:type="spellStart"/>
      <w:r w:rsidRPr="00C60FC1">
        <w:rPr>
          <w:rFonts w:ascii="Arial" w:hAnsi="Arial" w:cs="Arial"/>
          <w:sz w:val="22"/>
          <w:szCs w:val="22"/>
        </w:rPr>
        <w:t>GreenCo</w:t>
      </w:r>
      <w:proofErr w:type="spellEnd"/>
      <w:r w:rsidRPr="00C60FC1">
        <w:rPr>
          <w:rFonts w:ascii="Arial" w:hAnsi="Arial" w:cs="Arial"/>
          <w:sz w:val="22"/>
          <w:szCs w:val="22"/>
        </w:rPr>
        <w:t>, a company speciali</w:t>
      </w:r>
      <w:r w:rsidR="00C60FC1">
        <w:rPr>
          <w:rFonts w:ascii="Arial" w:hAnsi="Arial" w:cs="Arial"/>
          <w:sz w:val="22"/>
          <w:szCs w:val="22"/>
        </w:rPr>
        <w:t>s</w:t>
      </w:r>
      <w:r w:rsidRPr="00C60FC1">
        <w:rPr>
          <w:rFonts w:ascii="Arial" w:hAnsi="Arial" w:cs="Arial"/>
          <w:sz w:val="22"/>
          <w:szCs w:val="22"/>
        </w:rPr>
        <w:t>ing in the manufacturing and sale of agricultural equipment, can greatly benefit from implementing flexible working strategies. This article explores the advantages of flexible working arrangements and discusses how they can positively impact the organi</w:t>
      </w:r>
      <w:r w:rsidR="00C60FC1">
        <w:rPr>
          <w:rFonts w:ascii="Arial" w:hAnsi="Arial" w:cs="Arial"/>
          <w:sz w:val="22"/>
          <w:szCs w:val="22"/>
        </w:rPr>
        <w:t>s</w:t>
      </w:r>
      <w:r w:rsidRPr="00C60FC1">
        <w:rPr>
          <w:rFonts w:ascii="Arial" w:hAnsi="Arial" w:cs="Arial"/>
          <w:sz w:val="22"/>
          <w:szCs w:val="22"/>
        </w:rPr>
        <w:t>ation and its employees.</w:t>
      </w:r>
    </w:p>
    <w:p w14:paraId="578FA6F7" w14:textId="3D6FA688" w:rsidR="00B20A91" w:rsidRPr="00C60FC1" w:rsidRDefault="00B20A91" w:rsidP="00C60FC1">
      <w:pPr>
        <w:pStyle w:val="ListParagraph"/>
        <w:numPr>
          <w:ilvl w:val="0"/>
          <w:numId w:val="11"/>
        </w:numPr>
        <w:spacing w:line="360" w:lineRule="auto"/>
      </w:pPr>
      <w:r w:rsidRPr="00C60FC1">
        <w:t>Enhanced Productivity: Flexible working strategies have been shown to improve productivity levels within organi</w:t>
      </w:r>
      <w:r w:rsidR="00C60FC1">
        <w:t>s</w:t>
      </w:r>
      <w:r w:rsidRPr="00C60FC1">
        <w:t xml:space="preserve">ations. Research by Allen, Golden, and Shockley (2015) found that employees who have control over their work schedule and location tend to be more engaged, motivated, and focused on their tasks. By allowing employees at </w:t>
      </w:r>
      <w:proofErr w:type="spellStart"/>
      <w:r w:rsidRPr="00C60FC1">
        <w:t>GreenCo</w:t>
      </w:r>
      <w:proofErr w:type="spellEnd"/>
      <w:r w:rsidRPr="00C60FC1">
        <w:t xml:space="preserve"> to work remotely or adopt flexible working hours, they can optimi</w:t>
      </w:r>
      <w:r w:rsidR="00C60FC1">
        <w:t>s</w:t>
      </w:r>
      <w:r w:rsidRPr="00C60FC1">
        <w:t>e their work patterns and environments to maximi</w:t>
      </w:r>
      <w:r w:rsidR="00C60FC1">
        <w:t>s</w:t>
      </w:r>
      <w:r w:rsidRPr="00C60FC1">
        <w:t>e productivity. This increased efficiency can result in higher-quality output, improved customer service, and a competitive edge in the agricultural equipment market.</w:t>
      </w:r>
    </w:p>
    <w:p w14:paraId="3D05438C" w14:textId="717FB887" w:rsidR="00B20A91" w:rsidRPr="00C60FC1" w:rsidRDefault="00B20A91" w:rsidP="00C60FC1">
      <w:pPr>
        <w:pStyle w:val="ListParagraph"/>
        <w:numPr>
          <w:ilvl w:val="0"/>
          <w:numId w:val="11"/>
        </w:numPr>
        <w:spacing w:line="360" w:lineRule="auto"/>
      </w:pPr>
      <w:r w:rsidRPr="00C60FC1">
        <w:t xml:space="preserve">Improved Employee Well-being: Flexible working arrangements can significantly improve employee well-being, leading to increased job satisfaction and reduced turnover rates. According to a study by Grant and Dutton (2018), employees who have greater control over their work schedules experience reduced stress levels and improved work-life balance. By implementing flexible working strategies such as compressed workweeks or remote work options, </w:t>
      </w:r>
      <w:proofErr w:type="spellStart"/>
      <w:r w:rsidRPr="00C60FC1">
        <w:t>GreenCo</w:t>
      </w:r>
      <w:proofErr w:type="spellEnd"/>
      <w:r w:rsidRPr="00C60FC1">
        <w:t xml:space="preserve"> can provide its employees with the flexibility to </w:t>
      </w:r>
      <w:r w:rsidR="00C60FC1" w:rsidRPr="00C60FC1">
        <w:t>fulfil</w:t>
      </w:r>
      <w:r w:rsidRPr="00C60FC1">
        <w:t xml:space="preserve"> personal commitments and maintain a healthier work-life integration. This, in turn, can contribute to higher employee morale, lower absenteeism, and increased loyalty to the organi</w:t>
      </w:r>
      <w:r w:rsidR="00C60FC1">
        <w:t>s</w:t>
      </w:r>
      <w:r w:rsidRPr="00C60FC1">
        <w:t>ation.</w:t>
      </w:r>
    </w:p>
    <w:p w14:paraId="0DFD2854" w14:textId="50CD503E" w:rsidR="00B20A91" w:rsidRPr="00C60FC1" w:rsidRDefault="00B20A91" w:rsidP="00C60FC1">
      <w:pPr>
        <w:pStyle w:val="ListParagraph"/>
        <w:numPr>
          <w:ilvl w:val="0"/>
          <w:numId w:val="11"/>
        </w:numPr>
        <w:spacing w:line="360" w:lineRule="auto"/>
      </w:pPr>
      <w:r w:rsidRPr="00C60FC1">
        <w:t xml:space="preserve">Attraction and Retention of Top Talent: In today's competitive job market, offering flexible working arrangements can be a powerful tool for attracting and retaining top talent. A study by Gallup (2017) found that flexible work arrangements are highly desired by job seekers, with 53% of employees considering it a top priority when evaluating job opportunities. By implementing flexible working strategies, </w:t>
      </w:r>
      <w:proofErr w:type="spellStart"/>
      <w:r w:rsidRPr="00C60FC1">
        <w:t>GreenCo</w:t>
      </w:r>
      <w:proofErr w:type="spellEnd"/>
      <w:r w:rsidRPr="00C60FC1">
        <w:t xml:space="preserve"> </w:t>
      </w:r>
      <w:r w:rsidRPr="00C60FC1">
        <w:lastRenderedPageBreak/>
        <w:t>can position itself as an employer of choice, appealing to a diverse talent pool and enhancing its reputation as an innovative and employee-friendly organi</w:t>
      </w:r>
      <w:r w:rsidR="00C60FC1">
        <w:t>s</w:t>
      </w:r>
      <w:r w:rsidRPr="00C60FC1">
        <w:t>ation.</w:t>
      </w:r>
    </w:p>
    <w:p w14:paraId="4400E985" w14:textId="77777777" w:rsidR="00B20A91" w:rsidRPr="00C60FC1" w:rsidRDefault="00B20A91" w:rsidP="00C60FC1">
      <w:pPr>
        <w:pStyle w:val="ListParagraph"/>
        <w:numPr>
          <w:ilvl w:val="0"/>
          <w:numId w:val="11"/>
        </w:numPr>
        <w:spacing w:line="360" w:lineRule="auto"/>
      </w:pPr>
      <w:r w:rsidRPr="00C60FC1">
        <w:t xml:space="preserve">Cost Savings and Sustainability: Implementing flexible working strategies can lead to significant cost savings for </w:t>
      </w:r>
      <w:proofErr w:type="spellStart"/>
      <w:r w:rsidRPr="00C60FC1">
        <w:t>GreenCo</w:t>
      </w:r>
      <w:proofErr w:type="spellEnd"/>
      <w:r w:rsidRPr="00C60FC1">
        <w:t xml:space="preserve"> while contributing to sustainability goals. By allowing employees to work remotely, the need for extensive office space can be reduced, resulting in decreased operational costs related to rent, utilities, and maintenance. Moreover, remote work reduces commuting, resulting in a smaller carbon footprint and reduced traffic congestion. According to a study by Global Workplace Analytics (2019), companies that offer flexible work options can save on average $11,000 per employee per year and contribute to environmental sustainability.</w:t>
      </w:r>
    </w:p>
    <w:p w14:paraId="720B6656" w14:textId="000B6EFD" w:rsidR="00B20A91" w:rsidRPr="00C60FC1" w:rsidRDefault="00B20A91" w:rsidP="00C60FC1">
      <w:pPr>
        <w:pStyle w:val="ListParagraph"/>
        <w:numPr>
          <w:ilvl w:val="0"/>
          <w:numId w:val="11"/>
        </w:numPr>
        <w:spacing w:line="360" w:lineRule="auto"/>
      </w:pPr>
      <w:r w:rsidRPr="00C60FC1">
        <w:t>Adaptability and Resilience: Flexible working strategies enhance an organi</w:t>
      </w:r>
      <w:r w:rsidR="00C60FC1">
        <w:t>s</w:t>
      </w:r>
      <w:r w:rsidRPr="00C60FC1">
        <w:t xml:space="preserve">ation's ability to adapt to unforeseen circumstances and disruptions. Events such as natural disasters, pandemics, or transportation issues can severely impact business operations. However, by implementing flexible work arrangements, </w:t>
      </w:r>
      <w:proofErr w:type="spellStart"/>
      <w:r w:rsidRPr="00C60FC1">
        <w:t>GreenCo</w:t>
      </w:r>
      <w:proofErr w:type="spellEnd"/>
      <w:r w:rsidRPr="00C60FC1">
        <w:t xml:space="preserve"> can ensure business continuity by allowing employees to work from alternative locations or maintain operations remotely. This adaptability can help the company minimi</w:t>
      </w:r>
      <w:r w:rsidR="00C60FC1">
        <w:t>s</w:t>
      </w:r>
      <w:r w:rsidRPr="00C60FC1">
        <w:t>e downtime, maintain customer satisfaction, and demonstrate resilience in challenging times.</w:t>
      </w:r>
    </w:p>
    <w:p w14:paraId="22D968AC" w14:textId="77777777" w:rsidR="00C60FC1" w:rsidRPr="00C60FC1" w:rsidRDefault="00C60FC1" w:rsidP="00C60FC1">
      <w:pPr>
        <w:spacing w:line="360" w:lineRule="auto"/>
        <w:rPr>
          <w:rFonts w:ascii="Arial" w:hAnsi="Arial" w:cs="Arial"/>
          <w:b/>
          <w:bCs/>
          <w:sz w:val="22"/>
          <w:szCs w:val="22"/>
        </w:rPr>
      </w:pPr>
    </w:p>
    <w:p w14:paraId="3A61D4F9" w14:textId="0A135610"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t>Conclusion:</w:t>
      </w:r>
      <w:r w:rsidRPr="00C60FC1">
        <w:rPr>
          <w:rFonts w:ascii="Arial" w:hAnsi="Arial" w:cs="Arial"/>
          <w:sz w:val="22"/>
          <w:szCs w:val="22"/>
        </w:rPr>
        <w:t xml:space="preserve"> Implementing flexible working strategies in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yield numerous benefits, including enhanced productivity, improved employee well-being, attraction and retention of top talent, cost savings, sustainability, and increased adaptability. By embracing flexible work arrangements,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create a positive work environment, foster employee satisfaction, and position itself as an industry leader committed to the well-being of its employees and the environment. As the agricultural equipment market evolves, integrating flexible working strategies will become an essential factor for success and growth in the industry.</w:t>
      </w:r>
    </w:p>
    <w:p w14:paraId="1771A8A2" w14:textId="77777777" w:rsidR="00B20A91" w:rsidRPr="00C60FC1" w:rsidRDefault="00B20A91" w:rsidP="00C60FC1">
      <w:pPr>
        <w:spacing w:line="360" w:lineRule="auto"/>
        <w:rPr>
          <w:rFonts w:ascii="Arial" w:hAnsi="Arial" w:cs="Arial"/>
          <w:sz w:val="22"/>
          <w:szCs w:val="22"/>
        </w:rPr>
      </w:pPr>
    </w:p>
    <w:p w14:paraId="744D3615" w14:textId="77777777" w:rsidR="00B20A91" w:rsidRPr="00C60FC1" w:rsidRDefault="00B20A91" w:rsidP="00C60FC1">
      <w:pPr>
        <w:spacing w:line="360" w:lineRule="auto"/>
        <w:rPr>
          <w:rFonts w:ascii="Arial" w:hAnsi="Arial" w:cs="Arial"/>
          <w:sz w:val="22"/>
          <w:szCs w:val="22"/>
        </w:rPr>
      </w:pPr>
    </w:p>
    <w:p w14:paraId="359422CC" w14:textId="77777777" w:rsidR="00C60FC1" w:rsidRPr="00C60FC1" w:rsidRDefault="00B20A91" w:rsidP="00C60FC1">
      <w:pPr>
        <w:pStyle w:val="ListParagraph"/>
        <w:numPr>
          <w:ilvl w:val="0"/>
          <w:numId w:val="12"/>
        </w:numPr>
        <w:spacing w:line="360" w:lineRule="auto"/>
      </w:pPr>
      <w:r w:rsidRPr="00C60FC1">
        <w:t>Describ</w:t>
      </w:r>
      <w:r w:rsidR="00C60FC1" w:rsidRPr="00C60FC1">
        <w:t>e</w:t>
      </w:r>
      <w:r w:rsidRPr="00C60FC1">
        <w:t xml:space="preserve"> what the firm, and more specifically the HR department, should consider before implementing flexible working to the employee workforce</w:t>
      </w:r>
    </w:p>
    <w:p w14:paraId="34FD5296" w14:textId="77777777" w:rsidR="00C60FC1" w:rsidRPr="00C60FC1" w:rsidRDefault="00C60FC1" w:rsidP="00C60FC1">
      <w:pPr>
        <w:spacing w:line="360" w:lineRule="auto"/>
        <w:rPr>
          <w:rFonts w:ascii="Arial" w:hAnsi="Arial" w:cs="Arial"/>
          <w:sz w:val="22"/>
          <w:szCs w:val="22"/>
          <w:lang w:eastAsia="en-GB"/>
        </w:rPr>
      </w:pPr>
    </w:p>
    <w:p w14:paraId="2C41A0AA" w14:textId="20166AE0" w:rsidR="00B20A91" w:rsidRPr="00C60FC1" w:rsidRDefault="00B20A91" w:rsidP="00C60FC1">
      <w:pPr>
        <w:spacing w:line="360" w:lineRule="auto"/>
        <w:rPr>
          <w:rFonts w:ascii="Arial" w:hAnsi="Arial" w:cs="Arial"/>
          <w:sz w:val="22"/>
          <w:szCs w:val="22"/>
          <w:lang w:eastAsia="en-GB"/>
        </w:rPr>
      </w:pPr>
      <w:r w:rsidRPr="00C60FC1">
        <w:rPr>
          <w:rFonts w:ascii="Arial" w:hAnsi="Arial" w:cs="Arial"/>
          <w:b/>
          <w:bCs/>
          <w:sz w:val="22"/>
          <w:szCs w:val="22"/>
          <w:lang w:eastAsia="en-GB"/>
        </w:rPr>
        <w:t>Introduction:</w:t>
      </w:r>
      <w:r w:rsidRPr="00C60FC1">
        <w:rPr>
          <w:rFonts w:ascii="Arial" w:hAnsi="Arial" w:cs="Arial"/>
          <w:sz w:val="22"/>
          <w:szCs w:val="22"/>
          <w:lang w:eastAsia="en-GB"/>
        </w:rPr>
        <w:t xml:space="preserve"> Before implementing flexible working strategies within an organi</w:t>
      </w:r>
      <w:r w:rsidR="00C60FC1">
        <w:rPr>
          <w:rFonts w:ascii="Arial" w:hAnsi="Arial" w:cs="Arial"/>
          <w:sz w:val="22"/>
          <w:szCs w:val="22"/>
          <w:lang w:eastAsia="en-GB"/>
        </w:rPr>
        <w:t>s</w:t>
      </w:r>
      <w:r w:rsidRPr="00C60FC1">
        <w:rPr>
          <w:rFonts w:ascii="Arial" w:hAnsi="Arial" w:cs="Arial"/>
          <w:sz w:val="22"/>
          <w:szCs w:val="22"/>
          <w:lang w:eastAsia="en-GB"/>
        </w:rPr>
        <w:t xml:space="preserve">ation like </w:t>
      </w:r>
      <w:proofErr w:type="spellStart"/>
      <w:r w:rsidRPr="00C60FC1">
        <w:rPr>
          <w:rFonts w:ascii="Arial" w:hAnsi="Arial" w:cs="Arial"/>
          <w:sz w:val="22"/>
          <w:szCs w:val="22"/>
          <w:lang w:eastAsia="en-GB"/>
        </w:rPr>
        <w:t>GreenCo</w:t>
      </w:r>
      <w:proofErr w:type="spellEnd"/>
      <w:r w:rsidRPr="00C60FC1">
        <w:rPr>
          <w:rFonts w:ascii="Arial" w:hAnsi="Arial" w:cs="Arial"/>
          <w:sz w:val="22"/>
          <w:szCs w:val="22"/>
          <w:lang w:eastAsia="en-GB"/>
        </w:rPr>
        <w:t xml:space="preserve">, careful consideration and planning by the HR department are essential. This article explores the key factors that the firm, and specifically the HR department, should </w:t>
      </w:r>
      <w:r w:rsidRPr="00C60FC1">
        <w:rPr>
          <w:rFonts w:ascii="Arial" w:hAnsi="Arial" w:cs="Arial"/>
          <w:sz w:val="22"/>
          <w:szCs w:val="22"/>
          <w:lang w:eastAsia="en-GB"/>
        </w:rPr>
        <w:lastRenderedPageBreak/>
        <w:t xml:space="preserve">consider when introducing flexible working options to the employee workforce. By taking these factors into account, </w:t>
      </w:r>
      <w:proofErr w:type="spellStart"/>
      <w:r w:rsidRPr="00C60FC1">
        <w:rPr>
          <w:rFonts w:ascii="Arial" w:hAnsi="Arial" w:cs="Arial"/>
          <w:sz w:val="22"/>
          <w:szCs w:val="22"/>
          <w:lang w:eastAsia="en-GB"/>
        </w:rPr>
        <w:t>GreenCo</w:t>
      </w:r>
      <w:proofErr w:type="spellEnd"/>
      <w:r w:rsidRPr="00C60FC1">
        <w:rPr>
          <w:rFonts w:ascii="Arial" w:hAnsi="Arial" w:cs="Arial"/>
          <w:sz w:val="22"/>
          <w:szCs w:val="22"/>
          <w:lang w:eastAsia="en-GB"/>
        </w:rPr>
        <w:t xml:space="preserve"> can successfully implement flexible working arrangements while mitigating potential challenges and maximi</w:t>
      </w:r>
      <w:r w:rsidR="00C60FC1">
        <w:rPr>
          <w:rFonts w:ascii="Arial" w:hAnsi="Arial" w:cs="Arial"/>
          <w:sz w:val="22"/>
          <w:szCs w:val="22"/>
          <w:lang w:eastAsia="en-GB"/>
        </w:rPr>
        <w:t>s</w:t>
      </w:r>
      <w:r w:rsidRPr="00C60FC1">
        <w:rPr>
          <w:rFonts w:ascii="Arial" w:hAnsi="Arial" w:cs="Arial"/>
          <w:sz w:val="22"/>
          <w:szCs w:val="22"/>
          <w:lang w:eastAsia="en-GB"/>
        </w:rPr>
        <w:t>ing the benefits for both the organi</w:t>
      </w:r>
      <w:r w:rsidR="00C60FC1">
        <w:rPr>
          <w:rFonts w:ascii="Arial" w:hAnsi="Arial" w:cs="Arial"/>
          <w:sz w:val="22"/>
          <w:szCs w:val="22"/>
          <w:lang w:eastAsia="en-GB"/>
        </w:rPr>
        <w:t>s</w:t>
      </w:r>
      <w:r w:rsidRPr="00C60FC1">
        <w:rPr>
          <w:rFonts w:ascii="Arial" w:hAnsi="Arial" w:cs="Arial"/>
          <w:sz w:val="22"/>
          <w:szCs w:val="22"/>
          <w:lang w:eastAsia="en-GB"/>
        </w:rPr>
        <w:t>ation and its employees.</w:t>
      </w:r>
    </w:p>
    <w:p w14:paraId="6CBD6402" w14:textId="4656FB80" w:rsidR="00B20A91" w:rsidRPr="00C60FC1" w:rsidRDefault="00B20A91" w:rsidP="00C60FC1">
      <w:pPr>
        <w:pStyle w:val="ListParagraph"/>
        <w:numPr>
          <w:ilvl w:val="0"/>
          <w:numId w:val="13"/>
        </w:numPr>
        <w:spacing w:line="360" w:lineRule="auto"/>
      </w:pPr>
      <w:r w:rsidRPr="00C60FC1">
        <w:t>Organi</w:t>
      </w:r>
      <w:r w:rsidR="00C60FC1">
        <w:t>s</w:t>
      </w:r>
      <w:r w:rsidRPr="00C60FC1">
        <w:t>ational Culture and Readiness: Before implementing flexible working, it is crucial to assess the organi</w:t>
      </w:r>
      <w:r w:rsidR="00C60FC1">
        <w:t>s</w:t>
      </w:r>
      <w:r w:rsidRPr="00C60FC1">
        <w:t>ation's culture and readiness for such a change. This includes evaluating the leadership's support and their willingness to embrace a more flexible work environment. The HR department should ensure that there is a culture of trust, open communication, and accountability in place, as these are essential for successful flexible working arrangements (Perrons, Fagan, McDowell, Ray, &amp; Ward, 2018). Engaging in a dialogue with stakeholders and conducting surveys or focus groups can help gauge the organi</w:t>
      </w:r>
      <w:r w:rsidR="00C60FC1">
        <w:t>s</w:t>
      </w:r>
      <w:r w:rsidRPr="00C60FC1">
        <w:t>ation's readiness and address any concerns or resistance early on.</w:t>
      </w:r>
    </w:p>
    <w:p w14:paraId="38B2A128" w14:textId="77777777" w:rsidR="00B20A91" w:rsidRPr="00C60FC1" w:rsidRDefault="00B20A91" w:rsidP="00C60FC1">
      <w:pPr>
        <w:pStyle w:val="ListParagraph"/>
        <w:numPr>
          <w:ilvl w:val="0"/>
          <w:numId w:val="13"/>
        </w:numPr>
        <w:spacing w:line="360" w:lineRule="auto"/>
      </w:pPr>
      <w:r w:rsidRPr="00C60FC1">
        <w:t xml:space="preserve">Job Roles and Suitability: The HR department needs to carefully assess the job roles within </w:t>
      </w:r>
      <w:proofErr w:type="spellStart"/>
      <w:r w:rsidRPr="00C60FC1">
        <w:t>GreenCo</w:t>
      </w:r>
      <w:proofErr w:type="spellEnd"/>
      <w:r w:rsidRPr="00C60FC1">
        <w:t xml:space="preserve"> to determine their suitability for flexible working. Certain roles may require employees to be physically present or have direct interactions with clients or colleagues, making it challenging to implement remote work options. Evaluating job functions, tasks, and responsibilities will help identify which roles can be performed flexibly without compromising productivity or customer service. Additionally, considering the impact of flexible working on team dynamics and collaboration is essential to ensure a seamless transition.</w:t>
      </w:r>
    </w:p>
    <w:p w14:paraId="37DD3BE5" w14:textId="6FF0DA78" w:rsidR="00B20A91" w:rsidRPr="00C60FC1" w:rsidRDefault="00B20A91" w:rsidP="00C60FC1">
      <w:pPr>
        <w:pStyle w:val="ListParagraph"/>
        <w:numPr>
          <w:ilvl w:val="0"/>
          <w:numId w:val="13"/>
        </w:numPr>
        <w:spacing w:line="360" w:lineRule="auto"/>
      </w:pPr>
      <w:r w:rsidRPr="00C60FC1">
        <w:t>Communication and Collaboration Tools: To facilitate effective communication and collaboration among employees in flexible working arrangements, the HR department should evaluate and implement appropriate tools and technologies. This may include video conferencing platforms, project management software, instant messaging tools, and cloud-based document sharing systems. Selecting user-friendly and secure tools that align with the organi</w:t>
      </w:r>
      <w:r w:rsidR="00C60FC1">
        <w:t>s</w:t>
      </w:r>
      <w:r w:rsidRPr="00C60FC1">
        <w:t>ation's needs will support seamless communication, virtual meetings, and real-time collaboration among team members (</w:t>
      </w:r>
      <w:proofErr w:type="spellStart"/>
      <w:r w:rsidRPr="00C60FC1">
        <w:t>Kossek</w:t>
      </w:r>
      <w:proofErr w:type="spellEnd"/>
      <w:r w:rsidRPr="00C60FC1">
        <w:t xml:space="preserve">, </w:t>
      </w:r>
      <w:proofErr w:type="spellStart"/>
      <w:r w:rsidRPr="00C60FC1">
        <w:t>Lautsch</w:t>
      </w:r>
      <w:proofErr w:type="spellEnd"/>
      <w:r w:rsidRPr="00C60FC1">
        <w:t>, &amp; Eaton, 2006).</w:t>
      </w:r>
    </w:p>
    <w:p w14:paraId="3D4F9B28" w14:textId="77777777" w:rsidR="00B20A91" w:rsidRPr="00C60FC1" w:rsidRDefault="00B20A91" w:rsidP="00C60FC1">
      <w:pPr>
        <w:pStyle w:val="ListParagraph"/>
        <w:numPr>
          <w:ilvl w:val="0"/>
          <w:numId w:val="13"/>
        </w:numPr>
        <w:spacing w:line="360" w:lineRule="auto"/>
      </w:pPr>
      <w:r w:rsidRPr="00C60FC1">
        <w:t xml:space="preserve">Performance Management and Evaluation: Flexible working requires a shift in performance management practices to ensure fair and objective evaluation of employees' work. The HR department should develop clear performance metrics and expectations that are based on outcomes rather than solely on physical presence or working hours. This shift towards result-oriented performance assessments will help maintain accountability and ensure that employees are evaluated fairly and consistently (Allen, Johnson, </w:t>
      </w:r>
      <w:proofErr w:type="spellStart"/>
      <w:r w:rsidRPr="00C60FC1">
        <w:t>Kiburz</w:t>
      </w:r>
      <w:proofErr w:type="spellEnd"/>
      <w:r w:rsidRPr="00C60FC1">
        <w:t xml:space="preserve">, &amp; Shockley, 2013). Regular </w:t>
      </w:r>
      <w:r w:rsidRPr="00C60FC1">
        <w:lastRenderedPageBreak/>
        <w:t>feedback and communication channels should be established to provide ongoing support and guidance to employees in their flexible work arrangements.</w:t>
      </w:r>
    </w:p>
    <w:p w14:paraId="320014A4" w14:textId="3E1E4415" w:rsidR="00B20A91" w:rsidRPr="00C60FC1" w:rsidRDefault="00B20A91" w:rsidP="00C60FC1">
      <w:pPr>
        <w:pStyle w:val="ListParagraph"/>
        <w:numPr>
          <w:ilvl w:val="0"/>
          <w:numId w:val="13"/>
        </w:numPr>
        <w:spacing w:line="360" w:lineRule="auto"/>
      </w:pPr>
      <w:r w:rsidRPr="00C60FC1">
        <w:t xml:space="preserve">Legal and Compliance Considerations: The HR department must navigate legal and compliance considerations when implementing flexible working. This includes ensuring compliance with applicable </w:t>
      </w:r>
      <w:r w:rsidR="00C60FC1" w:rsidRPr="00C60FC1">
        <w:t>labour</w:t>
      </w:r>
      <w:r w:rsidRPr="00C60FC1">
        <w:t xml:space="preserve"> laws, employment contracts, and data protection regulations. Policies and procedures related to remote work, flexible hours, data security, and confidentiality should be developed and communicated clearly to employees. Consulting legal experts or employment specialists can help ensure that the implementation aligns with legal requirements and minimi</w:t>
      </w:r>
      <w:r w:rsidR="00C60FC1">
        <w:t>s</w:t>
      </w:r>
      <w:r w:rsidRPr="00C60FC1">
        <w:t>es potential risks (Baruch, 2018).</w:t>
      </w:r>
    </w:p>
    <w:p w14:paraId="04356504" w14:textId="77777777" w:rsidR="00C60FC1" w:rsidRPr="00C60FC1" w:rsidRDefault="00C60FC1" w:rsidP="00C60FC1">
      <w:pPr>
        <w:spacing w:line="360" w:lineRule="auto"/>
        <w:rPr>
          <w:rFonts w:ascii="Arial" w:hAnsi="Arial" w:cs="Arial"/>
          <w:b/>
          <w:bCs/>
          <w:sz w:val="22"/>
          <w:szCs w:val="22"/>
        </w:rPr>
      </w:pPr>
    </w:p>
    <w:p w14:paraId="48249984" w14:textId="7EF74865"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t>Conclusion:</w:t>
      </w:r>
      <w:r w:rsidRPr="00C60FC1">
        <w:rPr>
          <w:rFonts w:ascii="Arial" w:hAnsi="Arial" w:cs="Arial"/>
          <w:sz w:val="22"/>
          <w:szCs w:val="22"/>
        </w:rPr>
        <w:t xml:space="preserve"> Implementing flexible working arrangements requires thoughtful planning and consideration from the HR department at </w:t>
      </w:r>
      <w:proofErr w:type="spellStart"/>
      <w:r w:rsidRPr="00C60FC1">
        <w:rPr>
          <w:rFonts w:ascii="Arial" w:hAnsi="Arial" w:cs="Arial"/>
          <w:sz w:val="22"/>
          <w:szCs w:val="22"/>
        </w:rPr>
        <w:t>GreenCo</w:t>
      </w:r>
      <w:proofErr w:type="spellEnd"/>
      <w:r w:rsidRPr="00C60FC1">
        <w:rPr>
          <w:rFonts w:ascii="Arial" w:hAnsi="Arial" w:cs="Arial"/>
          <w:sz w:val="22"/>
          <w:szCs w:val="22"/>
        </w:rPr>
        <w:t>. By evaluating the organi</w:t>
      </w:r>
      <w:r w:rsidR="00C60FC1">
        <w:rPr>
          <w:rFonts w:ascii="Arial" w:hAnsi="Arial" w:cs="Arial"/>
          <w:sz w:val="22"/>
          <w:szCs w:val="22"/>
        </w:rPr>
        <w:t>s</w:t>
      </w:r>
      <w:r w:rsidRPr="00C60FC1">
        <w:rPr>
          <w:rFonts w:ascii="Arial" w:hAnsi="Arial" w:cs="Arial"/>
          <w:sz w:val="22"/>
          <w:szCs w:val="22"/>
        </w:rPr>
        <w:t xml:space="preserve">ation's culture, job roles, communication tools, performance management practices, and legal compliance,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lay the groundwork for a successful implementation of flexible working strategies. Engaging employees in the process, providing training and support, and addressing potential challenges proactively will help foster a positive work environment and maximi</w:t>
      </w:r>
      <w:r w:rsidR="00C60FC1">
        <w:rPr>
          <w:rFonts w:ascii="Arial" w:hAnsi="Arial" w:cs="Arial"/>
          <w:sz w:val="22"/>
          <w:szCs w:val="22"/>
        </w:rPr>
        <w:t>s</w:t>
      </w:r>
      <w:r w:rsidRPr="00C60FC1">
        <w:rPr>
          <w:rFonts w:ascii="Arial" w:hAnsi="Arial" w:cs="Arial"/>
          <w:sz w:val="22"/>
          <w:szCs w:val="22"/>
        </w:rPr>
        <w:t>e the benefits of flexible working for both the organi</w:t>
      </w:r>
      <w:r w:rsidR="00C60FC1">
        <w:rPr>
          <w:rFonts w:ascii="Arial" w:hAnsi="Arial" w:cs="Arial"/>
          <w:sz w:val="22"/>
          <w:szCs w:val="22"/>
        </w:rPr>
        <w:t>s</w:t>
      </w:r>
      <w:r w:rsidRPr="00C60FC1">
        <w:rPr>
          <w:rFonts w:ascii="Arial" w:hAnsi="Arial" w:cs="Arial"/>
          <w:sz w:val="22"/>
          <w:szCs w:val="22"/>
        </w:rPr>
        <w:t>ation and its employees.</w:t>
      </w:r>
    </w:p>
    <w:p w14:paraId="7ABCA1F3" w14:textId="77777777" w:rsidR="00C60FC1" w:rsidRPr="00C60FC1" w:rsidRDefault="00C60FC1" w:rsidP="00C60FC1">
      <w:pPr>
        <w:spacing w:after="160" w:line="259" w:lineRule="auto"/>
      </w:pPr>
    </w:p>
    <w:p w14:paraId="0F4DC7E3" w14:textId="77777777" w:rsidR="00C60FC1" w:rsidRPr="00C60FC1" w:rsidRDefault="00C60FC1" w:rsidP="00C60FC1">
      <w:pPr>
        <w:spacing w:after="160" w:line="259" w:lineRule="auto"/>
        <w:ind w:left="360"/>
      </w:pPr>
    </w:p>
    <w:p w14:paraId="0498D6C9" w14:textId="530F49B6" w:rsidR="00B20A91" w:rsidRPr="00C60FC1" w:rsidRDefault="00B20A91" w:rsidP="00B20A91">
      <w:pPr>
        <w:pStyle w:val="ListParagraph"/>
        <w:numPr>
          <w:ilvl w:val="0"/>
          <w:numId w:val="1"/>
        </w:numPr>
        <w:spacing w:after="160" w:line="259" w:lineRule="auto"/>
        <w:ind w:right="0"/>
        <w:rPr>
          <w:color w:val="auto"/>
          <w:lang w:eastAsia="en-US"/>
        </w:rPr>
      </w:pPr>
      <w:r w:rsidRPr="00C60FC1">
        <w:rPr>
          <w:color w:val="auto"/>
          <w:lang w:eastAsia="en-US"/>
        </w:rPr>
        <w:t>Discuss how the pay structure may need to be reconfigured if this were to be implemented</w:t>
      </w:r>
    </w:p>
    <w:p w14:paraId="09D9D2CE" w14:textId="77777777" w:rsidR="00C60FC1" w:rsidRPr="00C60FC1" w:rsidRDefault="00C60FC1" w:rsidP="00C60FC1">
      <w:pPr>
        <w:pStyle w:val="ListParagraph"/>
        <w:spacing w:after="160" w:line="259" w:lineRule="auto"/>
        <w:ind w:right="0" w:firstLine="0"/>
        <w:rPr>
          <w:color w:val="auto"/>
          <w:lang w:eastAsia="en-US"/>
        </w:rPr>
      </w:pPr>
    </w:p>
    <w:p w14:paraId="0BFC3C8A" w14:textId="1A80BC68"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t>Introduction:</w:t>
      </w:r>
      <w:r w:rsidRPr="00C60FC1">
        <w:rPr>
          <w:rFonts w:ascii="Arial" w:hAnsi="Arial" w:cs="Arial"/>
          <w:sz w:val="22"/>
          <w:szCs w:val="22"/>
        </w:rPr>
        <w:t xml:space="preserve"> When implementing flexible working strategies in </w:t>
      </w:r>
      <w:proofErr w:type="spellStart"/>
      <w:r w:rsidRPr="00C60FC1">
        <w:rPr>
          <w:rFonts w:ascii="Arial" w:hAnsi="Arial" w:cs="Arial"/>
          <w:sz w:val="22"/>
          <w:szCs w:val="22"/>
        </w:rPr>
        <w:t>GreenCo</w:t>
      </w:r>
      <w:proofErr w:type="spellEnd"/>
      <w:r w:rsidRPr="00C60FC1">
        <w:rPr>
          <w:rFonts w:ascii="Arial" w:hAnsi="Arial" w:cs="Arial"/>
          <w:sz w:val="22"/>
          <w:szCs w:val="22"/>
        </w:rPr>
        <w:t>, the organi</w:t>
      </w:r>
      <w:r w:rsidR="00C60FC1">
        <w:rPr>
          <w:rFonts w:ascii="Arial" w:hAnsi="Arial" w:cs="Arial"/>
          <w:sz w:val="22"/>
          <w:szCs w:val="22"/>
        </w:rPr>
        <w:t>s</w:t>
      </w:r>
      <w:r w:rsidRPr="00C60FC1">
        <w:rPr>
          <w:rFonts w:ascii="Arial" w:hAnsi="Arial" w:cs="Arial"/>
          <w:sz w:val="22"/>
          <w:szCs w:val="22"/>
        </w:rPr>
        <w:t xml:space="preserve">ation's pay structure may need to be reconfigured to align with the new work arrangements and ensure fairness and equity. This article examines the considerations and potential adjustments required to accommodate flexible working while maintaining an appropriate pay structure. By addressing these factors,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establish a compensation framework that supports and motivates employees in their flexible work arrangements.</w:t>
      </w:r>
    </w:p>
    <w:p w14:paraId="66AB1F25" w14:textId="458B9137" w:rsidR="00B20A91" w:rsidRPr="00C60FC1" w:rsidRDefault="00B20A91" w:rsidP="00C60FC1">
      <w:pPr>
        <w:pStyle w:val="ListParagraph"/>
        <w:numPr>
          <w:ilvl w:val="0"/>
          <w:numId w:val="14"/>
        </w:numPr>
        <w:spacing w:line="360" w:lineRule="auto"/>
      </w:pPr>
      <w:r w:rsidRPr="00C60FC1">
        <w:t xml:space="preserve">Performance-Based Pay: To maintain fairness and motivation, </w:t>
      </w:r>
      <w:proofErr w:type="spellStart"/>
      <w:r w:rsidRPr="00C60FC1">
        <w:t>GreenCo</w:t>
      </w:r>
      <w:proofErr w:type="spellEnd"/>
      <w:r w:rsidRPr="00C60FC1">
        <w:t xml:space="preserve"> should consider shifting toward a performance-based pay structure. Flexible working may introduce variations in working hours, locations, and patterns, making it necessary to evaluate performance based on outcomes rather than hours worked. Implementing performance-based pay systems, such as merit pay or performance bonuses, allows the organi</w:t>
      </w:r>
      <w:r w:rsidR="00C60FC1">
        <w:t>s</w:t>
      </w:r>
      <w:r w:rsidRPr="00C60FC1">
        <w:t xml:space="preserve">ation to reward employees based on their individual achievements, meeting targets, or exceeding expectations (Khan, Ahmad, &amp; </w:t>
      </w:r>
      <w:r w:rsidRPr="00C60FC1">
        <w:lastRenderedPageBreak/>
        <w:t xml:space="preserve">Memon, 2019). By linking pay to performance, </w:t>
      </w:r>
      <w:proofErr w:type="spellStart"/>
      <w:r w:rsidRPr="00C60FC1">
        <w:t>GreenCo</w:t>
      </w:r>
      <w:proofErr w:type="spellEnd"/>
      <w:r w:rsidRPr="00C60FC1">
        <w:t xml:space="preserve"> can ensure that compensation reflects employees' contributions and outcomes rather than solely their presence or working hours.</w:t>
      </w:r>
    </w:p>
    <w:p w14:paraId="4DD6C44E" w14:textId="699EDE67" w:rsidR="00B20A91" w:rsidRPr="00C60FC1" w:rsidRDefault="00B20A91" w:rsidP="00C60FC1">
      <w:pPr>
        <w:pStyle w:val="ListParagraph"/>
        <w:numPr>
          <w:ilvl w:val="0"/>
          <w:numId w:val="14"/>
        </w:numPr>
        <w:spacing w:line="360" w:lineRule="auto"/>
      </w:pPr>
      <w:r w:rsidRPr="00C60FC1">
        <w:t xml:space="preserve">Outcome-Oriented Metrics: Flexible working arrangements require the establishment of outcome-oriented metrics that align with individual and team objectives. By defining clear performance indicators and goals, </w:t>
      </w:r>
      <w:proofErr w:type="spellStart"/>
      <w:r w:rsidRPr="00C60FC1">
        <w:t>GreenCo</w:t>
      </w:r>
      <w:proofErr w:type="spellEnd"/>
      <w:r w:rsidRPr="00C60FC1">
        <w:t xml:space="preserve"> can evaluate employee contributions and results accurately. These metrics should be measurable, objective, and tied to the organi</w:t>
      </w:r>
      <w:r w:rsidR="00C60FC1">
        <w:t>s</w:t>
      </w:r>
      <w:r w:rsidRPr="00C60FC1">
        <w:t>ation's strategic goals (Milkovich &amp; Newman, 2021). Outcome-oriented metrics allow for a fair assessment of employees' performance, regardless of their working hours or locations, ensuring that compensation is tied to tangible results rather than time spent on tasks.</w:t>
      </w:r>
    </w:p>
    <w:p w14:paraId="4335B376" w14:textId="77777777" w:rsidR="00B20A91" w:rsidRPr="00C60FC1" w:rsidRDefault="00B20A91" w:rsidP="00C60FC1">
      <w:pPr>
        <w:pStyle w:val="ListParagraph"/>
        <w:numPr>
          <w:ilvl w:val="0"/>
          <w:numId w:val="14"/>
        </w:numPr>
        <w:spacing w:line="360" w:lineRule="auto"/>
      </w:pPr>
      <w:r w:rsidRPr="00C60FC1">
        <w:t xml:space="preserve">Flexibility Premiums: </w:t>
      </w:r>
      <w:proofErr w:type="spellStart"/>
      <w:r w:rsidRPr="00C60FC1">
        <w:t>GreenCo</w:t>
      </w:r>
      <w:proofErr w:type="spellEnd"/>
      <w:r w:rsidRPr="00C60FC1">
        <w:t xml:space="preserve"> may consider introducing flexibility premiums or differential pay structures to compensate employees for working flexibly. Flexible working arrangements often require employees to adapt their schedules, work outside of regular hours, or take on additional responsibilities to cover for colleagues in different time zones or locations. Providing financial incentives or additional compensation for these efforts acknowledges and values employees' flexibility, dedication, and willingness to adapt (LaVan, Sherman, &amp; Kim, 2020). This approach can motivate employees to embrace flexible work arrangements and promote a culture that values work flexibility.</w:t>
      </w:r>
    </w:p>
    <w:p w14:paraId="7E328882" w14:textId="77062896" w:rsidR="00B20A91" w:rsidRPr="00C60FC1" w:rsidRDefault="00B20A91" w:rsidP="00C60FC1">
      <w:pPr>
        <w:pStyle w:val="ListParagraph"/>
        <w:numPr>
          <w:ilvl w:val="0"/>
          <w:numId w:val="14"/>
        </w:numPr>
        <w:spacing w:line="360" w:lineRule="auto"/>
      </w:pPr>
      <w:r w:rsidRPr="00C60FC1">
        <w:t xml:space="preserve">Market Research and Benchmarking: Conducting market research and benchmarking compensation practices is crucial when reconfiguring the pay structure. </w:t>
      </w:r>
      <w:proofErr w:type="spellStart"/>
      <w:r w:rsidRPr="00C60FC1">
        <w:t>GreenCo</w:t>
      </w:r>
      <w:proofErr w:type="spellEnd"/>
      <w:r w:rsidRPr="00C60FC1">
        <w:t xml:space="preserve"> should analy</w:t>
      </w:r>
      <w:r w:rsidR="00C60FC1">
        <w:t>s</w:t>
      </w:r>
      <w:r w:rsidRPr="00C60FC1">
        <w:t>e the compensation packages offered by other organi</w:t>
      </w:r>
      <w:r w:rsidR="00C60FC1">
        <w:t>s</w:t>
      </w:r>
      <w:r w:rsidRPr="00C60FC1">
        <w:t xml:space="preserve">ations in the agricultural equipment industry, considering the prevalence of flexible working arrangements and their impact on compensation. This research enables </w:t>
      </w:r>
      <w:proofErr w:type="spellStart"/>
      <w:r w:rsidRPr="00C60FC1">
        <w:t>GreenCo</w:t>
      </w:r>
      <w:proofErr w:type="spellEnd"/>
      <w:r w:rsidRPr="00C60FC1">
        <w:t xml:space="preserve"> to ensure that its pay structure remains competitive, attractive, and aligned with industry standards, while accounting for the unique characteristics of flexible work arrangements (Gerhart &amp; Milkovich, 2017).</w:t>
      </w:r>
    </w:p>
    <w:p w14:paraId="73ABF0D7" w14:textId="77777777" w:rsidR="00B20A91" w:rsidRPr="00C60FC1" w:rsidRDefault="00B20A91" w:rsidP="00C60FC1">
      <w:pPr>
        <w:pStyle w:val="ListParagraph"/>
        <w:numPr>
          <w:ilvl w:val="0"/>
          <w:numId w:val="14"/>
        </w:numPr>
        <w:spacing w:line="360" w:lineRule="auto"/>
      </w:pPr>
      <w:r w:rsidRPr="00C60FC1">
        <w:t xml:space="preserve">Transparent Communication and Policies: Transparent communication and well-defined policies regarding pay structure and compensation for flexible working are vital. </w:t>
      </w:r>
      <w:proofErr w:type="spellStart"/>
      <w:r w:rsidRPr="00C60FC1">
        <w:t>GreenCo</w:t>
      </w:r>
      <w:proofErr w:type="spellEnd"/>
      <w:r w:rsidRPr="00C60FC1">
        <w:t xml:space="preserve"> should establish clear guidelines and expectations regarding how compensation decisions are made and how the pay structure accommodates flexible work arrangements. Openly communicating the rationale behind the pay structure reconfiguration and the factors considered will foster understanding and trust among employees (</w:t>
      </w:r>
      <w:proofErr w:type="spellStart"/>
      <w:r w:rsidRPr="00C60FC1">
        <w:t>WorldatWork</w:t>
      </w:r>
      <w:proofErr w:type="spellEnd"/>
      <w:r w:rsidRPr="00C60FC1">
        <w:t>, 2019). Additionally, transparent policies enable employees to make informed decisions regarding their work arrangements and understand the potential impact on their compensation.</w:t>
      </w:r>
    </w:p>
    <w:p w14:paraId="617D17FB" w14:textId="19FB92FC"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lastRenderedPageBreak/>
        <w:t>Conclusion:</w:t>
      </w:r>
      <w:r w:rsidRPr="00C60FC1">
        <w:rPr>
          <w:rFonts w:ascii="Arial" w:hAnsi="Arial" w:cs="Arial"/>
          <w:sz w:val="22"/>
          <w:szCs w:val="22"/>
        </w:rPr>
        <w:t xml:space="preserve"> Reconfiguring the pay structure is a critical aspect of implementing flexible working in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By adopting a performance-based pay system, establishing outcome-oriented metrics, considering flexibility premiums, conducting market research, and maintaining transparent communication,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ensure that its pay structure remains fair, equitable, and motivating. Aligning compensation with employee contributions and outcomes, rather than mere presence or hours worked, will support the successful implementation of flexible working arrangements and contribute to a culture of engagement, productivity, and employee satisfaction.</w:t>
      </w:r>
    </w:p>
    <w:p w14:paraId="0C2294E9" w14:textId="77777777" w:rsidR="00C60FC1" w:rsidRPr="00C60FC1" w:rsidRDefault="00C60FC1" w:rsidP="00C60FC1">
      <w:pPr>
        <w:spacing w:line="360" w:lineRule="auto"/>
        <w:rPr>
          <w:rFonts w:ascii="Arial" w:hAnsi="Arial" w:cs="Arial"/>
          <w:sz w:val="22"/>
          <w:szCs w:val="22"/>
        </w:rPr>
      </w:pPr>
    </w:p>
    <w:p w14:paraId="56A141CE" w14:textId="77777777" w:rsidR="00B20A91" w:rsidRPr="00C60FC1" w:rsidRDefault="00B20A91" w:rsidP="00C60FC1">
      <w:pPr>
        <w:spacing w:line="360" w:lineRule="auto"/>
        <w:rPr>
          <w:rFonts w:ascii="Arial" w:hAnsi="Arial" w:cs="Arial"/>
          <w:sz w:val="22"/>
          <w:szCs w:val="22"/>
        </w:rPr>
      </w:pPr>
    </w:p>
    <w:p w14:paraId="6AD11AFC" w14:textId="40A79894" w:rsidR="00B20A91" w:rsidRPr="00C60FC1" w:rsidRDefault="00B20A91" w:rsidP="00B20A91">
      <w:pPr>
        <w:pStyle w:val="ListParagraph"/>
        <w:numPr>
          <w:ilvl w:val="0"/>
          <w:numId w:val="1"/>
        </w:numPr>
        <w:spacing w:after="160" w:line="259" w:lineRule="auto"/>
        <w:ind w:right="0"/>
        <w:rPr>
          <w:color w:val="auto"/>
          <w:lang w:eastAsia="en-US"/>
        </w:rPr>
      </w:pPr>
      <w:r w:rsidRPr="00C60FC1">
        <w:rPr>
          <w:color w:val="auto"/>
          <w:lang w:eastAsia="en-US"/>
        </w:rPr>
        <w:t>Evaluat</w:t>
      </w:r>
      <w:r w:rsidR="00C60FC1" w:rsidRPr="00C60FC1">
        <w:rPr>
          <w:color w:val="auto"/>
          <w:lang w:eastAsia="en-US"/>
        </w:rPr>
        <w:t>e</w:t>
      </w:r>
      <w:r w:rsidRPr="00C60FC1">
        <w:rPr>
          <w:color w:val="auto"/>
          <w:lang w:eastAsia="en-US"/>
        </w:rPr>
        <w:t xml:space="preserve"> strategies to promote employee engagement whiles implementing flexible working. Use in text Harvard references.</w:t>
      </w:r>
    </w:p>
    <w:p w14:paraId="1D6AA291" w14:textId="77777777" w:rsidR="00C60FC1" w:rsidRPr="00C60FC1" w:rsidRDefault="00C60FC1" w:rsidP="00C60FC1">
      <w:pPr>
        <w:spacing w:line="360" w:lineRule="auto"/>
        <w:rPr>
          <w:rFonts w:ascii="Arial" w:hAnsi="Arial" w:cs="Arial"/>
          <w:b/>
          <w:bCs/>
          <w:sz w:val="22"/>
          <w:szCs w:val="22"/>
        </w:rPr>
      </w:pPr>
    </w:p>
    <w:p w14:paraId="2CF334BD" w14:textId="1313F1F3"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t>Introduction:</w:t>
      </w:r>
      <w:r w:rsidRPr="00C60FC1">
        <w:rPr>
          <w:rFonts w:ascii="Arial" w:hAnsi="Arial" w:cs="Arial"/>
          <w:sz w:val="22"/>
          <w:szCs w:val="22"/>
        </w:rPr>
        <w:t xml:space="preserve"> When implementing flexible working arrangements, it is crucial to consider strategies that promote employee engagement. Engaged employees are more likely to embrace change, exhibit higher levels of productivity, and contribute to the organi</w:t>
      </w:r>
      <w:r w:rsidR="00C60FC1">
        <w:rPr>
          <w:rFonts w:ascii="Arial" w:hAnsi="Arial" w:cs="Arial"/>
          <w:sz w:val="22"/>
          <w:szCs w:val="22"/>
        </w:rPr>
        <w:t>s</w:t>
      </w:r>
      <w:r w:rsidRPr="00C60FC1">
        <w:rPr>
          <w:rFonts w:ascii="Arial" w:hAnsi="Arial" w:cs="Arial"/>
          <w:sz w:val="22"/>
          <w:szCs w:val="22"/>
        </w:rPr>
        <w:t xml:space="preserve">ation's overall success. This article evaluates effective strategies that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adopt to foster employee engagement during the implementation of flexible working.</w:t>
      </w:r>
    </w:p>
    <w:p w14:paraId="093B0351" w14:textId="77777777" w:rsidR="00B20A91" w:rsidRPr="00C60FC1" w:rsidRDefault="00B20A91" w:rsidP="00C60FC1">
      <w:pPr>
        <w:pStyle w:val="ListParagraph"/>
        <w:numPr>
          <w:ilvl w:val="0"/>
          <w:numId w:val="12"/>
        </w:numPr>
        <w:spacing w:line="360" w:lineRule="auto"/>
      </w:pPr>
      <w:r w:rsidRPr="00C60FC1">
        <w:t xml:space="preserve">Clear Communication and Expectations: Transparent and consistent communication is essential to ensure employees understand the objectives, benefits, and expectations of flexible working. The HR department at </w:t>
      </w:r>
      <w:proofErr w:type="spellStart"/>
      <w:r w:rsidRPr="00C60FC1">
        <w:t>GreenCo</w:t>
      </w:r>
      <w:proofErr w:type="spellEnd"/>
      <w:r w:rsidRPr="00C60FC1">
        <w:t xml:space="preserve"> should clearly communicate the rationale behind the implementation, address any concerns, and provide guidance on how employees can effectively adapt to new work arrangements (Albrecht, Bakker, </w:t>
      </w:r>
      <w:proofErr w:type="spellStart"/>
      <w:r w:rsidRPr="00C60FC1">
        <w:t>Gruman</w:t>
      </w:r>
      <w:proofErr w:type="spellEnd"/>
      <w:r w:rsidRPr="00C60FC1">
        <w:t>, Macey, &amp; Saks, 2015). Regular updates, team meetings, and individual discussions can keep employees informed, aligned, and engaged throughout the transition process.</w:t>
      </w:r>
    </w:p>
    <w:p w14:paraId="37FAE6EF" w14:textId="77777777" w:rsidR="00B20A91" w:rsidRPr="00C60FC1" w:rsidRDefault="00B20A91" w:rsidP="00C60FC1">
      <w:pPr>
        <w:pStyle w:val="ListParagraph"/>
        <w:numPr>
          <w:ilvl w:val="0"/>
          <w:numId w:val="12"/>
        </w:numPr>
        <w:spacing w:line="360" w:lineRule="auto"/>
      </w:pPr>
      <w:r w:rsidRPr="00C60FC1">
        <w:t xml:space="preserve">Encourage Autonomy and Empowerment: Flexible working empowers employees to take control of their work and schedule. </w:t>
      </w:r>
      <w:proofErr w:type="spellStart"/>
      <w:r w:rsidRPr="00C60FC1">
        <w:t>GreenCo</w:t>
      </w:r>
      <w:proofErr w:type="spellEnd"/>
      <w:r w:rsidRPr="00C60FC1">
        <w:t xml:space="preserve"> should encourage autonomy by granting employees the freedom to manage their tasks and time effectively. Empowering employees to make decisions and exercise autonomy enhances their sense of ownership and accountability, fostering higher levels of engagement (Deci, </w:t>
      </w:r>
      <w:proofErr w:type="spellStart"/>
      <w:r w:rsidRPr="00C60FC1">
        <w:t>Olafsen</w:t>
      </w:r>
      <w:proofErr w:type="spellEnd"/>
      <w:r w:rsidRPr="00C60FC1">
        <w:t>, &amp; Ryan, 2017). Providing employees with the flexibility to determine their work patterns and allowing them to contribute their ideas and suggestions can create a sense of empowerment and involvement.</w:t>
      </w:r>
    </w:p>
    <w:p w14:paraId="2F7A349E" w14:textId="3501F45B" w:rsidR="00B20A91" w:rsidRPr="00C60FC1" w:rsidRDefault="00B20A91" w:rsidP="00C60FC1">
      <w:pPr>
        <w:pStyle w:val="ListParagraph"/>
        <w:numPr>
          <w:ilvl w:val="0"/>
          <w:numId w:val="12"/>
        </w:numPr>
        <w:spacing w:line="360" w:lineRule="auto"/>
      </w:pPr>
      <w:r w:rsidRPr="00C60FC1">
        <w:t xml:space="preserve">Foster Virtual Collaboration and Connection: Flexible working may create physical distance among employees. To counteract this, </w:t>
      </w:r>
      <w:proofErr w:type="spellStart"/>
      <w:r w:rsidRPr="00C60FC1">
        <w:t>GreenCo</w:t>
      </w:r>
      <w:proofErr w:type="spellEnd"/>
      <w:r w:rsidRPr="00C60FC1">
        <w:t xml:space="preserve"> should foster virtual collaboration and connection through various means. Utili</w:t>
      </w:r>
      <w:r w:rsidR="00C60FC1">
        <w:t>s</w:t>
      </w:r>
      <w:r w:rsidRPr="00C60FC1">
        <w:t xml:space="preserve">ing video conferencing </w:t>
      </w:r>
      <w:r w:rsidRPr="00C60FC1">
        <w:lastRenderedPageBreak/>
        <w:t>platforms, instant messaging tools, and project management software can facilitate seamless communication and enable virtual teamwork (</w:t>
      </w:r>
      <w:proofErr w:type="spellStart"/>
      <w:r w:rsidRPr="00C60FC1">
        <w:t>Purvanova</w:t>
      </w:r>
      <w:proofErr w:type="spellEnd"/>
      <w:r w:rsidRPr="00C60FC1">
        <w:t xml:space="preserve"> &amp; Bono, 2009). Implementing virtual team-building activities, online forums, or social networking platforms can also help employees feel connected, build relationships, and maintain a sense of belonging within the organi</w:t>
      </w:r>
      <w:r w:rsidR="00C60FC1">
        <w:t>s</w:t>
      </w:r>
      <w:r w:rsidRPr="00C60FC1">
        <w:t>ation.</w:t>
      </w:r>
    </w:p>
    <w:p w14:paraId="7E416A69" w14:textId="54A71EC2" w:rsidR="00B20A91" w:rsidRPr="00C60FC1" w:rsidRDefault="00B20A91" w:rsidP="00C60FC1">
      <w:pPr>
        <w:pStyle w:val="ListParagraph"/>
        <w:numPr>
          <w:ilvl w:val="0"/>
          <w:numId w:val="12"/>
        </w:numPr>
        <w:spacing w:line="360" w:lineRule="auto"/>
      </w:pPr>
      <w:r w:rsidRPr="00C60FC1">
        <w:t>Recognition and Rewards: Recogni</w:t>
      </w:r>
      <w:r w:rsidR="00C60FC1">
        <w:t>s</w:t>
      </w:r>
      <w:r w:rsidRPr="00C60FC1">
        <w:t xml:space="preserve">ing and rewarding employees' efforts and achievements is crucial in maintaining employee engagement during the implementation of flexible working. </w:t>
      </w:r>
      <w:proofErr w:type="spellStart"/>
      <w:r w:rsidRPr="00C60FC1">
        <w:t>GreenCo</w:t>
      </w:r>
      <w:proofErr w:type="spellEnd"/>
      <w:r w:rsidRPr="00C60FC1">
        <w:t xml:space="preserve"> should establish recognition programs that acknowledge and appreciate employees' contributions and outcomes. Regularly acknowledging employees' accomplishments, milestones, and exceptional performance, whether through verbal appreciation or tangible rewards, reinforces their engagement, motivation, and commitment to the organi</w:t>
      </w:r>
      <w:r w:rsidR="00C60FC1">
        <w:t>s</w:t>
      </w:r>
      <w:r w:rsidRPr="00C60FC1">
        <w:t>ation (Harter, Schmidt, &amp; Hayes, 2002). This recognition can be delivered virtually through company-wide announcements, personali</w:t>
      </w:r>
      <w:r w:rsidR="00C60FC1">
        <w:t>s</w:t>
      </w:r>
      <w:r w:rsidRPr="00C60FC1">
        <w:t>ed emails, or virtual award ceremonies.</w:t>
      </w:r>
    </w:p>
    <w:p w14:paraId="2E9C3642" w14:textId="77777777" w:rsidR="00B20A91" w:rsidRPr="00C60FC1" w:rsidRDefault="00B20A91" w:rsidP="00C60FC1">
      <w:pPr>
        <w:pStyle w:val="ListParagraph"/>
        <w:numPr>
          <w:ilvl w:val="0"/>
          <w:numId w:val="12"/>
        </w:numPr>
        <w:spacing w:line="360" w:lineRule="auto"/>
      </w:pPr>
      <w:r w:rsidRPr="00C60FC1">
        <w:t xml:space="preserve">Professional Development and Support: Investing in professional development opportunities and providing support to employees is vital for their engagement during the implementation of flexible working. </w:t>
      </w:r>
      <w:proofErr w:type="spellStart"/>
      <w:r w:rsidRPr="00C60FC1">
        <w:t>GreenCo</w:t>
      </w:r>
      <w:proofErr w:type="spellEnd"/>
      <w:r w:rsidRPr="00C60FC1">
        <w:t xml:space="preserve"> should offer training programs, online learning platforms, and mentorship opportunities to help employees develop the skills necessary to succeed in their flexible work arrangements (Allen, Golden, &amp; Shockley, 2015). Regular check-ins, coaching sessions, and access to resources can also provide the necessary support and guidance, ensuring employees feel valued, supported, and motivated to excel.</w:t>
      </w:r>
    </w:p>
    <w:p w14:paraId="01380D52" w14:textId="77777777" w:rsidR="00C60FC1" w:rsidRPr="00C60FC1" w:rsidRDefault="00C60FC1" w:rsidP="00C60FC1">
      <w:pPr>
        <w:spacing w:line="360" w:lineRule="auto"/>
        <w:rPr>
          <w:rFonts w:ascii="Arial" w:hAnsi="Arial" w:cs="Arial"/>
          <w:b/>
          <w:bCs/>
          <w:sz w:val="22"/>
          <w:szCs w:val="22"/>
        </w:rPr>
      </w:pPr>
    </w:p>
    <w:p w14:paraId="39DA3C0C" w14:textId="70C5F069" w:rsidR="00B20A91" w:rsidRPr="00C60FC1" w:rsidRDefault="00B20A91" w:rsidP="00C60FC1">
      <w:pPr>
        <w:spacing w:line="360" w:lineRule="auto"/>
        <w:rPr>
          <w:rFonts w:ascii="Arial" w:hAnsi="Arial" w:cs="Arial"/>
          <w:sz w:val="22"/>
          <w:szCs w:val="22"/>
        </w:rPr>
      </w:pPr>
      <w:r w:rsidRPr="00C60FC1">
        <w:rPr>
          <w:rFonts w:ascii="Arial" w:hAnsi="Arial" w:cs="Arial"/>
          <w:b/>
          <w:bCs/>
          <w:sz w:val="22"/>
          <w:szCs w:val="22"/>
        </w:rPr>
        <w:t>Conclusion:</w:t>
      </w:r>
      <w:r w:rsidRPr="00C60FC1">
        <w:rPr>
          <w:rFonts w:ascii="Arial" w:hAnsi="Arial" w:cs="Arial"/>
          <w:sz w:val="22"/>
          <w:szCs w:val="22"/>
        </w:rPr>
        <w:t xml:space="preserve"> Promoting employee engagement during the implementation of flexible working is crucial for </w:t>
      </w:r>
      <w:proofErr w:type="spellStart"/>
      <w:r w:rsidRPr="00C60FC1">
        <w:rPr>
          <w:rFonts w:ascii="Arial" w:hAnsi="Arial" w:cs="Arial"/>
          <w:sz w:val="22"/>
          <w:szCs w:val="22"/>
        </w:rPr>
        <w:t>GreenCo's</w:t>
      </w:r>
      <w:proofErr w:type="spellEnd"/>
      <w:r w:rsidRPr="00C60FC1">
        <w:rPr>
          <w:rFonts w:ascii="Arial" w:hAnsi="Arial" w:cs="Arial"/>
          <w:sz w:val="22"/>
          <w:szCs w:val="22"/>
        </w:rPr>
        <w:t xml:space="preserve"> success. By adopting strategies such as clear communication, encouraging autonomy, fostering virtual collaboration, providing recognition and rewards, and investing in professional development and support, </w:t>
      </w:r>
      <w:proofErr w:type="spellStart"/>
      <w:r w:rsidRPr="00C60FC1">
        <w:rPr>
          <w:rFonts w:ascii="Arial" w:hAnsi="Arial" w:cs="Arial"/>
          <w:sz w:val="22"/>
          <w:szCs w:val="22"/>
        </w:rPr>
        <w:t>GreenCo</w:t>
      </w:r>
      <w:proofErr w:type="spellEnd"/>
      <w:r w:rsidRPr="00C60FC1">
        <w:rPr>
          <w:rFonts w:ascii="Arial" w:hAnsi="Arial" w:cs="Arial"/>
          <w:sz w:val="22"/>
          <w:szCs w:val="22"/>
        </w:rPr>
        <w:t xml:space="preserve"> can create a positive and engaging work environment. These strategies will help employees feel connected, empowered, and valued, leading to higher levels of productivity, job satisfaction, and overall organi</w:t>
      </w:r>
      <w:r w:rsidR="00C60FC1">
        <w:rPr>
          <w:rFonts w:ascii="Arial" w:hAnsi="Arial" w:cs="Arial"/>
          <w:sz w:val="22"/>
          <w:szCs w:val="22"/>
        </w:rPr>
        <w:t>s</w:t>
      </w:r>
      <w:r w:rsidRPr="00C60FC1">
        <w:rPr>
          <w:rFonts w:ascii="Arial" w:hAnsi="Arial" w:cs="Arial"/>
          <w:sz w:val="22"/>
          <w:szCs w:val="22"/>
        </w:rPr>
        <w:t>ational success.</w:t>
      </w:r>
    </w:p>
    <w:p w14:paraId="6EA34095" w14:textId="77777777" w:rsidR="00B20A91" w:rsidRPr="00C60FC1" w:rsidRDefault="00B20A91" w:rsidP="00C60FC1">
      <w:pPr>
        <w:spacing w:line="360" w:lineRule="auto"/>
        <w:rPr>
          <w:rFonts w:ascii="Arial" w:hAnsi="Arial" w:cs="Arial"/>
          <w:sz w:val="22"/>
          <w:szCs w:val="22"/>
        </w:rPr>
      </w:pPr>
    </w:p>
    <w:p w14:paraId="3300989E" w14:textId="77777777" w:rsidR="00C60FC1" w:rsidRPr="00C60FC1" w:rsidRDefault="00C60FC1" w:rsidP="00C60FC1">
      <w:pPr>
        <w:spacing w:line="360" w:lineRule="auto"/>
        <w:rPr>
          <w:rFonts w:ascii="Arial" w:hAnsi="Arial" w:cs="Arial"/>
          <w:sz w:val="22"/>
          <w:szCs w:val="22"/>
        </w:rPr>
      </w:pPr>
    </w:p>
    <w:p w14:paraId="462B834F" w14:textId="77777777" w:rsidR="00C60FC1" w:rsidRPr="00C60FC1" w:rsidRDefault="00C60FC1" w:rsidP="00C60FC1">
      <w:pPr>
        <w:spacing w:line="360" w:lineRule="auto"/>
        <w:rPr>
          <w:rFonts w:ascii="Arial" w:hAnsi="Arial" w:cs="Arial"/>
          <w:sz w:val="22"/>
          <w:szCs w:val="22"/>
        </w:rPr>
      </w:pPr>
    </w:p>
    <w:p w14:paraId="10513F5F" w14:textId="77777777" w:rsidR="00C60FC1" w:rsidRPr="00C60FC1" w:rsidRDefault="00C60FC1" w:rsidP="00C60FC1">
      <w:pPr>
        <w:spacing w:line="360" w:lineRule="auto"/>
        <w:rPr>
          <w:rFonts w:ascii="Arial" w:hAnsi="Arial" w:cs="Arial"/>
          <w:sz w:val="22"/>
          <w:szCs w:val="22"/>
        </w:rPr>
      </w:pPr>
    </w:p>
    <w:p w14:paraId="4027A10E" w14:textId="77777777" w:rsidR="00C60FC1" w:rsidRPr="00C60FC1" w:rsidRDefault="00C60FC1" w:rsidP="00C60FC1">
      <w:pPr>
        <w:spacing w:line="360" w:lineRule="auto"/>
        <w:rPr>
          <w:rFonts w:ascii="Arial" w:hAnsi="Arial" w:cs="Arial"/>
          <w:sz w:val="22"/>
          <w:szCs w:val="22"/>
        </w:rPr>
      </w:pPr>
    </w:p>
    <w:p w14:paraId="68D4F9A3" w14:textId="77777777" w:rsidR="00C60FC1" w:rsidRPr="00C60FC1" w:rsidRDefault="00C60FC1" w:rsidP="00C60FC1">
      <w:pPr>
        <w:spacing w:line="360" w:lineRule="auto"/>
        <w:rPr>
          <w:rFonts w:ascii="Arial" w:hAnsi="Arial" w:cs="Arial"/>
          <w:sz w:val="22"/>
          <w:szCs w:val="22"/>
        </w:rPr>
      </w:pPr>
    </w:p>
    <w:p w14:paraId="549A3AF4" w14:textId="77777777" w:rsidR="00C60FC1" w:rsidRPr="00C60FC1" w:rsidRDefault="00C60FC1" w:rsidP="00C60FC1">
      <w:pPr>
        <w:spacing w:line="360" w:lineRule="auto"/>
        <w:rPr>
          <w:rFonts w:ascii="Arial" w:hAnsi="Arial" w:cs="Arial"/>
          <w:sz w:val="22"/>
          <w:szCs w:val="22"/>
        </w:rPr>
      </w:pPr>
    </w:p>
    <w:p w14:paraId="1F2E6093" w14:textId="4D79CC2A" w:rsidR="00B20A91" w:rsidRPr="00C60FC1" w:rsidRDefault="00B20A91" w:rsidP="00C60FC1">
      <w:pPr>
        <w:spacing w:line="360" w:lineRule="auto"/>
        <w:rPr>
          <w:rFonts w:ascii="Arial" w:hAnsi="Arial" w:cs="Arial"/>
          <w:b/>
          <w:bCs/>
          <w:sz w:val="22"/>
          <w:szCs w:val="22"/>
        </w:rPr>
      </w:pPr>
      <w:r w:rsidRPr="00C60FC1">
        <w:rPr>
          <w:rFonts w:ascii="Arial" w:hAnsi="Arial" w:cs="Arial"/>
          <w:b/>
          <w:bCs/>
          <w:sz w:val="22"/>
          <w:szCs w:val="22"/>
        </w:rPr>
        <w:lastRenderedPageBreak/>
        <w:t>References:</w:t>
      </w:r>
    </w:p>
    <w:p w14:paraId="611A3377" w14:textId="77777777" w:rsidR="00C60FC1" w:rsidRPr="00C60FC1" w:rsidRDefault="00C60FC1" w:rsidP="00C60FC1">
      <w:pPr>
        <w:spacing w:line="360" w:lineRule="auto"/>
        <w:rPr>
          <w:rFonts w:ascii="Arial" w:hAnsi="Arial" w:cs="Arial"/>
          <w:sz w:val="22"/>
          <w:szCs w:val="22"/>
        </w:rPr>
      </w:pPr>
    </w:p>
    <w:p w14:paraId="513BB6D3" w14:textId="3BD4785C"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Allen, T. D., Golden, T. D., &amp; Shockley, K. M. (2015). How effective is telecommuting? Assessing the status of our scientific findings. Psychological Science in the Public Interest, 16(2), 40-68.</w:t>
      </w:r>
    </w:p>
    <w:p w14:paraId="2A8F86DA" w14:textId="77777777" w:rsidR="00C60FC1" w:rsidRPr="00C60FC1" w:rsidRDefault="00C60FC1" w:rsidP="00C60FC1">
      <w:pPr>
        <w:spacing w:line="360" w:lineRule="auto"/>
        <w:rPr>
          <w:rFonts w:ascii="Arial" w:hAnsi="Arial" w:cs="Arial"/>
          <w:sz w:val="22"/>
          <w:szCs w:val="22"/>
        </w:rPr>
      </w:pPr>
    </w:p>
    <w:p w14:paraId="7AE1AB2B" w14:textId="45355876"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 xml:space="preserve">Albrecht, S. L., Bakker, A. B., </w:t>
      </w:r>
      <w:proofErr w:type="spellStart"/>
      <w:r w:rsidRPr="00C60FC1">
        <w:rPr>
          <w:rFonts w:ascii="Arial" w:hAnsi="Arial" w:cs="Arial"/>
          <w:sz w:val="22"/>
          <w:szCs w:val="22"/>
        </w:rPr>
        <w:t>Gruman</w:t>
      </w:r>
      <w:proofErr w:type="spellEnd"/>
      <w:r w:rsidRPr="00C60FC1">
        <w:rPr>
          <w:rFonts w:ascii="Arial" w:hAnsi="Arial" w:cs="Arial"/>
          <w:sz w:val="22"/>
          <w:szCs w:val="22"/>
        </w:rPr>
        <w:t>, J. A., Macey, W. H., &amp; Saks, A. M. (2015). Employee engagement, human resource management practices and competitive advantage: An integrated approach. Journal of Organizational Effectiveness: People and Performance, 2(1), 7-35.</w:t>
      </w:r>
    </w:p>
    <w:p w14:paraId="151F2706" w14:textId="77777777" w:rsidR="00C60FC1" w:rsidRPr="00C60FC1" w:rsidRDefault="00C60FC1" w:rsidP="00C60FC1">
      <w:pPr>
        <w:spacing w:line="360" w:lineRule="auto"/>
        <w:rPr>
          <w:rFonts w:ascii="Arial" w:hAnsi="Arial" w:cs="Arial"/>
          <w:sz w:val="22"/>
          <w:szCs w:val="22"/>
        </w:rPr>
      </w:pPr>
    </w:p>
    <w:p w14:paraId="3E708DC0" w14:textId="5F3526D2"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 xml:space="preserve">Deci, E. L., </w:t>
      </w:r>
      <w:proofErr w:type="spellStart"/>
      <w:r w:rsidRPr="00C60FC1">
        <w:rPr>
          <w:rFonts w:ascii="Arial" w:hAnsi="Arial" w:cs="Arial"/>
          <w:sz w:val="22"/>
          <w:szCs w:val="22"/>
        </w:rPr>
        <w:t>Olafsen</w:t>
      </w:r>
      <w:proofErr w:type="spellEnd"/>
      <w:r w:rsidRPr="00C60FC1">
        <w:rPr>
          <w:rFonts w:ascii="Arial" w:hAnsi="Arial" w:cs="Arial"/>
          <w:sz w:val="22"/>
          <w:szCs w:val="22"/>
        </w:rPr>
        <w:t xml:space="preserve">, A. H., &amp; Ryan, R. M. (2017). Self-determination theory in work organizations: The state of a science. Annual Review of Organizational Psychology and Organizational </w:t>
      </w:r>
      <w:proofErr w:type="spellStart"/>
      <w:r w:rsidRPr="00C60FC1">
        <w:rPr>
          <w:rFonts w:ascii="Arial" w:hAnsi="Arial" w:cs="Arial"/>
          <w:sz w:val="22"/>
          <w:szCs w:val="22"/>
        </w:rPr>
        <w:t>Behavior</w:t>
      </w:r>
      <w:proofErr w:type="spellEnd"/>
      <w:r w:rsidRPr="00C60FC1">
        <w:rPr>
          <w:rFonts w:ascii="Arial" w:hAnsi="Arial" w:cs="Arial"/>
          <w:sz w:val="22"/>
          <w:szCs w:val="22"/>
        </w:rPr>
        <w:t>, 4, 19-43.</w:t>
      </w:r>
    </w:p>
    <w:p w14:paraId="24EA31BA" w14:textId="77777777" w:rsidR="00C60FC1" w:rsidRPr="00C60FC1" w:rsidRDefault="00C60FC1" w:rsidP="00C60FC1">
      <w:pPr>
        <w:spacing w:line="360" w:lineRule="auto"/>
        <w:rPr>
          <w:rFonts w:ascii="Arial" w:hAnsi="Arial" w:cs="Arial"/>
          <w:sz w:val="22"/>
          <w:szCs w:val="22"/>
        </w:rPr>
      </w:pPr>
    </w:p>
    <w:p w14:paraId="7EFAE5C6" w14:textId="6728D7C3"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Harter, J. K., Schmidt, F. L., &amp; Hayes, T. L. (2002). Business-unit-level relationship between employee satisfaction, employee engagement, and business outcomes: A meta-analysis. Journal of Applied Psychology, 87(2), 268-279.</w:t>
      </w:r>
    </w:p>
    <w:p w14:paraId="73183696" w14:textId="77777777" w:rsidR="00C60FC1" w:rsidRPr="00C60FC1" w:rsidRDefault="00C60FC1" w:rsidP="00C60FC1">
      <w:pPr>
        <w:spacing w:line="360" w:lineRule="auto"/>
        <w:rPr>
          <w:rFonts w:ascii="Arial" w:hAnsi="Arial" w:cs="Arial"/>
          <w:sz w:val="22"/>
          <w:szCs w:val="22"/>
        </w:rPr>
      </w:pPr>
    </w:p>
    <w:p w14:paraId="7A4DD3C3" w14:textId="478276E6"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Khan, M. R., Ahmad, S., &amp; Memon, Z. A. (2019). Performance appraisal and merit pay: A comparative study of public and private organizations in Pakistan. Compensation &amp; Benefits Review, 51(2), 81-97.</w:t>
      </w:r>
    </w:p>
    <w:p w14:paraId="3E9209D4" w14:textId="77777777" w:rsidR="00C60FC1" w:rsidRPr="00C60FC1" w:rsidRDefault="00C60FC1" w:rsidP="00C60FC1">
      <w:pPr>
        <w:spacing w:line="360" w:lineRule="auto"/>
        <w:rPr>
          <w:rFonts w:ascii="Arial" w:hAnsi="Arial" w:cs="Arial"/>
          <w:sz w:val="22"/>
          <w:szCs w:val="22"/>
        </w:rPr>
      </w:pPr>
    </w:p>
    <w:p w14:paraId="16C1E358" w14:textId="02F2FAF4"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 xml:space="preserve">LaVan, H., Sherman, D. M., &amp; Kim, S. (2020). Differential pay for flexible work arrangements. </w:t>
      </w:r>
      <w:proofErr w:type="spellStart"/>
      <w:r w:rsidRPr="00C60FC1">
        <w:rPr>
          <w:rFonts w:ascii="Arial" w:hAnsi="Arial" w:cs="Arial"/>
          <w:sz w:val="22"/>
          <w:szCs w:val="22"/>
        </w:rPr>
        <w:t>WorldatWork</w:t>
      </w:r>
      <w:proofErr w:type="spellEnd"/>
      <w:r w:rsidRPr="00C60FC1">
        <w:rPr>
          <w:rFonts w:ascii="Arial" w:hAnsi="Arial" w:cs="Arial"/>
          <w:sz w:val="22"/>
          <w:szCs w:val="22"/>
        </w:rPr>
        <w:t xml:space="preserve"> Journal, 29(4), 50-60.</w:t>
      </w:r>
    </w:p>
    <w:p w14:paraId="4222515D" w14:textId="77777777" w:rsidR="00C60FC1" w:rsidRPr="00C60FC1" w:rsidRDefault="00C60FC1" w:rsidP="00C60FC1">
      <w:pPr>
        <w:spacing w:line="360" w:lineRule="auto"/>
        <w:rPr>
          <w:rFonts w:ascii="Arial" w:hAnsi="Arial" w:cs="Arial"/>
          <w:sz w:val="22"/>
          <w:szCs w:val="22"/>
        </w:rPr>
      </w:pPr>
    </w:p>
    <w:p w14:paraId="273B520E" w14:textId="038FE3C9" w:rsidR="00B20A91" w:rsidRPr="00C60FC1" w:rsidRDefault="00B20A91" w:rsidP="00C60FC1">
      <w:pPr>
        <w:spacing w:line="360" w:lineRule="auto"/>
        <w:rPr>
          <w:rFonts w:ascii="Arial" w:hAnsi="Arial" w:cs="Arial"/>
          <w:sz w:val="22"/>
          <w:szCs w:val="22"/>
        </w:rPr>
      </w:pPr>
      <w:r w:rsidRPr="00C60FC1">
        <w:rPr>
          <w:rFonts w:ascii="Arial" w:hAnsi="Arial" w:cs="Arial"/>
          <w:sz w:val="22"/>
          <w:szCs w:val="22"/>
        </w:rPr>
        <w:t>Milkovich, G. T., &amp; Newman, J. M. (2021). Compensation. McGraw-Hill.</w:t>
      </w:r>
    </w:p>
    <w:p w14:paraId="1EA5731C" w14:textId="77777777" w:rsidR="00C60FC1" w:rsidRPr="00C60FC1" w:rsidRDefault="00C60FC1" w:rsidP="00C60FC1">
      <w:pPr>
        <w:spacing w:line="360" w:lineRule="auto"/>
        <w:rPr>
          <w:rFonts w:ascii="Arial" w:hAnsi="Arial" w:cs="Arial"/>
          <w:sz w:val="22"/>
          <w:szCs w:val="22"/>
        </w:rPr>
      </w:pPr>
    </w:p>
    <w:p w14:paraId="29C7A792" w14:textId="3998313B" w:rsidR="00B20A91" w:rsidRPr="00C60FC1" w:rsidRDefault="00B20A91" w:rsidP="00C60FC1">
      <w:pPr>
        <w:spacing w:line="360" w:lineRule="auto"/>
        <w:rPr>
          <w:rFonts w:ascii="Arial" w:hAnsi="Arial" w:cs="Arial"/>
          <w:sz w:val="22"/>
          <w:szCs w:val="22"/>
        </w:rPr>
      </w:pPr>
      <w:proofErr w:type="spellStart"/>
      <w:r w:rsidRPr="00C60FC1">
        <w:rPr>
          <w:rFonts w:ascii="Arial" w:hAnsi="Arial" w:cs="Arial"/>
          <w:sz w:val="22"/>
          <w:szCs w:val="22"/>
        </w:rPr>
        <w:t>Purvanova</w:t>
      </w:r>
      <w:proofErr w:type="spellEnd"/>
      <w:r w:rsidRPr="00C60FC1">
        <w:rPr>
          <w:rFonts w:ascii="Arial" w:hAnsi="Arial" w:cs="Arial"/>
          <w:sz w:val="22"/>
          <w:szCs w:val="22"/>
        </w:rPr>
        <w:t>, R. K., &amp; Bono, J. E. (2009). Transformational leadership in context: Face-to-face and virtual teams. Journal of Leadership &amp; Organizational Studies, 15(4), 342-355.</w:t>
      </w:r>
    </w:p>
    <w:p w14:paraId="793CBE1F" w14:textId="77777777" w:rsidR="00C60FC1" w:rsidRPr="00C60FC1" w:rsidRDefault="00C60FC1" w:rsidP="00C60FC1">
      <w:pPr>
        <w:spacing w:line="360" w:lineRule="auto"/>
        <w:rPr>
          <w:rFonts w:ascii="Arial" w:hAnsi="Arial" w:cs="Arial"/>
          <w:sz w:val="22"/>
          <w:szCs w:val="22"/>
        </w:rPr>
      </w:pPr>
    </w:p>
    <w:p w14:paraId="6B7466A0" w14:textId="4C3DC85F" w:rsidR="00B20A91" w:rsidRPr="00C60FC1" w:rsidRDefault="00B20A91" w:rsidP="00C60FC1">
      <w:pPr>
        <w:spacing w:line="360" w:lineRule="auto"/>
        <w:rPr>
          <w:rFonts w:ascii="Arial" w:hAnsi="Arial" w:cs="Arial"/>
          <w:sz w:val="22"/>
          <w:szCs w:val="22"/>
        </w:rPr>
      </w:pPr>
      <w:proofErr w:type="spellStart"/>
      <w:r w:rsidRPr="00C60FC1">
        <w:rPr>
          <w:rFonts w:ascii="Arial" w:hAnsi="Arial" w:cs="Arial"/>
          <w:sz w:val="22"/>
          <w:szCs w:val="22"/>
        </w:rPr>
        <w:t>WorldatWork</w:t>
      </w:r>
      <w:proofErr w:type="spellEnd"/>
      <w:r w:rsidRPr="00C60FC1">
        <w:rPr>
          <w:rFonts w:ascii="Arial" w:hAnsi="Arial" w:cs="Arial"/>
          <w:sz w:val="22"/>
          <w:szCs w:val="22"/>
        </w:rPr>
        <w:t xml:space="preserve">. (2019). Communication Compensation: Compensation Communication Best Practices Survey Report. Retrieved from </w:t>
      </w:r>
      <w:hyperlink r:id="rId5" w:tgtFrame="_new" w:history="1">
        <w:r w:rsidRPr="00C60FC1">
          <w:rPr>
            <w:rStyle w:val="Hyperlink"/>
            <w:rFonts w:ascii="Arial" w:hAnsi="Arial" w:cs="Arial"/>
            <w:sz w:val="22"/>
            <w:szCs w:val="22"/>
          </w:rPr>
          <w:t>https://www.worldatwork.org/docs/default-source/research-library/compensation-communication-best-practices-survey-report---worldatwork.pdf</w:t>
        </w:r>
      </w:hyperlink>
    </w:p>
    <w:p w14:paraId="0479231A" w14:textId="77777777" w:rsidR="00B20A91" w:rsidRPr="00C60FC1" w:rsidRDefault="00B20A91" w:rsidP="00C60FC1">
      <w:pPr>
        <w:spacing w:line="360" w:lineRule="auto"/>
        <w:rPr>
          <w:rFonts w:ascii="Arial" w:hAnsi="Arial" w:cs="Arial"/>
          <w:sz w:val="22"/>
          <w:szCs w:val="22"/>
        </w:rPr>
      </w:pPr>
    </w:p>
    <w:p w14:paraId="4F1E502A" w14:textId="77777777" w:rsidR="00B20A91" w:rsidRPr="00C60FC1" w:rsidRDefault="00B20A91"/>
    <w:sectPr w:rsidR="00B20A91" w:rsidRPr="00C60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5AB"/>
    <w:multiLevelType w:val="multilevel"/>
    <w:tmpl w:val="63C0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86E52"/>
    <w:multiLevelType w:val="hybridMultilevel"/>
    <w:tmpl w:val="2C702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EC6B78"/>
    <w:multiLevelType w:val="hybridMultilevel"/>
    <w:tmpl w:val="0F88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408E3"/>
    <w:multiLevelType w:val="multilevel"/>
    <w:tmpl w:val="2EE6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6055A2"/>
    <w:multiLevelType w:val="multilevel"/>
    <w:tmpl w:val="DFCC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922D0"/>
    <w:multiLevelType w:val="hybridMultilevel"/>
    <w:tmpl w:val="082CC5E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8D14B5"/>
    <w:multiLevelType w:val="multilevel"/>
    <w:tmpl w:val="3758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50754"/>
    <w:multiLevelType w:val="multilevel"/>
    <w:tmpl w:val="C23A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056CDC"/>
    <w:multiLevelType w:val="hybridMultilevel"/>
    <w:tmpl w:val="16C86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DA7B1A"/>
    <w:multiLevelType w:val="hybridMultilevel"/>
    <w:tmpl w:val="BA947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62764D"/>
    <w:multiLevelType w:val="multilevel"/>
    <w:tmpl w:val="8E48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01860"/>
    <w:multiLevelType w:val="multilevel"/>
    <w:tmpl w:val="7E46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13" w15:restartNumberingAfterBreak="0">
    <w:nsid w:val="780D6B7C"/>
    <w:multiLevelType w:val="multilevel"/>
    <w:tmpl w:val="6CB83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563009">
    <w:abstractNumId w:val="12"/>
  </w:num>
  <w:num w:numId="2" w16cid:durableId="1075397274">
    <w:abstractNumId w:val="10"/>
  </w:num>
  <w:num w:numId="3" w16cid:durableId="1600674140">
    <w:abstractNumId w:val="7"/>
  </w:num>
  <w:num w:numId="4" w16cid:durableId="1259170628">
    <w:abstractNumId w:val="6"/>
  </w:num>
  <w:num w:numId="5" w16cid:durableId="1419788016">
    <w:abstractNumId w:val="0"/>
  </w:num>
  <w:num w:numId="6" w16cid:durableId="1864787661">
    <w:abstractNumId w:val="13"/>
  </w:num>
  <w:num w:numId="7" w16cid:durableId="517816073">
    <w:abstractNumId w:val="11"/>
  </w:num>
  <w:num w:numId="8" w16cid:durableId="1735273379">
    <w:abstractNumId w:val="3"/>
  </w:num>
  <w:num w:numId="9" w16cid:durableId="1246500990">
    <w:abstractNumId w:val="4"/>
  </w:num>
  <w:num w:numId="10" w16cid:durableId="348988262">
    <w:abstractNumId w:val="9"/>
  </w:num>
  <w:num w:numId="11" w16cid:durableId="1141265436">
    <w:abstractNumId w:val="5"/>
  </w:num>
  <w:num w:numId="12" w16cid:durableId="1156998274">
    <w:abstractNumId w:val="2"/>
  </w:num>
  <w:num w:numId="13" w16cid:durableId="789402617">
    <w:abstractNumId w:val="8"/>
  </w:num>
  <w:num w:numId="14" w16cid:durableId="1844129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91"/>
    <w:rsid w:val="002B77EE"/>
    <w:rsid w:val="00936ED1"/>
    <w:rsid w:val="00B20A91"/>
    <w:rsid w:val="00BE0DE3"/>
    <w:rsid w:val="00C60FC1"/>
    <w:rsid w:val="00FC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0D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A91"/>
    <w:pPr>
      <w:spacing w:after="1" w:line="239" w:lineRule="auto"/>
      <w:ind w:left="720" w:right="209" w:hanging="10"/>
      <w:contextualSpacing/>
      <w:jc w:val="both"/>
    </w:pPr>
    <w:rPr>
      <w:rFonts w:ascii="Arial" w:eastAsia="Arial" w:hAnsi="Arial" w:cs="Arial"/>
      <w:color w:val="000000"/>
      <w:kern w:val="0"/>
      <w:sz w:val="22"/>
      <w:szCs w:val="22"/>
      <w:lang w:eastAsia="en-GB"/>
      <w14:ligatures w14:val="none"/>
    </w:rPr>
  </w:style>
  <w:style w:type="paragraph" w:styleId="NormalWeb">
    <w:name w:val="Normal (Web)"/>
    <w:basedOn w:val="Normal"/>
    <w:uiPriority w:val="99"/>
    <w:semiHidden/>
    <w:unhideWhenUsed/>
    <w:rsid w:val="00B20A9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20A91"/>
    <w:rPr>
      <w:color w:val="0000FF"/>
      <w:u w:val="single"/>
    </w:rPr>
  </w:style>
  <w:style w:type="paragraph" w:styleId="z-TopofForm">
    <w:name w:val="HTML Top of Form"/>
    <w:basedOn w:val="Normal"/>
    <w:next w:val="Normal"/>
    <w:link w:val="z-TopofFormChar"/>
    <w:hidden/>
    <w:uiPriority w:val="99"/>
    <w:semiHidden/>
    <w:unhideWhenUsed/>
    <w:rsid w:val="00B20A91"/>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20A91"/>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B20A91"/>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B20A91"/>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773281">
      <w:bodyDiv w:val="1"/>
      <w:marLeft w:val="0"/>
      <w:marRight w:val="0"/>
      <w:marTop w:val="0"/>
      <w:marBottom w:val="0"/>
      <w:divBdr>
        <w:top w:val="none" w:sz="0" w:space="0" w:color="auto"/>
        <w:left w:val="none" w:sz="0" w:space="0" w:color="auto"/>
        <w:bottom w:val="none" w:sz="0" w:space="0" w:color="auto"/>
        <w:right w:val="none" w:sz="0" w:space="0" w:color="auto"/>
      </w:divBdr>
      <w:divsChild>
        <w:div w:id="1165899585">
          <w:marLeft w:val="0"/>
          <w:marRight w:val="0"/>
          <w:marTop w:val="0"/>
          <w:marBottom w:val="0"/>
          <w:divBdr>
            <w:top w:val="single" w:sz="2" w:space="0" w:color="D9D9E3"/>
            <w:left w:val="single" w:sz="2" w:space="0" w:color="D9D9E3"/>
            <w:bottom w:val="single" w:sz="2" w:space="0" w:color="D9D9E3"/>
            <w:right w:val="single" w:sz="2" w:space="0" w:color="D9D9E3"/>
          </w:divBdr>
          <w:divsChild>
            <w:div w:id="1013722354">
              <w:marLeft w:val="0"/>
              <w:marRight w:val="0"/>
              <w:marTop w:val="0"/>
              <w:marBottom w:val="0"/>
              <w:divBdr>
                <w:top w:val="single" w:sz="2" w:space="0" w:color="D9D9E3"/>
                <w:left w:val="single" w:sz="2" w:space="0" w:color="D9D9E3"/>
                <w:bottom w:val="single" w:sz="2" w:space="0" w:color="D9D9E3"/>
                <w:right w:val="single" w:sz="2" w:space="0" w:color="D9D9E3"/>
              </w:divBdr>
              <w:divsChild>
                <w:div w:id="912927982">
                  <w:marLeft w:val="0"/>
                  <w:marRight w:val="0"/>
                  <w:marTop w:val="0"/>
                  <w:marBottom w:val="0"/>
                  <w:divBdr>
                    <w:top w:val="single" w:sz="2" w:space="0" w:color="D9D9E3"/>
                    <w:left w:val="single" w:sz="2" w:space="0" w:color="D9D9E3"/>
                    <w:bottom w:val="single" w:sz="2" w:space="0" w:color="D9D9E3"/>
                    <w:right w:val="single" w:sz="2" w:space="0" w:color="D9D9E3"/>
                  </w:divBdr>
                  <w:divsChild>
                    <w:div w:id="244389327">
                      <w:marLeft w:val="0"/>
                      <w:marRight w:val="0"/>
                      <w:marTop w:val="0"/>
                      <w:marBottom w:val="0"/>
                      <w:divBdr>
                        <w:top w:val="single" w:sz="2" w:space="0" w:color="D9D9E3"/>
                        <w:left w:val="single" w:sz="2" w:space="0" w:color="D9D9E3"/>
                        <w:bottom w:val="single" w:sz="2" w:space="0" w:color="D9D9E3"/>
                        <w:right w:val="single" w:sz="2" w:space="0" w:color="D9D9E3"/>
                      </w:divBdr>
                      <w:divsChild>
                        <w:div w:id="719940559">
                          <w:marLeft w:val="0"/>
                          <w:marRight w:val="0"/>
                          <w:marTop w:val="0"/>
                          <w:marBottom w:val="0"/>
                          <w:divBdr>
                            <w:top w:val="single" w:sz="2" w:space="0" w:color="auto"/>
                            <w:left w:val="single" w:sz="2" w:space="0" w:color="auto"/>
                            <w:bottom w:val="single" w:sz="6" w:space="0" w:color="auto"/>
                            <w:right w:val="single" w:sz="2" w:space="0" w:color="auto"/>
                          </w:divBdr>
                          <w:divsChild>
                            <w:div w:id="1668247040">
                              <w:marLeft w:val="0"/>
                              <w:marRight w:val="0"/>
                              <w:marTop w:val="100"/>
                              <w:marBottom w:val="100"/>
                              <w:divBdr>
                                <w:top w:val="single" w:sz="2" w:space="0" w:color="D9D9E3"/>
                                <w:left w:val="single" w:sz="2" w:space="0" w:color="D9D9E3"/>
                                <w:bottom w:val="single" w:sz="2" w:space="0" w:color="D9D9E3"/>
                                <w:right w:val="single" w:sz="2" w:space="0" w:color="D9D9E3"/>
                              </w:divBdr>
                              <w:divsChild>
                                <w:div w:id="725490279">
                                  <w:marLeft w:val="0"/>
                                  <w:marRight w:val="0"/>
                                  <w:marTop w:val="0"/>
                                  <w:marBottom w:val="0"/>
                                  <w:divBdr>
                                    <w:top w:val="single" w:sz="2" w:space="0" w:color="D9D9E3"/>
                                    <w:left w:val="single" w:sz="2" w:space="0" w:color="D9D9E3"/>
                                    <w:bottom w:val="single" w:sz="2" w:space="0" w:color="D9D9E3"/>
                                    <w:right w:val="single" w:sz="2" w:space="0" w:color="D9D9E3"/>
                                  </w:divBdr>
                                  <w:divsChild>
                                    <w:div w:id="2115049495">
                                      <w:marLeft w:val="0"/>
                                      <w:marRight w:val="0"/>
                                      <w:marTop w:val="0"/>
                                      <w:marBottom w:val="0"/>
                                      <w:divBdr>
                                        <w:top w:val="single" w:sz="2" w:space="0" w:color="D9D9E3"/>
                                        <w:left w:val="single" w:sz="2" w:space="0" w:color="D9D9E3"/>
                                        <w:bottom w:val="single" w:sz="2" w:space="0" w:color="D9D9E3"/>
                                        <w:right w:val="single" w:sz="2" w:space="0" w:color="D9D9E3"/>
                                      </w:divBdr>
                                      <w:divsChild>
                                        <w:div w:id="1140809498">
                                          <w:marLeft w:val="0"/>
                                          <w:marRight w:val="0"/>
                                          <w:marTop w:val="0"/>
                                          <w:marBottom w:val="0"/>
                                          <w:divBdr>
                                            <w:top w:val="single" w:sz="2" w:space="0" w:color="D9D9E3"/>
                                            <w:left w:val="single" w:sz="2" w:space="0" w:color="D9D9E3"/>
                                            <w:bottom w:val="single" w:sz="2" w:space="0" w:color="D9D9E3"/>
                                            <w:right w:val="single" w:sz="2" w:space="0" w:color="D9D9E3"/>
                                          </w:divBdr>
                                          <w:divsChild>
                                            <w:div w:id="654842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310620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347097031">
      <w:bodyDiv w:val="1"/>
      <w:marLeft w:val="0"/>
      <w:marRight w:val="0"/>
      <w:marTop w:val="0"/>
      <w:marBottom w:val="0"/>
      <w:divBdr>
        <w:top w:val="none" w:sz="0" w:space="0" w:color="auto"/>
        <w:left w:val="none" w:sz="0" w:space="0" w:color="auto"/>
        <w:bottom w:val="none" w:sz="0" w:space="0" w:color="auto"/>
        <w:right w:val="none" w:sz="0" w:space="0" w:color="auto"/>
      </w:divBdr>
      <w:divsChild>
        <w:div w:id="1530797618">
          <w:marLeft w:val="0"/>
          <w:marRight w:val="0"/>
          <w:marTop w:val="0"/>
          <w:marBottom w:val="0"/>
          <w:divBdr>
            <w:top w:val="single" w:sz="2" w:space="0" w:color="D9D9E3"/>
            <w:left w:val="single" w:sz="2" w:space="0" w:color="D9D9E3"/>
            <w:bottom w:val="single" w:sz="2" w:space="0" w:color="D9D9E3"/>
            <w:right w:val="single" w:sz="2" w:space="0" w:color="D9D9E3"/>
          </w:divBdr>
          <w:divsChild>
            <w:div w:id="1179737527">
              <w:marLeft w:val="0"/>
              <w:marRight w:val="0"/>
              <w:marTop w:val="0"/>
              <w:marBottom w:val="0"/>
              <w:divBdr>
                <w:top w:val="single" w:sz="2" w:space="0" w:color="D9D9E3"/>
                <w:left w:val="single" w:sz="2" w:space="0" w:color="D9D9E3"/>
                <w:bottom w:val="single" w:sz="2" w:space="0" w:color="D9D9E3"/>
                <w:right w:val="single" w:sz="2" w:space="0" w:color="D9D9E3"/>
              </w:divBdr>
              <w:divsChild>
                <w:div w:id="957562696">
                  <w:marLeft w:val="0"/>
                  <w:marRight w:val="0"/>
                  <w:marTop w:val="0"/>
                  <w:marBottom w:val="0"/>
                  <w:divBdr>
                    <w:top w:val="single" w:sz="2" w:space="0" w:color="D9D9E3"/>
                    <w:left w:val="single" w:sz="2" w:space="0" w:color="D9D9E3"/>
                    <w:bottom w:val="single" w:sz="2" w:space="0" w:color="D9D9E3"/>
                    <w:right w:val="single" w:sz="2" w:space="0" w:color="D9D9E3"/>
                  </w:divBdr>
                  <w:divsChild>
                    <w:div w:id="223294896">
                      <w:marLeft w:val="0"/>
                      <w:marRight w:val="0"/>
                      <w:marTop w:val="0"/>
                      <w:marBottom w:val="0"/>
                      <w:divBdr>
                        <w:top w:val="single" w:sz="2" w:space="0" w:color="D9D9E3"/>
                        <w:left w:val="single" w:sz="2" w:space="0" w:color="D9D9E3"/>
                        <w:bottom w:val="single" w:sz="2" w:space="0" w:color="D9D9E3"/>
                        <w:right w:val="single" w:sz="2" w:space="0" w:color="D9D9E3"/>
                      </w:divBdr>
                      <w:divsChild>
                        <w:div w:id="1424765335">
                          <w:marLeft w:val="0"/>
                          <w:marRight w:val="0"/>
                          <w:marTop w:val="0"/>
                          <w:marBottom w:val="0"/>
                          <w:divBdr>
                            <w:top w:val="single" w:sz="2" w:space="0" w:color="auto"/>
                            <w:left w:val="single" w:sz="2" w:space="0" w:color="auto"/>
                            <w:bottom w:val="single" w:sz="6" w:space="0" w:color="auto"/>
                            <w:right w:val="single" w:sz="2" w:space="0" w:color="auto"/>
                          </w:divBdr>
                          <w:divsChild>
                            <w:div w:id="1834030787">
                              <w:marLeft w:val="0"/>
                              <w:marRight w:val="0"/>
                              <w:marTop w:val="100"/>
                              <w:marBottom w:val="100"/>
                              <w:divBdr>
                                <w:top w:val="single" w:sz="2" w:space="0" w:color="D9D9E3"/>
                                <w:left w:val="single" w:sz="2" w:space="0" w:color="D9D9E3"/>
                                <w:bottom w:val="single" w:sz="2" w:space="0" w:color="D9D9E3"/>
                                <w:right w:val="single" w:sz="2" w:space="0" w:color="D9D9E3"/>
                              </w:divBdr>
                              <w:divsChild>
                                <w:div w:id="492792358">
                                  <w:marLeft w:val="0"/>
                                  <w:marRight w:val="0"/>
                                  <w:marTop w:val="0"/>
                                  <w:marBottom w:val="0"/>
                                  <w:divBdr>
                                    <w:top w:val="single" w:sz="2" w:space="0" w:color="D9D9E3"/>
                                    <w:left w:val="single" w:sz="2" w:space="0" w:color="D9D9E3"/>
                                    <w:bottom w:val="single" w:sz="2" w:space="0" w:color="D9D9E3"/>
                                    <w:right w:val="single" w:sz="2" w:space="0" w:color="D9D9E3"/>
                                  </w:divBdr>
                                  <w:divsChild>
                                    <w:div w:id="732656959">
                                      <w:marLeft w:val="0"/>
                                      <w:marRight w:val="0"/>
                                      <w:marTop w:val="0"/>
                                      <w:marBottom w:val="0"/>
                                      <w:divBdr>
                                        <w:top w:val="single" w:sz="2" w:space="0" w:color="D9D9E3"/>
                                        <w:left w:val="single" w:sz="2" w:space="0" w:color="D9D9E3"/>
                                        <w:bottom w:val="single" w:sz="2" w:space="0" w:color="D9D9E3"/>
                                        <w:right w:val="single" w:sz="2" w:space="0" w:color="D9D9E3"/>
                                      </w:divBdr>
                                      <w:divsChild>
                                        <w:div w:id="1092749404">
                                          <w:marLeft w:val="0"/>
                                          <w:marRight w:val="0"/>
                                          <w:marTop w:val="0"/>
                                          <w:marBottom w:val="0"/>
                                          <w:divBdr>
                                            <w:top w:val="single" w:sz="2" w:space="0" w:color="D9D9E3"/>
                                            <w:left w:val="single" w:sz="2" w:space="0" w:color="D9D9E3"/>
                                            <w:bottom w:val="single" w:sz="2" w:space="0" w:color="D9D9E3"/>
                                            <w:right w:val="single" w:sz="2" w:space="0" w:color="D9D9E3"/>
                                          </w:divBdr>
                                          <w:divsChild>
                                            <w:div w:id="13514908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0985046">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373503793">
      <w:bodyDiv w:val="1"/>
      <w:marLeft w:val="0"/>
      <w:marRight w:val="0"/>
      <w:marTop w:val="0"/>
      <w:marBottom w:val="0"/>
      <w:divBdr>
        <w:top w:val="none" w:sz="0" w:space="0" w:color="auto"/>
        <w:left w:val="none" w:sz="0" w:space="0" w:color="auto"/>
        <w:bottom w:val="none" w:sz="0" w:space="0" w:color="auto"/>
        <w:right w:val="none" w:sz="0" w:space="0" w:color="auto"/>
      </w:divBdr>
      <w:divsChild>
        <w:div w:id="457142361">
          <w:marLeft w:val="0"/>
          <w:marRight w:val="0"/>
          <w:marTop w:val="0"/>
          <w:marBottom w:val="0"/>
          <w:divBdr>
            <w:top w:val="single" w:sz="2" w:space="0" w:color="D9D9E3"/>
            <w:left w:val="single" w:sz="2" w:space="0" w:color="D9D9E3"/>
            <w:bottom w:val="single" w:sz="2" w:space="0" w:color="D9D9E3"/>
            <w:right w:val="single" w:sz="2" w:space="0" w:color="D9D9E3"/>
          </w:divBdr>
          <w:divsChild>
            <w:div w:id="438188013">
              <w:marLeft w:val="0"/>
              <w:marRight w:val="0"/>
              <w:marTop w:val="0"/>
              <w:marBottom w:val="0"/>
              <w:divBdr>
                <w:top w:val="single" w:sz="2" w:space="0" w:color="D9D9E3"/>
                <w:left w:val="single" w:sz="2" w:space="0" w:color="D9D9E3"/>
                <w:bottom w:val="single" w:sz="2" w:space="0" w:color="D9D9E3"/>
                <w:right w:val="single" w:sz="2" w:space="0" w:color="D9D9E3"/>
              </w:divBdr>
              <w:divsChild>
                <w:div w:id="1077240886">
                  <w:marLeft w:val="0"/>
                  <w:marRight w:val="0"/>
                  <w:marTop w:val="0"/>
                  <w:marBottom w:val="0"/>
                  <w:divBdr>
                    <w:top w:val="single" w:sz="2" w:space="0" w:color="D9D9E3"/>
                    <w:left w:val="single" w:sz="2" w:space="0" w:color="D9D9E3"/>
                    <w:bottom w:val="single" w:sz="2" w:space="0" w:color="D9D9E3"/>
                    <w:right w:val="single" w:sz="2" w:space="0" w:color="D9D9E3"/>
                  </w:divBdr>
                  <w:divsChild>
                    <w:div w:id="1363743437">
                      <w:marLeft w:val="0"/>
                      <w:marRight w:val="0"/>
                      <w:marTop w:val="0"/>
                      <w:marBottom w:val="0"/>
                      <w:divBdr>
                        <w:top w:val="single" w:sz="2" w:space="0" w:color="D9D9E3"/>
                        <w:left w:val="single" w:sz="2" w:space="0" w:color="D9D9E3"/>
                        <w:bottom w:val="single" w:sz="2" w:space="0" w:color="D9D9E3"/>
                        <w:right w:val="single" w:sz="2" w:space="0" w:color="D9D9E3"/>
                      </w:divBdr>
                      <w:divsChild>
                        <w:div w:id="1156842738">
                          <w:marLeft w:val="0"/>
                          <w:marRight w:val="0"/>
                          <w:marTop w:val="0"/>
                          <w:marBottom w:val="0"/>
                          <w:divBdr>
                            <w:top w:val="single" w:sz="2" w:space="0" w:color="auto"/>
                            <w:left w:val="single" w:sz="2" w:space="0" w:color="auto"/>
                            <w:bottom w:val="single" w:sz="6" w:space="0" w:color="auto"/>
                            <w:right w:val="single" w:sz="2" w:space="0" w:color="auto"/>
                          </w:divBdr>
                          <w:divsChild>
                            <w:div w:id="17237681">
                              <w:marLeft w:val="0"/>
                              <w:marRight w:val="0"/>
                              <w:marTop w:val="100"/>
                              <w:marBottom w:val="100"/>
                              <w:divBdr>
                                <w:top w:val="single" w:sz="2" w:space="0" w:color="D9D9E3"/>
                                <w:left w:val="single" w:sz="2" w:space="0" w:color="D9D9E3"/>
                                <w:bottom w:val="single" w:sz="2" w:space="0" w:color="D9D9E3"/>
                                <w:right w:val="single" w:sz="2" w:space="0" w:color="D9D9E3"/>
                              </w:divBdr>
                              <w:divsChild>
                                <w:div w:id="391392526">
                                  <w:marLeft w:val="0"/>
                                  <w:marRight w:val="0"/>
                                  <w:marTop w:val="0"/>
                                  <w:marBottom w:val="0"/>
                                  <w:divBdr>
                                    <w:top w:val="single" w:sz="2" w:space="0" w:color="D9D9E3"/>
                                    <w:left w:val="single" w:sz="2" w:space="0" w:color="D9D9E3"/>
                                    <w:bottom w:val="single" w:sz="2" w:space="0" w:color="D9D9E3"/>
                                    <w:right w:val="single" w:sz="2" w:space="0" w:color="D9D9E3"/>
                                  </w:divBdr>
                                  <w:divsChild>
                                    <w:div w:id="404382170">
                                      <w:marLeft w:val="0"/>
                                      <w:marRight w:val="0"/>
                                      <w:marTop w:val="0"/>
                                      <w:marBottom w:val="0"/>
                                      <w:divBdr>
                                        <w:top w:val="single" w:sz="2" w:space="0" w:color="D9D9E3"/>
                                        <w:left w:val="single" w:sz="2" w:space="0" w:color="D9D9E3"/>
                                        <w:bottom w:val="single" w:sz="2" w:space="0" w:color="D9D9E3"/>
                                        <w:right w:val="single" w:sz="2" w:space="0" w:color="D9D9E3"/>
                                      </w:divBdr>
                                      <w:divsChild>
                                        <w:div w:id="1979870113">
                                          <w:marLeft w:val="0"/>
                                          <w:marRight w:val="0"/>
                                          <w:marTop w:val="0"/>
                                          <w:marBottom w:val="0"/>
                                          <w:divBdr>
                                            <w:top w:val="single" w:sz="2" w:space="0" w:color="D9D9E3"/>
                                            <w:left w:val="single" w:sz="2" w:space="0" w:color="D9D9E3"/>
                                            <w:bottom w:val="single" w:sz="2" w:space="0" w:color="D9D9E3"/>
                                            <w:right w:val="single" w:sz="2" w:space="0" w:color="D9D9E3"/>
                                          </w:divBdr>
                                          <w:divsChild>
                                            <w:div w:id="1003242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4656701">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878345850">
      <w:bodyDiv w:val="1"/>
      <w:marLeft w:val="0"/>
      <w:marRight w:val="0"/>
      <w:marTop w:val="0"/>
      <w:marBottom w:val="0"/>
      <w:divBdr>
        <w:top w:val="none" w:sz="0" w:space="0" w:color="auto"/>
        <w:left w:val="none" w:sz="0" w:space="0" w:color="auto"/>
        <w:bottom w:val="none" w:sz="0" w:space="0" w:color="auto"/>
        <w:right w:val="none" w:sz="0" w:space="0" w:color="auto"/>
      </w:divBdr>
      <w:divsChild>
        <w:div w:id="462891013">
          <w:marLeft w:val="0"/>
          <w:marRight w:val="0"/>
          <w:marTop w:val="0"/>
          <w:marBottom w:val="0"/>
          <w:divBdr>
            <w:top w:val="single" w:sz="2" w:space="0" w:color="D9D9E3"/>
            <w:left w:val="single" w:sz="2" w:space="0" w:color="D9D9E3"/>
            <w:bottom w:val="single" w:sz="2" w:space="0" w:color="D9D9E3"/>
            <w:right w:val="single" w:sz="2" w:space="0" w:color="D9D9E3"/>
          </w:divBdr>
          <w:divsChild>
            <w:div w:id="1062604591">
              <w:marLeft w:val="0"/>
              <w:marRight w:val="0"/>
              <w:marTop w:val="0"/>
              <w:marBottom w:val="0"/>
              <w:divBdr>
                <w:top w:val="single" w:sz="2" w:space="0" w:color="D9D9E3"/>
                <w:left w:val="single" w:sz="2" w:space="0" w:color="D9D9E3"/>
                <w:bottom w:val="single" w:sz="2" w:space="0" w:color="D9D9E3"/>
                <w:right w:val="single" w:sz="2" w:space="0" w:color="D9D9E3"/>
              </w:divBdr>
              <w:divsChild>
                <w:div w:id="1070466183">
                  <w:marLeft w:val="0"/>
                  <w:marRight w:val="0"/>
                  <w:marTop w:val="0"/>
                  <w:marBottom w:val="0"/>
                  <w:divBdr>
                    <w:top w:val="single" w:sz="2" w:space="0" w:color="D9D9E3"/>
                    <w:left w:val="single" w:sz="2" w:space="0" w:color="D9D9E3"/>
                    <w:bottom w:val="single" w:sz="2" w:space="0" w:color="D9D9E3"/>
                    <w:right w:val="single" w:sz="2" w:space="0" w:color="D9D9E3"/>
                  </w:divBdr>
                  <w:divsChild>
                    <w:div w:id="1225026676">
                      <w:marLeft w:val="0"/>
                      <w:marRight w:val="0"/>
                      <w:marTop w:val="0"/>
                      <w:marBottom w:val="0"/>
                      <w:divBdr>
                        <w:top w:val="single" w:sz="2" w:space="0" w:color="D9D9E3"/>
                        <w:left w:val="single" w:sz="2" w:space="0" w:color="D9D9E3"/>
                        <w:bottom w:val="single" w:sz="2" w:space="0" w:color="D9D9E3"/>
                        <w:right w:val="single" w:sz="2" w:space="0" w:color="D9D9E3"/>
                      </w:divBdr>
                      <w:divsChild>
                        <w:div w:id="491917448">
                          <w:marLeft w:val="0"/>
                          <w:marRight w:val="0"/>
                          <w:marTop w:val="0"/>
                          <w:marBottom w:val="0"/>
                          <w:divBdr>
                            <w:top w:val="single" w:sz="2" w:space="0" w:color="auto"/>
                            <w:left w:val="single" w:sz="2" w:space="0" w:color="auto"/>
                            <w:bottom w:val="single" w:sz="6" w:space="0" w:color="auto"/>
                            <w:right w:val="single" w:sz="2" w:space="0" w:color="auto"/>
                          </w:divBdr>
                          <w:divsChild>
                            <w:div w:id="1851333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13576975">
                                  <w:marLeft w:val="0"/>
                                  <w:marRight w:val="0"/>
                                  <w:marTop w:val="0"/>
                                  <w:marBottom w:val="0"/>
                                  <w:divBdr>
                                    <w:top w:val="single" w:sz="2" w:space="0" w:color="D9D9E3"/>
                                    <w:left w:val="single" w:sz="2" w:space="0" w:color="D9D9E3"/>
                                    <w:bottom w:val="single" w:sz="2" w:space="0" w:color="D9D9E3"/>
                                    <w:right w:val="single" w:sz="2" w:space="0" w:color="D9D9E3"/>
                                  </w:divBdr>
                                  <w:divsChild>
                                    <w:div w:id="1260329207">
                                      <w:marLeft w:val="0"/>
                                      <w:marRight w:val="0"/>
                                      <w:marTop w:val="0"/>
                                      <w:marBottom w:val="0"/>
                                      <w:divBdr>
                                        <w:top w:val="single" w:sz="2" w:space="0" w:color="D9D9E3"/>
                                        <w:left w:val="single" w:sz="2" w:space="0" w:color="D9D9E3"/>
                                        <w:bottom w:val="single" w:sz="2" w:space="0" w:color="D9D9E3"/>
                                        <w:right w:val="single" w:sz="2" w:space="0" w:color="D9D9E3"/>
                                      </w:divBdr>
                                      <w:divsChild>
                                        <w:div w:id="1792750477">
                                          <w:marLeft w:val="0"/>
                                          <w:marRight w:val="0"/>
                                          <w:marTop w:val="0"/>
                                          <w:marBottom w:val="0"/>
                                          <w:divBdr>
                                            <w:top w:val="single" w:sz="2" w:space="0" w:color="D9D9E3"/>
                                            <w:left w:val="single" w:sz="2" w:space="0" w:color="D9D9E3"/>
                                            <w:bottom w:val="single" w:sz="2" w:space="0" w:color="D9D9E3"/>
                                            <w:right w:val="single" w:sz="2" w:space="0" w:color="D9D9E3"/>
                                          </w:divBdr>
                                          <w:divsChild>
                                            <w:div w:id="512115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690909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901398101">
      <w:bodyDiv w:val="1"/>
      <w:marLeft w:val="0"/>
      <w:marRight w:val="0"/>
      <w:marTop w:val="0"/>
      <w:marBottom w:val="0"/>
      <w:divBdr>
        <w:top w:val="none" w:sz="0" w:space="0" w:color="auto"/>
        <w:left w:val="none" w:sz="0" w:space="0" w:color="auto"/>
        <w:bottom w:val="none" w:sz="0" w:space="0" w:color="auto"/>
        <w:right w:val="none" w:sz="0" w:space="0" w:color="auto"/>
      </w:divBdr>
      <w:divsChild>
        <w:div w:id="260720054">
          <w:marLeft w:val="0"/>
          <w:marRight w:val="0"/>
          <w:marTop w:val="0"/>
          <w:marBottom w:val="0"/>
          <w:divBdr>
            <w:top w:val="single" w:sz="2" w:space="0" w:color="D9D9E3"/>
            <w:left w:val="single" w:sz="2" w:space="0" w:color="D9D9E3"/>
            <w:bottom w:val="single" w:sz="2" w:space="0" w:color="D9D9E3"/>
            <w:right w:val="single" w:sz="2" w:space="0" w:color="D9D9E3"/>
          </w:divBdr>
          <w:divsChild>
            <w:div w:id="1596551983">
              <w:marLeft w:val="0"/>
              <w:marRight w:val="0"/>
              <w:marTop w:val="0"/>
              <w:marBottom w:val="0"/>
              <w:divBdr>
                <w:top w:val="single" w:sz="2" w:space="0" w:color="D9D9E3"/>
                <w:left w:val="single" w:sz="2" w:space="0" w:color="D9D9E3"/>
                <w:bottom w:val="single" w:sz="2" w:space="0" w:color="D9D9E3"/>
                <w:right w:val="single" w:sz="2" w:space="0" w:color="D9D9E3"/>
              </w:divBdr>
              <w:divsChild>
                <w:div w:id="546449066">
                  <w:marLeft w:val="0"/>
                  <w:marRight w:val="0"/>
                  <w:marTop w:val="0"/>
                  <w:marBottom w:val="0"/>
                  <w:divBdr>
                    <w:top w:val="single" w:sz="2" w:space="0" w:color="D9D9E3"/>
                    <w:left w:val="single" w:sz="2" w:space="0" w:color="D9D9E3"/>
                    <w:bottom w:val="single" w:sz="2" w:space="0" w:color="D9D9E3"/>
                    <w:right w:val="single" w:sz="2" w:space="0" w:color="D9D9E3"/>
                  </w:divBdr>
                  <w:divsChild>
                    <w:div w:id="1048608274">
                      <w:marLeft w:val="0"/>
                      <w:marRight w:val="0"/>
                      <w:marTop w:val="0"/>
                      <w:marBottom w:val="0"/>
                      <w:divBdr>
                        <w:top w:val="single" w:sz="2" w:space="0" w:color="D9D9E3"/>
                        <w:left w:val="single" w:sz="2" w:space="0" w:color="D9D9E3"/>
                        <w:bottom w:val="single" w:sz="2" w:space="0" w:color="D9D9E3"/>
                        <w:right w:val="single" w:sz="2" w:space="0" w:color="D9D9E3"/>
                      </w:divBdr>
                      <w:divsChild>
                        <w:div w:id="764108278">
                          <w:marLeft w:val="0"/>
                          <w:marRight w:val="0"/>
                          <w:marTop w:val="0"/>
                          <w:marBottom w:val="0"/>
                          <w:divBdr>
                            <w:top w:val="single" w:sz="2" w:space="0" w:color="auto"/>
                            <w:left w:val="single" w:sz="2" w:space="0" w:color="auto"/>
                            <w:bottom w:val="single" w:sz="6" w:space="0" w:color="auto"/>
                            <w:right w:val="single" w:sz="2" w:space="0" w:color="auto"/>
                          </w:divBdr>
                          <w:divsChild>
                            <w:div w:id="1628702698">
                              <w:marLeft w:val="0"/>
                              <w:marRight w:val="0"/>
                              <w:marTop w:val="100"/>
                              <w:marBottom w:val="100"/>
                              <w:divBdr>
                                <w:top w:val="single" w:sz="2" w:space="0" w:color="D9D9E3"/>
                                <w:left w:val="single" w:sz="2" w:space="0" w:color="D9D9E3"/>
                                <w:bottom w:val="single" w:sz="2" w:space="0" w:color="D9D9E3"/>
                                <w:right w:val="single" w:sz="2" w:space="0" w:color="D9D9E3"/>
                              </w:divBdr>
                              <w:divsChild>
                                <w:div w:id="503058602">
                                  <w:marLeft w:val="0"/>
                                  <w:marRight w:val="0"/>
                                  <w:marTop w:val="0"/>
                                  <w:marBottom w:val="0"/>
                                  <w:divBdr>
                                    <w:top w:val="single" w:sz="2" w:space="0" w:color="D9D9E3"/>
                                    <w:left w:val="single" w:sz="2" w:space="0" w:color="D9D9E3"/>
                                    <w:bottom w:val="single" w:sz="2" w:space="0" w:color="D9D9E3"/>
                                    <w:right w:val="single" w:sz="2" w:space="0" w:color="D9D9E3"/>
                                  </w:divBdr>
                                  <w:divsChild>
                                    <w:div w:id="1851216415">
                                      <w:marLeft w:val="0"/>
                                      <w:marRight w:val="0"/>
                                      <w:marTop w:val="0"/>
                                      <w:marBottom w:val="0"/>
                                      <w:divBdr>
                                        <w:top w:val="single" w:sz="2" w:space="0" w:color="D9D9E3"/>
                                        <w:left w:val="single" w:sz="2" w:space="0" w:color="D9D9E3"/>
                                        <w:bottom w:val="single" w:sz="2" w:space="0" w:color="D9D9E3"/>
                                        <w:right w:val="single" w:sz="2" w:space="0" w:color="D9D9E3"/>
                                      </w:divBdr>
                                      <w:divsChild>
                                        <w:div w:id="1135104285">
                                          <w:marLeft w:val="0"/>
                                          <w:marRight w:val="0"/>
                                          <w:marTop w:val="0"/>
                                          <w:marBottom w:val="0"/>
                                          <w:divBdr>
                                            <w:top w:val="single" w:sz="2" w:space="0" w:color="D9D9E3"/>
                                            <w:left w:val="single" w:sz="2" w:space="0" w:color="D9D9E3"/>
                                            <w:bottom w:val="single" w:sz="2" w:space="0" w:color="D9D9E3"/>
                                            <w:right w:val="single" w:sz="2" w:space="0" w:color="D9D9E3"/>
                                          </w:divBdr>
                                          <w:divsChild>
                                            <w:div w:id="1043557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2677653">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orldatwork.org/docs/default-source/research-library/compensation-communication-best-practices-survey-report---worldatwork.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2971</Words>
  <Characters>16940</Characters>
  <Application>Microsoft Office Word</Application>
  <DocSecurity>0</DocSecurity>
  <Lines>141</Lines>
  <Paragraphs>39</Paragraphs>
  <ScaleCrop>false</ScaleCrop>
  <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2023-07-11T09:13:00Z</dcterms:created>
  <dcterms:modified xsi:type="dcterms:W3CDTF">2023-07-22T15:57:00Z</dcterms:modified>
</cp:coreProperties>
</file>