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3F0786" w14:textId="77777777" w:rsidR="009F6286" w:rsidRPr="009F6286" w:rsidRDefault="009F6286" w:rsidP="009F6286">
      <w:pPr>
        <w:jc w:val="center"/>
        <w:rPr>
          <w:b/>
          <w:sz w:val="36"/>
        </w:rPr>
      </w:pPr>
      <w:r w:rsidRPr="009F6286">
        <w:rPr>
          <w:b/>
          <w:sz w:val="36"/>
        </w:rPr>
        <w:t>Module: Managing People</w:t>
      </w:r>
    </w:p>
    <w:p w14:paraId="3E108176" w14:textId="77777777" w:rsidR="007A2DAD" w:rsidRDefault="009F6286" w:rsidP="009F6286">
      <w:pPr>
        <w:jc w:val="center"/>
        <w:rPr>
          <w:b/>
          <w:sz w:val="36"/>
        </w:rPr>
      </w:pPr>
      <w:r w:rsidRPr="009F6286">
        <w:rPr>
          <w:b/>
          <w:sz w:val="36"/>
        </w:rPr>
        <w:t>Module code: LCBB5004</w:t>
      </w:r>
    </w:p>
    <w:p w14:paraId="1A436748" w14:textId="77777777" w:rsidR="001D4D25" w:rsidRDefault="001D4D25" w:rsidP="009F6286">
      <w:pPr>
        <w:jc w:val="center"/>
        <w:rPr>
          <w:b/>
          <w:sz w:val="36"/>
        </w:rPr>
      </w:pPr>
      <w:r>
        <w:rPr>
          <w:b/>
          <w:sz w:val="36"/>
        </w:rPr>
        <w:t>Assignment 2</w:t>
      </w:r>
    </w:p>
    <w:p w14:paraId="26DDFFB6" w14:textId="77777777" w:rsidR="009A6CE9" w:rsidRDefault="009A6CE9">
      <w:pPr>
        <w:spacing w:line="259" w:lineRule="auto"/>
        <w:jc w:val="left"/>
        <w:rPr>
          <w:b/>
          <w:sz w:val="36"/>
        </w:rPr>
      </w:pPr>
      <w:r>
        <w:rPr>
          <w:b/>
          <w:sz w:val="36"/>
        </w:rPr>
        <w:br w:type="page"/>
      </w:r>
    </w:p>
    <w:sdt>
      <w:sdtPr>
        <w:rPr>
          <w:rFonts w:ascii="Arial" w:eastAsiaTheme="minorHAnsi" w:hAnsi="Arial" w:cstheme="minorBidi"/>
          <w:color w:val="auto"/>
          <w:sz w:val="22"/>
          <w:szCs w:val="22"/>
          <w:lang w:val="en-GB"/>
        </w:rPr>
        <w:id w:val="-347325066"/>
        <w:docPartObj>
          <w:docPartGallery w:val="Table of Contents"/>
          <w:docPartUnique/>
        </w:docPartObj>
      </w:sdtPr>
      <w:sdtEndPr>
        <w:rPr>
          <w:b/>
          <w:bCs/>
          <w:noProof/>
        </w:rPr>
      </w:sdtEndPr>
      <w:sdtContent>
        <w:p w14:paraId="2DA7B8B1" w14:textId="77777777" w:rsidR="002B6818" w:rsidRDefault="002B6818">
          <w:pPr>
            <w:pStyle w:val="TOCHeading"/>
          </w:pPr>
          <w:r>
            <w:t>Table of Contents</w:t>
          </w:r>
        </w:p>
        <w:p w14:paraId="16653465" w14:textId="77777777" w:rsidR="002B6818" w:rsidRDefault="002B6818">
          <w:pPr>
            <w:pStyle w:val="TOC1"/>
            <w:tabs>
              <w:tab w:val="right" w:leader="dot" w:pos="9350"/>
            </w:tabs>
            <w:rPr>
              <w:noProof/>
            </w:rPr>
          </w:pPr>
          <w:r>
            <w:fldChar w:fldCharType="begin"/>
          </w:r>
          <w:r>
            <w:instrText xml:space="preserve"> TOC \o "1-3" \h \z \u </w:instrText>
          </w:r>
          <w:r>
            <w:fldChar w:fldCharType="separate"/>
          </w:r>
          <w:hyperlink w:anchor="_Toc102489122" w:history="1">
            <w:r w:rsidRPr="00C47BD5">
              <w:rPr>
                <w:rStyle w:val="Hyperlink"/>
                <w:noProof/>
              </w:rPr>
              <w:t>1. Introduction</w:t>
            </w:r>
            <w:r>
              <w:rPr>
                <w:noProof/>
                <w:webHidden/>
              </w:rPr>
              <w:tab/>
            </w:r>
            <w:r>
              <w:rPr>
                <w:noProof/>
                <w:webHidden/>
              </w:rPr>
              <w:fldChar w:fldCharType="begin"/>
            </w:r>
            <w:r>
              <w:rPr>
                <w:noProof/>
                <w:webHidden/>
              </w:rPr>
              <w:instrText xml:space="preserve"> PAGEREF _Toc102489122 \h </w:instrText>
            </w:r>
            <w:r>
              <w:rPr>
                <w:noProof/>
                <w:webHidden/>
              </w:rPr>
            </w:r>
            <w:r>
              <w:rPr>
                <w:noProof/>
                <w:webHidden/>
              </w:rPr>
              <w:fldChar w:fldCharType="separate"/>
            </w:r>
            <w:r>
              <w:rPr>
                <w:noProof/>
                <w:webHidden/>
              </w:rPr>
              <w:t>3</w:t>
            </w:r>
            <w:r>
              <w:rPr>
                <w:noProof/>
                <w:webHidden/>
              </w:rPr>
              <w:fldChar w:fldCharType="end"/>
            </w:r>
          </w:hyperlink>
        </w:p>
        <w:p w14:paraId="4397D537" w14:textId="77777777" w:rsidR="002B6818" w:rsidRDefault="004D7AB1">
          <w:pPr>
            <w:pStyle w:val="TOC1"/>
            <w:tabs>
              <w:tab w:val="right" w:leader="dot" w:pos="9350"/>
            </w:tabs>
            <w:rPr>
              <w:noProof/>
            </w:rPr>
          </w:pPr>
          <w:hyperlink w:anchor="_Toc102489123" w:history="1">
            <w:r w:rsidR="002B6818" w:rsidRPr="00C47BD5">
              <w:rPr>
                <w:rStyle w:val="Hyperlink"/>
                <w:noProof/>
              </w:rPr>
              <w:t>2. Reviewing the concept and drivers of employee engagement</w:t>
            </w:r>
            <w:r w:rsidR="002B6818">
              <w:rPr>
                <w:noProof/>
                <w:webHidden/>
              </w:rPr>
              <w:tab/>
            </w:r>
            <w:r w:rsidR="002B6818">
              <w:rPr>
                <w:noProof/>
                <w:webHidden/>
              </w:rPr>
              <w:fldChar w:fldCharType="begin"/>
            </w:r>
            <w:r w:rsidR="002B6818">
              <w:rPr>
                <w:noProof/>
                <w:webHidden/>
              </w:rPr>
              <w:instrText xml:space="preserve"> PAGEREF _Toc102489123 \h </w:instrText>
            </w:r>
            <w:r w:rsidR="002B6818">
              <w:rPr>
                <w:noProof/>
                <w:webHidden/>
              </w:rPr>
            </w:r>
            <w:r w:rsidR="002B6818">
              <w:rPr>
                <w:noProof/>
                <w:webHidden/>
              </w:rPr>
              <w:fldChar w:fldCharType="separate"/>
            </w:r>
            <w:r w:rsidR="002B6818">
              <w:rPr>
                <w:noProof/>
                <w:webHidden/>
              </w:rPr>
              <w:t>4</w:t>
            </w:r>
            <w:r w:rsidR="002B6818">
              <w:rPr>
                <w:noProof/>
                <w:webHidden/>
              </w:rPr>
              <w:fldChar w:fldCharType="end"/>
            </w:r>
          </w:hyperlink>
        </w:p>
        <w:p w14:paraId="32DB869C" w14:textId="77777777" w:rsidR="002B6818" w:rsidRDefault="004D7AB1">
          <w:pPr>
            <w:pStyle w:val="TOC2"/>
            <w:tabs>
              <w:tab w:val="right" w:leader="dot" w:pos="9350"/>
            </w:tabs>
            <w:rPr>
              <w:noProof/>
            </w:rPr>
          </w:pPr>
          <w:hyperlink w:anchor="_Toc102489124" w:history="1">
            <w:r w:rsidR="002B6818" w:rsidRPr="00C47BD5">
              <w:rPr>
                <w:rStyle w:val="Hyperlink"/>
                <w:noProof/>
              </w:rPr>
              <w:t>2.1 Concepts of employee engagement</w:t>
            </w:r>
            <w:r w:rsidR="002B6818">
              <w:rPr>
                <w:noProof/>
                <w:webHidden/>
              </w:rPr>
              <w:tab/>
            </w:r>
            <w:r w:rsidR="002B6818">
              <w:rPr>
                <w:noProof/>
                <w:webHidden/>
              </w:rPr>
              <w:fldChar w:fldCharType="begin"/>
            </w:r>
            <w:r w:rsidR="002B6818">
              <w:rPr>
                <w:noProof/>
                <w:webHidden/>
              </w:rPr>
              <w:instrText xml:space="preserve"> PAGEREF _Toc102489124 \h </w:instrText>
            </w:r>
            <w:r w:rsidR="002B6818">
              <w:rPr>
                <w:noProof/>
                <w:webHidden/>
              </w:rPr>
            </w:r>
            <w:r w:rsidR="002B6818">
              <w:rPr>
                <w:noProof/>
                <w:webHidden/>
              </w:rPr>
              <w:fldChar w:fldCharType="separate"/>
            </w:r>
            <w:r w:rsidR="002B6818">
              <w:rPr>
                <w:noProof/>
                <w:webHidden/>
              </w:rPr>
              <w:t>4</w:t>
            </w:r>
            <w:r w:rsidR="002B6818">
              <w:rPr>
                <w:noProof/>
                <w:webHidden/>
              </w:rPr>
              <w:fldChar w:fldCharType="end"/>
            </w:r>
          </w:hyperlink>
        </w:p>
        <w:p w14:paraId="2AC7CA2B" w14:textId="77777777" w:rsidR="002B6818" w:rsidRDefault="004D7AB1">
          <w:pPr>
            <w:pStyle w:val="TOC2"/>
            <w:tabs>
              <w:tab w:val="right" w:leader="dot" w:pos="9350"/>
            </w:tabs>
            <w:rPr>
              <w:noProof/>
            </w:rPr>
          </w:pPr>
          <w:hyperlink w:anchor="_Toc102489125" w:history="1">
            <w:r w:rsidR="002B6818" w:rsidRPr="00C47BD5">
              <w:rPr>
                <w:rStyle w:val="Hyperlink"/>
                <w:noProof/>
              </w:rPr>
              <w:t>2.2 Drivers of employee engagement</w:t>
            </w:r>
            <w:r w:rsidR="002B6818">
              <w:rPr>
                <w:noProof/>
                <w:webHidden/>
              </w:rPr>
              <w:tab/>
            </w:r>
            <w:r w:rsidR="002B6818">
              <w:rPr>
                <w:noProof/>
                <w:webHidden/>
              </w:rPr>
              <w:fldChar w:fldCharType="begin"/>
            </w:r>
            <w:r w:rsidR="002B6818">
              <w:rPr>
                <w:noProof/>
                <w:webHidden/>
              </w:rPr>
              <w:instrText xml:space="preserve"> PAGEREF _Toc102489125 \h </w:instrText>
            </w:r>
            <w:r w:rsidR="002B6818">
              <w:rPr>
                <w:noProof/>
                <w:webHidden/>
              </w:rPr>
            </w:r>
            <w:r w:rsidR="002B6818">
              <w:rPr>
                <w:noProof/>
                <w:webHidden/>
              </w:rPr>
              <w:fldChar w:fldCharType="separate"/>
            </w:r>
            <w:r w:rsidR="002B6818">
              <w:rPr>
                <w:noProof/>
                <w:webHidden/>
              </w:rPr>
              <w:t>4</w:t>
            </w:r>
            <w:r w:rsidR="002B6818">
              <w:rPr>
                <w:noProof/>
                <w:webHidden/>
              </w:rPr>
              <w:fldChar w:fldCharType="end"/>
            </w:r>
          </w:hyperlink>
        </w:p>
        <w:p w14:paraId="4DA38FA3" w14:textId="77777777" w:rsidR="002B6818" w:rsidRDefault="004D7AB1">
          <w:pPr>
            <w:pStyle w:val="TOC1"/>
            <w:tabs>
              <w:tab w:val="right" w:leader="dot" w:pos="9350"/>
            </w:tabs>
            <w:rPr>
              <w:noProof/>
            </w:rPr>
          </w:pPr>
          <w:hyperlink w:anchor="_Toc102489126" w:history="1">
            <w:r w:rsidR="002B6818" w:rsidRPr="00C47BD5">
              <w:rPr>
                <w:rStyle w:val="Hyperlink"/>
                <w:noProof/>
              </w:rPr>
              <w:t>3. Evaluating diagnostic tools to measure engagement</w:t>
            </w:r>
            <w:r w:rsidR="002B6818">
              <w:rPr>
                <w:noProof/>
                <w:webHidden/>
              </w:rPr>
              <w:tab/>
            </w:r>
            <w:r w:rsidR="002B6818">
              <w:rPr>
                <w:noProof/>
                <w:webHidden/>
              </w:rPr>
              <w:fldChar w:fldCharType="begin"/>
            </w:r>
            <w:r w:rsidR="002B6818">
              <w:rPr>
                <w:noProof/>
                <w:webHidden/>
              </w:rPr>
              <w:instrText xml:space="preserve"> PAGEREF _Toc102489126 \h </w:instrText>
            </w:r>
            <w:r w:rsidR="002B6818">
              <w:rPr>
                <w:noProof/>
                <w:webHidden/>
              </w:rPr>
            </w:r>
            <w:r w:rsidR="002B6818">
              <w:rPr>
                <w:noProof/>
                <w:webHidden/>
              </w:rPr>
              <w:fldChar w:fldCharType="separate"/>
            </w:r>
            <w:r w:rsidR="002B6818">
              <w:rPr>
                <w:noProof/>
                <w:webHidden/>
              </w:rPr>
              <w:t>5</w:t>
            </w:r>
            <w:r w:rsidR="002B6818">
              <w:rPr>
                <w:noProof/>
                <w:webHidden/>
              </w:rPr>
              <w:fldChar w:fldCharType="end"/>
            </w:r>
          </w:hyperlink>
        </w:p>
        <w:p w14:paraId="16CA4D03" w14:textId="77777777" w:rsidR="002B6818" w:rsidRDefault="004D7AB1">
          <w:pPr>
            <w:pStyle w:val="TOC1"/>
            <w:tabs>
              <w:tab w:val="right" w:leader="dot" w:pos="9350"/>
            </w:tabs>
            <w:rPr>
              <w:noProof/>
            </w:rPr>
          </w:pPr>
          <w:hyperlink w:anchor="_Toc102489127" w:history="1">
            <w:r w:rsidR="002B6818" w:rsidRPr="00C47BD5">
              <w:rPr>
                <w:rStyle w:val="Hyperlink"/>
                <w:noProof/>
              </w:rPr>
              <w:t>4. Constructing an employee value proposition including strategies to raise levels of engagement</w:t>
            </w:r>
            <w:r w:rsidR="002B6818">
              <w:rPr>
                <w:noProof/>
                <w:webHidden/>
              </w:rPr>
              <w:tab/>
            </w:r>
            <w:r w:rsidR="002B6818">
              <w:rPr>
                <w:noProof/>
                <w:webHidden/>
              </w:rPr>
              <w:fldChar w:fldCharType="begin"/>
            </w:r>
            <w:r w:rsidR="002B6818">
              <w:rPr>
                <w:noProof/>
                <w:webHidden/>
              </w:rPr>
              <w:instrText xml:space="preserve"> PAGEREF _Toc102489127 \h </w:instrText>
            </w:r>
            <w:r w:rsidR="002B6818">
              <w:rPr>
                <w:noProof/>
                <w:webHidden/>
              </w:rPr>
            </w:r>
            <w:r w:rsidR="002B6818">
              <w:rPr>
                <w:noProof/>
                <w:webHidden/>
              </w:rPr>
              <w:fldChar w:fldCharType="separate"/>
            </w:r>
            <w:r w:rsidR="002B6818">
              <w:rPr>
                <w:noProof/>
                <w:webHidden/>
              </w:rPr>
              <w:t>7</w:t>
            </w:r>
            <w:r w:rsidR="002B6818">
              <w:rPr>
                <w:noProof/>
                <w:webHidden/>
              </w:rPr>
              <w:fldChar w:fldCharType="end"/>
            </w:r>
          </w:hyperlink>
        </w:p>
        <w:p w14:paraId="69F93C09" w14:textId="77777777" w:rsidR="002B6818" w:rsidRDefault="004D7AB1">
          <w:pPr>
            <w:pStyle w:val="TOC1"/>
            <w:tabs>
              <w:tab w:val="right" w:leader="dot" w:pos="9350"/>
            </w:tabs>
            <w:rPr>
              <w:noProof/>
            </w:rPr>
          </w:pPr>
          <w:hyperlink w:anchor="_Toc102489128" w:history="1">
            <w:r w:rsidR="002B6818" w:rsidRPr="00C47BD5">
              <w:rPr>
                <w:rStyle w:val="Hyperlink"/>
                <w:noProof/>
              </w:rPr>
              <w:t>5. Conclusion</w:t>
            </w:r>
            <w:r w:rsidR="002B6818">
              <w:rPr>
                <w:noProof/>
                <w:webHidden/>
              </w:rPr>
              <w:tab/>
            </w:r>
            <w:r w:rsidR="002B6818">
              <w:rPr>
                <w:noProof/>
                <w:webHidden/>
              </w:rPr>
              <w:fldChar w:fldCharType="begin"/>
            </w:r>
            <w:r w:rsidR="002B6818">
              <w:rPr>
                <w:noProof/>
                <w:webHidden/>
              </w:rPr>
              <w:instrText xml:space="preserve"> PAGEREF _Toc102489128 \h </w:instrText>
            </w:r>
            <w:r w:rsidR="002B6818">
              <w:rPr>
                <w:noProof/>
                <w:webHidden/>
              </w:rPr>
            </w:r>
            <w:r w:rsidR="002B6818">
              <w:rPr>
                <w:noProof/>
                <w:webHidden/>
              </w:rPr>
              <w:fldChar w:fldCharType="separate"/>
            </w:r>
            <w:r w:rsidR="002B6818">
              <w:rPr>
                <w:noProof/>
                <w:webHidden/>
              </w:rPr>
              <w:t>9</w:t>
            </w:r>
            <w:r w:rsidR="002B6818">
              <w:rPr>
                <w:noProof/>
                <w:webHidden/>
              </w:rPr>
              <w:fldChar w:fldCharType="end"/>
            </w:r>
          </w:hyperlink>
        </w:p>
        <w:p w14:paraId="19811E35" w14:textId="77777777" w:rsidR="002B6818" w:rsidRDefault="004D7AB1">
          <w:pPr>
            <w:pStyle w:val="TOC1"/>
            <w:tabs>
              <w:tab w:val="right" w:leader="dot" w:pos="9350"/>
            </w:tabs>
            <w:rPr>
              <w:noProof/>
            </w:rPr>
          </w:pPr>
          <w:hyperlink w:anchor="_Toc102489129" w:history="1">
            <w:r w:rsidR="002B6818" w:rsidRPr="00C47BD5">
              <w:rPr>
                <w:rStyle w:val="Hyperlink"/>
                <w:noProof/>
              </w:rPr>
              <w:t>References</w:t>
            </w:r>
            <w:r w:rsidR="002B6818">
              <w:rPr>
                <w:noProof/>
                <w:webHidden/>
              </w:rPr>
              <w:tab/>
            </w:r>
            <w:r w:rsidR="002B6818">
              <w:rPr>
                <w:noProof/>
                <w:webHidden/>
              </w:rPr>
              <w:fldChar w:fldCharType="begin"/>
            </w:r>
            <w:r w:rsidR="002B6818">
              <w:rPr>
                <w:noProof/>
                <w:webHidden/>
              </w:rPr>
              <w:instrText xml:space="preserve"> PAGEREF _Toc102489129 \h </w:instrText>
            </w:r>
            <w:r w:rsidR="002B6818">
              <w:rPr>
                <w:noProof/>
                <w:webHidden/>
              </w:rPr>
            </w:r>
            <w:r w:rsidR="002B6818">
              <w:rPr>
                <w:noProof/>
                <w:webHidden/>
              </w:rPr>
              <w:fldChar w:fldCharType="separate"/>
            </w:r>
            <w:r w:rsidR="002B6818">
              <w:rPr>
                <w:noProof/>
                <w:webHidden/>
              </w:rPr>
              <w:t>10</w:t>
            </w:r>
            <w:r w:rsidR="002B6818">
              <w:rPr>
                <w:noProof/>
                <w:webHidden/>
              </w:rPr>
              <w:fldChar w:fldCharType="end"/>
            </w:r>
          </w:hyperlink>
        </w:p>
        <w:p w14:paraId="0970912D" w14:textId="77777777" w:rsidR="002B6818" w:rsidRDefault="002B6818">
          <w:r>
            <w:rPr>
              <w:b/>
              <w:bCs/>
              <w:noProof/>
            </w:rPr>
            <w:fldChar w:fldCharType="end"/>
          </w:r>
        </w:p>
      </w:sdtContent>
    </w:sdt>
    <w:p w14:paraId="3E7E2E7C" w14:textId="77777777" w:rsidR="009A6CE9" w:rsidRDefault="009A6CE9" w:rsidP="002B6818"/>
    <w:p w14:paraId="09CA1B4C" w14:textId="77777777" w:rsidR="009F6286" w:rsidRDefault="009F6286">
      <w:pPr>
        <w:spacing w:line="259" w:lineRule="auto"/>
        <w:jc w:val="left"/>
        <w:rPr>
          <w:b/>
          <w:sz w:val="36"/>
        </w:rPr>
      </w:pPr>
      <w:r>
        <w:rPr>
          <w:b/>
          <w:sz w:val="36"/>
        </w:rPr>
        <w:br w:type="page"/>
      </w:r>
    </w:p>
    <w:p w14:paraId="2985FAB1" w14:textId="77777777" w:rsidR="00EC651F" w:rsidRDefault="005F4E28" w:rsidP="00B64EB6">
      <w:pPr>
        <w:pStyle w:val="Heading1"/>
      </w:pPr>
      <w:bookmarkStart w:id="0" w:name="_Toc102489122"/>
      <w:r>
        <w:lastRenderedPageBreak/>
        <w:t xml:space="preserve">1. </w:t>
      </w:r>
      <w:r w:rsidR="00EC651F">
        <w:t>Introduction</w:t>
      </w:r>
      <w:bookmarkEnd w:id="0"/>
    </w:p>
    <w:p w14:paraId="13EF281A" w14:textId="77777777" w:rsidR="008B4C9A" w:rsidRPr="008B4C9A" w:rsidRDefault="00AE43F3" w:rsidP="008B4C9A">
      <w:r w:rsidRPr="00AE43F3">
        <w:t>Employee participation is a notion that is still in its early stages. It is believed by the vast majority of firms that the compensation they provide their workers works as an incentive. It is not a good idea, though, to think in this way. Employee engagement is impacted by a broad range of non-financial characteristics as well as financial factors in a variety of industries. The potential to advance in one's career as well as the respect received from colleagues and superiors, as well as a supportive work environment and exposure to more senior members of the workforce, are all elements that contribute to one's happiness at work. Using a variety of instruments provided by the great majority of large firms, it is possible to determine an employee's degree of participation.</w:t>
      </w:r>
    </w:p>
    <w:p w14:paraId="58E23214" w14:textId="77777777" w:rsidR="00C33438" w:rsidRDefault="00C33438">
      <w:pPr>
        <w:spacing w:line="259" w:lineRule="auto"/>
        <w:jc w:val="left"/>
        <w:rPr>
          <w:b/>
          <w:sz w:val="28"/>
        </w:rPr>
      </w:pPr>
      <w:r>
        <w:br w:type="page"/>
      </w:r>
    </w:p>
    <w:p w14:paraId="78A811CA" w14:textId="77777777" w:rsidR="00B64EB6" w:rsidRDefault="009D0692" w:rsidP="00B64EB6">
      <w:pPr>
        <w:pStyle w:val="Heading1"/>
      </w:pPr>
      <w:bookmarkStart w:id="1" w:name="_Toc102489123"/>
      <w:r>
        <w:lastRenderedPageBreak/>
        <w:t xml:space="preserve">2. </w:t>
      </w:r>
      <w:r w:rsidR="00B64EB6">
        <w:t>Reviewing the concept and drivers of employee engagement</w:t>
      </w:r>
      <w:bookmarkEnd w:id="1"/>
    </w:p>
    <w:p w14:paraId="62BF5B21" w14:textId="77777777" w:rsidR="00327B5D" w:rsidRPr="00327B5D" w:rsidRDefault="009D0692" w:rsidP="00327B5D">
      <w:pPr>
        <w:pStyle w:val="Heading2"/>
      </w:pPr>
      <w:bookmarkStart w:id="2" w:name="_Toc102489124"/>
      <w:r>
        <w:t xml:space="preserve">2.1 </w:t>
      </w:r>
      <w:r w:rsidR="001A051C">
        <w:t>Concepts of employee engagement</w:t>
      </w:r>
      <w:bookmarkEnd w:id="2"/>
    </w:p>
    <w:p w14:paraId="6217FECB" w14:textId="77777777" w:rsidR="005167A5" w:rsidRDefault="003E7532" w:rsidP="00B77B95">
      <w:r w:rsidRPr="003E7532">
        <w:t>Employee involvement is a concept that is relatively new. The majority of businesses think that the salary they provide their employees serves as a motivator. However, it is not a good idea to think in this manner. Employee engagement is influenced by a wide range of non-financial variables as well as financial reasons. There are a variety of factors that contribute to this, including the opportunity to develop in one's career and the respect one gets from colleagues and superiors, as well as a supportive atmosphere and exposure to more senior members of the workforce</w:t>
      </w:r>
      <w:r w:rsidR="00327B5D">
        <w:t xml:space="preserve"> (</w:t>
      </w:r>
      <w:r w:rsidR="00327B5D" w:rsidRPr="00C33135">
        <w:t>Piwowar-</w:t>
      </w:r>
      <w:r w:rsidR="00327B5D">
        <w:t>Sulej et al., 2022)</w:t>
      </w:r>
      <w:r w:rsidRPr="003E7532">
        <w:t xml:space="preserve">. An employee's level of involvement may be assessed using a range of tools given by the vast majority of big organizations. </w:t>
      </w:r>
    </w:p>
    <w:p w14:paraId="4D968A9C" w14:textId="77777777" w:rsidR="00B77B95" w:rsidRPr="00B77B95" w:rsidRDefault="003E7532" w:rsidP="00B77B95">
      <w:r w:rsidRPr="003E7532">
        <w:t>Organizational communication ethos, the manner in which employees see their jobs, and the company's leadership are all essential elements in influencing the amount of employee engagement in a given firm. To put that another way, employee satisfaction as a reflection of a company's desire to serve its clients is defined by an employee's excitement and energy. It is necessary for an organization's staff to be confident and eager to invest in long-term work in order for it to succeed</w:t>
      </w:r>
      <w:r w:rsidR="00327B5D">
        <w:t xml:space="preserve"> (Tang</w:t>
      </w:r>
      <w:r w:rsidR="00327B5D" w:rsidRPr="00511ECB">
        <w:t xml:space="preserve"> </w:t>
      </w:r>
      <w:r w:rsidR="00327B5D">
        <w:t>and Zhang, 2021)</w:t>
      </w:r>
      <w:r w:rsidRPr="003E7532">
        <w:t>. Employee engagement has been defined by a number of experts, including myself, as a mix of intellectual and emotional commitment to a company.</w:t>
      </w:r>
    </w:p>
    <w:p w14:paraId="23506CD9" w14:textId="77777777" w:rsidR="009D0692" w:rsidRDefault="00F614A5" w:rsidP="00B77B95">
      <w:pPr>
        <w:pStyle w:val="Heading2"/>
      </w:pPr>
      <w:bookmarkStart w:id="3" w:name="_Toc102489125"/>
      <w:r>
        <w:t>2.2 Drivers of employee engagement</w:t>
      </w:r>
      <w:bookmarkEnd w:id="3"/>
    </w:p>
    <w:p w14:paraId="5F6C8311" w14:textId="77777777" w:rsidR="009C5A10" w:rsidRDefault="009C5A10" w:rsidP="009C5A10">
      <w:r>
        <w:t>An engaged work environment, which is the consequence of the engagement drivers, will always result in improved employee attitudes and behavior. A lot of employee engagement studies have been carried out in attempt to determine the elements that impact employee commitment and loyalty. Included among these criteria are the availability of possibilities for professional progress and education and training, as well as the availability of competitive remuneration and benefits packages, among others</w:t>
      </w:r>
      <w:r w:rsidR="00327B5D">
        <w:t xml:space="preserve"> (Riyanto et al., </w:t>
      </w:r>
      <w:r w:rsidR="00327B5D" w:rsidRPr="0031153B">
        <w:t>2021)</w:t>
      </w:r>
      <w:r>
        <w:t>. Employee engagement, in fact, identifies a number of factors that contribute to employee involvement, including career development, opportunities for individual development, comprehensive talent strategic planning, clear organizational values, considerate development of people and the organization's image, as well as pensions and working conditions, job evaluation, career prog</w:t>
      </w:r>
      <w:r w:rsidR="00FB0E60">
        <w:t>ression, and health and safety.</w:t>
      </w:r>
    </w:p>
    <w:p w14:paraId="60ED12E4" w14:textId="77777777" w:rsidR="009C5A10" w:rsidRDefault="009C5A10" w:rsidP="009C5A10">
      <w:r>
        <w:t>The importance of some of the research that has been conducted on these topics cannot be overstated. It is more likely that employees will understand their obligations and how their efforts contribute to the overall success of the organization if their contributions are appropriately communicated to them</w:t>
      </w:r>
      <w:r w:rsidR="00327B5D">
        <w:t xml:space="preserve"> (Aquino Jr</w:t>
      </w:r>
      <w:r w:rsidR="00327B5D" w:rsidRPr="004C41C4">
        <w:t xml:space="preserve"> </w:t>
      </w:r>
      <w:r w:rsidR="00327B5D">
        <w:t xml:space="preserve">and Jalagat Jr, </w:t>
      </w:r>
      <w:r w:rsidR="00327B5D" w:rsidRPr="004C41C4">
        <w:t>2022)</w:t>
      </w:r>
      <w:r>
        <w:t xml:space="preserve">. According to a poll conducted by the </w:t>
      </w:r>
      <w:r>
        <w:lastRenderedPageBreak/>
        <w:t>Chartered Institute of Personnel and Development, career growth and knowledge were the most important motivators for performance management. Employee uneasiness as a consequence of anticipated organizational changes, according to the results of this study, may be reduced to a minimum if managers communicate effectively with their employees well in advance. Despite the fact that it is evident that good communication is a critical aspect in sustaining employee engagement, many employees think that informal appreciation of their efforts should be provided on a frequent basis to encourage them to continue their efforts. Additional advantages include the establishment of a psychological contract between the organization and the person, in which both parties feel valued for their contributions</w:t>
      </w:r>
      <w:r w:rsidR="00327B5D">
        <w:t xml:space="preserve"> (Bratton et al., </w:t>
      </w:r>
      <w:r w:rsidR="00327B5D" w:rsidRPr="00D15F22">
        <w:t>2022)</w:t>
      </w:r>
      <w:r>
        <w:t>. Therefore, workers are more devoted to their professions, which increases productivity while simultaneously decreasing employee churn.</w:t>
      </w:r>
    </w:p>
    <w:p w14:paraId="01FAAE5E" w14:textId="77777777" w:rsidR="009C5A10" w:rsidRPr="009C5A10" w:rsidRDefault="009C5A10" w:rsidP="009C5A10">
      <w:r>
        <w:t>The American Society for Training and Development (ASTD) conducted a survey on employee engagement and found that more than half of those who responded believed that the efficacy of education and training activities had a major impact on employee commitment. Several studies have shown that the vast majority of employees leave their firms in pursuit of better opportunities elsewhere</w:t>
      </w:r>
      <w:r w:rsidR="00327B5D">
        <w:t xml:space="preserve"> (Alsafadi</w:t>
      </w:r>
      <w:r w:rsidR="00327B5D" w:rsidRPr="00F33E4A">
        <w:t xml:space="preserve"> </w:t>
      </w:r>
      <w:r w:rsidR="00327B5D">
        <w:t xml:space="preserve">and Altahat, </w:t>
      </w:r>
      <w:r w:rsidR="00327B5D" w:rsidRPr="00F33E4A">
        <w:t>2021)</w:t>
      </w:r>
      <w:r>
        <w:t>. There is a high association between a company's financial success and the amount of time and money it devotes to employee development initiatives, according to research. According to an ASTD study, most employees need some kind of recognition for their accomplishments in order to remain motivated rather than concentrating only on their shortcomings.</w:t>
      </w:r>
    </w:p>
    <w:p w14:paraId="08FFF117" w14:textId="77777777" w:rsidR="00B64EB6" w:rsidRDefault="009C5A10" w:rsidP="00B64EB6">
      <w:pPr>
        <w:pStyle w:val="Heading1"/>
      </w:pPr>
      <w:bookmarkStart w:id="4" w:name="_Toc102489126"/>
      <w:r>
        <w:t xml:space="preserve">3. </w:t>
      </w:r>
      <w:r w:rsidR="00B64EB6">
        <w:t>Evaluating diagnostic tools to measure engagement</w:t>
      </w:r>
      <w:bookmarkEnd w:id="4"/>
    </w:p>
    <w:p w14:paraId="5DD0C7E3" w14:textId="77777777" w:rsidR="00E50470" w:rsidRDefault="00FB0E60" w:rsidP="00FB0E60">
      <w:r w:rsidRPr="00FB0E60">
        <w:t>For the purpose of measuring employee burnout, the Oldenburg Burnout Inventory is a novel instrument that has just been developed. There are two half to this spectrum: one that ranges from tiredness to vigor, and another that ranges from pessimism to resolve. Researchers in the United States, Germany, and Greece have shown that factororial legality exists via study. Gallup Organization created the Gallup Workplace Audit as an extra tool for measuring employee engagement in the workplace (GWA)</w:t>
      </w:r>
      <w:r w:rsidR="00327B5D">
        <w:t xml:space="preserve"> (Chanana, </w:t>
      </w:r>
      <w:r w:rsidR="00327B5D" w:rsidRPr="00A55276">
        <w:t>2021)</w:t>
      </w:r>
      <w:r w:rsidRPr="00FB0E60">
        <w:t xml:space="preserve">. In an attempt to identify the two fundamental categories that assess behavioral outcomes and their antecedents, researchers have conducted substantial research into work motivation, job satisfaction, and team performance. </w:t>
      </w:r>
    </w:p>
    <w:p w14:paraId="2D9139B5" w14:textId="77777777" w:rsidR="00E50470" w:rsidRDefault="00FB0E60" w:rsidP="00FB0E60">
      <w:r w:rsidRPr="00FB0E60">
        <w:t xml:space="preserve">In fact, this strategy is often used even in academic publications. Luthans and Peterson (2002) discovered that Gallup's measure of employee engagement was a significant predictor of </w:t>
      </w:r>
      <w:r w:rsidRPr="00FB0E60">
        <w:lastRenderedPageBreak/>
        <w:t>productivity and retention, and their findings should be used to provide a theoretical framework for a better understanding, validation, and testing of the GWA</w:t>
      </w:r>
      <w:r w:rsidR="00327B5D">
        <w:t xml:space="preserve"> (Dlouhy</w:t>
      </w:r>
      <w:r w:rsidR="00327B5D" w:rsidRPr="0031153B">
        <w:t xml:space="preserve"> </w:t>
      </w:r>
      <w:r w:rsidR="00327B5D">
        <w:t xml:space="preserve">and Casper, </w:t>
      </w:r>
      <w:r w:rsidR="00327B5D" w:rsidRPr="0031153B">
        <w:t>2021)</w:t>
      </w:r>
      <w:r w:rsidRPr="00FB0E60">
        <w:t xml:space="preserve">. Using their own assessment methodology, all of the major consulting firms claim to be able to increase a company's employee engagement levels by identifying and correcting the underlying reasons of low levels of involvement. For example, the Benchmark of Engagement Quotient (BeQ) established by Mandala Consulting, which offered a four-phase research technique, is an excellent illustration of this concept. </w:t>
      </w:r>
    </w:p>
    <w:p w14:paraId="375F8EAD" w14:textId="77777777" w:rsidR="00E50470" w:rsidRDefault="00FB0E60" w:rsidP="00FB0E60">
      <w:r w:rsidRPr="00FB0E60">
        <w:t xml:space="preserve">May and colleagues (2004) used their results to develop their own measure of employee engagement, which took into account cognitive, emotional, and physical variables. In the words of Schaufeli and colleagues (2002), absorption is characterized by a dedication to one's activity that is both comprehensive and thorough. Researchers May et al. (2004) discovered a positive relationship between cognitive performance and UWES absorption, which may be shown using an actual case study. The vigor of UWES and the energy of May et al. (2004) are equivalent in their overlap. Saks (2006) may be considered one of a slew of others who have developed their own method for assessing employee engagement throughout the years. </w:t>
      </w:r>
    </w:p>
    <w:p w14:paraId="67F145FB" w14:textId="77777777" w:rsidR="00E50470" w:rsidRDefault="00FB0E60" w:rsidP="00FB0E60">
      <w:r w:rsidRPr="00FB0E60">
        <w:t>He developed two six-item measures to gauge job and organizational participation in order to better understand his employees. According to an observation made, the work engagement items developed by Saks (2006) seem to be equivalent to the absorption items developed by Schaufeli et al. (2002). To increase employee engagement, it is essential to make employees feel as if they are a part of something greater than their own individual accomplishments</w:t>
      </w:r>
      <w:r w:rsidR="00327B5D">
        <w:t xml:space="preserve"> (Han et al., </w:t>
      </w:r>
      <w:r w:rsidR="00327B5D" w:rsidRPr="001F6057">
        <w:t>2021)</w:t>
      </w:r>
      <w:r w:rsidRPr="00FB0E60">
        <w:t xml:space="preserve">. One of these aspects may be shown by the exhilarating sense of belonging that one has when one joins this organization. If the idea of employee participation cannot be effectively defined, then measuring employee involvement is worthless. </w:t>
      </w:r>
    </w:p>
    <w:p w14:paraId="2E16A4CC" w14:textId="77777777" w:rsidR="00FB0E60" w:rsidRPr="00FB0E60" w:rsidRDefault="00FB0E60" w:rsidP="00FB0E60">
      <w:r w:rsidRPr="00FB0E60">
        <w:t>The bulk of employee engagement metrics, according to several research, consist of a disjointed collection of elements that fit into one of four categories: organizational commitment, job satisfaction, job involvement, and psychological empowerment. In order to determine the frequency and duration of engagement sensations, as well as the length of time they last, it is necessary to use these metrics</w:t>
      </w:r>
      <w:r w:rsidR="00327B5D">
        <w:t xml:space="preserve"> (Armstrong, </w:t>
      </w:r>
      <w:r w:rsidR="00327B5D" w:rsidRPr="003D2B29">
        <w:t>2021)</w:t>
      </w:r>
      <w:r w:rsidRPr="00FB0E60">
        <w:t>. The following data demonstrates that certain measures are reliant on the concept of employee engagement, some have equivalent measuring items, and others have totally complete measuring items, as shown in the following table. Despite the fact that UWES and GWA are commonly employed in research, there are still objections and questions about their utilization. Each method of measuring employee engagement has its own set of implications and connotations, and each has its own set of ramifications and repercussions.</w:t>
      </w:r>
    </w:p>
    <w:p w14:paraId="35BCEE31" w14:textId="77777777" w:rsidR="009F6286" w:rsidRDefault="0037485F" w:rsidP="00B64EB6">
      <w:pPr>
        <w:pStyle w:val="Heading1"/>
      </w:pPr>
      <w:bookmarkStart w:id="5" w:name="_Toc102489127"/>
      <w:r>
        <w:lastRenderedPageBreak/>
        <w:t xml:space="preserve">4. </w:t>
      </w:r>
      <w:r w:rsidR="00B64EB6">
        <w:t>Constructing an employee value proposition including strategies to raise levels of engagement</w:t>
      </w:r>
      <w:bookmarkEnd w:id="5"/>
      <w:r w:rsidR="003E0FE0">
        <w:t>/ Recommendations</w:t>
      </w:r>
    </w:p>
    <w:p w14:paraId="2C0A9D9A" w14:textId="77777777" w:rsidR="00883B2F" w:rsidRDefault="00C2207B" w:rsidP="00C2207B">
      <w:r>
        <w:t>According to the assessment of the corporate leadership council, the firm is capable of developing a new executive vice president. For example, a corporation may do research into what makes its EVP stand out among their competitors in the workplace. The difficulties that distinguish a firm from its competitors should be given top priority by the company. If the firm looked into the labor market for its competitors, it could be able to hire the best people available. Alternatively, the firm might organize a workshop for its workers to decide the most important components of EVP to emphasize</w:t>
      </w:r>
      <w:r w:rsidR="00327B5D">
        <w:t xml:space="preserve"> (</w:t>
      </w:r>
      <w:r w:rsidR="00327B5D" w:rsidRPr="00C33135">
        <w:t>Piwowar-</w:t>
      </w:r>
      <w:r w:rsidR="00327B5D">
        <w:t>Sulej et al., 2022)</w:t>
      </w:r>
      <w:r>
        <w:t xml:space="preserve">. </w:t>
      </w:r>
    </w:p>
    <w:p w14:paraId="2E4CE195" w14:textId="77777777" w:rsidR="00C2207B" w:rsidRDefault="00C2207B" w:rsidP="00C2207B">
      <w:r>
        <w:t>Employees at EVP are always the best source of information when it comes to the company. Because of a clear understanding of what to expect from the organization as a whole, employees have the confidence they need to talk candidly with people who need to know about their expectations from their employer. The organization should collect as much information from employees as possible in order to create the best EVP</w:t>
      </w:r>
      <w:r w:rsidR="00327B5D">
        <w:t xml:space="preserve"> (Chanana, </w:t>
      </w:r>
      <w:r w:rsidR="00327B5D" w:rsidRPr="00A55276">
        <w:t>2021)</w:t>
      </w:r>
      <w:r>
        <w:t>. Employee value propositions and levels of employee engagement are detailed in the next section.</w:t>
      </w:r>
    </w:p>
    <w:p w14:paraId="5676D34A" w14:textId="77777777" w:rsidR="00D40C68" w:rsidRDefault="00241A1B" w:rsidP="00D40C68">
      <w:r w:rsidRPr="00BD74B7">
        <w:rPr>
          <w:b/>
        </w:rPr>
        <w:t>Ensuring right tools:</w:t>
      </w:r>
      <w:r>
        <w:t xml:space="preserve"> </w:t>
      </w:r>
      <w:r w:rsidR="00D40C68">
        <w:t>It's possible that one of the most overlooked things when it comes to employee engagement is ensuring that employees have all of the tools they need to succeed in their individual professions. According to the Global Human Capital Trends 2016</w:t>
      </w:r>
      <w:r w:rsidR="00883B2F">
        <w:t xml:space="preserve"> survey conducted by Deloitte, enabling infrastructure</w:t>
      </w:r>
      <w:r w:rsidR="00D40C68">
        <w:t xml:space="preserve"> is a significant driver of employee engagement around the globe.</w:t>
      </w:r>
    </w:p>
    <w:p w14:paraId="2794A6A2" w14:textId="77777777" w:rsidR="00100139" w:rsidRDefault="0074073D" w:rsidP="00100139">
      <w:r w:rsidRPr="0074073D">
        <w:rPr>
          <w:b/>
        </w:rPr>
        <w:t>Individual Attention:</w:t>
      </w:r>
      <w:r>
        <w:t xml:space="preserve"> </w:t>
      </w:r>
      <w:r w:rsidR="00D40C68">
        <w:t>A challenge may be identifying a plan that will work with a workforce that is multinational, multi-ethnic, and multigenerational. It's probable that everyone's reaction will be different from one another</w:t>
      </w:r>
      <w:r w:rsidR="00327B5D">
        <w:t xml:space="preserve"> (Han et al., </w:t>
      </w:r>
      <w:r w:rsidR="00327B5D" w:rsidRPr="001F6057">
        <w:t>2021)</w:t>
      </w:r>
      <w:r w:rsidR="00D40C68">
        <w:t>.</w:t>
      </w:r>
    </w:p>
    <w:p w14:paraId="0CC96C25" w14:textId="77777777" w:rsidR="00D40C68" w:rsidRDefault="00086952" w:rsidP="00D40C68">
      <w:r w:rsidRPr="00190E23">
        <w:rPr>
          <w:b/>
        </w:rPr>
        <w:t>Training and coaching:</w:t>
      </w:r>
      <w:r>
        <w:t xml:space="preserve"> </w:t>
      </w:r>
      <w:r w:rsidR="00D40C68">
        <w:t>There are several advantages to building a work climate that encourages people to consistently improve their skills and performance. It also gives the idea that the organization values and believes in the abilities of its employees.</w:t>
      </w:r>
    </w:p>
    <w:p w14:paraId="2646925F" w14:textId="77777777" w:rsidR="00D40C68" w:rsidRDefault="003D7BA6" w:rsidP="00D40C68">
      <w:r w:rsidRPr="00065680">
        <w:rPr>
          <w:b/>
        </w:rPr>
        <w:t>Understanding employees:</w:t>
      </w:r>
      <w:r>
        <w:t xml:space="preserve"> </w:t>
      </w:r>
      <w:r w:rsidR="00D40C68">
        <w:t>According to the 2016 Trends in Global Employee Engagement report conducted by Aon, successful leaders pay close attention to what their people have to say and then act on their observations and recommendations</w:t>
      </w:r>
      <w:r w:rsidR="00327B5D">
        <w:t xml:space="preserve"> (Armstrong, </w:t>
      </w:r>
      <w:r w:rsidR="00327B5D" w:rsidRPr="003D2B29">
        <w:t>2021)</w:t>
      </w:r>
      <w:r w:rsidR="00D40C68">
        <w:t>. The fact that pulse surveys and performance conversations are replacing or complementing annual staff surveys on a more frequent basis is one of the reasons for this shift.</w:t>
      </w:r>
    </w:p>
    <w:p w14:paraId="7C6A1290" w14:textId="77777777" w:rsidR="0084674D" w:rsidRDefault="00065680" w:rsidP="0084674D">
      <w:r w:rsidRPr="00BF0B38">
        <w:rPr>
          <w:b/>
        </w:rPr>
        <w:lastRenderedPageBreak/>
        <w:t>Interacting socially:</w:t>
      </w:r>
      <w:r>
        <w:t xml:space="preserve"> </w:t>
      </w:r>
      <w:r w:rsidR="0084674D">
        <w:t xml:space="preserve">A deep emotional connection is formed between employees who are actively interested in their jobs and the work itself. Building closer ties among colleagues is a simple strategy for encouraging your employees to become more committed in their careers. In today's corporate environment, where teams play an increasingly important role, it is critical to have strong personal relationships. </w:t>
      </w:r>
      <w:r w:rsidR="00666C02">
        <w:t>Organisation should not</w:t>
      </w:r>
      <w:r w:rsidR="0084674D">
        <w:t xml:space="preserve"> be scared to go outside the box when it comes to HR-sponsored events. HR may f</w:t>
      </w:r>
      <w:r w:rsidR="00327B5D">
        <w:t>und a broad range of activities (Alsafadi</w:t>
      </w:r>
      <w:r w:rsidR="00327B5D" w:rsidRPr="00F33E4A">
        <w:t xml:space="preserve"> </w:t>
      </w:r>
      <w:r w:rsidR="00327B5D">
        <w:t xml:space="preserve">and Altahat, </w:t>
      </w:r>
      <w:r w:rsidR="00327B5D" w:rsidRPr="00F33E4A">
        <w:t>2021)</w:t>
      </w:r>
      <w:r w:rsidR="00327B5D">
        <w:t>.</w:t>
      </w:r>
    </w:p>
    <w:p w14:paraId="0C57062B" w14:textId="77777777" w:rsidR="0084674D" w:rsidRDefault="00BF0B38" w:rsidP="0084674D">
      <w:r w:rsidRPr="00C2207B">
        <w:rPr>
          <w:b/>
        </w:rPr>
        <w:t>Serving the demands of employees:</w:t>
      </w:r>
      <w:r>
        <w:t xml:space="preserve"> </w:t>
      </w:r>
      <w:r w:rsidR="0084674D">
        <w:t>Another method of assisting workers in strengthening their links is by participation in community service activities. And putting ideas into action doesn't need a lot of financial resources. These initiatives cater to the fundamental urge of employees to find purpose in their work. According to the Deloitte study, this is a significant motivation for employee participation.</w:t>
      </w:r>
    </w:p>
    <w:p w14:paraId="019449CF" w14:textId="77777777" w:rsidR="002B1A3A" w:rsidRDefault="002B1A3A">
      <w:pPr>
        <w:spacing w:line="259" w:lineRule="auto"/>
        <w:jc w:val="left"/>
        <w:rPr>
          <w:b/>
          <w:sz w:val="28"/>
        </w:rPr>
      </w:pPr>
      <w:r>
        <w:br w:type="page"/>
      </w:r>
    </w:p>
    <w:p w14:paraId="30E047CB" w14:textId="77777777" w:rsidR="002333A1" w:rsidRDefault="00043AF0" w:rsidP="00E92390">
      <w:pPr>
        <w:pStyle w:val="Heading1"/>
      </w:pPr>
      <w:bookmarkStart w:id="6" w:name="_Toc102489128"/>
      <w:r>
        <w:lastRenderedPageBreak/>
        <w:t xml:space="preserve">5. </w:t>
      </w:r>
      <w:r w:rsidR="00A324B5">
        <w:t>Conclusion</w:t>
      </w:r>
      <w:bookmarkEnd w:id="6"/>
    </w:p>
    <w:p w14:paraId="272EF610" w14:textId="77777777" w:rsidR="00A324B5" w:rsidRDefault="009F0209" w:rsidP="009F0209">
      <w:r w:rsidRPr="009F0209">
        <w:t>Employees at EVP are usually the finest source of knowledge when it comes to the organization. The confidence that comes from a clear grasp of what to anticipate from the business as a whole gives workers the ability to speak freely with those who need to know about their expectations from their employer. In order to build the ideal EVP, the business needs gather as much information from workers as feasible. The next section goes into further depth on employee value propositions and levels of employee engagement.</w:t>
      </w:r>
    </w:p>
    <w:p w14:paraId="4FA29572" w14:textId="77777777" w:rsidR="00B52989" w:rsidRDefault="00B52989">
      <w:pPr>
        <w:spacing w:line="259" w:lineRule="auto"/>
        <w:jc w:val="left"/>
      </w:pPr>
      <w:r>
        <w:br w:type="page"/>
      </w:r>
    </w:p>
    <w:p w14:paraId="2B4C1F81" w14:textId="77777777" w:rsidR="001F5B0E" w:rsidRDefault="00B52989" w:rsidP="00B102DB">
      <w:pPr>
        <w:pStyle w:val="Heading1"/>
      </w:pPr>
      <w:bookmarkStart w:id="7" w:name="_Toc102489129"/>
      <w:r>
        <w:lastRenderedPageBreak/>
        <w:t>References</w:t>
      </w:r>
      <w:bookmarkEnd w:id="7"/>
    </w:p>
    <w:p w14:paraId="484864C7" w14:textId="77777777" w:rsidR="004D7AB1" w:rsidRPr="00F33E4A" w:rsidRDefault="004D7AB1" w:rsidP="00F33E4A">
      <w:r w:rsidRPr="00F33E4A">
        <w:t xml:space="preserve">Alsafadi, Y., </w:t>
      </w:r>
      <w:r>
        <w:t>and</w:t>
      </w:r>
      <w:r w:rsidRPr="00F33E4A">
        <w:t xml:space="preserve"> Altahat, S. (2021). Human resource management practices and employee performance: the role of job satisfaction. </w:t>
      </w:r>
      <w:r w:rsidRPr="00F33E4A">
        <w:rPr>
          <w:i/>
          <w:iCs/>
        </w:rPr>
        <w:t>The Journal of Asian Finance, Economics, and Business</w:t>
      </w:r>
      <w:r w:rsidRPr="00F33E4A">
        <w:t xml:space="preserve">, </w:t>
      </w:r>
      <w:r w:rsidRPr="00F33E4A">
        <w:rPr>
          <w:i/>
          <w:iCs/>
        </w:rPr>
        <w:t>8</w:t>
      </w:r>
      <w:r w:rsidRPr="00F33E4A">
        <w:t>(1), 519-529.</w:t>
      </w:r>
    </w:p>
    <w:p w14:paraId="1C4F09BA" w14:textId="77777777" w:rsidR="004D7AB1" w:rsidRPr="004C41C4" w:rsidRDefault="004D7AB1" w:rsidP="004C41C4">
      <w:r w:rsidRPr="004C41C4">
        <w:t xml:space="preserve">Aquino Jr, P. G., </w:t>
      </w:r>
      <w:r>
        <w:t>and</w:t>
      </w:r>
      <w:r w:rsidRPr="004C41C4">
        <w:t xml:space="preserve"> Jalagat Jr, R. C. (Eds.). (2022). </w:t>
      </w:r>
      <w:r w:rsidRPr="004C41C4">
        <w:rPr>
          <w:i/>
          <w:iCs/>
        </w:rPr>
        <w:t>Navigating the New Normal of Business With Enhanced Human Resource Management Strategies</w:t>
      </w:r>
      <w:r w:rsidRPr="004C41C4">
        <w:t>. IGI Global.</w:t>
      </w:r>
    </w:p>
    <w:p w14:paraId="1F34D979" w14:textId="77777777" w:rsidR="004D7AB1" w:rsidRPr="003D2B29" w:rsidRDefault="004D7AB1" w:rsidP="003D2B29">
      <w:r w:rsidRPr="003D2B29">
        <w:t xml:space="preserve">Armstrong, M. (2021). </w:t>
      </w:r>
      <w:r w:rsidRPr="003D2B29">
        <w:rPr>
          <w:i/>
          <w:iCs/>
        </w:rPr>
        <w:t>Strategic human resource management</w:t>
      </w:r>
      <w:r w:rsidRPr="003D2B29">
        <w:t>. Kogan page.</w:t>
      </w:r>
    </w:p>
    <w:p w14:paraId="4987B393" w14:textId="77777777" w:rsidR="004D7AB1" w:rsidRPr="00D15F22" w:rsidRDefault="004D7AB1" w:rsidP="00D15F22">
      <w:r w:rsidRPr="00D15F22">
        <w:t xml:space="preserve">Bratton, J., Gold, J., Bratton, A., </w:t>
      </w:r>
      <w:r>
        <w:t>and</w:t>
      </w:r>
      <w:r w:rsidRPr="00D15F22">
        <w:t xml:space="preserve"> Steele, L. (2022). Human Resource Management: A Critical Approach.</w:t>
      </w:r>
    </w:p>
    <w:p w14:paraId="7600E637" w14:textId="77777777" w:rsidR="004D7AB1" w:rsidRPr="00A55276" w:rsidRDefault="004D7AB1" w:rsidP="00A55276">
      <w:r w:rsidRPr="00A55276">
        <w:t>Chanana, N. (2021). Employee engagement practices during COVID</w:t>
      </w:r>
      <w:r w:rsidRPr="00A55276">
        <w:rPr>
          <w:rFonts w:ascii="Cambria Math" w:hAnsi="Cambria Math" w:cs="Cambria Math"/>
        </w:rPr>
        <w:t>‐</w:t>
      </w:r>
      <w:r w:rsidRPr="00A55276">
        <w:t xml:space="preserve">19 lockdown. </w:t>
      </w:r>
      <w:r w:rsidRPr="00A55276">
        <w:rPr>
          <w:i/>
          <w:iCs/>
        </w:rPr>
        <w:t>Journal of public affairs</w:t>
      </w:r>
      <w:r w:rsidRPr="00A55276">
        <w:t xml:space="preserve">, </w:t>
      </w:r>
      <w:r w:rsidRPr="00A55276">
        <w:rPr>
          <w:i/>
          <w:iCs/>
        </w:rPr>
        <w:t>21</w:t>
      </w:r>
      <w:r w:rsidRPr="00A55276">
        <w:t>(4), e2508.</w:t>
      </w:r>
    </w:p>
    <w:p w14:paraId="1B8CC7B1" w14:textId="77777777" w:rsidR="004D7AB1" w:rsidRPr="0031153B" w:rsidRDefault="004D7AB1" w:rsidP="0031153B">
      <w:r w:rsidRPr="0031153B">
        <w:t xml:space="preserve">Dlouhy, K., </w:t>
      </w:r>
      <w:r>
        <w:t>and</w:t>
      </w:r>
      <w:r w:rsidRPr="0031153B">
        <w:t xml:space="preserve"> Casper, A. (2021). Downsizing and surviving employees' engagement and strain: The role of job resources and job demands. </w:t>
      </w:r>
      <w:r w:rsidRPr="0031153B">
        <w:rPr>
          <w:i/>
          <w:iCs/>
        </w:rPr>
        <w:t>Human Resource Management</w:t>
      </w:r>
      <w:r w:rsidRPr="0031153B">
        <w:t xml:space="preserve">, </w:t>
      </w:r>
      <w:r w:rsidRPr="0031153B">
        <w:rPr>
          <w:i/>
          <w:iCs/>
        </w:rPr>
        <w:t>60</w:t>
      </w:r>
      <w:r w:rsidRPr="0031153B">
        <w:t>(3), 435-454.</w:t>
      </w:r>
    </w:p>
    <w:p w14:paraId="02D58096" w14:textId="77777777" w:rsidR="004D7AB1" w:rsidRPr="001F6057" w:rsidRDefault="004D7AB1" w:rsidP="001F6057">
      <w:r w:rsidRPr="001F6057">
        <w:t xml:space="preserve">Han, S. H., Sung, M., </w:t>
      </w:r>
      <w:r>
        <w:t>and</w:t>
      </w:r>
      <w:r w:rsidRPr="001F6057">
        <w:t xml:space="preserve"> Suh, B. (2021). Linking meaningfulness to work outcomes through job characteristics and work engagement. </w:t>
      </w:r>
      <w:r w:rsidRPr="001F6057">
        <w:rPr>
          <w:i/>
          <w:iCs/>
        </w:rPr>
        <w:t>Human Resource Development International</w:t>
      </w:r>
      <w:r w:rsidRPr="001F6057">
        <w:t xml:space="preserve">, </w:t>
      </w:r>
      <w:r w:rsidRPr="001F6057">
        <w:rPr>
          <w:i/>
          <w:iCs/>
        </w:rPr>
        <w:t>24</w:t>
      </w:r>
      <w:r w:rsidRPr="001F6057">
        <w:t>(1), 3-22.</w:t>
      </w:r>
    </w:p>
    <w:p w14:paraId="53B29F35" w14:textId="77777777" w:rsidR="004D7AB1" w:rsidRPr="00C33135" w:rsidRDefault="004D7AB1" w:rsidP="00C33135">
      <w:r w:rsidRPr="00C33135">
        <w:t xml:space="preserve">Piwowar-Sulej, K., Wawak, S., Tyrańska, M., Zakrzewska, M., Jarosz, S., </w:t>
      </w:r>
      <w:r>
        <w:t>and</w:t>
      </w:r>
      <w:r w:rsidRPr="00C33135">
        <w:t xml:space="preserve"> Sołtysik, M. (2022). Research trends in human resource management. A text-mining-based literature review. </w:t>
      </w:r>
      <w:r w:rsidRPr="00C33135">
        <w:rPr>
          <w:i/>
          <w:iCs/>
        </w:rPr>
        <w:t>International Journal of Manpower</w:t>
      </w:r>
      <w:r w:rsidRPr="00C33135">
        <w:t>, (ahead-of-print).</w:t>
      </w:r>
    </w:p>
    <w:p w14:paraId="06928E40" w14:textId="77777777" w:rsidR="004D7AB1" w:rsidRPr="0031153B" w:rsidRDefault="004D7AB1" w:rsidP="0031153B">
      <w:r w:rsidRPr="0031153B">
        <w:t xml:space="preserve">Riyanto, S., Endri, E., </w:t>
      </w:r>
      <w:r>
        <w:t>and</w:t>
      </w:r>
      <w:r w:rsidRPr="0031153B">
        <w:t xml:space="preserve"> Herlisha, N. (2021). Effect of work motivation and job satisfaction on employee performance: Mediating role of employee engagement. </w:t>
      </w:r>
      <w:r w:rsidRPr="0031153B">
        <w:rPr>
          <w:i/>
          <w:iCs/>
        </w:rPr>
        <w:t>Problems and Perspectives in Management</w:t>
      </w:r>
      <w:r w:rsidRPr="0031153B">
        <w:t xml:space="preserve">, </w:t>
      </w:r>
      <w:r w:rsidRPr="0031153B">
        <w:rPr>
          <w:i/>
          <w:iCs/>
        </w:rPr>
        <w:t>19</w:t>
      </w:r>
      <w:r w:rsidRPr="0031153B">
        <w:t>(3), 162-174.</w:t>
      </w:r>
    </w:p>
    <w:p w14:paraId="3F67D723" w14:textId="77777777" w:rsidR="004D7AB1" w:rsidRPr="00511ECB" w:rsidRDefault="004D7AB1" w:rsidP="00511ECB">
      <w:r w:rsidRPr="00511ECB">
        <w:t xml:space="preserve">Tang, L., </w:t>
      </w:r>
      <w:r>
        <w:t>and</w:t>
      </w:r>
      <w:r w:rsidRPr="00511ECB">
        <w:t xml:space="preserve"> Zhang, P. (2021). </w:t>
      </w:r>
      <w:r w:rsidRPr="00511ECB">
        <w:rPr>
          <w:i/>
          <w:iCs/>
        </w:rPr>
        <w:t>Human resource management in shipping: issues, challenges, and solutions</w:t>
      </w:r>
      <w:r w:rsidRPr="00511ECB">
        <w:t>. Routledge.</w:t>
      </w:r>
    </w:p>
    <w:p w14:paraId="0883C7E3" w14:textId="77777777" w:rsidR="002B6818" w:rsidRPr="002B6818" w:rsidRDefault="002B6818" w:rsidP="00E221C3"/>
    <w:p w14:paraId="42981021" w14:textId="77777777" w:rsidR="00B52989" w:rsidRPr="00C2207B" w:rsidRDefault="00B52989" w:rsidP="009A6CE9"/>
    <w:p w14:paraId="1D5BA9A7" w14:textId="77777777" w:rsidR="00B64EB6" w:rsidRPr="00B64EB6" w:rsidRDefault="00B64EB6" w:rsidP="0037485F"/>
    <w:sectPr w:rsidR="00B64EB6" w:rsidRPr="00B64EB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6286"/>
    <w:rsid w:val="00040655"/>
    <w:rsid w:val="00043AF0"/>
    <w:rsid w:val="00065680"/>
    <w:rsid w:val="00086952"/>
    <w:rsid w:val="00087667"/>
    <w:rsid w:val="00100139"/>
    <w:rsid w:val="00135876"/>
    <w:rsid w:val="00190E23"/>
    <w:rsid w:val="001A051C"/>
    <w:rsid w:val="001D4D25"/>
    <w:rsid w:val="001E487B"/>
    <w:rsid w:val="001F5B0E"/>
    <w:rsid w:val="001F6057"/>
    <w:rsid w:val="002333A1"/>
    <w:rsid w:val="00233E4B"/>
    <w:rsid w:val="00241A1B"/>
    <w:rsid w:val="00280A9C"/>
    <w:rsid w:val="002B1A3A"/>
    <w:rsid w:val="002B6818"/>
    <w:rsid w:val="002F4F55"/>
    <w:rsid w:val="0031153B"/>
    <w:rsid w:val="00327B5D"/>
    <w:rsid w:val="0037485F"/>
    <w:rsid w:val="003D2B29"/>
    <w:rsid w:val="003D7BA6"/>
    <w:rsid w:val="003E0FE0"/>
    <w:rsid w:val="003E7532"/>
    <w:rsid w:val="004C41C4"/>
    <w:rsid w:val="004D3623"/>
    <w:rsid w:val="004D7AB1"/>
    <w:rsid w:val="004F2508"/>
    <w:rsid w:val="00511ECB"/>
    <w:rsid w:val="005167A5"/>
    <w:rsid w:val="005F4E28"/>
    <w:rsid w:val="00666C02"/>
    <w:rsid w:val="006B1485"/>
    <w:rsid w:val="0074073D"/>
    <w:rsid w:val="0079415C"/>
    <w:rsid w:val="007A2DAD"/>
    <w:rsid w:val="0084674D"/>
    <w:rsid w:val="008478BA"/>
    <w:rsid w:val="00850D79"/>
    <w:rsid w:val="00883B2F"/>
    <w:rsid w:val="008B4C9A"/>
    <w:rsid w:val="00965C16"/>
    <w:rsid w:val="0098621B"/>
    <w:rsid w:val="009A6CE9"/>
    <w:rsid w:val="009C5A10"/>
    <w:rsid w:val="009D0692"/>
    <w:rsid w:val="009F0209"/>
    <w:rsid w:val="009F6286"/>
    <w:rsid w:val="00A324B5"/>
    <w:rsid w:val="00A55276"/>
    <w:rsid w:val="00A6591F"/>
    <w:rsid w:val="00A92A8F"/>
    <w:rsid w:val="00AC6297"/>
    <w:rsid w:val="00AE43F3"/>
    <w:rsid w:val="00B102DB"/>
    <w:rsid w:val="00B320C5"/>
    <w:rsid w:val="00B52989"/>
    <w:rsid w:val="00B64EB6"/>
    <w:rsid w:val="00B77B95"/>
    <w:rsid w:val="00BD74B7"/>
    <w:rsid w:val="00BF0B38"/>
    <w:rsid w:val="00C076F0"/>
    <w:rsid w:val="00C2207B"/>
    <w:rsid w:val="00C33135"/>
    <w:rsid w:val="00C33438"/>
    <w:rsid w:val="00C671CA"/>
    <w:rsid w:val="00CC3E7E"/>
    <w:rsid w:val="00D15F22"/>
    <w:rsid w:val="00D376BB"/>
    <w:rsid w:val="00D40C68"/>
    <w:rsid w:val="00E221C3"/>
    <w:rsid w:val="00E50470"/>
    <w:rsid w:val="00E92390"/>
    <w:rsid w:val="00EC651F"/>
    <w:rsid w:val="00EE1512"/>
    <w:rsid w:val="00F33E4A"/>
    <w:rsid w:val="00F45A4D"/>
    <w:rsid w:val="00F614A5"/>
    <w:rsid w:val="00F67C85"/>
    <w:rsid w:val="00FB0E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97ACA4"/>
  <w15:chartTrackingRefBased/>
  <w15:docId w15:val="{62EDE0FF-D606-42ED-8E5A-39DB39B2F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3E7E"/>
    <w:pPr>
      <w:spacing w:line="360" w:lineRule="auto"/>
      <w:jc w:val="both"/>
    </w:pPr>
    <w:rPr>
      <w:rFonts w:ascii="Arial" w:hAnsi="Arial"/>
      <w:lang w:val="en-GB"/>
    </w:rPr>
  </w:style>
  <w:style w:type="paragraph" w:styleId="Heading1">
    <w:name w:val="heading 1"/>
    <w:basedOn w:val="Normal"/>
    <w:next w:val="Normal"/>
    <w:link w:val="Heading1Char"/>
    <w:uiPriority w:val="9"/>
    <w:qFormat/>
    <w:rsid w:val="00A6591F"/>
    <w:pPr>
      <w:outlineLvl w:val="0"/>
    </w:pPr>
    <w:rPr>
      <w:b/>
      <w:sz w:val="28"/>
    </w:rPr>
  </w:style>
  <w:style w:type="paragraph" w:styleId="Heading2">
    <w:name w:val="heading 2"/>
    <w:basedOn w:val="Normal"/>
    <w:next w:val="Normal"/>
    <w:link w:val="Heading2Char"/>
    <w:uiPriority w:val="9"/>
    <w:unhideWhenUsed/>
    <w:qFormat/>
    <w:rsid w:val="00C076F0"/>
    <w:pPr>
      <w:keepNext/>
      <w:keepLines/>
      <w:spacing w:before="40" w:after="0"/>
      <w:outlineLvl w:val="1"/>
    </w:pPr>
    <w:rPr>
      <w:rFonts w:eastAsiaTheme="majorEastAsia" w:cstheme="majorBidi"/>
      <w:b/>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591F"/>
    <w:rPr>
      <w:rFonts w:ascii="Arial" w:hAnsi="Arial"/>
      <w:b/>
      <w:sz w:val="28"/>
      <w:lang w:val="en-GB"/>
    </w:rPr>
  </w:style>
  <w:style w:type="character" w:customStyle="1" w:styleId="Heading2Char">
    <w:name w:val="Heading 2 Char"/>
    <w:basedOn w:val="DefaultParagraphFont"/>
    <w:link w:val="Heading2"/>
    <w:uiPriority w:val="9"/>
    <w:rsid w:val="00C076F0"/>
    <w:rPr>
      <w:rFonts w:ascii="Arial" w:eastAsiaTheme="majorEastAsia" w:hAnsi="Arial" w:cstheme="majorBidi"/>
      <w:b/>
      <w:color w:val="2F5496" w:themeColor="accent1" w:themeShade="BF"/>
      <w:sz w:val="26"/>
      <w:szCs w:val="26"/>
      <w:lang w:val="en-GB"/>
    </w:rPr>
  </w:style>
  <w:style w:type="character" w:styleId="Hyperlink">
    <w:name w:val="Hyperlink"/>
    <w:basedOn w:val="DefaultParagraphFont"/>
    <w:uiPriority w:val="99"/>
    <w:unhideWhenUsed/>
    <w:rsid w:val="00100139"/>
    <w:rPr>
      <w:color w:val="0563C1" w:themeColor="hyperlink"/>
      <w:u w:val="single"/>
    </w:rPr>
  </w:style>
  <w:style w:type="paragraph" w:styleId="TOCHeading">
    <w:name w:val="TOC Heading"/>
    <w:basedOn w:val="Heading1"/>
    <w:next w:val="Normal"/>
    <w:uiPriority w:val="39"/>
    <w:unhideWhenUsed/>
    <w:qFormat/>
    <w:rsid w:val="002B6818"/>
    <w:pPr>
      <w:keepNext/>
      <w:keepLines/>
      <w:spacing w:before="240" w:after="0" w:line="259" w:lineRule="auto"/>
      <w:jc w:val="left"/>
      <w:outlineLvl w:val="9"/>
    </w:pPr>
    <w:rPr>
      <w:rFonts w:asciiTheme="majorHAnsi" w:eastAsiaTheme="majorEastAsia" w:hAnsiTheme="majorHAnsi" w:cstheme="majorBidi"/>
      <w:b w:val="0"/>
      <w:color w:val="2F5496" w:themeColor="accent1" w:themeShade="BF"/>
      <w:sz w:val="32"/>
      <w:szCs w:val="32"/>
      <w:lang w:val="en-US"/>
    </w:rPr>
  </w:style>
  <w:style w:type="paragraph" w:styleId="TOC1">
    <w:name w:val="toc 1"/>
    <w:basedOn w:val="Normal"/>
    <w:next w:val="Normal"/>
    <w:autoRedefine/>
    <w:uiPriority w:val="39"/>
    <w:unhideWhenUsed/>
    <w:rsid w:val="002B6818"/>
    <w:pPr>
      <w:spacing w:after="100"/>
    </w:pPr>
  </w:style>
  <w:style w:type="paragraph" w:styleId="TOC2">
    <w:name w:val="toc 2"/>
    <w:basedOn w:val="Normal"/>
    <w:next w:val="Normal"/>
    <w:autoRedefine/>
    <w:uiPriority w:val="39"/>
    <w:unhideWhenUsed/>
    <w:rsid w:val="002B6818"/>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10158">
      <w:bodyDiv w:val="1"/>
      <w:marLeft w:val="0"/>
      <w:marRight w:val="0"/>
      <w:marTop w:val="0"/>
      <w:marBottom w:val="0"/>
      <w:divBdr>
        <w:top w:val="none" w:sz="0" w:space="0" w:color="auto"/>
        <w:left w:val="none" w:sz="0" w:space="0" w:color="auto"/>
        <w:bottom w:val="none" w:sz="0" w:space="0" w:color="auto"/>
        <w:right w:val="none" w:sz="0" w:space="0" w:color="auto"/>
      </w:divBdr>
      <w:divsChild>
        <w:div w:id="217131988">
          <w:marLeft w:val="0"/>
          <w:marRight w:val="0"/>
          <w:marTop w:val="0"/>
          <w:marBottom w:val="0"/>
          <w:divBdr>
            <w:top w:val="none" w:sz="0" w:space="0" w:color="auto"/>
            <w:left w:val="none" w:sz="0" w:space="0" w:color="auto"/>
            <w:bottom w:val="none" w:sz="0" w:space="0" w:color="auto"/>
            <w:right w:val="none" w:sz="0" w:space="0" w:color="auto"/>
          </w:divBdr>
        </w:div>
      </w:divsChild>
    </w:div>
    <w:div w:id="151068799">
      <w:bodyDiv w:val="1"/>
      <w:marLeft w:val="0"/>
      <w:marRight w:val="0"/>
      <w:marTop w:val="0"/>
      <w:marBottom w:val="0"/>
      <w:divBdr>
        <w:top w:val="none" w:sz="0" w:space="0" w:color="auto"/>
        <w:left w:val="none" w:sz="0" w:space="0" w:color="auto"/>
        <w:bottom w:val="none" w:sz="0" w:space="0" w:color="auto"/>
        <w:right w:val="none" w:sz="0" w:space="0" w:color="auto"/>
      </w:divBdr>
      <w:divsChild>
        <w:div w:id="110101745">
          <w:marLeft w:val="0"/>
          <w:marRight w:val="0"/>
          <w:marTop w:val="0"/>
          <w:marBottom w:val="0"/>
          <w:divBdr>
            <w:top w:val="none" w:sz="0" w:space="0" w:color="auto"/>
            <w:left w:val="none" w:sz="0" w:space="0" w:color="auto"/>
            <w:bottom w:val="none" w:sz="0" w:space="0" w:color="auto"/>
            <w:right w:val="none" w:sz="0" w:space="0" w:color="auto"/>
          </w:divBdr>
        </w:div>
      </w:divsChild>
    </w:div>
    <w:div w:id="302007667">
      <w:bodyDiv w:val="1"/>
      <w:marLeft w:val="0"/>
      <w:marRight w:val="0"/>
      <w:marTop w:val="0"/>
      <w:marBottom w:val="0"/>
      <w:divBdr>
        <w:top w:val="none" w:sz="0" w:space="0" w:color="auto"/>
        <w:left w:val="none" w:sz="0" w:space="0" w:color="auto"/>
        <w:bottom w:val="none" w:sz="0" w:space="0" w:color="auto"/>
        <w:right w:val="none" w:sz="0" w:space="0" w:color="auto"/>
      </w:divBdr>
      <w:divsChild>
        <w:div w:id="1647006022">
          <w:marLeft w:val="0"/>
          <w:marRight w:val="0"/>
          <w:marTop w:val="0"/>
          <w:marBottom w:val="0"/>
          <w:divBdr>
            <w:top w:val="none" w:sz="0" w:space="0" w:color="auto"/>
            <w:left w:val="none" w:sz="0" w:space="0" w:color="auto"/>
            <w:bottom w:val="none" w:sz="0" w:space="0" w:color="auto"/>
            <w:right w:val="none" w:sz="0" w:space="0" w:color="auto"/>
          </w:divBdr>
        </w:div>
      </w:divsChild>
    </w:div>
    <w:div w:id="502279619">
      <w:bodyDiv w:val="1"/>
      <w:marLeft w:val="0"/>
      <w:marRight w:val="0"/>
      <w:marTop w:val="0"/>
      <w:marBottom w:val="0"/>
      <w:divBdr>
        <w:top w:val="none" w:sz="0" w:space="0" w:color="auto"/>
        <w:left w:val="none" w:sz="0" w:space="0" w:color="auto"/>
        <w:bottom w:val="none" w:sz="0" w:space="0" w:color="auto"/>
        <w:right w:val="none" w:sz="0" w:space="0" w:color="auto"/>
      </w:divBdr>
      <w:divsChild>
        <w:div w:id="397678264">
          <w:marLeft w:val="0"/>
          <w:marRight w:val="0"/>
          <w:marTop w:val="0"/>
          <w:marBottom w:val="0"/>
          <w:divBdr>
            <w:top w:val="none" w:sz="0" w:space="0" w:color="auto"/>
            <w:left w:val="none" w:sz="0" w:space="0" w:color="auto"/>
            <w:bottom w:val="none" w:sz="0" w:space="0" w:color="auto"/>
            <w:right w:val="none" w:sz="0" w:space="0" w:color="auto"/>
          </w:divBdr>
        </w:div>
      </w:divsChild>
    </w:div>
    <w:div w:id="665518273">
      <w:bodyDiv w:val="1"/>
      <w:marLeft w:val="0"/>
      <w:marRight w:val="0"/>
      <w:marTop w:val="0"/>
      <w:marBottom w:val="0"/>
      <w:divBdr>
        <w:top w:val="none" w:sz="0" w:space="0" w:color="auto"/>
        <w:left w:val="none" w:sz="0" w:space="0" w:color="auto"/>
        <w:bottom w:val="none" w:sz="0" w:space="0" w:color="auto"/>
        <w:right w:val="none" w:sz="0" w:space="0" w:color="auto"/>
      </w:divBdr>
      <w:divsChild>
        <w:div w:id="961887477">
          <w:marLeft w:val="0"/>
          <w:marRight w:val="0"/>
          <w:marTop w:val="0"/>
          <w:marBottom w:val="0"/>
          <w:divBdr>
            <w:top w:val="none" w:sz="0" w:space="0" w:color="auto"/>
            <w:left w:val="none" w:sz="0" w:space="0" w:color="auto"/>
            <w:bottom w:val="none" w:sz="0" w:space="0" w:color="auto"/>
            <w:right w:val="none" w:sz="0" w:space="0" w:color="auto"/>
          </w:divBdr>
        </w:div>
      </w:divsChild>
    </w:div>
    <w:div w:id="756902377">
      <w:bodyDiv w:val="1"/>
      <w:marLeft w:val="0"/>
      <w:marRight w:val="0"/>
      <w:marTop w:val="0"/>
      <w:marBottom w:val="0"/>
      <w:divBdr>
        <w:top w:val="none" w:sz="0" w:space="0" w:color="auto"/>
        <w:left w:val="none" w:sz="0" w:space="0" w:color="auto"/>
        <w:bottom w:val="none" w:sz="0" w:space="0" w:color="auto"/>
        <w:right w:val="none" w:sz="0" w:space="0" w:color="auto"/>
      </w:divBdr>
      <w:divsChild>
        <w:div w:id="314727431">
          <w:marLeft w:val="0"/>
          <w:marRight w:val="0"/>
          <w:marTop w:val="0"/>
          <w:marBottom w:val="0"/>
          <w:divBdr>
            <w:top w:val="none" w:sz="0" w:space="0" w:color="auto"/>
            <w:left w:val="none" w:sz="0" w:space="0" w:color="auto"/>
            <w:bottom w:val="none" w:sz="0" w:space="0" w:color="auto"/>
            <w:right w:val="none" w:sz="0" w:space="0" w:color="auto"/>
          </w:divBdr>
        </w:div>
      </w:divsChild>
    </w:div>
    <w:div w:id="789318562">
      <w:bodyDiv w:val="1"/>
      <w:marLeft w:val="0"/>
      <w:marRight w:val="0"/>
      <w:marTop w:val="0"/>
      <w:marBottom w:val="0"/>
      <w:divBdr>
        <w:top w:val="none" w:sz="0" w:space="0" w:color="auto"/>
        <w:left w:val="none" w:sz="0" w:space="0" w:color="auto"/>
        <w:bottom w:val="none" w:sz="0" w:space="0" w:color="auto"/>
        <w:right w:val="none" w:sz="0" w:space="0" w:color="auto"/>
      </w:divBdr>
      <w:divsChild>
        <w:div w:id="290749697">
          <w:marLeft w:val="0"/>
          <w:marRight w:val="0"/>
          <w:marTop w:val="0"/>
          <w:marBottom w:val="0"/>
          <w:divBdr>
            <w:top w:val="none" w:sz="0" w:space="0" w:color="auto"/>
            <w:left w:val="none" w:sz="0" w:space="0" w:color="auto"/>
            <w:bottom w:val="none" w:sz="0" w:space="0" w:color="auto"/>
            <w:right w:val="none" w:sz="0" w:space="0" w:color="auto"/>
          </w:divBdr>
        </w:div>
      </w:divsChild>
    </w:div>
    <w:div w:id="1335450206">
      <w:bodyDiv w:val="1"/>
      <w:marLeft w:val="0"/>
      <w:marRight w:val="0"/>
      <w:marTop w:val="0"/>
      <w:marBottom w:val="0"/>
      <w:divBdr>
        <w:top w:val="none" w:sz="0" w:space="0" w:color="auto"/>
        <w:left w:val="none" w:sz="0" w:space="0" w:color="auto"/>
        <w:bottom w:val="none" w:sz="0" w:space="0" w:color="auto"/>
        <w:right w:val="none" w:sz="0" w:space="0" w:color="auto"/>
      </w:divBdr>
      <w:divsChild>
        <w:div w:id="1059942857">
          <w:marLeft w:val="0"/>
          <w:marRight w:val="0"/>
          <w:marTop w:val="0"/>
          <w:marBottom w:val="0"/>
          <w:divBdr>
            <w:top w:val="none" w:sz="0" w:space="0" w:color="auto"/>
            <w:left w:val="none" w:sz="0" w:space="0" w:color="auto"/>
            <w:bottom w:val="none" w:sz="0" w:space="0" w:color="auto"/>
            <w:right w:val="none" w:sz="0" w:space="0" w:color="auto"/>
          </w:divBdr>
        </w:div>
      </w:divsChild>
    </w:div>
    <w:div w:id="1484002150">
      <w:bodyDiv w:val="1"/>
      <w:marLeft w:val="0"/>
      <w:marRight w:val="0"/>
      <w:marTop w:val="0"/>
      <w:marBottom w:val="0"/>
      <w:divBdr>
        <w:top w:val="none" w:sz="0" w:space="0" w:color="auto"/>
        <w:left w:val="none" w:sz="0" w:space="0" w:color="auto"/>
        <w:bottom w:val="none" w:sz="0" w:space="0" w:color="auto"/>
        <w:right w:val="none" w:sz="0" w:space="0" w:color="auto"/>
      </w:divBdr>
      <w:divsChild>
        <w:div w:id="1741630045">
          <w:marLeft w:val="0"/>
          <w:marRight w:val="0"/>
          <w:marTop w:val="0"/>
          <w:marBottom w:val="0"/>
          <w:divBdr>
            <w:top w:val="none" w:sz="0" w:space="0" w:color="auto"/>
            <w:left w:val="none" w:sz="0" w:space="0" w:color="auto"/>
            <w:bottom w:val="none" w:sz="0" w:space="0" w:color="auto"/>
            <w:right w:val="none" w:sz="0" w:space="0" w:color="auto"/>
          </w:divBdr>
        </w:div>
      </w:divsChild>
    </w:div>
    <w:div w:id="1573005107">
      <w:bodyDiv w:val="1"/>
      <w:marLeft w:val="0"/>
      <w:marRight w:val="0"/>
      <w:marTop w:val="0"/>
      <w:marBottom w:val="0"/>
      <w:divBdr>
        <w:top w:val="none" w:sz="0" w:space="0" w:color="auto"/>
        <w:left w:val="none" w:sz="0" w:space="0" w:color="auto"/>
        <w:bottom w:val="none" w:sz="0" w:space="0" w:color="auto"/>
        <w:right w:val="none" w:sz="0" w:space="0" w:color="auto"/>
      </w:divBdr>
    </w:div>
    <w:div w:id="1691949521">
      <w:bodyDiv w:val="1"/>
      <w:marLeft w:val="0"/>
      <w:marRight w:val="0"/>
      <w:marTop w:val="0"/>
      <w:marBottom w:val="0"/>
      <w:divBdr>
        <w:top w:val="none" w:sz="0" w:space="0" w:color="auto"/>
        <w:left w:val="none" w:sz="0" w:space="0" w:color="auto"/>
        <w:bottom w:val="none" w:sz="0" w:space="0" w:color="auto"/>
        <w:right w:val="none" w:sz="0" w:space="0" w:color="auto"/>
      </w:divBdr>
      <w:divsChild>
        <w:div w:id="1255476991">
          <w:marLeft w:val="0"/>
          <w:marRight w:val="0"/>
          <w:marTop w:val="0"/>
          <w:marBottom w:val="0"/>
          <w:divBdr>
            <w:top w:val="none" w:sz="0" w:space="0" w:color="auto"/>
            <w:left w:val="none" w:sz="0" w:space="0" w:color="auto"/>
            <w:bottom w:val="none" w:sz="0" w:space="0" w:color="auto"/>
            <w:right w:val="none" w:sz="0" w:space="0" w:color="auto"/>
          </w:divBdr>
        </w:div>
      </w:divsChild>
    </w:div>
    <w:div w:id="2070105299">
      <w:bodyDiv w:val="1"/>
      <w:marLeft w:val="0"/>
      <w:marRight w:val="0"/>
      <w:marTop w:val="0"/>
      <w:marBottom w:val="0"/>
      <w:divBdr>
        <w:top w:val="none" w:sz="0" w:space="0" w:color="auto"/>
        <w:left w:val="none" w:sz="0" w:space="0" w:color="auto"/>
        <w:bottom w:val="none" w:sz="0" w:space="0" w:color="auto"/>
        <w:right w:val="none" w:sz="0" w:space="0" w:color="auto"/>
      </w:divBdr>
      <w:divsChild>
        <w:div w:id="647712640">
          <w:marLeft w:val="0"/>
          <w:marRight w:val="0"/>
          <w:marTop w:val="0"/>
          <w:marBottom w:val="0"/>
          <w:divBdr>
            <w:top w:val="none" w:sz="0" w:space="0" w:color="auto"/>
            <w:left w:val="none" w:sz="0" w:space="0" w:color="auto"/>
            <w:bottom w:val="none" w:sz="0" w:space="0" w:color="auto"/>
            <w:right w:val="none" w:sz="0" w:space="0" w:color="auto"/>
          </w:divBdr>
        </w:div>
      </w:divsChild>
    </w:div>
    <w:div w:id="2116095742">
      <w:bodyDiv w:val="1"/>
      <w:marLeft w:val="0"/>
      <w:marRight w:val="0"/>
      <w:marTop w:val="0"/>
      <w:marBottom w:val="0"/>
      <w:divBdr>
        <w:top w:val="none" w:sz="0" w:space="0" w:color="auto"/>
        <w:left w:val="none" w:sz="0" w:space="0" w:color="auto"/>
        <w:bottom w:val="none" w:sz="0" w:space="0" w:color="auto"/>
        <w:right w:val="none" w:sz="0" w:space="0" w:color="auto"/>
      </w:divBdr>
      <w:divsChild>
        <w:div w:id="13113269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D54A34-D994-434A-BD11-75533D10E2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1</Pages>
  <Words>2381</Words>
  <Characters>13576</Characters>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2022-05-03T10:04:00Z</dcterms:created>
  <dcterms:modified xsi:type="dcterms:W3CDTF">2022-05-06T09:05:00Z</dcterms:modified>
</cp:coreProperties>
</file>