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0"/>
      </w:tblGrid>
      <w:tr w:rsidR="00F927A1" w:rsidRPr="005D3F07" w14:paraId="68CAA39D" w14:textId="77777777" w:rsidTr="005A021B">
        <w:tc>
          <w:tcPr>
            <w:tcW w:w="10910" w:type="dxa"/>
            <w:shd w:val="clear" w:color="auto" w:fill="auto"/>
          </w:tcPr>
          <w:p w14:paraId="02F8EE88" w14:textId="6AE8C6F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A021B">
              <w:rPr>
                <w:rFonts w:ascii="Times New Roman" w:hAnsi="Times New Roman" w:cs="Times New Roman"/>
                <w:b/>
                <w:color w:val="auto"/>
                <w:sz w:val="48"/>
              </w:rPr>
              <w:t xml:space="preserve">Seren Edwards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8B8A88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A021B">
              <w:rPr>
                <w:rFonts w:ascii="Times New Roman" w:hAnsi="Times New Roman" w:cs="Times New Roman"/>
                <w:b/>
                <w:color w:val="auto"/>
                <w:sz w:val="48"/>
              </w:rPr>
              <w:t xml:space="preserve"> seren.edwards@yahoo.co.uk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468C935"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5A021B">
              <w:rPr>
                <w:rFonts w:ascii="Times New Roman" w:hAnsi="Times New Roman" w:cs="Times New Roman"/>
                <w:b/>
                <w:color w:val="auto"/>
                <w:sz w:val="48"/>
              </w:rPr>
              <w:t xml:space="preserve"> 2223707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Pr="005A021B" w:rsidRDefault="00BB7FD2" w:rsidP="00FF7EBB">
            <w:pPr>
              <w:jc w:val="both"/>
              <w:rPr>
                <w:b/>
                <w:sz w:val="24"/>
                <w:szCs w:val="24"/>
              </w:rPr>
            </w:pPr>
            <w:r w:rsidRPr="005A021B">
              <w:rPr>
                <w:b/>
                <w:sz w:val="24"/>
                <w:szCs w:val="24"/>
              </w:rPr>
              <w:t>In an area that</w:t>
            </w:r>
            <w:r w:rsidRPr="00AE1868">
              <w:rPr>
                <w:b/>
                <w:sz w:val="24"/>
                <w:szCs w:val="24"/>
              </w:rPr>
              <w:t xml:space="preserve"> is not your main focus of work </w:t>
            </w:r>
            <w:r w:rsidRPr="005A021B">
              <w:rPr>
                <w:b/>
                <w:sz w:val="24"/>
                <w:szCs w:val="24"/>
              </w:rPr>
              <w:t xml:space="preserve">(see guidance above), </w:t>
            </w:r>
            <w:r w:rsidR="0002440E" w:rsidRPr="005A021B">
              <w:rPr>
                <w:b/>
                <w:sz w:val="24"/>
                <w:szCs w:val="24"/>
              </w:rPr>
              <w:t>explain</w:t>
            </w:r>
            <w:r w:rsidR="008340BA" w:rsidRPr="005A021B">
              <w:rPr>
                <w:b/>
                <w:sz w:val="24"/>
                <w:szCs w:val="24"/>
              </w:rPr>
              <w:t xml:space="preserve"> </w:t>
            </w:r>
            <w:r w:rsidR="00DA22EC" w:rsidRPr="005A021B">
              <w:rPr>
                <w:b/>
                <w:sz w:val="24"/>
                <w:szCs w:val="24"/>
              </w:rPr>
              <w:t>the</w:t>
            </w:r>
            <w:r w:rsidR="005A545C" w:rsidRPr="005A021B">
              <w:rPr>
                <w:b/>
                <w:sz w:val="24"/>
                <w:szCs w:val="24"/>
              </w:rPr>
              <w:t xml:space="preserve"> relevant </w:t>
            </w:r>
            <w:r w:rsidRPr="005A021B">
              <w:rPr>
                <w:b/>
                <w:sz w:val="24"/>
                <w:szCs w:val="24"/>
              </w:rPr>
              <w:t xml:space="preserve">legislation, </w:t>
            </w:r>
            <w:r w:rsidR="0002440E" w:rsidRPr="005A021B">
              <w:rPr>
                <w:b/>
                <w:sz w:val="24"/>
                <w:szCs w:val="24"/>
              </w:rPr>
              <w:t>and</w:t>
            </w:r>
            <w:r w:rsidR="008340BA" w:rsidRPr="005A021B">
              <w:rPr>
                <w:b/>
                <w:sz w:val="24"/>
                <w:szCs w:val="24"/>
              </w:rPr>
              <w:t xml:space="preserve"> the </w:t>
            </w:r>
            <w:r w:rsidR="005A545C" w:rsidRPr="005A021B">
              <w:rPr>
                <w:b/>
                <w:sz w:val="24"/>
                <w:szCs w:val="24"/>
              </w:rPr>
              <w:t>national, local and organisational policies and procedures</w:t>
            </w:r>
            <w:r w:rsidRPr="005A021B">
              <w:rPr>
                <w:b/>
                <w:sz w:val="24"/>
                <w:szCs w:val="24"/>
              </w:rPr>
              <w:t xml:space="preserve"> for safeguarding. </w:t>
            </w:r>
          </w:p>
          <w:p w14:paraId="774095BD" w14:textId="1CBAAAE1" w:rsidR="00FC0334" w:rsidRPr="005A021B" w:rsidRDefault="00FC0334" w:rsidP="00FF7EBB">
            <w:pPr>
              <w:jc w:val="both"/>
              <w:rPr>
                <w:b/>
                <w:sz w:val="24"/>
                <w:szCs w:val="24"/>
              </w:rPr>
            </w:pPr>
          </w:p>
          <w:p w14:paraId="4FF8EBF3" w14:textId="0DCF8AA0" w:rsidR="005A545C" w:rsidRPr="005A021B" w:rsidRDefault="005414F4" w:rsidP="00FF7EBB">
            <w:pPr>
              <w:jc w:val="both"/>
              <w:rPr>
                <w:b/>
                <w:sz w:val="24"/>
                <w:szCs w:val="24"/>
              </w:rPr>
            </w:pPr>
            <w:r w:rsidRPr="005A021B">
              <w:rPr>
                <w:b/>
                <w:i/>
                <w:sz w:val="24"/>
                <w:szCs w:val="24"/>
              </w:rPr>
              <w:t>5</w:t>
            </w:r>
            <w:r w:rsidR="00DA22EC" w:rsidRPr="005A021B">
              <w:rPr>
                <w:b/>
                <w:i/>
                <w:sz w:val="24"/>
                <w:szCs w:val="24"/>
              </w:rPr>
              <w:t>00 words</w:t>
            </w:r>
            <w:r w:rsidR="00DA22EC" w:rsidRPr="005A021B">
              <w:rPr>
                <w:b/>
                <w:sz w:val="24"/>
                <w:szCs w:val="24"/>
              </w:rPr>
              <w:t xml:space="preserve"> </w:t>
            </w:r>
            <w:r w:rsidR="008B28E7" w:rsidRPr="005A021B">
              <w:rPr>
                <w:b/>
                <w:sz w:val="24"/>
                <w:szCs w:val="24"/>
              </w:rPr>
              <w:t>(+/- 10%: include your actual word count at the end of each section)</w:t>
            </w:r>
            <w:r w:rsidR="007A628F" w:rsidRPr="005A021B">
              <w:rPr>
                <w:b/>
                <w:sz w:val="24"/>
                <w:szCs w:val="24"/>
              </w:rPr>
              <w:t>.</w:t>
            </w:r>
          </w:p>
          <w:p w14:paraId="6E05CF00" w14:textId="400BD7CD" w:rsidR="005A021B" w:rsidRDefault="005A021B" w:rsidP="00FF7EBB">
            <w:pPr>
              <w:jc w:val="both"/>
              <w:rPr>
                <w:sz w:val="24"/>
                <w:szCs w:val="24"/>
              </w:rPr>
            </w:pPr>
          </w:p>
          <w:p w14:paraId="710C43D0" w14:textId="77777777" w:rsidR="005A021B" w:rsidRPr="000F6F38" w:rsidRDefault="005A021B" w:rsidP="005A021B">
            <w:pPr>
              <w:spacing w:line="360" w:lineRule="auto"/>
              <w:jc w:val="both"/>
              <w:rPr>
                <w:sz w:val="24"/>
                <w:szCs w:val="24"/>
              </w:rPr>
            </w:pPr>
            <w:r w:rsidRPr="000F6F38">
              <w:rPr>
                <w:sz w:val="24"/>
                <w:szCs w:val="24"/>
              </w:rPr>
              <w:t xml:space="preserve">The main legislation that relates to safeguarding adults and children in Wales is Social Services and Well-being (Wales) Act (2014). The act highlights that an adult at risk is any adult who could be at risk of harm from others or by not having their care and support needs met and is unable to protect themselves from risk of harm (Social Care Wales, 2022). If the Local Authority have a reason to suspect that an adult is at risk, they have a duty to investigate to ensure they are not at risk of harm by providing care and support (Social Services and Well-being (Wales) Act, 2014). The Corporate Safeguarding Policy (XXXX, 2022) states that every professional or practitioner has the duty to report an ‘adult at risk’ to the Local Authority who will then investigate through referrals to the relevant teams after obtaining the consent to do so. Professionals can support adults by using this act to promote their well-being outcomes in a positive and person centered way. It is important for adults to engage with the support that is being provided to them, this can become difficult for professionals as adults have choice and control over their care if they have capacity (Griffith, 2023). </w:t>
            </w:r>
          </w:p>
          <w:p w14:paraId="7E9288D5" w14:textId="77777777" w:rsidR="005A021B" w:rsidRPr="000F6F38" w:rsidRDefault="005A021B" w:rsidP="005A021B">
            <w:pPr>
              <w:spacing w:line="360" w:lineRule="auto"/>
              <w:jc w:val="both"/>
              <w:rPr>
                <w:sz w:val="24"/>
                <w:szCs w:val="24"/>
              </w:rPr>
            </w:pPr>
            <w:r w:rsidRPr="000F6F38">
              <w:rPr>
                <w:sz w:val="24"/>
                <w:szCs w:val="24"/>
              </w:rPr>
              <w:t xml:space="preserve">The Wales Safeguarding Procedures (2024) states that there are 6 principles when safeguarding adults at risk. These relate to keeping the outcomes of the individual paramount, early intervention for adults, collaborative working with family and other professionals and professional accountability. When supporting adults to ensure they are safeguarded it is also </w:t>
            </w:r>
            <w:r w:rsidRPr="000F6F38">
              <w:rPr>
                <w:sz w:val="24"/>
                <w:szCs w:val="24"/>
              </w:rPr>
              <w:lastRenderedPageBreak/>
              <w:t xml:space="preserve">vital that professionals think about other legislation such as the Human Rights Act (1998) to ensure that they are promoting a balanced lifestyle for adults and respecting their rights to a private life (Citizens Advice, 2024). </w:t>
            </w:r>
          </w:p>
          <w:p w14:paraId="56984066" w14:textId="77777777" w:rsidR="005A021B" w:rsidRPr="000F6F38" w:rsidRDefault="005A021B" w:rsidP="005A021B">
            <w:pPr>
              <w:spacing w:line="360" w:lineRule="auto"/>
              <w:jc w:val="both"/>
              <w:rPr>
                <w:sz w:val="24"/>
                <w:szCs w:val="24"/>
              </w:rPr>
            </w:pPr>
            <w:r w:rsidRPr="000F6F38">
              <w:rPr>
                <w:sz w:val="24"/>
                <w:szCs w:val="24"/>
              </w:rPr>
              <w:t xml:space="preserve">Once an ‘adult at risk’ has been identified by the Local Authority, they must adhere to Section 126 of the Social Services and Well-being (Wales) Act (2014) and assess the circumstances and then decide the necessary action and document this in a care and support plan. Adults have the right to consent to their care if they have the capacity to do so (Social Care Institute for Excellence, 2019). Adults can occasionally make ill-judged decisions but it should always be presumed that an individual has capacity unless they have been assessed not to (Mental Capacity Act, 2005). It can be determined through a capacity assessment whether an individual has the ability to weigh up information in relation to the decision and also retain this (Carr and Goosey, 2017). If it is deemed that a person does lack capacity then a best interests is commenced to make the decision on their behalf, this has to be the least restrictive option and in the best interests of the individual (NHS, 2024). </w:t>
            </w:r>
          </w:p>
          <w:p w14:paraId="29EB6DFC" w14:textId="77777777" w:rsidR="005A021B" w:rsidRPr="000F6F38" w:rsidRDefault="005A021B" w:rsidP="005A021B">
            <w:pPr>
              <w:spacing w:line="360" w:lineRule="auto"/>
              <w:jc w:val="both"/>
              <w:rPr>
                <w:sz w:val="24"/>
                <w:szCs w:val="24"/>
              </w:rPr>
            </w:pPr>
          </w:p>
          <w:p w14:paraId="47E729B9" w14:textId="77777777" w:rsidR="005A021B" w:rsidRPr="000F6F38" w:rsidRDefault="005A021B" w:rsidP="005A021B">
            <w:pPr>
              <w:spacing w:line="360" w:lineRule="auto"/>
              <w:jc w:val="both"/>
              <w:rPr>
                <w:sz w:val="24"/>
                <w:szCs w:val="24"/>
              </w:rPr>
            </w:pPr>
            <w:r w:rsidRPr="000F6F38">
              <w:rPr>
                <w:sz w:val="24"/>
                <w:szCs w:val="24"/>
              </w:rPr>
              <w:t xml:space="preserve">The Care Act (2014) is the equivalent legislation for Safeguarding adults in England. This legislation also works by 6 key principles to ensure that all practitioners are promoting the needs of adults and working in a preventative way to meet their care and support needs (Devon Safeguarding Adults Partnership, 2023). The Care Act (2014) also states that it is </w:t>
            </w:r>
            <w:r w:rsidRPr="000F6F38">
              <w:rPr>
                <w:i/>
                <w:sz w:val="24"/>
                <w:szCs w:val="24"/>
              </w:rPr>
              <w:t xml:space="preserve">unlawful for Local Authorities </w:t>
            </w:r>
            <w:r w:rsidRPr="000F6F38">
              <w:rPr>
                <w:sz w:val="24"/>
                <w:szCs w:val="24"/>
              </w:rPr>
              <w:t xml:space="preserve">to provide services to individuals that should be provided by Health Professionals (Carr and Goosey, 2017). </w:t>
            </w:r>
          </w:p>
          <w:p w14:paraId="0A387B7F" w14:textId="77777777" w:rsidR="005A021B" w:rsidRPr="000F6F38" w:rsidRDefault="005A021B" w:rsidP="005A021B">
            <w:pPr>
              <w:spacing w:line="360" w:lineRule="auto"/>
              <w:jc w:val="both"/>
              <w:rPr>
                <w:sz w:val="24"/>
                <w:szCs w:val="24"/>
              </w:rPr>
            </w:pPr>
          </w:p>
          <w:p w14:paraId="2162BA34" w14:textId="2D46DB3A" w:rsidR="005A021B" w:rsidRDefault="005A021B" w:rsidP="005A021B">
            <w:pPr>
              <w:spacing w:line="360" w:lineRule="auto"/>
              <w:jc w:val="both"/>
              <w:rPr>
                <w:sz w:val="24"/>
                <w:szCs w:val="24"/>
              </w:rPr>
            </w:pPr>
            <w:r w:rsidRPr="000F6F38">
              <w:rPr>
                <w:sz w:val="24"/>
                <w:szCs w:val="24"/>
              </w:rPr>
              <w:t>Word Count – 540 words</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Pr="005A021B" w:rsidRDefault="00FC0334" w:rsidP="00FC0334">
            <w:pPr>
              <w:jc w:val="both"/>
              <w:rPr>
                <w:b/>
                <w:sz w:val="24"/>
                <w:szCs w:val="24"/>
              </w:rPr>
            </w:pPr>
            <w:r w:rsidRPr="005A021B">
              <w:rPr>
                <w:b/>
                <w:sz w:val="24"/>
                <w:szCs w:val="24"/>
              </w:rPr>
              <w:t>Reflect on the difference between safeguarding in adult</w:t>
            </w:r>
            <w:r w:rsidR="00C63CAB" w:rsidRPr="005A021B">
              <w:rPr>
                <w:b/>
                <w:sz w:val="24"/>
                <w:szCs w:val="24"/>
              </w:rPr>
              <w:t>s’</w:t>
            </w:r>
            <w:r w:rsidRPr="005A021B">
              <w:rPr>
                <w:b/>
                <w:sz w:val="24"/>
                <w:szCs w:val="24"/>
              </w:rPr>
              <w:t xml:space="preserve"> and children</w:t>
            </w:r>
            <w:r w:rsidR="007A628F" w:rsidRPr="005A021B">
              <w:rPr>
                <w:b/>
                <w:sz w:val="24"/>
                <w:szCs w:val="24"/>
              </w:rPr>
              <w:t>’s</w:t>
            </w:r>
            <w:r w:rsidRPr="005A021B">
              <w:rPr>
                <w:b/>
                <w:sz w:val="24"/>
                <w:szCs w:val="24"/>
              </w:rPr>
              <w:t xml:space="preserve"> work</w:t>
            </w:r>
          </w:p>
          <w:p w14:paraId="4CABE426" w14:textId="77777777" w:rsidR="00FC0334" w:rsidRPr="005A021B" w:rsidRDefault="00FC0334" w:rsidP="00FC0334">
            <w:pPr>
              <w:jc w:val="both"/>
              <w:rPr>
                <w:b/>
                <w:sz w:val="24"/>
                <w:szCs w:val="24"/>
              </w:rPr>
            </w:pPr>
          </w:p>
          <w:p w14:paraId="6BA3DD84" w14:textId="379E9F3C" w:rsidR="00FC0334" w:rsidRPr="005A021B" w:rsidRDefault="00FC0334" w:rsidP="00FC0334">
            <w:pPr>
              <w:jc w:val="both"/>
              <w:rPr>
                <w:b/>
                <w:i/>
                <w:sz w:val="24"/>
                <w:szCs w:val="24"/>
              </w:rPr>
            </w:pPr>
            <w:r w:rsidRPr="005A021B">
              <w:rPr>
                <w:b/>
                <w:i/>
                <w:sz w:val="24"/>
                <w:szCs w:val="24"/>
              </w:rPr>
              <w:t>400 words</w:t>
            </w:r>
            <w:r w:rsidRPr="005A021B">
              <w:rPr>
                <w:b/>
                <w:sz w:val="24"/>
                <w:szCs w:val="24"/>
              </w:rPr>
              <w:t xml:space="preserve"> </w:t>
            </w:r>
            <w:r w:rsidRPr="005A021B">
              <w:rPr>
                <w:b/>
                <w:i/>
                <w:sz w:val="24"/>
                <w:szCs w:val="24"/>
              </w:rPr>
              <w:t>(+/- 10%: include your actual word count at the end of each section)</w:t>
            </w:r>
            <w:r w:rsidR="007A628F" w:rsidRPr="005A021B">
              <w:rPr>
                <w:b/>
                <w:i/>
                <w:sz w:val="24"/>
                <w:szCs w:val="24"/>
              </w:rPr>
              <w:t>.</w:t>
            </w:r>
          </w:p>
          <w:p w14:paraId="5B4F9670" w14:textId="2F320D6E" w:rsidR="005A021B" w:rsidRDefault="005A021B" w:rsidP="00FC0334">
            <w:pPr>
              <w:jc w:val="both"/>
              <w:rPr>
                <w:i/>
                <w:sz w:val="24"/>
                <w:szCs w:val="24"/>
              </w:rPr>
            </w:pPr>
          </w:p>
          <w:p w14:paraId="0314CC59" w14:textId="77777777" w:rsidR="005A021B" w:rsidRPr="006D0C2E" w:rsidRDefault="005A021B" w:rsidP="005A021B">
            <w:pPr>
              <w:spacing w:line="360" w:lineRule="auto"/>
              <w:jc w:val="both"/>
              <w:rPr>
                <w:sz w:val="24"/>
              </w:rPr>
            </w:pPr>
            <w:r w:rsidRPr="006D0C2E">
              <w:rPr>
                <w:sz w:val="24"/>
              </w:rPr>
              <w:t xml:space="preserve">Children’s safeguarding is derived from the Children’s Act 1989. This act has informed professionals on the ways to safeguard children whether they are living with family or placed </w:t>
            </w:r>
            <w:r w:rsidRPr="006D0C2E">
              <w:rPr>
                <w:sz w:val="24"/>
              </w:rPr>
              <w:lastRenderedPageBreak/>
              <w:t>in the care of the Local Authority. This act was revised into the Children Act 2004, this followed on from the recommendations made in the Victoria Climbie Serious Case Review and the identified need for multi-agency working to safeguard children. Historically, the safeguarding legislation for adults and children has been separate, one of these being the National Assistance Act 1948.</w:t>
            </w:r>
          </w:p>
          <w:p w14:paraId="4FF02369" w14:textId="77777777" w:rsidR="005A021B" w:rsidRPr="006D0C2E" w:rsidRDefault="005A021B" w:rsidP="005A021B">
            <w:pPr>
              <w:spacing w:line="360" w:lineRule="auto"/>
              <w:jc w:val="both"/>
              <w:rPr>
                <w:color w:val="FF0000"/>
                <w:sz w:val="24"/>
              </w:rPr>
            </w:pPr>
            <w:r w:rsidRPr="006D0C2E">
              <w:rPr>
                <w:sz w:val="24"/>
              </w:rPr>
              <w:t xml:space="preserve">The Social Services and Well-being (Wales) Act (2014) came into form, this modernised and replaced an abundance of historic legislation and made this individual and unique to Wales. Following this, England made The Care Act (2014) for safeguarding adults in England. The Social Services and Well-being (Wales) Act (2014) brings the safeguarding of both adults and children together but within the act is does separate the differences between the both. Part 7 of the act relates to safeguarding, however, Section 126 relates to adults and Section 130 to children. The main difference in relation to these two sections are the slightly different definitions, duties and criteria’s. </w:t>
            </w:r>
            <w:r w:rsidRPr="006D0C2E">
              <w:rPr>
                <w:color w:val="auto"/>
                <w:sz w:val="24"/>
              </w:rPr>
              <w:t xml:space="preserve">For example, we have a duty to report children at risk and report this to the local authority for investigation. Whereas, with an adult they must to consent to this if they have the capacity to do so. </w:t>
            </w:r>
          </w:p>
          <w:p w14:paraId="4A8B4C03" w14:textId="77777777" w:rsidR="005A021B" w:rsidRPr="006D0C2E" w:rsidRDefault="005A021B" w:rsidP="005A021B">
            <w:pPr>
              <w:spacing w:line="360" w:lineRule="auto"/>
              <w:jc w:val="both"/>
              <w:rPr>
                <w:sz w:val="24"/>
              </w:rPr>
            </w:pPr>
            <w:r w:rsidRPr="006D0C2E">
              <w:rPr>
                <w:sz w:val="24"/>
              </w:rPr>
              <w:t xml:space="preserve">Following the Social Services and Well-being (Wales) Act (2014), The Wales Safeguarding Boards were brought in. There are two separate safeguarding boards for adults and children as the children’s board also reviews child sexual exploitation (National Independent Safeguarding Board Wales, 2014). The board brought into place that if professionals feel that an adult is at risk of abuse, we now able to obtain powers through the police to interview this person on their own and away from any alleged perpetrator. </w:t>
            </w:r>
          </w:p>
          <w:p w14:paraId="5CEFE9E7" w14:textId="77777777" w:rsidR="005A021B" w:rsidRPr="006D0C2E" w:rsidRDefault="005A021B" w:rsidP="005A021B">
            <w:pPr>
              <w:spacing w:line="360" w:lineRule="auto"/>
              <w:jc w:val="both"/>
              <w:rPr>
                <w:sz w:val="24"/>
              </w:rPr>
            </w:pPr>
            <w:r w:rsidRPr="006D0C2E">
              <w:rPr>
                <w:sz w:val="24"/>
              </w:rPr>
              <w:t xml:space="preserve">There is an assumption when considering the factors above that adults are able to make their own decisions in relation to their own wellbeing and safety. Whereas with children, the views and wishes and any information needed is gathered through the person with parental responsibility for the child. There is a difference in that we assume that all adults have the capacity to make decisions until proven otherwise (Mental Capacity Act, 2005) but with children professionals may use </w:t>
            </w:r>
            <w:r w:rsidRPr="006D0C2E">
              <w:rPr>
                <w:i/>
                <w:sz w:val="24"/>
              </w:rPr>
              <w:t xml:space="preserve">‘Gillick Competency’ </w:t>
            </w:r>
            <w:r w:rsidRPr="006D0C2E">
              <w:rPr>
                <w:sz w:val="24"/>
              </w:rPr>
              <w:t xml:space="preserve">to establish whether a child can consent to their own care and support (NSPCC, 2022). </w:t>
            </w:r>
          </w:p>
          <w:p w14:paraId="7AED2273" w14:textId="77777777" w:rsidR="005A021B" w:rsidRPr="006D0C2E" w:rsidRDefault="005A021B" w:rsidP="005A021B">
            <w:pPr>
              <w:spacing w:line="360" w:lineRule="auto"/>
              <w:jc w:val="both"/>
              <w:rPr>
                <w:sz w:val="24"/>
              </w:rPr>
            </w:pPr>
          </w:p>
          <w:p w14:paraId="2E3A061C" w14:textId="44C0120B" w:rsidR="005A021B" w:rsidRPr="005A021B" w:rsidRDefault="005A021B" w:rsidP="005A021B">
            <w:pPr>
              <w:spacing w:line="360" w:lineRule="auto"/>
              <w:jc w:val="both"/>
              <w:rPr>
                <w:sz w:val="24"/>
              </w:rPr>
            </w:pPr>
            <w:r w:rsidRPr="006D0C2E">
              <w:rPr>
                <w:sz w:val="24"/>
              </w:rPr>
              <w:t>Word Count – 407 words</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bookmarkStart w:id="0" w:name="_GoBack"/>
      <w:bookmarkEnd w:id="0"/>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1FE7B13B" w:rsidR="00A5656A" w:rsidRDefault="00A5656A">
    <w:pPr>
      <w:pStyle w:val="Footer"/>
      <w:jc w:val="right"/>
    </w:pPr>
    <w:r>
      <w:fldChar w:fldCharType="begin"/>
    </w:r>
    <w:r>
      <w:instrText xml:space="preserve"> PAGE   \* MERGEFORMAT </w:instrText>
    </w:r>
    <w:r>
      <w:fldChar w:fldCharType="separate"/>
    </w:r>
    <w:r w:rsidR="005A021B">
      <w:rPr>
        <w:noProof/>
      </w:rPr>
      <w:t>5</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A6F0F"/>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021B"/>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E0777E-284C-41DC-9FE5-F631B27CA7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5</Pages>
  <Words>1156</Words>
  <Characters>6053</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Seren Edwards</cp:lastModifiedBy>
  <cp:revision>3</cp:revision>
  <cp:lastPrinted>2020-02-11T19:20:00Z</cp:lastPrinted>
  <dcterms:created xsi:type="dcterms:W3CDTF">2024-01-29T16:09:00Z</dcterms:created>
  <dcterms:modified xsi:type="dcterms:W3CDTF">2024-02-04T19:30:00Z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