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CF8" w14:textId="64510C99" w:rsidR="00D06C48" w:rsidRPr="00D06C48" w:rsidRDefault="00D06C48" w:rsidP="00D06C48">
      <w:pPr>
        <w:jc w:val="center"/>
        <w:rPr>
          <w:b/>
          <w:sz w:val="36"/>
          <w:lang w:val="en-GB"/>
        </w:rPr>
      </w:pPr>
      <w:r>
        <w:rPr>
          <w:b/>
          <w:sz w:val="36"/>
          <w:lang w:val="en-GB"/>
        </w:rPr>
        <w:t xml:space="preserve">The </w:t>
      </w:r>
      <w:r w:rsidR="00D81EFE">
        <w:rPr>
          <w:b/>
          <w:sz w:val="36"/>
          <w:lang w:val="en-GB"/>
        </w:rPr>
        <w:t xml:space="preserve">use and </w:t>
      </w:r>
      <w:bookmarkStart w:id="0" w:name="_GoBack"/>
      <w:bookmarkEnd w:id="0"/>
      <w:r>
        <w:rPr>
          <w:b/>
          <w:sz w:val="36"/>
          <w:lang w:val="en-GB"/>
        </w:rPr>
        <w:t xml:space="preserve">purposes of the Egyptian </w:t>
      </w:r>
      <w:proofErr w:type="spellStart"/>
      <w:r>
        <w:rPr>
          <w:rFonts w:ascii="Calibri" w:hAnsi="Calibri" w:cs="Calibri"/>
          <w:b/>
          <w:sz w:val="36"/>
          <w:lang w:val="en-GB"/>
        </w:rPr>
        <w:t>λ</w:t>
      </w:r>
      <w:r>
        <w:rPr>
          <w:rFonts w:cstheme="minorHAnsi"/>
          <w:b/>
          <w:sz w:val="36"/>
          <w:lang w:val="en-GB"/>
        </w:rPr>
        <w:t>ό</w:t>
      </w:r>
      <w:r>
        <w:rPr>
          <w:rFonts w:ascii="Calibri" w:hAnsi="Calibri" w:cs="Calibri"/>
          <w:b/>
          <w:sz w:val="36"/>
          <w:lang w:val="en-GB"/>
        </w:rPr>
        <w:t>γος</w:t>
      </w:r>
      <w:proofErr w:type="spellEnd"/>
    </w:p>
    <w:p w14:paraId="3BC61FDC" w14:textId="77777777" w:rsidR="00D06C48" w:rsidRDefault="00D06C48">
      <w:pPr>
        <w:rPr>
          <w:lang w:val="en-GB"/>
        </w:rPr>
      </w:pPr>
    </w:p>
    <w:p w14:paraId="2A23A52E" w14:textId="04B83DDC" w:rsidR="00462D4C" w:rsidRDefault="00221723">
      <w:pPr>
        <w:rPr>
          <w:lang w:val="en-GB"/>
        </w:rPr>
      </w:pPr>
      <w:r>
        <w:rPr>
          <w:lang w:val="en-GB"/>
        </w:rPr>
        <w:t>“</w:t>
      </w:r>
      <w:r w:rsidRPr="00221723">
        <w:rPr>
          <w:lang w:val="en-GB"/>
        </w:rPr>
        <w:t>We shall then see that his s</w:t>
      </w:r>
      <w:r>
        <w:rPr>
          <w:lang w:val="en-GB"/>
        </w:rPr>
        <w:t>c</w:t>
      </w:r>
      <w:r w:rsidRPr="00221723">
        <w:rPr>
          <w:lang w:val="en-GB"/>
        </w:rPr>
        <w:t>epticism in regard to the ancient history of the Greeks had been stimulated by the acquaintance he made in Egypt with the historical traditions of the</w:t>
      </w:r>
      <w:r>
        <w:rPr>
          <w:lang w:val="en-GB"/>
        </w:rPr>
        <w:t xml:space="preserve"> Egyptians”. </w:t>
      </w:r>
      <w:r>
        <w:rPr>
          <w:rStyle w:val="Rimandonotaapidipagina"/>
          <w:lang w:val="en-GB"/>
        </w:rPr>
        <w:footnoteReference w:id="1"/>
      </w:r>
      <w:r>
        <w:rPr>
          <w:lang w:val="en-GB"/>
        </w:rPr>
        <w:t xml:space="preserve"> In that terms Bury describes the Egyptian influence</w:t>
      </w:r>
      <w:r w:rsidR="0004242D">
        <w:rPr>
          <w:lang w:val="en-GB"/>
        </w:rPr>
        <w:t xml:space="preserve"> on Greek historiographers</w:t>
      </w:r>
      <w:r w:rsidR="00E846FC">
        <w:rPr>
          <w:lang w:val="en-GB"/>
        </w:rPr>
        <w:t xml:space="preserve">, referring to </w:t>
      </w:r>
      <w:proofErr w:type="spellStart"/>
      <w:r w:rsidR="00E846FC">
        <w:rPr>
          <w:lang w:val="en-GB"/>
        </w:rPr>
        <w:t>Hecataeus</w:t>
      </w:r>
      <w:proofErr w:type="spellEnd"/>
      <w:r w:rsidR="00E846FC">
        <w:rPr>
          <w:lang w:val="en-GB"/>
        </w:rPr>
        <w:t xml:space="preserve"> of Miletus in particular.</w:t>
      </w:r>
      <w:r w:rsidR="00E846FC">
        <w:rPr>
          <w:rStyle w:val="Rimandonotaapidipagina"/>
          <w:lang w:val="en-GB"/>
        </w:rPr>
        <w:footnoteReference w:id="2"/>
      </w:r>
      <w:r w:rsidR="0004242D">
        <w:rPr>
          <w:lang w:val="en-GB"/>
        </w:rPr>
        <w:t xml:space="preserve"> But the Egyptian </w:t>
      </w:r>
      <w:proofErr w:type="spellStart"/>
      <w:r w:rsidR="0004242D">
        <w:rPr>
          <w:rFonts w:ascii="Calibri" w:hAnsi="Calibri" w:cs="Calibri"/>
          <w:lang w:val="en-GB"/>
        </w:rPr>
        <w:t>λόγος</w:t>
      </w:r>
      <w:proofErr w:type="spellEnd"/>
      <w:r w:rsidR="0004242D">
        <w:rPr>
          <w:lang w:val="en-GB"/>
        </w:rPr>
        <w:t xml:space="preserve"> cannot be divided from its historical context, the contact of Herodotus with the rising Athenian power. This work analyses the double purpose of Egyptian ethnographic section: in one hand it tries to historicize the “Greek collective memory”</w:t>
      </w:r>
      <w:r w:rsidR="000E56C4">
        <w:rPr>
          <w:lang w:val="en-GB"/>
        </w:rPr>
        <w:t>;</w:t>
      </w:r>
      <w:r w:rsidR="0004242D">
        <w:rPr>
          <w:lang w:val="en-GB"/>
        </w:rPr>
        <w:t xml:space="preserve"> </w:t>
      </w:r>
      <w:r w:rsidR="0004242D">
        <w:rPr>
          <w:rStyle w:val="Rimandonotaapidipagina"/>
          <w:lang w:val="en-GB"/>
        </w:rPr>
        <w:footnoteReference w:id="3"/>
      </w:r>
      <w:r w:rsidR="0004242D">
        <w:rPr>
          <w:lang w:val="en-GB"/>
        </w:rPr>
        <w:t xml:space="preserve"> </w:t>
      </w:r>
      <w:r w:rsidR="000E56C4">
        <w:rPr>
          <w:lang w:val="en-GB"/>
        </w:rPr>
        <w:t xml:space="preserve">in the other it gives a specific identity to this country, in order to contrast the unifying Persian ideology. </w:t>
      </w:r>
    </w:p>
    <w:p w14:paraId="398230BE" w14:textId="77777777" w:rsidR="00F44C6A" w:rsidRDefault="000E56C4">
      <w:pPr>
        <w:rPr>
          <w:rFonts w:ascii="Calibri" w:hAnsi="Calibri" w:cs="Calibri"/>
          <w:lang w:val="en-GB"/>
        </w:rPr>
      </w:pPr>
      <w:r>
        <w:rPr>
          <w:lang w:val="en-GB"/>
        </w:rPr>
        <w:t xml:space="preserve">The Egyptian </w:t>
      </w:r>
      <w:proofErr w:type="spellStart"/>
      <w:r>
        <w:rPr>
          <w:rFonts w:ascii="Calibri" w:hAnsi="Calibri" w:cs="Calibri"/>
          <w:lang w:val="en-GB"/>
        </w:rPr>
        <w:t>λ</w:t>
      </w:r>
      <w:r>
        <w:rPr>
          <w:rFonts w:cstheme="minorHAnsi"/>
          <w:lang w:val="en-GB"/>
        </w:rPr>
        <w:t>ό</w:t>
      </w:r>
      <w:r>
        <w:rPr>
          <w:rFonts w:ascii="Calibri" w:hAnsi="Calibri" w:cs="Calibri"/>
          <w:lang w:val="en-GB"/>
        </w:rPr>
        <w:t>γος</w:t>
      </w:r>
      <w:proofErr w:type="spellEnd"/>
      <w:r>
        <w:rPr>
          <w:rFonts w:cstheme="minorHAnsi"/>
          <w:lang w:val="en-GB"/>
        </w:rPr>
        <w:t xml:space="preserve"> is one of the most important section of the </w:t>
      </w:r>
      <w:r>
        <w:rPr>
          <w:rFonts w:cstheme="minorHAnsi"/>
          <w:i/>
          <w:lang w:val="en-GB"/>
        </w:rPr>
        <w:t>Histories</w:t>
      </w:r>
      <w:r>
        <w:rPr>
          <w:rFonts w:cstheme="minorHAnsi"/>
          <w:lang w:val="en-GB"/>
        </w:rPr>
        <w:t>. It embraces the entire 2</w:t>
      </w:r>
      <w:r w:rsidRPr="000E56C4">
        <w:rPr>
          <w:rFonts w:cstheme="minorHAnsi"/>
          <w:vertAlign w:val="superscript"/>
          <w:lang w:val="en-GB"/>
        </w:rPr>
        <w:t>nd</w:t>
      </w:r>
      <w:r>
        <w:rPr>
          <w:rFonts w:cstheme="minorHAnsi"/>
          <w:lang w:val="en-GB"/>
        </w:rPr>
        <w:t xml:space="preserve"> book</w:t>
      </w:r>
      <w:r w:rsidR="00525FC1">
        <w:rPr>
          <w:rFonts w:cstheme="minorHAnsi"/>
          <w:lang w:val="en-GB"/>
        </w:rPr>
        <w:t xml:space="preserve">, for 182 paragraphs (the only </w:t>
      </w:r>
      <w:r w:rsidR="00525FC1">
        <w:rPr>
          <w:rFonts w:ascii="Calibri" w:hAnsi="Calibri" w:cs="Calibri"/>
          <w:lang w:val="en-GB"/>
        </w:rPr>
        <w:t xml:space="preserve">comparable </w:t>
      </w:r>
      <w:proofErr w:type="spellStart"/>
      <w:r w:rsidR="00525FC1">
        <w:rPr>
          <w:rFonts w:ascii="Calibri" w:hAnsi="Calibri" w:cs="Calibri"/>
          <w:lang w:val="en-GB"/>
        </w:rPr>
        <w:t>λόγος</w:t>
      </w:r>
      <w:proofErr w:type="spellEnd"/>
      <w:r w:rsidR="00525FC1">
        <w:rPr>
          <w:rFonts w:ascii="Calibri" w:hAnsi="Calibri" w:cs="Calibri"/>
          <w:lang w:val="en-GB"/>
        </w:rPr>
        <w:t xml:space="preserve"> is the Scythian one, but it takes 142 paragraphs and partially concerns the warfare against Darius)</w:t>
      </w:r>
      <w:r w:rsidR="00525FC1">
        <w:rPr>
          <w:rStyle w:val="Rimandonotaapidipagina"/>
          <w:rFonts w:ascii="Calibri" w:hAnsi="Calibri" w:cs="Calibri"/>
          <w:lang w:val="en-GB"/>
        </w:rPr>
        <w:footnoteReference w:id="4"/>
      </w:r>
      <w:r w:rsidR="00525FC1">
        <w:rPr>
          <w:rFonts w:ascii="Calibri" w:hAnsi="Calibri" w:cs="Calibri"/>
          <w:lang w:val="en-GB"/>
        </w:rPr>
        <w:t xml:space="preserve">, and it gives us an incomparable quantity of ethnographical information. </w:t>
      </w:r>
      <w:r w:rsidR="00F76E09">
        <w:rPr>
          <w:rFonts w:ascii="Calibri" w:hAnsi="Calibri" w:cs="Calibri"/>
          <w:lang w:val="en-GB"/>
        </w:rPr>
        <w:t xml:space="preserve">In the first instance the Egyptian ethnographical insert could be </w:t>
      </w:r>
      <w:r w:rsidR="00996914">
        <w:rPr>
          <w:rFonts w:ascii="Calibri" w:hAnsi="Calibri" w:cs="Calibri"/>
          <w:lang w:val="en-GB"/>
        </w:rPr>
        <w:t>read</w:t>
      </w:r>
      <w:r w:rsidR="00F76E09">
        <w:rPr>
          <w:rFonts w:ascii="Calibri" w:hAnsi="Calibri" w:cs="Calibri"/>
          <w:lang w:val="en-GB"/>
        </w:rPr>
        <w:t xml:space="preserve"> as </w:t>
      </w:r>
      <w:r w:rsidR="00996914">
        <w:rPr>
          <w:rFonts w:ascii="Calibri" w:hAnsi="Calibri" w:cs="Calibri"/>
          <w:lang w:val="en-GB"/>
        </w:rPr>
        <w:t xml:space="preserve">an attempt to understand deeply the uses of different people. Nevertheless, </w:t>
      </w:r>
      <w:proofErr w:type="spellStart"/>
      <w:r w:rsidR="00757DDA">
        <w:rPr>
          <w:rFonts w:ascii="Calibri" w:hAnsi="Calibri" w:cs="Calibri"/>
          <w:lang w:val="en-GB"/>
        </w:rPr>
        <w:t>Hecataeus</w:t>
      </w:r>
      <w:proofErr w:type="spellEnd"/>
      <w:r w:rsidR="00757DDA">
        <w:rPr>
          <w:rFonts w:ascii="Calibri" w:hAnsi="Calibri" w:cs="Calibri"/>
          <w:lang w:val="en-GB"/>
        </w:rPr>
        <w:t xml:space="preserve"> had already written, for what we can understand by the fragments, </w:t>
      </w:r>
      <w:r w:rsidR="00757DDA">
        <w:rPr>
          <w:rStyle w:val="Rimandonotaapidipagina"/>
          <w:rFonts w:ascii="Calibri" w:hAnsi="Calibri" w:cs="Calibri"/>
          <w:lang w:val="en-GB"/>
        </w:rPr>
        <w:footnoteReference w:id="5"/>
      </w:r>
      <w:r w:rsidR="00757DDA">
        <w:rPr>
          <w:rFonts w:ascii="Calibri" w:hAnsi="Calibri" w:cs="Calibri"/>
          <w:lang w:val="en-GB"/>
        </w:rPr>
        <w:t xml:space="preserve"> a sort of </w:t>
      </w:r>
      <w:proofErr w:type="spellStart"/>
      <w:r w:rsidR="00757DDA">
        <w:rPr>
          <w:rFonts w:ascii="Calibri" w:hAnsi="Calibri" w:cs="Calibri"/>
          <w:lang w:val="en-GB"/>
        </w:rPr>
        <w:t>λόγος</w:t>
      </w:r>
      <w:proofErr w:type="spellEnd"/>
      <w:r w:rsidR="00757DDA">
        <w:rPr>
          <w:rFonts w:ascii="Calibri" w:hAnsi="Calibri" w:cs="Calibri"/>
          <w:lang w:val="en-GB"/>
        </w:rPr>
        <w:t xml:space="preserve"> about Egypt. According to Canfora, the entire Greek historiography is a “cycle”, in which the following historiographer takes again and changes some point of the predecessor methodology.</w:t>
      </w:r>
      <w:r w:rsidR="00B242E5" w:rsidRPr="00B242E5">
        <w:rPr>
          <w:rStyle w:val="Rimandonotaapidipagina"/>
          <w:rFonts w:ascii="Calibri" w:hAnsi="Calibri" w:cs="Calibri"/>
          <w:lang w:val="en-GB"/>
        </w:rPr>
        <w:t xml:space="preserve"> </w:t>
      </w:r>
      <w:r w:rsidR="00B242E5">
        <w:rPr>
          <w:rStyle w:val="Rimandonotaapidipagina"/>
          <w:rFonts w:ascii="Calibri" w:hAnsi="Calibri" w:cs="Calibri"/>
          <w:lang w:val="en-GB"/>
        </w:rPr>
        <w:footnoteReference w:id="6"/>
      </w:r>
      <w:r w:rsidR="00757DDA">
        <w:rPr>
          <w:rFonts w:ascii="Calibri" w:hAnsi="Calibri" w:cs="Calibri"/>
          <w:lang w:val="en-GB"/>
        </w:rPr>
        <w:t xml:space="preserve"> The reader can see it in the proem of the </w:t>
      </w:r>
      <w:r w:rsidR="00B242E5" w:rsidRPr="00B242E5">
        <w:rPr>
          <w:rFonts w:ascii="Calibri" w:hAnsi="Calibri" w:cs="Calibri"/>
          <w:i/>
          <w:lang w:val="en-GB"/>
        </w:rPr>
        <w:t>History of the Peloponnesian War</w:t>
      </w:r>
      <w:r w:rsidR="00B242E5">
        <w:rPr>
          <w:rFonts w:ascii="Calibri" w:hAnsi="Calibri" w:cs="Calibri"/>
          <w:i/>
          <w:lang w:val="en-GB"/>
        </w:rPr>
        <w:t xml:space="preserve"> </w:t>
      </w:r>
      <w:r w:rsidR="00B242E5">
        <w:rPr>
          <w:rFonts w:ascii="Calibri" w:hAnsi="Calibri" w:cs="Calibri"/>
          <w:lang w:val="en-GB"/>
        </w:rPr>
        <w:t xml:space="preserve">by Thucydides, </w:t>
      </w:r>
      <w:r w:rsidR="00B242E5" w:rsidRPr="00B242E5">
        <w:rPr>
          <w:rFonts w:ascii="Calibri" w:hAnsi="Calibri" w:cs="Calibri"/>
          <w:vertAlign w:val="superscript"/>
          <w:lang w:val="en-GB"/>
        </w:rPr>
        <w:footnoteReference w:id="7"/>
      </w:r>
      <w:r w:rsidR="00B242E5">
        <w:rPr>
          <w:rFonts w:ascii="Calibri" w:hAnsi="Calibri" w:cs="Calibri"/>
          <w:lang w:val="en-GB"/>
        </w:rPr>
        <w:t xml:space="preserve"> and</w:t>
      </w:r>
      <w:r w:rsidR="00F44C6A">
        <w:rPr>
          <w:rFonts w:ascii="Calibri" w:hAnsi="Calibri" w:cs="Calibri"/>
          <w:lang w:val="en-GB"/>
        </w:rPr>
        <w:t>,</w:t>
      </w:r>
      <w:r w:rsidR="00B242E5">
        <w:rPr>
          <w:rFonts w:ascii="Calibri" w:hAnsi="Calibri" w:cs="Calibri"/>
          <w:lang w:val="en-GB"/>
        </w:rPr>
        <w:t xml:space="preserve"> also</w:t>
      </w:r>
      <w:r w:rsidR="00F44C6A">
        <w:rPr>
          <w:rFonts w:ascii="Calibri" w:hAnsi="Calibri" w:cs="Calibri"/>
          <w:lang w:val="en-GB"/>
        </w:rPr>
        <w:t>,</w:t>
      </w:r>
      <w:r w:rsidR="00B242E5">
        <w:rPr>
          <w:rFonts w:ascii="Calibri" w:hAnsi="Calibri" w:cs="Calibri"/>
          <w:lang w:val="en-GB"/>
        </w:rPr>
        <w:t xml:space="preserve"> in the </w:t>
      </w:r>
      <w:r w:rsidR="00F44C6A">
        <w:rPr>
          <w:rFonts w:ascii="Calibri" w:hAnsi="Calibri" w:cs="Calibri"/>
          <w:lang w:val="en-GB"/>
        </w:rPr>
        <w:t xml:space="preserve">criticism of Theban priests to </w:t>
      </w:r>
      <w:proofErr w:type="spellStart"/>
      <w:r w:rsidR="00F44C6A">
        <w:rPr>
          <w:rFonts w:ascii="Calibri" w:hAnsi="Calibri" w:cs="Calibri"/>
          <w:lang w:val="en-GB"/>
        </w:rPr>
        <w:t>Hecataeus</w:t>
      </w:r>
      <w:proofErr w:type="spellEnd"/>
      <w:r w:rsidR="00F44C6A">
        <w:rPr>
          <w:rFonts w:ascii="Calibri" w:hAnsi="Calibri" w:cs="Calibri"/>
          <w:lang w:val="en-GB"/>
        </w:rPr>
        <w:t xml:space="preserve"> in the </w:t>
      </w:r>
      <w:r w:rsidR="00F44C6A">
        <w:rPr>
          <w:rFonts w:ascii="Calibri" w:hAnsi="Calibri" w:cs="Calibri"/>
          <w:i/>
          <w:lang w:val="en-GB"/>
        </w:rPr>
        <w:t>Histories</w:t>
      </w:r>
      <w:r w:rsidR="00F44C6A">
        <w:rPr>
          <w:rFonts w:ascii="Calibri" w:hAnsi="Calibri" w:cs="Calibri"/>
          <w:lang w:val="en-GB"/>
        </w:rPr>
        <w:t xml:space="preserve">. </w:t>
      </w:r>
      <w:r w:rsidR="00F44C6A">
        <w:rPr>
          <w:rStyle w:val="Rimandonotaapidipagina"/>
          <w:rFonts w:ascii="Calibri" w:hAnsi="Calibri" w:cs="Calibri"/>
          <w:lang w:val="en-GB"/>
        </w:rPr>
        <w:footnoteReference w:id="8"/>
      </w:r>
      <w:r w:rsidR="00F44C6A">
        <w:rPr>
          <w:rFonts w:ascii="Calibri" w:hAnsi="Calibri" w:cs="Calibri"/>
          <w:lang w:val="en-GB"/>
        </w:rPr>
        <w:t xml:space="preserve"> Thus, Herodotus tries to give to his historiography new features. To do this, Herodotus begins from a precise image of Egyptian people. </w:t>
      </w:r>
    </w:p>
    <w:p w14:paraId="7BD1E07B" w14:textId="645511CF" w:rsidR="000E56C4" w:rsidRDefault="00F44C6A">
      <w:pPr>
        <w:rPr>
          <w:rFonts w:ascii="Calibri" w:hAnsi="Calibri" w:cs="Calibri"/>
          <w:lang w:val="en-GB"/>
        </w:rPr>
      </w:pPr>
      <w:proofErr w:type="gramStart"/>
      <w:r>
        <w:rPr>
          <w:rFonts w:ascii="Calibri" w:hAnsi="Calibri" w:cs="Calibri"/>
          <w:lang w:val="en-GB"/>
        </w:rPr>
        <w:t>First of all</w:t>
      </w:r>
      <w:proofErr w:type="gramEnd"/>
      <w:r w:rsidR="006165CB">
        <w:rPr>
          <w:rFonts w:ascii="Calibri" w:hAnsi="Calibri" w:cs="Calibri"/>
          <w:lang w:val="en-GB"/>
        </w:rPr>
        <w:t xml:space="preserve">, </w:t>
      </w:r>
      <w:r>
        <w:rPr>
          <w:rFonts w:ascii="Calibri" w:hAnsi="Calibri" w:cs="Calibri"/>
          <w:lang w:val="en-GB"/>
        </w:rPr>
        <w:t xml:space="preserve">the Egyptians are </w:t>
      </w:r>
      <w:r w:rsidR="006165CB">
        <w:rPr>
          <w:rFonts w:ascii="Calibri" w:hAnsi="Calibri" w:cs="Calibri"/>
          <w:lang w:val="en-GB"/>
        </w:rPr>
        <w:t xml:space="preserve">seen as scientists, that observe asters and stars and create an accurate calendar, more precise than the Greek one. </w:t>
      </w:r>
      <w:r w:rsidR="006165CB">
        <w:rPr>
          <w:rStyle w:val="Rimandonotaapidipagina"/>
          <w:rFonts w:ascii="Calibri" w:hAnsi="Calibri" w:cs="Calibri"/>
          <w:lang w:val="en-GB"/>
        </w:rPr>
        <w:footnoteReference w:id="9"/>
      </w:r>
      <w:r w:rsidR="006165CB">
        <w:rPr>
          <w:rFonts w:ascii="Calibri" w:hAnsi="Calibri" w:cs="Calibri"/>
          <w:lang w:val="en-GB"/>
        </w:rPr>
        <w:t xml:space="preserve"> </w:t>
      </w:r>
      <w:r w:rsidR="00A0217F">
        <w:rPr>
          <w:rFonts w:ascii="Calibri" w:hAnsi="Calibri" w:cs="Calibri"/>
          <w:lang w:val="en-GB"/>
        </w:rPr>
        <w:t xml:space="preserve">Their exact knowledges </w:t>
      </w:r>
      <w:r w:rsidR="008E4BDB">
        <w:rPr>
          <w:rFonts w:ascii="Calibri" w:hAnsi="Calibri" w:cs="Calibri"/>
          <w:lang w:val="en-GB"/>
        </w:rPr>
        <w:t>were</w:t>
      </w:r>
      <w:r w:rsidR="00A0217F">
        <w:rPr>
          <w:rFonts w:ascii="Calibri" w:hAnsi="Calibri" w:cs="Calibri"/>
          <w:lang w:val="en-GB"/>
        </w:rPr>
        <w:t xml:space="preserve"> recorded, as Herodotus says in several points</w:t>
      </w:r>
      <w:r w:rsidR="008E4BDB">
        <w:rPr>
          <w:rFonts w:ascii="Calibri" w:hAnsi="Calibri" w:cs="Calibri"/>
          <w:lang w:val="en-GB"/>
        </w:rPr>
        <w:t>, by generations of priests. For example, he speaks about “Egyptian chronicles” (</w:t>
      </w:r>
      <w:proofErr w:type="spellStart"/>
      <w:r w:rsidR="008E4BDB" w:rsidRPr="008E4BDB">
        <w:rPr>
          <w:rFonts w:ascii="Calibri" w:hAnsi="Calibri" w:cs="Calibri"/>
        </w:rPr>
        <w:t>Αἰγυ</w:t>
      </w:r>
      <w:proofErr w:type="spellEnd"/>
      <w:r w:rsidR="008E4BDB" w:rsidRPr="008E4BDB">
        <w:rPr>
          <w:rFonts w:ascii="Calibri" w:hAnsi="Calibri" w:cs="Calibri"/>
        </w:rPr>
        <w:t>πτίους</w:t>
      </w:r>
      <w:r w:rsidR="008E4BDB">
        <w:rPr>
          <w:rFonts w:ascii="Calibri" w:hAnsi="Calibri" w:cs="Calibri"/>
          <w:lang w:val="en-GB"/>
        </w:rPr>
        <w:t xml:space="preserve"> […]</w:t>
      </w:r>
      <w:r w:rsidR="008E4BDB" w:rsidRPr="008E4BDB">
        <w:rPr>
          <w:rFonts w:ascii="Calibri" w:hAnsi="Calibri" w:cs="Calibri"/>
          <w:lang w:val="en-GB"/>
        </w:rPr>
        <w:t xml:space="preserve"> </w:t>
      </w:r>
      <w:proofErr w:type="spellStart"/>
      <w:r w:rsidR="008E4BDB" w:rsidRPr="008E4BDB">
        <w:rPr>
          <w:rFonts w:ascii="Calibri" w:hAnsi="Calibri" w:cs="Calibri"/>
        </w:rPr>
        <w:t>λόγους</w:t>
      </w:r>
      <w:proofErr w:type="spellEnd"/>
      <w:r w:rsidR="008E4BDB" w:rsidRPr="008E4BDB">
        <w:rPr>
          <w:rFonts w:ascii="Calibri" w:hAnsi="Calibri" w:cs="Calibri"/>
          <w:lang w:val="en-GB"/>
        </w:rPr>
        <w:t>),</w:t>
      </w:r>
      <w:r w:rsidR="00D74C23">
        <w:rPr>
          <w:rFonts w:ascii="Calibri" w:hAnsi="Calibri" w:cs="Calibri"/>
          <w:lang w:val="en-GB"/>
        </w:rPr>
        <w:t xml:space="preserve"> </w:t>
      </w:r>
      <w:r w:rsidR="00D74C23">
        <w:rPr>
          <w:rStyle w:val="Rimandonotaapidipagina"/>
          <w:rFonts w:ascii="Calibri" w:hAnsi="Calibri" w:cs="Calibri"/>
          <w:lang w:val="en-GB"/>
        </w:rPr>
        <w:footnoteReference w:id="10"/>
      </w:r>
      <w:r w:rsidR="008E4BDB" w:rsidRPr="008E4BDB">
        <w:rPr>
          <w:rFonts w:ascii="Calibri" w:hAnsi="Calibri" w:cs="Calibri"/>
          <w:lang w:val="en-GB"/>
        </w:rPr>
        <w:t xml:space="preserve"> an</w:t>
      </w:r>
      <w:r w:rsidR="008E4BDB">
        <w:rPr>
          <w:rFonts w:ascii="Calibri" w:hAnsi="Calibri" w:cs="Calibri"/>
          <w:lang w:val="en-GB"/>
        </w:rPr>
        <w:t xml:space="preserve">d </w:t>
      </w:r>
      <w:proofErr w:type="spellStart"/>
      <w:r w:rsidR="008E4BDB">
        <w:rPr>
          <w:rFonts w:ascii="Calibri" w:hAnsi="Calibri" w:cs="Calibri"/>
          <w:lang w:val="en-GB"/>
        </w:rPr>
        <w:t>Hecataeus</w:t>
      </w:r>
      <w:proofErr w:type="spellEnd"/>
      <w:r w:rsidR="008E4BDB">
        <w:rPr>
          <w:rFonts w:ascii="Calibri" w:hAnsi="Calibri" w:cs="Calibri"/>
          <w:lang w:val="en-GB"/>
        </w:rPr>
        <w:t>’ genealogy is denied by the great priests’ statues (</w:t>
      </w:r>
      <w:proofErr w:type="spellStart"/>
      <w:r w:rsidR="00D74C23" w:rsidRPr="00D74C23">
        <w:rPr>
          <w:rFonts w:ascii="Calibri" w:hAnsi="Calibri" w:cs="Calibri"/>
        </w:rPr>
        <w:t>κολοσσοὺς</w:t>
      </w:r>
      <w:proofErr w:type="spellEnd"/>
      <w:r w:rsidR="00D74C23" w:rsidRPr="00D74C23">
        <w:rPr>
          <w:rFonts w:ascii="Calibri" w:hAnsi="Calibri" w:cs="Calibri"/>
          <w:lang w:val="en-GB"/>
        </w:rPr>
        <w:t>)</w:t>
      </w:r>
      <w:r w:rsidR="008E4BDB">
        <w:rPr>
          <w:rFonts w:ascii="Calibri" w:hAnsi="Calibri" w:cs="Calibri"/>
          <w:lang w:val="en-GB"/>
        </w:rPr>
        <w:t xml:space="preserve"> in the temple of Thebes.</w:t>
      </w:r>
      <w:r w:rsidR="00D74C23">
        <w:rPr>
          <w:rStyle w:val="Rimandonotaapidipagina"/>
          <w:rFonts w:ascii="Calibri" w:hAnsi="Calibri" w:cs="Calibri"/>
          <w:lang w:val="en-GB"/>
        </w:rPr>
        <w:footnoteReference w:id="11"/>
      </w:r>
      <w:r w:rsidR="00D74C23">
        <w:rPr>
          <w:rFonts w:ascii="Calibri" w:hAnsi="Calibri" w:cs="Calibri"/>
          <w:lang w:val="en-GB"/>
        </w:rPr>
        <w:t xml:space="preserve"> They can calculate with precision the date of each generation and come back to the very earliest origins of their kingship. </w:t>
      </w:r>
      <w:r w:rsidR="00D74C23">
        <w:rPr>
          <w:rStyle w:val="Rimandonotaapidipagina"/>
          <w:rFonts w:ascii="Calibri" w:hAnsi="Calibri" w:cs="Calibri"/>
          <w:lang w:val="en-GB"/>
        </w:rPr>
        <w:footnoteReference w:id="12"/>
      </w:r>
      <w:r w:rsidR="00D74C23">
        <w:rPr>
          <w:rFonts w:ascii="Calibri" w:hAnsi="Calibri" w:cs="Calibri"/>
          <w:lang w:val="en-GB"/>
        </w:rPr>
        <w:t xml:space="preserve"> </w:t>
      </w:r>
    </w:p>
    <w:p w14:paraId="373C65B5" w14:textId="4947801D" w:rsidR="007B29CB" w:rsidRDefault="00D74C23">
      <w:pPr>
        <w:rPr>
          <w:rFonts w:ascii="Calibri" w:hAnsi="Calibri" w:cs="Calibri"/>
          <w:lang w:val="en-GB"/>
        </w:rPr>
      </w:pPr>
      <w:r>
        <w:rPr>
          <w:rFonts w:ascii="Calibri" w:hAnsi="Calibri" w:cs="Calibri"/>
          <w:lang w:val="en-GB"/>
        </w:rPr>
        <w:t>In the other hand, the Egyptian people is the founder of ancestral cults, imported then in Greece. Herodotus remember the cult of Heracles</w:t>
      </w:r>
      <w:r>
        <w:rPr>
          <w:rStyle w:val="Rimandonotaapidipagina"/>
          <w:rFonts w:ascii="Calibri" w:hAnsi="Calibri" w:cs="Calibri"/>
          <w:lang w:val="en-GB"/>
        </w:rPr>
        <w:footnoteReference w:id="13"/>
      </w:r>
      <w:r>
        <w:rPr>
          <w:rFonts w:ascii="Calibri" w:hAnsi="Calibri" w:cs="Calibri"/>
          <w:lang w:val="en-GB"/>
        </w:rPr>
        <w:t xml:space="preserve">, of Apollo, of Dionysus and of Pan. </w:t>
      </w:r>
      <w:r>
        <w:rPr>
          <w:rStyle w:val="Rimandonotaapidipagina"/>
          <w:rFonts w:ascii="Calibri" w:hAnsi="Calibri" w:cs="Calibri"/>
          <w:lang w:val="en-GB"/>
        </w:rPr>
        <w:footnoteReference w:id="14"/>
      </w:r>
      <w:r>
        <w:rPr>
          <w:rFonts w:ascii="Calibri" w:hAnsi="Calibri" w:cs="Calibri"/>
          <w:lang w:val="en-GB"/>
        </w:rPr>
        <w:t xml:space="preserve"> </w:t>
      </w:r>
      <w:r w:rsidR="007B29CB">
        <w:rPr>
          <w:rFonts w:ascii="Calibri" w:hAnsi="Calibri" w:cs="Calibri"/>
          <w:lang w:val="en-GB"/>
        </w:rPr>
        <w:t xml:space="preserve">These gods and related cults are much older than the Greek ones. </w:t>
      </w:r>
      <w:r w:rsidR="00923A3D">
        <w:rPr>
          <w:rFonts w:ascii="Calibri" w:hAnsi="Calibri" w:cs="Calibri"/>
          <w:lang w:val="en-GB"/>
        </w:rPr>
        <w:t xml:space="preserve">Furthermore, </w:t>
      </w:r>
      <w:r w:rsidR="007B29CB">
        <w:rPr>
          <w:rFonts w:ascii="Calibri" w:hAnsi="Calibri" w:cs="Calibri"/>
          <w:lang w:val="en-GB"/>
        </w:rPr>
        <w:t xml:space="preserve">the Egyptians not only “invented” the divinity, but also historicized them. In fact, they consider them as the earlier figures to reign over Egypt. </w:t>
      </w:r>
      <w:r w:rsidR="007B29CB">
        <w:rPr>
          <w:rStyle w:val="Rimandonotaapidipagina"/>
          <w:rFonts w:ascii="Calibri" w:hAnsi="Calibri" w:cs="Calibri"/>
          <w:lang w:val="en-GB"/>
        </w:rPr>
        <w:footnoteReference w:id="15"/>
      </w:r>
      <w:r w:rsidR="007B29CB">
        <w:rPr>
          <w:rFonts w:ascii="Calibri" w:hAnsi="Calibri" w:cs="Calibri"/>
          <w:lang w:val="en-GB"/>
        </w:rPr>
        <w:t xml:space="preserve"> </w:t>
      </w:r>
    </w:p>
    <w:p w14:paraId="570AAD21" w14:textId="52D0595E" w:rsidR="00133E90" w:rsidRDefault="00133E90">
      <w:pPr>
        <w:rPr>
          <w:rFonts w:ascii="Calibri" w:hAnsi="Calibri" w:cs="Calibri"/>
          <w:lang w:val="en-GB"/>
        </w:rPr>
      </w:pPr>
      <w:r>
        <w:rPr>
          <w:rFonts w:ascii="Calibri" w:hAnsi="Calibri" w:cs="Calibri"/>
          <w:lang w:val="en-GB"/>
        </w:rPr>
        <w:lastRenderedPageBreak/>
        <w:t xml:space="preserve">According to Felix Jacoby, </w:t>
      </w:r>
      <w:r>
        <w:rPr>
          <w:rStyle w:val="Rimandonotaapidipagina"/>
          <w:rFonts w:ascii="Calibri" w:hAnsi="Calibri" w:cs="Calibri"/>
          <w:lang w:val="en-GB"/>
        </w:rPr>
        <w:footnoteReference w:id="16"/>
      </w:r>
      <w:r>
        <w:rPr>
          <w:rFonts w:ascii="Calibri" w:hAnsi="Calibri" w:cs="Calibri"/>
          <w:lang w:val="en-GB"/>
        </w:rPr>
        <w:t xml:space="preserve"> the Egyptian influence had only a “psychological impetus” on Herodotus. Thanks to this contact, he was able to revi</w:t>
      </w:r>
      <w:r w:rsidR="00C71258">
        <w:rPr>
          <w:rFonts w:ascii="Calibri" w:hAnsi="Calibri" w:cs="Calibri"/>
          <w:lang w:val="en-GB"/>
        </w:rPr>
        <w:t>ew</w:t>
      </w:r>
      <w:r>
        <w:rPr>
          <w:rFonts w:ascii="Calibri" w:hAnsi="Calibri" w:cs="Calibri"/>
          <w:lang w:val="en-GB"/>
        </w:rPr>
        <w:t xml:space="preserve"> </w:t>
      </w:r>
      <w:r w:rsidR="00C71258">
        <w:rPr>
          <w:rFonts w:ascii="Calibri" w:hAnsi="Calibri" w:cs="Calibri"/>
          <w:lang w:val="en-GB"/>
        </w:rPr>
        <w:t xml:space="preserve">the </w:t>
      </w:r>
      <w:r>
        <w:rPr>
          <w:rFonts w:ascii="Calibri" w:hAnsi="Calibri" w:cs="Calibri"/>
          <w:lang w:val="en-GB"/>
        </w:rPr>
        <w:t xml:space="preserve">Greek historical past more critically, but the crucial passage from ethnography to historiography happens </w:t>
      </w:r>
      <w:r w:rsidR="00C71258">
        <w:rPr>
          <w:rFonts w:ascii="Calibri" w:hAnsi="Calibri" w:cs="Calibri"/>
          <w:lang w:val="en-GB"/>
        </w:rPr>
        <w:t>in Periclean Athen</w:t>
      </w:r>
      <w:r w:rsidR="00E83BBE">
        <w:rPr>
          <w:rFonts w:ascii="Calibri" w:hAnsi="Calibri" w:cs="Calibri"/>
          <w:lang w:val="en-GB"/>
        </w:rPr>
        <w:t>s</w:t>
      </w:r>
      <w:r w:rsidR="00C71258">
        <w:rPr>
          <w:rFonts w:ascii="Calibri" w:hAnsi="Calibri" w:cs="Calibri"/>
          <w:lang w:val="en-GB"/>
        </w:rPr>
        <w:t xml:space="preserve">. The numerical precision of this section, however, proves that this influence is not merely “psychological”, but also factual. Herodotus is engaged in first person with the Greek mythical and undated history. </w:t>
      </w:r>
    </w:p>
    <w:p w14:paraId="31A5040B" w14:textId="462D0E95" w:rsidR="00F44C6A" w:rsidRPr="00C91A9D" w:rsidRDefault="00C71258">
      <w:pPr>
        <w:rPr>
          <w:rFonts w:ascii="Calibri" w:hAnsi="Calibri" w:cs="Calibri"/>
          <w:lang w:val="en-GB"/>
        </w:rPr>
      </w:pPr>
      <w:r>
        <w:rPr>
          <w:rFonts w:ascii="Calibri" w:hAnsi="Calibri" w:cs="Calibri"/>
          <w:lang w:val="en-GB"/>
        </w:rPr>
        <w:t xml:space="preserve">Hartog, following the idea of </w:t>
      </w:r>
      <w:proofErr w:type="spellStart"/>
      <w:r>
        <w:rPr>
          <w:rFonts w:ascii="Calibri" w:hAnsi="Calibri" w:cs="Calibri"/>
          <w:lang w:val="en-GB"/>
        </w:rPr>
        <w:t>Froidefond</w:t>
      </w:r>
      <w:proofErr w:type="spellEnd"/>
      <w:r>
        <w:rPr>
          <w:rFonts w:ascii="Calibri" w:hAnsi="Calibri" w:cs="Calibri"/>
          <w:lang w:val="en-GB"/>
        </w:rPr>
        <w:t xml:space="preserve">, </w:t>
      </w:r>
      <w:r>
        <w:rPr>
          <w:rStyle w:val="Rimandonotaapidipagina"/>
          <w:rFonts w:ascii="Calibri" w:hAnsi="Calibri" w:cs="Calibri"/>
          <w:lang w:val="en-GB"/>
        </w:rPr>
        <w:footnoteReference w:id="17"/>
      </w:r>
      <w:r>
        <w:rPr>
          <w:rFonts w:ascii="Calibri" w:hAnsi="Calibri" w:cs="Calibri"/>
          <w:lang w:val="en-GB"/>
        </w:rPr>
        <w:t xml:space="preserve"> </w:t>
      </w:r>
      <w:r w:rsidR="00B00A3D">
        <w:rPr>
          <w:rFonts w:ascii="Calibri" w:hAnsi="Calibri" w:cs="Calibri"/>
          <w:lang w:val="en-GB"/>
        </w:rPr>
        <w:t xml:space="preserve">affirms that this </w:t>
      </w:r>
      <w:proofErr w:type="spellStart"/>
      <w:r w:rsidR="00B00A3D">
        <w:rPr>
          <w:rFonts w:ascii="Calibri" w:hAnsi="Calibri" w:cs="Calibri"/>
          <w:lang w:val="en-GB"/>
        </w:rPr>
        <w:t>λόγος</w:t>
      </w:r>
      <w:proofErr w:type="spellEnd"/>
      <w:r w:rsidR="00B00A3D">
        <w:rPr>
          <w:rFonts w:ascii="Calibri" w:hAnsi="Calibri" w:cs="Calibri"/>
          <w:lang w:val="en-GB"/>
        </w:rPr>
        <w:t xml:space="preserve"> (as the Scythian one) gives a representation of </w:t>
      </w:r>
      <w:r w:rsidR="00676BB3">
        <w:rPr>
          <w:rFonts w:ascii="Calibri" w:hAnsi="Calibri" w:cs="Calibri"/>
          <w:lang w:val="en-GB"/>
        </w:rPr>
        <w:t xml:space="preserve">one </w:t>
      </w:r>
      <w:r w:rsidR="00DC1BB1">
        <w:rPr>
          <w:rFonts w:ascii="Calibri" w:hAnsi="Calibri" w:cs="Calibri"/>
          <w:lang w:val="en-GB"/>
        </w:rPr>
        <w:t>specific</w:t>
      </w:r>
      <w:r w:rsidR="00676BB3">
        <w:rPr>
          <w:rFonts w:ascii="Calibri" w:hAnsi="Calibri" w:cs="Calibri"/>
          <w:lang w:val="en-GB"/>
        </w:rPr>
        <w:t xml:space="preserve"> category in Greek ideology: the “plausible”</w:t>
      </w:r>
      <w:r w:rsidR="00106C53">
        <w:rPr>
          <w:rFonts w:ascii="Calibri" w:hAnsi="Calibri" w:cs="Calibri"/>
          <w:lang w:val="en-GB"/>
        </w:rPr>
        <w:t xml:space="preserve"> (“</w:t>
      </w:r>
      <w:proofErr w:type="spellStart"/>
      <w:r w:rsidR="00106C53" w:rsidRPr="00106C53">
        <w:rPr>
          <w:rFonts w:ascii="Calibri" w:hAnsi="Calibri" w:cs="Calibri"/>
          <w:lang w:val="en-GB"/>
        </w:rPr>
        <w:t>vraisemblable</w:t>
      </w:r>
      <w:proofErr w:type="spellEnd"/>
      <w:r w:rsidR="00106C53">
        <w:rPr>
          <w:rFonts w:ascii="Calibri" w:hAnsi="Calibri" w:cs="Calibri"/>
          <w:lang w:val="en-GB"/>
        </w:rPr>
        <w:t xml:space="preserve">”). </w:t>
      </w:r>
      <w:r w:rsidR="00106C53">
        <w:rPr>
          <w:rStyle w:val="Rimandonotaapidipagina"/>
          <w:rFonts w:ascii="Calibri" w:hAnsi="Calibri" w:cs="Calibri"/>
          <w:lang w:val="en-GB"/>
        </w:rPr>
        <w:footnoteReference w:id="18"/>
      </w:r>
      <w:r w:rsidR="00676BB3">
        <w:rPr>
          <w:rFonts w:ascii="Calibri" w:hAnsi="Calibri" w:cs="Calibri"/>
          <w:lang w:val="en-GB"/>
        </w:rPr>
        <w:t xml:space="preserve"> </w:t>
      </w:r>
      <w:r w:rsidR="00DC1BB1">
        <w:rPr>
          <w:rFonts w:ascii="Calibri" w:hAnsi="Calibri" w:cs="Calibri"/>
          <w:lang w:val="en-GB"/>
        </w:rPr>
        <w:t xml:space="preserve">The record memories of Egyptians, as said, render their history believable. Nevertheless, as </w:t>
      </w:r>
      <w:r w:rsidR="00DC1BB1" w:rsidRPr="00DC1BB1">
        <w:rPr>
          <w:rFonts w:ascii="Calibri" w:hAnsi="Calibri" w:cs="Calibri"/>
          <w:lang w:val="en-GB"/>
        </w:rPr>
        <w:t>Moyer</w:t>
      </w:r>
      <w:r w:rsidR="00DC1BB1">
        <w:rPr>
          <w:rFonts w:ascii="Calibri" w:hAnsi="Calibri" w:cs="Calibri"/>
          <w:lang w:val="en-GB"/>
        </w:rPr>
        <w:t xml:space="preserve"> sublines, </w:t>
      </w:r>
      <w:r w:rsidR="00DC1BB1">
        <w:rPr>
          <w:rStyle w:val="Rimandonotaapidipagina"/>
          <w:rFonts w:ascii="Calibri" w:hAnsi="Calibri" w:cs="Calibri"/>
          <w:lang w:val="en-GB"/>
        </w:rPr>
        <w:footnoteReference w:id="19"/>
      </w:r>
      <w:r w:rsidR="00DC1BB1">
        <w:rPr>
          <w:rFonts w:ascii="Calibri" w:hAnsi="Calibri" w:cs="Calibri"/>
          <w:lang w:val="en-GB"/>
        </w:rPr>
        <w:t xml:space="preserve"> this recount is not a “mirror” of Egypt in general, but a representation of a </w:t>
      </w:r>
      <w:proofErr w:type="gramStart"/>
      <w:r w:rsidR="00DC1BB1">
        <w:rPr>
          <w:rFonts w:ascii="Calibri" w:hAnsi="Calibri" w:cs="Calibri"/>
          <w:lang w:val="en-GB"/>
        </w:rPr>
        <w:t xml:space="preserve">particular </w:t>
      </w:r>
      <w:r w:rsidR="003D1EB3">
        <w:rPr>
          <w:rFonts w:ascii="Calibri" w:hAnsi="Calibri" w:cs="Calibri"/>
          <w:lang w:val="en-GB"/>
        </w:rPr>
        <w:t>period</w:t>
      </w:r>
      <w:proofErr w:type="gramEnd"/>
      <w:r w:rsidR="00DC1BB1">
        <w:rPr>
          <w:rFonts w:ascii="Calibri" w:hAnsi="Calibri" w:cs="Calibri"/>
          <w:lang w:val="en-GB"/>
        </w:rPr>
        <w:t xml:space="preserve"> of Egyptian history. </w:t>
      </w:r>
      <w:r w:rsidR="003D1EB3">
        <w:rPr>
          <w:rFonts w:ascii="Calibri" w:hAnsi="Calibri" w:cs="Calibri"/>
          <w:lang w:val="en-GB"/>
        </w:rPr>
        <w:t>He demonstrates that the Late Period (in which Herodotus conducted his enquiry) “</w:t>
      </w:r>
      <w:r w:rsidR="003D1EB3" w:rsidRPr="003D1EB3">
        <w:rPr>
          <w:rFonts w:ascii="Calibri" w:hAnsi="Calibri" w:cs="Calibri"/>
          <w:lang w:val="en-GB"/>
        </w:rPr>
        <w:t xml:space="preserve">also showed a great concern for the imitation of </w:t>
      </w:r>
      <w:r w:rsidR="003D1EB3">
        <w:rPr>
          <w:rFonts w:ascii="Calibri" w:hAnsi="Calibri" w:cs="Calibri"/>
          <w:lang w:val="en-GB"/>
        </w:rPr>
        <w:t xml:space="preserve">styles and forms from earlier periods”. </w:t>
      </w:r>
      <w:r w:rsidR="00AE65F2">
        <w:rPr>
          <w:rStyle w:val="Rimandonotaapidipagina"/>
          <w:rFonts w:ascii="Calibri" w:hAnsi="Calibri" w:cs="Calibri"/>
          <w:lang w:val="en-GB"/>
        </w:rPr>
        <w:footnoteReference w:id="20"/>
      </w:r>
      <w:r w:rsidR="00587307">
        <w:rPr>
          <w:rFonts w:ascii="Calibri" w:hAnsi="Calibri" w:cs="Calibri"/>
          <w:lang w:val="en-GB"/>
        </w:rPr>
        <w:t xml:space="preserve"> </w:t>
      </w:r>
      <w:r w:rsidR="00480DC6">
        <w:rPr>
          <w:rFonts w:ascii="Calibri" w:hAnsi="Calibri" w:cs="Calibri"/>
          <w:lang w:val="en-GB"/>
        </w:rPr>
        <w:t>This reuse of past is in order to glorify Egypt</w:t>
      </w:r>
      <w:r w:rsidR="00C9777D">
        <w:rPr>
          <w:rFonts w:ascii="Calibri" w:hAnsi="Calibri" w:cs="Calibri"/>
          <w:lang w:val="en-GB"/>
        </w:rPr>
        <w:t xml:space="preserve">, with a propagandistic function under not native Egyptian kings (the Libyan Dynasty). The reader can also see how Herodotus, presenting his sources, uses verbs of seeing and hearing, but he never says that he read something from Egyptian archives. </w:t>
      </w:r>
      <w:r w:rsidR="00C9777D">
        <w:rPr>
          <w:rStyle w:val="Rimandonotaapidipagina"/>
          <w:rFonts w:ascii="Calibri" w:hAnsi="Calibri" w:cs="Calibri"/>
          <w:lang w:val="en-GB"/>
        </w:rPr>
        <w:footnoteReference w:id="21"/>
      </w:r>
      <w:r w:rsidR="00C9777D">
        <w:rPr>
          <w:rFonts w:ascii="Calibri" w:hAnsi="Calibri" w:cs="Calibri"/>
          <w:lang w:val="en-GB"/>
        </w:rPr>
        <w:t xml:space="preserve"> The most probable conclusion is that Herodotus did not know hieroglyphs. In the other hand, the ancient Egypt priests have the tendency to keep secret </w:t>
      </w:r>
      <w:r w:rsidR="000E62FF">
        <w:rPr>
          <w:rFonts w:ascii="Calibri" w:hAnsi="Calibri" w:cs="Calibri"/>
          <w:lang w:val="en-GB"/>
        </w:rPr>
        <w:t xml:space="preserve">the documents and archives and reveal only certain aspects of their knowledges. </w:t>
      </w:r>
      <w:r w:rsidR="000E62FF">
        <w:rPr>
          <w:rStyle w:val="Rimandonotaapidipagina"/>
          <w:rFonts w:ascii="Calibri" w:hAnsi="Calibri" w:cs="Calibri"/>
          <w:lang w:val="en-GB"/>
        </w:rPr>
        <w:footnoteReference w:id="22"/>
      </w:r>
      <w:r w:rsidR="000E62FF">
        <w:rPr>
          <w:rFonts w:ascii="Calibri" w:hAnsi="Calibri" w:cs="Calibri"/>
          <w:lang w:val="en-GB"/>
        </w:rPr>
        <w:t xml:space="preserve"> In that way it becomes clear that Herodotus got some information by Egyptian informants, that shared the regal propaganda. </w:t>
      </w:r>
      <w:r w:rsidR="00C91A9D">
        <w:rPr>
          <w:rFonts w:ascii="Calibri" w:hAnsi="Calibri" w:cs="Calibri"/>
          <w:lang w:val="en-GB"/>
        </w:rPr>
        <w:t xml:space="preserve">The glorious past and the present, </w:t>
      </w:r>
      <w:r w:rsidR="00C91A9D">
        <w:rPr>
          <w:rFonts w:ascii="Calibri" w:hAnsi="Calibri" w:cs="Calibri"/>
          <w:i/>
          <w:lang w:val="en-GB"/>
        </w:rPr>
        <w:t>“hoc tempus”</w:t>
      </w:r>
      <w:r w:rsidR="00C91A9D">
        <w:rPr>
          <w:rFonts w:ascii="Calibri" w:hAnsi="Calibri" w:cs="Calibri"/>
          <w:lang w:val="en-GB"/>
        </w:rPr>
        <w:t xml:space="preserve"> and </w:t>
      </w:r>
      <w:r w:rsidR="00C91A9D">
        <w:rPr>
          <w:rFonts w:ascii="Calibri" w:hAnsi="Calibri" w:cs="Calibri"/>
          <w:i/>
          <w:lang w:val="en-GB"/>
        </w:rPr>
        <w:t>“</w:t>
      </w:r>
      <w:proofErr w:type="spellStart"/>
      <w:r w:rsidR="00C91A9D">
        <w:rPr>
          <w:rFonts w:ascii="Calibri" w:hAnsi="Calibri" w:cs="Calibri"/>
          <w:i/>
          <w:lang w:val="en-GB"/>
        </w:rPr>
        <w:t>illud</w:t>
      </w:r>
      <w:proofErr w:type="spellEnd"/>
      <w:r w:rsidR="00C91A9D">
        <w:rPr>
          <w:rFonts w:ascii="Calibri" w:hAnsi="Calibri" w:cs="Calibri"/>
          <w:i/>
          <w:lang w:val="en-GB"/>
        </w:rPr>
        <w:t xml:space="preserve"> tempus”,</w:t>
      </w:r>
      <w:r w:rsidR="00C91A9D">
        <w:rPr>
          <w:rFonts w:ascii="Calibri" w:hAnsi="Calibri" w:cs="Calibri"/>
          <w:lang w:val="en-GB"/>
        </w:rPr>
        <w:t xml:space="preserve"> have not distinctions, are an historical </w:t>
      </w:r>
      <w:r w:rsidR="00C91A9D">
        <w:rPr>
          <w:rFonts w:ascii="Calibri" w:hAnsi="Calibri" w:cs="Calibri"/>
          <w:i/>
          <w:lang w:val="en-GB"/>
        </w:rPr>
        <w:t>continuum.</w:t>
      </w:r>
      <w:r w:rsidR="00C91A9D">
        <w:rPr>
          <w:rFonts w:ascii="Calibri" w:hAnsi="Calibri" w:cs="Calibri"/>
          <w:lang w:val="en-GB"/>
        </w:rPr>
        <w:t xml:space="preserve"> </w:t>
      </w:r>
    </w:p>
    <w:p w14:paraId="4F14FAE2" w14:textId="026B7047" w:rsidR="000E62FF" w:rsidRDefault="000E62FF">
      <w:pPr>
        <w:rPr>
          <w:rFonts w:ascii="Calibri" w:hAnsi="Calibri" w:cs="Calibri"/>
          <w:lang w:val="en-GB"/>
        </w:rPr>
      </w:pPr>
      <w:r>
        <w:rPr>
          <w:rFonts w:ascii="Calibri" w:hAnsi="Calibri" w:cs="Calibri"/>
          <w:lang w:val="en-GB"/>
        </w:rPr>
        <w:t xml:space="preserve">The </w:t>
      </w:r>
      <w:r w:rsidR="00C91A9D">
        <w:rPr>
          <w:rFonts w:ascii="Calibri" w:hAnsi="Calibri" w:cs="Calibri"/>
          <w:lang w:val="en-GB"/>
        </w:rPr>
        <w:t xml:space="preserve">reference to the Egypt has, for Moyer, the scope to criticize. </w:t>
      </w:r>
      <w:r w:rsidR="00C91A9D">
        <w:rPr>
          <w:rStyle w:val="Rimandonotaapidipagina"/>
          <w:rFonts w:ascii="Calibri" w:hAnsi="Calibri" w:cs="Calibri"/>
          <w:lang w:val="en-GB"/>
        </w:rPr>
        <w:footnoteReference w:id="23"/>
      </w:r>
      <w:r w:rsidR="00C91A9D">
        <w:rPr>
          <w:rFonts w:ascii="Calibri" w:hAnsi="Calibri" w:cs="Calibri"/>
          <w:lang w:val="en-GB"/>
        </w:rPr>
        <w:t xml:space="preserve"> While </w:t>
      </w:r>
      <w:proofErr w:type="spellStart"/>
      <w:r w:rsidR="00C91A9D">
        <w:rPr>
          <w:rFonts w:ascii="Calibri" w:hAnsi="Calibri" w:cs="Calibri"/>
          <w:lang w:val="en-GB"/>
        </w:rPr>
        <w:t>Hecataeus</w:t>
      </w:r>
      <w:proofErr w:type="spellEnd"/>
      <w:r w:rsidR="00C91A9D">
        <w:rPr>
          <w:rFonts w:ascii="Calibri" w:hAnsi="Calibri" w:cs="Calibri"/>
          <w:lang w:val="en-GB"/>
        </w:rPr>
        <w:t xml:space="preserve"> tries to identify the believable (“</w:t>
      </w:r>
      <w:proofErr w:type="spellStart"/>
      <w:r w:rsidR="00C91A9D">
        <w:rPr>
          <w:rFonts w:ascii="Calibri" w:hAnsi="Calibri" w:cs="Calibri"/>
          <w:lang w:val="en-GB"/>
        </w:rPr>
        <w:t>μοι</w:t>
      </w:r>
      <w:proofErr w:type="spellEnd"/>
      <w:r w:rsidR="00C91A9D">
        <w:rPr>
          <w:rFonts w:ascii="Calibri" w:hAnsi="Calibri" w:cs="Calibri"/>
          <w:lang w:val="en-GB"/>
        </w:rPr>
        <w:t xml:space="preserve"> </w:t>
      </w:r>
      <w:proofErr w:type="spellStart"/>
      <w:r w:rsidR="00C91A9D">
        <w:rPr>
          <w:rFonts w:ascii="Calibri" w:hAnsi="Calibri" w:cs="Calibri"/>
          <w:lang w:val="en-GB"/>
        </w:rPr>
        <w:t>δοκειν</w:t>
      </w:r>
      <w:proofErr w:type="spellEnd"/>
      <w:r w:rsidR="00C91A9D">
        <w:rPr>
          <w:rFonts w:ascii="Calibri" w:hAnsi="Calibri" w:cs="Calibri"/>
          <w:lang w:val="en-GB"/>
        </w:rPr>
        <w:t xml:space="preserve">”) myth within the “manifold […] and […] </w:t>
      </w:r>
      <w:proofErr w:type="spellStart"/>
      <w:r w:rsidR="00C91A9D">
        <w:rPr>
          <w:rFonts w:ascii="Calibri" w:hAnsi="Calibri" w:cs="Calibri"/>
          <w:lang w:val="en-GB"/>
        </w:rPr>
        <w:t>ridicoulus</w:t>
      </w:r>
      <w:proofErr w:type="spellEnd"/>
      <w:r w:rsidR="00C91A9D">
        <w:rPr>
          <w:rFonts w:ascii="Calibri" w:hAnsi="Calibri" w:cs="Calibri"/>
          <w:lang w:val="en-GB"/>
        </w:rPr>
        <w:t>” versions</w:t>
      </w:r>
      <w:r w:rsidR="00C41F1E">
        <w:rPr>
          <w:rFonts w:ascii="Calibri" w:hAnsi="Calibri" w:cs="Calibri"/>
          <w:lang w:val="en-GB"/>
        </w:rPr>
        <w:t>,</w:t>
      </w:r>
      <w:r w:rsidR="00C41F1E">
        <w:rPr>
          <w:rStyle w:val="Rimandonotaapidipagina"/>
          <w:rFonts w:ascii="Calibri" w:hAnsi="Calibri" w:cs="Calibri"/>
          <w:lang w:val="en-GB"/>
        </w:rPr>
        <w:footnoteReference w:id="24"/>
      </w:r>
      <w:r w:rsidR="00C41F1E">
        <w:rPr>
          <w:rFonts w:ascii="Calibri" w:hAnsi="Calibri" w:cs="Calibri"/>
          <w:lang w:val="en-GB"/>
        </w:rPr>
        <w:t xml:space="preserve"> Herodotus humanizes the history.</w:t>
      </w:r>
      <w:r w:rsidR="00377D12">
        <w:rPr>
          <w:rStyle w:val="Rimandonotaapidipagina"/>
          <w:rFonts w:ascii="Calibri" w:hAnsi="Calibri" w:cs="Calibri"/>
          <w:lang w:val="en-GB"/>
        </w:rPr>
        <w:footnoteReference w:id="25"/>
      </w:r>
      <w:r w:rsidR="00C41F1E">
        <w:rPr>
          <w:rFonts w:ascii="Calibri" w:hAnsi="Calibri" w:cs="Calibri"/>
          <w:lang w:val="en-GB"/>
        </w:rPr>
        <w:t xml:space="preserve"> To do this, he refers to the </w:t>
      </w:r>
      <w:r w:rsidR="00CD629B">
        <w:rPr>
          <w:rFonts w:ascii="Calibri" w:hAnsi="Calibri" w:cs="Calibri"/>
          <w:lang w:val="en-GB"/>
        </w:rPr>
        <w:t>Egyptian view of the past, extending in this way his enquiry (</w:t>
      </w:r>
      <w:proofErr w:type="spellStart"/>
      <w:r w:rsidR="00CD629B">
        <w:rPr>
          <w:rFonts w:ascii="Calibri" w:hAnsi="Calibri" w:cs="Calibri"/>
          <w:lang w:val="en-GB"/>
        </w:rPr>
        <w:t>ιστοριη</w:t>
      </w:r>
      <w:proofErr w:type="spellEnd"/>
      <w:r w:rsidR="00CD629B">
        <w:rPr>
          <w:rFonts w:ascii="Calibri" w:hAnsi="Calibri" w:cs="Calibri"/>
          <w:lang w:val="en-GB"/>
        </w:rPr>
        <w:t xml:space="preserve">) to the past. </w:t>
      </w:r>
      <w:r w:rsidR="00CD629B">
        <w:rPr>
          <w:rStyle w:val="Rimandonotaapidipagina"/>
          <w:rFonts w:ascii="Calibri" w:hAnsi="Calibri" w:cs="Calibri"/>
          <w:lang w:val="en-GB"/>
        </w:rPr>
        <w:footnoteReference w:id="26"/>
      </w:r>
      <w:r w:rsidR="00CB7088">
        <w:rPr>
          <w:rFonts w:ascii="Calibri" w:hAnsi="Calibri" w:cs="Calibri"/>
          <w:lang w:val="en-GB"/>
        </w:rPr>
        <w:t xml:space="preserve"> </w:t>
      </w:r>
      <w:r w:rsidR="00CD0F1E">
        <w:rPr>
          <w:rFonts w:ascii="Calibri" w:hAnsi="Calibri" w:cs="Calibri"/>
          <w:lang w:val="en-GB"/>
        </w:rPr>
        <w:t xml:space="preserve">Not only </w:t>
      </w:r>
      <w:proofErr w:type="spellStart"/>
      <w:r w:rsidR="00CD0F1E">
        <w:rPr>
          <w:rFonts w:ascii="Calibri" w:hAnsi="Calibri" w:cs="Calibri"/>
          <w:lang w:val="en-GB"/>
        </w:rPr>
        <w:t>Hecataeus</w:t>
      </w:r>
      <w:proofErr w:type="spellEnd"/>
      <w:r w:rsidR="00CD0F1E">
        <w:rPr>
          <w:rFonts w:ascii="Calibri" w:hAnsi="Calibri" w:cs="Calibri"/>
          <w:lang w:val="en-GB"/>
        </w:rPr>
        <w:t xml:space="preserve"> is brought into play. Herodotus gives us a variation of the beginning of the War of Troy, according to whom Helen had never been in Ilium, but in Egypt and, after the fall of the city, was </w:t>
      </w:r>
      <w:r w:rsidR="00255922">
        <w:rPr>
          <w:rFonts w:ascii="Calibri" w:hAnsi="Calibri" w:cs="Calibri"/>
          <w:lang w:val="en-GB"/>
        </w:rPr>
        <w:t xml:space="preserve">given back to Menelaus by king Proteus. </w:t>
      </w:r>
      <w:r w:rsidR="002563B6">
        <w:rPr>
          <w:rFonts w:ascii="Calibri" w:hAnsi="Calibri" w:cs="Calibri"/>
          <w:lang w:val="en-GB"/>
        </w:rPr>
        <w:t xml:space="preserve">The model of Homer is in that case historicized and the variation becomes more credible, </w:t>
      </w:r>
      <w:r w:rsidR="002563B6">
        <w:rPr>
          <w:rStyle w:val="Rimandonotaapidipagina"/>
          <w:rFonts w:ascii="Calibri" w:hAnsi="Calibri" w:cs="Calibri"/>
          <w:lang w:val="en-GB"/>
        </w:rPr>
        <w:footnoteReference w:id="27"/>
      </w:r>
      <w:r w:rsidR="002563B6">
        <w:rPr>
          <w:rFonts w:ascii="Calibri" w:hAnsi="Calibri" w:cs="Calibri"/>
          <w:lang w:val="en-GB"/>
        </w:rPr>
        <w:t xml:space="preserve"> since he was referred by the ancient priests</w:t>
      </w:r>
      <w:r w:rsidR="00314825">
        <w:rPr>
          <w:rFonts w:ascii="Calibri" w:hAnsi="Calibri" w:cs="Calibri"/>
          <w:lang w:val="en-GB"/>
        </w:rPr>
        <w:t xml:space="preserve">, that knew this (truthful) version from Menelaus himself. </w:t>
      </w:r>
      <w:r w:rsidR="00314825">
        <w:rPr>
          <w:rStyle w:val="Rimandonotaapidipagina"/>
          <w:rFonts w:ascii="Calibri" w:hAnsi="Calibri" w:cs="Calibri"/>
          <w:lang w:val="en-GB"/>
        </w:rPr>
        <w:footnoteReference w:id="28"/>
      </w:r>
      <w:r w:rsidR="004E6C71">
        <w:rPr>
          <w:rFonts w:ascii="Calibri" w:hAnsi="Calibri" w:cs="Calibri"/>
          <w:lang w:val="en-GB"/>
        </w:rPr>
        <w:t xml:space="preserve"> </w:t>
      </w:r>
      <w:r w:rsidR="005E2EBA">
        <w:rPr>
          <w:rFonts w:ascii="Calibri" w:hAnsi="Calibri" w:cs="Calibri"/>
          <w:lang w:val="en-GB"/>
        </w:rPr>
        <w:t xml:space="preserve"> </w:t>
      </w:r>
      <w:r w:rsidR="00CB7088">
        <w:rPr>
          <w:rFonts w:ascii="Calibri" w:hAnsi="Calibri" w:cs="Calibri"/>
          <w:lang w:val="en-GB"/>
        </w:rPr>
        <w:t xml:space="preserve">The will of Herodotus is to reform the Greek historiography in concrete sense, beginning from the example of the Egyptian accounts. </w:t>
      </w:r>
    </w:p>
    <w:p w14:paraId="207845A7" w14:textId="786C5EFD" w:rsidR="00A9013B" w:rsidRDefault="000E62FF">
      <w:pPr>
        <w:rPr>
          <w:rFonts w:ascii="Calibri" w:hAnsi="Calibri" w:cs="Calibri"/>
          <w:lang w:val="en-GB"/>
        </w:rPr>
      </w:pPr>
      <w:r>
        <w:rPr>
          <w:rFonts w:ascii="Calibri" w:hAnsi="Calibri" w:cs="Calibri"/>
          <w:lang w:val="en-GB"/>
        </w:rPr>
        <w:t xml:space="preserve">Moreover, it is relevant the history of the pharaoh </w:t>
      </w:r>
      <w:proofErr w:type="spellStart"/>
      <w:r>
        <w:rPr>
          <w:rFonts w:ascii="Calibri" w:hAnsi="Calibri" w:cs="Calibri"/>
          <w:lang w:val="en-GB"/>
        </w:rPr>
        <w:t>Sesostris</w:t>
      </w:r>
      <w:proofErr w:type="spellEnd"/>
      <w:r>
        <w:rPr>
          <w:rFonts w:ascii="Calibri" w:hAnsi="Calibri" w:cs="Calibri"/>
          <w:lang w:val="en-GB"/>
        </w:rPr>
        <w:t>, that, in front of Darius, “subdued n</w:t>
      </w:r>
      <w:r w:rsidRPr="000E62FF">
        <w:rPr>
          <w:rFonts w:ascii="Calibri" w:hAnsi="Calibri" w:cs="Calibri"/>
          <w:lang w:val="en-GB"/>
        </w:rPr>
        <w:t>ations no less than he, and also the Scythians, while Darius was not able to conquer the Scythians</w:t>
      </w:r>
      <w:r>
        <w:rPr>
          <w:rFonts w:ascii="Calibri" w:hAnsi="Calibri" w:cs="Calibri"/>
          <w:lang w:val="en-GB"/>
        </w:rPr>
        <w:t xml:space="preserve">”. </w:t>
      </w:r>
      <w:r>
        <w:rPr>
          <w:rStyle w:val="Rimandonotaapidipagina"/>
          <w:rFonts w:ascii="Calibri" w:hAnsi="Calibri" w:cs="Calibri"/>
          <w:lang w:val="en-GB"/>
        </w:rPr>
        <w:footnoteReference w:id="29"/>
      </w:r>
      <w:r>
        <w:rPr>
          <w:rFonts w:ascii="Calibri" w:hAnsi="Calibri" w:cs="Calibri"/>
          <w:lang w:val="en-GB"/>
        </w:rPr>
        <w:t xml:space="preserve"> In that case Moyer identifies another interesting scope</w:t>
      </w:r>
      <w:r w:rsidR="00CB7088">
        <w:rPr>
          <w:rFonts w:ascii="Calibri" w:hAnsi="Calibri" w:cs="Calibri"/>
          <w:lang w:val="en-GB"/>
        </w:rPr>
        <w:t>: “E</w:t>
      </w:r>
      <w:r w:rsidR="00CB7088" w:rsidRPr="00CB7088">
        <w:rPr>
          <w:rFonts w:ascii="Calibri" w:hAnsi="Calibri" w:cs="Calibri"/>
          <w:lang w:val="en-GB"/>
        </w:rPr>
        <w:t>gyptian awareness of the past in the Persian period was cultivated as a focus for representations of resistance to a hated foreign ruler</w:t>
      </w:r>
      <w:r w:rsidR="00CB7088">
        <w:rPr>
          <w:rFonts w:ascii="Calibri" w:hAnsi="Calibri" w:cs="Calibri"/>
          <w:lang w:val="en-GB"/>
        </w:rPr>
        <w:t>”</w:t>
      </w:r>
      <w:r w:rsidR="00CB7088">
        <w:rPr>
          <w:rStyle w:val="Rimandonotaapidipagina"/>
          <w:rFonts w:ascii="Calibri" w:hAnsi="Calibri" w:cs="Calibri"/>
          <w:lang w:val="en-GB"/>
        </w:rPr>
        <w:footnoteReference w:id="30"/>
      </w:r>
      <w:r w:rsidR="00A9013B">
        <w:rPr>
          <w:rFonts w:ascii="Calibri" w:hAnsi="Calibri" w:cs="Calibri"/>
          <w:lang w:val="en-GB"/>
        </w:rPr>
        <w:t xml:space="preserve">. In the same way the reader can notice another evidence of contrast to Persian Empire. The Scythians was never subjugated by </w:t>
      </w:r>
      <w:r w:rsidR="00A9013B">
        <w:rPr>
          <w:rFonts w:ascii="Calibri" w:hAnsi="Calibri" w:cs="Calibri"/>
          <w:lang w:val="en-GB"/>
        </w:rPr>
        <w:lastRenderedPageBreak/>
        <w:t>Persians</w:t>
      </w:r>
      <w:r w:rsidR="007C125D">
        <w:rPr>
          <w:rFonts w:ascii="Calibri" w:hAnsi="Calibri" w:cs="Calibri"/>
          <w:lang w:val="en-GB"/>
        </w:rPr>
        <w:t xml:space="preserve">, </w:t>
      </w:r>
      <w:r w:rsidR="00A9013B">
        <w:rPr>
          <w:rStyle w:val="Rimandonotaapidipagina"/>
          <w:rFonts w:ascii="Calibri" w:hAnsi="Calibri" w:cs="Calibri"/>
          <w:lang w:val="en-GB"/>
        </w:rPr>
        <w:footnoteReference w:id="31"/>
      </w:r>
      <w:r w:rsidR="007C125D">
        <w:rPr>
          <w:rFonts w:ascii="Calibri" w:hAnsi="Calibri" w:cs="Calibri"/>
          <w:lang w:val="en-GB"/>
        </w:rPr>
        <w:t xml:space="preserve"> as e certain part of India,</w:t>
      </w:r>
      <w:r w:rsidR="007C125D">
        <w:rPr>
          <w:rStyle w:val="Rimandonotaapidipagina"/>
          <w:rFonts w:ascii="Calibri" w:hAnsi="Calibri" w:cs="Calibri"/>
          <w:lang w:val="en-GB"/>
        </w:rPr>
        <w:footnoteReference w:id="32"/>
      </w:r>
      <w:r w:rsidR="007C125D">
        <w:rPr>
          <w:rFonts w:ascii="Calibri" w:hAnsi="Calibri" w:cs="Calibri"/>
          <w:lang w:val="en-GB"/>
        </w:rPr>
        <w:t xml:space="preserve"> while Egypt was conquered but it shows itself never completely controlled. </w:t>
      </w:r>
      <w:r w:rsidR="002E512C">
        <w:rPr>
          <w:rFonts w:ascii="Calibri" w:hAnsi="Calibri" w:cs="Calibri"/>
          <w:lang w:val="en-GB"/>
        </w:rPr>
        <w:t xml:space="preserve">The extreme North, East and South are not controlled, they are the weakness of Empire. It seems to be, as usual in Herodotus, an historical parallelism: </w:t>
      </w:r>
      <w:r w:rsidR="002E512C">
        <w:rPr>
          <w:rStyle w:val="Rimandonotaapidipagina"/>
          <w:rFonts w:ascii="Calibri" w:hAnsi="Calibri" w:cs="Calibri"/>
          <w:lang w:val="en-GB"/>
        </w:rPr>
        <w:footnoteReference w:id="33"/>
      </w:r>
      <w:r w:rsidR="002E512C">
        <w:rPr>
          <w:rFonts w:ascii="Calibri" w:hAnsi="Calibri" w:cs="Calibri"/>
          <w:lang w:val="en-GB"/>
        </w:rPr>
        <w:t xml:space="preserve"> the West side of the Persian power craving is Greece, and the war against Greeks is the beginning of the Achaemenid decay. </w:t>
      </w:r>
      <w:r w:rsidR="00E83BBE">
        <w:rPr>
          <w:rFonts w:ascii="Calibri" w:hAnsi="Calibri" w:cs="Calibri"/>
          <w:lang w:val="en-GB"/>
        </w:rPr>
        <w:t>T</w:t>
      </w:r>
      <w:r w:rsidR="002E512C">
        <w:rPr>
          <w:rFonts w:ascii="Calibri" w:hAnsi="Calibri" w:cs="Calibri"/>
          <w:lang w:val="en-GB"/>
        </w:rPr>
        <w:t>he “envy of god” (</w:t>
      </w:r>
      <w:proofErr w:type="spellStart"/>
      <w:r w:rsidR="002E512C">
        <w:rPr>
          <w:rFonts w:ascii="Calibri" w:hAnsi="Calibri" w:cs="Calibri"/>
          <w:lang w:val="en-GB"/>
        </w:rPr>
        <w:t>φ</w:t>
      </w:r>
      <w:r w:rsidR="00E83BBE">
        <w:rPr>
          <w:rFonts w:ascii="Calibri" w:hAnsi="Calibri" w:cs="Calibri"/>
          <w:lang w:val="en-GB"/>
        </w:rPr>
        <w:t>θονος</w:t>
      </w:r>
      <w:proofErr w:type="spellEnd"/>
      <w:r w:rsidR="00E83BBE">
        <w:rPr>
          <w:rFonts w:ascii="Calibri" w:hAnsi="Calibri" w:cs="Calibri"/>
          <w:lang w:val="en-GB"/>
        </w:rPr>
        <w:t xml:space="preserve"> </w:t>
      </w:r>
      <w:proofErr w:type="spellStart"/>
      <w:r w:rsidR="00E83BBE">
        <w:rPr>
          <w:rFonts w:ascii="Calibri" w:hAnsi="Calibri" w:cs="Calibri"/>
          <w:lang w:val="en-GB"/>
        </w:rPr>
        <w:t>θεων</w:t>
      </w:r>
      <w:proofErr w:type="spellEnd"/>
      <w:r w:rsidR="00E83BBE">
        <w:rPr>
          <w:rFonts w:ascii="Calibri" w:hAnsi="Calibri" w:cs="Calibri"/>
          <w:lang w:val="en-GB"/>
        </w:rPr>
        <w:t>)</w:t>
      </w:r>
      <w:r w:rsidR="00E83BBE">
        <w:rPr>
          <w:rStyle w:val="Rimandonotaapidipagina"/>
          <w:rFonts w:ascii="Calibri" w:hAnsi="Calibri" w:cs="Calibri"/>
          <w:lang w:val="en-GB"/>
        </w:rPr>
        <w:footnoteReference w:id="34"/>
      </w:r>
      <w:r w:rsidR="00E83BBE">
        <w:rPr>
          <w:rFonts w:ascii="Calibri" w:hAnsi="Calibri" w:cs="Calibri"/>
          <w:lang w:val="en-GB"/>
        </w:rPr>
        <w:t xml:space="preserve"> is the cause, for the too huge power of the Great King. Maybe this could be a warning to Athens and his beginning imperialism, the will of “hegemony” foreshadowed in the various Greek councils.</w:t>
      </w:r>
      <w:r w:rsidR="00E83BBE">
        <w:rPr>
          <w:rStyle w:val="Rimandonotaapidipagina"/>
          <w:rFonts w:ascii="Calibri" w:hAnsi="Calibri" w:cs="Calibri"/>
          <w:lang w:val="en-GB"/>
        </w:rPr>
        <w:footnoteReference w:id="35"/>
      </w:r>
    </w:p>
    <w:p w14:paraId="26587974" w14:textId="77777777" w:rsidR="001B71DF" w:rsidRDefault="0081505B">
      <w:pPr>
        <w:rPr>
          <w:rFonts w:ascii="Calibri" w:hAnsi="Calibri" w:cs="Calibri"/>
          <w:lang w:val="en-GB"/>
        </w:rPr>
      </w:pPr>
      <w:r>
        <w:rPr>
          <w:rFonts w:ascii="Calibri" w:hAnsi="Calibri" w:cs="Calibri"/>
          <w:lang w:val="en-GB"/>
        </w:rPr>
        <w:t xml:space="preserve">The reader can now understand the deep meaning of the Egyptian </w:t>
      </w:r>
      <w:proofErr w:type="spellStart"/>
      <w:r>
        <w:rPr>
          <w:rFonts w:ascii="Calibri" w:hAnsi="Calibri" w:cs="Calibri"/>
          <w:lang w:val="en-GB"/>
        </w:rPr>
        <w:t>λόγος</w:t>
      </w:r>
      <w:proofErr w:type="spellEnd"/>
      <w:r>
        <w:rPr>
          <w:rFonts w:ascii="Calibri" w:hAnsi="Calibri" w:cs="Calibri"/>
          <w:lang w:val="en-GB"/>
        </w:rPr>
        <w:t>. In one hand Herodotus tries to create a Panhellenic history, based on historical version of myth</w:t>
      </w:r>
      <w:r w:rsidR="00B03DD3">
        <w:rPr>
          <w:rFonts w:ascii="Calibri" w:hAnsi="Calibri" w:cs="Calibri"/>
          <w:lang w:val="en-GB"/>
        </w:rPr>
        <w:t xml:space="preserve"> and on Egyptian model</w:t>
      </w:r>
      <w:r>
        <w:rPr>
          <w:rFonts w:ascii="Calibri" w:hAnsi="Calibri" w:cs="Calibri"/>
          <w:lang w:val="en-GB"/>
        </w:rPr>
        <w:t>. In the other hand</w:t>
      </w:r>
      <w:r w:rsidR="00B03DD3">
        <w:rPr>
          <w:rFonts w:ascii="Calibri" w:hAnsi="Calibri" w:cs="Calibri"/>
          <w:lang w:val="en-GB"/>
        </w:rPr>
        <w:t xml:space="preserve"> the will of Herodotus is to give a model to understand the history, a sort of grind to find the causes of the empires’ ruins and to prevent this decay in the future.</w:t>
      </w:r>
    </w:p>
    <w:p w14:paraId="205DDCAD" w14:textId="77777777" w:rsidR="001B71DF" w:rsidRDefault="001B71DF">
      <w:pPr>
        <w:rPr>
          <w:rFonts w:ascii="Calibri" w:hAnsi="Calibri" w:cs="Calibri"/>
          <w:lang w:val="en-GB"/>
        </w:rPr>
      </w:pPr>
    </w:p>
    <w:p w14:paraId="0EED8795" w14:textId="77777777" w:rsidR="001B71DF" w:rsidRDefault="001B71DF">
      <w:pPr>
        <w:rPr>
          <w:rFonts w:ascii="Calibri" w:hAnsi="Calibri" w:cs="Calibri"/>
          <w:lang w:val="en-GB"/>
        </w:rPr>
      </w:pPr>
    </w:p>
    <w:p w14:paraId="7B02B418" w14:textId="77777777" w:rsidR="001B71DF" w:rsidRDefault="001B71DF">
      <w:pPr>
        <w:rPr>
          <w:rFonts w:ascii="Calibri" w:hAnsi="Calibri" w:cs="Calibri"/>
          <w:lang w:val="en-GB"/>
        </w:rPr>
      </w:pPr>
    </w:p>
    <w:p w14:paraId="45E4C5D4" w14:textId="77777777" w:rsidR="001B71DF" w:rsidRDefault="001B71DF">
      <w:pPr>
        <w:rPr>
          <w:rFonts w:ascii="Calibri" w:hAnsi="Calibri" w:cs="Calibri"/>
          <w:lang w:val="en-GB"/>
        </w:rPr>
      </w:pPr>
    </w:p>
    <w:p w14:paraId="598AE5E1" w14:textId="77777777" w:rsidR="001B71DF" w:rsidRDefault="001B71DF">
      <w:pPr>
        <w:rPr>
          <w:rFonts w:ascii="Calibri" w:hAnsi="Calibri" w:cs="Calibri"/>
          <w:lang w:val="en-GB"/>
        </w:rPr>
      </w:pPr>
    </w:p>
    <w:p w14:paraId="18A13A37" w14:textId="77777777" w:rsidR="001B71DF" w:rsidRDefault="001B71DF">
      <w:pPr>
        <w:rPr>
          <w:rFonts w:ascii="Calibri" w:hAnsi="Calibri" w:cs="Calibri"/>
          <w:lang w:val="en-GB"/>
        </w:rPr>
      </w:pPr>
    </w:p>
    <w:p w14:paraId="358BC746" w14:textId="77777777" w:rsidR="001B71DF" w:rsidRDefault="001B71DF">
      <w:pPr>
        <w:rPr>
          <w:rFonts w:ascii="Calibri" w:hAnsi="Calibri" w:cs="Calibri"/>
          <w:lang w:val="en-GB"/>
        </w:rPr>
      </w:pPr>
    </w:p>
    <w:p w14:paraId="2039F653" w14:textId="77777777" w:rsidR="001B71DF" w:rsidRDefault="001B71DF">
      <w:pPr>
        <w:rPr>
          <w:rFonts w:ascii="Calibri" w:hAnsi="Calibri" w:cs="Calibri"/>
          <w:lang w:val="en-GB"/>
        </w:rPr>
      </w:pPr>
    </w:p>
    <w:p w14:paraId="547B626A" w14:textId="77777777" w:rsidR="001B71DF" w:rsidRDefault="001B71DF">
      <w:pPr>
        <w:rPr>
          <w:rFonts w:ascii="Calibri" w:hAnsi="Calibri" w:cs="Calibri"/>
          <w:lang w:val="en-GB"/>
        </w:rPr>
      </w:pPr>
    </w:p>
    <w:p w14:paraId="41A3F1E7" w14:textId="77777777" w:rsidR="001B71DF" w:rsidRDefault="001B71DF">
      <w:pPr>
        <w:rPr>
          <w:rFonts w:ascii="Calibri" w:hAnsi="Calibri" w:cs="Calibri"/>
          <w:lang w:val="en-GB"/>
        </w:rPr>
      </w:pPr>
    </w:p>
    <w:p w14:paraId="67F9A0AF" w14:textId="77777777" w:rsidR="001B71DF" w:rsidRDefault="001B71DF">
      <w:pPr>
        <w:rPr>
          <w:rFonts w:ascii="Calibri" w:hAnsi="Calibri" w:cs="Calibri"/>
          <w:lang w:val="en-GB"/>
        </w:rPr>
      </w:pPr>
    </w:p>
    <w:p w14:paraId="13B23602" w14:textId="77777777" w:rsidR="001B71DF" w:rsidRDefault="001B71DF">
      <w:pPr>
        <w:rPr>
          <w:rFonts w:ascii="Calibri" w:hAnsi="Calibri" w:cs="Calibri"/>
          <w:lang w:val="en-GB"/>
        </w:rPr>
      </w:pPr>
    </w:p>
    <w:p w14:paraId="33975486" w14:textId="77777777" w:rsidR="001B71DF" w:rsidRDefault="001B71DF">
      <w:pPr>
        <w:rPr>
          <w:rFonts w:ascii="Calibri" w:hAnsi="Calibri" w:cs="Calibri"/>
          <w:lang w:val="en-GB"/>
        </w:rPr>
      </w:pPr>
    </w:p>
    <w:p w14:paraId="3ECA7ACD" w14:textId="77777777" w:rsidR="001B71DF" w:rsidRDefault="001B71DF">
      <w:pPr>
        <w:rPr>
          <w:rFonts w:ascii="Calibri" w:hAnsi="Calibri" w:cs="Calibri"/>
          <w:lang w:val="en-GB"/>
        </w:rPr>
      </w:pPr>
    </w:p>
    <w:p w14:paraId="5A7A0415" w14:textId="642C989F" w:rsidR="001B71DF" w:rsidRPr="00D06C48" w:rsidRDefault="001B71DF" w:rsidP="001B71DF">
      <w:pPr>
        <w:pStyle w:val="Titolo1"/>
        <w:rPr>
          <w:lang w:val="en-GB"/>
        </w:rPr>
      </w:pPr>
    </w:p>
    <w:p w14:paraId="1DE7FB42" w14:textId="679ED13D" w:rsidR="001B71DF" w:rsidRPr="00D06C48" w:rsidRDefault="001B71DF" w:rsidP="001B71DF">
      <w:pPr>
        <w:rPr>
          <w:lang w:val="en-GB" w:eastAsia="it-IT"/>
        </w:rPr>
      </w:pPr>
    </w:p>
    <w:p w14:paraId="52CE0F30" w14:textId="46299235" w:rsidR="001B71DF" w:rsidRPr="00D06C48" w:rsidRDefault="001B71DF" w:rsidP="001B71DF">
      <w:pPr>
        <w:rPr>
          <w:lang w:val="en-GB" w:eastAsia="it-IT"/>
        </w:rPr>
      </w:pPr>
    </w:p>
    <w:p w14:paraId="43DAD910" w14:textId="3DC62489" w:rsidR="001B71DF" w:rsidRPr="00D06C48" w:rsidRDefault="001B71DF" w:rsidP="001B71DF">
      <w:pPr>
        <w:rPr>
          <w:lang w:val="en-GB" w:eastAsia="it-IT"/>
        </w:rPr>
      </w:pPr>
    </w:p>
    <w:p w14:paraId="757480EB" w14:textId="1182BFD2" w:rsidR="001B71DF" w:rsidRPr="00D06C48" w:rsidRDefault="001B71DF" w:rsidP="001B71DF">
      <w:pPr>
        <w:rPr>
          <w:lang w:val="en-GB" w:eastAsia="it-IT"/>
        </w:rPr>
      </w:pPr>
    </w:p>
    <w:p w14:paraId="600585EC" w14:textId="4EEF9623" w:rsidR="001B71DF" w:rsidRPr="00D06C48" w:rsidRDefault="001B71DF" w:rsidP="001B71DF">
      <w:pPr>
        <w:rPr>
          <w:lang w:val="en-GB" w:eastAsia="it-IT"/>
        </w:rPr>
      </w:pPr>
    </w:p>
    <w:p w14:paraId="585F89AA" w14:textId="64312D80" w:rsidR="001B71DF" w:rsidRPr="00D06C48" w:rsidRDefault="001B71DF" w:rsidP="001B71DF">
      <w:pPr>
        <w:rPr>
          <w:lang w:val="en-GB" w:eastAsia="it-IT"/>
        </w:rPr>
      </w:pPr>
    </w:p>
    <w:p w14:paraId="4DAB732C" w14:textId="456E397F" w:rsidR="001B71DF" w:rsidRPr="00D06C48" w:rsidRDefault="001B71DF" w:rsidP="001B71DF">
      <w:pPr>
        <w:rPr>
          <w:lang w:val="en-GB" w:eastAsia="it-IT"/>
        </w:rPr>
      </w:pPr>
    </w:p>
    <w:p w14:paraId="30A0A729" w14:textId="1E39AA8F" w:rsidR="001B71DF" w:rsidRPr="00D06C48" w:rsidRDefault="001B71DF" w:rsidP="001B71DF">
      <w:pPr>
        <w:rPr>
          <w:lang w:val="en-GB" w:eastAsia="it-IT"/>
        </w:rPr>
      </w:pPr>
    </w:p>
    <w:p w14:paraId="2551018C" w14:textId="2FB52A48" w:rsidR="001B71DF" w:rsidRPr="00D06C48" w:rsidRDefault="001B71DF" w:rsidP="001B71DF">
      <w:pPr>
        <w:rPr>
          <w:lang w:val="en-GB" w:eastAsia="it-IT"/>
        </w:rPr>
      </w:pPr>
    </w:p>
    <w:p w14:paraId="4C8106D5" w14:textId="77777777" w:rsidR="00BE4A56" w:rsidRDefault="00BE4A56" w:rsidP="001B71DF">
      <w:pPr>
        <w:rPr>
          <w:sz w:val="28"/>
          <w:lang w:val="en-GB" w:eastAsia="it-IT"/>
        </w:rPr>
      </w:pPr>
    </w:p>
    <w:p w14:paraId="5E9D780B" w14:textId="51E21E5F" w:rsidR="001B71DF" w:rsidRDefault="001B71DF" w:rsidP="001B71DF">
      <w:pPr>
        <w:rPr>
          <w:sz w:val="28"/>
          <w:lang w:val="en-GB" w:eastAsia="it-IT"/>
        </w:rPr>
      </w:pPr>
      <w:r w:rsidRPr="001B71DF">
        <w:rPr>
          <w:sz w:val="28"/>
          <w:lang w:val="en-GB" w:eastAsia="it-IT"/>
        </w:rPr>
        <w:t>Bibliography:</w:t>
      </w:r>
    </w:p>
    <w:p w14:paraId="6AB40B8F" w14:textId="07444BFD" w:rsidR="005344E9" w:rsidRPr="005344E9" w:rsidRDefault="005344E9" w:rsidP="001B71DF">
      <w:pPr>
        <w:rPr>
          <w:sz w:val="24"/>
          <w:lang w:val="en-GB" w:eastAsia="it-IT"/>
        </w:rPr>
      </w:pPr>
      <w:r>
        <w:rPr>
          <w:sz w:val="24"/>
          <w:lang w:val="en-GB" w:eastAsia="it-IT"/>
        </w:rPr>
        <w:t>Modern Scholars:</w:t>
      </w:r>
    </w:p>
    <w:p w14:paraId="6234A3B3" w14:textId="77777777" w:rsidR="00DF54B1" w:rsidRPr="00DF54B1" w:rsidRDefault="001B71DF" w:rsidP="00074204">
      <w:pPr>
        <w:pStyle w:val="Paragrafoelenco"/>
        <w:numPr>
          <w:ilvl w:val="0"/>
          <w:numId w:val="2"/>
        </w:numPr>
      </w:pPr>
      <w:r w:rsidRPr="00DF54B1">
        <w:rPr>
          <w:lang w:val="en-GB" w:eastAsia="it-IT"/>
        </w:rPr>
        <w:t xml:space="preserve">Bury, J.B. (1909). </w:t>
      </w:r>
      <w:r w:rsidRPr="00DF54B1">
        <w:rPr>
          <w:i/>
          <w:lang w:val="en-GB" w:eastAsia="it-IT"/>
        </w:rPr>
        <w:t>The Ancient Greek Historians</w:t>
      </w:r>
      <w:r w:rsidRPr="00DF54B1">
        <w:rPr>
          <w:lang w:val="en-GB" w:eastAsia="it-IT"/>
        </w:rPr>
        <w:t>. New York</w:t>
      </w:r>
    </w:p>
    <w:p w14:paraId="44BB43C3" w14:textId="77777777" w:rsidR="00273CC1" w:rsidRDefault="00074204" w:rsidP="00074204">
      <w:pPr>
        <w:pStyle w:val="Paragrafoelenco"/>
        <w:numPr>
          <w:ilvl w:val="0"/>
          <w:numId w:val="2"/>
        </w:numPr>
      </w:pPr>
      <w:r w:rsidRPr="00DF54B1">
        <w:t xml:space="preserve">Canfora L. (1989), </w:t>
      </w:r>
      <w:r w:rsidRPr="00DF54B1">
        <w:rPr>
          <w:i/>
        </w:rPr>
        <w:t>Il pensiero storiografico</w:t>
      </w:r>
      <w:r w:rsidRPr="00DF54B1">
        <w:t xml:space="preserve">, in </w:t>
      </w:r>
      <w:r w:rsidRPr="00DF54B1">
        <w:rPr>
          <w:i/>
        </w:rPr>
        <w:t>Lo spazio letterario di Roma antica</w:t>
      </w:r>
      <w:r w:rsidRPr="00DF54B1">
        <w:t xml:space="preserve">, Salerno, </w:t>
      </w:r>
      <w:r>
        <w:t>Roma</w:t>
      </w:r>
    </w:p>
    <w:p w14:paraId="5F5C4477" w14:textId="28213758" w:rsidR="00074204" w:rsidRDefault="00273CC1" w:rsidP="00074204">
      <w:pPr>
        <w:pStyle w:val="Paragrafoelenco"/>
        <w:numPr>
          <w:ilvl w:val="0"/>
          <w:numId w:val="2"/>
        </w:numPr>
      </w:pPr>
      <w:r w:rsidRPr="00273CC1">
        <w:rPr>
          <w:lang w:val="en-GB"/>
        </w:rPr>
        <w:t>Finley, J. H. (1978). </w:t>
      </w:r>
      <w:r w:rsidRPr="00273CC1">
        <w:rPr>
          <w:i/>
          <w:iCs/>
          <w:lang w:val="en-GB"/>
        </w:rPr>
        <w:t>Homer's Odyssey.</w:t>
      </w:r>
      <w:r w:rsidRPr="00273CC1">
        <w:rPr>
          <w:lang w:val="en-GB"/>
        </w:rPr>
        <w:t> </w:t>
      </w:r>
      <w:r w:rsidRPr="00273CC1">
        <w:t xml:space="preserve">Cambridge: Harvard </w:t>
      </w:r>
      <w:proofErr w:type="spellStart"/>
      <w:r w:rsidRPr="00273CC1">
        <w:t>Univ</w:t>
      </w:r>
      <w:proofErr w:type="spellEnd"/>
      <w:r w:rsidRPr="00273CC1">
        <w:t xml:space="preserve">. </w:t>
      </w:r>
      <w:proofErr w:type="gramStart"/>
      <w:r w:rsidRPr="00273CC1">
        <w:t>Pr..</w:t>
      </w:r>
      <w:proofErr w:type="gramEnd"/>
      <w:r w:rsidR="00074204">
        <w:t xml:space="preserve"> </w:t>
      </w:r>
    </w:p>
    <w:p w14:paraId="1874094C" w14:textId="09A366FF" w:rsidR="00CE2E74" w:rsidRPr="00D06C48" w:rsidRDefault="00CE2E74" w:rsidP="00074204">
      <w:pPr>
        <w:pStyle w:val="Paragrafoelenco"/>
        <w:numPr>
          <w:ilvl w:val="0"/>
          <w:numId w:val="2"/>
        </w:numPr>
        <w:rPr>
          <w:lang w:val="en-GB"/>
        </w:rPr>
      </w:pPr>
      <w:proofErr w:type="spellStart"/>
      <w:r w:rsidRPr="00CE2E74">
        <w:rPr>
          <w:lang w:val="en-GB"/>
        </w:rPr>
        <w:t>Froidefond</w:t>
      </w:r>
      <w:proofErr w:type="spellEnd"/>
      <w:r w:rsidRPr="00CE2E74">
        <w:rPr>
          <w:lang w:val="en-GB"/>
        </w:rPr>
        <w:t xml:space="preserve"> C</w:t>
      </w:r>
      <w:r>
        <w:rPr>
          <w:lang w:val="en-GB"/>
        </w:rPr>
        <w:t xml:space="preserve">. </w:t>
      </w:r>
      <w:r w:rsidRPr="00CE2E74">
        <w:rPr>
          <w:lang w:val="en-GB"/>
        </w:rPr>
        <w:t xml:space="preserve">(1971). </w:t>
      </w:r>
      <w:r w:rsidRPr="00CE2E74">
        <w:rPr>
          <w:i/>
          <w:lang w:val="en-GB"/>
        </w:rPr>
        <w:t xml:space="preserve">Le mirage </w:t>
      </w:r>
      <w:proofErr w:type="spellStart"/>
      <w:r w:rsidRPr="00CE2E74">
        <w:rPr>
          <w:i/>
          <w:lang w:val="en-GB"/>
        </w:rPr>
        <w:t>égyptien</w:t>
      </w:r>
      <w:proofErr w:type="spellEnd"/>
      <w:r w:rsidRPr="00CE2E74">
        <w:rPr>
          <w:lang w:val="en-GB"/>
        </w:rPr>
        <w:t xml:space="preserve">. </w:t>
      </w:r>
      <w:r w:rsidRPr="00D06C48">
        <w:rPr>
          <w:lang w:val="en-GB"/>
        </w:rPr>
        <w:t xml:space="preserve">Paris: </w:t>
      </w:r>
      <w:proofErr w:type="spellStart"/>
      <w:r w:rsidRPr="00D06C48">
        <w:rPr>
          <w:lang w:val="en-GB"/>
        </w:rPr>
        <w:t>Ophrys</w:t>
      </w:r>
      <w:proofErr w:type="spellEnd"/>
      <w:r w:rsidRPr="00D06C48">
        <w:rPr>
          <w:lang w:val="en-GB"/>
        </w:rPr>
        <w:t>.</w:t>
      </w:r>
    </w:p>
    <w:p w14:paraId="5CB30094" w14:textId="04296EE3" w:rsidR="00CE2E74" w:rsidRPr="00CE2E74" w:rsidRDefault="00CE2E74" w:rsidP="00074204">
      <w:pPr>
        <w:pStyle w:val="Paragrafoelenco"/>
        <w:numPr>
          <w:ilvl w:val="0"/>
          <w:numId w:val="2"/>
        </w:numPr>
        <w:rPr>
          <w:lang w:val="en-GB"/>
        </w:rPr>
      </w:pPr>
      <w:r w:rsidRPr="00CE2E74">
        <w:rPr>
          <w:lang w:val="en-GB"/>
        </w:rPr>
        <w:t>Hartog</w:t>
      </w:r>
      <w:r>
        <w:rPr>
          <w:lang w:val="en-GB"/>
        </w:rPr>
        <w:t xml:space="preserve"> F.</w:t>
      </w:r>
      <w:r w:rsidRPr="00CE2E74">
        <w:rPr>
          <w:lang w:val="en-GB"/>
        </w:rPr>
        <w:t xml:space="preserve"> (1989)</w:t>
      </w:r>
      <w:r>
        <w:rPr>
          <w:lang w:val="en-GB"/>
        </w:rPr>
        <w:t>.</w:t>
      </w:r>
      <w:r w:rsidRPr="00CE2E74">
        <w:rPr>
          <w:lang w:val="en-GB"/>
        </w:rPr>
        <w:t xml:space="preserve"> </w:t>
      </w:r>
      <w:proofErr w:type="spellStart"/>
      <w:r w:rsidRPr="00CE2E74">
        <w:rPr>
          <w:i/>
          <w:lang w:val="en-GB"/>
        </w:rPr>
        <w:t>Ecritures</w:t>
      </w:r>
      <w:proofErr w:type="spellEnd"/>
      <w:r w:rsidRPr="00CE2E74">
        <w:rPr>
          <w:i/>
          <w:lang w:val="en-GB"/>
        </w:rPr>
        <w:t xml:space="preserve">, genealogies, archives, </w:t>
      </w:r>
      <w:proofErr w:type="spellStart"/>
      <w:r w:rsidRPr="00CE2E74">
        <w:rPr>
          <w:i/>
          <w:lang w:val="en-GB"/>
        </w:rPr>
        <w:t>histoire</w:t>
      </w:r>
      <w:proofErr w:type="spellEnd"/>
      <w:r w:rsidRPr="00CE2E74">
        <w:rPr>
          <w:i/>
          <w:lang w:val="en-GB"/>
        </w:rPr>
        <w:t xml:space="preserve"> </w:t>
      </w:r>
      <w:proofErr w:type="spellStart"/>
      <w:r w:rsidRPr="00CE2E74">
        <w:rPr>
          <w:i/>
          <w:lang w:val="en-GB"/>
        </w:rPr>
        <w:t>en</w:t>
      </w:r>
      <w:proofErr w:type="spellEnd"/>
      <w:r w:rsidRPr="00CE2E74">
        <w:rPr>
          <w:i/>
          <w:lang w:val="en-GB"/>
        </w:rPr>
        <w:t xml:space="preserve"> </w:t>
      </w:r>
      <w:proofErr w:type="spellStart"/>
      <w:r w:rsidRPr="00CE2E74">
        <w:rPr>
          <w:i/>
          <w:lang w:val="en-GB"/>
        </w:rPr>
        <w:t>Grece</w:t>
      </w:r>
      <w:proofErr w:type="spellEnd"/>
      <w:r w:rsidRPr="00CE2E74">
        <w:rPr>
          <w:i/>
          <w:lang w:val="en-GB"/>
        </w:rPr>
        <w:t xml:space="preserve"> </w:t>
      </w:r>
      <w:proofErr w:type="spellStart"/>
      <w:r w:rsidRPr="00CE2E74">
        <w:rPr>
          <w:i/>
          <w:lang w:val="en-GB"/>
        </w:rPr>
        <w:t>ancienne</w:t>
      </w:r>
      <w:proofErr w:type="spellEnd"/>
      <w:r w:rsidRPr="00CE2E74">
        <w:rPr>
          <w:lang w:val="en-GB"/>
        </w:rPr>
        <w:t xml:space="preserve">, in </w:t>
      </w:r>
      <w:proofErr w:type="spellStart"/>
      <w:r w:rsidRPr="00CE2E74">
        <w:rPr>
          <w:i/>
          <w:lang w:val="en-GB"/>
        </w:rPr>
        <w:t>Histoire</w:t>
      </w:r>
      <w:proofErr w:type="spellEnd"/>
      <w:r w:rsidRPr="00CE2E74">
        <w:rPr>
          <w:i/>
          <w:lang w:val="en-GB"/>
        </w:rPr>
        <w:t xml:space="preserve"> et conscience his </w:t>
      </w:r>
      <w:proofErr w:type="spellStart"/>
      <w:r w:rsidRPr="00CE2E74">
        <w:rPr>
          <w:i/>
          <w:lang w:val="en-GB"/>
        </w:rPr>
        <w:t>torique</w:t>
      </w:r>
      <w:proofErr w:type="spellEnd"/>
      <w:r w:rsidRPr="00CE2E74">
        <w:rPr>
          <w:i/>
          <w:lang w:val="en-GB"/>
        </w:rPr>
        <w:t xml:space="preserve"> dans les civilisations du </w:t>
      </w:r>
      <w:proofErr w:type="spellStart"/>
      <w:r w:rsidRPr="00CE2E74">
        <w:rPr>
          <w:i/>
          <w:lang w:val="en-GB"/>
        </w:rPr>
        <w:t>Proche</w:t>
      </w:r>
      <w:proofErr w:type="spellEnd"/>
      <w:r w:rsidRPr="00CE2E74">
        <w:rPr>
          <w:i/>
          <w:lang w:val="en-GB"/>
        </w:rPr>
        <w:t xml:space="preserve">-Orient. </w:t>
      </w:r>
      <w:proofErr w:type="spellStart"/>
      <w:r w:rsidRPr="00CE2E74">
        <w:rPr>
          <w:i/>
          <w:lang w:val="en-GB"/>
        </w:rPr>
        <w:t>Actes</w:t>
      </w:r>
      <w:proofErr w:type="spellEnd"/>
      <w:r w:rsidRPr="00CE2E74">
        <w:rPr>
          <w:i/>
          <w:lang w:val="en-GB"/>
        </w:rPr>
        <w:t xml:space="preserve"> du </w:t>
      </w:r>
      <w:proofErr w:type="spellStart"/>
      <w:r w:rsidRPr="00CE2E74">
        <w:rPr>
          <w:i/>
          <w:lang w:val="en-GB"/>
        </w:rPr>
        <w:t>Colloque</w:t>
      </w:r>
      <w:proofErr w:type="spellEnd"/>
      <w:r w:rsidRPr="00CE2E74">
        <w:rPr>
          <w:i/>
          <w:lang w:val="en-GB"/>
        </w:rPr>
        <w:t xml:space="preserve"> de </w:t>
      </w:r>
      <w:proofErr w:type="spellStart"/>
      <w:r w:rsidRPr="00CE2E74">
        <w:rPr>
          <w:i/>
          <w:lang w:val="en-GB"/>
        </w:rPr>
        <w:t>Cartigny</w:t>
      </w:r>
      <w:proofErr w:type="spellEnd"/>
      <w:r w:rsidRPr="00CE2E74">
        <w:rPr>
          <w:lang w:val="en-GB"/>
        </w:rPr>
        <w:t xml:space="preserve"> (Cahiers du Centre </w:t>
      </w:r>
      <w:proofErr w:type="spellStart"/>
      <w:r w:rsidRPr="00CE2E74">
        <w:rPr>
          <w:lang w:val="en-GB"/>
        </w:rPr>
        <w:t>d'Etude</w:t>
      </w:r>
      <w:proofErr w:type="spellEnd"/>
      <w:r w:rsidRPr="00CE2E74">
        <w:rPr>
          <w:lang w:val="en-GB"/>
        </w:rPr>
        <w:t xml:space="preserve"> du </w:t>
      </w:r>
      <w:proofErr w:type="spellStart"/>
      <w:r w:rsidRPr="00CE2E74">
        <w:rPr>
          <w:lang w:val="en-GB"/>
        </w:rPr>
        <w:t>Proche</w:t>
      </w:r>
      <w:proofErr w:type="spellEnd"/>
      <w:r w:rsidRPr="00CE2E74">
        <w:rPr>
          <w:lang w:val="en-GB"/>
        </w:rPr>
        <w:t xml:space="preserve">-Orient </w:t>
      </w:r>
      <w:proofErr w:type="spellStart"/>
      <w:r w:rsidRPr="00CE2E74">
        <w:rPr>
          <w:lang w:val="en-GB"/>
        </w:rPr>
        <w:t>Ancien</w:t>
      </w:r>
      <w:proofErr w:type="spellEnd"/>
      <w:r w:rsidRPr="00CE2E74">
        <w:rPr>
          <w:lang w:val="en-GB"/>
        </w:rPr>
        <w:t xml:space="preserve"> 5, Leuven)</w:t>
      </w:r>
    </w:p>
    <w:p w14:paraId="1404B643" w14:textId="73F8FDA5" w:rsidR="00CE2E74" w:rsidRDefault="00CE2E74" w:rsidP="00074204">
      <w:pPr>
        <w:pStyle w:val="Paragrafoelenco"/>
        <w:numPr>
          <w:ilvl w:val="0"/>
          <w:numId w:val="2"/>
        </w:numPr>
      </w:pPr>
      <w:proofErr w:type="spellStart"/>
      <w:r w:rsidRPr="00CE2E74">
        <w:t>Hartog</w:t>
      </w:r>
      <w:proofErr w:type="spellEnd"/>
      <w:r>
        <w:t xml:space="preserve"> F. </w:t>
      </w:r>
      <w:r w:rsidRPr="00CE2E74">
        <w:t>(1996). </w:t>
      </w:r>
      <w:proofErr w:type="spellStart"/>
      <w:r w:rsidRPr="00CE2E74">
        <w:rPr>
          <w:i/>
          <w:iCs/>
        </w:rPr>
        <w:t>Mémoire</w:t>
      </w:r>
      <w:proofErr w:type="spellEnd"/>
      <w:r w:rsidRPr="00CE2E74">
        <w:rPr>
          <w:i/>
          <w:iCs/>
        </w:rPr>
        <w:t xml:space="preserve"> d'</w:t>
      </w:r>
      <w:proofErr w:type="spellStart"/>
      <w:r w:rsidRPr="00CE2E74">
        <w:rPr>
          <w:i/>
          <w:iCs/>
        </w:rPr>
        <w:t>Ulysse</w:t>
      </w:r>
      <w:proofErr w:type="spellEnd"/>
      <w:r w:rsidRPr="00CE2E74">
        <w:rPr>
          <w:i/>
          <w:iCs/>
        </w:rPr>
        <w:t xml:space="preserve">: </w:t>
      </w:r>
      <w:proofErr w:type="spellStart"/>
      <w:r w:rsidRPr="00CE2E74">
        <w:rPr>
          <w:i/>
          <w:iCs/>
        </w:rPr>
        <w:t>récits</w:t>
      </w:r>
      <w:proofErr w:type="spellEnd"/>
      <w:r w:rsidRPr="00CE2E74">
        <w:rPr>
          <w:i/>
          <w:iCs/>
        </w:rPr>
        <w:t xml:space="preserve"> </w:t>
      </w:r>
      <w:proofErr w:type="spellStart"/>
      <w:r w:rsidRPr="00CE2E74">
        <w:rPr>
          <w:i/>
          <w:iCs/>
        </w:rPr>
        <w:t>sur</w:t>
      </w:r>
      <w:proofErr w:type="spellEnd"/>
      <w:r w:rsidRPr="00CE2E74">
        <w:rPr>
          <w:i/>
          <w:iCs/>
        </w:rPr>
        <w:t xml:space="preserve"> la </w:t>
      </w:r>
      <w:proofErr w:type="spellStart"/>
      <w:r w:rsidRPr="00CE2E74">
        <w:rPr>
          <w:i/>
          <w:iCs/>
        </w:rPr>
        <w:t>frontière</w:t>
      </w:r>
      <w:proofErr w:type="spellEnd"/>
      <w:r w:rsidRPr="00CE2E74">
        <w:rPr>
          <w:i/>
          <w:iCs/>
        </w:rPr>
        <w:t xml:space="preserve"> en </w:t>
      </w:r>
      <w:proofErr w:type="spellStart"/>
      <w:r w:rsidRPr="00CE2E74">
        <w:rPr>
          <w:i/>
          <w:iCs/>
        </w:rPr>
        <w:t>Grèce</w:t>
      </w:r>
      <w:proofErr w:type="spellEnd"/>
      <w:r w:rsidRPr="00CE2E74">
        <w:rPr>
          <w:i/>
          <w:iCs/>
        </w:rPr>
        <w:t xml:space="preserve"> </w:t>
      </w:r>
      <w:proofErr w:type="spellStart"/>
      <w:r w:rsidRPr="00CE2E74">
        <w:rPr>
          <w:i/>
          <w:iCs/>
        </w:rPr>
        <w:t>ancienne</w:t>
      </w:r>
      <w:proofErr w:type="spellEnd"/>
      <w:r w:rsidRPr="00CE2E74">
        <w:rPr>
          <w:i/>
          <w:iCs/>
        </w:rPr>
        <w:t>.</w:t>
      </w:r>
      <w:r w:rsidRPr="00CE2E74">
        <w:t> Paris: Gallimard.</w:t>
      </w:r>
    </w:p>
    <w:p w14:paraId="32279CED" w14:textId="180AAB29" w:rsidR="004B5D0A" w:rsidRDefault="004B5D0A" w:rsidP="00074204">
      <w:pPr>
        <w:pStyle w:val="Paragrafoelenco"/>
        <w:numPr>
          <w:ilvl w:val="0"/>
          <w:numId w:val="2"/>
        </w:numPr>
      </w:pPr>
      <w:proofErr w:type="spellStart"/>
      <w:r w:rsidRPr="004B5D0A">
        <w:rPr>
          <w:lang w:val="en-GB"/>
        </w:rPr>
        <w:t>Immerwahr</w:t>
      </w:r>
      <w:proofErr w:type="spellEnd"/>
      <w:r w:rsidRPr="004B5D0A">
        <w:rPr>
          <w:lang w:val="en-GB"/>
        </w:rPr>
        <w:t>, H</w:t>
      </w:r>
      <w:r>
        <w:rPr>
          <w:lang w:val="en-GB"/>
        </w:rPr>
        <w:t>.</w:t>
      </w:r>
      <w:r w:rsidRPr="004B5D0A">
        <w:rPr>
          <w:lang w:val="en-GB"/>
        </w:rPr>
        <w:t xml:space="preserve"> R. (1966). </w:t>
      </w:r>
      <w:r w:rsidRPr="004B5D0A">
        <w:rPr>
          <w:i/>
          <w:iCs/>
          <w:lang w:val="en-GB"/>
        </w:rPr>
        <w:t>Form and thought in Herodotus.</w:t>
      </w:r>
      <w:r w:rsidRPr="004B5D0A">
        <w:rPr>
          <w:lang w:val="en-GB"/>
        </w:rPr>
        <w:t> </w:t>
      </w:r>
      <w:r w:rsidRPr="004B5D0A">
        <w:t xml:space="preserve">Cleveland: Western Reserve </w:t>
      </w:r>
      <w:proofErr w:type="spellStart"/>
      <w:r w:rsidRPr="004B5D0A">
        <w:t>Univ</w:t>
      </w:r>
      <w:proofErr w:type="spellEnd"/>
      <w:r w:rsidRPr="004B5D0A">
        <w:t>.</w:t>
      </w:r>
    </w:p>
    <w:p w14:paraId="6C550AD9" w14:textId="39E086B6" w:rsidR="00BE4A56" w:rsidRPr="00BE4A56" w:rsidRDefault="00BE4A56" w:rsidP="00074204">
      <w:pPr>
        <w:pStyle w:val="Paragrafoelenco"/>
        <w:numPr>
          <w:ilvl w:val="0"/>
          <w:numId w:val="2"/>
        </w:numPr>
        <w:rPr>
          <w:lang w:val="en-GB"/>
        </w:rPr>
      </w:pPr>
      <w:proofErr w:type="spellStart"/>
      <w:r w:rsidRPr="00BE4A56">
        <w:rPr>
          <w:lang w:val="en-GB"/>
        </w:rPr>
        <w:t>Grethlein</w:t>
      </w:r>
      <w:proofErr w:type="spellEnd"/>
      <w:r>
        <w:rPr>
          <w:lang w:val="en-GB"/>
        </w:rPr>
        <w:t xml:space="preserve"> J. (2006).</w:t>
      </w:r>
      <w:r w:rsidRPr="00BE4A56">
        <w:rPr>
          <w:lang w:val="en-GB"/>
        </w:rPr>
        <w:t xml:space="preserve"> </w:t>
      </w:r>
      <w:r w:rsidRPr="00BE4A56">
        <w:rPr>
          <w:i/>
          <w:lang w:val="en-GB"/>
        </w:rPr>
        <w:t>The Manifold Uses of the Epic past: The Embassy Scene in Herodotus 7.153-6</w:t>
      </w:r>
      <w:r w:rsidR="005833CC">
        <w:rPr>
          <w:i/>
          <w:lang w:val="en-GB"/>
        </w:rPr>
        <w:t xml:space="preserve">3. </w:t>
      </w:r>
      <w:r w:rsidR="005833CC">
        <w:rPr>
          <w:lang w:val="en-GB"/>
        </w:rPr>
        <w:t>In</w:t>
      </w:r>
      <w:r w:rsidRPr="00BE4A56">
        <w:rPr>
          <w:lang w:val="en-GB"/>
        </w:rPr>
        <w:t xml:space="preserve"> </w:t>
      </w:r>
      <w:proofErr w:type="gramStart"/>
      <w:r w:rsidRPr="005833CC">
        <w:rPr>
          <w:i/>
          <w:lang w:val="en-GB"/>
        </w:rPr>
        <w:t>The</w:t>
      </w:r>
      <w:proofErr w:type="gramEnd"/>
      <w:r w:rsidRPr="005833CC">
        <w:rPr>
          <w:i/>
          <w:lang w:val="en-GB"/>
        </w:rPr>
        <w:t xml:space="preserve"> American Journal of Philology</w:t>
      </w:r>
      <w:r w:rsidRPr="00BE4A56">
        <w:rPr>
          <w:lang w:val="en-GB"/>
        </w:rPr>
        <w:t>, Vol. 127, No. 4</w:t>
      </w:r>
      <w:r w:rsidR="005833CC">
        <w:rPr>
          <w:lang w:val="en-GB"/>
        </w:rPr>
        <w:t xml:space="preserve">, </w:t>
      </w:r>
      <w:r w:rsidRPr="00BE4A56">
        <w:rPr>
          <w:lang w:val="en-GB"/>
        </w:rPr>
        <w:t xml:space="preserve">pp. </w:t>
      </w:r>
      <w:r w:rsidR="005833CC">
        <w:rPr>
          <w:lang w:val="en-GB"/>
        </w:rPr>
        <w:t>485</w:t>
      </w:r>
      <w:r w:rsidRPr="00BE4A56">
        <w:rPr>
          <w:lang w:val="en-GB"/>
        </w:rPr>
        <w:t>-50</w:t>
      </w:r>
      <w:r w:rsidR="005833CC">
        <w:rPr>
          <w:lang w:val="en-GB"/>
        </w:rPr>
        <w:t>9</w:t>
      </w:r>
    </w:p>
    <w:p w14:paraId="73684F2F" w14:textId="06AD2C78" w:rsidR="00DF54B1" w:rsidRPr="00DF54B1" w:rsidRDefault="00DF54B1" w:rsidP="00074204">
      <w:pPr>
        <w:pStyle w:val="Paragrafoelenco"/>
        <w:numPr>
          <w:ilvl w:val="0"/>
          <w:numId w:val="2"/>
        </w:numPr>
        <w:rPr>
          <w:lang w:val="en-GB"/>
        </w:rPr>
      </w:pPr>
      <w:r w:rsidRPr="00DF54B1">
        <w:rPr>
          <w:lang w:val="en-GB"/>
        </w:rPr>
        <w:t>Jacoby F. (1913), Real-</w:t>
      </w:r>
      <w:proofErr w:type="spellStart"/>
      <w:r w:rsidRPr="00DF54B1">
        <w:rPr>
          <w:lang w:val="en-GB"/>
        </w:rPr>
        <w:t>Encyclopädie</w:t>
      </w:r>
      <w:proofErr w:type="spellEnd"/>
      <w:r w:rsidRPr="00DF54B1">
        <w:rPr>
          <w:lang w:val="en-GB"/>
        </w:rPr>
        <w:t xml:space="preserve"> der </w:t>
      </w:r>
      <w:proofErr w:type="spellStart"/>
      <w:r w:rsidRPr="00DF54B1">
        <w:rPr>
          <w:lang w:val="en-GB"/>
        </w:rPr>
        <w:t>Klassischen</w:t>
      </w:r>
      <w:proofErr w:type="spellEnd"/>
      <w:r w:rsidRPr="00DF54B1">
        <w:rPr>
          <w:lang w:val="en-GB"/>
        </w:rPr>
        <w:t xml:space="preserve"> </w:t>
      </w:r>
      <w:proofErr w:type="spellStart"/>
      <w:r w:rsidRPr="00DF54B1">
        <w:rPr>
          <w:lang w:val="en-GB"/>
        </w:rPr>
        <w:t>Altertumswissenschaft</w:t>
      </w:r>
      <w:proofErr w:type="spellEnd"/>
      <w:r>
        <w:rPr>
          <w:lang w:val="en-GB"/>
        </w:rPr>
        <w:t>,</w:t>
      </w:r>
      <w:r w:rsidRPr="00DF54B1">
        <w:rPr>
          <w:lang w:val="en-GB"/>
        </w:rPr>
        <w:t xml:space="preserve"> Suppl. 2, </w:t>
      </w:r>
      <w:proofErr w:type="spellStart"/>
      <w:r w:rsidRPr="00DF54B1">
        <w:rPr>
          <w:i/>
          <w:lang w:val="en-GB"/>
        </w:rPr>
        <w:t>s.v.</w:t>
      </w:r>
      <w:proofErr w:type="spellEnd"/>
      <w:r w:rsidRPr="00DF54B1">
        <w:rPr>
          <w:lang w:val="en-GB"/>
        </w:rPr>
        <w:t xml:space="preserve">, </w:t>
      </w:r>
      <w:proofErr w:type="spellStart"/>
      <w:r w:rsidRPr="00DF54B1">
        <w:rPr>
          <w:lang w:val="en-GB"/>
        </w:rPr>
        <w:t>Herodotos</w:t>
      </w:r>
      <w:proofErr w:type="spellEnd"/>
      <w:r>
        <w:rPr>
          <w:lang w:val="en-GB"/>
        </w:rPr>
        <w:t xml:space="preserve"> </w:t>
      </w:r>
    </w:p>
    <w:p w14:paraId="18F0DD75" w14:textId="33C3B465" w:rsidR="001B71DF" w:rsidRPr="00D95E7D" w:rsidRDefault="00D95E7D" w:rsidP="001B71DF">
      <w:pPr>
        <w:pStyle w:val="Paragrafoelenco"/>
        <w:numPr>
          <w:ilvl w:val="0"/>
          <w:numId w:val="2"/>
        </w:numPr>
        <w:rPr>
          <w:lang w:val="en-GB" w:eastAsia="it-IT"/>
        </w:rPr>
      </w:pPr>
      <w:r w:rsidRPr="00D95E7D">
        <w:rPr>
          <w:lang w:val="en-GB" w:eastAsia="it-IT"/>
        </w:rPr>
        <w:t>Jacoby, Felix (Ed.). (1930 1923). </w:t>
      </w:r>
      <w:r w:rsidRPr="00D95E7D">
        <w:rPr>
          <w:i/>
          <w:iCs/>
          <w:lang w:val="en-GB" w:eastAsia="it-IT"/>
        </w:rPr>
        <w:t xml:space="preserve">Die </w:t>
      </w:r>
      <w:proofErr w:type="spellStart"/>
      <w:r w:rsidRPr="00D95E7D">
        <w:rPr>
          <w:i/>
          <w:iCs/>
          <w:lang w:val="en-GB" w:eastAsia="it-IT"/>
        </w:rPr>
        <w:t>Fragmente</w:t>
      </w:r>
      <w:proofErr w:type="spellEnd"/>
      <w:r w:rsidRPr="00D95E7D">
        <w:rPr>
          <w:i/>
          <w:iCs/>
          <w:lang w:val="en-GB" w:eastAsia="it-IT"/>
        </w:rPr>
        <w:t xml:space="preserve"> der </w:t>
      </w:r>
      <w:proofErr w:type="spellStart"/>
      <w:r w:rsidRPr="00D95E7D">
        <w:rPr>
          <w:i/>
          <w:iCs/>
          <w:lang w:val="en-GB" w:eastAsia="it-IT"/>
        </w:rPr>
        <w:t>Griechischen</w:t>
      </w:r>
      <w:proofErr w:type="spellEnd"/>
      <w:r w:rsidRPr="00D95E7D">
        <w:rPr>
          <w:i/>
          <w:iCs/>
          <w:lang w:val="en-GB" w:eastAsia="it-IT"/>
        </w:rPr>
        <w:t xml:space="preserve"> </w:t>
      </w:r>
      <w:proofErr w:type="spellStart"/>
      <w:r w:rsidRPr="00D95E7D">
        <w:rPr>
          <w:i/>
          <w:iCs/>
          <w:lang w:val="en-GB" w:eastAsia="it-IT"/>
        </w:rPr>
        <w:t>Historiker</w:t>
      </w:r>
      <w:proofErr w:type="spellEnd"/>
      <w:r w:rsidRPr="00D95E7D">
        <w:rPr>
          <w:i/>
          <w:iCs/>
          <w:lang w:val="en-GB" w:eastAsia="it-IT"/>
        </w:rPr>
        <w:t>, I-II.</w:t>
      </w:r>
      <w:r w:rsidRPr="00D95E7D">
        <w:rPr>
          <w:lang w:val="en-GB" w:eastAsia="it-IT"/>
        </w:rPr>
        <w:t xml:space="preserve"> Berlin: </w:t>
      </w:r>
      <w:proofErr w:type="spellStart"/>
      <w:r w:rsidRPr="00D95E7D">
        <w:rPr>
          <w:lang w:val="en-GB" w:eastAsia="it-IT"/>
        </w:rPr>
        <w:t>Weidmann</w:t>
      </w:r>
      <w:proofErr w:type="spellEnd"/>
      <w:r w:rsidRPr="00D95E7D">
        <w:rPr>
          <w:lang w:val="en-GB" w:eastAsia="it-IT"/>
        </w:rPr>
        <w:t>.</w:t>
      </w:r>
    </w:p>
    <w:p w14:paraId="137F2DCC" w14:textId="4532485D" w:rsidR="001B71DF" w:rsidRDefault="001B71DF" w:rsidP="001B71DF">
      <w:pPr>
        <w:pStyle w:val="Paragrafoelenco"/>
        <w:numPr>
          <w:ilvl w:val="0"/>
          <w:numId w:val="2"/>
        </w:numPr>
        <w:rPr>
          <w:lang w:eastAsia="it-IT"/>
        </w:rPr>
      </w:pPr>
      <w:r w:rsidRPr="001B71DF">
        <w:rPr>
          <w:lang w:eastAsia="it-IT"/>
        </w:rPr>
        <w:t xml:space="preserve">Momigliano A. (1932), Enciclopedia Treccani, ECATEO di Mileto, </w:t>
      </w:r>
      <w:proofErr w:type="spellStart"/>
      <w:r w:rsidRPr="001B71DF">
        <w:rPr>
          <w:lang w:eastAsia="it-IT"/>
        </w:rPr>
        <w:t>Available</w:t>
      </w:r>
      <w:proofErr w:type="spellEnd"/>
      <w:r w:rsidRPr="001B71DF">
        <w:rPr>
          <w:lang w:eastAsia="it-IT"/>
        </w:rPr>
        <w:t xml:space="preserve"> </w:t>
      </w:r>
      <w:proofErr w:type="spellStart"/>
      <w:r w:rsidRPr="001B71DF">
        <w:rPr>
          <w:lang w:eastAsia="it-IT"/>
        </w:rPr>
        <w:t>at</w:t>
      </w:r>
      <w:proofErr w:type="spellEnd"/>
      <w:r w:rsidRPr="001B71DF">
        <w:rPr>
          <w:lang w:eastAsia="it-IT"/>
        </w:rPr>
        <w:t xml:space="preserve">: </w:t>
      </w:r>
      <w:hyperlink r:id="rId8" w:history="1">
        <w:r w:rsidRPr="0033383C">
          <w:rPr>
            <w:rStyle w:val="Collegamentoipertestuale"/>
            <w:lang w:eastAsia="it-IT"/>
          </w:rPr>
          <w:t>http://www.treccani.it/enciclopedia/ecateo-di-mileto_(Enciclopedia-Italiana)/</w:t>
        </w:r>
      </w:hyperlink>
    </w:p>
    <w:p w14:paraId="338A8DB7" w14:textId="3569DDB0" w:rsidR="001B71DF" w:rsidRDefault="001B71DF" w:rsidP="001B71DF">
      <w:pPr>
        <w:pStyle w:val="Paragrafoelenco"/>
        <w:numPr>
          <w:ilvl w:val="0"/>
          <w:numId w:val="2"/>
        </w:numPr>
        <w:rPr>
          <w:lang w:val="en-GB" w:eastAsia="it-IT"/>
        </w:rPr>
      </w:pPr>
      <w:r w:rsidRPr="001B71DF">
        <w:rPr>
          <w:lang w:val="en-GB" w:eastAsia="it-IT"/>
        </w:rPr>
        <w:t>Moyer</w:t>
      </w:r>
      <w:r>
        <w:rPr>
          <w:lang w:val="en-GB" w:eastAsia="it-IT"/>
        </w:rPr>
        <w:t xml:space="preserve"> I. S. (2002).</w:t>
      </w:r>
      <w:r w:rsidRPr="001B71DF">
        <w:rPr>
          <w:lang w:val="en-GB" w:eastAsia="it-IT"/>
        </w:rPr>
        <w:t xml:space="preserve"> </w:t>
      </w:r>
      <w:r w:rsidRPr="001B71DF">
        <w:rPr>
          <w:i/>
          <w:lang w:val="en-GB" w:eastAsia="it-IT"/>
        </w:rPr>
        <w:t>Herodotus and an Egyptian Mirage: The Genealogies of the Theban Priests</w:t>
      </w:r>
      <w:r>
        <w:rPr>
          <w:lang w:val="en-GB" w:eastAsia="it-IT"/>
        </w:rPr>
        <w:t>. The Jour</w:t>
      </w:r>
      <w:r w:rsidRPr="001B71DF">
        <w:rPr>
          <w:lang w:val="en-GB" w:eastAsia="it-IT"/>
        </w:rPr>
        <w:t xml:space="preserve">nal of Hellenic Studies, Vol. 122 </w:t>
      </w:r>
    </w:p>
    <w:p w14:paraId="396A8985" w14:textId="2FFD979B" w:rsidR="00CE2E74" w:rsidRDefault="00CE2E74" w:rsidP="001B71DF">
      <w:pPr>
        <w:pStyle w:val="Paragrafoelenco"/>
        <w:numPr>
          <w:ilvl w:val="0"/>
          <w:numId w:val="2"/>
        </w:numPr>
        <w:rPr>
          <w:lang w:val="en-GB" w:eastAsia="it-IT"/>
        </w:rPr>
      </w:pPr>
      <w:r w:rsidRPr="00CE2E74">
        <w:rPr>
          <w:lang w:val="en-GB" w:eastAsia="it-IT"/>
        </w:rPr>
        <w:t>Nagy, I. (1973)</w:t>
      </w:r>
      <w:r>
        <w:rPr>
          <w:lang w:val="en-GB" w:eastAsia="it-IT"/>
        </w:rPr>
        <w:t>.</w:t>
      </w:r>
      <w:r w:rsidRPr="00CE2E74">
        <w:rPr>
          <w:lang w:val="en-GB" w:eastAsia="it-IT"/>
        </w:rPr>
        <w:t xml:space="preserve"> </w:t>
      </w:r>
      <w:r w:rsidRPr="00CE2E74">
        <w:rPr>
          <w:i/>
          <w:lang w:val="en-GB" w:eastAsia="it-IT"/>
        </w:rPr>
        <w:t xml:space="preserve">Remarques sur le souci </w:t>
      </w:r>
      <w:proofErr w:type="spellStart"/>
      <w:r w:rsidRPr="00CE2E74">
        <w:rPr>
          <w:i/>
          <w:lang w:val="en-GB" w:eastAsia="it-IT"/>
        </w:rPr>
        <w:t>d'archaisme</w:t>
      </w:r>
      <w:proofErr w:type="spellEnd"/>
      <w:r w:rsidRPr="00CE2E74">
        <w:rPr>
          <w:i/>
          <w:lang w:val="en-GB" w:eastAsia="it-IT"/>
        </w:rPr>
        <w:t xml:space="preserve"> </w:t>
      </w:r>
      <w:proofErr w:type="spellStart"/>
      <w:r w:rsidRPr="00CE2E74">
        <w:rPr>
          <w:i/>
          <w:lang w:val="en-GB" w:eastAsia="it-IT"/>
        </w:rPr>
        <w:t>en</w:t>
      </w:r>
      <w:proofErr w:type="spellEnd"/>
      <w:r w:rsidRPr="00CE2E74">
        <w:rPr>
          <w:i/>
          <w:lang w:val="en-GB" w:eastAsia="it-IT"/>
        </w:rPr>
        <w:t xml:space="preserve"> </w:t>
      </w:r>
      <w:proofErr w:type="spellStart"/>
      <w:r w:rsidRPr="00CE2E74">
        <w:rPr>
          <w:i/>
          <w:lang w:val="en-GB" w:eastAsia="it-IT"/>
        </w:rPr>
        <w:t>Egypte</w:t>
      </w:r>
      <w:proofErr w:type="spellEnd"/>
      <w:r w:rsidRPr="00CE2E74">
        <w:rPr>
          <w:i/>
          <w:lang w:val="en-GB" w:eastAsia="it-IT"/>
        </w:rPr>
        <w:t xml:space="preserve"> a </w:t>
      </w:r>
      <w:proofErr w:type="spellStart"/>
      <w:r w:rsidRPr="00CE2E74">
        <w:rPr>
          <w:i/>
          <w:lang w:val="en-GB" w:eastAsia="it-IT"/>
        </w:rPr>
        <w:t>l'epoque</w:t>
      </w:r>
      <w:proofErr w:type="spellEnd"/>
      <w:r w:rsidRPr="00CE2E74">
        <w:rPr>
          <w:i/>
          <w:lang w:val="en-GB" w:eastAsia="it-IT"/>
        </w:rPr>
        <w:t xml:space="preserve"> </w:t>
      </w:r>
      <w:proofErr w:type="spellStart"/>
      <w:r w:rsidRPr="00CE2E74">
        <w:rPr>
          <w:i/>
          <w:lang w:val="en-GB" w:eastAsia="it-IT"/>
        </w:rPr>
        <w:t>Saite</w:t>
      </w:r>
      <w:proofErr w:type="spellEnd"/>
      <w:r>
        <w:rPr>
          <w:lang w:val="en-GB" w:eastAsia="it-IT"/>
        </w:rPr>
        <w:t>.</w:t>
      </w:r>
      <w:r w:rsidRPr="00CE2E74">
        <w:rPr>
          <w:lang w:val="en-GB" w:eastAsia="it-IT"/>
        </w:rPr>
        <w:t xml:space="preserve"> </w:t>
      </w:r>
      <w:r w:rsidRPr="00CE2E74">
        <w:rPr>
          <w:i/>
          <w:lang w:val="en-GB" w:eastAsia="it-IT"/>
        </w:rPr>
        <w:t>Acta Antiqua</w:t>
      </w:r>
      <w:r w:rsidRPr="00CE2E74">
        <w:rPr>
          <w:lang w:val="en-GB" w:eastAsia="it-IT"/>
        </w:rPr>
        <w:t xml:space="preserve"> 21</w:t>
      </w:r>
    </w:p>
    <w:p w14:paraId="2EADEF73" w14:textId="61C7D5F5" w:rsidR="00CE2E74" w:rsidRPr="001B71DF" w:rsidRDefault="00CE2E74" w:rsidP="001B71DF">
      <w:pPr>
        <w:pStyle w:val="Paragrafoelenco"/>
        <w:numPr>
          <w:ilvl w:val="0"/>
          <w:numId w:val="2"/>
        </w:numPr>
        <w:rPr>
          <w:lang w:val="en-GB" w:eastAsia="it-IT"/>
        </w:rPr>
      </w:pPr>
      <w:proofErr w:type="spellStart"/>
      <w:r w:rsidRPr="00CE2E74">
        <w:rPr>
          <w:lang w:val="en-GB" w:eastAsia="it-IT"/>
        </w:rPr>
        <w:t>Sauneron</w:t>
      </w:r>
      <w:proofErr w:type="spellEnd"/>
      <w:r w:rsidRPr="00CE2E74">
        <w:rPr>
          <w:lang w:val="en-GB" w:eastAsia="it-IT"/>
        </w:rPr>
        <w:t>, S., &amp; Lorton, D. (2000). </w:t>
      </w:r>
      <w:r w:rsidRPr="00CE2E74">
        <w:rPr>
          <w:i/>
          <w:iCs/>
          <w:lang w:val="en-GB" w:eastAsia="it-IT"/>
        </w:rPr>
        <w:t xml:space="preserve">The priests of ancient Egypt </w:t>
      </w:r>
      <w:r w:rsidRPr="00CE2E74">
        <w:rPr>
          <w:lang w:val="en-GB" w:eastAsia="it-IT"/>
        </w:rPr>
        <w:t>(New ed., New books 21.02.11 -07.03.11). Ithaca, N.Y.; London: Cornell University Press</w:t>
      </w:r>
    </w:p>
    <w:p w14:paraId="7084FDC1" w14:textId="4935C6B8" w:rsidR="0081505B" w:rsidRDefault="00B03DD3">
      <w:pPr>
        <w:rPr>
          <w:rFonts w:ascii="Calibri" w:hAnsi="Calibri" w:cs="Calibri"/>
          <w:sz w:val="24"/>
          <w:lang w:val="en-GB"/>
        </w:rPr>
      </w:pPr>
      <w:r w:rsidRPr="001B71DF">
        <w:rPr>
          <w:rFonts w:ascii="Calibri" w:hAnsi="Calibri" w:cs="Calibri"/>
          <w:lang w:val="en-GB"/>
        </w:rPr>
        <w:t xml:space="preserve"> </w:t>
      </w:r>
      <w:r w:rsidR="0081505B" w:rsidRPr="001B71DF">
        <w:rPr>
          <w:rFonts w:ascii="Calibri" w:hAnsi="Calibri" w:cs="Calibri"/>
          <w:lang w:val="en-GB"/>
        </w:rPr>
        <w:t xml:space="preserve"> </w:t>
      </w:r>
      <w:r w:rsidR="005344E9">
        <w:rPr>
          <w:rFonts w:ascii="Calibri" w:hAnsi="Calibri" w:cs="Calibri"/>
          <w:sz w:val="24"/>
          <w:lang w:val="en-GB"/>
        </w:rPr>
        <w:t xml:space="preserve">Ancient sources: </w:t>
      </w:r>
    </w:p>
    <w:p w14:paraId="2F156EFD" w14:textId="78BDB144" w:rsidR="005344E9" w:rsidRPr="005344E9" w:rsidRDefault="00943C9A" w:rsidP="005344E9">
      <w:pPr>
        <w:pStyle w:val="Paragrafoelenco"/>
        <w:numPr>
          <w:ilvl w:val="0"/>
          <w:numId w:val="3"/>
        </w:numPr>
        <w:rPr>
          <w:rFonts w:ascii="Calibri" w:hAnsi="Calibri" w:cs="Calibri"/>
          <w:lang w:val="en-GB"/>
        </w:rPr>
      </w:pPr>
      <w:r w:rsidRPr="00943C9A">
        <w:rPr>
          <w:rFonts w:ascii="Calibri" w:hAnsi="Calibri" w:cs="Calibri"/>
          <w:lang w:val="en-GB"/>
        </w:rPr>
        <w:t xml:space="preserve">Herodotus, </w:t>
      </w:r>
      <w:r w:rsidRPr="00943C9A">
        <w:rPr>
          <w:rFonts w:ascii="Calibri" w:hAnsi="Calibri" w:cs="Calibri"/>
          <w:i/>
          <w:lang w:val="en-GB"/>
        </w:rPr>
        <w:t>The Histories</w:t>
      </w:r>
      <w:r w:rsidRPr="00943C9A">
        <w:rPr>
          <w:rFonts w:ascii="Calibri" w:hAnsi="Calibri" w:cs="Calibri"/>
          <w:lang w:val="en-GB"/>
        </w:rPr>
        <w:t xml:space="preserve">, A. De </w:t>
      </w:r>
      <w:proofErr w:type="spellStart"/>
      <w:r w:rsidRPr="00943C9A">
        <w:rPr>
          <w:rFonts w:ascii="Calibri" w:hAnsi="Calibri" w:cs="Calibri"/>
          <w:lang w:val="en-GB"/>
        </w:rPr>
        <w:t>Selincourt</w:t>
      </w:r>
      <w:proofErr w:type="spellEnd"/>
      <w:r w:rsidRPr="00943C9A">
        <w:rPr>
          <w:rFonts w:ascii="Calibri" w:hAnsi="Calibri" w:cs="Calibri"/>
          <w:lang w:val="en-GB"/>
        </w:rPr>
        <w:t xml:space="preserve"> (trans.). 2003. Penguins Classics</w:t>
      </w:r>
      <w:r>
        <w:rPr>
          <w:rFonts w:ascii="Calibri" w:hAnsi="Calibri" w:cs="Calibri"/>
          <w:lang w:val="en-GB"/>
        </w:rPr>
        <w:t xml:space="preserve">. </w:t>
      </w:r>
      <w:r w:rsidR="005344E9" w:rsidRPr="005344E9">
        <w:rPr>
          <w:rFonts w:ascii="Calibri" w:hAnsi="Calibri" w:cs="Calibri"/>
          <w:lang w:val="en-GB"/>
        </w:rPr>
        <w:t xml:space="preserve">Greek text: </w:t>
      </w:r>
      <w:proofErr w:type="spellStart"/>
      <w:r w:rsidR="005344E9" w:rsidRPr="005344E9">
        <w:rPr>
          <w:rFonts w:ascii="Calibri" w:hAnsi="Calibri" w:cs="Calibri"/>
          <w:i/>
          <w:lang w:val="en-GB"/>
        </w:rPr>
        <w:t>Herodoti</w:t>
      </w:r>
      <w:proofErr w:type="spellEnd"/>
      <w:r w:rsidR="005344E9" w:rsidRPr="005344E9">
        <w:rPr>
          <w:rFonts w:ascii="Calibri" w:hAnsi="Calibri" w:cs="Calibri"/>
          <w:i/>
          <w:lang w:val="en-GB"/>
        </w:rPr>
        <w:t xml:space="preserve"> </w:t>
      </w:r>
      <w:proofErr w:type="spellStart"/>
      <w:r w:rsidR="005344E9" w:rsidRPr="005344E9">
        <w:rPr>
          <w:rFonts w:ascii="Calibri" w:hAnsi="Calibri" w:cs="Calibri"/>
          <w:i/>
          <w:lang w:val="en-GB"/>
        </w:rPr>
        <w:t>Historiae</w:t>
      </w:r>
      <w:proofErr w:type="spellEnd"/>
      <w:r w:rsidR="005344E9" w:rsidRPr="005344E9">
        <w:rPr>
          <w:rFonts w:ascii="Calibri" w:hAnsi="Calibri" w:cs="Calibri"/>
          <w:lang w:val="en-GB"/>
        </w:rPr>
        <w:t>, N. G. Wilson, volume I-II, 2015. Oxford; Oxford University Press.</w:t>
      </w:r>
    </w:p>
    <w:p w14:paraId="397CB400" w14:textId="759B08AE" w:rsidR="005344E9" w:rsidRDefault="005344E9" w:rsidP="005344E9">
      <w:pPr>
        <w:pStyle w:val="Paragrafoelenco"/>
        <w:numPr>
          <w:ilvl w:val="0"/>
          <w:numId w:val="3"/>
        </w:numPr>
        <w:rPr>
          <w:rFonts w:ascii="Calibri" w:hAnsi="Calibri" w:cs="Calibri"/>
          <w:lang w:val="en-GB"/>
        </w:rPr>
      </w:pPr>
      <w:proofErr w:type="spellStart"/>
      <w:r w:rsidRPr="005344E9">
        <w:rPr>
          <w:rFonts w:ascii="Calibri" w:hAnsi="Calibri" w:cs="Calibri"/>
          <w:lang w:val="en-GB"/>
        </w:rPr>
        <w:t>Thucidides</w:t>
      </w:r>
      <w:proofErr w:type="spellEnd"/>
      <w:r w:rsidRPr="005344E9">
        <w:rPr>
          <w:rFonts w:ascii="Calibri" w:hAnsi="Calibri" w:cs="Calibri"/>
          <w:lang w:val="en-GB"/>
        </w:rPr>
        <w:t xml:space="preserve">, </w:t>
      </w:r>
      <w:r w:rsidRPr="001A61C1">
        <w:rPr>
          <w:rFonts w:ascii="Calibri" w:hAnsi="Calibri" w:cs="Calibri"/>
          <w:i/>
          <w:lang w:val="en-GB"/>
        </w:rPr>
        <w:t>History of Peloponnesian War</w:t>
      </w:r>
      <w:r w:rsidRPr="005344E9">
        <w:rPr>
          <w:rFonts w:ascii="Calibri" w:hAnsi="Calibri" w:cs="Calibri"/>
          <w:lang w:val="en-GB"/>
        </w:rPr>
        <w:t>, C. F. Smith (trans.). 1969. London: Harvard University Press</w:t>
      </w:r>
    </w:p>
    <w:p w14:paraId="57A8F9C4" w14:textId="0882A61A" w:rsidR="004E6C71" w:rsidRPr="004E6C71" w:rsidRDefault="004E6C71" w:rsidP="004E6C71">
      <w:pPr>
        <w:tabs>
          <w:tab w:val="left" w:pos="3300"/>
        </w:tabs>
        <w:rPr>
          <w:lang w:val="en-GB"/>
        </w:rPr>
      </w:pPr>
      <w:r>
        <w:rPr>
          <w:lang w:val="en-GB"/>
        </w:rPr>
        <w:tab/>
      </w:r>
    </w:p>
    <w:sectPr w:rsidR="004E6C71" w:rsidRPr="004E6C7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17655" w14:textId="77777777" w:rsidR="003829C9" w:rsidRDefault="003829C9" w:rsidP="00221723">
      <w:pPr>
        <w:spacing w:after="0" w:line="240" w:lineRule="auto"/>
      </w:pPr>
      <w:r>
        <w:separator/>
      </w:r>
    </w:p>
  </w:endnote>
  <w:endnote w:type="continuationSeparator" w:id="0">
    <w:p w14:paraId="2DE50C15" w14:textId="77777777" w:rsidR="003829C9" w:rsidRDefault="003829C9" w:rsidP="00221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742BD" w14:textId="77777777" w:rsidR="003829C9" w:rsidRDefault="003829C9" w:rsidP="00221723">
      <w:pPr>
        <w:spacing w:after="0" w:line="240" w:lineRule="auto"/>
      </w:pPr>
      <w:r>
        <w:separator/>
      </w:r>
    </w:p>
  </w:footnote>
  <w:footnote w:type="continuationSeparator" w:id="0">
    <w:p w14:paraId="42A9E4E0" w14:textId="77777777" w:rsidR="003829C9" w:rsidRDefault="003829C9" w:rsidP="00221723">
      <w:pPr>
        <w:spacing w:after="0" w:line="240" w:lineRule="auto"/>
      </w:pPr>
      <w:r>
        <w:continuationSeparator/>
      </w:r>
    </w:p>
  </w:footnote>
  <w:footnote w:id="1">
    <w:p w14:paraId="6EEFA888" w14:textId="4E651AA1" w:rsidR="002E512C" w:rsidRPr="00221723" w:rsidRDefault="002E512C">
      <w:pPr>
        <w:pStyle w:val="Testonotaapidipagina"/>
        <w:rPr>
          <w:lang w:val="en-GB"/>
        </w:rPr>
      </w:pPr>
      <w:bookmarkStart w:id="1" w:name="_Hlk2950803"/>
      <w:r>
        <w:rPr>
          <w:rStyle w:val="Rimandonotaapidipagina"/>
        </w:rPr>
        <w:footnoteRef/>
      </w:r>
      <w:r>
        <w:rPr>
          <w:lang w:val="en-GB"/>
        </w:rPr>
        <w:t xml:space="preserve"> </w:t>
      </w:r>
      <w:r w:rsidRPr="00221723">
        <w:rPr>
          <w:lang w:val="en-GB"/>
        </w:rPr>
        <w:t>Bury</w:t>
      </w:r>
      <w:r w:rsidR="001B71DF">
        <w:rPr>
          <w:lang w:val="en-GB"/>
        </w:rPr>
        <w:t xml:space="preserve"> </w:t>
      </w:r>
      <w:r w:rsidRPr="00221723">
        <w:rPr>
          <w:lang w:val="en-GB"/>
        </w:rPr>
        <w:t xml:space="preserve">(1909) </w:t>
      </w:r>
      <w:bookmarkEnd w:id="1"/>
    </w:p>
  </w:footnote>
  <w:footnote w:id="2">
    <w:p w14:paraId="0873C0F7" w14:textId="25BD1673" w:rsidR="002E512C" w:rsidRPr="00E846FC" w:rsidRDefault="002E512C">
      <w:pPr>
        <w:pStyle w:val="Testonotaapidipagina"/>
        <w:rPr>
          <w:lang w:val="en-GB"/>
        </w:rPr>
      </w:pPr>
      <w:r>
        <w:rPr>
          <w:rStyle w:val="Rimandonotaapidipagina"/>
        </w:rPr>
        <w:footnoteRef/>
      </w:r>
      <w:r>
        <w:rPr>
          <w:lang w:val="en-GB"/>
        </w:rPr>
        <w:t xml:space="preserve"> </w:t>
      </w:r>
      <w:r w:rsidRPr="00E846FC">
        <w:rPr>
          <w:lang w:val="en-GB"/>
        </w:rPr>
        <w:t xml:space="preserve">For the influences of </w:t>
      </w:r>
      <w:proofErr w:type="spellStart"/>
      <w:r w:rsidRPr="00E846FC">
        <w:rPr>
          <w:lang w:val="en-GB"/>
        </w:rPr>
        <w:t>Hecataeus</w:t>
      </w:r>
      <w:proofErr w:type="spellEnd"/>
      <w:r w:rsidRPr="00E846FC">
        <w:rPr>
          <w:lang w:val="en-GB"/>
        </w:rPr>
        <w:t xml:space="preserve"> in Herodotean historiography, s</w:t>
      </w:r>
      <w:r>
        <w:rPr>
          <w:lang w:val="en-GB"/>
        </w:rPr>
        <w:t xml:space="preserve">ee </w:t>
      </w:r>
      <w:bookmarkStart w:id="2" w:name="_Hlk2950893"/>
      <w:proofErr w:type="spellStart"/>
      <w:r w:rsidRPr="00E846FC">
        <w:rPr>
          <w:lang w:val="en-GB"/>
        </w:rPr>
        <w:t>Momigliano</w:t>
      </w:r>
      <w:proofErr w:type="spellEnd"/>
      <w:r w:rsidRPr="00E846FC">
        <w:rPr>
          <w:lang w:val="en-GB"/>
        </w:rPr>
        <w:t xml:space="preserve"> (1932)</w:t>
      </w:r>
      <w:bookmarkEnd w:id="2"/>
      <w:r w:rsidRPr="00E846FC">
        <w:rPr>
          <w:lang w:val="en-GB"/>
        </w:rPr>
        <w:t xml:space="preserve">   </w:t>
      </w:r>
    </w:p>
  </w:footnote>
  <w:footnote w:id="3">
    <w:p w14:paraId="330B2276" w14:textId="3B19FA9A" w:rsidR="002E512C" w:rsidRPr="0004242D" w:rsidRDefault="002E512C">
      <w:pPr>
        <w:pStyle w:val="Testonotaapidipagina"/>
        <w:rPr>
          <w:lang w:val="en-GB"/>
        </w:rPr>
      </w:pPr>
      <w:r>
        <w:rPr>
          <w:rStyle w:val="Rimandonotaapidipagina"/>
        </w:rPr>
        <w:footnoteRef/>
      </w:r>
      <w:r>
        <w:rPr>
          <w:lang w:val="en-GB"/>
        </w:rPr>
        <w:t xml:space="preserve"> </w:t>
      </w:r>
      <w:bookmarkStart w:id="3" w:name="_Hlk2950974"/>
      <w:r w:rsidRPr="0004242D">
        <w:rPr>
          <w:lang w:val="en-GB"/>
        </w:rPr>
        <w:t>Moyer (2002), p</w:t>
      </w:r>
      <w:r>
        <w:rPr>
          <w:lang w:val="en-GB"/>
        </w:rPr>
        <w:t>. 87</w:t>
      </w:r>
    </w:p>
    <w:bookmarkEnd w:id="3"/>
  </w:footnote>
  <w:footnote w:id="4">
    <w:p w14:paraId="17CF339F" w14:textId="7D97EA7B" w:rsidR="002E512C" w:rsidRPr="00DC1BB1" w:rsidRDefault="002E512C">
      <w:pPr>
        <w:pStyle w:val="Testonotaapidipagina"/>
        <w:rPr>
          <w:lang w:val="en-GB"/>
        </w:rPr>
      </w:pPr>
      <w:r>
        <w:rPr>
          <w:rStyle w:val="Rimandonotaapidipagina"/>
        </w:rPr>
        <w:footnoteRef/>
      </w:r>
      <w:r w:rsidRPr="00DC1BB1">
        <w:rPr>
          <w:lang w:val="en-GB"/>
        </w:rPr>
        <w:t xml:space="preserve"> </w:t>
      </w:r>
      <w:proofErr w:type="spellStart"/>
      <w:r w:rsidRPr="00DC1BB1">
        <w:rPr>
          <w:lang w:val="en-GB"/>
        </w:rPr>
        <w:t>Hdt</w:t>
      </w:r>
      <w:proofErr w:type="spellEnd"/>
      <w:r w:rsidRPr="00DC1BB1">
        <w:rPr>
          <w:lang w:val="en-GB"/>
        </w:rPr>
        <w:t>. IV, 118-142</w:t>
      </w:r>
    </w:p>
  </w:footnote>
  <w:footnote w:id="5">
    <w:p w14:paraId="0A80D485" w14:textId="0BC948DC" w:rsidR="002E512C" w:rsidRPr="00DC1BB1" w:rsidRDefault="002E512C">
      <w:pPr>
        <w:pStyle w:val="Testonotaapidipagina"/>
        <w:rPr>
          <w:lang w:val="en-GB"/>
        </w:rPr>
      </w:pPr>
      <w:r>
        <w:rPr>
          <w:rStyle w:val="Rimandonotaapidipagina"/>
        </w:rPr>
        <w:footnoteRef/>
      </w:r>
      <w:r w:rsidRPr="00DC1BB1">
        <w:rPr>
          <w:lang w:val="en-GB"/>
        </w:rPr>
        <w:t xml:space="preserve"> </w:t>
      </w:r>
      <w:proofErr w:type="spellStart"/>
      <w:r w:rsidRPr="00DC1BB1">
        <w:rPr>
          <w:lang w:val="en-GB"/>
        </w:rPr>
        <w:t>FGrHist</w:t>
      </w:r>
      <w:proofErr w:type="spellEnd"/>
      <w:r w:rsidRPr="00DC1BB1">
        <w:rPr>
          <w:lang w:val="en-GB"/>
        </w:rPr>
        <w:t xml:space="preserve"> 1, F 19 J.</w:t>
      </w:r>
    </w:p>
  </w:footnote>
  <w:footnote w:id="6">
    <w:p w14:paraId="4C9B9495" w14:textId="1DC28236" w:rsidR="002E512C" w:rsidRPr="00D06C48" w:rsidRDefault="002E512C" w:rsidP="00B242E5">
      <w:pPr>
        <w:pStyle w:val="Testonotaapidipagina"/>
        <w:rPr>
          <w:lang w:val="en-GB"/>
        </w:rPr>
      </w:pPr>
      <w:r>
        <w:rPr>
          <w:rStyle w:val="Rimandonotaapidipagina"/>
        </w:rPr>
        <w:footnoteRef/>
      </w:r>
      <w:r w:rsidRPr="00D06C48">
        <w:rPr>
          <w:lang w:val="en-GB"/>
        </w:rPr>
        <w:t xml:space="preserve"> </w:t>
      </w:r>
      <w:bookmarkStart w:id="4" w:name="_Hlk2951249"/>
      <w:r w:rsidRPr="00D06C48">
        <w:rPr>
          <w:lang w:val="en-GB"/>
        </w:rPr>
        <w:t>Canfora</w:t>
      </w:r>
      <w:r w:rsidR="00DF54B1" w:rsidRPr="00D06C48">
        <w:rPr>
          <w:lang w:val="en-GB"/>
        </w:rPr>
        <w:t xml:space="preserve"> (</w:t>
      </w:r>
      <w:r w:rsidRPr="00D06C48">
        <w:rPr>
          <w:lang w:val="en-GB"/>
        </w:rPr>
        <w:t>1989</w:t>
      </w:r>
      <w:bookmarkEnd w:id="4"/>
      <w:r w:rsidR="00DF54B1" w:rsidRPr="00D06C48">
        <w:rPr>
          <w:lang w:val="en-GB"/>
        </w:rPr>
        <w:t>)</w:t>
      </w:r>
    </w:p>
  </w:footnote>
  <w:footnote w:id="7">
    <w:p w14:paraId="3BD9C3FA" w14:textId="77777777" w:rsidR="002E512C" w:rsidRPr="00E25723" w:rsidRDefault="002E512C" w:rsidP="00B242E5">
      <w:pPr>
        <w:pStyle w:val="Testonotaapidipagina"/>
        <w:rPr>
          <w:lang w:val="en-GB"/>
        </w:rPr>
      </w:pPr>
      <w:r>
        <w:rPr>
          <w:rStyle w:val="Rimandonotaapidipagina"/>
        </w:rPr>
        <w:footnoteRef/>
      </w:r>
      <w:r w:rsidRPr="00E25723">
        <w:rPr>
          <w:lang w:val="en-GB"/>
        </w:rPr>
        <w:t xml:space="preserve"> </w:t>
      </w:r>
      <w:proofErr w:type="spellStart"/>
      <w:r w:rsidRPr="00E25723">
        <w:rPr>
          <w:lang w:val="en-GB"/>
        </w:rPr>
        <w:t>Thuc</w:t>
      </w:r>
      <w:proofErr w:type="spellEnd"/>
      <w:r w:rsidRPr="00E25723">
        <w:rPr>
          <w:lang w:val="en-GB"/>
        </w:rPr>
        <w:t>.</w:t>
      </w:r>
      <w:r>
        <w:rPr>
          <w:lang w:val="en-GB"/>
        </w:rPr>
        <w:t>,</w:t>
      </w:r>
      <w:r w:rsidRPr="00E25723">
        <w:rPr>
          <w:lang w:val="en-GB"/>
        </w:rPr>
        <w:t xml:space="preserve"> </w:t>
      </w:r>
      <w:r>
        <w:rPr>
          <w:lang w:val="en-GB"/>
        </w:rPr>
        <w:t>1</w:t>
      </w:r>
      <w:r w:rsidRPr="00E25723">
        <w:rPr>
          <w:lang w:val="en-GB"/>
        </w:rPr>
        <w:t xml:space="preserve">, </w:t>
      </w:r>
      <w:r>
        <w:rPr>
          <w:lang w:val="en-GB"/>
        </w:rPr>
        <w:t>22</w:t>
      </w:r>
      <w:r w:rsidRPr="00E25723">
        <w:rPr>
          <w:lang w:val="en-GB"/>
        </w:rPr>
        <w:t>, 3-4</w:t>
      </w:r>
    </w:p>
  </w:footnote>
  <w:footnote w:id="8">
    <w:p w14:paraId="0A204AFF" w14:textId="5EA83225"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143</w:t>
      </w:r>
    </w:p>
  </w:footnote>
  <w:footnote w:id="9">
    <w:p w14:paraId="22FE5C53" w14:textId="0DB94CB2"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4</w:t>
      </w:r>
    </w:p>
  </w:footnote>
  <w:footnote w:id="10">
    <w:p w14:paraId="4938CE44" w14:textId="234DDCA6"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99</w:t>
      </w:r>
    </w:p>
  </w:footnote>
  <w:footnote w:id="11">
    <w:p w14:paraId="451793CD" w14:textId="348E0500"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142</w:t>
      </w:r>
    </w:p>
  </w:footnote>
  <w:footnote w:id="12">
    <w:p w14:paraId="4FB82CEB" w14:textId="6656803B"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143</w:t>
      </w:r>
    </w:p>
  </w:footnote>
  <w:footnote w:id="13">
    <w:p w14:paraId="21112B83" w14:textId="32209A8A"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43</w:t>
      </w:r>
    </w:p>
  </w:footnote>
  <w:footnote w:id="14">
    <w:p w14:paraId="3B69B406" w14:textId="1F23E0BD"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143</w:t>
      </w:r>
    </w:p>
  </w:footnote>
  <w:footnote w:id="15">
    <w:p w14:paraId="5C03062C" w14:textId="3156BA90"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II, 143</w:t>
      </w:r>
    </w:p>
  </w:footnote>
  <w:footnote w:id="16">
    <w:p w14:paraId="0216E43D" w14:textId="632875FA" w:rsidR="002E512C" w:rsidRPr="00133E90" w:rsidRDefault="002E512C">
      <w:pPr>
        <w:pStyle w:val="Testonotaapidipagina"/>
        <w:rPr>
          <w:lang w:val="en-GB"/>
        </w:rPr>
      </w:pPr>
      <w:r>
        <w:rPr>
          <w:rStyle w:val="Rimandonotaapidipagina"/>
        </w:rPr>
        <w:footnoteRef/>
      </w:r>
      <w:r w:rsidRPr="00133E90">
        <w:rPr>
          <w:lang w:val="en-GB"/>
        </w:rPr>
        <w:t xml:space="preserve"> Jacoby</w:t>
      </w:r>
      <w:r w:rsidR="00DF54B1">
        <w:rPr>
          <w:lang w:val="en-GB"/>
        </w:rPr>
        <w:t xml:space="preserve">, </w:t>
      </w:r>
      <w:r w:rsidRPr="00133E90">
        <w:rPr>
          <w:lang w:val="en-GB"/>
        </w:rPr>
        <w:t>Suppl. 2</w:t>
      </w:r>
      <w:r>
        <w:rPr>
          <w:lang w:val="en-GB"/>
        </w:rPr>
        <w:t>, col. 355</w:t>
      </w:r>
    </w:p>
  </w:footnote>
  <w:footnote w:id="17">
    <w:p w14:paraId="1EB25B3C" w14:textId="48242038" w:rsidR="002E512C" w:rsidRPr="00CE2E74" w:rsidRDefault="002E512C">
      <w:pPr>
        <w:pStyle w:val="Testonotaapidipagina"/>
        <w:rPr>
          <w:lang w:val="en-GB"/>
        </w:rPr>
      </w:pPr>
      <w:r>
        <w:rPr>
          <w:rStyle w:val="Rimandonotaapidipagina"/>
        </w:rPr>
        <w:footnoteRef/>
      </w:r>
      <w:r w:rsidRPr="00C71258">
        <w:rPr>
          <w:lang w:val="en-GB"/>
        </w:rPr>
        <w:t xml:space="preserve"> </w:t>
      </w:r>
      <w:bookmarkStart w:id="5" w:name="_Hlk2951443"/>
      <w:proofErr w:type="spellStart"/>
      <w:r w:rsidRPr="00C71258">
        <w:rPr>
          <w:lang w:val="en-GB"/>
        </w:rPr>
        <w:t>Froidefond</w:t>
      </w:r>
      <w:proofErr w:type="spellEnd"/>
      <w:r w:rsidR="00CE2E74">
        <w:rPr>
          <w:lang w:val="en-GB"/>
        </w:rPr>
        <w:t xml:space="preserve"> </w:t>
      </w:r>
      <w:r w:rsidRPr="00C71258">
        <w:rPr>
          <w:lang w:val="en-GB"/>
        </w:rPr>
        <w:t>(1971)</w:t>
      </w:r>
      <w:bookmarkEnd w:id="5"/>
      <w:r w:rsidR="00CE2E74">
        <w:rPr>
          <w:lang w:val="en-GB"/>
        </w:rPr>
        <w:t xml:space="preserve"> p</w:t>
      </w:r>
      <w:r w:rsidRPr="00CE2E74">
        <w:rPr>
          <w:lang w:val="en-GB"/>
        </w:rPr>
        <w:t>p. 115-207</w:t>
      </w:r>
    </w:p>
  </w:footnote>
  <w:footnote w:id="18">
    <w:p w14:paraId="529C8572" w14:textId="7FD45978" w:rsidR="002E512C" w:rsidRPr="00D06C48" w:rsidRDefault="002E512C">
      <w:pPr>
        <w:pStyle w:val="Testonotaapidipagina"/>
        <w:rPr>
          <w:lang w:val="en-GB"/>
        </w:rPr>
      </w:pPr>
      <w:r>
        <w:rPr>
          <w:rStyle w:val="Rimandonotaapidipagina"/>
        </w:rPr>
        <w:footnoteRef/>
      </w:r>
      <w:r w:rsidRPr="00D06C48">
        <w:rPr>
          <w:lang w:val="en-GB"/>
        </w:rPr>
        <w:t xml:space="preserve"> </w:t>
      </w:r>
      <w:bookmarkStart w:id="6" w:name="_Hlk2951488"/>
      <w:r w:rsidRPr="00D06C48">
        <w:rPr>
          <w:lang w:val="en-GB"/>
        </w:rPr>
        <w:t>Hartog</w:t>
      </w:r>
      <w:r w:rsidR="00CE2E74" w:rsidRPr="00D06C48">
        <w:rPr>
          <w:lang w:val="en-GB"/>
        </w:rPr>
        <w:t xml:space="preserve"> </w:t>
      </w:r>
      <w:r w:rsidRPr="00D06C48">
        <w:rPr>
          <w:lang w:val="en-GB"/>
        </w:rPr>
        <w:t>(1996)</w:t>
      </w:r>
      <w:bookmarkEnd w:id="6"/>
      <w:r w:rsidR="00CE2E74" w:rsidRPr="00D06C48">
        <w:rPr>
          <w:lang w:val="en-GB"/>
        </w:rPr>
        <w:t xml:space="preserve"> p.</w:t>
      </w:r>
      <w:r w:rsidRPr="00D06C48">
        <w:rPr>
          <w:lang w:val="en-GB"/>
        </w:rPr>
        <w:t xml:space="preserve"> 55</w:t>
      </w:r>
    </w:p>
  </w:footnote>
  <w:footnote w:id="19">
    <w:p w14:paraId="14AFFAD0" w14:textId="2A8CC4DF" w:rsidR="002E512C" w:rsidRPr="00D06C48" w:rsidRDefault="002E512C">
      <w:pPr>
        <w:pStyle w:val="Testonotaapidipagina"/>
        <w:rPr>
          <w:lang w:val="en-GB"/>
        </w:rPr>
      </w:pPr>
      <w:r>
        <w:rPr>
          <w:rStyle w:val="Rimandonotaapidipagina"/>
        </w:rPr>
        <w:footnoteRef/>
      </w:r>
      <w:r w:rsidRPr="00D06C48">
        <w:rPr>
          <w:lang w:val="en-GB"/>
        </w:rPr>
        <w:t xml:space="preserve"> Moyer, </w:t>
      </w:r>
      <w:r w:rsidRPr="00D06C48">
        <w:rPr>
          <w:i/>
          <w:lang w:val="en-GB"/>
        </w:rPr>
        <w:t xml:space="preserve">ibidem, </w:t>
      </w:r>
      <w:r w:rsidRPr="00D06C48">
        <w:rPr>
          <w:lang w:val="en-GB"/>
        </w:rPr>
        <w:t>pp. 74 ss.</w:t>
      </w:r>
    </w:p>
  </w:footnote>
  <w:footnote w:id="20">
    <w:p w14:paraId="194A83CF" w14:textId="2147D8D5" w:rsidR="002E512C" w:rsidRPr="00AE65F2" w:rsidRDefault="002E512C">
      <w:pPr>
        <w:pStyle w:val="Testonotaapidipagina"/>
        <w:rPr>
          <w:lang w:val="en-GB"/>
        </w:rPr>
      </w:pPr>
      <w:r>
        <w:rPr>
          <w:rStyle w:val="Rimandonotaapidipagina"/>
        </w:rPr>
        <w:footnoteRef/>
      </w:r>
      <w:r w:rsidRPr="00AE65F2">
        <w:rPr>
          <w:lang w:val="en-GB"/>
        </w:rPr>
        <w:t xml:space="preserve"> Moyer, </w:t>
      </w:r>
      <w:r w:rsidRPr="00AE65F2">
        <w:rPr>
          <w:i/>
          <w:lang w:val="en-GB"/>
        </w:rPr>
        <w:t>ibidem</w:t>
      </w:r>
      <w:r w:rsidRPr="00AE65F2">
        <w:rPr>
          <w:lang w:val="en-GB"/>
        </w:rPr>
        <w:t xml:space="preserve">, p. 79. See also </w:t>
      </w:r>
      <w:bookmarkStart w:id="7" w:name="_Hlk2951541"/>
      <w:r w:rsidRPr="00AE65F2">
        <w:rPr>
          <w:lang w:val="en-GB"/>
        </w:rPr>
        <w:t>Nagy</w:t>
      </w:r>
      <w:r w:rsidR="00CE2E74">
        <w:rPr>
          <w:lang w:val="en-GB"/>
        </w:rPr>
        <w:t xml:space="preserve"> </w:t>
      </w:r>
      <w:r w:rsidRPr="00AE65F2">
        <w:rPr>
          <w:lang w:val="en-GB"/>
        </w:rPr>
        <w:t>(1973)</w:t>
      </w:r>
      <w:bookmarkEnd w:id="7"/>
      <w:r w:rsidR="00CE2E74">
        <w:rPr>
          <w:lang w:val="en-GB"/>
        </w:rPr>
        <w:t xml:space="preserve">, </w:t>
      </w:r>
      <w:r>
        <w:rPr>
          <w:lang w:val="en-GB"/>
        </w:rPr>
        <w:t>pp. 60-64</w:t>
      </w:r>
    </w:p>
  </w:footnote>
  <w:footnote w:id="21">
    <w:p w14:paraId="730D057D" w14:textId="1C8BA9AB" w:rsidR="002E512C" w:rsidRPr="00CE2E74" w:rsidRDefault="002E512C">
      <w:pPr>
        <w:pStyle w:val="Testonotaapidipagina"/>
        <w:rPr>
          <w:lang w:val="en-GB"/>
        </w:rPr>
      </w:pPr>
      <w:r>
        <w:rPr>
          <w:rStyle w:val="Rimandonotaapidipagina"/>
        </w:rPr>
        <w:footnoteRef/>
      </w:r>
      <w:r w:rsidRPr="00CE2E74">
        <w:rPr>
          <w:lang w:val="en-GB"/>
        </w:rPr>
        <w:t xml:space="preserve"> </w:t>
      </w:r>
      <w:proofErr w:type="spellStart"/>
      <w:r w:rsidRPr="00CE2E74">
        <w:rPr>
          <w:lang w:val="en-GB"/>
        </w:rPr>
        <w:t>Hdt</w:t>
      </w:r>
      <w:proofErr w:type="spellEnd"/>
      <w:r w:rsidRPr="00CE2E74">
        <w:rPr>
          <w:lang w:val="en-GB"/>
        </w:rPr>
        <w:t>., II, 2-3; II, 99</w:t>
      </w:r>
    </w:p>
  </w:footnote>
  <w:footnote w:id="22">
    <w:p w14:paraId="416E974C" w14:textId="3439F947" w:rsidR="002E512C" w:rsidRPr="000E62FF" w:rsidRDefault="002E512C">
      <w:pPr>
        <w:pStyle w:val="Testonotaapidipagina"/>
        <w:rPr>
          <w:lang w:val="en-GB"/>
        </w:rPr>
      </w:pPr>
      <w:r>
        <w:rPr>
          <w:rStyle w:val="Rimandonotaapidipagina"/>
        </w:rPr>
        <w:footnoteRef/>
      </w:r>
      <w:proofErr w:type="spellStart"/>
      <w:r w:rsidRPr="000E62FF">
        <w:rPr>
          <w:lang w:val="en-GB"/>
        </w:rPr>
        <w:t>Sauneron</w:t>
      </w:r>
      <w:proofErr w:type="spellEnd"/>
      <w:r w:rsidR="00CE2E74">
        <w:rPr>
          <w:lang w:val="en-GB"/>
        </w:rPr>
        <w:t xml:space="preserve"> </w:t>
      </w:r>
      <w:r w:rsidRPr="000E62FF">
        <w:rPr>
          <w:lang w:val="en-GB"/>
        </w:rPr>
        <w:t>&amp; Lorton</w:t>
      </w:r>
      <w:r w:rsidR="00CE2E74">
        <w:rPr>
          <w:lang w:val="en-GB"/>
        </w:rPr>
        <w:t xml:space="preserve"> (</w:t>
      </w:r>
      <w:r w:rsidRPr="000E62FF">
        <w:rPr>
          <w:lang w:val="en-GB"/>
        </w:rPr>
        <w:t xml:space="preserve">2000) </w:t>
      </w:r>
    </w:p>
  </w:footnote>
  <w:footnote w:id="23">
    <w:p w14:paraId="04E5A5BA" w14:textId="254B536E" w:rsidR="002E512C" w:rsidRPr="00C91A9D" w:rsidRDefault="002E512C">
      <w:pPr>
        <w:pStyle w:val="Testonotaapidipagina"/>
        <w:rPr>
          <w:lang w:val="en-GB"/>
        </w:rPr>
      </w:pPr>
      <w:r>
        <w:rPr>
          <w:rStyle w:val="Rimandonotaapidipagina"/>
        </w:rPr>
        <w:footnoteRef/>
      </w:r>
      <w:r w:rsidRPr="00C91A9D">
        <w:rPr>
          <w:lang w:val="en-GB"/>
        </w:rPr>
        <w:t xml:space="preserve"> Moyer, </w:t>
      </w:r>
      <w:r w:rsidRPr="00C91A9D">
        <w:rPr>
          <w:i/>
          <w:lang w:val="en-GB"/>
        </w:rPr>
        <w:t xml:space="preserve">ibidem, </w:t>
      </w:r>
      <w:r w:rsidRPr="00C91A9D">
        <w:rPr>
          <w:lang w:val="en-GB"/>
        </w:rPr>
        <w:t>p</w:t>
      </w:r>
      <w:r>
        <w:rPr>
          <w:lang w:val="en-GB"/>
        </w:rPr>
        <w:t>. 83</w:t>
      </w:r>
    </w:p>
  </w:footnote>
  <w:footnote w:id="24">
    <w:p w14:paraId="46C62680" w14:textId="0A57AD52" w:rsidR="002E512C" w:rsidRPr="00C41F1E" w:rsidRDefault="002E512C">
      <w:pPr>
        <w:pStyle w:val="Testonotaapidipagina"/>
        <w:rPr>
          <w:lang w:val="en-GB"/>
        </w:rPr>
      </w:pPr>
      <w:r>
        <w:rPr>
          <w:rStyle w:val="Rimandonotaapidipagina"/>
        </w:rPr>
        <w:footnoteRef/>
      </w:r>
      <w:r w:rsidRPr="00C41F1E">
        <w:rPr>
          <w:lang w:val="en-GB"/>
        </w:rPr>
        <w:t xml:space="preserve"> </w:t>
      </w:r>
      <w:proofErr w:type="spellStart"/>
      <w:r w:rsidRPr="00377D12">
        <w:rPr>
          <w:i/>
          <w:iCs/>
          <w:lang w:val="en-GB"/>
        </w:rPr>
        <w:t>FGrHist</w:t>
      </w:r>
      <w:proofErr w:type="spellEnd"/>
      <w:r w:rsidRPr="00377D12">
        <w:rPr>
          <w:lang w:val="en-GB"/>
        </w:rPr>
        <w:t> 1, F 1 J.</w:t>
      </w:r>
    </w:p>
  </w:footnote>
  <w:footnote w:id="25">
    <w:p w14:paraId="52D183AC" w14:textId="01E6EB87" w:rsidR="002E512C" w:rsidRPr="00377D12" w:rsidRDefault="002E512C">
      <w:pPr>
        <w:pStyle w:val="Testonotaapidipagina"/>
        <w:rPr>
          <w:lang w:val="en-GB"/>
        </w:rPr>
      </w:pPr>
      <w:r>
        <w:rPr>
          <w:rStyle w:val="Rimandonotaapidipagina"/>
        </w:rPr>
        <w:footnoteRef/>
      </w:r>
      <w:r w:rsidRPr="00377D12">
        <w:rPr>
          <w:lang w:val="en-GB"/>
        </w:rPr>
        <w:t xml:space="preserve"> </w:t>
      </w:r>
      <w:r>
        <w:rPr>
          <w:lang w:val="en-GB"/>
        </w:rPr>
        <w:t>Hartog</w:t>
      </w:r>
      <w:r w:rsidR="004B5D0A">
        <w:rPr>
          <w:lang w:val="en-GB"/>
        </w:rPr>
        <w:t xml:space="preserve"> </w:t>
      </w:r>
      <w:r w:rsidRPr="00377D12">
        <w:rPr>
          <w:lang w:val="en-GB"/>
        </w:rPr>
        <w:t>(1989)</w:t>
      </w:r>
      <w:r w:rsidR="004B5D0A">
        <w:rPr>
          <w:lang w:val="en-GB"/>
        </w:rPr>
        <w:t>,</w:t>
      </w:r>
      <w:r>
        <w:rPr>
          <w:lang w:val="en-GB"/>
        </w:rPr>
        <w:t xml:space="preserve"> p. 126</w:t>
      </w:r>
    </w:p>
  </w:footnote>
  <w:footnote w:id="26">
    <w:p w14:paraId="2ACE11F5" w14:textId="6601873D" w:rsidR="002E512C" w:rsidRPr="00CD629B" w:rsidRDefault="002E512C">
      <w:pPr>
        <w:pStyle w:val="Testonotaapidipagina"/>
        <w:rPr>
          <w:lang w:val="en-GB"/>
        </w:rPr>
      </w:pPr>
      <w:r>
        <w:rPr>
          <w:rStyle w:val="Rimandonotaapidipagina"/>
        </w:rPr>
        <w:footnoteRef/>
      </w:r>
      <w:r w:rsidRPr="00CD629B">
        <w:rPr>
          <w:lang w:val="en-GB"/>
        </w:rPr>
        <w:t xml:space="preserve"> Moyer</w:t>
      </w:r>
      <w:r>
        <w:rPr>
          <w:lang w:val="en-GB"/>
        </w:rPr>
        <w:t xml:space="preserve">, </w:t>
      </w:r>
      <w:r>
        <w:rPr>
          <w:i/>
          <w:lang w:val="en-GB"/>
        </w:rPr>
        <w:t xml:space="preserve">ibidem, </w:t>
      </w:r>
      <w:r>
        <w:rPr>
          <w:lang w:val="en-GB"/>
        </w:rPr>
        <w:t>p. 86</w:t>
      </w:r>
    </w:p>
  </w:footnote>
  <w:footnote w:id="27">
    <w:p w14:paraId="1BB22EBF" w14:textId="412AFF30" w:rsidR="002563B6" w:rsidRPr="002563B6" w:rsidRDefault="002563B6">
      <w:pPr>
        <w:pStyle w:val="Testonotaapidipagina"/>
        <w:rPr>
          <w:lang w:val="en-GB"/>
        </w:rPr>
      </w:pPr>
      <w:r>
        <w:rPr>
          <w:rStyle w:val="Rimandonotaapidipagina"/>
        </w:rPr>
        <w:footnoteRef/>
      </w:r>
      <w:r w:rsidRPr="002563B6">
        <w:rPr>
          <w:lang w:val="en-GB"/>
        </w:rPr>
        <w:t xml:space="preserve"> Finley (1978</w:t>
      </w:r>
      <w:r>
        <w:rPr>
          <w:lang w:val="en-GB"/>
        </w:rPr>
        <w:t>), p.3</w:t>
      </w:r>
    </w:p>
  </w:footnote>
  <w:footnote w:id="28">
    <w:p w14:paraId="2FC68308" w14:textId="0F949B1F" w:rsidR="00314825" w:rsidRPr="00314825" w:rsidRDefault="00314825">
      <w:pPr>
        <w:pStyle w:val="Testonotaapidipagina"/>
        <w:rPr>
          <w:lang w:val="en-GB"/>
        </w:rPr>
      </w:pPr>
      <w:r>
        <w:rPr>
          <w:rStyle w:val="Rimandonotaapidipagina"/>
        </w:rPr>
        <w:footnoteRef/>
      </w:r>
      <w:r w:rsidRPr="00314825">
        <w:rPr>
          <w:lang w:val="en-GB"/>
        </w:rPr>
        <w:t xml:space="preserve"> </w:t>
      </w:r>
      <w:proofErr w:type="spellStart"/>
      <w:r w:rsidRPr="00314825">
        <w:rPr>
          <w:lang w:val="en-GB"/>
        </w:rPr>
        <w:t>H</w:t>
      </w:r>
      <w:r>
        <w:rPr>
          <w:lang w:val="en-GB"/>
        </w:rPr>
        <w:t>dt</w:t>
      </w:r>
      <w:proofErr w:type="spellEnd"/>
      <w:r>
        <w:rPr>
          <w:lang w:val="en-GB"/>
        </w:rPr>
        <w:t>., II, 118</w:t>
      </w:r>
    </w:p>
  </w:footnote>
  <w:footnote w:id="29">
    <w:p w14:paraId="62DBE858" w14:textId="50FE0A6A" w:rsidR="002E512C" w:rsidRPr="00C91A9D" w:rsidRDefault="002E512C">
      <w:pPr>
        <w:pStyle w:val="Testonotaapidipagina"/>
        <w:rPr>
          <w:lang w:val="en-GB"/>
        </w:rPr>
      </w:pPr>
      <w:r>
        <w:rPr>
          <w:rStyle w:val="Rimandonotaapidipagina"/>
        </w:rPr>
        <w:footnoteRef/>
      </w:r>
      <w:r w:rsidRPr="00C91A9D">
        <w:rPr>
          <w:lang w:val="en-GB"/>
        </w:rPr>
        <w:t xml:space="preserve"> </w:t>
      </w:r>
      <w:proofErr w:type="spellStart"/>
      <w:r w:rsidRPr="00C91A9D">
        <w:rPr>
          <w:lang w:val="en-GB"/>
        </w:rPr>
        <w:t>Hdt</w:t>
      </w:r>
      <w:proofErr w:type="spellEnd"/>
      <w:r w:rsidRPr="00C91A9D">
        <w:rPr>
          <w:lang w:val="en-GB"/>
        </w:rPr>
        <w:t>., II, 110</w:t>
      </w:r>
    </w:p>
  </w:footnote>
  <w:footnote w:id="30">
    <w:p w14:paraId="140E2C93" w14:textId="4AD10A59" w:rsidR="002E512C" w:rsidRPr="002563B6" w:rsidRDefault="002E512C">
      <w:pPr>
        <w:pStyle w:val="Testonotaapidipagina"/>
        <w:rPr>
          <w:lang w:val="en-GB"/>
        </w:rPr>
      </w:pPr>
      <w:r>
        <w:rPr>
          <w:rStyle w:val="Rimandonotaapidipagina"/>
        </w:rPr>
        <w:footnoteRef/>
      </w:r>
      <w:r w:rsidRPr="002563B6">
        <w:rPr>
          <w:lang w:val="en-GB"/>
        </w:rPr>
        <w:t xml:space="preserve"> Moyer, </w:t>
      </w:r>
      <w:r w:rsidRPr="002563B6">
        <w:rPr>
          <w:i/>
          <w:lang w:val="en-GB"/>
        </w:rPr>
        <w:t xml:space="preserve">ibidem, </w:t>
      </w:r>
      <w:r w:rsidRPr="002563B6">
        <w:rPr>
          <w:lang w:val="en-GB"/>
        </w:rPr>
        <w:t>p. 82</w:t>
      </w:r>
    </w:p>
  </w:footnote>
  <w:footnote w:id="31">
    <w:p w14:paraId="19219592" w14:textId="3873D2AA"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IV, 118-143</w:t>
      </w:r>
    </w:p>
  </w:footnote>
  <w:footnote w:id="32">
    <w:p w14:paraId="282B6CFC" w14:textId="18731079" w:rsidR="002E512C" w:rsidRPr="00D06C48" w:rsidRDefault="002E512C">
      <w:pPr>
        <w:pStyle w:val="Testonotaapidipagina"/>
        <w:rPr>
          <w:lang w:val="en-GB"/>
        </w:rPr>
      </w:pPr>
      <w:r>
        <w:rPr>
          <w:rStyle w:val="Rimandonotaapidipagina"/>
        </w:rPr>
        <w:footnoteRef/>
      </w:r>
      <w:r w:rsidRPr="00D06C48">
        <w:rPr>
          <w:lang w:val="en-GB"/>
        </w:rPr>
        <w:t xml:space="preserve"> </w:t>
      </w:r>
      <w:proofErr w:type="spellStart"/>
      <w:r w:rsidR="004B5D0A" w:rsidRPr="00D06C48">
        <w:rPr>
          <w:lang w:val="en-GB"/>
        </w:rPr>
        <w:t>Hdt</w:t>
      </w:r>
      <w:proofErr w:type="spellEnd"/>
      <w:r w:rsidR="004B5D0A" w:rsidRPr="00D06C48">
        <w:rPr>
          <w:lang w:val="en-GB"/>
        </w:rPr>
        <w:t xml:space="preserve">., </w:t>
      </w:r>
      <w:r w:rsidRPr="00D06C48">
        <w:rPr>
          <w:lang w:val="en-GB"/>
        </w:rPr>
        <w:t>IV, 44</w:t>
      </w:r>
    </w:p>
  </w:footnote>
  <w:footnote w:id="33">
    <w:p w14:paraId="6399BB67" w14:textId="70D46161" w:rsidR="002E512C" w:rsidRPr="00D06C48" w:rsidRDefault="002E512C">
      <w:pPr>
        <w:pStyle w:val="Testonotaapidipagina"/>
        <w:rPr>
          <w:lang w:val="en-GB"/>
        </w:rPr>
      </w:pPr>
      <w:r>
        <w:rPr>
          <w:rStyle w:val="Rimandonotaapidipagina"/>
        </w:rPr>
        <w:footnoteRef/>
      </w:r>
      <w:r w:rsidRPr="002E512C">
        <w:rPr>
          <w:lang w:val="en-GB"/>
        </w:rPr>
        <w:t xml:space="preserve"> </w:t>
      </w:r>
      <w:bookmarkStart w:id="8" w:name="_Hlk2951753"/>
      <w:proofErr w:type="spellStart"/>
      <w:r w:rsidRPr="002E512C">
        <w:rPr>
          <w:lang w:val="en-GB"/>
        </w:rPr>
        <w:t>Immerwahr</w:t>
      </w:r>
      <w:proofErr w:type="spellEnd"/>
      <w:r w:rsidRPr="002E512C">
        <w:rPr>
          <w:lang w:val="en-GB"/>
        </w:rPr>
        <w:t xml:space="preserve"> (1966)</w:t>
      </w:r>
      <w:bookmarkEnd w:id="8"/>
    </w:p>
  </w:footnote>
  <w:footnote w:id="34">
    <w:p w14:paraId="13F25F13" w14:textId="771142F8" w:rsidR="00E83BBE" w:rsidRPr="00D06C48" w:rsidRDefault="00E83BBE">
      <w:pPr>
        <w:pStyle w:val="Testonotaapidipagina"/>
        <w:rPr>
          <w:lang w:val="en-GB"/>
        </w:rPr>
      </w:pPr>
      <w:r>
        <w:rPr>
          <w:rStyle w:val="Rimandonotaapidipagina"/>
        </w:rPr>
        <w:footnoteRef/>
      </w:r>
      <w:r w:rsidRPr="00D06C48">
        <w:rPr>
          <w:lang w:val="en-GB"/>
        </w:rPr>
        <w:t xml:space="preserve"> </w:t>
      </w:r>
      <w:proofErr w:type="spellStart"/>
      <w:r w:rsidRPr="00D06C48">
        <w:rPr>
          <w:lang w:val="en-GB"/>
        </w:rPr>
        <w:t>Hdt</w:t>
      </w:r>
      <w:proofErr w:type="spellEnd"/>
      <w:r w:rsidRPr="00D06C48">
        <w:rPr>
          <w:lang w:val="en-GB"/>
        </w:rPr>
        <w:t>., I, 155</w:t>
      </w:r>
    </w:p>
  </w:footnote>
  <w:footnote w:id="35">
    <w:p w14:paraId="6C79C9AE" w14:textId="6444CB10" w:rsidR="00E83BBE" w:rsidRPr="000B5708" w:rsidRDefault="00E83BBE">
      <w:pPr>
        <w:pStyle w:val="Testonotaapidipagina"/>
        <w:rPr>
          <w:lang w:val="en-GB"/>
        </w:rPr>
      </w:pPr>
      <w:r>
        <w:rPr>
          <w:rStyle w:val="Rimandonotaapidipagina"/>
        </w:rPr>
        <w:footnoteRef/>
      </w:r>
      <w:r w:rsidRPr="000B5708">
        <w:rPr>
          <w:lang w:val="en-GB"/>
        </w:rPr>
        <w:t xml:space="preserve"> </w:t>
      </w:r>
      <w:proofErr w:type="spellStart"/>
      <w:r w:rsidRPr="000B5708">
        <w:rPr>
          <w:lang w:val="en-GB"/>
        </w:rPr>
        <w:t>Hdt</w:t>
      </w:r>
      <w:proofErr w:type="spellEnd"/>
      <w:r w:rsidRPr="000B5708">
        <w:rPr>
          <w:lang w:val="en-GB"/>
        </w:rPr>
        <w:t xml:space="preserve">., VI, 98. See also </w:t>
      </w:r>
      <w:bookmarkStart w:id="9" w:name="_Hlk2951812"/>
      <w:bookmarkStart w:id="10" w:name="_Hlk2951813"/>
      <w:bookmarkStart w:id="11" w:name="_Hlk2951814"/>
      <w:bookmarkStart w:id="12" w:name="_Hlk2951815"/>
      <w:bookmarkStart w:id="13" w:name="_Hlk2951816"/>
      <w:bookmarkStart w:id="14" w:name="_Hlk2951817"/>
      <w:proofErr w:type="spellStart"/>
      <w:r w:rsidR="000B5708" w:rsidRPr="000B5708">
        <w:rPr>
          <w:lang w:val="en-GB"/>
        </w:rPr>
        <w:t>Grethlein</w:t>
      </w:r>
      <w:proofErr w:type="spellEnd"/>
      <w:r w:rsidR="000B5708" w:rsidRPr="000B5708">
        <w:rPr>
          <w:lang w:val="en-GB"/>
        </w:rPr>
        <w:t xml:space="preserve"> </w:t>
      </w:r>
      <w:r w:rsidR="00DD029B">
        <w:rPr>
          <w:lang w:val="en-GB"/>
        </w:rPr>
        <w:t>(</w:t>
      </w:r>
      <w:r w:rsidR="000B5708" w:rsidRPr="000B5708">
        <w:rPr>
          <w:lang w:val="en-GB"/>
        </w:rPr>
        <w:t xml:space="preserve">2006), pp. </w:t>
      </w:r>
      <w:r w:rsidR="000B5708">
        <w:rPr>
          <w:lang w:val="en-GB"/>
        </w:rPr>
        <w:t>502-505</w:t>
      </w:r>
      <w:bookmarkEnd w:id="9"/>
      <w:bookmarkEnd w:id="10"/>
      <w:bookmarkEnd w:id="11"/>
      <w:bookmarkEnd w:id="12"/>
      <w:bookmarkEnd w:id="13"/>
      <w:bookmarkEnd w:id="14"/>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2139C"/>
    <w:multiLevelType w:val="hybridMultilevel"/>
    <w:tmpl w:val="F80C6A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A122E48"/>
    <w:multiLevelType w:val="hybridMultilevel"/>
    <w:tmpl w:val="8668A5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4E61A6"/>
    <w:multiLevelType w:val="hybridMultilevel"/>
    <w:tmpl w:val="C0EA83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0AA"/>
    <w:rsid w:val="0004242D"/>
    <w:rsid w:val="00074204"/>
    <w:rsid w:val="000B5708"/>
    <w:rsid w:val="000E56C4"/>
    <w:rsid w:val="000E62FF"/>
    <w:rsid w:val="00106C53"/>
    <w:rsid w:val="00133E90"/>
    <w:rsid w:val="001A61C1"/>
    <w:rsid w:val="001B71DF"/>
    <w:rsid w:val="00221723"/>
    <w:rsid w:val="00255922"/>
    <w:rsid w:val="002563B6"/>
    <w:rsid w:val="00273CC1"/>
    <w:rsid w:val="002E512C"/>
    <w:rsid w:val="00314825"/>
    <w:rsid w:val="00377D12"/>
    <w:rsid w:val="003829C9"/>
    <w:rsid w:val="003D1EB3"/>
    <w:rsid w:val="00462D4C"/>
    <w:rsid w:val="00472620"/>
    <w:rsid w:val="00480DC6"/>
    <w:rsid w:val="004B5D0A"/>
    <w:rsid w:val="004E6C71"/>
    <w:rsid w:val="00525FC1"/>
    <w:rsid w:val="005344E9"/>
    <w:rsid w:val="005833CC"/>
    <w:rsid w:val="00587307"/>
    <w:rsid w:val="005E2EBA"/>
    <w:rsid w:val="006165CB"/>
    <w:rsid w:val="00637E4E"/>
    <w:rsid w:val="006467D0"/>
    <w:rsid w:val="00676BB3"/>
    <w:rsid w:val="00757DDA"/>
    <w:rsid w:val="007B29CB"/>
    <w:rsid w:val="007C125D"/>
    <w:rsid w:val="0081505B"/>
    <w:rsid w:val="008460AA"/>
    <w:rsid w:val="008E4BDB"/>
    <w:rsid w:val="00923A3D"/>
    <w:rsid w:val="00943C9A"/>
    <w:rsid w:val="00996914"/>
    <w:rsid w:val="00A0217F"/>
    <w:rsid w:val="00A333C3"/>
    <w:rsid w:val="00A9013B"/>
    <w:rsid w:val="00AE65F2"/>
    <w:rsid w:val="00B00A3D"/>
    <w:rsid w:val="00B03DD3"/>
    <w:rsid w:val="00B242E5"/>
    <w:rsid w:val="00B42FF7"/>
    <w:rsid w:val="00B47BA8"/>
    <w:rsid w:val="00B87C5C"/>
    <w:rsid w:val="00BE4A56"/>
    <w:rsid w:val="00C41F1E"/>
    <w:rsid w:val="00C60E11"/>
    <w:rsid w:val="00C71258"/>
    <w:rsid w:val="00C91A9D"/>
    <w:rsid w:val="00C9777D"/>
    <w:rsid w:val="00CB7088"/>
    <w:rsid w:val="00CD0F1E"/>
    <w:rsid w:val="00CD629B"/>
    <w:rsid w:val="00CE2E74"/>
    <w:rsid w:val="00D06C48"/>
    <w:rsid w:val="00D74C23"/>
    <w:rsid w:val="00D81EFE"/>
    <w:rsid w:val="00D951EA"/>
    <w:rsid w:val="00D95E7D"/>
    <w:rsid w:val="00DC1BB1"/>
    <w:rsid w:val="00DD029B"/>
    <w:rsid w:val="00DF54B1"/>
    <w:rsid w:val="00E83BBE"/>
    <w:rsid w:val="00E846FC"/>
    <w:rsid w:val="00ED6F86"/>
    <w:rsid w:val="00F44C6A"/>
    <w:rsid w:val="00F76E09"/>
    <w:rsid w:val="00FB40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67C7"/>
  <w15:chartTrackingRefBased/>
  <w15:docId w15:val="{292BE606-6C8E-453B-85BA-DA70557F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B71DF"/>
    <w:pPr>
      <w:keepNext/>
      <w:keepLines/>
      <w:spacing w:before="240" w:after="0"/>
      <w:outlineLvl w:val="0"/>
    </w:pPr>
    <w:rPr>
      <w:rFonts w:asciiTheme="majorHAnsi" w:eastAsiaTheme="majorEastAsia" w:hAnsiTheme="majorHAnsi" w:cstheme="majorBidi"/>
      <w:color w:val="2F5496" w:themeColor="accent1" w:themeShade="BF"/>
      <w:sz w:val="32"/>
      <w:szCs w:val="3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22172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221723"/>
    <w:rPr>
      <w:sz w:val="20"/>
      <w:szCs w:val="20"/>
    </w:rPr>
  </w:style>
  <w:style w:type="character" w:styleId="Rimandonotaapidipagina">
    <w:name w:val="footnote reference"/>
    <w:basedOn w:val="Carpredefinitoparagrafo"/>
    <w:uiPriority w:val="99"/>
    <w:semiHidden/>
    <w:unhideWhenUsed/>
    <w:rsid w:val="00221723"/>
    <w:rPr>
      <w:vertAlign w:val="superscript"/>
    </w:rPr>
  </w:style>
  <w:style w:type="character" w:customStyle="1" w:styleId="Titolo1Carattere">
    <w:name w:val="Titolo 1 Carattere"/>
    <w:basedOn w:val="Carpredefinitoparagrafo"/>
    <w:link w:val="Titolo1"/>
    <w:uiPriority w:val="9"/>
    <w:rsid w:val="001B71DF"/>
    <w:rPr>
      <w:rFonts w:asciiTheme="majorHAnsi" w:eastAsiaTheme="majorEastAsia" w:hAnsiTheme="majorHAnsi" w:cstheme="majorBidi"/>
      <w:color w:val="2F5496" w:themeColor="accent1" w:themeShade="BF"/>
      <w:sz w:val="32"/>
      <w:szCs w:val="32"/>
      <w:lang w:eastAsia="it-IT"/>
    </w:rPr>
  </w:style>
  <w:style w:type="paragraph" w:styleId="Paragrafoelenco">
    <w:name w:val="List Paragraph"/>
    <w:basedOn w:val="Normale"/>
    <w:uiPriority w:val="34"/>
    <w:qFormat/>
    <w:rsid w:val="001B71DF"/>
    <w:pPr>
      <w:ind w:left="720"/>
      <w:contextualSpacing/>
    </w:pPr>
  </w:style>
  <w:style w:type="character" w:styleId="Collegamentoipertestuale">
    <w:name w:val="Hyperlink"/>
    <w:basedOn w:val="Carpredefinitoparagrafo"/>
    <w:uiPriority w:val="99"/>
    <w:unhideWhenUsed/>
    <w:rsid w:val="001B71DF"/>
    <w:rPr>
      <w:color w:val="0563C1" w:themeColor="hyperlink"/>
      <w:u w:val="single"/>
    </w:rPr>
  </w:style>
  <w:style w:type="character" w:styleId="Menzionenonrisolta">
    <w:name w:val="Unresolved Mention"/>
    <w:basedOn w:val="Carpredefinitoparagrafo"/>
    <w:uiPriority w:val="99"/>
    <w:semiHidden/>
    <w:unhideWhenUsed/>
    <w:rsid w:val="001B71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ccani.it/enciclopedia/ecateo-di-mileto_(Enciclopedia-Italian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FC3D-57EB-40A9-9B8E-65D52863C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Pages>
  <Words>1367</Words>
  <Characters>7794</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vezzani</dc:creator>
  <cp:keywords/>
  <dc:description/>
  <cp:lastModifiedBy>filippo vezzani</cp:lastModifiedBy>
  <cp:revision>37</cp:revision>
  <dcterms:created xsi:type="dcterms:W3CDTF">2019-03-08T09:36:00Z</dcterms:created>
  <dcterms:modified xsi:type="dcterms:W3CDTF">2019-03-08T15:01:00Z</dcterms:modified>
</cp:coreProperties>
</file>