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70B8E8" w14:textId="77777777" w:rsidR="009274D5" w:rsidRDefault="009274D5" w:rsidP="009274D5">
      <w:pPr>
        <w:tabs>
          <w:tab w:val="left" w:pos="2070"/>
          <w:tab w:val="left" w:pos="3105"/>
        </w:tabs>
      </w:pPr>
      <w:r>
        <w:rPr>
          <w:rFonts w:hint="eastAsia"/>
        </w:rPr>
        <w:tab/>
      </w:r>
      <w:r>
        <w:t xml:space="preserve">  </w:t>
      </w:r>
      <w:r>
        <w:rPr>
          <w:noProof/>
        </w:rPr>
        <w:drawing>
          <wp:inline distT="0" distB="0" distL="0" distR="0" wp14:anchorId="479D696F" wp14:editId="0D9A17C3">
            <wp:extent cx="2828925" cy="935117"/>
            <wp:effectExtent l="0" t="0" r="0" b="0"/>
            <wp:docPr id="644860297" name="Picture 3"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42808" cy="939706"/>
                    </a:xfrm>
                    <a:prstGeom prst="rect">
                      <a:avLst/>
                    </a:prstGeom>
                    <a:noFill/>
                    <a:ln>
                      <a:noFill/>
                    </a:ln>
                  </pic:spPr>
                </pic:pic>
              </a:graphicData>
            </a:graphic>
          </wp:inline>
        </w:drawing>
      </w:r>
    </w:p>
    <w:p w14:paraId="2A89A6F1" w14:textId="77777777" w:rsidR="009274D5" w:rsidRDefault="009274D5" w:rsidP="009274D5">
      <w:pPr>
        <w:tabs>
          <w:tab w:val="left" w:pos="2070"/>
          <w:tab w:val="left" w:pos="3105"/>
        </w:tabs>
      </w:pPr>
    </w:p>
    <w:p w14:paraId="1EE92DBF" w14:textId="77777777" w:rsidR="009274D5" w:rsidRDefault="009274D5" w:rsidP="009274D5">
      <w:pPr>
        <w:tabs>
          <w:tab w:val="left" w:pos="2070"/>
          <w:tab w:val="left" w:pos="3105"/>
        </w:tabs>
      </w:pPr>
    </w:p>
    <w:p w14:paraId="728CB4DA" w14:textId="77777777" w:rsidR="009274D5" w:rsidRPr="003826D5" w:rsidRDefault="009274D5" w:rsidP="009274D5">
      <w:pPr>
        <w:spacing w:after="200" w:line="360" w:lineRule="auto"/>
        <w:ind w:left="426" w:right="272"/>
        <w:jc w:val="center"/>
        <w:rPr>
          <w:rFonts w:eastAsia="Arial" w:cs="Arial"/>
          <w:b/>
          <w:bCs/>
        </w:rPr>
      </w:pPr>
      <w:r w:rsidRPr="003826D5">
        <w:rPr>
          <w:rFonts w:eastAsia="Arial" w:cs="Arial"/>
          <w:b/>
          <w:bCs/>
        </w:rPr>
        <w:t xml:space="preserve">Program </w:t>
      </w:r>
      <w:r>
        <w:rPr>
          <w:rFonts w:eastAsia="Arial" w:cs="Arial"/>
          <w:b/>
          <w:bCs/>
        </w:rPr>
        <w:t>N</w:t>
      </w:r>
      <w:r w:rsidRPr="003826D5">
        <w:rPr>
          <w:rFonts w:eastAsia="Arial" w:cs="Arial"/>
          <w:b/>
          <w:bCs/>
        </w:rPr>
        <w:t>ame - Master of Business Administration</w:t>
      </w:r>
    </w:p>
    <w:p w14:paraId="1B02FF71" w14:textId="1524F460" w:rsidR="009274D5" w:rsidRPr="003826D5" w:rsidRDefault="009274D5" w:rsidP="009274D5">
      <w:pPr>
        <w:spacing w:after="200" w:line="360" w:lineRule="auto"/>
        <w:ind w:left="426" w:right="272"/>
        <w:jc w:val="center"/>
        <w:rPr>
          <w:rFonts w:eastAsia="Arial" w:cs="Arial"/>
          <w:b/>
          <w:bCs/>
        </w:rPr>
      </w:pPr>
      <w:r w:rsidRPr="003826D5">
        <w:rPr>
          <w:rFonts w:eastAsia="Arial" w:cs="Arial"/>
          <w:b/>
          <w:bCs/>
        </w:rPr>
        <w:t xml:space="preserve"> Module Name - </w:t>
      </w:r>
      <w:r w:rsidRPr="009274D5">
        <w:rPr>
          <w:rFonts w:eastAsia="Arial" w:cs="Arial"/>
          <w:b/>
          <w:bCs/>
        </w:rPr>
        <w:t>International Business Concepts</w:t>
      </w:r>
    </w:p>
    <w:p w14:paraId="5D0E496C" w14:textId="3DA886B7" w:rsidR="009274D5" w:rsidRPr="003826D5" w:rsidRDefault="009274D5" w:rsidP="009274D5">
      <w:pPr>
        <w:spacing w:after="200" w:line="360" w:lineRule="auto"/>
        <w:ind w:left="426" w:right="272"/>
        <w:jc w:val="center"/>
        <w:rPr>
          <w:rFonts w:eastAsia="Arial" w:cs="Arial"/>
          <w:b/>
          <w:bCs/>
        </w:rPr>
      </w:pPr>
      <w:r w:rsidRPr="003826D5">
        <w:rPr>
          <w:rFonts w:eastAsia="Arial" w:cs="Arial"/>
          <w:b/>
          <w:bCs/>
        </w:rPr>
        <w:t>Module Code - LCMB70</w:t>
      </w:r>
      <w:r>
        <w:rPr>
          <w:rFonts w:eastAsia="Arial" w:cs="Arial"/>
          <w:b/>
          <w:bCs/>
        </w:rPr>
        <w:t>34</w:t>
      </w:r>
    </w:p>
    <w:p w14:paraId="082396FE" w14:textId="1F17C5B1" w:rsidR="009274D5" w:rsidRPr="003826D5" w:rsidRDefault="009274D5" w:rsidP="009274D5">
      <w:pPr>
        <w:spacing w:after="200" w:line="360" w:lineRule="auto"/>
        <w:ind w:left="426" w:right="272"/>
        <w:jc w:val="center"/>
        <w:rPr>
          <w:rFonts w:eastAsia="Arial" w:cs="Arial"/>
          <w:b/>
          <w:bCs/>
        </w:rPr>
      </w:pPr>
      <w:r w:rsidRPr="003826D5">
        <w:rPr>
          <w:rFonts w:eastAsia="Arial" w:cs="Arial"/>
          <w:b/>
          <w:bCs/>
        </w:rPr>
        <w:t>Assessment</w:t>
      </w:r>
      <w:r w:rsidR="00293CAA">
        <w:rPr>
          <w:rFonts w:eastAsia="Arial" w:cs="Arial"/>
          <w:b/>
          <w:bCs/>
        </w:rPr>
        <w:t xml:space="preserve"> -</w:t>
      </w:r>
      <w:r w:rsidRPr="003826D5">
        <w:rPr>
          <w:rFonts w:eastAsia="Arial" w:cs="Arial"/>
          <w:b/>
          <w:bCs/>
        </w:rPr>
        <w:t xml:space="preserve"> </w:t>
      </w:r>
      <w:r>
        <w:rPr>
          <w:rFonts w:eastAsia="Arial" w:cs="Arial"/>
          <w:b/>
          <w:bCs/>
        </w:rPr>
        <w:t>R</w:t>
      </w:r>
      <w:r w:rsidRPr="003826D5">
        <w:rPr>
          <w:rFonts w:eastAsia="Arial" w:cs="Arial"/>
          <w:b/>
          <w:bCs/>
        </w:rPr>
        <w:t>eport</w:t>
      </w:r>
    </w:p>
    <w:p w14:paraId="5864512F" w14:textId="2E1E655C" w:rsidR="009274D5" w:rsidRPr="003826D5" w:rsidRDefault="009274D5" w:rsidP="009274D5">
      <w:pPr>
        <w:spacing w:after="200" w:line="360" w:lineRule="auto"/>
        <w:ind w:left="426" w:right="272"/>
        <w:jc w:val="center"/>
        <w:rPr>
          <w:rFonts w:eastAsia="Arial" w:cs="Arial"/>
          <w:b/>
          <w:bCs/>
        </w:rPr>
      </w:pPr>
      <w:r w:rsidRPr="003826D5">
        <w:rPr>
          <w:rFonts w:eastAsia="Arial" w:cs="Arial"/>
          <w:b/>
          <w:bCs/>
        </w:rPr>
        <w:t xml:space="preserve">Title – </w:t>
      </w:r>
      <w:r w:rsidR="00662410" w:rsidRPr="00662410">
        <w:rPr>
          <w:rFonts w:eastAsia="Arial" w:cs="Arial"/>
          <w:b/>
          <w:bCs/>
        </w:rPr>
        <w:t>Streaming and Video-on-Demand (VOD) in India</w:t>
      </w:r>
    </w:p>
    <w:p w14:paraId="1B8B59C9" w14:textId="0D63D8A0" w:rsidR="009274D5" w:rsidRPr="009274D5" w:rsidRDefault="009274D5" w:rsidP="009274D5">
      <w:pPr>
        <w:spacing w:after="200" w:line="360" w:lineRule="auto"/>
        <w:ind w:left="426" w:right="272"/>
        <w:jc w:val="center"/>
        <w:rPr>
          <w:rFonts w:eastAsia="Arial" w:cs="Arial"/>
          <w:b/>
          <w:bCs/>
          <w:color w:val="1D2125"/>
        </w:rPr>
      </w:pPr>
      <w:r w:rsidRPr="003826D5">
        <w:rPr>
          <w:rFonts w:eastAsia="Arial" w:cs="Arial"/>
          <w:b/>
          <w:bCs/>
        </w:rPr>
        <w:t xml:space="preserve">Lecturer Name - </w:t>
      </w:r>
      <w:r w:rsidRPr="009274D5">
        <w:rPr>
          <w:rFonts w:eastAsia="Arial" w:cs="Arial"/>
          <w:b/>
          <w:bCs/>
          <w:color w:val="1D2125"/>
        </w:rPr>
        <w:t>S</w:t>
      </w:r>
      <w:r w:rsidR="00BB3671">
        <w:rPr>
          <w:rFonts w:eastAsia="Arial" w:cs="Arial"/>
          <w:b/>
          <w:bCs/>
          <w:color w:val="1D2125"/>
        </w:rPr>
        <w:t>yed</w:t>
      </w:r>
      <w:r w:rsidRPr="009274D5">
        <w:rPr>
          <w:rFonts w:eastAsia="Arial" w:cs="Arial"/>
          <w:b/>
          <w:bCs/>
          <w:color w:val="1D2125"/>
        </w:rPr>
        <w:t xml:space="preserve"> Mansoob Murshed</w:t>
      </w:r>
    </w:p>
    <w:p w14:paraId="4C00221A" w14:textId="77777777" w:rsidR="009274D5" w:rsidRPr="003826D5" w:rsidRDefault="009274D5" w:rsidP="009274D5">
      <w:pPr>
        <w:spacing w:after="200" w:line="360" w:lineRule="auto"/>
        <w:ind w:left="426" w:right="272"/>
        <w:jc w:val="center"/>
        <w:rPr>
          <w:rFonts w:eastAsia="Arial" w:cs="Arial"/>
          <w:b/>
          <w:bCs/>
        </w:rPr>
      </w:pPr>
      <w:r w:rsidRPr="003826D5">
        <w:rPr>
          <w:rFonts w:eastAsia="Arial" w:cs="Arial"/>
          <w:b/>
          <w:bCs/>
        </w:rPr>
        <w:t>Student Name</w:t>
      </w:r>
      <w:r>
        <w:rPr>
          <w:rFonts w:eastAsia="Arial" w:cs="Arial"/>
          <w:b/>
          <w:bCs/>
        </w:rPr>
        <w:t xml:space="preserve"> -</w:t>
      </w:r>
      <w:r w:rsidRPr="003826D5">
        <w:rPr>
          <w:rFonts w:eastAsia="Arial" w:cs="Arial"/>
          <w:b/>
          <w:bCs/>
        </w:rPr>
        <w:t xml:space="preserve"> Virendrasinh Rajendrasinh Rathod</w:t>
      </w:r>
    </w:p>
    <w:p w14:paraId="3C290E1F" w14:textId="77777777" w:rsidR="009274D5" w:rsidRPr="003826D5" w:rsidRDefault="009274D5" w:rsidP="009274D5">
      <w:pPr>
        <w:spacing w:after="200" w:line="360" w:lineRule="auto"/>
        <w:ind w:left="426" w:right="272"/>
        <w:jc w:val="center"/>
        <w:rPr>
          <w:rFonts w:eastAsia="Arial" w:cs="Arial"/>
          <w:b/>
          <w:bCs/>
        </w:rPr>
      </w:pPr>
      <w:r w:rsidRPr="003826D5">
        <w:rPr>
          <w:rFonts w:eastAsia="Arial" w:cs="Arial"/>
          <w:b/>
          <w:bCs/>
        </w:rPr>
        <w:t>Student ID: 2438323</w:t>
      </w:r>
    </w:p>
    <w:p w14:paraId="0E0F8A77" w14:textId="273065A1" w:rsidR="009274D5" w:rsidRDefault="009274D5" w:rsidP="009274D5">
      <w:pPr>
        <w:spacing w:after="200" w:line="360" w:lineRule="auto"/>
        <w:ind w:left="426" w:right="272"/>
        <w:jc w:val="center"/>
        <w:rPr>
          <w:rFonts w:eastAsia="Arial" w:cs="Arial"/>
          <w:b/>
          <w:bCs/>
          <w:color w:val="000000" w:themeColor="text1"/>
        </w:rPr>
      </w:pPr>
      <w:r w:rsidRPr="003826D5">
        <w:rPr>
          <w:rFonts w:eastAsia="Arial" w:cs="Arial"/>
          <w:b/>
          <w:bCs/>
        </w:rPr>
        <w:t xml:space="preserve">Submission Deadline - </w:t>
      </w:r>
      <w:r w:rsidRPr="003826D5">
        <w:rPr>
          <w:rFonts w:eastAsia="Arial" w:cs="Arial"/>
          <w:b/>
          <w:bCs/>
          <w:color w:val="000000" w:themeColor="text1"/>
        </w:rPr>
        <w:t xml:space="preserve">Friday </w:t>
      </w:r>
      <w:r>
        <w:rPr>
          <w:rFonts w:eastAsia="Arial" w:cs="Arial"/>
          <w:b/>
          <w:bCs/>
          <w:color w:val="000000" w:themeColor="text1"/>
        </w:rPr>
        <w:t>20</w:t>
      </w:r>
      <w:r w:rsidRPr="003826D5">
        <w:rPr>
          <w:rFonts w:eastAsia="Arial" w:cs="Arial"/>
          <w:b/>
          <w:bCs/>
          <w:color w:val="000000" w:themeColor="text1"/>
          <w:vertAlign w:val="superscript"/>
        </w:rPr>
        <w:t>th</w:t>
      </w:r>
      <w:r w:rsidRPr="003826D5">
        <w:rPr>
          <w:rFonts w:eastAsia="Arial" w:cs="Arial"/>
          <w:b/>
          <w:bCs/>
          <w:color w:val="000000" w:themeColor="text1"/>
        </w:rPr>
        <w:t xml:space="preserve"> </w:t>
      </w:r>
      <w:r>
        <w:rPr>
          <w:rFonts w:eastAsia="Arial" w:cs="Arial"/>
          <w:b/>
          <w:bCs/>
          <w:color w:val="000000" w:themeColor="text1"/>
        </w:rPr>
        <w:t>March</w:t>
      </w:r>
      <w:r w:rsidRPr="003826D5">
        <w:rPr>
          <w:rFonts w:eastAsia="Arial" w:cs="Arial"/>
          <w:b/>
          <w:bCs/>
          <w:color w:val="000000" w:themeColor="text1"/>
        </w:rPr>
        <w:t xml:space="preserve"> 202</w:t>
      </w:r>
      <w:r>
        <w:rPr>
          <w:rFonts w:eastAsia="Arial" w:cs="Arial"/>
          <w:b/>
          <w:bCs/>
          <w:color w:val="000000" w:themeColor="text1"/>
        </w:rPr>
        <w:t>6</w:t>
      </w:r>
      <w:r w:rsidRPr="003826D5">
        <w:rPr>
          <w:rFonts w:eastAsia="Arial" w:cs="Arial"/>
          <w:b/>
          <w:bCs/>
          <w:color w:val="000000" w:themeColor="text1"/>
        </w:rPr>
        <w:t xml:space="preserve"> by </w:t>
      </w:r>
      <w:r w:rsidR="00293CAA">
        <w:rPr>
          <w:rFonts w:eastAsia="Arial" w:cs="Arial"/>
          <w:b/>
          <w:bCs/>
          <w:color w:val="000000" w:themeColor="text1"/>
        </w:rPr>
        <w:t>2 pm</w:t>
      </w:r>
    </w:p>
    <w:p w14:paraId="053FAA7C" w14:textId="5354D087" w:rsidR="009274D5" w:rsidRDefault="009274D5" w:rsidP="009274D5">
      <w:pPr>
        <w:spacing w:after="200" w:line="360" w:lineRule="auto"/>
        <w:ind w:left="426" w:right="272"/>
        <w:jc w:val="center"/>
        <w:rPr>
          <w:rFonts w:eastAsia="Arial" w:cs="Arial"/>
          <w:b/>
          <w:bCs/>
        </w:rPr>
      </w:pPr>
      <w:r>
        <w:rPr>
          <w:rFonts w:eastAsia="Arial" w:cs="Arial"/>
          <w:b/>
          <w:bCs/>
        </w:rPr>
        <w:t xml:space="preserve">Word Count – </w:t>
      </w:r>
      <w:r w:rsidR="00BB58D8">
        <w:rPr>
          <w:rFonts w:eastAsia="Arial" w:cs="Arial"/>
          <w:b/>
          <w:bCs/>
        </w:rPr>
        <w:t>54</w:t>
      </w:r>
      <w:r w:rsidR="009616B8">
        <w:rPr>
          <w:rFonts w:eastAsia="Arial" w:cs="Arial"/>
          <w:b/>
          <w:bCs/>
        </w:rPr>
        <w:t>77</w:t>
      </w:r>
    </w:p>
    <w:p w14:paraId="1EB293A2" w14:textId="77777777" w:rsidR="009274D5" w:rsidRPr="00C43D2F" w:rsidRDefault="009274D5" w:rsidP="009274D5">
      <w:pPr>
        <w:spacing w:after="200" w:line="360" w:lineRule="auto"/>
        <w:ind w:left="426" w:right="272"/>
        <w:jc w:val="center"/>
        <w:rPr>
          <w:rFonts w:eastAsia="Arial" w:cs="Arial"/>
          <w:b/>
          <w:bCs/>
          <w:lang w:val="en-IN"/>
        </w:rPr>
      </w:pPr>
    </w:p>
    <w:p w14:paraId="4C3719C3" w14:textId="77777777" w:rsidR="009274D5" w:rsidRDefault="009274D5" w:rsidP="009274D5">
      <w:pPr>
        <w:spacing w:after="200" w:line="360" w:lineRule="auto"/>
        <w:ind w:left="426" w:right="272"/>
        <w:jc w:val="center"/>
        <w:rPr>
          <w:rFonts w:eastAsia="Arial" w:cs="Arial"/>
          <w:b/>
          <w:bCs/>
        </w:rPr>
      </w:pPr>
    </w:p>
    <w:p w14:paraId="63BC10EA" w14:textId="77777777" w:rsidR="009274D5" w:rsidRDefault="009274D5" w:rsidP="009274D5">
      <w:pPr>
        <w:spacing w:after="200" w:line="360" w:lineRule="auto"/>
        <w:ind w:left="426" w:right="272"/>
        <w:jc w:val="center"/>
        <w:rPr>
          <w:rFonts w:eastAsia="Arial" w:cs="Arial"/>
          <w:b/>
          <w:bCs/>
        </w:rPr>
      </w:pPr>
    </w:p>
    <w:p w14:paraId="33AF301E" w14:textId="77777777" w:rsidR="009274D5" w:rsidRDefault="009274D5" w:rsidP="009274D5">
      <w:pPr>
        <w:spacing w:after="200" w:line="360" w:lineRule="auto"/>
        <w:ind w:left="426" w:right="272"/>
        <w:jc w:val="center"/>
        <w:rPr>
          <w:rFonts w:eastAsia="Arial" w:cs="Arial"/>
          <w:b/>
          <w:bCs/>
        </w:rPr>
      </w:pPr>
    </w:p>
    <w:p w14:paraId="3F63023F" w14:textId="77777777" w:rsidR="009274D5" w:rsidRDefault="009274D5" w:rsidP="009274D5">
      <w:pPr>
        <w:spacing w:after="200" w:line="360" w:lineRule="auto"/>
        <w:ind w:left="426" w:right="272"/>
        <w:jc w:val="center"/>
        <w:rPr>
          <w:rFonts w:eastAsia="Arial" w:cs="Arial"/>
          <w:b/>
          <w:bCs/>
        </w:rPr>
      </w:pPr>
    </w:p>
    <w:p w14:paraId="1A353F1C" w14:textId="77777777" w:rsidR="009274D5" w:rsidRDefault="009274D5" w:rsidP="009274D5">
      <w:pPr>
        <w:spacing w:after="200" w:line="360" w:lineRule="auto"/>
        <w:ind w:left="426" w:right="272"/>
        <w:jc w:val="center"/>
        <w:rPr>
          <w:rFonts w:eastAsia="Arial" w:cs="Arial"/>
          <w:b/>
          <w:bCs/>
        </w:rPr>
      </w:pPr>
    </w:p>
    <w:p w14:paraId="594FFAAE" w14:textId="77777777" w:rsidR="009274D5" w:rsidRDefault="009274D5" w:rsidP="009274D5">
      <w:pPr>
        <w:spacing w:after="200" w:line="360" w:lineRule="auto"/>
        <w:ind w:left="426" w:right="272"/>
        <w:jc w:val="center"/>
        <w:rPr>
          <w:rFonts w:eastAsia="Arial" w:cs="Arial"/>
          <w:b/>
          <w:bCs/>
        </w:rPr>
      </w:pPr>
    </w:p>
    <w:p w14:paraId="4AC62659" w14:textId="77777777" w:rsidR="00C43D2F" w:rsidRDefault="00C43D2F" w:rsidP="009274D5">
      <w:pPr>
        <w:spacing w:after="200" w:line="360" w:lineRule="auto"/>
        <w:ind w:left="426" w:right="272"/>
        <w:jc w:val="center"/>
        <w:rPr>
          <w:rFonts w:eastAsia="Arial" w:cs="Arial"/>
          <w:b/>
          <w:bCs/>
        </w:rPr>
      </w:pPr>
    </w:p>
    <w:p w14:paraId="0F8E9DDD" w14:textId="07B8A3FC" w:rsidR="009274D5" w:rsidRDefault="009274D5" w:rsidP="00CB3D94">
      <w:pPr>
        <w:pStyle w:val="Heading1"/>
        <w:rPr>
          <w:rFonts w:cs="Arial"/>
          <w:b w:val="0"/>
          <w:bCs/>
          <w:sz w:val="32"/>
          <w:szCs w:val="32"/>
          <w:u w:val="single"/>
        </w:rPr>
      </w:pPr>
    </w:p>
    <w:sdt>
      <w:sdtPr>
        <w:rPr>
          <w:rFonts w:ascii="Arial" w:eastAsiaTheme="minorEastAsia" w:hAnsi="Arial" w:cstheme="minorBidi"/>
          <w:color w:val="auto"/>
          <w:kern w:val="2"/>
          <w:sz w:val="24"/>
          <w:szCs w:val="24"/>
          <w:lang w:val="en-GB" w:eastAsia="zh-CN"/>
          <w14:ligatures w14:val="standardContextual"/>
        </w:rPr>
        <w:id w:val="488289267"/>
        <w:docPartObj>
          <w:docPartGallery w:val="Table of Contents"/>
          <w:docPartUnique/>
        </w:docPartObj>
      </w:sdtPr>
      <w:sdtEndPr>
        <w:rPr>
          <w:b/>
          <w:bCs/>
          <w:noProof/>
        </w:rPr>
      </w:sdtEndPr>
      <w:sdtContent>
        <w:p w14:paraId="04D7370C" w14:textId="1DCE4DD9" w:rsidR="00C167EE" w:rsidRDefault="00C167EE">
          <w:pPr>
            <w:pStyle w:val="TOCHeading"/>
          </w:pPr>
          <w:r>
            <w:t>Table of Contents</w:t>
          </w:r>
        </w:p>
        <w:p w14:paraId="40957DE2" w14:textId="6C098010" w:rsidR="00EC05E3" w:rsidRDefault="00C167EE">
          <w:pPr>
            <w:pStyle w:val="TOC1"/>
            <w:tabs>
              <w:tab w:val="right" w:leader="dot" w:pos="9016"/>
            </w:tabs>
            <w:rPr>
              <w:rFonts w:asciiTheme="minorHAnsi" w:hAnsiTheme="minorHAnsi"/>
              <w:noProof/>
              <w:lang w:val="en-IN" w:eastAsia="en-IN"/>
            </w:rPr>
          </w:pPr>
          <w:r>
            <w:fldChar w:fldCharType="begin"/>
          </w:r>
          <w:r>
            <w:instrText xml:space="preserve"> TOC \o "1-3" \h \z \u </w:instrText>
          </w:r>
          <w:r>
            <w:fldChar w:fldCharType="separate"/>
          </w:r>
          <w:hyperlink w:anchor="_Toc224920758" w:history="1">
            <w:r w:rsidR="00EC05E3" w:rsidRPr="00261024">
              <w:rPr>
                <w:rStyle w:val="Hyperlink"/>
                <w:bCs/>
                <w:noProof/>
              </w:rPr>
              <w:t>Section 1: Report</w:t>
            </w:r>
            <w:r w:rsidR="00EC05E3">
              <w:rPr>
                <w:noProof/>
                <w:webHidden/>
              </w:rPr>
              <w:tab/>
            </w:r>
            <w:r w:rsidR="00EC05E3">
              <w:rPr>
                <w:noProof/>
                <w:webHidden/>
              </w:rPr>
              <w:fldChar w:fldCharType="begin"/>
            </w:r>
            <w:r w:rsidR="00EC05E3">
              <w:rPr>
                <w:noProof/>
                <w:webHidden/>
              </w:rPr>
              <w:instrText xml:space="preserve"> PAGEREF _Toc224920758 \h </w:instrText>
            </w:r>
            <w:r w:rsidR="00EC05E3">
              <w:rPr>
                <w:noProof/>
                <w:webHidden/>
              </w:rPr>
            </w:r>
            <w:r w:rsidR="00EC05E3">
              <w:rPr>
                <w:noProof/>
                <w:webHidden/>
              </w:rPr>
              <w:fldChar w:fldCharType="separate"/>
            </w:r>
            <w:r w:rsidR="00EC05E3">
              <w:rPr>
                <w:noProof/>
                <w:webHidden/>
              </w:rPr>
              <w:t>3</w:t>
            </w:r>
            <w:r w:rsidR="00EC05E3">
              <w:rPr>
                <w:noProof/>
                <w:webHidden/>
              </w:rPr>
              <w:fldChar w:fldCharType="end"/>
            </w:r>
          </w:hyperlink>
        </w:p>
        <w:p w14:paraId="420B1B05" w14:textId="0C3581DE" w:rsidR="00EC05E3" w:rsidRDefault="00EC05E3">
          <w:pPr>
            <w:pStyle w:val="TOC2"/>
            <w:tabs>
              <w:tab w:val="right" w:leader="dot" w:pos="9016"/>
            </w:tabs>
            <w:rPr>
              <w:rFonts w:asciiTheme="minorHAnsi" w:hAnsiTheme="minorHAnsi"/>
              <w:noProof/>
              <w:lang w:val="en-IN" w:eastAsia="en-IN"/>
            </w:rPr>
          </w:pPr>
          <w:hyperlink w:anchor="_Toc224920759" w:history="1">
            <w:r w:rsidRPr="00261024">
              <w:rPr>
                <w:rStyle w:val="Hyperlink"/>
                <w:bCs/>
                <w:noProof/>
              </w:rPr>
              <w:t>1. Introduction</w:t>
            </w:r>
            <w:r>
              <w:rPr>
                <w:noProof/>
                <w:webHidden/>
              </w:rPr>
              <w:tab/>
            </w:r>
            <w:r>
              <w:rPr>
                <w:noProof/>
                <w:webHidden/>
              </w:rPr>
              <w:fldChar w:fldCharType="begin"/>
            </w:r>
            <w:r>
              <w:rPr>
                <w:noProof/>
                <w:webHidden/>
              </w:rPr>
              <w:instrText xml:space="preserve"> PAGEREF _Toc224920759 \h </w:instrText>
            </w:r>
            <w:r>
              <w:rPr>
                <w:noProof/>
                <w:webHidden/>
              </w:rPr>
            </w:r>
            <w:r>
              <w:rPr>
                <w:noProof/>
                <w:webHidden/>
              </w:rPr>
              <w:fldChar w:fldCharType="separate"/>
            </w:r>
            <w:r>
              <w:rPr>
                <w:noProof/>
                <w:webHidden/>
              </w:rPr>
              <w:t>3</w:t>
            </w:r>
            <w:r>
              <w:rPr>
                <w:noProof/>
                <w:webHidden/>
              </w:rPr>
              <w:fldChar w:fldCharType="end"/>
            </w:r>
          </w:hyperlink>
        </w:p>
        <w:p w14:paraId="3F187971" w14:textId="21D429CF" w:rsidR="00EC05E3" w:rsidRDefault="00EC05E3">
          <w:pPr>
            <w:pStyle w:val="TOC2"/>
            <w:tabs>
              <w:tab w:val="right" w:leader="dot" w:pos="9016"/>
            </w:tabs>
            <w:rPr>
              <w:rFonts w:asciiTheme="minorHAnsi" w:hAnsiTheme="minorHAnsi"/>
              <w:noProof/>
              <w:lang w:val="en-IN" w:eastAsia="en-IN"/>
            </w:rPr>
          </w:pPr>
          <w:hyperlink w:anchor="_Toc224920760" w:history="1">
            <w:r w:rsidRPr="00261024">
              <w:rPr>
                <w:rStyle w:val="Hyperlink"/>
                <w:noProof/>
              </w:rPr>
              <w:t>2. Industry and Country Overview</w:t>
            </w:r>
            <w:r>
              <w:rPr>
                <w:noProof/>
                <w:webHidden/>
              </w:rPr>
              <w:tab/>
            </w:r>
            <w:r>
              <w:rPr>
                <w:noProof/>
                <w:webHidden/>
              </w:rPr>
              <w:fldChar w:fldCharType="begin"/>
            </w:r>
            <w:r>
              <w:rPr>
                <w:noProof/>
                <w:webHidden/>
              </w:rPr>
              <w:instrText xml:space="preserve"> PAGEREF _Toc224920760 \h </w:instrText>
            </w:r>
            <w:r>
              <w:rPr>
                <w:noProof/>
                <w:webHidden/>
              </w:rPr>
            </w:r>
            <w:r>
              <w:rPr>
                <w:noProof/>
                <w:webHidden/>
              </w:rPr>
              <w:fldChar w:fldCharType="separate"/>
            </w:r>
            <w:r>
              <w:rPr>
                <w:noProof/>
                <w:webHidden/>
              </w:rPr>
              <w:t>3</w:t>
            </w:r>
            <w:r>
              <w:rPr>
                <w:noProof/>
                <w:webHidden/>
              </w:rPr>
              <w:fldChar w:fldCharType="end"/>
            </w:r>
          </w:hyperlink>
        </w:p>
        <w:p w14:paraId="28F7A9BC" w14:textId="435C630D" w:rsidR="00EC05E3" w:rsidRDefault="00EC05E3">
          <w:pPr>
            <w:pStyle w:val="TOC3"/>
            <w:tabs>
              <w:tab w:val="right" w:leader="dot" w:pos="9016"/>
            </w:tabs>
            <w:rPr>
              <w:rFonts w:asciiTheme="minorHAnsi" w:hAnsiTheme="minorHAnsi"/>
              <w:noProof/>
              <w:lang w:val="en-IN" w:eastAsia="en-IN"/>
            </w:rPr>
          </w:pPr>
          <w:hyperlink w:anchor="_Toc224920761" w:history="1">
            <w:r w:rsidRPr="00261024">
              <w:rPr>
                <w:rStyle w:val="Hyperlink"/>
                <w:noProof/>
              </w:rPr>
              <w:t>2.1 Introduction to the VOD Industry in India</w:t>
            </w:r>
            <w:r>
              <w:rPr>
                <w:noProof/>
                <w:webHidden/>
              </w:rPr>
              <w:tab/>
            </w:r>
            <w:r>
              <w:rPr>
                <w:noProof/>
                <w:webHidden/>
              </w:rPr>
              <w:fldChar w:fldCharType="begin"/>
            </w:r>
            <w:r>
              <w:rPr>
                <w:noProof/>
                <w:webHidden/>
              </w:rPr>
              <w:instrText xml:space="preserve"> PAGEREF _Toc224920761 \h </w:instrText>
            </w:r>
            <w:r>
              <w:rPr>
                <w:noProof/>
                <w:webHidden/>
              </w:rPr>
            </w:r>
            <w:r>
              <w:rPr>
                <w:noProof/>
                <w:webHidden/>
              </w:rPr>
              <w:fldChar w:fldCharType="separate"/>
            </w:r>
            <w:r>
              <w:rPr>
                <w:noProof/>
                <w:webHidden/>
              </w:rPr>
              <w:t>3</w:t>
            </w:r>
            <w:r>
              <w:rPr>
                <w:noProof/>
                <w:webHidden/>
              </w:rPr>
              <w:fldChar w:fldCharType="end"/>
            </w:r>
          </w:hyperlink>
        </w:p>
        <w:p w14:paraId="4037684A" w14:textId="15AAD129" w:rsidR="00EC05E3" w:rsidRDefault="00EC05E3">
          <w:pPr>
            <w:pStyle w:val="TOC3"/>
            <w:tabs>
              <w:tab w:val="right" w:leader="dot" w:pos="9016"/>
            </w:tabs>
            <w:rPr>
              <w:rFonts w:asciiTheme="minorHAnsi" w:hAnsiTheme="minorHAnsi"/>
              <w:noProof/>
              <w:lang w:val="en-IN" w:eastAsia="en-IN"/>
            </w:rPr>
          </w:pPr>
          <w:hyperlink w:anchor="_Toc224920762" w:history="1">
            <w:r w:rsidRPr="00261024">
              <w:rPr>
                <w:rStyle w:val="Hyperlink"/>
                <w:noProof/>
              </w:rPr>
              <w:t>2.2 Size, Scope, and Economic Importance</w:t>
            </w:r>
            <w:r>
              <w:rPr>
                <w:noProof/>
                <w:webHidden/>
              </w:rPr>
              <w:tab/>
            </w:r>
            <w:r>
              <w:rPr>
                <w:noProof/>
                <w:webHidden/>
              </w:rPr>
              <w:fldChar w:fldCharType="begin"/>
            </w:r>
            <w:r>
              <w:rPr>
                <w:noProof/>
                <w:webHidden/>
              </w:rPr>
              <w:instrText xml:space="preserve"> PAGEREF _Toc224920762 \h </w:instrText>
            </w:r>
            <w:r>
              <w:rPr>
                <w:noProof/>
                <w:webHidden/>
              </w:rPr>
            </w:r>
            <w:r>
              <w:rPr>
                <w:noProof/>
                <w:webHidden/>
              </w:rPr>
              <w:fldChar w:fldCharType="separate"/>
            </w:r>
            <w:r>
              <w:rPr>
                <w:noProof/>
                <w:webHidden/>
              </w:rPr>
              <w:t>3</w:t>
            </w:r>
            <w:r>
              <w:rPr>
                <w:noProof/>
                <w:webHidden/>
              </w:rPr>
              <w:fldChar w:fldCharType="end"/>
            </w:r>
          </w:hyperlink>
        </w:p>
        <w:p w14:paraId="28A8B44E" w14:textId="4FB8ADC8" w:rsidR="00EC05E3" w:rsidRDefault="00EC05E3">
          <w:pPr>
            <w:pStyle w:val="TOC3"/>
            <w:tabs>
              <w:tab w:val="right" w:leader="dot" w:pos="9016"/>
            </w:tabs>
            <w:rPr>
              <w:rFonts w:asciiTheme="minorHAnsi" w:hAnsiTheme="minorHAnsi"/>
              <w:noProof/>
              <w:lang w:val="en-IN" w:eastAsia="en-IN"/>
            </w:rPr>
          </w:pPr>
          <w:hyperlink w:anchor="_Toc224920763" w:history="1">
            <w:r w:rsidRPr="00261024">
              <w:rPr>
                <w:rStyle w:val="Hyperlink"/>
                <w:noProof/>
              </w:rPr>
              <w:t>2.3 Major Firms and Relative Positioning</w:t>
            </w:r>
            <w:r>
              <w:rPr>
                <w:noProof/>
                <w:webHidden/>
              </w:rPr>
              <w:tab/>
            </w:r>
            <w:r>
              <w:rPr>
                <w:noProof/>
                <w:webHidden/>
              </w:rPr>
              <w:fldChar w:fldCharType="begin"/>
            </w:r>
            <w:r>
              <w:rPr>
                <w:noProof/>
                <w:webHidden/>
              </w:rPr>
              <w:instrText xml:space="preserve"> PAGEREF _Toc224920763 \h </w:instrText>
            </w:r>
            <w:r>
              <w:rPr>
                <w:noProof/>
                <w:webHidden/>
              </w:rPr>
            </w:r>
            <w:r>
              <w:rPr>
                <w:noProof/>
                <w:webHidden/>
              </w:rPr>
              <w:fldChar w:fldCharType="separate"/>
            </w:r>
            <w:r>
              <w:rPr>
                <w:noProof/>
                <w:webHidden/>
              </w:rPr>
              <w:t>4</w:t>
            </w:r>
            <w:r>
              <w:rPr>
                <w:noProof/>
                <w:webHidden/>
              </w:rPr>
              <w:fldChar w:fldCharType="end"/>
            </w:r>
          </w:hyperlink>
        </w:p>
        <w:p w14:paraId="6B19CA82" w14:textId="574DFBE9" w:rsidR="00EC05E3" w:rsidRDefault="00EC05E3">
          <w:pPr>
            <w:pStyle w:val="TOC2"/>
            <w:tabs>
              <w:tab w:val="right" w:leader="dot" w:pos="9016"/>
            </w:tabs>
            <w:rPr>
              <w:rFonts w:asciiTheme="minorHAnsi" w:hAnsiTheme="minorHAnsi"/>
              <w:noProof/>
              <w:lang w:val="en-IN" w:eastAsia="en-IN"/>
            </w:rPr>
          </w:pPr>
          <w:hyperlink w:anchor="_Toc224920764" w:history="1">
            <w:r w:rsidRPr="00261024">
              <w:rPr>
                <w:rStyle w:val="Hyperlink"/>
                <w:noProof/>
              </w:rPr>
              <w:t>3. Porter's Diamond Model of National Advantage: India's VOD Industry</w:t>
            </w:r>
            <w:r>
              <w:rPr>
                <w:noProof/>
                <w:webHidden/>
              </w:rPr>
              <w:tab/>
            </w:r>
            <w:r>
              <w:rPr>
                <w:noProof/>
                <w:webHidden/>
              </w:rPr>
              <w:fldChar w:fldCharType="begin"/>
            </w:r>
            <w:r>
              <w:rPr>
                <w:noProof/>
                <w:webHidden/>
              </w:rPr>
              <w:instrText xml:space="preserve"> PAGEREF _Toc224920764 \h </w:instrText>
            </w:r>
            <w:r>
              <w:rPr>
                <w:noProof/>
                <w:webHidden/>
              </w:rPr>
            </w:r>
            <w:r>
              <w:rPr>
                <w:noProof/>
                <w:webHidden/>
              </w:rPr>
              <w:fldChar w:fldCharType="separate"/>
            </w:r>
            <w:r>
              <w:rPr>
                <w:noProof/>
                <w:webHidden/>
              </w:rPr>
              <w:t>7</w:t>
            </w:r>
            <w:r>
              <w:rPr>
                <w:noProof/>
                <w:webHidden/>
              </w:rPr>
              <w:fldChar w:fldCharType="end"/>
            </w:r>
          </w:hyperlink>
        </w:p>
        <w:p w14:paraId="577AC394" w14:textId="796207F4" w:rsidR="00EC05E3" w:rsidRDefault="00EC05E3">
          <w:pPr>
            <w:pStyle w:val="TOC2"/>
            <w:tabs>
              <w:tab w:val="right" w:leader="dot" w:pos="9016"/>
            </w:tabs>
            <w:rPr>
              <w:rFonts w:asciiTheme="minorHAnsi" w:hAnsiTheme="minorHAnsi"/>
              <w:noProof/>
              <w:lang w:val="en-IN" w:eastAsia="en-IN"/>
            </w:rPr>
          </w:pPr>
          <w:hyperlink w:anchor="_Toc224920765" w:history="1">
            <w:r w:rsidRPr="00261024">
              <w:rPr>
                <w:rStyle w:val="Hyperlink"/>
                <w:noProof/>
              </w:rPr>
              <w:t>4. Critical Evaluation of a Foreign MNC in India: Netflix</w:t>
            </w:r>
            <w:r>
              <w:rPr>
                <w:noProof/>
                <w:webHidden/>
              </w:rPr>
              <w:tab/>
            </w:r>
            <w:r>
              <w:rPr>
                <w:noProof/>
                <w:webHidden/>
              </w:rPr>
              <w:fldChar w:fldCharType="begin"/>
            </w:r>
            <w:r>
              <w:rPr>
                <w:noProof/>
                <w:webHidden/>
              </w:rPr>
              <w:instrText xml:space="preserve"> PAGEREF _Toc224920765 \h </w:instrText>
            </w:r>
            <w:r>
              <w:rPr>
                <w:noProof/>
                <w:webHidden/>
              </w:rPr>
            </w:r>
            <w:r>
              <w:rPr>
                <w:noProof/>
                <w:webHidden/>
              </w:rPr>
              <w:fldChar w:fldCharType="separate"/>
            </w:r>
            <w:r>
              <w:rPr>
                <w:noProof/>
                <w:webHidden/>
              </w:rPr>
              <w:t>10</w:t>
            </w:r>
            <w:r>
              <w:rPr>
                <w:noProof/>
                <w:webHidden/>
              </w:rPr>
              <w:fldChar w:fldCharType="end"/>
            </w:r>
          </w:hyperlink>
        </w:p>
        <w:p w14:paraId="1BADE367" w14:textId="3B83584E" w:rsidR="00EC05E3" w:rsidRDefault="00EC05E3">
          <w:pPr>
            <w:pStyle w:val="TOC3"/>
            <w:tabs>
              <w:tab w:val="right" w:leader="dot" w:pos="9016"/>
            </w:tabs>
            <w:rPr>
              <w:rFonts w:asciiTheme="minorHAnsi" w:hAnsiTheme="minorHAnsi"/>
              <w:noProof/>
              <w:lang w:val="en-IN" w:eastAsia="en-IN"/>
            </w:rPr>
          </w:pPr>
          <w:hyperlink w:anchor="_Toc224920766" w:history="1">
            <w:r w:rsidRPr="00261024">
              <w:rPr>
                <w:rStyle w:val="Hyperlink"/>
                <w:noProof/>
              </w:rPr>
              <w:t>4.1 Introduction to Netflix in India</w:t>
            </w:r>
            <w:r>
              <w:rPr>
                <w:noProof/>
                <w:webHidden/>
              </w:rPr>
              <w:tab/>
            </w:r>
            <w:r>
              <w:rPr>
                <w:noProof/>
                <w:webHidden/>
              </w:rPr>
              <w:fldChar w:fldCharType="begin"/>
            </w:r>
            <w:r>
              <w:rPr>
                <w:noProof/>
                <w:webHidden/>
              </w:rPr>
              <w:instrText xml:space="preserve"> PAGEREF _Toc224920766 \h </w:instrText>
            </w:r>
            <w:r>
              <w:rPr>
                <w:noProof/>
                <w:webHidden/>
              </w:rPr>
            </w:r>
            <w:r>
              <w:rPr>
                <w:noProof/>
                <w:webHidden/>
              </w:rPr>
              <w:fldChar w:fldCharType="separate"/>
            </w:r>
            <w:r>
              <w:rPr>
                <w:noProof/>
                <w:webHidden/>
              </w:rPr>
              <w:t>10</w:t>
            </w:r>
            <w:r>
              <w:rPr>
                <w:noProof/>
                <w:webHidden/>
              </w:rPr>
              <w:fldChar w:fldCharType="end"/>
            </w:r>
          </w:hyperlink>
        </w:p>
        <w:p w14:paraId="78F9A9B3" w14:textId="71A0295F" w:rsidR="00EC05E3" w:rsidRDefault="00EC05E3">
          <w:pPr>
            <w:pStyle w:val="TOC3"/>
            <w:tabs>
              <w:tab w:val="right" w:leader="dot" w:pos="9016"/>
            </w:tabs>
            <w:rPr>
              <w:rFonts w:asciiTheme="minorHAnsi" w:hAnsiTheme="minorHAnsi"/>
              <w:noProof/>
              <w:lang w:val="en-IN" w:eastAsia="en-IN"/>
            </w:rPr>
          </w:pPr>
          <w:hyperlink w:anchor="_Toc224920767" w:history="1">
            <w:r w:rsidRPr="00261024">
              <w:rPr>
                <w:rStyle w:val="Hyperlink"/>
                <w:noProof/>
              </w:rPr>
              <w:t>4.2 Application of the CAGE Distance Framework</w:t>
            </w:r>
            <w:r>
              <w:rPr>
                <w:noProof/>
                <w:webHidden/>
              </w:rPr>
              <w:tab/>
            </w:r>
            <w:r>
              <w:rPr>
                <w:noProof/>
                <w:webHidden/>
              </w:rPr>
              <w:fldChar w:fldCharType="begin"/>
            </w:r>
            <w:r>
              <w:rPr>
                <w:noProof/>
                <w:webHidden/>
              </w:rPr>
              <w:instrText xml:space="preserve"> PAGEREF _Toc224920767 \h </w:instrText>
            </w:r>
            <w:r>
              <w:rPr>
                <w:noProof/>
                <w:webHidden/>
              </w:rPr>
            </w:r>
            <w:r>
              <w:rPr>
                <w:noProof/>
                <w:webHidden/>
              </w:rPr>
              <w:fldChar w:fldCharType="separate"/>
            </w:r>
            <w:r>
              <w:rPr>
                <w:noProof/>
                <w:webHidden/>
              </w:rPr>
              <w:t>10</w:t>
            </w:r>
            <w:r>
              <w:rPr>
                <w:noProof/>
                <w:webHidden/>
              </w:rPr>
              <w:fldChar w:fldCharType="end"/>
            </w:r>
          </w:hyperlink>
        </w:p>
        <w:p w14:paraId="1CF03C94" w14:textId="07D27FA6" w:rsidR="00EC05E3" w:rsidRDefault="00EC05E3">
          <w:pPr>
            <w:pStyle w:val="TOC3"/>
            <w:tabs>
              <w:tab w:val="right" w:leader="dot" w:pos="9016"/>
            </w:tabs>
            <w:rPr>
              <w:rFonts w:asciiTheme="minorHAnsi" w:hAnsiTheme="minorHAnsi"/>
              <w:noProof/>
              <w:lang w:val="en-IN" w:eastAsia="en-IN"/>
            </w:rPr>
          </w:pPr>
          <w:hyperlink w:anchor="_Toc224920768" w:history="1">
            <w:r w:rsidRPr="00261024">
              <w:rPr>
                <w:rStyle w:val="Hyperlink"/>
                <w:noProof/>
              </w:rPr>
              <w:t>4.3 PESTEL Analysis of Netflix in India</w:t>
            </w:r>
            <w:r>
              <w:rPr>
                <w:noProof/>
                <w:webHidden/>
              </w:rPr>
              <w:tab/>
            </w:r>
            <w:r>
              <w:rPr>
                <w:noProof/>
                <w:webHidden/>
              </w:rPr>
              <w:fldChar w:fldCharType="begin"/>
            </w:r>
            <w:r>
              <w:rPr>
                <w:noProof/>
                <w:webHidden/>
              </w:rPr>
              <w:instrText xml:space="preserve"> PAGEREF _Toc224920768 \h </w:instrText>
            </w:r>
            <w:r>
              <w:rPr>
                <w:noProof/>
                <w:webHidden/>
              </w:rPr>
            </w:r>
            <w:r>
              <w:rPr>
                <w:noProof/>
                <w:webHidden/>
              </w:rPr>
              <w:fldChar w:fldCharType="separate"/>
            </w:r>
            <w:r>
              <w:rPr>
                <w:noProof/>
                <w:webHidden/>
              </w:rPr>
              <w:t>12</w:t>
            </w:r>
            <w:r>
              <w:rPr>
                <w:noProof/>
                <w:webHidden/>
              </w:rPr>
              <w:fldChar w:fldCharType="end"/>
            </w:r>
          </w:hyperlink>
        </w:p>
        <w:p w14:paraId="4750B9AE" w14:textId="5602A6FA" w:rsidR="00EC05E3" w:rsidRDefault="00EC05E3">
          <w:pPr>
            <w:pStyle w:val="TOC2"/>
            <w:tabs>
              <w:tab w:val="right" w:leader="dot" w:pos="9016"/>
            </w:tabs>
            <w:rPr>
              <w:rFonts w:asciiTheme="minorHAnsi" w:hAnsiTheme="minorHAnsi"/>
              <w:noProof/>
              <w:lang w:val="en-IN" w:eastAsia="en-IN"/>
            </w:rPr>
          </w:pPr>
          <w:hyperlink w:anchor="_Toc224920769" w:history="1">
            <w:r w:rsidRPr="00261024">
              <w:rPr>
                <w:rStyle w:val="Hyperlink"/>
                <w:noProof/>
              </w:rPr>
              <w:t>5. Conclusion</w:t>
            </w:r>
            <w:r>
              <w:rPr>
                <w:noProof/>
                <w:webHidden/>
              </w:rPr>
              <w:tab/>
            </w:r>
            <w:r>
              <w:rPr>
                <w:noProof/>
                <w:webHidden/>
              </w:rPr>
              <w:fldChar w:fldCharType="begin"/>
            </w:r>
            <w:r>
              <w:rPr>
                <w:noProof/>
                <w:webHidden/>
              </w:rPr>
              <w:instrText xml:space="preserve"> PAGEREF _Toc224920769 \h </w:instrText>
            </w:r>
            <w:r>
              <w:rPr>
                <w:noProof/>
                <w:webHidden/>
              </w:rPr>
            </w:r>
            <w:r>
              <w:rPr>
                <w:noProof/>
                <w:webHidden/>
              </w:rPr>
              <w:fldChar w:fldCharType="separate"/>
            </w:r>
            <w:r>
              <w:rPr>
                <w:noProof/>
                <w:webHidden/>
              </w:rPr>
              <w:t>17</w:t>
            </w:r>
            <w:r>
              <w:rPr>
                <w:noProof/>
                <w:webHidden/>
              </w:rPr>
              <w:fldChar w:fldCharType="end"/>
            </w:r>
          </w:hyperlink>
        </w:p>
        <w:p w14:paraId="7EF01FB9" w14:textId="4D81CD73" w:rsidR="00EC05E3" w:rsidRDefault="00EC05E3">
          <w:pPr>
            <w:pStyle w:val="TOC1"/>
            <w:tabs>
              <w:tab w:val="right" w:leader="dot" w:pos="9016"/>
            </w:tabs>
            <w:rPr>
              <w:rFonts w:asciiTheme="minorHAnsi" w:hAnsiTheme="minorHAnsi"/>
              <w:noProof/>
              <w:lang w:val="en-IN" w:eastAsia="en-IN"/>
            </w:rPr>
          </w:pPr>
          <w:hyperlink w:anchor="_Toc224920770" w:history="1">
            <w:r w:rsidRPr="00261024">
              <w:rPr>
                <w:rStyle w:val="Hyperlink"/>
                <w:noProof/>
              </w:rPr>
              <w:t>Section 2: Reflective Account of the Research and Analytical Process</w:t>
            </w:r>
            <w:r>
              <w:rPr>
                <w:noProof/>
                <w:webHidden/>
              </w:rPr>
              <w:tab/>
            </w:r>
            <w:r>
              <w:rPr>
                <w:noProof/>
                <w:webHidden/>
              </w:rPr>
              <w:fldChar w:fldCharType="begin"/>
            </w:r>
            <w:r>
              <w:rPr>
                <w:noProof/>
                <w:webHidden/>
              </w:rPr>
              <w:instrText xml:space="preserve"> PAGEREF _Toc224920770 \h </w:instrText>
            </w:r>
            <w:r>
              <w:rPr>
                <w:noProof/>
                <w:webHidden/>
              </w:rPr>
            </w:r>
            <w:r>
              <w:rPr>
                <w:noProof/>
                <w:webHidden/>
              </w:rPr>
              <w:fldChar w:fldCharType="separate"/>
            </w:r>
            <w:r>
              <w:rPr>
                <w:noProof/>
                <w:webHidden/>
              </w:rPr>
              <w:t>18</w:t>
            </w:r>
            <w:r>
              <w:rPr>
                <w:noProof/>
                <w:webHidden/>
              </w:rPr>
              <w:fldChar w:fldCharType="end"/>
            </w:r>
          </w:hyperlink>
        </w:p>
        <w:p w14:paraId="5CFE0267" w14:textId="10AF1B56" w:rsidR="00EC05E3" w:rsidRDefault="00EC05E3">
          <w:pPr>
            <w:pStyle w:val="TOC2"/>
            <w:tabs>
              <w:tab w:val="right" w:leader="dot" w:pos="9016"/>
            </w:tabs>
            <w:rPr>
              <w:rFonts w:asciiTheme="minorHAnsi" w:hAnsiTheme="minorHAnsi"/>
              <w:noProof/>
              <w:lang w:val="en-IN" w:eastAsia="en-IN"/>
            </w:rPr>
          </w:pPr>
          <w:hyperlink w:anchor="_Toc224920771" w:history="1">
            <w:r w:rsidRPr="00261024">
              <w:rPr>
                <w:rStyle w:val="Hyperlink"/>
                <w:noProof/>
              </w:rPr>
              <w:t>Introduction</w:t>
            </w:r>
            <w:r>
              <w:rPr>
                <w:noProof/>
                <w:webHidden/>
              </w:rPr>
              <w:tab/>
            </w:r>
            <w:r>
              <w:rPr>
                <w:noProof/>
                <w:webHidden/>
              </w:rPr>
              <w:fldChar w:fldCharType="begin"/>
            </w:r>
            <w:r>
              <w:rPr>
                <w:noProof/>
                <w:webHidden/>
              </w:rPr>
              <w:instrText xml:space="preserve"> PAGEREF _Toc224920771 \h </w:instrText>
            </w:r>
            <w:r>
              <w:rPr>
                <w:noProof/>
                <w:webHidden/>
              </w:rPr>
            </w:r>
            <w:r>
              <w:rPr>
                <w:noProof/>
                <w:webHidden/>
              </w:rPr>
              <w:fldChar w:fldCharType="separate"/>
            </w:r>
            <w:r>
              <w:rPr>
                <w:noProof/>
                <w:webHidden/>
              </w:rPr>
              <w:t>18</w:t>
            </w:r>
            <w:r>
              <w:rPr>
                <w:noProof/>
                <w:webHidden/>
              </w:rPr>
              <w:fldChar w:fldCharType="end"/>
            </w:r>
          </w:hyperlink>
        </w:p>
        <w:p w14:paraId="17AF0F8C" w14:textId="48A6CD09" w:rsidR="00EC05E3" w:rsidRDefault="00EC05E3">
          <w:pPr>
            <w:pStyle w:val="TOC3"/>
            <w:tabs>
              <w:tab w:val="right" w:leader="dot" w:pos="9016"/>
            </w:tabs>
            <w:rPr>
              <w:rFonts w:asciiTheme="minorHAnsi" w:hAnsiTheme="minorHAnsi"/>
              <w:noProof/>
              <w:lang w:val="en-IN" w:eastAsia="en-IN"/>
            </w:rPr>
          </w:pPr>
          <w:hyperlink w:anchor="_Toc224920772" w:history="1">
            <w:r w:rsidRPr="00261024">
              <w:rPr>
                <w:rStyle w:val="Hyperlink"/>
                <w:noProof/>
              </w:rPr>
              <w:t>1. Description: What happened?</w:t>
            </w:r>
            <w:r>
              <w:rPr>
                <w:noProof/>
                <w:webHidden/>
              </w:rPr>
              <w:tab/>
            </w:r>
            <w:r>
              <w:rPr>
                <w:noProof/>
                <w:webHidden/>
              </w:rPr>
              <w:fldChar w:fldCharType="begin"/>
            </w:r>
            <w:r>
              <w:rPr>
                <w:noProof/>
                <w:webHidden/>
              </w:rPr>
              <w:instrText xml:space="preserve"> PAGEREF _Toc224920772 \h </w:instrText>
            </w:r>
            <w:r>
              <w:rPr>
                <w:noProof/>
                <w:webHidden/>
              </w:rPr>
            </w:r>
            <w:r>
              <w:rPr>
                <w:noProof/>
                <w:webHidden/>
              </w:rPr>
              <w:fldChar w:fldCharType="separate"/>
            </w:r>
            <w:r>
              <w:rPr>
                <w:noProof/>
                <w:webHidden/>
              </w:rPr>
              <w:t>18</w:t>
            </w:r>
            <w:r>
              <w:rPr>
                <w:noProof/>
                <w:webHidden/>
              </w:rPr>
              <w:fldChar w:fldCharType="end"/>
            </w:r>
          </w:hyperlink>
        </w:p>
        <w:p w14:paraId="31F43771" w14:textId="303507A9" w:rsidR="00EC05E3" w:rsidRDefault="00EC05E3">
          <w:pPr>
            <w:pStyle w:val="TOC3"/>
            <w:tabs>
              <w:tab w:val="right" w:leader="dot" w:pos="9016"/>
            </w:tabs>
            <w:rPr>
              <w:rFonts w:asciiTheme="minorHAnsi" w:hAnsiTheme="minorHAnsi"/>
              <w:noProof/>
              <w:lang w:val="en-IN" w:eastAsia="en-IN"/>
            </w:rPr>
          </w:pPr>
          <w:hyperlink w:anchor="_Toc224920773" w:history="1">
            <w:r w:rsidRPr="00261024">
              <w:rPr>
                <w:rStyle w:val="Hyperlink"/>
                <w:noProof/>
              </w:rPr>
              <w:t>2. Feelings: What were my initial thoughts and feelings?</w:t>
            </w:r>
            <w:r>
              <w:rPr>
                <w:noProof/>
                <w:webHidden/>
              </w:rPr>
              <w:tab/>
            </w:r>
            <w:r>
              <w:rPr>
                <w:noProof/>
                <w:webHidden/>
              </w:rPr>
              <w:fldChar w:fldCharType="begin"/>
            </w:r>
            <w:r>
              <w:rPr>
                <w:noProof/>
                <w:webHidden/>
              </w:rPr>
              <w:instrText xml:space="preserve"> PAGEREF _Toc224920773 \h </w:instrText>
            </w:r>
            <w:r>
              <w:rPr>
                <w:noProof/>
                <w:webHidden/>
              </w:rPr>
            </w:r>
            <w:r>
              <w:rPr>
                <w:noProof/>
                <w:webHidden/>
              </w:rPr>
              <w:fldChar w:fldCharType="separate"/>
            </w:r>
            <w:r>
              <w:rPr>
                <w:noProof/>
                <w:webHidden/>
              </w:rPr>
              <w:t>18</w:t>
            </w:r>
            <w:r>
              <w:rPr>
                <w:noProof/>
                <w:webHidden/>
              </w:rPr>
              <w:fldChar w:fldCharType="end"/>
            </w:r>
          </w:hyperlink>
        </w:p>
        <w:p w14:paraId="00FFABC4" w14:textId="5ADD0E10" w:rsidR="00EC05E3" w:rsidRDefault="00EC05E3">
          <w:pPr>
            <w:pStyle w:val="TOC3"/>
            <w:tabs>
              <w:tab w:val="right" w:leader="dot" w:pos="9016"/>
            </w:tabs>
            <w:rPr>
              <w:rFonts w:asciiTheme="minorHAnsi" w:hAnsiTheme="minorHAnsi"/>
              <w:noProof/>
              <w:lang w:val="en-IN" w:eastAsia="en-IN"/>
            </w:rPr>
          </w:pPr>
          <w:hyperlink w:anchor="_Toc224920774" w:history="1">
            <w:r w:rsidRPr="00261024">
              <w:rPr>
                <w:rStyle w:val="Hyperlink"/>
                <w:noProof/>
              </w:rPr>
              <w:t>3. Evaluation: What was good and bad about the experience?</w:t>
            </w:r>
            <w:r>
              <w:rPr>
                <w:noProof/>
                <w:webHidden/>
              </w:rPr>
              <w:tab/>
            </w:r>
            <w:r>
              <w:rPr>
                <w:noProof/>
                <w:webHidden/>
              </w:rPr>
              <w:fldChar w:fldCharType="begin"/>
            </w:r>
            <w:r>
              <w:rPr>
                <w:noProof/>
                <w:webHidden/>
              </w:rPr>
              <w:instrText xml:space="preserve"> PAGEREF _Toc224920774 \h </w:instrText>
            </w:r>
            <w:r>
              <w:rPr>
                <w:noProof/>
                <w:webHidden/>
              </w:rPr>
            </w:r>
            <w:r>
              <w:rPr>
                <w:noProof/>
                <w:webHidden/>
              </w:rPr>
              <w:fldChar w:fldCharType="separate"/>
            </w:r>
            <w:r>
              <w:rPr>
                <w:noProof/>
                <w:webHidden/>
              </w:rPr>
              <w:t>18</w:t>
            </w:r>
            <w:r>
              <w:rPr>
                <w:noProof/>
                <w:webHidden/>
              </w:rPr>
              <w:fldChar w:fldCharType="end"/>
            </w:r>
          </w:hyperlink>
        </w:p>
        <w:p w14:paraId="6B6D3D24" w14:textId="32A19A4E" w:rsidR="00EC05E3" w:rsidRDefault="00EC05E3">
          <w:pPr>
            <w:pStyle w:val="TOC3"/>
            <w:tabs>
              <w:tab w:val="right" w:leader="dot" w:pos="9016"/>
            </w:tabs>
            <w:rPr>
              <w:rFonts w:asciiTheme="minorHAnsi" w:hAnsiTheme="minorHAnsi"/>
              <w:noProof/>
              <w:lang w:val="en-IN" w:eastAsia="en-IN"/>
            </w:rPr>
          </w:pPr>
          <w:hyperlink w:anchor="_Toc224920775" w:history="1">
            <w:r w:rsidRPr="00261024">
              <w:rPr>
                <w:rStyle w:val="Hyperlink"/>
                <w:noProof/>
              </w:rPr>
              <w:t>4. Analysis: Making sense of the situation</w:t>
            </w:r>
            <w:r>
              <w:rPr>
                <w:noProof/>
                <w:webHidden/>
              </w:rPr>
              <w:tab/>
            </w:r>
            <w:r>
              <w:rPr>
                <w:noProof/>
                <w:webHidden/>
              </w:rPr>
              <w:fldChar w:fldCharType="begin"/>
            </w:r>
            <w:r>
              <w:rPr>
                <w:noProof/>
                <w:webHidden/>
              </w:rPr>
              <w:instrText xml:space="preserve"> PAGEREF _Toc224920775 \h </w:instrText>
            </w:r>
            <w:r>
              <w:rPr>
                <w:noProof/>
                <w:webHidden/>
              </w:rPr>
            </w:r>
            <w:r>
              <w:rPr>
                <w:noProof/>
                <w:webHidden/>
              </w:rPr>
              <w:fldChar w:fldCharType="separate"/>
            </w:r>
            <w:r>
              <w:rPr>
                <w:noProof/>
                <w:webHidden/>
              </w:rPr>
              <w:t>19</w:t>
            </w:r>
            <w:r>
              <w:rPr>
                <w:noProof/>
                <w:webHidden/>
              </w:rPr>
              <w:fldChar w:fldCharType="end"/>
            </w:r>
          </w:hyperlink>
        </w:p>
        <w:p w14:paraId="58CF7E19" w14:textId="08845045" w:rsidR="00EC05E3" w:rsidRDefault="00EC05E3">
          <w:pPr>
            <w:pStyle w:val="TOC3"/>
            <w:tabs>
              <w:tab w:val="right" w:leader="dot" w:pos="9016"/>
            </w:tabs>
            <w:rPr>
              <w:rFonts w:asciiTheme="minorHAnsi" w:hAnsiTheme="minorHAnsi"/>
              <w:noProof/>
              <w:lang w:val="en-IN" w:eastAsia="en-IN"/>
            </w:rPr>
          </w:pPr>
          <w:hyperlink w:anchor="_Toc224920776" w:history="1">
            <w:r w:rsidRPr="00261024">
              <w:rPr>
                <w:rStyle w:val="Hyperlink"/>
                <w:noProof/>
              </w:rPr>
              <w:t>5. Conclusion: What else could I have done?</w:t>
            </w:r>
            <w:r>
              <w:rPr>
                <w:noProof/>
                <w:webHidden/>
              </w:rPr>
              <w:tab/>
            </w:r>
            <w:r>
              <w:rPr>
                <w:noProof/>
                <w:webHidden/>
              </w:rPr>
              <w:fldChar w:fldCharType="begin"/>
            </w:r>
            <w:r>
              <w:rPr>
                <w:noProof/>
                <w:webHidden/>
              </w:rPr>
              <w:instrText xml:space="preserve"> PAGEREF _Toc224920776 \h </w:instrText>
            </w:r>
            <w:r>
              <w:rPr>
                <w:noProof/>
                <w:webHidden/>
              </w:rPr>
            </w:r>
            <w:r>
              <w:rPr>
                <w:noProof/>
                <w:webHidden/>
              </w:rPr>
              <w:fldChar w:fldCharType="separate"/>
            </w:r>
            <w:r>
              <w:rPr>
                <w:noProof/>
                <w:webHidden/>
              </w:rPr>
              <w:t>19</w:t>
            </w:r>
            <w:r>
              <w:rPr>
                <w:noProof/>
                <w:webHidden/>
              </w:rPr>
              <w:fldChar w:fldCharType="end"/>
            </w:r>
          </w:hyperlink>
        </w:p>
        <w:p w14:paraId="2B255961" w14:textId="6F2DFE4D" w:rsidR="00EC05E3" w:rsidRDefault="00EC05E3">
          <w:pPr>
            <w:pStyle w:val="TOC3"/>
            <w:tabs>
              <w:tab w:val="right" w:leader="dot" w:pos="9016"/>
            </w:tabs>
            <w:rPr>
              <w:rFonts w:asciiTheme="minorHAnsi" w:hAnsiTheme="minorHAnsi"/>
              <w:noProof/>
              <w:lang w:val="en-IN" w:eastAsia="en-IN"/>
            </w:rPr>
          </w:pPr>
          <w:hyperlink w:anchor="_Toc224920777" w:history="1">
            <w:r w:rsidRPr="00261024">
              <w:rPr>
                <w:rStyle w:val="Hyperlink"/>
                <w:noProof/>
              </w:rPr>
              <w:t>6. Action Plan: If it arose again, what would I do?</w:t>
            </w:r>
            <w:r>
              <w:rPr>
                <w:noProof/>
                <w:webHidden/>
              </w:rPr>
              <w:tab/>
            </w:r>
            <w:r>
              <w:rPr>
                <w:noProof/>
                <w:webHidden/>
              </w:rPr>
              <w:fldChar w:fldCharType="begin"/>
            </w:r>
            <w:r>
              <w:rPr>
                <w:noProof/>
                <w:webHidden/>
              </w:rPr>
              <w:instrText xml:space="preserve"> PAGEREF _Toc224920777 \h </w:instrText>
            </w:r>
            <w:r>
              <w:rPr>
                <w:noProof/>
                <w:webHidden/>
              </w:rPr>
            </w:r>
            <w:r>
              <w:rPr>
                <w:noProof/>
                <w:webHidden/>
              </w:rPr>
              <w:fldChar w:fldCharType="separate"/>
            </w:r>
            <w:r>
              <w:rPr>
                <w:noProof/>
                <w:webHidden/>
              </w:rPr>
              <w:t>20</w:t>
            </w:r>
            <w:r>
              <w:rPr>
                <w:noProof/>
                <w:webHidden/>
              </w:rPr>
              <w:fldChar w:fldCharType="end"/>
            </w:r>
          </w:hyperlink>
        </w:p>
        <w:p w14:paraId="52E29EFA" w14:textId="564200F1" w:rsidR="00EC05E3" w:rsidRDefault="00EC05E3">
          <w:pPr>
            <w:pStyle w:val="TOC1"/>
            <w:tabs>
              <w:tab w:val="right" w:leader="dot" w:pos="9016"/>
            </w:tabs>
            <w:rPr>
              <w:rFonts w:asciiTheme="minorHAnsi" w:hAnsiTheme="minorHAnsi"/>
              <w:noProof/>
              <w:lang w:val="en-IN" w:eastAsia="en-IN"/>
            </w:rPr>
          </w:pPr>
          <w:hyperlink w:anchor="_Toc224920778" w:history="1">
            <w:r w:rsidRPr="00261024">
              <w:rPr>
                <w:rStyle w:val="Hyperlink"/>
                <w:noProof/>
                <w:lang w:val="en-IN"/>
              </w:rPr>
              <w:t>References</w:t>
            </w:r>
            <w:r>
              <w:rPr>
                <w:noProof/>
                <w:webHidden/>
              </w:rPr>
              <w:tab/>
            </w:r>
            <w:r>
              <w:rPr>
                <w:noProof/>
                <w:webHidden/>
              </w:rPr>
              <w:fldChar w:fldCharType="begin"/>
            </w:r>
            <w:r>
              <w:rPr>
                <w:noProof/>
                <w:webHidden/>
              </w:rPr>
              <w:instrText xml:space="preserve"> PAGEREF _Toc224920778 \h </w:instrText>
            </w:r>
            <w:r>
              <w:rPr>
                <w:noProof/>
                <w:webHidden/>
              </w:rPr>
            </w:r>
            <w:r>
              <w:rPr>
                <w:noProof/>
                <w:webHidden/>
              </w:rPr>
              <w:fldChar w:fldCharType="separate"/>
            </w:r>
            <w:r>
              <w:rPr>
                <w:noProof/>
                <w:webHidden/>
              </w:rPr>
              <w:t>21</w:t>
            </w:r>
            <w:r>
              <w:rPr>
                <w:noProof/>
                <w:webHidden/>
              </w:rPr>
              <w:fldChar w:fldCharType="end"/>
            </w:r>
          </w:hyperlink>
        </w:p>
        <w:p w14:paraId="4F676F72" w14:textId="5AF9B443" w:rsidR="00C167EE" w:rsidRDefault="00C167EE">
          <w:r>
            <w:rPr>
              <w:b/>
              <w:bCs/>
              <w:noProof/>
            </w:rPr>
            <w:fldChar w:fldCharType="end"/>
          </w:r>
        </w:p>
      </w:sdtContent>
    </w:sdt>
    <w:p w14:paraId="7FB7F4AF" w14:textId="42C56F9B" w:rsidR="00662410" w:rsidRPr="00662410" w:rsidRDefault="00662410" w:rsidP="00662410"/>
    <w:p w14:paraId="29D6172C" w14:textId="7DD63CD8" w:rsidR="009274D5" w:rsidRDefault="009274D5" w:rsidP="009274D5">
      <w:pPr>
        <w:tabs>
          <w:tab w:val="left" w:pos="2070"/>
          <w:tab w:val="left" w:pos="3105"/>
        </w:tabs>
      </w:pPr>
      <w:r>
        <w:rPr>
          <w:rFonts w:hint="eastAsia"/>
        </w:rPr>
        <w:tab/>
      </w:r>
    </w:p>
    <w:p w14:paraId="44F84C60" w14:textId="77777777" w:rsidR="00AD1FB6" w:rsidRDefault="00AD1FB6" w:rsidP="009274D5">
      <w:pPr>
        <w:tabs>
          <w:tab w:val="left" w:pos="2070"/>
          <w:tab w:val="left" w:pos="3105"/>
        </w:tabs>
      </w:pPr>
    </w:p>
    <w:p w14:paraId="2797D217" w14:textId="77777777" w:rsidR="00AD1FB6" w:rsidRDefault="00AD1FB6" w:rsidP="009274D5">
      <w:pPr>
        <w:tabs>
          <w:tab w:val="left" w:pos="2070"/>
          <w:tab w:val="left" w:pos="3105"/>
        </w:tabs>
      </w:pPr>
    </w:p>
    <w:p w14:paraId="30DFC361" w14:textId="77777777" w:rsidR="00AD1FB6" w:rsidRDefault="00AD1FB6" w:rsidP="009274D5">
      <w:pPr>
        <w:tabs>
          <w:tab w:val="left" w:pos="2070"/>
          <w:tab w:val="left" w:pos="3105"/>
        </w:tabs>
      </w:pPr>
    </w:p>
    <w:p w14:paraId="114286A2" w14:textId="77777777" w:rsidR="00AD1FB6" w:rsidRDefault="00AD1FB6" w:rsidP="009274D5">
      <w:pPr>
        <w:tabs>
          <w:tab w:val="left" w:pos="2070"/>
          <w:tab w:val="left" w:pos="3105"/>
        </w:tabs>
      </w:pPr>
    </w:p>
    <w:p w14:paraId="49E1F5BA" w14:textId="77777777" w:rsidR="00AD1FB6" w:rsidRDefault="00AD1FB6" w:rsidP="009274D5">
      <w:pPr>
        <w:tabs>
          <w:tab w:val="left" w:pos="2070"/>
          <w:tab w:val="left" w:pos="3105"/>
        </w:tabs>
      </w:pPr>
    </w:p>
    <w:p w14:paraId="58159133" w14:textId="2A0E782D" w:rsidR="00AD1FB6" w:rsidRPr="0094034A" w:rsidRDefault="00656A89" w:rsidP="00EC05E3">
      <w:pPr>
        <w:pStyle w:val="Heading1"/>
        <w:rPr>
          <w:b w:val="0"/>
          <w:bCs/>
          <w:u w:val="single"/>
        </w:rPr>
      </w:pPr>
      <w:bookmarkStart w:id="0" w:name="_Toc224920758"/>
      <w:r w:rsidRPr="0094034A">
        <w:rPr>
          <w:bCs/>
          <w:u w:val="single"/>
        </w:rPr>
        <w:lastRenderedPageBreak/>
        <w:t>Section 1</w:t>
      </w:r>
      <w:r w:rsidR="00EC05E3">
        <w:rPr>
          <w:bCs/>
          <w:u w:val="single"/>
        </w:rPr>
        <w:t>: Report</w:t>
      </w:r>
      <w:bookmarkEnd w:id="0"/>
    </w:p>
    <w:p w14:paraId="442B5ABF" w14:textId="77777777" w:rsidR="00F13285" w:rsidRPr="00F13285" w:rsidRDefault="00F13285" w:rsidP="00F13285"/>
    <w:p w14:paraId="5CBBD608" w14:textId="6363A689" w:rsidR="00AD1FB6" w:rsidRPr="00F13285" w:rsidRDefault="007F3129" w:rsidP="00B55CF6">
      <w:pPr>
        <w:pStyle w:val="Heading2"/>
        <w:rPr>
          <w:b w:val="0"/>
        </w:rPr>
      </w:pPr>
      <w:bookmarkStart w:id="1" w:name="_Toc224920759"/>
      <w:r>
        <w:rPr>
          <w:bCs/>
        </w:rPr>
        <w:t>1.</w:t>
      </w:r>
      <w:r w:rsidR="00F77637">
        <w:rPr>
          <w:bCs/>
        </w:rPr>
        <w:t xml:space="preserve"> </w:t>
      </w:r>
      <w:r w:rsidR="00F13285" w:rsidRPr="00F13285">
        <w:rPr>
          <w:bCs/>
        </w:rPr>
        <w:t>Introduction</w:t>
      </w:r>
      <w:bookmarkEnd w:id="1"/>
    </w:p>
    <w:p w14:paraId="3D121A45" w14:textId="77777777" w:rsidR="00C6343A" w:rsidRPr="00C6343A" w:rsidRDefault="00C6343A" w:rsidP="00C6343A">
      <w:pPr>
        <w:rPr>
          <w:rFonts w:cs="Arial"/>
          <w:lang w:val="en-IN"/>
        </w:rPr>
      </w:pPr>
      <w:r w:rsidRPr="00C6343A">
        <w:rPr>
          <w:rFonts w:cs="Arial"/>
          <w:lang w:val="en-IN"/>
        </w:rPr>
        <w:t>There is no other market than the Indian VOD and streaming space for a company to test its digital strategy today. In just a couple of years cheap mobile internet and a massive increase in smartphone penetration dramatically changed the way people consume media. Today there is a huge and rapidly growing marketplace with many large and powerful international brands competing with each other against very large domestic companies. This report looks at the landscape of the Indian VOD and streaming marketplace in three parts. The first part will look at the different strategies being employed by local players and global players. The second part will apply Porter’s Diamond model of national advantage to explain how the structure and economy of India has driven the rapid growth of the Indian VOD marketplace. The final part will focus solely on Netflix and use both the PESTEL model and the CAGE distance model to identify the ways in which the political, economic, social cultural and legal environment affects how a foreign multi-national corporation can operate and localise in this marketplace.</w:t>
      </w:r>
    </w:p>
    <w:p w14:paraId="21AD2A79" w14:textId="77777777" w:rsidR="00711AAB" w:rsidRDefault="00711AAB" w:rsidP="00711AAB">
      <w:pPr>
        <w:rPr>
          <w:rFonts w:cs="Arial"/>
        </w:rPr>
      </w:pPr>
    </w:p>
    <w:p w14:paraId="4D372798" w14:textId="637B87A7" w:rsidR="00C47509" w:rsidRPr="00C47509" w:rsidRDefault="00F0063A" w:rsidP="00C47509">
      <w:pPr>
        <w:pStyle w:val="Heading2"/>
      </w:pPr>
      <w:bookmarkStart w:id="2" w:name="_Toc224920760"/>
      <w:r>
        <w:t>2.</w:t>
      </w:r>
      <w:r w:rsidR="00D85AA1">
        <w:t xml:space="preserve"> </w:t>
      </w:r>
      <w:r w:rsidR="002D09B8" w:rsidRPr="002D09B8">
        <w:t>Industry and Country Overview</w:t>
      </w:r>
      <w:bookmarkEnd w:id="2"/>
    </w:p>
    <w:p w14:paraId="231458AB" w14:textId="241B31B2" w:rsidR="00102D67" w:rsidRPr="00102D67" w:rsidRDefault="0072197E" w:rsidP="0087410E">
      <w:pPr>
        <w:pStyle w:val="Heading3"/>
      </w:pPr>
      <w:bookmarkStart w:id="3" w:name="_Toc224920761"/>
      <w:r>
        <w:t>2</w:t>
      </w:r>
      <w:r w:rsidR="00D85AA1">
        <w:t xml:space="preserve">.1 </w:t>
      </w:r>
      <w:r w:rsidR="00102D67" w:rsidRPr="00102D67">
        <w:t>Introduction to the VOD Industry in India</w:t>
      </w:r>
      <w:bookmarkEnd w:id="3"/>
    </w:p>
    <w:p w14:paraId="57D65290" w14:textId="51064BE8" w:rsidR="006811D6" w:rsidRPr="006811D6" w:rsidRDefault="006811D6" w:rsidP="006811D6">
      <w:pPr>
        <w:rPr>
          <w:rFonts w:cs="Arial"/>
          <w:lang w:val="en-IN"/>
        </w:rPr>
      </w:pPr>
      <w:r w:rsidRPr="006811D6">
        <w:rPr>
          <w:rFonts w:cs="Arial"/>
          <w:lang w:val="en-IN"/>
        </w:rPr>
        <w:t>The Indian OTT and VOD market is an example of how rapidly a media environment can evolve. For virtually all of its existence, India relied heavily on linear television. This shifted in 2016. Reliance Jio entered the mobile broadband market and its impact ("the Jio Effect") drove down data prices so quickly that mass Internet access went from something people could only aspire to, to something that ordinary people could do in less than three years</w:t>
      </w:r>
      <w:r w:rsidR="0031046B">
        <w:rPr>
          <w:rFonts w:cs="Arial"/>
          <w:lang w:val="en-IN"/>
        </w:rPr>
        <w:t xml:space="preserve"> (</w:t>
      </w:r>
      <w:r w:rsidR="00DD6A21">
        <w:rPr>
          <w:rFonts w:cs="Arial"/>
          <w:lang w:val="en-IN"/>
        </w:rPr>
        <w:t>KPMG, 2023</w:t>
      </w:r>
      <w:r w:rsidR="0031046B">
        <w:rPr>
          <w:rFonts w:cs="Arial"/>
          <w:lang w:val="en-IN"/>
        </w:rPr>
        <w:t>)</w:t>
      </w:r>
      <w:r w:rsidRPr="006811D6">
        <w:rPr>
          <w:rFonts w:cs="Arial"/>
          <w:lang w:val="en-IN"/>
        </w:rPr>
        <w:t>. With mass Internet access came streaming. In a matter of months, India became a mobile-first viewing economy</w:t>
      </w:r>
      <w:r w:rsidR="00F50B6D">
        <w:rPr>
          <w:rFonts w:cs="Arial"/>
          <w:lang w:val="en-IN"/>
        </w:rPr>
        <w:t xml:space="preserve"> a</w:t>
      </w:r>
      <w:r w:rsidRPr="006811D6">
        <w:rPr>
          <w:rFonts w:cs="Arial"/>
          <w:lang w:val="en-IN"/>
        </w:rPr>
        <w:t xml:space="preserve">lmost overnight. </w:t>
      </w:r>
    </w:p>
    <w:p w14:paraId="1B760B75" w14:textId="223978FA" w:rsidR="00102D67" w:rsidRPr="00102D67" w:rsidRDefault="00D85AA1" w:rsidP="0087410E">
      <w:pPr>
        <w:pStyle w:val="Heading3"/>
      </w:pPr>
      <w:bookmarkStart w:id="4" w:name="_Toc224920762"/>
      <w:r>
        <w:t xml:space="preserve">2.2 </w:t>
      </w:r>
      <w:r w:rsidR="00102D67" w:rsidRPr="00102D67">
        <w:t>Size, Scope, and Economic Importance</w:t>
      </w:r>
      <w:bookmarkEnd w:id="4"/>
    </w:p>
    <w:p w14:paraId="5A24F6D5" w14:textId="27D8B462" w:rsidR="00883F78" w:rsidRDefault="00D82A7D" w:rsidP="00D82A7D">
      <w:pPr>
        <w:rPr>
          <w:rFonts w:cs="Arial"/>
          <w:lang w:val="en-IN"/>
        </w:rPr>
      </w:pPr>
      <w:r w:rsidRPr="00D82A7D">
        <w:rPr>
          <w:rFonts w:cs="Arial"/>
          <w:lang w:val="en-IN"/>
        </w:rPr>
        <w:t>The size of India’s digital entertainment economy is large. Most estimates place the population of India at greater than 1.4 billion. The middle class is growing. The value of India's OTT market is approximately $5.4 billion as of 2025. Growth projections are estimated to be in excess of a CAGR of 18-19 percent for the next ten years</w:t>
      </w:r>
      <w:r w:rsidR="003866E9">
        <w:rPr>
          <w:rFonts w:cs="Arial"/>
          <w:lang w:val="en-IN"/>
        </w:rPr>
        <w:t xml:space="preserve"> (</w:t>
      </w:r>
      <w:r w:rsidR="00F74345">
        <w:rPr>
          <w:rFonts w:cs="Arial"/>
          <w:lang w:val="en-IN"/>
        </w:rPr>
        <w:t>M</w:t>
      </w:r>
      <w:r w:rsidR="001F333F">
        <w:rPr>
          <w:rFonts w:cs="Arial"/>
          <w:lang w:val="en-IN"/>
        </w:rPr>
        <w:t>edia Partners Asia,</w:t>
      </w:r>
      <w:r w:rsidR="00D80DD1">
        <w:rPr>
          <w:rFonts w:cs="Arial"/>
          <w:lang w:val="en-IN"/>
        </w:rPr>
        <w:t xml:space="preserve"> </w:t>
      </w:r>
      <w:r w:rsidR="001F333F">
        <w:rPr>
          <w:rFonts w:cs="Arial"/>
          <w:lang w:val="en-IN"/>
        </w:rPr>
        <w:t>2024</w:t>
      </w:r>
      <w:r w:rsidR="00D80DD1">
        <w:rPr>
          <w:rFonts w:cs="Arial"/>
          <w:lang w:val="en-IN"/>
        </w:rPr>
        <w:t>; PwC, 2024</w:t>
      </w:r>
      <w:r w:rsidR="003866E9">
        <w:rPr>
          <w:rFonts w:cs="Arial"/>
          <w:lang w:val="en-IN"/>
        </w:rPr>
        <w:t>)</w:t>
      </w:r>
      <w:r w:rsidRPr="00D82A7D">
        <w:rPr>
          <w:rFonts w:cs="Arial"/>
          <w:lang w:val="en-IN"/>
        </w:rPr>
        <w:t xml:space="preserve">. These numbers help explain why competition in this space is so fierce. </w:t>
      </w:r>
    </w:p>
    <w:p w14:paraId="3C8B3DED" w14:textId="77777777" w:rsidR="00D6481F" w:rsidRDefault="00E64EF3" w:rsidP="00D6481F">
      <w:pPr>
        <w:keepNext/>
      </w:pPr>
      <w:r>
        <w:rPr>
          <w:rFonts w:cs="Arial"/>
          <w:noProof/>
          <w:lang w:val="en-IN"/>
        </w:rPr>
        <w:lastRenderedPageBreak/>
        <w:drawing>
          <wp:inline distT="0" distB="0" distL="0" distR="0" wp14:anchorId="41AB4764" wp14:editId="22AAF326">
            <wp:extent cx="5486400" cy="3200400"/>
            <wp:effectExtent l="0" t="0" r="0" b="0"/>
            <wp:docPr id="170617356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FC6B43E" w14:textId="16D8FCBF" w:rsidR="00163BF4" w:rsidRDefault="00D6481F" w:rsidP="00D6481F">
      <w:pPr>
        <w:pStyle w:val="Caption"/>
        <w:rPr>
          <w:rFonts w:cs="Arial"/>
          <w:lang w:val="en-IN"/>
        </w:rPr>
      </w:pPr>
      <w:r>
        <w:t xml:space="preserve">Figure </w:t>
      </w:r>
      <w:fldSimple w:instr=" SEQ Figure \* ARABIC ">
        <w:r w:rsidR="00A55C20">
          <w:rPr>
            <w:noProof/>
          </w:rPr>
          <w:t>1</w:t>
        </w:r>
      </w:fldSimple>
      <w:r w:rsidR="009039E6">
        <w:t>:</w:t>
      </w:r>
      <w:r>
        <w:t xml:space="preserve"> </w:t>
      </w:r>
      <w:r w:rsidRPr="00D145B4">
        <w:t>Projected Revenue Growth of the Indian OTT Market reflecting an ~18% CAGR (Source: Media Partners Asia, 2024; PwC, 2024).</w:t>
      </w:r>
    </w:p>
    <w:p w14:paraId="51D31300" w14:textId="6A10C8EE" w:rsidR="00D82A7D" w:rsidRPr="00D82A7D" w:rsidRDefault="00D82A7D" w:rsidP="00D82A7D">
      <w:pPr>
        <w:rPr>
          <w:rFonts w:cs="Arial"/>
          <w:lang w:val="en-IN"/>
        </w:rPr>
      </w:pPr>
      <w:r w:rsidRPr="00D82A7D">
        <w:rPr>
          <w:rFonts w:cs="Arial"/>
          <w:lang w:val="en-IN"/>
        </w:rPr>
        <w:br/>
      </w:r>
      <w:r w:rsidR="00682027" w:rsidRPr="00682027">
        <w:rPr>
          <w:rFonts w:cs="Arial"/>
          <w:lang w:val="en-IN"/>
        </w:rPr>
        <w:t>However, VOD subscription revenue is but one aspect of this larger picture. The VOD sector is also driving India's digital advertising market. It is attracting foreign direct investment on a scale that few other Indian sectors have seen. The content arms race has</w:t>
      </w:r>
      <w:r w:rsidR="00953218">
        <w:rPr>
          <w:rFonts w:cs="Arial"/>
          <w:lang w:val="en-IN"/>
        </w:rPr>
        <w:t xml:space="preserve"> </w:t>
      </w:r>
      <w:r w:rsidR="00820AED">
        <w:rPr>
          <w:rFonts w:cs="Arial"/>
          <w:lang w:val="en-IN"/>
        </w:rPr>
        <w:t xml:space="preserve">given rise to </w:t>
      </w:r>
      <w:r w:rsidR="00EF4089">
        <w:rPr>
          <w:rFonts w:cs="Arial"/>
          <w:lang w:val="en-IN"/>
        </w:rPr>
        <w:t xml:space="preserve">employment in industries </w:t>
      </w:r>
      <w:r w:rsidR="002476F9">
        <w:rPr>
          <w:rFonts w:cs="Arial"/>
          <w:lang w:val="en-IN"/>
        </w:rPr>
        <w:t>related to streaming content</w:t>
      </w:r>
      <w:r w:rsidR="00B45191">
        <w:rPr>
          <w:rFonts w:cs="Arial"/>
          <w:lang w:val="en-IN"/>
        </w:rPr>
        <w:t>,</w:t>
      </w:r>
      <w:r w:rsidR="002476F9">
        <w:rPr>
          <w:rFonts w:cs="Arial"/>
          <w:lang w:val="en-IN"/>
        </w:rPr>
        <w:t xml:space="preserve"> which has </w:t>
      </w:r>
      <w:r w:rsidR="008D77C4">
        <w:rPr>
          <w:rFonts w:cs="Arial"/>
          <w:lang w:val="en-IN"/>
        </w:rPr>
        <w:t xml:space="preserve">boosted </w:t>
      </w:r>
      <w:r w:rsidR="00B45191">
        <w:rPr>
          <w:rFonts w:cs="Arial"/>
          <w:lang w:val="en-IN"/>
        </w:rPr>
        <w:t xml:space="preserve">the </w:t>
      </w:r>
      <w:r w:rsidR="008D77C4">
        <w:rPr>
          <w:rFonts w:cs="Arial"/>
          <w:lang w:val="en-IN"/>
        </w:rPr>
        <w:t>digi</w:t>
      </w:r>
      <w:r w:rsidR="00B45191">
        <w:rPr>
          <w:rFonts w:cs="Arial"/>
          <w:lang w:val="en-IN"/>
        </w:rPr>
        <w:t>tal economy.</w:t>
      </w:r>
    </w:p>
    <w:p w14:paraId="5F1645D3" w14:textId="1E4B8251" w:rsidR="00102D67" w:rsidRPr="00102D67" w:rsidRDefault="00102D67" w:rsidP="00102D67">
      <w:pPr>
        <w:rPr>
          <w:rFonts w:cs="Arial"/>
        </w:rPr>
      </w:pPr>
    </w:p>
    <w:p w14:paraId="74819E18" w14:textId="7776B6AC" w:rsidR="00102D67" w:rsidRPr="00102D67" w:rsidRDefault="000066AD" w:rsidP="0087410E">
      <w:pPr>
        <w:pStyle w:val="Heading3"/>
      </w:pPr>
      <w:bookmarkStart w:id="5" w:name="_Toc224920763"/>
      <w:r>
        <w:t xml:space="preserve">2.3 </w:t>
      </w:r>
      <w:r w:rsidR="00102D67" w:rsidRPr="00102D67">
        <w:t>Major Firms and Relative Positioning</w:t>
      </w:r>
      <w:bookmarkEnd w:id="5"/>
    </w:p>
    <w:p w14:paraId="3766F4C9" w14:textId="77777777" w:rsidR="00883F78" w:rsidRDefault="00883F78" w:rsidP="00883F78">
      <w:pPr>
        <w:rPr>
          <w:rFonts w:cs="Arial"/>
          <w:lang w:val="en-IN"/>
        </w:rPr>
      </w:pPr>
      <w:r w:rsidRPr="00883F78">
        <w:rPr>
          <w:rFonts w:cs="Arial"/>
          <w:lang w:val="en-IN"/>
        </w:rPr>
        <w:t>One of the reasons India's VOD market is fascinating is that the domestic companies and the Global Multinational Corporations (MNCs) are not only competing against each other for the same consumers, but in many cases, they are competing based on completely different assumptions about what their consumers want. This difference in assumptions has led to many of the major strategic decisions in this space.</w:t>
      </w:r>
    </w:p>
    <w:p w14:paraId="5CF2F93C" w14:textId="77777777" w:rsidR="001425B4" w:rsidRDefault="005C1FB7" w:rsidP="001425B4">
      <w:pPr>
        <w:keepNext/>
      </w:pPr>
      <w:r>
        <w:rPr>
          <w:rFonts w:cs="Arial"/>
          <w:noProof/>
          <w:lang w:val="en-IN"/>
        </w:rPr>
        <w:lastRenderedPageBreak/>
        <w:drawing>
          <wp:inline distT="0" distB="0" distL="0" distR="0" wp14:anchorId="186F1543" wp14:editId="7A204574">
            <wp:extent cx="5486400" cy="3200400"/>
            <wp:effectExtent l="0" t="0" r="0" b="0"/>
            <wp:docPr id="157488786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7DA639B" w14:textId="0920D16C" w:rsidR="00096AC3" w:rsidRPr="00883F78" w:rsidRDefault="001425B4" w:rsidP="001425B4">
      <w:pPr>
        <w:pStyle w:val="Caption"/>
        <w:rPr>
          <w:rFonts w:cs="Arial"/>
          <w:lang w:val="en-IN"/>
        </w:rPr>
      </w:pPr>
      <w:r>
        <w:t xml:space="preserve">Figure </w:t>
      </w:r>
      <w:fldSimple w:instr=" SEQ Figure \* ARABIC ">
        <w:r w:rsidR="00A55C20">
          <w:rPr>
            <w:noProof/>
          </w:rPr>
          <w:t>2</w:t>
        </w:r>
      </w:fldSimple>
      <w:r>
        <w:t xml:space="preserve">: </w:t>
      </w:r>
      <w:r w:rsidRPr="0045343A">
        <w:t>Estimated SVOD Subscriber Market Share in India post-consolidation (Source: Ormax Media, 2024).</w:t>
      </w:r>
    </w:p>
    <w:p w14:paraId="72B146CF" w14:textId="77777777" w:rsidR="00102D67" w:rsidRPr="000066AD" w:rsidRDefault="00102D67" w:rsidP="000066AD">
      <w:pPr>
        <w:rPr>
          <w:b/>
          <w:bCs/>
        </w:rPr>
      </w:pPr>
      <w:r w:rsidRPr="000066AD">
        <w:rPr>
          <w:b/>
          <w:bCs/>
        </w:rPr>
        <w:t>Domestic Market Leaders</w:t>
      </w:r>
    </w:p>
    <w:p w14:paraId="15F662B2" w14:textId="5F109466" w:rsidR="00102D67" w:rsidRPr="00D27C81" w:rsidRDefault="00102D67" w:rsidP="00102D67">
      <w:pPr>
        <w:rPr>
          <w:rFonts w:cs="Arial"/>
          <w:lang w:val="en-IN"/>
        </w:rPr>
      </w:pPr>
      <w:r w:rsidRPr="00102D67">
        <w:rPr>
          <w:rFonts w:cs="Arial"/>
          <w:b/>
          <w:bCs/>
        </w:rPr>
        <w:t>JioCinema (Reliance / Viacom18):</w:t>
      </w:r>
      <w:r w:rsidRPr="00102D67">
        <w:rPr>
          <w:rFonts w:cs="Arial"/>
        </w:rPr>
        <w:t xml:space="preserve"> </w:t>
      </w:r>
      <w:r w:rsidR="00D27C81" w:rsidRPr="00D27C81">
        <w:rPr>
          <w:rFonts w:cs="Arial"/>
          <w:lang w:val="en-IN"/>
        </w:rPr>
        <w:t xml:space="preserve">JioCinema's approach to the market was relatively simple in theory, although the execution required a great deal of conviction. By obtaining the rights to stream IPL cricket and offering them to consumers for free, it was able to attract hundreds of millions of viewers in a manner that would have been impossible through a subscription-based model. </w:t>
      </w:r>
    </w:p>
    <w:p w14:paraId="283504EE" w14:textId="5B1D0541" w:rsidR="00102D67" w:rsidRPr="00D71CF2" w:rsidRDefault="00102D67" w:rsidP="00102D67">
      <w:pPr>
        <w:rPr>
          <w:rFonts w:cs="Arial"/>
          <w:lang w:val="en-IN"/>
        </w:rPr>
      </w:pPr>
      <w:r w:rsidRPr="00102D67">
        <w:rPr>
          <w:rFonts w:cs="Arial"/>
          <w:b/>
          <w:bCs/>
        </w:rPr>
        <w:t>Zee5:</w:t>
      </w:r>
      <w:r w:rsidRPr="00102D67">
        <w:rPr>
          <w:rFonts w:cs="Arial"/>
        </w:rPr>
        <w:t xml:space="preserve"> </w:t>
      </w:r>
      <w:r w:rsidR="00D71CF2" w:rsidRPr="00D71CF2">
        <w:rPr>
          <w:rFonts w:cs="Arial"/>
          <w:lang w:val="en-IN"/>
        </w:rPr>
        <w:t xml:space="preserve">Zee5 operates in a completely different area of the market. It focuses on creating content in the form of regional language content, including extensive libraries in Tamil, Telugu, Bengali, and Marathi. Zee5 targets Tier-2 and Tier-3 cities instead of the metro areas that most platforms target. </w:t>
      </w:r>
    </w:p>
    <w:p w14:paraId="150AF621" w14:textId="34747B1B" w:rsidR="00102D67" w:rsidRPr="00FB0257" w:rsidRDefault="00102D67" w:rsidP="00102D67">
      <w:pPr>
        <w:rPr>
          <w:rFonts w:cs="Arial"/>
          <w:lang w:val="en-IN"/>
        </w:rPr>
      </w:pPr>
      <w:r w:rsidRPr="00102D67">
        <w:rPr>
          <w:rFonts w:cs="Arial"/>
          <w:b/>
          <w:bCs/>
        </w:rPr>
        <w:t>SonyLIV:</w:t>
      </w:r>
      <w:r w:rsidRPr="00102D67">
        <w:rPr>
          <w:rFonts w:cs="Arial"/>
        </w:rPr>
        <w:t xml:space="preserve"> </w:t>
      </w:r>
      <w:r w:rsidR="00FB0257" w:rsidRPr="00FB0257">
        <w:rPr>
          <w:rFonts w:cs="Arial"/>
          <w:lang w:val="en-IN"/>
        </w:rPr>
        <w:t xml:space="preserve">SonyLIV is somewhat harder to categorize as a primary platform. It has a focus on premium sports (UEFA and WWE, in particular), as well as high-quality Hindi original series. </w:t>
      </w:r>
    </w:p>
    <w:p w14:paraId="60911765" w14:textId="77777777" w:rsidR="00102D67" w:rsidRPr="000066AD" w:rsidRDefault="00102D67" w:rsidP="000066AD">
      <w:pPr>
        <w:rPr>
          <w:b/>
          <w:bCs/>
        </w:rPr>
      </w:pPr>
      <w:r w:rsidRPr="000066AD">
        <w:rPr>
          <w:b/>
          <w:bCs/>
        </w:rPr>
        <w:t>Foreign Multinational Corporations (MNCs)</w:t>
      </w:r>
    </w:p>
    <w:p w14:paraId="393B5B81" w14:textId="73A383F0" w:rsidR="00102D67" w:rsidRPr="00E53AFB" w:rsidRDefault="00102D67" w:rsidP="00102D67">
      <w:pPr>
        <w:rPr>
          <w:rFonts w:cs="Arial"/>
          <w:lang w:val="en-IN"/>
        </w:rPr>
      </w:pPr>
      <w:r w:rsidRPr="00102D67">
        <w:rPr>
          <w:rFonts w:cs="Arial"/>
          <w:b/>
          <w:bCs/>
        </w:rPr>
        <w:t>Disney+ Hotstar:</w:t>
      </w:r>
      <w:r w:rsidRPr="00102D67">
        <w:rPr>
          <w:rFonts w:cs="Arial"/>
        </w:rPr>
        <w:t xml:space="preserve"> </w:t>
      </w:r>
      <w:r w:rsidR="00A6571D" w:rsidRPr="00A6571D">
        <w:rPr>
          <w:rFonts w:cs="Arial"/>
          <w:lang w:val="en-IN"/>
        </w:rPr>
        <w:t xml:space="preserve">For many years, Hotstar's success relied primarily upon cricket (IPL rights). Losing those rights to Jio Cinema has significantly impacted Hotstar, and the company continues to work towards identifying alternatives. The Reliance – Disney merger has caused additional complexity in terms of how Hotstar will move forward strategically. </w:t>
      </w:r>
    </w:p>
    <w:p w14:paraId="3532273A" w14:textId="630972D0" w:rsidR="00102D67" w:rsidRPr="00E53AFB" w:rsidRDefault="00102D67" w:rsidP="00102D67">
      <w:pPr>
        <w:rPr>
          <w:rFonts w:cs="Arial"/>
          <w:lang w:val="en-IN"/>
        </w:rPr>
      </w:pPr>
      <w:r w:rsidRPr="00102D67">
        <w:rPr>
          <w:rFonts w:cs="Arial"/>
          <w:b/>
          <w:bCs/>
        </w:rPr>
        <w:t>Amazon Prime Video:</w:t>
      </w:r>
      <w:r w:rsidRPr="00102D67">
        <w:rPr>
          <w:rFonts w:cs="Arial"/>
        </w:rPr>
        <w:t xml:space="preserve"> </w:t>
      </w:r>
      <w:r w:rsidR="00E53AFB" w:rsidRPr="00E53AFB">
        <w:rPr>
          <w:rFonts w:cs="Arial"/>
          <w:lang w:val="en-IN"/>
        </w:rPr>
        <w:t xml:space="preserve">The experience of Amazon with streaming in India differs from its competitors. In India, Prime Video is not the end product; rather, it is included in a larger value proposition that provides consumers with free shipping along with other Prime features. This bundling strategy is especially suitable to </w:t>
      </w:r>
      <w:r w:rsidR="00E53AFB" w:rsidRPr="00E53AFB">
        <w:rPr>
          <w:rFonts w:cs="Arial"/>
          <w:lang w:val="en-IN"/>
        </w:rPr>
        <w:lastRenderedPageBreak/>
        <w:t xml:space="preserve">India’s price sensitive consumer base, and the continued investment by Amazon in regional cinema acquisitions has added strength to the overall offering. </w:t>
      </w:r>
    </w:p>
    <w:p w14:paraId="60179ADC" w14:textId="2B2D21A0" w:rsidR="00102D67" w:rsidRPr="00223D4E" w:rsidRDefault="00102D67" w:rsidP="00102D67">
      <w:pPr>
        <w:rPr>
          <w:rFonts w:cs="Arial"/>
          <w:lang w:val="en-IN"/>
        </w:rPr>
      </w:pPr>
      <w:r w:rsidRPr="00102D67">
        <w:rPr>
          <w:rFonts w:cs="Arial"/>
          <w:b/>
          <w:bCs/>
        </w:rPr>
        <w:t>Netflix:</w:t>
      </w:r>
      <w:r w:rsidRPr="00102D67">
        <w:rPr>
          <w:rFonts w:cs="Arial"/>
        </w:rPr>
        <w:t xml:space="preserve"> </w:t>
      </w:r>
      <w:r w:rsidR="00223D4E" w:rsidRPr="00223D4E">
        <w:rPr>
          <w:rFonts w:cs="Arial"/>
          <w:lang w:val="en-IN"/>
        </w:rPr>
        <w:t xml:space="preserve">Early days for Netflix in India were unsuccessful. Global premium pricing in a market where price sensitivity is extreme at all income levels would certainly limit the number of successful subscriptions generated. And that is exactly what happened. The shift has been dramatic. Mobile only pricing tiers have allowed Netflix to reach a much broader audience than previously possible. The large investment in Indian original content, including both Hindi and increasing numbers of regional language titles, has dramatically altered the positioning of Netflix. Netflix does continue to avoid using advertising supported models in India which places it at odds with virtually every competitor in the market. </w:t>
      </w:r>
    </w:p>
    <w:p w14:paraId="049CCC02" w14:textId="77777777" w:rsidR="00102D67" w:rsidRPr="00D019A1" w:rsidRDefault="00102D67" w:rsidP="00D019A1">
      <w:pPr>
        <w:rPr>
          <w:b/>
          <w:bCs/>
        </w:rPr>
      </w:pPr>
      <w:r w:rsidRPr="00D019A1">
        <w:rPr>
          <w:b/>
          <w:bCs/>
        </w:rPr>
        <w:t>Strategic Evaluation and Positioning</w:t>
      </w:r>
    </w:p>
    <w:p w14:paraId="1D7650BE" w14:textId="64AC1BAC" w:rsidR="003C4E67" w:rsidRPr="003C4E67" w:rsidRDefault="001C0A91" w:rsidP="003C4E67">
      <w:pPr>
        <w:rPr>
          <w:rFonts w:cs="Arial"/>
          <w:lang w:val="en-IN"/>
        </w:rPr>
      </w:pPr>
      <w:r>
        <w:rPr>
          <w:rFonts w:cs="Arial"/>
          <w:lang w:val="en-IN"/>
        </w:rPr>
        <w:t>The</w:t>
      </w:r>
      <w:r w:rsidR="00037A57" w:rsidRPr="00037A57">
        <w:rPr>
          <w:rFonts w:cs="Arial"/>
          <w:lang w:val="en-IN"/>
        </w:rPr>
        <w:t xml:space="preserve"> competition for subscribers in </w:t>
      </w:r>
      <w:r w:rsidR="00DD2719">
        <w:rPr>
          <w:rFonts w:cs="Arial"/>
          <w:lang w:val="en-IN"/>
        </w:rPr>
        <w:t>India</w:t>
      </w:r>
      <w:r w:rsidR="00037A57" w:rsidRPr="00037A57">
        <w:rPr>
          <w:rFonts w:cs="Arial"/>
          <w:lang w:val="en-IN"/>
        </w:rPr>
        <w:t xml:space="preserve"> is the trade-off of adapting to local preferences versus adopting a standardized approach to video-on-demand (</w:t>
      </w:r>
      <w:r w:rsidR="00D73AB4">
        <w:rPr>
          <w:rFonts w:cs="Arial"/>
          <w:lang w:val="en-IN"/>
        </w:rPr>
        <w:t>VOD</w:t>
      </w:r>
      <w:r w:rsidR="00037A57" w:rsidRPr="00037A57">
        <w:rPr>
          <w:rFonts w:cs="Arial"/>
          <w:lang w:val="en-IN"/>
        </w:rPr>
        <w:t xml:space="preserve">) services. </w:t>
      </w:r>
      <w:r w:rsidR="00D73AB4">
        <w:rPr>
          <w:rFonts w:cs="Arial"/>
          <w:lang w:val="en-IN"/>
        </w:rPr>
        <w:t>MNC</w:t>
      </w:r>
      <w:r w:rsidR="00037A57" w:rsidRPr="00037A57">
        <w:rPr>
          <w:rFonts w:cs="Arial"/>
          <w:lang w:val="en-IN"/>
        </w:rPr>
        <w:t xml:space="preserve">s (multinational corporations) that entered </w:t>
      </w:r>
      <w:r w:rsidR="00E46AF5">
        <w:rPr>
          <w:rFonts w:cs="Arial"/>
          <w:lang w:val="en-IN"/>
        </w:rPr>
        <w:t>India</w:t>
      </w:r>
      <w:r w:rsidR="00037A57" w:rsidRPr="00037A57">
        <w:rPr>
          <w:rFonts w:cs="Arial"/>
          <w:lang w:val="en-IN"/>
        </w:rPr>
        <w:t xml:space="preserve"> with a generic "one-size-fits-all" model, had no idea how poorly their plans would perform. </w:t>
      </w:r>
      <w:r w:rsidR="00037A57" w:rsidRPr="00037A57">
        <w:rPr>
          <w:rFonts w:cs="Arial"/>
          <w:lang w:val="en-IN"/>
        </w:rPr>
        <w:br/>
      </w:r>
      <w:r w:rsidR="00137932">
        <w:rPr>
          <w:rFonts w:cs="Arial"/>
          <w:lang w:val="en-IN"/>
        </w:rPr>
        <w:t>L</w:t>
      </w:r>
      <w:r w:rsidR="00037A57" w:rsidRPr="00037A57">
        <w:rPr>
          <w:rFonts w:cs="Arial"/>
          <w:lang w:val="en-IN"/>
        </w:rPr>
        <w:t xml:space="preserve">ocalization was the most effective way for both </w:t>
      </w:r>
      <w:r w:rsidR="00B91C72">
        <w:rPr>
          <w:rFonts w:cs="Arial"/>
          <w:lang w:val="en-IN"/>
        </w:rPr>
        <w:t>Amazon</w:t>
      </w:r>
      <w:r w:rsidR="00037A57" w:rsidRPr="00037A57">
        <w:rPr>
          <w:rFonts w:cs="Arial"/>
          <w:lang w:val="en-IN"/>
        </w:rPr>
        <w:t xml:space="preserve"> and </w:t>
      </w:r>
      <w:r w:rsidR="00E46AF5">
        <w:rPr>
          <w:rFonts w:cs="Arial"/>
          <w:lang w:val="en-IN"/>
        </w:rPr>
        <w:t>Netflix</w:t>
      </w:r>
      <w:r w:rsidR="00037A57" w:rsidRPr="00037A57">
        <w:rPr>
          <w:rFonts w:cs="Arial"/>
          <w:lang w:val="en-IN"/>
        </w:rPr>
        <w:t xml:space="preserve"> to grow. </w:t>
      </w:r>
      <w:r w:rsidR="00A00F5D">
        <w:rPr>
          <w:rFonts w:cs="Arial"/>
          <w:lang w:val="en-IN"/>
        </w:rPr>
        <w:t>They</w:t>
      </w:r>
      <w:r w:rsidR="00037A57" w:rsidRPr="00037A57">
        <w:rPr>
          <w:rFonts w:cs="Arial"/>
          <w:lang w:val="en-IN"/>
        </w:rPr>
        <w:t xml:space="preserve"> each invested heavily in regional film production by purchasing rights to films on a direct to digital basis. </w:t>
      </w:r>
      <w:r w:rsidR="00A00F5D">
        <w:rPr>
          <w:rFonts w:cs="Arial"/>
          <w:lang w:val="en-IN"/>
        </w:rPr>
        <w:t>The</w:t>
      </w:r>
      <w:r w:rsidR="00037A57" w:rsidRPr="00037A57">
        <w:rPr>
          <w:rFonts w:cs="Arial"/>
          <w:lang w:val="en-IN"/>
        </w:rPr>
        <w:t xml:space="preserve"> recent announcement of an agreement between </w:t>
      </w:r>
      <w:r w:rsidR="00B91C72">
        <w:rPr>
          <w:rFonts w:cs="Arial"/>
          <w:lang w:val="en-IN"/>
        </w:rPr>
        <w:t>Reliance</w:t>
      </w:r>
      <w:r w:rsidR="00037A57" w:rsidRPr="00037A57">
        <w:rPr>
          <w:rFonts w:cs="Arial"/>
          <w:lang w:val="en-IN"/>
        </w:rPr>
        <w:t xml:space="preserve"> and </w:t>
      </w:r>
      <w:r w:rsidR="00B91C72">
        <w:rPr>
          <w:rFonts w:cs="Arial"/>
          <w:lang w:val="en-IN"/>
        </w:rPr>
        <w:t>D</w:t>
      </w:r>
      <w:r w:rsidR="00037A57" w:rsidRPr="00037A57">
        <w:rPr>
          <w:rFonts w:cs="Arial"/>
          <w:lang w:val="en-IN"/>
        </w:rPr>
        <w:t xml:space="preserve">isney, creates another layer of complexity in the </w:t>
      </w:r>
      <w:r w:rsidR="00B91C72">
        <w:rPr>
          <w:rFonts w:cs="Arial"/>
          <w:lang w:val="en-IN"/>
        </w:rPr>
        <w:t>I</w:t>
      </w:r>
      <w:r w:rsidR="001629FF">
        <w:rPr>
          <w:rFonts w:cs="Arial"/>
          <w:lang w:val="en-IN"/>
        </w:rPr>
        <w:t>ndia</w:t>
      </w:r>
      <w:r w:rsidR="00556C8F">
        <w:rPr>
          <w:rFonts w:cs="Arial"/>
          <w:lang w:val="en-IN"/>
        </w:rPr>
        <w:t>n market</w:t>
      </w:r>
      <w:r w:rsidR="00043AFB">
        <w:rPr>
          <w:rFonts w:cs="Arial"/>
          <w:lang w:val="en-IN"/>
        </w:rPr>
        <w:t xml:space="preserve"> </w:t>
      </w:r>
      <w:r w:rsidR="00444B5B">
        <w:rPr>
          <w:rFonts w:cs="Arial"/>
          <w:lang w:val="en-IN"/>
        </w:rPr>
        <w:t>(Reuters, 2024)</w:t>
      </w:r>
      <w:r w:rsidR="00037A57" w:rsidRPr="00037A57">
        <w:rPr>
          <w:rFonts w:cs="Arial"/>
          <w:lang w:val="en-IN"/>
        </w:rPr>
        <w:t xml:space="preserve">. </w:t>
      </w:r>
      <w:r w:rsidR="00A00F5D">
        <w:rPr>
          <w:rFonts w:cs="Arial"/>
          <w:lang w:val="en-IN"/>
        </w:rPr>
        <w:t>This</w:t>
      </w:r>
      <w:r w:rsidR="00037A57" w:rsidRPr="00037A57">
        <w:rPr>
          <w:rFonts w:cs="Arial"/>
          <w:lang w:val="en-IN"/>
        </w:rPr>
        <w:t xml:space="preserve"> partnership allows for a platform to be developed that can leverage domestic distribution capabilities along with international content offerings. </w:t>
      </w:r>
      <w:r w:rsidR="00B91C72">
        <w:rPr>
          <w:rFonts w:cs="Arial"/>
          <w:lang w:val="en-IN"/>
        </w:rPr>
        <w:t xml:space="preserve">The </w:t>
      </w:r>
      <w:r w:rsidR="00433DB2">
        <w:rPr>
          <w:rFonts w:cs="Arial"/>
          <w:lang w:val="en-IN"/>
        </w:rPr>
        <w:t>R</w:t>
      </w:r>
      <w:r w:rsidR="00B91C72">
        <w:rPr>
          <w:rFonts w:cs="Arial"/>
          <w:lang w:val="en-IN"/>
        </w:rPr>
        <w:t>eliance-Disney</w:t>
      </w:r>
      <w:r w:rsidR="00037A57" w:rsidRPr="00037A57">
        <w:rPr>
          <w:rFonts w:cs="Arial"/>
          <w:lang w:val="en-IN"/>
        </w:rPr>
        <w:t xml:space="preserve"> partnership presents a significant challenge to many of the existing pure play svod service providers. </w:t>
      </w:r>
      <w:r w:rsidR="00A00F5D">
        <w:rPr>
          <w:rFonts w:cs="Arial"/>
          <w:lang w:val="en-IN"/>
        </w:rPr>
        <w:t>They</w:t>
      </w:r>
      <w:r w:rsidR="00037A57" w:rsidRPr="00037A57">
        <w:rPr>
          <w:rFonts w:cs="Arial"/>
          <w:lang w:val="en-IN"/>
        </w:rPr>
        <w:t xml:space="preserve"> have three choices: either find a niche in which to compete and protect that niche; or seek to consolidate with other service providers; or simply come to terms with the fact that profit margins may not ever be as high as early predictions.</w:t>
      </w:r>
    </w:p>
    <w:p w14:paraId="712FB7F3" w14:textId="140BA2EE" w:rsidR="00102D67" w:rsidRDefault="00102D67" w:rsidP="00102D67">
      <w:pPr>
        <w:rPr>
          <w:rFonts w:cs="Arial"/>
        </w:rPr>
      </w:pPr>
    </w:p>
    <w:p w14:paraId="0CE77C04" w14:textId="00774289" w:rsidR="00522264" w:rsidRDefault="00522264" w:rsidP="00102D67">
      <w:pPr>
        <w:rPr>
          <w:rFonts w:cs="Arial"/>
        </w:rPr>
      </w:pPr>
    </w:p>
    <w:p w14:paraId="185200C8" w14:textId="77777777" w:rsidR="00522264" w:rsidRDefault="00522264" w:rsidP="00102D67">
      <w:pPr>
        <w:rPr>
          <w:rFonts w:cs="Arial"/>
        </w:rPr>
      </w:pPr>
    </w:p>
    <w:p w14:paraId="79BEF915" w14:textId="77777777" w:rsidR="003C4E67" w:rsidRDefault="003C4E67" w:rsidP="00102D67">
      <w:pPr>
        <w:rPr>
          <w:rFonts w:cs="Arial"/>
        </w:rPr>
      </w:pPr>
    </w:p>
    <w:p w14:paraId="2FDE5F9A" w14:textId="77777777" w:rsidR="007424AA" w:rsidRDefault="007424AA" w:rsidP="0094306F">
      <w:pPr>
        <w:rPr>
          <w:rFonts w:cs="Arial"/>
        </w:rPr>
      </w:pPr>
    </w:p>
    <w:p w14:paraId="27E7C5FF" w14:textId="77777777" w:rsidR="00FA5E1B" w:rsidRDefault="00FA5E1B" w:rsidP="0094306F">
      <w:pPr>
        <w:rPr>
          <w:rFonts w:cs="Arial"/>
        </w:rPr>
      </w:pPr>
    </w:p>
    <w:p w14:paraId="6C13C3DE" w14:textId="77777777" w:rsidR="007424AA" w:rsidRDefault="007424AA" w:rsidP="0094306F">
      <w:pPr>
        <w:rPr>
          <w:rFonts w:cs="Arial"/>
        </w:rPr>
      </w:pPr>
    </w:p>
    <w:p w14:paraId="44004BFD" w14:textId="77777777" w:rsidR="007424AA" w:rsidRDefault="007424AA" w:rsidP="0094306F">
      <w:pPr>
        <w:rPr>
          <w:rFonts w:cs="Arial"/>
        </w:rPr>
      </w:pPr>
    </w:p>
    <w:p w14:paraId="14BF0197" w14:textId="77777777" w:rsidR="007424AA" w:rsidRDefault="007424AA" w:rsidP="0094306F">
      <w:pPr>
        <w:rPr>
          <w:rFonts w:cs="Arial"/>
        </w:rPr>
      </w:pPr>
    </w:p>
    <w:p w14:paraId="63CBFBF9" w14:textId="77777777" w:rsidR="0074664E" w:rsidRDefault="0074664E" w:rsidP="0094306F">
      <w:pPr>
        <w:rPr>
          <w:rFonts w:cs="Arial"/>
        </w:rPr>
      </w:pPr>
    </w:p>
    <w:p w14:paraId="14680F9C" w14:textId="77777777" w:rsidR="0087410E" w:rsidRDefault="0087410E" w:rsidP="0087410E">
      <w:pPr>
        <w:pStyle w:val="Heading2"/>
      </w:pPr>
      <w:bookmarkStart w:id="6" w:name="_Toc224920764"/>
      <w:r w:rsidRPr="0087410E">
        <w:lastRenderedPageBreak/>
        <w:t>3. Porter's Diamond Model of National Advantage: India's VOD Industry</w:t>
      </w:r>
      <w:bookmarkEnd w:id="6"/>
    </w:p>
    <w:p w14:paraId="54D1AAE3" w14:textId="77777777" w:rsidR="00254911" w:rsidRDefault="00254911" w:rsidP="00254911">
      <w:pPr>
        <w:keepNext/>
      </w:pPr>
      <w:r>
        <w:rPr>
          <w:noProof/>
        </w:rPr>
        <w:drawing>
          <wp:inline distT="0" distB="0" distL="0" distR="0" wp14:anchorId="2D0D1C2F" wp14:editId="272E312B">
            <wp:extent cx="5731510" cy="3949700"/>
            <wp:effectExtent l="0" t="0" r="2540" b="0"/>
            <wp:docPr id="4834076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407688" name="Picture 483407688"/>
                    <pic:cNvPicPr/>
                  </pic:nvPicPr>
                  <pic:blipFill>
                    <a:blip r:embed="rId10">
                      <a:extLst>
                        <a:ext uri="{28A0092B-C50C-407E-A947-70E740481C1C}">
                          <a14:useLocalDpi xmlns:a14="http://schemas.microsoft.com/office/drawing/2010/main" val="0"/>
                        </a:ext>
                      </a:extLst>
                    </a:blip>
                    <a:stretch>
                      <a:fillRect/>
                    </a:stretch>
                  </pic:blipFill>
                  <pic:spPr>
                    <a:xfrm>
                      <a:off x="0" y="0"/>
                      <a:ext cx="5731510" cy="3949700"/>
                    </a:xfrm>
                    <a:prstGeom prst="rect">
                      <a:avLst/>
                    </a:prstGeom>
                  </pic:spPr>
                </pic:pic>
              </a:graphicData>
            </a:graphic>
          </wp:inline>
        </w:drawing>
      </w:r>
    </w:p>
    <w:p w14:paraId="7AFE42EE" w14:textId="310A3B01" w:rsidR="002B2703" w:rsidRPr="002B2703" w:rsidRDefault="00254911" w:rsidP="002B2703">
      <w:pPr>
        <w:pStyle w:val="Caption"/>
      </w:pPr>
      <w:r>
        <w:t xml:space="preserve">Figure </w:t>
      </w:r>
      <w:fldSimple w:instr=" SEQ Figure \* ARABIC ">
        <w:r w:rsidR="00A55C20">
          <w:rPr>
            <w:noProof/>
          </w:rPr>
          <w:t>3</w:t>
        </w:r>
      </w:fldSimple>
      <w:r>
        <w:t xml:space="preserve">: </w:t>
      </w:r>
      <w:r w:rsidRPr="00981A25">
        <w:t>Porter’s Diamond Model (Source: Consuunt, 2026).</w:t>
      </w:r>
    </w:p>
    <w:p w14:paraId="772B80ED" w14:textId="76109827" w:rsidR="0087410E" w:rsidRPr="00A15FB8" w:rsidRDefault="00E17D3C" w:rsidP="0087410E">
      <w:pPr>
        <w:rPr>
          <w:rFonts w:cs="Arial"/>
          <w:lang w:val="en-IN"/>
        </w:rPr>
      </w:pPr>
      <w:r w:rsidRPr="00E17D3C">
        <w:rPr>
          <w:rFonts w:cs="Arial"/>
          <w:lang w:val="en-IN"/>
        </w:rPr>
        <w:t>Using the Diamond Model of National Advantage by Michael Porter, we can begin to understand why the VOD market in India is so competitive</w:t>
      </w:r>
      <w:r w:rsidR="001629FF">
        <w:rPr>
          <w:rFonts w:cs="Arial"/>
          <w:lang w:val="en-IN"/>
        </w:rPr>
        <w:t xml:space="preserve"> (Porter, 1990)</w:t>
      </w:r>
      <w:r w:rsidRPr="00E17D3C">
        <w:rPr>
          <w:rFonts w:cs="Arial"/>
          <w:lang w:val="en-IN"/>
        </w:rPr>
        <w:t>. The Diamond Model suggests that national competitive advantage is not something that a nation is born into, but rather created through four linked determinants: Factor Conditions; Demand Conditions; Related and Supporting Industries; and Firm Strategy, Structure and Rivalry. In India’s case, these four factors are not static and instead, interact with each other in ways that will continue to drive innovation and create a very challenging environment for any domestic or international company looking to capture a share of this market.</w:t>
      </w:r>
    </w:p>
    <w:p w14:paraId="5AFDF936" w14:textId="77777777" w:rsidR="0087410E" w:rsidRPr="00D019A1" w:rsidRDefault="0087410E" w:rsidP="00D019A1">
      <w:pPr>
        <w:rPr>
          <w:b/>
          <w:bCs/>
        </w:rPr>
      </w:pPr>
      <w:r w:rsidRPr="00D019A1">
        <w:rPr>
          <w:b/>
          <w:bCs/>
        </w:rPr>
        <w:t>Factor Conditions</w:t>
      </w:r>
    </w:p>
    <w:p w14:paraId="0B237AB4" w14:textId="77777777" w:rsidR="00A15FB8" w:rsidRPr="00A15FB8" w:rsidRDefault="00A15FB8" w:rsidP="00A15FB8">
      <w:pPr>
        <w:rPr>
          <w:rFonts w:cs="Arial"/>
          <w:lang w:val="en-IN"/>
        </w:rPr>
      </w:pPr>
      <w:r w:rsidRPr="00A15FB8">
        <w:rPr>
          <w:rFonts w:cs="Arial"/>
          <w:lang w:val="en-IN"/>
        </w:rPr>
        <w:t xml:space="preserve">Factor conditions relate to what a country has available in terms of input to production. For the VOD industry, that relates to digital infrastructure, human capital and technological preparedness – not the type of fixed-line broadband that was used by many developed countries to build their Internet economies. India effectively bypassed the fixed-line broadband phase. As mentioned earlier, the rapid rollout of affordable 4G and 5G mobile networks provided India with a "leapfrogging" effect that allowed it to bypass the infrastructural deficits that existed for decades. Today India has among the lowest mobile data prices in the world. Notably, this is not a </w:t>
      </w:r>
      <w:r w:rsidRPr="00A15FB8">
        <w:rPr>
          <w:rFonts w:cs="Arial"/>
          <w:lang w:val="en-IN"/>
        </w:rPr>
        <w:lastRenderedPageBreak/>
        <w:t>minor detail, it is a fundamental building block upon which the rest of the sector is constructed.</w:t>
      </w:r>
    </w:p>
    <w:p w14:paraId="46336E62" w14:textId="43613B0A" w:rsidR="0087410E" w:rsidRPr="00011AC6" w:rsidRDefault="00011AC6" w:rsidP="0087410E">
      <w:pPr>
        <w:rPr>
          <w:rFonts w:cs="Arial"/>
          <w:lang w:val="en-IN"/>
        </w:rPr>
      </w:pPr>
      <w:r w:rsidRPr="00011AC6">
        <w:rPr>
          <w:rFonts w:cs="Arial"/>
          <w:lang w:val="en-IN"/>
        </w:rPr>
        <w:t>In addition to the infrastructure that India now enjoys, it also possesses a large and highly-skilled workforce of IT and software engineers. These engineers provide the necessary skills for developing and maintaining platforms, curating algorithms, and conducting data analysis. Moreover, the cost of employing such engineers is significantly lower than elsewhere. Furthermore, the deep pools of creative talent emanating from film hubs across the country allow India to supply the creative input needed for a competitive streaming ecosystem. Essentially, the Indian market can supply the technical and creative inputs required for a competitive streaming ecosystem, mainly from within its own borders.</w:t>
      </w:r>
    </w:p>
    <w:p w14:paraId="3E1E84FC" w14:textId="77777777" w:rsidR="0087410E" w:rsidRPr="00D019A1" w:rsidRDefault="0087410E" w:rsidP="00D019A1">
      <w:pPr>
        <w:rPr>
          <w:b/>
          <w:bCs/>
        </w:rPr>
      </w:pPr>
      <w:r w:rsidRPr="00D019A1">
        <w:rPr>
          <w:b/>
          <w:bCs/>
        </w:rPr>
        <w:t>Demand Conditions</w:t>
      </w:r>
    </w:p>
    <w:p w14:paraId="527EAA0B" w14:textId="77777777" w:rsidR="00B8620B" w:rsidRDefault="00506990" w:rsidP="0087410E">
      <w:pPr>
        <w:rPr>
          <w:rFonts w:cs="Arial"/>
        </w:rPr>
      </w:pPr>
      <w:r w:rsidRPr="00506990">
        <w:rPr>
          <w:rFonts w:cs="Arial"/>
        </w:rPr>
        <w:t>The nature of domestic demand is critical in Porter's framework as it is this demand that forces companies to innovate. The demand conditions in India are characterized by three principal characteristics: scale, fragmentation, and price sensitivity. With a population of over 1.4 billion and a growing middle-class, India represents a natural hub for investment. However, size does not solely account for the form of the industry.</w:t>
      </w:r>
    </w:p>
    <w:p w14:paraId="4A86A581" w14:textId="041FC96A" w:rsidR="0087410E" w:rsidRPr="00376470" w:rsidRDefault="00C9110B" w:rsidP="0087410E">
      <w:pPr>
        <w:rPr>
          <w:rFonts w:cs="Arial"/>
          <w:lang w:val="en-IN"/>
        </w:rPr>
      </w:pPr>
      <w:r w:rsidRPr="00C9110B">
        <w:rPr>
          <w:rFonts w:cs="Arial"/>
          <w:lang w:val="en-IN"/>
        </w:rPr>
        <w:t>What drives strategic decisions in India, is the degree of demand and fragmentation of the Indian consumer base. India is not a single market. Rather it comprises dozens of distinct linguistic and cultural markets contained within a national boundary, each having their own expectations regarding content, language, and format. Thus, viewers in Tamil Nadu expect something different from viewers in West Bengal. Platforms that treat India as a monolithically Hindi-speaking audience have continually underperformed. Price sensitivity further adds to the challenges faced by platforms. Consumers in India are extremely value-conscious, in a manner that has compelled platforms to reassess business models that function flawlessly in other parts of the world. Consequently, mobile-only pricing tiers, freemium-based structures, and ad-supported architectures, did not emerge by chance. Instead, they are the result of what the market demanded. Additionally, the innovations that are emerging in India are increasingly being replicated in other emerging markets.</w:t>
      </w:r>
    </w:p>
    <w:p w14:paraId="2A882FD0" w14:textId="77777777" w:rsidR="0087410E" w:rsidRPr="00D019A1" w:rsidRDefault="0087410E" w:rsidP="00D019A1">
      <w:pPr>
        <w:rPr>
          <w:b/>
          <w:bCs/>
        </w:rPr>
      </w:pPr>
      <w:r w:rsidRPr="00D019A1">
        <w:rPr>
          <w:b/>
          <w:bCs/>
        </w:rPr>
        <w:t>Related and Supporting Industries</w:t>
      </w:r>
    </w:p>
    <w:p w14:paraId="78406EA1" w14:textId="77777777" w:rsidR="00493B89" w:rsidRPr="00493B89" w:rsidRDefault="00493B89" w:rsidP="00493B89">
      <w:pPr>
        <w:rPr>
          <w:rFonts w:cs="Arial"/>
          <w:lang w:val="en-IN"/>
        </w:rPr>
      </w:pPr>
      <w:r w:rsidRPr="00493B89">
        <w:rPr>
          <w:rFonts w:cs="Arial"/>
          <w:lang w:val="en-IN"/>
        </w:rPr>
        <w:t>As no industry exists independently of others, India's VOD sector is uniquely advantaged by the industries surrounding it. Perhaps the most notable example is the traditional film and television industry, which is one of the most productive in the world. The existing ecosystem of production houses, studios, and post-production facilities provide a substantial and high volume content supply chain for streaming platforms to access through either acquisition or original commissioning.</w:t>
      </w:r>
    </w:p>
    <w:p w14:paraId="028C43B3" w14:textId="68F065EE" w:rsidR="0087410E" w:rsidRPr="003A704F" w:rsidRDefault="003A704F" w:rsidP="0087410E">
      <w:pPr>
        <w:rPr>
          <w:rFonts w:cs="Arial"/>
          <w:lang w:val="en-IN"/>
        </w:rPr>
      </w:pPr>
      <w:r w:rsidRPr="003A704F">
        <w:rPr>
          <w:rFonts w:cs="Arial"/>
          <w:lang w:val="en-IN"/>
        </w:rPr>
        <w:t xml:space="preserve">However, there exist other supporting structures that receive relatively little attention. India's digital payment systems infrastructure, specifically the Unified Payment </w:t>
      </w:r>
      <w:r w:rsidRPr="003A704F">
        <w:rPr>
          <w:rFonts w:cs="Arial"/>
          <w:lang w:val="en-IN"/>
        </w:rPr>
        <w:lastRenderedPageBreak/>
        <w:t>Interface (UPI) has removed one of the major practical barriers to paid streaming</w:t>
      </w:r>
      <w:r w:rsidR="001629FF">
        <w:rPr>
          <w:rFonts w:cs="Arial"/>
          <w:lang w:val="en-IN"/>
        </w:rPr>
        <w:t xml:space="preserve"> (NPCI, 2025)</w:t>
      </w:r>
      <w:r w:rsidRPr="003A704F">
        <w:rPr>
          <w:rFonts w:cs="Arial"/>
          <w:lang w:val="en-IN"/>
        </w:rPr>
        <w:t>. UPI facilitates frictionless micro-transactional payments and auto-renewing subscriptions across a broad demographic spectrum, which is essential in a market where extracting revenue, however small, from consumers requires minimal friction. Additionally, the broader digital advertising sector provides the commercial underpinning of AVOD models. Without a mature ad market, the freemium model that dominates India's streaming landscape would not be viable.</w:t>
      </w:r>
    </w:p>
    <w:p w14:paraId="5A0DD5B6" w14:textId="77777777" w:rsidR="0087410E" w:rsidRPr="00D019A1" w:rsidRDefault="0087410E" w:rsidP="00D019A1">
      <w:pPr>
        <w:rPr>
          <w:b/>
          <w:bCs/>
        </w:rPr>
      </w:pPr>
      <w:r w:rsidRPr="00D019A1">
        <w:rPr>
          <w:b/>
          <w:bCs/>
        </w:rPr>
        <w:t>Firm Strategy, Structure, and Rivalry</w:t>
      </w:r>
    </w:p>
    <w:p w14:paraId="35B7F918" w14:textId="77777777" w:rsidR="00791D1A" w:rsidRDefault="00791D1A" w:rsidP="00791D1A">
      <w:pPr>
        <w:rPr>
          <w:rFonts w:cs="Arial"/>
          <w:lang w:val="en-IN"/>
        </w:rPr>
      </w:pPr>
      <w:r w:rsidRPr="00791D1A">
        <w:rPr>
          <w:rFonts w:cs="Arial"/>
          <w:lang w:val="en-IN"/>
        </w:rPr>
        <w:t>The rivalry in India's VOD market is, by any measure, extremely fierce. Domestic conglomerates with telecommunications muscle, Reliance and Jio Cinema represent the clearest examples of this rivalry. Reliance and Jio Cinema are competing directly with the world's largest technology and entertainment multinational corporations (MNCs). The list of competitors is lengthy and the financial resources being committed to competing for market share are substantial.</w:t>
      </w:r>
    </w:p>
    <w:p w14:paraId="4C1A1B1C" w14:textId="77777777" w:rsidR="007647FA" w:rsidRPr="00791D1A" w:rsidRDefault="007647FA" w:rsidP="00791D1A">
      <w:pPr>
        <w:rPr>
          <w:rFonts w:cs="Arial"/>
          <w:lang w:val="en-IN"/>
        </w:rPr>
      </w:pPr>
    </w:p>
    <w:p w14:paraId="42E3C688" w14:textId="41FD8467" w:rsidR="0087410E" w:rsidRPr="00832DA4" w:rsidRDefault="00832DA4" w:rsidP="0087410E">
      <w:pPr>
        <w:rPr>
          <w:rFonts w:cs="Arial"/>
          <w:lang w:val="en-IN"/>
        </w:rPr>
      </w:pPr>
      <w:r w:rsidRPr="00832DA4">
        <w:rPr>
          <w:rFonts w:cs="Arial"/>
          <w:lang w:val="en-IN"/>
        </w:rPr>
        <w:t>Porter’s model</w:t>
      </w:r>
      <w:r>
        <w:rPr>
          <w:rFonts w:cs="Arial"/>
          <w:lang w:val="en-IN"/>
        </w:rPr>
        <w:t xml:space="preserve"> </w:t>
      </w:r>
      <w:r w:rsidRPr="00832DA4">
        <w:rPr>
          <w:rFonts w:cs="Arial"/>
          <w:lang w:val="en-IN"/>
        </w:rPr>
        <w:t xml:space="preserve">as well as the reality of competition among the platforms — indicates that no one platform can sit back. The pricing structure, content strategy, and user interface all get tested and adjusted continuously. Platforms that enter India with a globally standardized business model cannot survive long without modifying it. Conversely, the platforms that manage to develop successful competitive strategies in India generally end up with more flexible, more cost-effective, and more resilient operational models when they leave India. In this way, successfully competing in India equips platforms to succeed in other difficult markets as well. </w:t>
      </w:r>
    </w:p>
    <w:p w14:paraId="37443A54" w14:textId="77777777" w:rsidR="0087410E" w:rsidRPr="00D019A1" w:rsidRDefault="0087410E" w:rsidP="00D019A1">
      <w:pPr>
        <w:rPr>
          <w:b/>
          <w:bCs/>
        </w:rPr>
      </w:pPr>
      <w:r w:rsidRPr="00D019A1">
        <w:rPr>
          <w:b/>
          <w:bCs/>
        </w:rPr>
        <w:t>The Role of Government</w:t>
      </w:r>
    </w:p>
    <w:p w14:paraId="486E2EBF" w14:textId="76F161E7" w:rsidR="00686186" w:rsidRDefault="00060C85" w:rsidP="0087410E">
      <w:pPr>
        <w:rPr>
          <w:rFonts w:cs="Arial"/>
          <w:lang w:val="en-IN"/>
        </w:rPr>
      </w:pPr>
      <w:r w:rsidRPr="00060C85">
        <w:rPr>
          <w:rFonts w:cs="Arial"/>
          <w:lang w:val="en-IN"/>
        </w:rPr>
        <w:t>While government is outside the four major determinants of Porter’s diamond model, it is not irrelevant. As we will see, India is a good case in point. The “Digital India” initiative facilitated the growth of the VOD industry by accelerating infrastructure development and improving digital literacy</w:t>
      </w:r>
      <w:r w:rsidR="001629FF">
        <w:rPr>
          <w:rFonts w:cs="Arial"/>
          <w:lang w:val="en-IN"/>
        </w:rPr>
        <w:t xml:space="preserve"> (EY, 2024)</w:t>
      </w:r>
      <w:r w:rsidRPr="00060C85">
        <w:rPr>
          <w:rFonts w:cs="Arial"/>
          <w:lang w:val="en-IN"/>
        </w:rPr>
        <w:t>. However, the government has also imposed regulatory obligations on the VOD sector. Specifically, the IT Rules of 2021 created significant compliance requirements regarding content moderation and grievance redressal. Therefore, the regulations required to comply with these rules have added both legal and administrative complexity to the strategies employed by foreign platforms in India. This serves as a reminder that the diamond does not exist in a political vacuum.</w:t>
      </w:r>
    </w:p>
    <w:p w14:paraId="7FD23599" w14:textId="77777777" w:rsidR="00990EB6" w:rsidRPr="00990EB6" w:rsidRDefault="00990EB6" w:rsidP="0087410E">
      <w:pPr>
        <w:rPr>
          <w:rFonts w:cs="Arial"/>
          <w:lang w:val="en-IN"/>
        </w:rPr>
      </w:pPr>
    </w:p>
    <w:p w14:paraId="7BFFAF2D" w14:textId="2864780C" w:rsidR="0087410E" w:rsidRDefault="00A93A4C" w:rsidP="00A93A4C">
      <w:pPr>
        <w:pStyle w:val="Heading2"/>
      </w:pPr>
      <w:bookmarkStart w:id="7" w:name="_Toc224920765"/>
      <w:r w:rsidRPr="00A93A4C">
        <w:lastRenderedPageBreak/>
        <w:t>4. Critical Evaluation of a Foreign MNC in India: Netflix</w:t>
      </w:r>
      <w:bookmarkEnd w:id="7"/>
    </w:p>
    <w:p w14:paraId="723E394C" w14:textId="77777777" w:rsidR="00597B90" w:rsidRPr="00597B90" w:rsidRDefault="00597B90" w:rsidP="00A93A4C">
      <w:pPr>
        <w:pStyle w:val="Heading3"/>
      </w:pPr>
      <w:bookmarkStart w:id="8" w:name="_Toc224920766"/>
      <w:r w:rsidRPr="00597B90">
        <w:t>4.1 Introduction to Netflix in India</w:t>
      </w:r>
      <w:bookmarkEnd w:id="8"/>
    </w:p>
    <w:p w14:paraId="5829093A" w14:textId="66761945" w:rsidR="00597B90" w:rsidRPr="0061228A" w:rsidRDefault="0061228A" w:rsidP="00597B90">
      <w:pPr>
        <w:rPr>
          <w:rFonts w:cs="Arial"/>
          <w:lang w:val="en-IN"/>
        </w:rPr>
      </w:pPr>
      <w:r w:rsidRPr="0061228A">
        <w:rPr>
          <w:rFonts w:cs="Arial"/>
          <w:lang w:val="en-IN"/>
        </w:rPr>
        <w:t>In many respects, as of early 2026, the Indian position of Netflix presents a paradoxical picture. On a global basis, it is arguably the best known streaming brand, with over 300 million subscribers, and a virtual monopoly position in Western markets</w:t>
      </w:r>
      <w:r w:rsidR="001629FF">
        <w:rPr>
          <w:rFonts w:cs="Arial"/>
          <w:lang w:val="en-IN"/>
        </w:rPr>
        <w:t xml:space="preserve"> (Netflix, Inc., 2025)</w:t>
      </w:r>
      <w:r w:rsidRPr="0061228A">
        <w:rPr>
          <w:rFonts w:cs="Arial"/>
          <w:lang w:val="en-IN"/>
        </w:rPr>
        <w:t>. However, India has never provided a smooth ride for Netflix. Statistics clearly illustrate this. Domestic platforms such as JioHotstar (which emerged after the consolidation of Reliance’s Hotstar and Jio’s own platform) claim over 300 million paid subscribers, primarily based on the popularity of IPL Cricket and highly discounted annual subscription fees. By contrast, Netflix claims an Indian subscriber base of approximately 15–20 million.</w:t>
      </w:r>
    </w:p>
    <w:p w14:paraId="3953D036" w14:textId="1FDAFA62" w:rsidR="00597B90" w:rsidRPr="00832B68" w:rsidRDefault="00A224D6" w:rsidP="00597B90">
      <w:pPr>
        <w:rPr>
          <w:rFonts w:cs="Arial"/>
          <w:lang w:val="en-IN"/>
        </w:rPr>
      </w:pPr>
      <w:r w:rsidRPr="00A224D6">
        <w:rPr>
          <w:rFonts w:cs="Arial"/>
        </w:rPr>
        <w:t>That gap looks damning until you look at it differently. Netflix generates a significantly higher Average Revenue Per User than most competitors in India, meaning its share of total SVOD revenue is considerably more meaningful than raw subscriber numbers suggest. To understand how Netflix got here, and what it's still working through, the CAGE Distance Framework and PESTEL analysis offer a useful lens.</w:t>
      </w:r>
    </w:p>
    <w:p w14:paraId="5F676ECC" w14:textId="77777777" w:rsidR="00597B90" w:rsidRPr="00597B90" w:rsidRDefault="00597B90" w:rsidP="00A93A4C">
      <w:pPr>
        <w:pStyle w:val="Heading3"/>
      </w:pPr>
      <w:bookmarkStart w:id="9" w:name="_Toc224920767"/>
      <w:r w:rsidRPr="00597B90">
        <w:t>4.2 Application of the CAGE Distance Framework</w:t>
      </w:r>
      <w:bookmarkEnd w:id="9"/>
    </w:p>
    <w:p w14:paraId="1E127761" w14:textId="7CC89852" w:rsidR="00597B90" w:rsidRPr="00361012" w:rsidRDefault="00361012" w:rsidP="00597B90">
      <w:pPr>
        <w:rPr>
          <w:rFonts w:cs="Arial"/>
          <w:lang w:val="en-IN"/>
        </w:rPr>
      </w:pPr>
      <w:r w:rsidRPr="00361012">
        <w:rPr>
          <w:rFonts w:cs="Arial"/>
          <w:lang w:val="en-IN"/>
        </w:rPr>
        <w:t>Ghemawat’s (2</w:t>
      </w:r>
      <w:r w:rsidR="001629FF">
        <w:rPr>
          <w:rFonts w:cs="Arial"/>
          <w:lang w:val="en-IN"/>
        </w:rPr>
        <w:t>001</w:t>
      </w:r>
      <w:r w:rsidRPr="00361012">
        <w:rPr>
          <w:rFonts w:cs="Arial"/>
          <w:lang w:val="en-IN"/>
        </w:rPr>
        <w:t>) CAGE Distance Framework identifies the distance between two countries as extending far beyond physical geography. The framework identifies four main areas of distance: Cultural, Administrative, Geographic and Economic. Each area of distance provides a significant level of strategic importance. Netflix’ s early problems in India can be attributed to a lack of understanding of all four types of distance. When Netflix entered India it did so with a US-based model and assumed that it would be applicable. However, it was not. At least not without significant changes to the business model.</w:t>
      </w:r>
    </w:p>
    <w:p w14:paraId="457A93F6" w14:textId="77777777" w:rsidR="00597B90" w:rsidRPr="00597B90" w:rsidRDefault="00597B90" w:rsidP="00597B90">
      <w:pPr>
        <w:rPr>
          <w:rFonts w:cs="Arial"/>
        </w:rPr>
      </w:pPr>
      <w:r w:rsidRPr="00597B90">
        <w:rPr>
          <w:rFonts w:cs="Arial"/>
          <w:b/>
          <w:bCs/>
        </w:rPr>
        <w:t>Cultural Distance</w:t>
      </w:r>
    </w:p>
    <w:p w14:paraId="0A8B2866" w14:textId="2C41C02A" w:rsidR="00597B90" w:rsidRPr="000B53E5" w:rsidRDefault="000B53E5" w:rsidP="00597B90">
      <w:pPr>
        <w:rPr>
          <w:rFonts w:cs="Arial"/>
          <w:lang w:val="en-IN"/>
        </w:rPr>
      </w:pPr>
      <w:r w:rsidRPr="000B53E5">
        <w:rPr>
          <w:rFonts w:cs="Arial"/>
          <w:lang w:val="en-IN"/>
        </w:rPr>
        <w:t>Cultural distance refers to the differences in language, social norms, religion, and customary practices. For Netflix’ entry into India, this was a significant gap.</w:t>
      </w:r>
    </w:p>
    <w:p w14:paraId="64ACDF6A" w14:textId="3373CFAF" w:rsidR="00376B67" w:rsidRPr="00376B67" w:rsidRDefault="00376B67" w:rsidP="00376B67">
      <w:pPr>
        <w:rPr>
          <w:rFonts w:cs="Arial"/>
          <w:lang w:val="en-IN"/>
        </w:rPr>
      </w:pPr>
      <w:r w:rsidRPr="00376B67">
        <w:rPr>
          <w:rFonts w:cs="Arial"/>
          <w:lang w:val="en-IN"/>
        </w:rPr>
        <w:t>Language was a major barrier in itself. India is not a single language market</w:t>
      </w:r>
      <w:r w:rsidR="001629FF">
        <w:rPr>
          <w:rFonts w:cs="Arial"/>
          <w:lang w:val="en-IN"/>
        </w:rPr>
        <w:t xml:space="preserve"> (Ormax Media, 2024)</w:t>
      </w:r>
      <w:r w:rsidRPr="00376B67">
        <w:rPr>
          <w:rFonts w:cs="Arial"/>
          <w:lang w:val="en-IN"/>
        </w:rPr>
        <w:t>. Therefore, Netflix' initial focus on providing English and Hindi content was always going to be insufficient in order to achieve scale. The response has been a significant and continuous commitment to providing regional language content, including Telugu and Tamil cinema, and a growing slate of Hindi originals, such as Delhi Crime and Sacred Games that are produced within specific Indian social contexts and do not rely on international adaptations.</w:t>
      </w:r>
    </w:p>
    <w:p w14:paraId="5703E2F0" w14:textId="77777777" w:rsidR="00376B67" w:rsidRPr="00376B67" w:rsidRDefault="00376B67" w:rsidP="00376B67">
      <w:pPr>
        <w:rPr>
          <w:rFonts w:cs="Arial"/>
          <w:lang w:val="en-IN"/>
        </w:rPr>
      </w:pPr>
      <w:r w:rsidRPr="00376B67">
        <w:rPr>
          <w:rFonts w:cs="Arial"/>
          <w:lang w:val="en-IN"/>
        </w:rPr>
        <w:t xml:space="preserve">However, viewing habits also represented a further layer of cultural distance. Streaming is generally regarded as an individual activity in the West. In India however, viewing TV has traditionally been a communal activity; something people view together in a common space. Although smartphone adoption has resulted in a </w:t>
      </w:r>
      <w:r w:rsidRPr="00376B67">
        <w:rPr>
          <w:rFonts w:cs="Arial"/>
          <w:lang w:val="en-IN"/>
        </w:rPr>
        <w:lastRenderedPageBreak/>
        <w:t>movement towards viewing on personal mobile devices, viewing habits remain very much focused on long-form cinema and episodic drama, and are predominantly consumed on phones as opposed to smart TVs. Therefore, Netflix had to rethink its interface design and recommendation algorithms to take account of these realities as opposed to adopting assumptions that were developed from a completely different viewing context.</w:t>
      </w:r>
    </w:p>
    <w:p w14:paraId="5CB7D636" w14:textId="77777777" w:rsidR="00597B90" w:rsidRPr="00597B90" w:rsidRDefault="00597B90" w:rsidP="00597B90">
      <w:pPr>
        <w:rPr>
          <w:rFonts w:cs="Arial"/>
        </w:rPr>
      </w:pPr>
      <w:r w:rsidRPr="00597B90">
        <w:rPr>
          <w:rFonts w:cs="Arial"/>
          <w:b/>
          <w:bCs/>
        </w:rPr>
        <w:t>Administrative Distance</w:t>
      </w:r>
    </w:p>
    <w:p w14:paraId="7CD1B96F" w14:textId="77777777" w:rsidR="00B3278E" w:rsidRPr="00B3278E" w:rsidRDefault="00B3278E" w:rsidP="00B3278E">
      <w:pPr>
        <w:rPr>
          <w:rFonts w:cs="Arial"/>
          <w:lang w:val="en-IN"/>
        </w:rPr>
      </w:pPr>
      <w:r w:rsidRPr="00B3278E">
        <w:rPr>
          <w:rFonts w:cs="Arial"/>
          <w:lang w:val="en-IN"/>
        </w:rPr>
        <w:t>Administrative distance relates to the regulatory environment, institutional frameworks, and historical relationships between countries.</w:t>
      </w:r>
    </w:p>
    <w:p w14:paraId="14C3DFEC" w14:textId="77777777" w:rsidR="00B3278E" w:rsidRPr="00B3278E" w:rsidRDefault="00B3278E" w:rsidP="00B3278E">
      <w:pPr>
        <w:rPr>
          <w:rFonts w:cs="Arial"/>
          <w:lang w:val="en-IN"/>
        </w:rPr>
      </w:pPr>
      <w:r w:rsidRPr="00B3278E">
        <w:rPr>
          <w:rFonts w:cs="Arial"/>
          <w:lang w:val="en-IN"/>
        </w:rPr>
        <w:t>Prior to the IT Rules in 2021, India's digital content sector was relatively lightly regulated. That has changed significantly, and Netflix now operates under a compliance framework covering content regulation, local grievance redressal requirements, and ongoing political scrutiny around religiously or culturally sensitive material. Managing this requires legal and administrative infrastructure that was not part of the original India strategy.</w:t>
      </w:r>
    </w:p>
    <w:p w14:paraId="70FF0C53" w14:textId="609689D8" w:rsidR="009F6271" w:rsidRPr="00B3278E" w:rsidRDefault="00B3278E" w:rsidP="00B3278E">
      <w:pPr>
        <w:rPr>
          <w:rFonts w:cs="Arial"/>
          <w:lang w:val="en-IN"/>
        </w:rPr>
      </w:pPr>
      <w:r w:rsidRPr="00B3278E">
        <w:rPr>
          <w:rFonts w:cs="Arial"/>
          <w:lang w:val="en-IN"/>
        </w:rPr>
        <w:t>There is also the question of telecom integration. JioHotstar and Amazon both benefit from deep ties with domestic infrastructure providers. Netflix didn't have that, and to close the gap it pursued bundling arrangements with Airtel and Reliance Jio, using their billing infrastructure to reach subscribers who might not have engaged with Netflix directly. It worked, but it was reactive rather than planned.</w:t>
      </w:r>
    </w:p>
    <w:p w14:paraId="1D7FE04C" w14:textId="77777777" w:rsidR="00597B90" w:rsidRPr="00597B90" w:rsidRDefault="00597B90" w:rsidP="00597B90">
      <w:pPr>
        <w:rPr>
          <w:rFonts w:cs="Arial"/>
        </w:rPr>
      </w:pPr>
      <w:r w:rsidRPr="00597B90">
        <w:rPr>
          <w:rFonts w:cs="Arial"/>
          <w:b/>
          <w:bCs/>
        </w:rPr>
        <w:t>Geographic Distance</w:t>
      </w:r>
    </w:p>
    <w:p w14:paraId="535BC2D0" w14:textId="12B9F3F3" w:rsidR="00597B90" w:rsidRPr="00597B90" w:rsidRDefault="004E0A62" w:rsidP="00597B90">
      <w:pPr>
        <w:rPr>
          <w:rFonts w:cs="Arial"/>
        </w:rPr>
      </w:pPr>
      <w:r w:rsidRPr="004E0A62">
        <w:rPr>
          <w:rFonts w:cs="Arial"/>
        </w:rPr>
        <w:t>For a digital product, physical distance matters less than in most industries, but infrastructure geography is a different matter. Tier-2 and Tier-3 cities run on fluctuating 4G and 5G networks rather than the stable broadband Netflix was built around in the US. Netflix had to re-engineer its compression and adaptive streaming technology to deliver a watchable experience on lower-bandwidth connections, which is not a trivial undertaking for a platform built on high-definition streaming.</w:t>
      </w:r>
    </w:p>
    <w:p w14:paraId="631E4669" w14:textId="77777777" w:rsidR="00597B90" w:rsidRPr="00597B90" w:rsidRDefault="00597B90" w:rsidP="00597B90">
      <w:pPr>
        <w:rPr>
          <w:rFonts w:cs="Arial"/>
        </w:rPr>
      </w:pPr>
      <w:r w:rsidRPr="00597B90">
        <w:rPr>
          <w:rFonts w:cs="Arial"/>
          <w:b/>
          <w:bCs/>
        </w:rPr>
        <w:t>Economic Distance</w:t>
      </w:r>
    </w:p>
    <w:p w14:paraId="27F93C50" w14:textId="77777777" w:rsidR="007705BF" w:rsidRPr="007705BF" w:rsidRDefault="007705BF" w:rsidP="007705BF">
      <w:pPr>
        <w:rPr>
          <w:rFonts w:cs="Arial"/>
          <w:lang w:val="en-IN"/>
        </w:rPr>
      </w:pPr>
      <w:r w:rsidRPr="007705BF">
        <w:rPr>
          <w:rFonts w:cs="Arial"/>
          <w:lang w:val="en-IN"/>
        </w:rPr>
        <w:t>Economic distance is the dimension that has shaped Netflix's India strategy the most, and the one that took longest to address.</w:t>
      </w:r>
    </w:p>
    <w:p w14:paraId="1F8B9185" w14:textId="77777777" w:rsidR="007705BF" w:rsidRPr="007705BF" w:rsidRDefault="007705BF" w:rsidP="007705BF">
      <w:pPr>
        <w:rPr>
          <w:rFonts w:cs="Arial"/>
          <w:lang w:val="en-IN"/>
        </w:rPr>
      </w:pPr>
      <w:r w:rsidRPr="007705BF">
        <w:rPr>
          <w:rFonts w:cs="Arial"/>
          <w:lang w:val="en-IN"/>
        </w:rPr>
        <w:t>When Netflix launched in India, its pricing reflected US dollar valuations. Cable television was cheap and ad-supported content was the default expectation, which made Netflix an aspirational product for a very small slice of the population. The gap was simply too wide for a standard subscription model.</w:t>
      </w:r>
    </w:p>
    <w:p w14:paraId="6B00C94A" w14:textId="08FB4326" w:rsidR="00353AC7" w:rsidRDefault="007705BF" w:rsidP="00D02333">
      <w:pPr>
        <w:rPr>
          <w:rFonts w:cs="Arial"/>
          <w:lang w:val="en-IN"/>
        </w:rPr>
      </w:pPr>
      <w:r w:rsidRPr="007705BF">
        <w:rPr>
          <w:rFonts w:cs="Arial"/>
          <w:lang w:val="en-IN"/>
        </w:rPr>
        <w:t xml:space="preserve">The response was the mobile-only pricing tier, priced significantly below Netflix's standard plans and later extended to other emerging markets. It was a meaningful departure from global pricing standardisation. Netflix still resists advertising in India, </w:t>
      </w:r>
      <w:r w:rsidRPr="007705BF">
        <w:rPr>
          <w:rFonts w:cs="Arial"/>
          <w:lang w:val="en-IN"/>
        </w:rPr>
        <w:lastRenderedPageBreak/>
        <w:t>putting it at odds with the AVOD and freemium models that dominate the market. Whether that holds long-term will likely be answered within the next few years.</w:t>
      </w:r>
    </w:p>
    <w:p w14:paraId="2E8559E1" w14:textId="77777777" w:rsidR="009F6271" w:rsidRDefault="009F6271" w:rsidP="00D02333">
      <w:pPr>
        <w:rPr>
          <w:rFonts w:cs="Arial"/>
          <w:lang w:val="en-IN"/>
        </w:rPr>
      </w:pPr>
    </w:p>
    <w:p w14:paraId="34AD7C2E" w14:textId="77777777" w:rsidR="009F6271" w:rsidRPr="009F6271" w:rsidRDefault="009F6271" w:rsidP="009F6271">
      <w:pPr>
        <w:rPr>
          <w:rFonts w:cs="Arial"/>
          <w:lang w:val="en-IN"/>
        </w:rPr>
      </w:pPr>
      <w:r w:rsidRPr="009F6271">
        <w:rPr>
          <w:rFonts w:cs="Arial"/>
          <w:b/>
          <w:bCs/>
          <w:lang w:val="en-IN"/>
        </w:rPr>
        <w:t>Table 1: Summary of CAGE Distance Factors Impacting Netflix in India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61"/>
        <w:gridCol w:w="3629"/>
        <w:gridCol w:w="3447"/>
        <w:gridCol w:w="81"/>
      </w:tblGrid>
      <w:tr w:rsidR="00FD1704" w:rsidRPr="009F6271" w14:paraId="1FAF56B2" w14:textId="026D2D9F" w:rsidTr="00FD1704">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E81BE1C" w14:textId="77777777" w:rsidR="00FD1704" w:rsidRPr="009F6271" w:rsidRDefault="00FD1704" w:rsidP="009F6271">
            <w:pPr>
              <w:rPr>
                <w:rFonts w:cs="Arial"/>
                <w:lang w:val="en-IN"/>
              </w:rPr>
            </w:pPr>
            <w:r w:rsidRPr="009F6271">
              <w:rPr>
                <w:rFonts w:cs="Arial"/>
                <w:b/>
                <w:bCs/>
                <w:lang w:val="en-IN"/>
              </w:rPr>
              <w:t>Distance Dimension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52672A5D" w14:textId="77777777" w:rsidR="00FD1704" w:rsidRPr="009F6271" w:rsidRDefault="00FD1704" w:rsidP="009F6271">
            <w:pPr>
              <w:rPr>
                <w:rFonts w:cs="Arial"/>
                <w:lang w:val="en-IN"/>
              </w:rPr>
            </w:pPr>
            <w:r w:rsidRPr="009F6271">
              <w:rPr>
                <w:rFonts w:cs="Arial"/>
                <w:b/>
                <w:bCs/>
                <w:lang w:val="en-IN"/>
              </w:rPr>
              <w:t>Key Market Realities in India</w:t>
            </w:r>
          </w:p>
        </w:tc>
        <w:tc>
          <w:tcPr>
            <w:tcW w:w="0" w:type="auto"/>
            <w:tcBorders>
              <w:top w:val="single" w:sz="6" w:space="0" w:color="auto"/>
              <w:left w:val="single" w:sz="6" w:space="0" w:color="auto"/>
              <w:bottom w:val="single" w:sz="6" w:space="0" w:color="auto"/>
              <w:right w:val="single" w:sz="6" w:space="0" w:color="auto"/>
            </w:tcBorders>
            <w:vAlign w:val="center"/>
            <w:hideMark/>
          </w:tcPr>
          <w:p w14:paraId="5AD104BB" w14:textId="77777777" w:rsidR="00FD1704" w:rsidRPr="009F6271" w:rsidRDefault="00FD1704" w:rsidP="009F6271">
            <w:pPr>
              <w:rPr>
                <w:rFonts w:cs="Arial"/>
                <w:lang w:val="en-IN"/>
              </w:rPr>
            </w:pPr>
            <w:r w:rsidRPr="009F6271">
              <w:rPr>
                <w:rFonts w:cs="Arial"/>
                <w:b/>
                <w:bCs/>
                <w:lang w:val="en-IN"/>
              </w:rPr>
              <w:t>Netflix's Strategic Response</w:t>
            </w:r>
          </w:p>
        </w:tc>
        <w:tc>
          <w:tcPr>
            <w:tcW w:w="0" w:type="auto"/>
          </w:tcPr>
          <w:p w14:paraId="317BD0E1" w14:textId="77777777" w:rsidR="00FD1704" w:rsidRPr="009F6271" w:rsidRDefault="00FD1704" w:rsidP="009F6271">
            <w:pPr>
              <w:rPr>
                <w:rFonts w:cs="Arial"/>
                <w:b/>
                <w:bCs/>
                <w:lang w:val="en-IN"/>
              </w:rPr>
            </w:pPr>
          </w:p>
        </w:tc>
      </w:tr>
      <w:tr w:rsidR="00FD1704" w:rsidRPr="009F6271" w14:paraId="776D2CBC" w14:textId="22658399" w:rsidTr="00FD170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49DBF8F" w14:textId="77777777" w:rsidR="00FD1704" w:rsidRPr="009F6271" w:rsidRDefault="00FD1704" w:rsidP="009F6271">
            <w:pPr>
              <w:rPr>
                <w:rFonts w:cs="Arial"/>
                <w:lang w:val="en-IN"/>
              </w:rPr>
            </w:pPr>
            <w:r w:rsidRPr="009F6271">
              <w:rPr>
                <w:rFonts w:cs="Arial"/>
                <w:b/>
                <w:bCs/>
                <w:lang w:val="en-IN"/>
              </w:rPr>
              <w:t>Cultural</w:t>
            </w:r>
          </w:p>
        </w:tc>
        <w:tc>
          <w:tcPr>
            <w:tcW w:w="0" w:type="auto"/>
            <w:tcBorders>
              <w:top w:val="single" w:sz="6" w:space="0" w:color="auto"/>
              <w:left w:val="single" w:sz="6" w:space="0" w:color="auto"/>
              <w:bottom w:val="single" w:sz="6" w:space="0" w:color="auto"/>
              <w:right w:val="single" w:sz="6" w:space="0" w:color="auto"/>
            </w:tcBorders>
            <w:vAlign w:val="center"/>
            <w:hideMark/>
          </w:tcPr>
          <w:p w14:paraId="52CAA312" w14:textId="77777777" w:rsidR="00FD1704" w:rsidRPr="009F6271" w:rsidRDefault="00FD1704" w:rsidP="009F6271">
            <w:pPr>
              <w:rPr>
                <w:rFonts w:cs="Arial"/>
                <w:lang w:val="en-IN"/>
              </w:rPr>
            </w:pPr>
            <w:r w:rsidRPr="009F6271">
              <w:rPr>
                <w:rFonts w:cs="Arial"/>
                <w:lang w:val="en-IN"/>
              </w:rPr>
              <w:t>Deep linguistic fragmentation; historical preference for communal/family television viewing.</w:t>
            </w:r>
          </w:p>
        </w:tc>
        <w:tc>
          <w:tcPr>
            <w:tcW w:w="0" w:type="auto"/>
            <w:tcBorders>
              <w:top w:val="single" w:sz="6" w:space="0" w:color="auto"/>
              <w:left w:val="single" w:sz="6" w:space="0" w:color="auto"/>
              <w:bottom w:val="single" w:sz="6" w:space="0" w:color="auto"/>
              <w:right w:val="single" w:sz="6" w:space="0" w:color="auto"/>
            </w:tcBorders>
            <w:vAlign w:val="center"/>
            <w:hideMark/>
          </w:tcPr>
          <w:p w14:paraId="42DEC660" w14:textId="77777777" w:rsidR="00FD1704" w:rsidRPr="009F6271" w:rsidRDefault="00FD1704" w:rsidP="009F6271">
            <w:pPr>
              <w:rPr>
                <w:rFonts w:cs="Arial"/>
                <w:lang w:val="en-IN"/>
              </w:rPr>
            </w:pPr>
            <w:r w:rsidRPr="009F6271">
              <w:rPr>
                <w:rFonts w:cs="Arial"/>
                <w:lang w:val="en-IN"/>
              </w:rPr>
              <w:t>Heavy investment in regional language originals (Tamil, Telugu); optimized UI for individualized mobile viewing.</w:t>
            </w:r>
          </w:p>
        </w:tc>
        <w:tc>
          <w:tcPr>
            <w:tcW w:w="0" w:type="auto"/>
          </w:tcPr>
          <w:p w14:paraId="2B765129" w14:textId="77777777" w:rsidR="00FD1704" w:rsidRPr="009F6271" w:rsidRDefault="00FD1704" w:rsidP="009F6271">
            <w:pPr>
              <w:rPr>
                <w:rFonts w:cs="Arial"/>
                <w:lang w:val="en-IN"/>
              </w:rPr>
            </w:pPr>
          </w:p>
        </w:tc>
      </w:tr>
      <w:tr w:rsidR="00FD1704" w:rsidRPr="009F6271" w14:paraId="0840EFF5" w14:textId="4481FFD2" w:rsidTr="00FD170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25A1CA9" w14:textId="77777777" w:rsidR="00FD1704" w:rsidRPr="009F6271" w:rsidRDefault="00FD1704" w:rsidP="009F6271">
            <w:pPr>
              <w:rPr>
                <w:rFonts w:cs="Arial"/>
                <w:lang w:val="en-IN"/>
              </w:rPr>
            </w:pPr>
            <w:r w:rsidRPr="009F6271">
              <w:rPr>
                <w:rFonts w:cs="Arial"/>
                <w:b/>
                <w:bCs/>
                <w:lang w:val="en-IN"/>
              </w:rPr>
              <w:t>Administrative</w:t>
            </w:r>
          </w:p>
        </w:tc>
        <w:tc>
          <w:tcPr>
            <w:tcW w:w="0" w:type="auto"/>
            <w:tcBorders>
              <w:top w:val="single" w:sz="6" w:space="0" w:color="auto"/>
              <w:left w:val="single" w:sz="6" w:space="0" w:color="auto"/>
              <w:bottom w:val="single" w:sz="6" w:space="0" w:color="auto"/>
              <w:right w:val="single" w:sz="6" w:space="0" w:color="auto"/>
            </w:tcBorders>
            <w:vAlign w:val="center"/>
            <w:hideMark/>
          </w:tcPr>
          <w:p w14:paraId="460A5CAE" w14:textId="77777777" w:rsidR="00FD1704" w:rsidRPr="009F6271" w:rsidRDefault="00FD1704" w:rsidP="009F6271">
            <w:pPr>
              <w:rPr>
                <w:rFonts w:cs="Arial"/>
                <w:lang w:val="en-IN"/>
              </w:rPr>
            </w:pPr>
            <w:r w:rsidRPr="009F6271">
              <w:rPr>
                <w:rFonts w:cs="Arial"/>
                <w:lang w:val="en-IN"/>
              </w:rPr>
              <w:t>Shift from unregulated digital space to strict IT Rules (2021); lack of native telecommunications infrastructure.</w:t>
            </w:r>
          </w:p>
        </w:tc>
        <w:tc>
          <w:tcPr>
            <w:tcW w:w="0" w:type="auto"/>
            <w:tcBorders>
              <w:top w:val="single" w:sz="6" w:space="0" w:color="auto"/>
              <w:left w:val="single" w:sz="6" w:space="0" w:color="auto"/>
              <w:bottom w:val="single" w:sz="6" w:space="0" w:color="auto"/>
              <w:right w:val="single" w:sz="6" w:space="0" w:color="auto"/>
            </w:tcBorders>
            <w:vAlign w:val="center"/>
            <w:hideMark/>
          </w:tcPr>
          <w:p w14:paraId="16925E86" w14:textId="77777777" w:rsidR="00FD1704" w:rsidRPr="009F6271" w:rsidRDefault="00FD1704" w:rsidP="009F6271">
            <w:pPr>
              <w:rPr>
                <w:rFonts w:cs="Arial"/>
                <w:lang w:val="en-IN"/>
              </w:rPr>
            </w:pPr>
            <w:r w:rsidRPr="009F6271">
              <w:rPr>
                <w:rFonts w:cs="Arial"/>
                <w:lang w:val="en-IN"/>
              </w:rPr>
              <w:t>Built dedicated local compliance/legal teams; formed strategic administrative billing partnerships with Airtel and Jio.</w:t>
            </w:r>
          </w:p>
        </w:tc>
        <w:tc>
          <w:tcPr>
            <w:tcW w:w="0" w:type="auto"/>
          </w:tcPr>
          <w:p w14:paraId="4A3FF08F" w14:textId="77777777" w:rsidR="00FD1704" w:rsidRPr="009F6271" w:rsidRDefault="00FD1704" w:rsidP="009F6271">
            <w:pPr>
              <w:rPr>
                <w:rFonts w:cs="Arial"/>
                <w:lang w:val="en-IN"/>
              </w:rPr>
            </w:pPr>
          </w:p>
        </w:tc>
      </w:tr>
      <w:tr w:rsidR="00FD1704" w:rsidRPr="009F6271" w14:paraId="353D0636" w14:textId="0DF2B0E1" w:rsidTr="00FD170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E42431A" w14:textId="77777777" w:rsidR="00FD1704" w:rsidRPr="009F6271" w:rsidRDefault="00FD1704" w:rsidP="009F6271">
            <w:pPr>
              <w:rPr>
                <w:rFonts w:cs="Arial"/>
                <w:lang w:val="en-IN"/>
              </w:rPr>
            </w:pPr>
            <w:r w:rsidRPr="009F6271">
              <w:rPr>
                <w:rFonts w:cs="Arial"/>
                <w:b/>
                <w:bCs/>
                <w:lang w:val="en-IN"/>
              </w:rPr>
              <w:t>Geographic</w:t>
            </w:r>
          </w:p>
        </w:tc>
        <w:tc>
          <w:tcPr>
            <w:tcW w:w="0" w:type="auto"/>
            <w:tcBorders>
              <w:top w:val="single" w:sz="6" w:space="0" w:color="auto"/>
              <w:left w:val="single" w:sz="6" w:space="0" w:color="auto"/>
              <w:bottom w:val="single" w:sz="6" w:space="0" w:color="auto"/>
              <w:right w:val="single" w:sz="6" w:space="0" w:color="auto"/>
            </w:tcBorders>
            <w:vAlign w:val="center"/>
            <w:hideMark/>
          </w:tcPr>
          <w:p w14:paraId="0F14FFA9" w14:textId="77777777" w:rsidR="00FD1704" w:rsidRPr="009F6271" w:rsidRDefault="00FD1704" w:rsidP="009F6271">
            <w:pPr>
              <w:rPr>
                <w:rFonts w:cs="Arial"/>
                <w:lang w:val="en-IN"/>
              </w:rPr>
            </w:pPr>
            <w:r w:rsidRPr="009F6271">
              <w:rPr>
                <w:rFonts w:cs="Arial"/>
                <w:lang w:val="en-IN"/>
              </w:rPr>
              <w:t>Vast geography relying on fluctuating 4G/5G mobile networks rather than stable, high-speed fiber broadband.</w:t>
            </w:r>
          </w:p>
        </w:tc>
        <w:tc>
          <w:tcPr>
            <w:tcW w:w="0" w:type="auto"/>
            <w:tcBorders>
              <w:top w:val="single" w:sz="6" w:space="0" w:color="auto"/>
              <w:left w:val="single" w:sz="6" w:space="0" w:color="auto"/>
              <w:bottom w:val="single" w:sz="6" w:space="0" w:color="auto"/>
              <w:right w:val="single" w:sz="6" w:space="0" w:color="auto"/>
            </w:tcBorders>
            <w:vAlign w:val="center"/>
            <w:hideMark/>
          </w:tcPr>
          <w:p w14:paraId="33A0A740" w14:textId="77777777" w:rsidR="00FD1704" w:rsidRPr="009F6271" w:rsidRDefault="00FD1704" w:rsidP="009F6271">
            <w:pPr>
              <w:rPr>
                <w:rFonts w:cs="Arial"/>
                <w:lang w:val="en-IN"/>
              </w:rPr>
            </w:pPr>
            <w:r w:rsidRPr="009F6271">
              <w:rPr>
                <w:rFonts w:cs="Arial"/>
                <w:lang w:val="en-IN"/>
              </w:rPr>
              <w:t>Re-engineered adaptive streaming and compression algorithms to prevent buffering on low-bandwidth mobile connections.</w:t>
            </w:r>
          </w:p>
        </w:tc>
        <w:tc>
          <w:tcPr>
            <w:tcW w:w="0" w:type="auto"/>
          </w:tcPr>
          <w:p w14:paraId="32786422" w14:textId="77777777" w:rsidR="00FD1704" w:rsidRPr="009F6271" w:rsidRDefault="00FD1704" w:rsidP="009F6271">
            <w:pPr>
              <w:rPr>
                <w:rFonts w:cs="Arial"/>
                <w:lang w:val="en-IN"/>
              </w:rPr>
            </w:pPr>
          </w:p>
        </w:tc>
      </w:tr>
      <w:tr w:rsidR="00FD1704" w:rsidRPr="009F6271" w14:paraId="546FE231" w14:textId="249843CE" w:rsidTr="00FD170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12415CB" w14:textId="77777777" w:rsidR="00FD1704" w:rsidRPr="009F6271" w:rsidRDefault="00FD1704" w:rsidP="009F6271">
            <w:pPr>
              <w:rPr>
                <w:rFonts w:cs="Arial"/>
                <w:lang w:val="en-IN"/>
              </w:rPr>
            </w:pPr>
            <w:r w:rsidRPr="009F6271">
              <w:rPr>
                <w:rFonts w:cs="Arial"/>
                <w:b/>
                <w:bCs/>
                <w:lang w:val="en-IN"/>
              </w:rPr>
              <w:t>Economic</w:t>
            </w:r>
          </w:p>
        </w:tc>
        <w:tc>
          <w:tcPr>
            <w:tcW w:w="0" w:type="auto"/>
            <w:tcBorders>
              <w:top w:val="single" w:sz="6" w:space="0" w:color="auto"/>
              <w:left w:val="single" w:sz="6" w:space="0" w:color="auto"/>
              <w:bottom w:val="single" w:sz="6" w:space="0" w:color="auto"/>
              <w:right w:val="single" w:sz="6" w:space="0" w:color="auto"/>
            </w:tcBorders>
            <w:vAlign w:val="center"/>
            <w:hideMark/>
          </w:tcPr>
          <w:p w14:paraId="6064CDDB" w14:textId="77777777" w:rsidR="00FD1704" w:rsidRPr="009F6271" w:rsidRDefault="00FD1704" w:rsidP="009F6271">
            <w:pPr>
              <w:rPr>
                <w:rFonts w:cs="Arial"/>
                <w:lang w:val="en-IN"/>
              </w:rPr>
            </w:pPr>
            <w:r w:rsidRPr="009F6271">
              <w:rPr>
                <w:rFonts w:cs="Arial"/>
                <w:lang w:val="en-IN"/>
              </w:rPr>
              <w:t>Extremely high price sensitivity; massive disparity in Purchasing Power Parity (PPP) compared to Western markets.</w:t>
            </w:r>
          </w:p>
        </w:tc>
        <w:tc>
          <w:tcPr>
            <w:tcW w:w="0" w:type="auto"/>
            <w:tcBorders>
              <w:top w:val="single" w:sz="6" w:space="0" w:color="auto"/>
              <w:left w:val="single" w:sz="6" w:space="0" w:color="auto"/>
              <w:bottom w:val="single" w:sz="6" w:space="0" w:color="auto"/>
              <w:right w:val="single" w:sz="6" w:space="0" w:color="auto"/>
            </w:tcBorders>
            <w:vAlign w:val="center"/>
            <w:hideMark/>
          </w:tcPr>
          <w:p w14:paraId="163A44D8" w14:textId="77777777" w:rsidR="00FD1704" w:rsidRPr="009F6271" w:rsidRDefault="00FD1704" w:rsidP="009F6271">
            <w:pPr>
              <w:rPr>
                <w:rFonts w:cs="Arial"/>
                <w:lang w:val="en-IN"/>
              </w:rPr>
            </w:pPr>
            <w:r w:rsidRPr="009F6271">
              <w:rPr>
                <w:rFonts w:cs="Arial"/>
                <w:lang w:val="en-IN"/>
              </w:rPr>
              <w:t>Abandoned global standardization to introduce hyper-localized, highly discounted "mobile-only" subscription tiers.</w:t>
            </w:r>
          </w:p>
        </w:tc>
        <w:tc>
          <w:tcPr>
            <w:tcW w:w="0" w:type="auto"/>
          </w:tcPr>
          <w:p w14:paraId="006E0484" w14:textId="77777777" w:rsidR="00FD1704" w:rsidRPr="009F6271" w:rsidRDefault="00FD1704" w:rsidP="00FD1704">
            <w:pPr>
              <w:keepNext/>
              <w:rPr>
                <w:rFonts w:cs="Arial"/>
                <w:lang w:val="en-IN"/>
              </w:rPr>
            </w:pPr>
          </w:p>
        </w:tc>
      </w:tr>
    </w:tbl>
    <w:p w14:paraId="418ED4E2" w14:textId="539FAB42" w:rsidR="009F6271" w:rsidRPr="00B113E7" w:rsidRDefault="00FD1704" w:rsidP="00FD1704">
      <w:pPr>
        <w:pStyle w:val="Caption"/>
        <w:rPr>
          <w:rFonts w:cs="Arial"/>
          <w:lang w:val="en-IN"/>
        </w:rPr>
      </w:pPr>
      <w:r>
        <w:t xml:space="preserve">Figure </w:t>
      </w:r>
      <w:fldSimple w:instr=" SEQ Figure \* ARABIC ">
        <w:r w:rsidR="00A55C20">
          <w:rPr>
            <w:noProof/>
          </w:rPr>
          <w:t>4</w:t>
        </w:r>
      </w:fldSimple>
      <w:r>
        <w:t xml:space="preserve">: </w:t>
      </w:r>
      <w:r w:rsidRPr="000E7286">
        <w:t>Compiled by Author</w:t>
      </w:r>
      <w:r>
        <w:t>:</w:t>
      </w:r>
    </w:p>
    <w:p w14:paraId="5FA1498E" w14:textId="77777777" w:rsidR="008D7339" w:rsidRPr="008D7339" w:rsidRDefault="008D7339" w:rsidP="00353AC7">
      <w:pPr>
        <w:pStyle w:val="Heading3"/>
      </w:pPr>
      <w:bookmarkStart w:id="10" w:name="_Toc224920768"/>
      <w:r w:rsidRPr="008D7339">
        <w:t>4.3 PESTEL Analysis of Netflix in India</w:t>
      </w:r>
      <w:bookmarkEnd w:id="10"/>
    </w:p>
    <w:p w14:paraId="498FA72D" w14:textId="73D42C44" w:rsidR="008D7339" w:rsidRPr="00824A92" w:rsidRDefault="00824A92" w:rsidP="008D7339">
      <w:pPr>
        <w:rPr>
          <w:lang w:val="en-IN"/>
        </w:rPr>
      </w:pPr>
      <w:r w:rsidRPr="00824A92">
        <w:rPr>
          <w:lang w:val="en-IN"/>
        </w:rPr>
        <w:t>Using the PESTEL framework provides a better idea of the various macro-environmental factors impacting Netflix in India across six different areas</w:t>
      </w:r>
      <w:r w:rsidR="001629FF">
        <w:rPr>
          <w:lang w:val="en-IN"/>
        </w:rPr>
        <w:t xml:space="preserve"> (Johnson et al., 2020)</w:t>
      </w:r>
      <w:r w:rsidRPr="00824A92">
        <w:rPr>
          <w:lang w:val="en-IN"/>
        </w:rPr>
        <w:t>.</w:t>
      </w:r>
    </w:p>
    <w:p w14:paraId="270D33FA" w14:textId="77777777" w:rsidR="008D7339" w:rsidRPr="008D7339" w:rsidRDefault="008D7339" w:rsidP="008D7339">
      <w:r w:rsidRPr="008D7339">
        <w:rPr>
          <w:b/>
          <w:bCs/>
        </w:rPr>
        <w:t>Political Factors</w:t>
      </w:r>
    </w:p>
    <w:p w14:paraId="3BAD3A42" w14:textId="23C3385D" w:rsidR="00A86309" w:rsidRPr="00F5045F" w:rsidRDefault="00F5045F" w:rsidP="008D7339">
      <w:pPr>
        <w:rPr>
          <w:lang w:val="en-IN"/>
        </w:rPr>
      </w:pPr>
      <w:r w:rsidRPr="00F5045F">
        <w:rPr>
          <w:lang w:val="en-IN"/>
        </w:rPr>
        <w:t xml:space="preserve">The environment in which foreign digital media companies operate in India has significantly changed over the past several years. This change has not been in favor of platforms such as Netflix. The Ministry of Information and Broadcasting has become an increasing presence in the OTT space. Debate regarding the Broadcasting Services (Regulation) Bill points toward the Government of India’s </w:t>
      </w:r>
      <w:r w:rsidRPr="00F5045F">
        <w:rPr>
          <w:lang w:val="en-IN"/>
        </w:rPr>
        <w:lastRenderedPageBreak/>
        <w:t>desire</w:t>
      </w:r>
      <w:r w:rsidR="00250672">
        <w:rPr>
          <w:lang w:val="en-IN"/>
        </w:rPr>
        <w:t xml:space="preserve"> (Government of India, Ministry of Information and Broadcasting, 2024)</w:t>
      </w:r>
      <w:r w:rsidRPr="00F5045F">
        <w:rPr>
          <w:lang w:val="en-IN"/>
        </w:rPr>
        <w:t xml:space="preserve"> to bring all streaming platforms under the same regulatory umbrella as traditional television broadcasters. The proposal for a Content Evaluation Committee to pre-certify all digital content is particularly relevant. If implemented, this would essentially place digital content under a form of pre-censorship, which is diametrically opposed to Netflix’ brand positioning of being a platform that allows for diverse, unfiltered storytelling. To manage this opposition, Netflix will need to continue to invest in the relationship with the government and make content-related decisions that may not solely be editorial in nature.</w:t>
      </w:r>
    </w:p>
    <w:p w14:paraId="68D2C5C1" w14:textId="77777777" w:rsidR="008D7339" w:rsidRPr="008D7339" w:rsidRDefault="008D7339" w:rsidP="008D7339">
      <w:r w:rsidRPr="008D7339">
        <w:rPr>
          <w:b/>
          <w:bCs/>
        </w:rPr>
        <w:t>Economic Factors</w:t>
      </w:r>
    </w:p>
    <w:p w14:paraId="14A5B0FB" w14:textId="43D51A0E" w:rsidR="008D7339" w:rsidRPr="000432CA" w:rsidRDefault="000432CA" w:rsidP="008D7339">
      <w:pPr>
        <w:rPr>
          <w:lang w:val="en-IN"/>
        </w:rPr>
      </w:pPr>
      <w:r w:rsidRPr="000432CA">
        <w:rPr>
          <w:lang w:val="en-IN"/>
        </w:rPr>
        <w:t xml:space="preserve">India is, economically, a high-volume, low margin environment. The competitive forces have increased since the $8.5 billion merger between Reliance Industries and Walt Disney’s Indian division. The combined JioHotstar entity now has the financial resources to aggressively subsidize content </w:t>
      </w:r>
      <w:r w:rsidR="00250672">
        <w:rPr>
          <w:lang w:val="en-IN"/>
        </w:rPr>
        <w:t xml:space="preserve">(Reuters, 2024) </w:t>
      </w:r>
      <w:r w:rsidRPr="000432CA">
        <w:rPr>
          <w:lang w:val="en-IN"/>
        </w:rPr>
        <w:t xml:space="preserve">and promote freemium and ad-supported video-on-demand (AVOD) models at a scale that a pure play subscription-video-on-demand (SVOD) platform cannot compete with directly. </w:t>
      </w:r>
      <w:r w:rsidRPr="000432CA">
        <w:rPr>
          <w:lang w:val="en-IN"/>
        </w:rPr>
        <w:br/>
        <w:t>Netflix’ response to these competitive forces has been to reduce prices as much as possible while maintaining the subscription model. For example, the mobile-only plans offered by Netflix in India at less than $2 per month represents a huge departure from the $15 + tiers that serve as the foundation of its Western business. However, pricing is not the only economic force impacting Netflix. Digital Service Taxes levied on multinational technology companies continue to erode margins. All of the major investments in original content in India require a cost-benefit analysis that is significantly more stringent than those in Netflix’ primary markets.</w:t>
      </w:r>
    </w:p>
    <w:p w14:paraId="33835A70" w14:textId="77777777" w:rsidR="008D7339" w:rsidRPr="008D7339" w:rsidRDefault="008D7339" w:rsidP="008D7339">
      <w:r w:rsidRPr="008D7339">
        <w:rPr>
          <w:b/>
          <w:bCs/>
        </w:rPr>
        <w:t>Socio-Cultural Factors</w:t>
      </w:r>
    </w:p>
    <w:p w14:paraId="68C2D021" w14:textId="5D3B600D" w:rsidR="008B60A8" w:rsidRPr="00CC499C" w:rsidRDefault="00CC499C" w:rsidP="008D7339">
      <w:pPr>
        <w:rPr>
          <w:lang w:val="en-IN"/>
        </w:rPr>
      </w:pPr>
      <w:r w:rsidRPr="00CC499C">
        <w:rPr>
          <w:lang w:val="en-IN"/>
        </w:rPr>
        <w:t xml:space="preserve">India’s socio-cultural complexity has been a major driver of Netflix’s content strategy. The early user base of Netflix in India consisted primarily of urban residents who spoke English and were relatively affluent. Although there are users in this demographic, they do not constitute a sufficient size to support a viable business model. As a result, Netflix quickly recognized that a focus on this demographic alone was unsustainable. Since then, Netflix has invested heavily in producing original content in India across multiple languages including Tamil, Telugu, Malayalam and Bengali, along with Hindi. These language-specific productions reflect a recognition that India’s linguistic diversity is not a challenge to be managed around, but a fundamental component of the content strategy. </w:t>
      </w:r>
      <w:r w:rsidRPr="00CC499C">
        <w:rPr>
          <w:lang w:val="en-IN"/>
        </w:rPr>
        <w:br/>
        <w:t xml:space="preserve">Additionally, how Indians consume content has dramatically altered. Television was typically viewed as a shared, communal experience. With the advent of affordable mobile data, television viewing became an individually consumed activity that pulled viewers away from the television screen and onto personal screens. The recommendation engines and interfaces of Netflix have required adaptations that </w:t>
      </w:r>
      <w:r w:rsidRPr="00CC499C">
        <w:rPr>
          <w:lang w:val="en-IN"/>
        </w:rPr>
        <w:lastRenderedPageBreak/>
        <w:t>differ significantly from those used in countries where smart television viewing is prevalent.</w:t>
      </w:r>
    </w:p>
    <w:p w14:paraId="08184CA8" w14:textId="77777777" w:rsidR="008D7339" w:rsidRPr="008D7339" w:rsidRDefault="008D7339" w:rsidP="008D7339">
      <w:r w:rsidRPr="008D7339">
        <w:rPr>
          <w:b/>
          <w:bCs/>
        </w:rPr>
        <w:t>Technological Factors</w:t>
      </w:r>
    </w:p>
    <w:p w14:paraId="27417E9B" w14:textId="3EDF947A" w:rsidR="008D7339" w:rsidRPr="00526073" w:rsidRDefault="004321D2" w:rsidP="008D7339">
      <w:pPr>
        <w:rPr>
          <w:lang w:val="en-IN"/>
        </w:rPr>
      </w:pPr>
      <w:r w:rsidRPr="004321D2">
        <w:rPr>
          <w:lang w:val="en-IN"/>
        </w:rPr>
        <w:t xml:space="preserve">In terms of technological factors, India has a high level of 4G and 5G penetration. However, there are areas in India where bandwidth availability is unreliable and unstable. This issue can create a true operational problem for a platform that relies upon high quality streaming. </w:t>
      </w:r>
      <w:r w:rsidRPr="004321D2">
        <w:rPr>
          <w:lang w:val="en-IN"/>
        </w:rPr>
        <w:br/>
        <w:t xml:space="preserve">Netflix’s approach to this concern is its Open Connect network. Through installing Open Connect Appliances (which are specialized servers) into the networks of local Indian Internet Service Providers (ISPs), Netflix is able to cache high demand content near the end user. This caching action reduces latency and allows for the viewing experience to remain intact even when users have limited mobile connection. Additionally, Netflix uses advanced compression technologies such as AV1. AV1 compresses high definition video while reducing the amount of data that is consumed, resulting in a lower cost than would otherwise be incurred using standard data rates. </w:t>
      </w:r>
      <w:r w:rsidRPr="004321D2">
        <w:rPr>
          <w:lang w:val="en-IN"/>
        </w:rPr>
        <w:br/>
        <w:t>Therefore, the technical infrastructure created by Netflix is significantly more suitable for the network conditions present in India than those used in other regions. Furthermore, in countries with mobile data caps limiting usage, having this capability is important.</w:t>
      </w:r>
    </w:p>
    <w:p w14:paraId="16A2D548" w14:textId="77777777" w:rsidR="008D7339" w:rsidRPr="008D7339" w:rsidRDefault="008D7339" w:rsidP="008D7339">
      <w:r w:rsidRPr="008D7339">
        <w:rPr>
          <w:b/>
          <w:bCs/>
        </w:rPr>
        <w:t>Environmental Factors</w:t>
      </w:r>
    </w:p>
    <w:p w14:paraId="7FDCDDE1" w14:textId="5BF89E3F" w:rsidR="008D7339" w:rsidRPr="00526073" w:rsidRDefault="00526073" w:rsidP="008D7339">
      <w:pPr>
        <w:rPr>
          <w:lang w:val="en-IN"/>
        </w:rPr>
      </w:pPr>
      <w:r w:rsidRPr="00526073">
        <w:rPr>
          <w:lang w:val="en-IN"/>
        </w:rPr>
        <w:t xml:space="preserve">Although streaming is often viewed as a clean industry, the environmental aspects of content creation and data infrastructure are starting to attract increasing amounts of regulatory and investor scrutiny. As a result, the scope 3 emissions associated with Netflix's supply chain and production activities globally are now being included in these discussions. </w:t>
      </w:r>
      <w:r w:rsidRPr="00526073">
        <w:rPr>
          <w:lang w:val="en-IN"/>
        </w:rPr>
        <w:br/>
        <w:t>As Netflix begins producing larger scale film and television productions in India, the company has started implementing green procurement policies, eliminating physical marketing materials, and encouraging its vendors to implement sustainable filmmaking practices. These commitments are beginning to form part of Netflix' management of corporate governance in India; less a voluntary commitment and more of an expectation from the institutional investors and partners it collaborates with.</w:t>
      </w:r>
    </w:p>
    <w:p w14:paraId="5738FFD1" w14:textId="77777777" w:rsidR="008D7339" w:rsidRPr="008D7339" w:rsidRDefault="008D7339" w:rsidP="008D7339">
      <w:r w:rsidRPr="008D7339">
        <w:rPr>
          <w:b/>
          <w:bCs/>
        </w:rPr>
        <w:t>Legal Factors</w:t>
      </w:r>
    </w:p>
    <w:p w14:paraId="1710AA16" w14:textId="1669A549" w:rsidR="00990EB6" w:rsidRDefault="007828FA" w:rsidP="008D7339">
      <w:pPr>
        <w:rPr>
          <w:lang w:val="en-IN"/>
        </w:rPr>
      </w:pPr>
      <w:r w:rsidRPr="007828FA">
        <w:rPr>
          <w:lang w:val="en-IN"/>
        </w:rPr>
        <w:t>Legal issues have their own complexities. The IT Rules require an OTT platform (Netflix) to establish a three tiered grievance redressal system</w:t>
      </w:r>
      <w:r w:rsidR="00250672">
        <w:rPr>
          <w:lang w:val="en-IN"/>
        </w:rPr>
        <w:t xml:space="preserve"> (</w:t>
      </w:r>
      <w:r w:rsidR="00120481" w:rsidRPr="00120481">
        <w:t>Government of India, Ministry of Electronics and Information Technology, 2021</w:t>
      </w:r>
      <w:r w:rsidR="00250672">
        <w:rPr>
          <w:lang w:val="en-IN"/>
        </w:rPr>
        <w:t>)</w:t>
      </w:r>
      <w:r w:rsidRPr="007828FA">
        <w:rPr>
          <w:lang w:val="en-IN"/>
        </w:rPr>
        <w:t xml:space="preserve">. Therefore, it is legally required for the company to monitor and respond to complaints regarding culturally sensitive content that may be aired within the defined time frames. This means there are real costs associated with establishing this type of infrastructure as well as real </w:t>
      </w:r>
      <w:r w:rsidRPr="007828FA">
        <w:rPr>
          <w:lang w:val="en-IN"/>
        </w:rPr>
        <w:lastRenderedPageBreak/>
        <w:t xml:space="preserve">risks to the company's reputation if a complaint is not responded to in a timely manner or if the company makes poor decisions related to content that is culturally sensitive. </w:t>
      </w:r>
      <w:r w:rsidRPr="007828FA">
        <w:rPr>
          <w:lang w:val="en-IN"/>
        </w:rPr>
        <w:br/>
        <w:t>Taxation has generated additional legal issues. A ruling from the Mumbai Income Tax Appellate Tribunal allowed Netflix India to be categorized as a "limited-risk distributor," instead of a full-fledged content developer</w:t>
      </w:r>
      <w:r w:rsidR="00250672">
        <w:rPr>
          <w:lang w:val="en-IN"/>
        </w:rPr>
        <w:t xml:space="preserve"> (The Economic Times, 2024)</w:t>
      </w:r>
      <w:r w:rsidRPr="007828FA">
        <w:rPr>
          <w:lang w:val="en-IN"/>
        </w:rPr>
        <w:t>. This means that the global IP-holding structure of Netflix will not suffer a major transfer pricing adjustment. To achieve this categorization required serious legal efforts, which demonstrates how much success in the Indian market can depend on achieving the correct legal framework.</w:t>
      </w:r>
    </w:p>
    <w:p w14:paraId="3B7485D8" w14:textId="77777777" w:rsidR="00A55C20" w:rsidRPr="00A55C20" w:rsidRDefault="00A55C20" w:rsidP="00A55C20">
      <w:pPr>
        <w:rPr>
          <w:lang w:val="en-IN"/>
        </w:rPr>
      </w:pPr>
      <w:r w:rsidRPr="00A55C20">
        <w:rPr>
          <w:b/>
          <w:bCs/>
          <w:lang w:val="en-IN"/>
        </w:rPr>
        <w:t>Table 2: PESTEL Macro-Environmental Impact on Netflix India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72"/>
        <w:gridCol w:w="3307"/>
        <w:gridCol w:w="3931"/>
      </w:tblGrid>
      <w:tr w:rsidR="00A55C20" w:rsidRPr="00A55C20" w14:paraId="3A9DFF13"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03F7CF3" w14:textId="77777777" w:rsidR="00A55C20" w:rsidRPr="00A55C20" w:rsidRDefault="00A55C20" w:rsidP="00A55C20">
            <w:pPr>
              <w:rPr>
                <w:lang w:val="en-IN"/>
              </w:rPr>
            </w:pPr>
            <w:r w:rsidRPr="00A55C20">
              <w:rPr>
                <w:b/>
                <w:bCs/>
                <w:lang w:val="en-IN"/>
              </w:rPr>
              <w:t>Macro Factor</w:t>
            </w:r>
          </w:p>
        </w:tc>
        <w:tc>
          <w:tcPr>
            <w:tcW w:w="0" w:type="auto"/>
            <w:tcBorders>
              <w:top w:val="single" w:sz="6" w:space="0" w:color="auto"/>
              <w:left w:val="single" w:sz="6" w:space="0" w:color="auto"/>
              <w:bottom w:val="single" w:sz="6" w:space="0" w:color="auto"/>
              <w:right w:val="single" w:sz="6" w:space="0" w:color="auto"/>
            </w:tcBorders>
            <w:vAlign w:val="center"/>
            <w:hideMark/>
          </w:tcPr>
          <w:p w14:paraId="1EA922B6" w14:textId="77777777" w:rsidR="00A55C20" w:rsidRPr="00A55C20" w:rsidRDefault="00A55C20" w:rsidP="00A55C20">
            <w:pPr>
              <w:rPr>
                <w:lang w:val="en-IN"/>
              </w:rPr>
            </w:pPr>
            <w:r w:rsidRPr="00A55C20">
              <w:rPr>
                <w:b/>
                <w:bCs/>
                <w:lang w:val="en-IN"/>
              </w:rPr>
              <w:t>Specific Market Variable</w:t>
            </w:r>
          </w:p>
        </w:tc>
        <w:tc>
          <w:tcPr>
            <w:tcW w:w="0" w:type="auto"/>
            <w:tcBorders>
              <w:top w:val="single" w:sz="6" w:space="0" w:color="auto"/>
              <w:left w:val="single" w:sz="6" w:space="0" w:color="auto"/>
              <w:bottom w:val="single" w:sz="6" w:space="0" w:color="auto"/>
              <w:right w:val="single" w:sz="6" w:space="0" w:color="auto"/>
            </w:tcBorders>
            <w:vAlign w:val="center"/>
            <w:hideMark/>
          </w:tcPr>
          <w:p w14:paraId="59A56EF1" w14:textId="77777777" w:rsidR="00A55C20" w:rsidRPr="00A55C20" w:rsidRDefault="00A55C20" w:rsidP="00A55C20">
            <w:pPr>
              <w:rPr>
                <w:lang w:val="en-IN"/>
              </w:rPr>
            </w:pPr>
            <w:r w:rsidRPr="00A55C20">
              <w:rPr>
                <w:b/>
                <w:bCs/>
                <w:lang w:val="en-IN"/>
              </w:rPr>
              <w:t>Strategic Impact / Risk to Netflix</w:t>
            </w:r>
          </w:p>
        </w:tc>
      </w:tr>
      <w:tr w:rsidR="00A55C20" w:rsidRPr="00A55C20" w14:paraId="608CE46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A4F487A" w14:textId="77777777" w:rsidR="00A55C20" w:rsidRPr="00A55C20" w:rsidRDefault="00A55C20" w:rsidP="00A55C20">
            <w:pPr>
              <w:rPr>
                <w:lang w:val="en-IN"/>
              </w:rPr>
            </w:pPr>
            <w:r w:rsidRPr="00A55C20">
              <w:rPr>
                <w:b/>
                <w:bCs/>
                <w:lang w:val="en-IN"/>
              </w:rPr>
              <w:t>Political</w:t>
            </w:r>
          </w:p>
        </w:tc>
        <w:tc>
          <w:tcPr>
            <w:tcW w:w="0" w:type="auto"/>
            <w:tcBorders>
              <w:top w:val="single" w:sz="6" w:space="0" w:color="auto"/>
              <w:left w:val="single" w:sz="6" w:space="0" w:color="auto"/>
              <w:bottom w:val="single" w:sz="6" w:space="0" w:color="auto"/>
              <w:right w:val="single" w:sz="6" w:space="0" w:color="auto"/>
            </w:tcBorders>
            <w:vAlign w:val="center"/>
            <w:hideMark/>
          </w:tcPr>
          <w:p w14:paraId="2E9C6296" w14:textId="77777777" w:rsidR="00A55C20" w:rsidRPr="00A55C20" w:rsidRDefault="00A55C20" w:rsidP="00A55C20">
            <w:pPr>
              <w:rPr>
                <w:lang w:val="en-IN"/>
              </w:rPr>
            </w:pPr>
            <w:r w:rsidRPr="00A55C20">
              <w:rPr>
                <w:lang w:val="en-IN"/>
              </w:rPr>
              <w:t>Broadcasting Services (Regulation) Bill; proposed Content Evaluation Committees.</w:t>
            </w:r>
          </w:p>
        </w:tc>
        <w:tc>
          <w:tcPr>
            <w:tcW w:w="0" w:type="auto"/>
            <w:tcBorders>
              <w:top w:val="single" w:sz="6" w:space="0" w:color="auto"/>
              <w:left w:val="single" w:sz="6" w:space="0" w:color="auto"/>
              <w:bottom w:val="single" w:sz="6" w:space="0" w:color="auto"/>
              <w:right w:val="single" w:sz="6" w:space="0" w:color="auto"/>
            </w:tcBorders>
            <w:vAlign w:val="center"/>
            <w:hideMark/>
          </w:tcPr>
          <w:p w14:paraId="407EEE68" w14:textId="77777777" w:rsidR="00A55C20" w:rsidRPr="00A55C20" w:rsidRDefault="00A55C20" w:rsidP="00A55C20">
            <w:pPr>
              <w:rPr>
                <w:lang w:val="en-IN"/>
              </w:rPr>
            </w:pPr>
            <w:r w:rsidRPr="00A55C20">
              <w:rPr>
                <w:lang w:val="en-IN"/>
              </w:rPr>
              <w:t>High risk of pre-censorship; forces Netflix to balance creative storytelling with political appeasement and lobbying.</w:t>
            </w:r>
          </w:p>
        </w:tc>
      </w:tr>
      <w:tr w:rsidR="00A55C20" w:rsidRPr="00A55C20" w14:paraId="2511489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823D881" w14:textId="77777777" w:rsidR="00A55C20" w:rsidRPr="00A55C20" w:rsidRDefault="00A55C20" w:rsidP="00A55C20">
            <w:pPr>
              <w:rPr>
                <w:lang w:val="en-IN"/>
              </w:rPr>
            </w:pPr>
            <w:r w:rsidRPr="00A55C20">
              <w:rPr>
                <w:b/>
                <w:bCs/>
                <w:lang w:val="en-IN"/>
              </w:rPr>
              <w:t>Economic</w:t>
            </w:r>
          </w:p>
        </w:tc>
        <w:tc>
          <w:tcPr>
            <w:tcW w:w="0" w:type="auto"/>
            <w:tcBorders>
              <w:top w:val="single" w:sz="6" w:space="0" w:color="auto"/>
              <w:left w:val="single" w:sz="6" w:space="0" w:color="auto"/>
              <w:bottom w:val="single" w:sz="6" w:space="0" w:color="auto"/>
              <w:right w:val="single" w:sz="6" w:space="0" w:color="auto"/>
            </w:tcBorders>
            <w:vAlign w:val="center"/>
            <w:hideMark/>
          </w:tcPr>
          <w:p w14:paraId="32359B77" w14:textId="77777777" w:rsidR="00A55C20" w:rsidRPr="00A55C20" w:rsidRDefault="00A55C20" w:rsidP="00A55C20">
            <w:pPr>
              <w:rPr>
                <w:lang w:val="en-IN"/>
              </w:rPr>
            </w:pPr>
            <w:r w:rsidRPr="00A55C20">
              <w:rPr>
                <w:lang w:val="en-IN"/>
              </w:rPr>
              <w:t>Reliance-Disney $8.5B merger; Digital Services Taxes (DST) on MNCs.</w:t>
            </w:r>
          </w:p>
        </w:tc>
        <w:tc>
          <w:tcPr>
            <w:tcW w:w="0" w:type="auto"/>
            <w:tcBorders>
              <w:top w:val="single" w:sz="6" w:space="0" w:color="auto"/>
              <w:left w:val="single" w:sz="6" w:space="0" w:color="auto"/>
              <w:bottom w:val="single" w:sz="6" w:space="0" w:color="auto"/>
              <w:right w:val="single" w:sz="6" w:space="0" w:color="auto"/>
            </w:tcBorders>
            <w:vAlign w:val="center"/>
            <w:hideMark/>
          </w:tcPr>
          <w:p w14:paraId="4D99EC76" w14:textId="77777777" w:rsidR="00A55C20" w:rsidRPr="00A55C20" w:rsidRDefault="00A55C20" w:rsidP="00A55C20">
            <w:pPr>
              <w:rPr>
                <w:lang w:val="en-IN"/>
              </w:rPr>
            </w:pPr>
            <w:r w:rsidRPr="00A55C20">
              <w:rPr>
                <w:lang w:val="en-IN"/>
              </w:rPr>
              <w:t>Extreme downward pressure on subscription pricing; forces strict cost-benefit analysis on all local content investments.</w:t>
            </w:r>
          </w:p>
        </w:tc>
      </w:tr>
      <w:tr w:rsidR="00A55C20" w:rsidRPr="00A55C20" w14:paraId="17DDF8A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31B1EB4" w14:textId="77777777" w:rsidR="00A55C20" w:rsidRPr="00A55C20" w:rsidRDefault="00A55C20" w:rsidP="00A55C20">
            <w:pPr>
              <w:rPr>
                <w:lang w:val="en-IN"/>
              </w:rPr>
            </w:pPr>
            <w:r w:rsidRPr="00A55C20">
              <w:rPr>
                <w:b/>
                <w:bCs/>
                <w:lang w:val="en-IN"/>
              </w:rPr>
              <w:t>Socio-Cultural</w:t>
            </w:r>
          </w:p>
        </w:tc>
        <w:tc>
          <w:tcPr>
            <w:tcW w:w="0" w:type="auto"/>
            <w:tcBorders>
              <w:top w:val="single" w:sz="6" w:space="0" w:color="auto"/>
              <w:left w:val="single" w:sz="6" w:space="0" w:color="auto"/>
              <w:bottom w:val="single" w:sz="6" w:space="0" w:color="auto"/>
              <w:right w:val="single" w:sz="6" w:space="0" w:color="auto"/>
            </w:tcBorders>
            <w:vAlign w:val="center"/>
            <w:hideMark/>
          </w:tcPr>
          <w:p w14:paraId="6275A24D" w14:textId="77777777" w:rsidR="00A55C20" w:rsidRPr="00A55C20" w:rsidRDefault="00A55C20" w:rsidP="00A55C20">
            <w:pPr>
              <w:rPr>
                <w:lang w:val="en-IN"/>
              </w:rPr>
            </w:pPr>
            <w:r w:rsidRPr="00A55C20">
              <w:rPr>
                <w:lang w:val="en-IN"/>
              </w:rPr>
              <w:t>Demand for culturally resonant storytelling; shift to individualized mobile consumption.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55E045AE" w14:textId="77777777" w:rsidR="00A55C20" w:rsidRPr="00A55C20" w:rsidRDefault="00A55C20" w:rsidP="00A55C20">
            <w:pPr>
              <w:rPr>
                <w:lang w:val="en-IN"/>
              </w:rPr>
            </w:pPr>
            <w:r w:rsidRPr="00A55C20">
              <w:rPr>
                <w:lang w:val="en-IN"/>
              </w:rPr>
              <w:t>Necessitates aggressive shift of capital expenditure from Hollywood imports to hyper-local Indian productions.</w:t>
            </w:r>
          </w:p>
        </w:tc>
      </w:tr>
      <w:tr w:rsidR="00A55C20" w:rsidRPr="00A55C20" w14:paraId="10AB5FB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99913B5" w14:textId="77777777" w:rsidR="00A55C20" w:rsidRPr="00A55C20" w:rsidRDefault="00A55C20" w:rsidP="00A55C20">
            <w:pPr>
              <w:rPr>
                <w:lang w:val="en-IN"/>
              </w:rPr>
            </w:pPr>
            <w:r w:rsidRPr="00A55C20">
              <w:rPr>
                <w:b/>
                <w:bCs/>
                <w:lang w:val="en-IN"/>
              </w:rPr>
              <w:t>Technological</w:t>
            </w:r>
          </w:p>
        </w:tc>
        <w:tc>
          <w:tcPr>
            <w:tcW w:w="0" w:type="auto"/>
            <w:tcBorders>
              <w:top w:val="single" w:sz="6" w:space="0" w:color="auto"/>
              <w:left w:val="single" w:sz="6" w:space="0" w:color="auto"/>
              <w:bottom w:val="single" w:sz="6" w:space="0" w:color="auto"/>
              <w:right w:val="single" w:sz="6" w:space="0" w:color="auto"/>
            </w:tcBorders>
            <w:vAlign w:val="center"/>
            <w:hideMark/>
          </w:tcPr>
          <w:p w14:paraId="4095D5F4" w14:textId="77777777" w:rsidR="00A55C20" w:rsidRPr="00A55C20" w:rsidRDefault="00A55C20" w:rsidP="00A55C20">
            <w:pPr>
              <w:rPr>
                <w:lang w:val="en-IN"/>
              </w:rPr>
            </w:pPr>
            <w:r w:rsidRPr="00A55C20">
              <w:rPr>
                <w:lang w:val="en-IN"/>
              </w:rPr>
              <w:t>Network latency issues outside major urban metropolitan hubs.</w:t>
            </w:r>
          </w:p>
        </w:tc>
        <w:tc>
          <w:tcPr>
            <w:tcW w:w="0" w:type="auto"/>
            <w:tcBorders>
              <w:top w:val="single" w:sz="6" w:space="0" w:color="auto"/>
              <w:left w:val="single" w:sz="6" w:space="0" w:color="auto"/>
              <w:bottom w:val="single" w:sz="6" w:space="0" w:color="auto"/>
              <w:right w:val="single" w:sz="6" w:space="0" w:color="auto"/>
            </w:tcBorders>
            <w:vAlign w:val="center"/>
            <w:hideMark/>
          </w:tcPr>
          <w:p w14:paraId="4F3DCB41" w14:textId="77777777" w:rsidR="00A55C20" w:rsidRPr="00A55C20" w:rsidRDefault="00A55C20" w:rsidP="00A55C20">
            <w:pPr>
              <w:rPr>
                <w:lang w:val="en-IN"/>
              </w:rPr>
            </w:pPr>
            <w:r w:rsidRPr="00A55C20">
              <w:rPr>
                <w:lang w:val="en-IN"/>
              </w:rPr>
              <w:t>Required deployment of local Open Connect Appliances (OCAs) and advanced AV1 data compression to ensure seamless streaming.</w:t>
            </w:r>
          </w:p>
        </w:tc>
      </w:tr>
      <w:tr w:rsidR="00A55C20" w:rsidRPr="00A55C20" w14:paraId="4A66E12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984E1C7" w14:textId="77777777" w:rsidR="00A55C20" w:rsidRPr="00A55C20" w:rsidRDefault="00A55C20" w:rsidP="00A55C20">
            <w:pPr>
              <w:rPr>
                <w:lang w:val="en-IN"/>
              </w:rPr>
            </w:pPr>
            <w:r w:rsidRPr="00A55C20">
              <w:rPr>
                <w:b/>
                <w:bCs/>
                <w:lang w:val="en-IN"/>
              </w:rPr>
              <w:t>Environmental</w:t>
            </w:r>
          </w:p>
        </w:tc>
        <w:tc>
          <w:tcPr>
            <w:tcW w:w="0" w:type="auto"/>
            <w:tcBorders>
              <w:top w:val="single" w:sz="6" w:space="0" w:color="auto"/>
              <w:left w:val="single" w:sz="6" w:space="0" w:color="auto"/>
              <w:bottom w:val="single" w:sz="6" w:space="0" w:color="auto"/>
              <w:right w:val="single" w:sz="6" w:space="0" w:color="auto"/>
            </w:tcBorders>
            <w:vAlign w:val="center"/>
            <w:hideMark/>
          </w:tcPr>
          <w:p w14:paraId="19D65C66" w14:textId="77777777" w:rsidR="00A55C20" w:rsidRPr="00A55C20" w:rsidRDefault="00A55C20" w:rsidP="00A55C20">
            <w:pPr>
              <w:rPr>
                <w:lang w:val="en-IN"/>
              </w:rPr>
            </w:pPr>
            <w:r w:rsidRPr="00A55C20">
              <w:rPr>
                <w:lang w:val="en-IN"/>
              </w:rPr>
              <w:t>Increasing investor/regulatory scrutiny on Scope 3 supply chain carbon emissions.</w:t>
            </w:r>
          </w:p>
        </w:tc>
        <w:tc>
          <w:tcPr>
            <w:tcW w:w="0" w:type="auto"/>
            <w:tcBorders>
              <w:top w:val="single" w:sz="6" w:space="0" w:color="auto"/>
              <w:left w:val="single" w:sz="6" w:space="0" w:color="auto"/>
              <w:bottom w:val="single" w:sz="6" w:space="0" w:color="auto"/>
              <w:right w:val="single" w:sz="6" w:space="0" w:color="auto"/>
            </w:tcBorders>
            <w:vAlign w:val="center"/>
            <w:hideMark/>
          </w:tcPr>
          <w:p w14:paraId="4FA36502" w14:textId="77777777" w:rsidR="00A55C20" w:rsidRPr="00A55C20" w:rsidRDefault="00A55C20" w:rsidP="00A55C20">
            <w:pPr>
              <w:rPr>
                <w:lang w:val="en-IN"/>
              </w:rPr>
            </w:pPr>
            <w:r w:rsidRPr="00A55C20">
              <w:rPr>
                <w:lang w:val="en-IN"/>
              </w:rPr>
              <w:t>Implementation of green procurement mandates and sustainable filming practices across its Indian production ecosystem.</w:t>
            </w:r>
          </w:p>
        </w:tc>
      </w:tr>
      <w:tr w:rsidR="00A55C20" w:rsidRPr="00A55C20" w14:paraId="6211524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7D896CB" w14:textId="77777777" w:rsidR="00A55C20" w:rsidRPr="00A55C20" w:rsidRDefault="00A55C20" w:rsidP="00A55C20">
            <w:pPr>
              <w:rPr>
                <w:lang w:val="en-IN"/>
              </w:rPr>
            </w:pPr>
            <w:r w:rsidRPr="00A55C20">
              <w:rPr>
                <w:b/>
                <w:bCs/>
                <w:lang w:val="en-IN"/>
              </w:rPr>
              <w:t>Legal</w:t>
            </w:r>
          </w:p>
        </w:tc>
        <w:tc>
          <w:tcPr>
            <w:tcW w:w="0" w:type="auto"/>
            <w:tcBorders>
              <w:top w:val="single" w:sz="6" w:space="0" w:color="auto"/>
              <w:left w:val="single" w:sz="6" w:space="0" w:color="auto"/>
              <w:bottom w:val="single" w:sz="6" w:space="0" w:color="auto"/>
              <w:right w:val="single" w:sz="6" w:space="0" w:color="auto"/>
            </w:tcBorders>
            <w:vAlign w:val="center"/>
            <w:hideMark/>
          </w:tcPr>
          <w:p w14:paraId="7B1DCCB9" w14:textId="77777777" w:rsidR="00A55C20" w:rsidRPr="00A55C20" w:rsidRDefault="00A55C20" w:rsidP="00A55C20">
            <w:pPr>
              <w:rPr>
                <w:lang w:val="en-IN"/>
              </w:rPr>
            </w:pPr>
            <w:r w:rsidRPr="00A55C20">
              <w:rPr>
                <w:lang w:val="en-IN"/>
              </w:rPr>
              <w:t>Mandated 3-tier grievance redressal systems; complex transfer pricing tax litigation.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4143D363" w14:textId="77777777" w:rsidR="00A55C20" w:rsidRPr="00A55C20" w:rsidRDefault="00A55C20" w:rsidP="00A55C20">
            <w:pPr>
              <w:rPr>
                <w:lang w:val="en-IN"/>
              </w:rPr>
            </w:pPr>
            <w:r w:rsidRPr="00A55C20">
              <w:rPr>
                <w:lang w:val="en-IN"/>
              </w:rPr>
              <w:t>Increased operational compliance costs; victory in "limited-risk distributor" tax ruling successfully protected global profit margins.</w:t>
            </w:r>
          </w:p>
        </w:tc>
      </w:tr>
    </w:tbl>
    <w:p w14:paraId="596BD347" w14:textId="22B979C0" w:rsidR="00A55C20" w:rsidRDefault="00A55C20" w:rsidP="00A55C20">
      <w:pPr>
        <w:pStyle w:val="Caption"/>
        <w:rPr>
          <w:lang w:val="en-IN"/>
        </w:rPr>
      </w:pPr>
      <w:r>
        <w:t xml:space="preserve">Figure </w:t>
      </w:r>
      <w:fldSimple w:instr=" SEQ Figure \* ARABIC ">
        <w:r>
          <w:rPr>
            <w:noProof/>
          </w:rPr>
          <w:t>5</w:t>
        </w:r>
      </w:fldSimple>
      <w:r>
        <w:t xml:space="preserve">: </w:t>
      </w:r>
      <w:r w:rsidRPr="005C57BB">
        <w:t>Compiled by Author</w:t>
      </w:r>
    </w:p>
    <w:p w14:paraId="2CD36AB7" w14:textId="77777777" w:rsidR="00A55C20" w:rsidRPr="00BE2D29" w:rsidRDefault="00A55C20" w:rsidP="008D7339">
      <w:pPr>
        <w:rPr>
          <w:lang w:val="en-IN"/>
        </w:rPr>
      </w:pPr>
    </w:p>
    <w:p w14:paraId="7430D543" w14:textId="77777777" w:rsidR="008D7339" w:rsidRPr="008D7339" w:rsidRDefault="008D7339" w:rsidP="008D7339">
      <w:r w:rsidRPr="008D7339">
        <w:rPr>
          <w:b/>
          <w:bCs/>
        </w:rPr>
        <w:t>Strategic Synthesis</w:t>
      </w:r>
    </w:p>
    <w:p w14:paraId="07B11723" w14:textId="6502E03A" w:rsidR="00F407C2" w:rsidRDefault="00F407C2" w:rsidP="008D7339">
      <w:pPr>
        <w:rPr>
          <w:lang w:val="en-IN"/>
        </w:rPr>
      </w:pPr>
      <w:r w:rsidRPr="00F407C2">
        <w:rPr>
          <w:lang w:val="en-IN"/>
        </w:rPr>
        <w:t xml:space="preserve">Overall, the analysis conducted via both the CAGE and PESTEL frameworks provides evidence that Netflix will continue to need to adapt in order to achieve success in India. </w:t>
      </w:r>
      <w:r w:rsidRPr="00F407C2">
        <w:rPr>
          <w:lang w:val="en-IN"/>
        </w:rPr>
        <w:br/>
        <w:t xml:space="preserve">In terms of pricing, Netflix needed to adjust its pricing to fit within the economic realities of the Indian economy. </w:t>
      </w:r>
      <w:r w:rsidRPr="00F407C2">
        <w:rPr>
          <w:lang w:val="en-IN"/>
        </w:rPr>
        <w:br/>
        <w:t xml:space="preserve">In terms of content strategy, Netflix had to rebuild its content strategy to include local language content and local storylines. </w:t>
      </w:r>
      <w:r w:rsidRPr="00F407C2">
        <w:rPr>
          <w:lang w:val="en-IN"/>
        </w:rPr>
        <w:br/>
        <w:t xml:space="preserve">In terms of technology, Netflix had to develop new technical solutions that were capable of providing a good mobile viewing experience while utilizing a bandwidth-constrained environment. </w:t>
      </w:r>
      <w:r w:rsidRPr="00F407C2">
        <w:rPr>
          <w:lang w:val="en-IN"/>
        </w:rPr>
        <w:br/>
        <w:t xml:space="preserve">Finally, in terms of regulation and compliance, Netflix continues to face a tightening regulatory and compliance environment. </w:t>
      </w:r>
      <w:r w:rsidRPr="00F407C2">
        <w:rPr>
          <w:lang w:val="en-IN"/>
        </w:rPr>
        <w:br/>
        <w:t>When taken in aggregate, the challenges facing Netflix in India provide further evidence that its competitive advantage in the form of premium subscription-based video on demand in an ad-supported video-on-demand dominated market is a defensible competitive advantage. However, it is far from a comfortable competitive advantage.</w:t>
      </w:r>
    </w:p>
    <w:p w14:paraId="569A2958" w14:textId="77777777" w:rsidR="00990EB6" w:rsidRDefault="00990EB6" w:rsidP="008D7339">
      <w:pPr>
        <w:rPr>
          <w:lang w:val="en-IN"/>
        </w:rPr>
      </w:pPr>
    </w:p>
    <w:p w14:paraId="364C3820" w14:textId="77777777" w:rsidR="00990EB6" w:rsidRDefault="00990EB6" w:rsidP="008D7339">
      <w:pPr>
        <w:rPr>
          <w:lang w:val="en-IN"/>
        </w:rPr>
      </w:pPr>
    </w:p>
    <w:p w14:paraId="3A643BE0" w14:textId="77777777" w:rsidR="00990EB6" w:rsidRDefault="00990EB6" w:rsidP="008D7339">
      <w:pPr>
        <w:rPr>
          <w:lang w:val="en-IN"/>
        </w:rPr>
      </w:pPr>
    </w:p>
    <w:p w14:paraId="3946A1FC" w14:textId="77777777" w:rsidR="00990EB6" w:rsidRDefault="00990EB6" w:rsidP="008D7339">
      <w:pPr>
        <w:rPr>
          <w:lang w:val="en-IN"/>
        </w:rPr>
      </w:pPr>
    </w:p>
    <w:p w14:paraId="3B3823FC" w14:textId="77777777" w:rsidR="00990EB6" w:rsidRDefault="00990EB6" w:rsidP="008D7339">
      <w:pPr>
        <w:rPr>
          <w:lang w:val="en-IN"/>
        </w:rPr>
      </w:pPr>
    </w:p>
    <w:p w14:paraId="0B500751" w14:textId="77777777" w:rsidR="00990EB6" w:rsidRDefault="00990EB6" w:rsidP="008D7339">
      <w:pPr>
        <w:rPr>
          <w:lang w:val="en-IN"/>
        </w:rPr>
      </w:pPr>
    </w:p>
    <w:p w14:paraId="52D72E24" w14:textId="77777777" w:rsidR="00990EB6" w:rsidRDefault="00990EB6" w:rsidP="008D7339">
      <w:pPr>
        <w:rPr>
          <w:lang w:val="en-IN"/>
        </w:rPr>
      </w:pPr>
    </w:p>
    <w:p w14:paraId="6185DAAD" w14:textId="77777777" w:rsidR="00990EB6" w:rsidRDefault="00990EB6" w:rsidP="008D7339">
      <w:pPr>
        <w:rPr>
          <w:lang w:val="en-IN"/>
        </w:rPr>
      </w:pPr>
    </w:p>
    <w:p w14:paraId="47E418FC" w14:textId="77777777" w:rsidR="00990EB6" w:rsidRDefault="00990EB6" w:rsidP="008D7339">
      <w:pPr>
        <w:rPr>
          <w:lang w:val="en-IN"/>
        </w:rPr>
      </w:pPr>
    </w:p>
    <w:p w14:paraId="3D4B6347" w14:textId="102C7922" w:rsidR="00990EB6" w:rsidRDefault="00990EB6" w:rsidP="008D7339">
      <w:pPr>
        <w:rPr>
          <w:lang w:val="en-IN"/>
        </w:rPr>
      </w:pPr>
      <w:r>
        <w:rPr>
          <w:lang w:val="en-IN"/>
        </w:rPr>
        <w:br/>
      </w:r>
    </w:p>
    <w:p w14:paraId="5A7F2F18" w14:textId="77777777" w:rsidR="00990EB6" w:rsidRDefault="00990EB6" w:rsidP="008D7339">
      <w:pPr>
        <w:rPr>
          <w:lang w:val="en-IN"/>
        </w:rPr>
      </w:pPr>
    </w:p>
    <w:p w14:paraId="7C80AA2C" w14:textId="77777777" w:rsidR="00990EB6" w:rsidRPr="006F6D2F" w:rsidRDefault="00990EB6" w:rsidP="008D7339">
      <w:pPr>
        <w:rPr>
          <w:lang w:val="en-IN"/>
        </w:rPr>
      </w:pPr>
    </w:p>
    <w:p w14:paraId="0067B68D" w14:textId="77777777" w:rsidR="00F21423" w:rsidRDefault="00F21423" w:rsidP="008D7339"/>
    <w:p w14:paraId="361E3138" w14:textId="77777777" w:rsidR="00F21423" w:rsidRPr="00F21423" w:rsidRDefault="00F21423" w:rsidP="00353AC7">
      <w:pPr>
        <w:pStyle w:val="Heading2"/>
      </w:pPr>
      <w:bookmarkStart w:id="11" w:name="_Toc224920769"/>
      <w:r w:rsidRPr="00F21423">
        <w:lastRenderedPageBreak/>
        <w:t>5. Conclusion</w:t>
      </w:r>
      <w:bookmarkEnd w:id="11"/>
    </w:p>
    <w:p w14:paraId="51BFEB37" w14:textId="77777777" w:rsidR="000B417C" w:rsidRPr="000B417C" w:rsidRDefault="000B417C" w:rsidP="000B417C">
      <w:pPr>
        <w:rPr>
          <w:lang w:val="en-IN"/>
        </w:rPr>
      </w:pPr>
      <w:r w:rsidRPr="000B417C">
        <w:rPr>
          <w:lang w:val="en-IN"/>
        </w:rPr>
        <w:t>India's VOD (Video On Demand) market is perhaps the greatest testing grounds for digital competition today. This study has attempted to show that the factors that are creating such intense competition are not random. The model by Michael Porter states that the factor conditions that make India such a competitive market include the mobile first infrastructure revolution created by the "Jio Effect", along with the massive, extremely segmented, extremely price sensitive consumer base. These two elements create a competitive market for domestically based companies; therefore, companies that cannot adapt do not last. The Reliance-Disney merger is evidence of how far domestically based conglomerate's will go to become the dominant player.</w:t>
      </w:r>
    </w:p>
    <w:p w14:paraId="4AAF83B5" w14:textId="77777777" w:rsidR="000B417C" w:rsidRPr="000B417C" w:rsidRDefault="000B417C" w:rsidP="000B417C">
      <w:pPr>
        <w:rPr>
          <w:lang w:val="en-IN"/>
        </w:rPr>
      </w:pPr>
      <w:r w:rsidRPr="000B417C">
        <w:rPr>
          <w:lang w:val="en-IN"/>
        </w:rPr>
        <w:t>As for Foreign Multinational Companies (MNC), and Netflix is the best example, the Indian market has punished standardised global strategies. The CAGE model illustrates the reason for this. There are large cultural, administrative, economic, and geographic differences between the United States and India on each of these dimensions. Underestimating any one of these will carry real costs for your strategy. As stated earlier, Netflix's experience in India, as a high end premium product to a low tier mobile application with regional investment and legal sophistication, represents the level of adaptation needed to stay in business in India.</w:t>
      </w:r>
    </w:p>
    <w:p w14:paraId="677A401D" w14:textId="441D1BB0" w:rsidR="00F21423" w:rsidRPr="000B417C" w:rsidRDefault="000B417C" w:rsidP="008D7339">
      <w:pPr>
        <w:rPr>
          <w:lang w:val="en-IN"/>
        </w:rPr>
      </w:pPr>
      <w:r w:rsidRPr="000B417C">
        <w:rPr>
          <w:lang w:val="en-IN"/>
        </w:rPr>
        <w:t>However, I believe the overall message is that India is not simply an additional market to expand into for global streaming companies. Rather, India is similar to a testing ground. The innovative pricing methods, localisation techniques, and technology that global companies develop in order to survive in India's unique market conditions of scale, complexity, and competition are increasingly being exported. In general, what works in India also tends to work in other markets. Conversely, what does not work in India tends to fail so visibly that the lessons learned cannot be ignored.</w:t>
      </w:r>
    </w:p>
    <w:p w14:paraId="097E2B1B" w14:textId="77777777" w:rsidR="00D35CB9" w:rsidRDefault="00D35CB9" w:rsidP="008D7339"/>
    <w:p w14:paraId="1A64730F" w14:textId="77777777" w:rsidR="00D35CB9" w:rsidRDefault="00D35CB9" w:rsidP="008D7339"/>
    <w:p w14:paraId="5660C9FE" w14:textId="77777777" w:rsidR="00D35CB9" w:rsidRDefault="00D35CB9" w:rsidP="008D7339"/>
    <w:p w14:paraId="4AA8E672" w14:textId="77777777" w:rsidR="00D35CB9" w:rsidRDefault="00D35CB9" w:rsidP="008D7339"/>
    <w:p w14:paraId="5153B2DA" w14:textId="77777777" w:rsidR="00D35CB9" w:rsidRDefault="00D35CB9" w:rsidP="008D7339"/>
    <w:p w14:paraId="32339E63" w14:textId="77777777" w:rsidR="00D35CB9" w:rsidRDefault="00D35CB9" w:rsidP="008D7339"/>
    <w:p w14:paraId="7719A03F" w14:textId="77777777" w:rsidR="00D35CB9" w:rsidRDefault="00D35CB9" w:rsidP="008D7339"/>
    <w:p w14:paraId="1694ED20" w14:textId="77777777" w:rsidR="00D35CB9" w:rsidRDefault="00D35CB9" w:rsidP="008D7339"/>
    <w:p w14:paraId="0B9FBE70" w14:textId="77777777" w:rsidR="00D35CB9" w:rsidRDefault="00D35CB9" w:rsidP="008D7339"/>
    <w:p w14:paraId="27A3EE44" w14:textId="77777777" w:rsidR="00D35CB9" w:rsidRDefault="00D35CB9" w:rsidP="008D7339"/>
    <w:p w14:paraId="6CF14B7E" w14:textId="77777777" w:rsidR="00D35CB9" w:rsidRDefault="00D35CB9" w:rsidP="008D7339"/>
    <w:p w14:paraId="662E7180" w14:textId="77777777" w:rsidR="00702B9D" w:rsidRDefault="00702B9D" w:rsidP="009D47B3">
      <w:pPr>
        <w:pStyle w:val="Heading1"/>
      </w:pPr>
      <w:bookmarkStart w:id="12" w:name="_Toc224920770"/>
      <w:r>
        <w:t>Section 2: Reflective Account of the Research and Analytical Process</w:t>
      </w:r>
      <w:bookmarkEnd w:id="12"/>
    </w:p>
    <w:p w14:paraId="1EC52BD2" w14:textId="77777777" w:rsidR="00702B9D" w:rsidRDefault="00702B9D" w:rsidP="0094034A">
      <w:pPr>
        <w:pStyle w:val="Heading2"/>
      </w:pPr>
      <w:bookmarkStart w:id="13" w:name="_Toc224920771"/>
      <w:r>
        <w:t>Introduction</w:t>
      </w:r>
      <w:bookmarkEnd w:id="13"/>
    </w:p>
    <w:p w14:paraId="0D2ED57C" w14:textId="0FE94E22" w:rsidR="00702B9D" w:rsidRPr="007E56C6" w:rsidRDefault="007E56C6" w:rsidP="00702B9D">
      <w:pPr>
        <w:rPr>
          <w:lang w:val="en-IN"/>
        </w:rPr>
      </w:pPr>
      <w:r w:rsidRPr="007E56C6">
        <w:rPr>
          <w:lang w:val="en-IN"/>
        </w:rPr>
        <w:t>I have used Gibbs' reflective cycle (Gibbs, 1988) for this reflection. I had initially thought about using Kolb's as well, but Gibbs seemed more suitable for this type of written piece since it progresses through stages in a similar way that I experienced the process versus a typical learning loop. Below is my genuine effort to describe what worked, what did not and what I would do differently.</w:t>
      </w:r>
    </w:p>
    <w:p w14:paraId="58C0A061" w14:textId="77777777" w:rsidR="00702B9D" w:rsidRDefault="00702B9D" w:rsidP="00245BBC">
      <w:pPr>
        <w:pStyle w:val="Heading3"/>
      </w:pPr>
      <w:bookmarkStart w:id="14" w:name="_Toc224920772"/>
      <w:r>
        <w:t>1. Description: What happened?</w:t>
      </w:r>
      <w:bookmarkEnd w:id="14"/>
    </w:p>
    <w:p w14:paraId="3EC59BE6" w14:textId="77777777" w:rsidR="00F60063" w:rsidRPr="00F60063" w:rsidRDefault="00F60063" w:rsidP="00F60063">
      <w:pPr>
        <w:rPr>
          <w:lang w:val="en-IN"/>
        </w:rPr>
      </w:pPr>
      <w:r w:rsidRPr="00F60063">
        <w:rPr>
          <w:lang w:val="en-IN"/>
        </w:rPr>
        <w:t>I chose India's VOD sector fairly early. The Reliance-Disney merger had been all over the financial news and I'd already been following it loosely, so it felt like a topic where I had some prior context rather than starting from scratch. Netflix as the MNC case study followed naturally from that.</w:t>
      </w:r>
    </w:p>
    <w:p w14:paraId="33490B3D" w14:textId="65B94DE3" w:rsidR="00D35CB9" w:rsidRPr="00B352D6" w:rsidRDefault="00F60063" w:rsidP="00702B9D">
      <w:pPr>
        <w:rPr>
          <w:lang w:val="en-IN"/>
        </w:rPr>
      </w:pPr>
      <w:r w:rsidRPr="00F60063">
        <w:rPr>
          <w:lang w:val="en-IN"/>
        </w:rPr>
        <w:t>The research process was messier than I'd like to admit. I pulled from industry reports, news coverage of the merger, academic sources on Porter's Diamond, and anything I could find on Netflix's India strategy. At some point I had tabs open across four or five different threads simultaneously and wasn't sure which would be useful. The structured part, actually applying the frameworks, came later than it should have. Writing the synthesis at the end, trying to make it feel like a coherent argument rather than a list of points, took longer than any other part.</w:t>
      </w:r>
    </w:p>
    <w:p w14:paraId="380DF212" w14:textId="77777777" w:rsidR="00702B9D" w:rsidRDefault="00702B9D" w:rsidP="00245BBC">
      <w:pPr>
        <w:pStyle w:val="Heading3"/>
      </w:pPr>
      <w:bookmarkStart w:id="15" w:name="_Toc224920773"/>
      <w:r>
        <w:t>2. Feelings: What were my initial thoughts and feelings?</w:t>
      </w:r>
      <w:bookmarkEnd w:id="15"/>
    </w:p>
    <w:p w14:paraId="34721FB0" w14:textId="77777777" w:rsidR="00A87C76" w:rsidRPr="00A87C76" w:rsidRDefault="00A87C76" w:rsidP="00A87C76">
      <w:pPr>
        <w:rPr>
          <w:lang w:val="en-IN"/>
        </w:rPr>
      </w:pPr>
      <w:r w:rsidRPr="00A87C76">
        <w:rPr>
          <w:lang w:val="en-IN"/>
        </w:rPr>
        <w:t>The subject of this paper has been interesting to me since the beginning. Studying a changing industry while you are doing your research about it, makes the writing of this paper seem less abstract, and the fact that the merger news and the changes in price by Netflix, occurred during the time when we did our research, made our research seem much more alive then expected.</w:t>
      </w:r>
    </w:p>
    <w:p w14:paraId="205A0120" w14:textId="46C4B011" w:rsidR="00702B9D" w:rsidRPr="00A87C76" w:rsidRDefault="00A87C76" w:rsidP="00702B9D">
      <w:pPr>
        <w:rPr>
          <w:lang w:val="en-IN"/>
        </w:rPr>
      </w:pPr>
      <w:r w:rsidRPr="00A87C76">
        <w:rPr>
          <w:lang w:val="en-IN"/>
        </w:rPr>
        <w:t>I lost some of the excitement as soon as I began organizing. Some where in the middle of the CAGE analysis I hit a wall, and that wall was how to place India's IT Rules in either the political, legal, or administrative distance category. It may have seemed like a small issue, however, it broke my drafting flow for a little while. I also had a consistent fear that I would end up describing the analysis instead of arguing my points. This fear never went completely away until the final drafts.</w:t>
      </w:r>
    </w:p>
    <w:p w14:paraId="075E4AA7" w14:textId="77777777" w:rsidR="00702B9D" w:rsidRDefault="00702B9D" w:rsidP="00245BBC">
      <w:pPr>
        <w:pStyle w:val="Heading3"/>
      </w:pPr>
      <w:bookmarkStart w:id="16" w:name="_Toc224920774"/>
      <w:r>
        <w:t>3. Evaluation: What was good and bad about the experience?</w:t>
      </w:r>
      <w:bookmarkEnd w:id="16"/>
    </w:p>
    <w:p w14:paraId="2CD66B92" w14:textId="44EF6BE6" w:rsidR="00702B9D" w:rsidRPr="005D30AA" w:rsidRDefault="005D30AA" w:rsidP="00702B9D">
      <w:pPr>
        <w:rPr>
          <w:lang w:val="en-IN"/>
        </w:rPr>
      </w:pPr>
      <w:r w:rsidRPr="005D30AA">
        <w:rPr>
          <w:lang w:val="en-IN"/>
        </w:rPr>
        <w:t xml:space="preserve">The CAGE framework was the element that genuinely shocked me. I had learned it well enough from the module materials, but applying it to Netflix in India provided a unique perspective. The economic distance element in particular, seeing how the </w:t>
      </w:r>
      <w:r w:rsidRPr="005D30AA">
        <w:rPr>
          <w:lang w:val="en-IN"/>
        </w:rPr>
        <w:lastRenderedPageBreak/>
        <w:t>difference between U.S. purchasing power assumptions and Indian consumer reality explained Netflix's early failures, felt like the type of realization that only occurs when working through a real case as opposed to a hypothetical one. This was probably the most gratifying aspect of the entire experience.</w:t>
      </w:r>
      <w:r w:rsidRPr="005D30AA">
        <w:rPr>
          <w:lang w:val="en-IN"/>
        </w:rPr>
        <w:br/>
        <w:t>The lowest point was approximately at week two when I realized I had spent the majority of two days delving deep into the history of India's broadband infrastructure and Netflix's transfer pricing tribunal decision. Both were interesting. Neither required the degree of detail I had provided. I ended up cutting a great deal of material, and that was frustrating primarily because I had truly enjoyed researching it. The word count created significant problems at this point in the process and the revision process was slower than I had envisioned.</w:t>
      </w:r>
    </w:p>
    <w:p w14:paraId="38E99B01" w14:textId="77777777" w:rsidR="00702B9D" w:rsidRDefault="00702B9D" w:rsidP="00245BBC">
      <w:pPr>
        <w:pStyle w:val="Heading3"/>
      </w:pPr>
      <w:bookmarkStart w:id="17" w:name="_Toc224920775"/>
      <w:r>
        <w:t>4. Analysis: Making sense of the situation</w:t>
      </w:r>
      <w:bookmarkEnd w:id="17"/>
    </w:p>
    <w:p w14:paraId="25D8AFE5" w14:textId="508F03A0" w:rsidR="00702B9D" w:rsidRPr="00D875F5" w:rsidRDefault="00D875F5" w:rsidP="00702B9D">
      <w:pPr>
        <w:rPr>
          <w:lang w:val="en-IN"/>
        </w:rPr>
      </w:pPr>
      <w:r w:rsidRPr="00D875F5">
        <w:rPr>
          <w:lang w:val="en-IN"/>
        </w:rPr>
        <w:t>Upon reviewing what went right, and wrong during the assignment, the most obvious pattern that emerged was the difference between being familiar with a theoretical framework and applying that framework to complex data. The PESTEL section provides the best example of this. In my initial approach to completing the section, I treated each category (Political, Economic, Social, Technological, Legal, Environmental) as separate columns to complete. This allowed me to complete the section satisfactorily; however, once I reached the regulatory material relating to India's content regulations, it began to break down. Content regulation in India does not fit neatly into one category. While it originated politically, it has economic consequences, and its implications on Netflix are based legally. When I stopped forcing the regulatory material into a single category and instead described how the categories interacted with each other, the PESTEL section became significantly clearer. It required several drafts, however.</w:t>
      </w:r>
      <w:r w:rsidRPr="00D875F5">
        <w:rPr>
          <w:lang w:val="en-IN"/>
        </w:rPr>
        <w:br/>
        <w:t>A similar transformation occurred regarding how I viewed Netflix. For the majority of the early research, I framed Netflix as a global company that made marginal adjustments locally. The evidence continued to contradict this view. The India-based operation of Netflix, the pricing structure, the content investments, and the telecom bundling deals do not resemble a modified version of the global model. They appear to represent a different strategic response to a fundamentally different market. Realizing this, altered how I wrote the subsequent portions of the report, and I believe it did show.</w:t>
      </w:r>
    </w:p>
    <w:p w14:paraId="04E0B80A" w14:textId="77777777" w:rsidR="00702B9D" w:rsidRDefault="00702B9D" w:rsidP="00245BBC">
      <w:pPr>
        <w:pStyle w:val="Heading3"/>
      </w:pPr>
      <w:bookmarkStart w:id="18" w:name="_Toc224920776"/>
      <w:r>
        <w:t>5. Conclusion: What else could I have done?</w:t>
      </w:r>
      <w:bookmarkEnd w:id="18"/>
    </w:p>
    <w:p w14:paraId="108C91E8" w14:textId="2E1F1592" w:rsidR="00702B9D" w:rsidRPr="00EA493B" w:rsidRDefault="00EA493B" w:rsidP="00702B9D">
      <w:pPr>
        <w:rPr>
          <w:lang w:val="en-IN"/>
        </w:rPr>
      </w:pPr>
      <w:r w:rsidRPr="00EA493B">
        <w:rPr>
          <w:lang w:val="en-IN"/>
        </w:rPr>
        <w:t>Honestly, the primary aspect is the sequence of events. I began researching prior to determining what I was researching. The frameworks should have been developed initially, or at least in outline format, so the literature review would have had clearly defined questions to focus upon, rather than a general interest in the topic. It would have likely resulted in better organized and more focused notes.</w:t>
      </w:r>
      <w:r w:rsidRPr="00EA493B">
        <w:rPr>
          <w:lang w:val="en-IN"/>
        </w:rPr>
        <w:br/>
        <w:t xml:space="preserve">Additionally, there may be some value in attempting to apply additional frameworks to test the analysis, in order to determine whether they reveal anything that the primary frameworks missed. An internal perspective to what ultimately was an </w:t>
      </w:r>
      <w:r w:rsidRPr="00EA493B">
        <w:rPr>
          <w:lang w:val="en-IN"/>
        </w:rPr>
        <w:lastRenderedPageBreak/>
        <w:t>external analysis would have been provided by including VRIO. An interesting question that the report implied but did not answer is whether Netflix's internal capabilities support the strategic position it is attempting to maintain in India.</w:t>
      </w:r>
    </w:p>
    <w:p w14:paraId="7BC62188" w14:textId="77777777" w:rsidR="00702B9D" w:rsidRDefault="00702B9D" w:rsidP="00245BBC">
      <w:pPr>
        <w:pStyle w:val="Heading3"/>
      </w:pPr>
      <w:bookmarkStart w:id="19" w:name="_Toc224920777"/>
      <w:r>
        <w:t>6. Action Plan: If it arose again, what would I do?</w:t>
      </w:r>
      <w:bookmarkEnd w:id="19"/>
    </w:p>
    <w:p w14:paraId="4754D2A8" w14:textId="0BB1BF2A" w:rsidR="00702B9D" w:rsidRDefault="00FE2440" w:rsidP="00702B9D">
      <w:pPr>
        <w:rPr>
          <w:lang w:val="en-IN"/>
        </w:rPr>
      </w:pPr>
      <w:r w:rsidRPr="00FE2440">
        <w:rPr>
          <w:lang w:val="en-IN"/>
        </w:rPr>
        <w:t>There are two main items. First, map the frameworks prior to opening a single source. Create specific research questions for each pillar, and allow these questions to serve as your guide while you read, as opposed to allowing the reading to shape the analysis post-reading. It is a more structured way of working, and would have resulted in a significant amount of time savings here.</w:t>
      </w:r>
      <w:r w:rsidRPr="00FE2440">
        <w:rPr>
          <w:lang w:val="en-IN"/>
        </w:rPr>
        <w:br/>
        <w:t>Second, plan for synthesis time within your overall schedule. The sections of the report that I am most pleased with are the ones I created, set aside, and returned to with a certain detachment. The ability to create detachment from the deadline, while difficult, can be planned for and will help in producing higher quality work.</w:t>
      </w:r>
    </w:p>
    <w:p w14:paraId="519EE532" w14:textId="77777777" w:rsidR="00495BC5" w:rsidRDefault="00495BC5" w:rsidP="00702B9D">
      <w:pPr>
        <w:rPr>
          <w:lang w:val="en-IN"/>
        </w:rPr>
      </w:pPr>
    </w:p>
    <w:p w14:paraId="360340A8" w14:textId="77777777" w:rsidR="00495BC5" w:rsidRDefault="00495BC5" w:rsidP="00702B9D">
      <w:pPr>
        <w:rPr>
          <w:lang w:val="en-IN"/>
        </w:rPr>
      </w:pPr>
    </w:p>
    <w:p w14:paraId="2BA9EAF2" w14:textId="77777777" w:rsidR="00495BC5" w:rsidRDefault="00495BC5" w:rsidP="00702B9D">
      <w:pPr>
        <w:rPr>
          <w:lang w:val="en-IN"/>
        </w:rPr>
      </w:pPr>
    </w:p>
    <w:p w14:paraId="4E8770B6" w14:textId="77777777" w:rsidR="00C91444" w:rsidRDefault="00C91444" w:rsidP="00702B9D">
      <w:pPr>
        <w:rPr>
          <w:lang w:val="en-IN"/>
        </w:rPr>
      </w:pPr>
    </w:p>
    <w:p w14:paraId="23BBF7CC" w14:textId="77777777" w:rsidR="00C91444" w:rsidRDefault="00C91444" w:rsidP="00702B9D">
      <w:pPr>
        <w:rPr>
          <w:lang w:val="en-IN"/>
        </w:rPr>
      </w:pPr>
    </w:p>
    <w:p w14:paraId="07701979" w14:textId="77777777" w:rsidR="00C91444" w:rsidRDefault="00C91444" w:rsidP="00702B9D">
      <w:pPr>
        <w:rPr>
          <w:lang w:val="en-IN"/>
        </w:rPr>
      </w:pPr>
    </w:p>
    <w:p w14:paraId="48BAFDC1" w14:textId="77777777" w:rsidR="00C91444" w:rsidRDefault="00C91444" w:rsidP="00702B9D">
      <w:pPr>
        <w:rPr>
          <w:lang w:val="en-IN"/>
        </w:rPr>
      </w:pPr>
    </w:p>
    <w:p w14:paraId="19B97B59" w14:textId="77777777" w:rsidR="00C91444" w:rsidRDefault="00C91444" w:rsidP="00702B9D">
      <w:pPr>
        <w:rPr>
          <w:lang w:val="en-IN"/>
        </w:rPr>
      </w:pPr>
    </w:p>
    <w:p w14:paraId="37FA73C9" w14:textId="77777777" w:rsidR="00C91444" w:rsidRDefault="00C91444" w:rsidP="00702B9D">
      <w:pPr>
        <w:rPr>
          <w:lang w:val="en-IN"/>
        </w:rPr>
      </w:pPr>
    </w:p>
    <w:p w14:paraId="028CA7F1" w14:textId="77777777" w:rsidR="00C91444" w:rsidRDefault="00C91444" w:rsidP="00702B9D">
      <w:pPr>
        <w:rPr>
          <w:lang w:val="en-IN"/>
        </w:rPr>
      </w:pPr>
    </w:p>
    <w:p w14:paraId="11E5358E" w14:textId="77777777" w:rsidR="00495BC5" w:rsidRDefault="00495BC5" w:rsidP="00702B9D">
      <w:pPr>
        <w:rPr>
          <w:lang w:val="en-IN"/>
        </w:rPr>
      </w:pPr>
    </w:p>
    <w:p w14:paraId="6FCDC3CC" w14:textId="77777777" w:rsidR="00990EB6" w:rsidRDefault="00990EB6" w:rsidP="00702B9D">
      <w:pPr>
        <w:rPr>
          <w:lang w:val="en-IN"/>
        </w:rPr>
      </w:pPr>
    </w:p>
    <w:p w14:paraId="1F437DA4" w14:textId="77777777" w:rsidR="00990EB6" w:rsidRDefault="00990EB6" w:rsidP="00702B9D">
      <w:pPr>
        <w:rPr>
          <w:lang w:val="en-IN"/>
        </w:rPr>
      </w:pPr>
    </w:p>
    <w:p w14:paraId="245564A5" w14:textId="77777777" w:rsidR="00990EB6" w:rsidRDefault="00990EB6" w:rsidP="00702B9D">
      <w:pPr>
        <w:rPr>
          <w:lang w:val="en-IN"/>
        </w:rPr>
      </w:pPr>
    </w:p>
    <w:p w14:paraId="50B2CFA4" w14:textId="77777777" w:rsidR="00495BC5" w:rsidRDefault="00495BC5" w:rsidP="00702B9D">
      <w:pPr>
        <w:rPr>
          <w:lang w:val="en-IN"/>
        </w:rPr>
      </w:pPr>
    </w:p>
    <w:p w14:paraId="569974DA" w14:textId="77777777" w:rsidR="00495BC5" w:rsidRDefault="00495BC5" w:rsidP="00702B9D">
      <w:pPr>
        <w:rPr>
          <w:lang w:val="en-IN"/>
        </w:rPr>
      </w:pPr>
    </w:p>
    <w:p w14:paraId="12FC7E5B" w14:textId="77777777" w:rsidR="00495BC5" w:rsidRDefault="00495BC5" w:rsidP="00702B9D">
      <w:pPr>
        <w:rPr>
          <w:lang w:val="en-IN"/>
        </w:rPr>
      </w:pPr>
    </w:p>
    <w:p w14:paraId="317380C4" w14:textId="77777777" w:rsidR="00495BC5" w:rsidRDefault="00495BC5" w:rsidP="00702B9D">
      <w:pPr>
        <w:rPr>
          <w:lang w:val="en-IN"/>
        </w:rPr>
      </w:pPr>
    </w:p>
    <w:p w14:paraId="531F79CD" w14:textId="12E24424" w:rsidR="00495BC5" w:rsidRDefault="00495BC5" w:rsidP="00495BC5">
      <w:pPr>
        <w:pStyle w:val="Heading1"/>
        <w:jc w:val="center"/>
        <w:rPr>
          <w:u w:val="single"/>
          <w:lang w:val="en-IN"/>
        </w:rPr>
      </w:pPr>
      <w:bookmarkStart w:id="20" w:name="_Toc224920778"/>
      <w:r w:rsidRPr="00495BC5">
        <w:rPr>
          <w:u w:val="single"/>
          <w:lang w:val="en-IN"/>
        </w:rPr>
        <w:lastRenderedPageBreak/>
        <w:t>References</w:t>
      </w:r>
      <w:bookmarkEnd w:id="20"/>
    </w:p>
    <w:p w14:paraId="1C8C4B2E" w14:textId="77777777" w:rsidR="00495BC5" w:rsidRDefault="00495BC5" w:rsidP="00495BC5">
      <w:pPr>
        <w:rPr>
          <w:lang w:val="en-IN"/>
        </w:rPr>
      </w:pPr>
    </w:p>
    <w:p w14:paraId="5C96A18D" w14:textId="332BC607" w:rsidR="00A45FE9" w:rsidRDefault="00A45FE9" w:rsidP="00495BC5">
      <w:pPr>
        <w:rPr>
          <w:lang w:val="en-IN"/>
        </w:rPr>
      </w:pPr>
      <w:r w:rsidRPr="00A45FE9">
        <w:rPr>
          <w:b/>
          <w:bCs/>
        </w:rPr>
        <w:t>Consuunt</w:t>
      </w:r>
      <w:r w:rsidRPr="00A45FE9">
        <w:t xml:space="preserve"> (2026) </w:t>
      </w:r>
      <w:r w:rsidRPr="00A45FE9">
        <w:rPr>
          <w:i/>
          <w:iCs/>
        </w:rPr>
        <w:t>Porter's Diamond Model</w:t>
      </w:r>
      <w:r w:rsidRPr="00A45FE9">
        <w:t xml:space="preserve">. Available at: </w:t>
      </w:r>
      <w:hyperlink r:id="rId11" w:tgtFrame="_blank" w:history="1">
        <w:r w:rsidRPr="00A45FE9">
          <w:rPr>
            <w:rStyle w:val="Hyperlink"/>
          </w:rPr>
          <w:t>https://www.consuunt.com/porters-diamond-model/</w:t>
        </w:r>
      </w:hyperlink>
      <w:r w:rsidRPr="00A45FE9">
        <w:t xml:space="preserve"> (Accessed: 20 March 2026).</w:t>
      </w:r>
    </w:p>
    <w:p w14:paraId="778453D6" w14:textId="77777777" w:rsidR="00495BC5" w:rsidRPr="00495BC5" w:rsidRDefault="00495BC5" w:rsidP="00495BC5">
      <w:pPr>
        <w:rPr>
          <w:lang w:val="en-IN"/>
        </w:rPr>
      </w:pPr>
      <w:r w:rsidRPr="00495BC5">
        <w:rPr>
          <w:b/>
          <w:bCs/>
          <w:lang w:val="en-IN"/>
        </w:rPr>
        <w:t>EY</w:t>
      </w:r>
      <w:r w:rsidRPr="00495BC5">
        <w:rPr>
          <w:lang w:val="en-IN"/>
        </w:rPr>
        <w:t xml:space="preserve"> (2024) </w:t>
      </w:r>
      <w:r w:rsidRPr="00495BC5">
        <w:rPr>
          <w:i/>
          <w:iCs/>
          <w:lang w:val="en-IN"/>
        </w:rPr>
        <w:t>Navigating India’s media and entertainment sector</w:t>
      </w:r>
      <w:r w:rsidRPr="00495BC5">
        <w:rPr>
          <w:lang w:val="en-IN"/>
        </w:rPr>
        <w:t>. Mumbai: Ernst &amp; Young.</w:t>
      </w:r>
    </w:p>
    <w:p w14:paraId="2A913E6A" w14:textId="77777777" w:rsidR="00495BC5" w:rsidRPr="00495BC5" w:rsidRDefault="00495BC5" w:rsidP="00495BC5">
      <w:pPr>
        <w:rPr>
          <w:lang w:val="en-IN"/>
        </w:rPr>
      </w:pPr>
      <w:r w:rsidRPr="00495BC5">
        <w:rPr>
          <w:b/>
          <w:bCs/>
          <w:lang w:val="en-IN"/>
        </w:rPr>
        <w:t>Ghemawat, P.</w:t>
      </w:r>
      <w:r w:rsidRPr="00495BC5">
        <w:rPr>
          <w:lang w:val="en-IN"/>
        </w:rPr>
        <w:t xml:space="preserve"> (2001) 'Distance still matters: the hard reality of global expansion', </w:t>
      </w:r>
      <w:r w:rsidRPr="00495BC5">
        <w:rPr>
          <w:i/>
          <w:iCs/>
          <w:lang w:val="en-IN"/>
        </w:rPr>
        <w:t>Harvard Business Review</w:t>
      </w:r>
      <w:r w:rsidRPr="00495BC5">
        <w:rPr>
          <w:lang w:val="en-IN"/>
        </w:rPr>
        <w:t>, 79(8), pp. 137-147.</w:t>
      </w:r>
    </w:p>
    <w:p w14:paraId="21144426" w14:textId="77777777" w:rsidR="00495BC5" w:rsidRPr="00495BC5" w:rsidRDefault="00495BC5" w:rsidP="00495BC5">
      <w:pPr>
        <w:rPr>
          <w:lang w:val="en-IN"/>
        </w:rPr>
      </w:pPr>
      <w:r w:rsidRPr="00495BC5">
        <w:rPr>
          <w:b/>
          <w:bCs/>
          <w:lang w:val="en-IN"/>
        </w:rPr>
        <w:t>Gibbs, G.</w:t>
      </w:r>
      <w:r w:rsidRPr="00495BC5">
        <w:rPr>
          <w:lang w:val="en-IN"/>
        </w:rPr>
        <w:t xml:space="preserve"> (1988) </w:t>
      </w:r>
      <w:r w:rsidRPr="00495BC5">
        <w:rPr>
          <w:i/>
          <w:iCs/>
          <w:lang w:val="en-IN"/>
        </w:rPr>
        <w:t>Learning by doing: a guide to teaching and learning methods</w:t>
      </w:r>
      <w:r w:rsidRPr="00495BC5">
        <w:rPr>
          <w:lang w:val="en-IN"/>
        </w:rPr>
        <w:t>. Oxford: Further Education Unit.</w:t>
      </w:r>
    </w:p>
    <w:p w14:paraId="21871EE7" w14:textId="77777777" w:rsidR="00495BC5" w:rsidRPr="00495BC5" w:rsidRDefault="00495BC5" w:rsidP="00495BC5">
      <w:pPr>
        <w:rPr>
          <w:lang w:val="en-IN"/>
        </w:rPr>
      </w:pPr>
      <w:r w:rsidRPr="00495BC5">
        <w:rPr>
          <w:b/>
          <w:bCs/>
          <w:lang w:val="en-IN"/>
        </w:rPr>
        <w:t>Government of India, Ministry of Electronics and Information Technology</w:t>
      </w:r>
      <w:r w:rsidRPr="00495BC5">
        <w:rPr>
          <w:lang w:val="en-IN"/>
        </w:rPr>
        <w:t xml:space="preserve"> (2021) </w:t>
      </w:r>
      <w:r w:rsidRPr="00495BC5">
        <w:rPr>
          <w:i/>
          <w:iCs/>
          <w:lang w:val="en-IN"/>
        </w:rPr>
        <w:t>The Information Technology (Intermediary Guidelines and Digital Media Ethics Code) Rules, 2021</w:t>
      </w:r>
      <w:r w:rsidRPr="00495BC5">
        <w:rPr>
          <w:lang w:val="en-IN"/>
        </w:rPr>
        <w:t xml:space="preserve">. Available at: </w:t>
      </w:r>
      <w:hyperlink r:id="rId12" w:tgtFrame="_blank" w:history="1">
        <w:r w:rsidRPr="00495BC5">
          <w:rPr>
            <w:rStyle w:val="Hyperlink"/>
            <w:lang w:val="en-IN"/>
          </w:rPr>
          <w:t>https://www.meity.gov.in</w:t>
        </w:r>
      </w:hyperlink>
      <w:r w:rsidRPr="00495BC5">
        <w:rPr>
          <w:lang w:val="en-IN"/>
        </w:rPr>
        <w:t xml:space="preserve"> (Accessed: 15 March 2026).</w:t>
      </w:r>
    </w:p>
    <w:p w14:paraId="57B94721" w14:textId="77777777" w:rsidR="00495BC5" w:rsidRPr="00495BC5" w:rsidRDefault="00495BC5" w:rsidP="00495BC5">
      <w:pPr>
        <w:rPr>
          <w:lang w:val="en-IN"/>
        </w:rPr>
      </w:pPr>
      <w:r w:rsidRPr="00495BC5">
        <w:rPr>
          <w:b/>
          <w:bCs/>
          <w:lang w:val="en-IN"/>
        </w:rPr>
        <w:t>Government of India, Ministry of Information and Broadcasting</w:t>
      </w:r>
      <w:r w:rsidRPr="00495BC5">
        <w:rPr>
          <w:lang w:val="en-IN"/>
        </w:rPr>
        <w:t xml:space="preserve"> (2024) </w:t>
      </w:r>
      <w:r w:rsidRPr="00495BC5">
        <w:rPr>
          <w:i/>
          <w:iCs/>
          <w:lang w:val="en-IN"/>
        </w:rPr>
        <w:t>Draft Broadcasting Services (Regulation) Bill</w:t>
      </w:r>
      <w:r w:rsidRPr="00495BC5">
        <w:rPr>
          <w:lang w:val="en-IN"/>
        </w:rPr>
        <w:t xml:space="preserve">. Available at: </w:t>
      </w:r>
      <w:hyperlink r:id="rId13" w:tgtFrame="_blank" w:history="1">
        <w:r w:rsidRPr="00495BC5">
          <w:rPr>
            <w:rStyle w:val="Hyperlink"/>
            <w:lang w:val="en-IN"/>
          </w:rPr>
          <w:t>https://mib.gov.in</w:t>
        </w:r>
      </w:hyperlink>
      <w:r w:rsidRPr="00495BC5">
        <w:rPr>
          <w:lang w:val="en-IN"/>
        </w:rPr>
        <w:t xml:space="preserve"> (Accessed: 15 March 2026).</w:t>
      </w:r>
    </w:p>
    <w:p w14:paraId="67D16BEF" w14:textId="77777777" w:rsidR="00495BC5" w:rsidRPr="00495BC5" w:rsidRDefault="00495BC5" w:rsidP="00495BC5">
      <w:pPr>
        <w:rPr>
          <w:lang w:val="en-IN"/>
        </w:rPr>
      </w:pPr>
      <w:r w:rsidRPr="00495BC5">
        <w:rPr>
          <w:b/>
          <w:bCs/>
          <w:lang w:val="en-IN"/>
        </w:rPr>
        <w:t>Johnson, G., Whittington, R., Scholes, K., Angwin, D. and Regnér, P.</w:t>
      </w:r>
      <w:r w:rsidRPr="00495BC5">
        <w:rPr>
          <w:lang w:val="en-IN"/>
        </w:rPr>
        <w:t xml:space="preserve"> (2020) </w:t>
      </w:r>
      <w:r w:rsidRPr="00495BC5">
        <w:rPr>
          <w:i/>
          <w:iCs/>
          <w:lang w:val="en-IN"/>
        </w:rPr>
        <w:t>Exploring strategy</w:t>
      </w:r>
      <w:r w:rsidRPr="00495BC5">
        <w:rPr>
          <w:lang w:val="en-IN"/>
        </w:rPr>
        <w:t>. 12th edn. Harlow: Pearson.</w:t>
      </w:r>
    </w:p>
    <w:p w14:paraId="682693A0" w14:textId="77777777" w:rsidR="00495BC5" w:rsidRPr="00495BC5" w:rsidRDefault="00495BC5" w:rsidP="00495BC5">
      <w:pPr>
        <w:rPr>
          <w:lang w:val="en-IN"/>
        </w:rPr>
      </w:pPr>
      <w:r w:rsidRPr="00495BC5">
        <w:rPr>
          <w:b/>
          <w:bCs/>
          <w:lang w:val="en-IN"/>
        </w:rPr>
        <w:t>KPMG</w:t>
      </w:r>
      <w:r w:rsidRPr="00495BC5">
        <w:rPr>
          <w:lang w:val="en-IN"/>
        </w:rPr>
        <w:t xml:space="preserve"> (2023) </w:t>
      </w:r>
      <w:r w:rsidRPr="00495BC5">
        <w:rPr>
          <w:i/>
          <w:iCs/>
          <w:lang w:val="en-IN"/>
        </w:rPr>
        <w:t>Media and entertainment report: the digital shift</w:t>
      </w:r>
      <w:r w:rsidRPr="00495BC5">
        <w:rPr>
          <w:lang w:val="en-IN"/>
        </w:rPr>
        <w:t>. Mumbai: KPMG India.</w:t>
      </w:r>
    </w:p>
    <w:p w14:paraId="2AFA5F3B" w14:textId="77777777" w:rsidR="00495BC5" w:rsidRPr="00495BC5" w:rsidRDefault="00495BC5" w:rsidP="00495BC5">
      <w:pPr>
        <w:rPr>
          <w:lang w:val="en-IN"/>
        </w:rPr>
      </w:pPr>
      <w:r w:rsidRPr="00495BC5">
        <w:rPr>
          <w:b/>
          <w:bCs/>
          <w:lang w:val="en-IN"/>
        </w:rPr>
        <w:t>Media Partners Asia</w:t>
      </w:r>
      <w:r w:rsidRPr="00495BC5">
        <w:rPr>
          <w:lang w:val="en-IN"/>
        </w:rPr>
        <w:t xml:space="preserve"> (2024) </w:t>
      </w:r>
      <w:r w:rsidRPr="00495BC5">
        <w:rPr>
          <w:i/>
          <w:iCs/>
          <w:lang w:val="en-IN"/>
        </w:rPr>
        <w:t>The future of India’s video market</w:t>
      </w:r>
      <w:r w:rsidRPr="00495BC5">
        <w:rPr>
          <w:lang w:val="en-IN"/>
        </w:rPr>
        <w:t>. Singapore: Media Partners Asia.</w:t>
      </w:r>
    </w:p>
    <w:p w14:paraId="622428CF" w14:textId="3CDD40FD" w:rsidR="00495BC5" w:rsidRPr="00495BC5" w:rsidRDefault="00495BC5" w:rsidP="00495BC5">
      <w:pPr>
        <w:rPr>
          <w:lang w:val="en-IN"/>
        </w:rPr>
      </w:pPr>
      <w:r w:rsidRPr="00495BC5">
        <w:rPr>
          <w:b/>
          <w:bCs/>
          <w:lang w:val="en-IN"/>
        </w:rPr>
        <w:t>National Payments Corporation of India (NPCI)</w:t>
      </w:r>
      <w:r w:rsidRPr="00495BC5">
        <w:rPr>
          <w:lang w:val="en-IN"/>
        </w:rPr>
        <w:t xml:space="preserve"> (2025) </w:t>
      </w:r>
      <w:r w:rsidRPr="00495BC5">
        <w:rPr>
          <w:i/>
          <w:iCs/>
          <w:lang w:val="en-IN"/>
        </w:rPr>
        <w:t>UPI product overview</w:t>
      </w:r>
      <w:r w:rsidRPr="00495BC5">
        <w:rPr>
          <w:lang w:val="en-IN"/>
        </w:rPr>
        <w:t>. Available at:</w:t>
      </w:r>
      <w:r w:rsidR="005E1742">
        <w:rPr>
          <w:lang w:val="en-IN"/>
        </w:rPr>
        <w:t xml:space="preserve"> </w:t>
      </w:r>
      <w:hyperlink r:id="rId14" w:history="1">
        <w:r w:rsidR="005E1742" w:rsidRPr="000D1BFF">
          <w:rPr>
            <w:rStyle w:val="Hyperlink"/>
          </w:rPr>
          <w:t>https://www.npci.org.in</w:t>
        </w:r>
      </w:hyperlink>
      <w:r w:rsidR="005E1742">
        <w:rPr>
          <w:lang w:val="en-IN"/>
        </w:rPr>
        <w:t xml:space="preserve"> </w:t>
      </w:r>
      <w:r w:rsidRPr="00495BC5">
        <w:rPr>
          <w:lang w:val="en-IN"/>
        </w:rPr>
        <w:t>(Accessed: 14 March 2026).</w:t>
      </w:r>
    </w:p>
    <w:p w14:paraId="203E66E4" w14:textId="77777777" w:rsidR="00495BC5" w:rsidRPr="00495BC5" w:rsidRDefault="00495BC5" w:rsidP="00495BC5">
      <w:pPr>
        <w:rPr>
          <w:lang w:val="en-IN"/>
        </w:rPr>
      </w:pPr>
      <w:r w:rsidRPr="00495BC5">
        <w:rPr>
          <w:b/>
          <w:bCs/>
          <w:lang w:val="en-IN"/>
        </w:rPr>
        <w:t>Netflix, Inc.</w:t>
      </w:r>
      <w:r w:rsidRPr="00495BC5">
        <w:rPr>
          <w:lang w:val="en-IN"/>
        </w:rPr>
        <w:t xml:space="preserve"> (2025) </w:t>
      </w:r>
      <w:r w:rsidRPr="00495BC5">
        <w:rPr>
          <w:i/>
          <w:iCs/>
          <w:lang w:val="en-IN"/>
        </w:rPr>
        <w:t>Annual report 2024</w:t>
      </w:r>
      <w:r w:rsidRPr="00495BC5">
        <w:rPr>
          <w:lang w:val="en-IN"/>
        </w:rPr>
        <w:t xml:space="preserve">. Available at: </w:t>
      </w:r>
      <w:hyperlink r:id="rId15" w:tgtFrame="_blank" w:history="1">
        <w:r w:rsidRPr="00495BC5">
          <w:rPr>
            <w:rStyle w:val="Hyperlink"/>
            <w:lang w:val="en-IN"/>
          </w:rPr>
          <w:t>https://ir.netflix.net/financials/annual-reports-and-proxies/default.aspx</w:t>
        </w:r>
      </w:hyperlink>
      <w:r w:rsidRPr="00495BC5">
        <w:rPr>
          <w:lang w:val="en-IN"/>
        </w:rPr>
        <w:t xml:space="preserve"> (Accessed: 14 March 2026).</w:t>
      </w:r>
    </w:p>
    <w:p w14:paraId="14FDFC91" w14:textId="77777777" w:rsidR="00495BC5" w:rsidRPr="00495BC5" w:rsidRDefault="00495BC5" w:rsidP="00495BC5">
      <w:pPr>
        <w:rPr>
          <w:lang w:val="en-IN"/>
        </w:rPr>
      </w:pPr>
      <w:r w:rsidRPr="00495BC5">
        <w:rPr>
          <w:b/>
          <w:bCs/>
          <w:lang w:val="en-IN"/>
        </w:rPr>
        <w:t>Ormax Media</w:t>
      </w:r>
      <w:r w:rsidRPr="00495BC5">
        <w:rPr>
          <w:lang w:val="en-IN"/>
        </w:rPr>
        <w:t xml:space="preserve"> (2024) </w:t>
      </w:r>
      <w:r w:rsidRPr="00495BC5">
        <w:rPr>
          <w:i/>
          <w:iCs/>
          <w:lang w:val="en-IN"/>
        </w:rPr>
        <w:t>The Ormax OTT audience report</w:t>
      </w:r>
      <w:r w:rsidRPr="00495BC5">
        <w:rPr>
          <w:lang w:val="en-IN"/>
        </w:rPr>
        <w:t>. Mumbai: Ormax Media.</w:t>
      </w:r>
    </w:p>
    <w:p w14:paraId="6ECF01F1" w14:textId="77777777" w:rsidR="00495BC5" w:rsidRPr="00495BC5" w:rsidRDefault="00495BC5" w:rsidP="00495BC5">
      <w:pPr>
        <w:rPr>
          <w:lang w:val="en-IN"/>
        </w:rPr>
      </w:pPr>
      <w:r w:rsidRPr="00495BC5">
        <w:rPr>
          <w:b/>
          <w:bCs/>
          <w:lang w:val="en-IN"/>
        </w:rPr>
        <w:t>Porter, M.E.</w:t>
      </w:r>
      <w:r w:rsidRPr="00495BC5">
        <w:rPr>
          <w:lang w:val="en-IN"/>
        </w:rPr>
        <w:t xml:space="preserve"> (1990) </w:t>
      </w:r>
      <w:r w:rsidRPr="00495BC5">
        <w:rPr>
          <w:i/>
          <w:iCs/>
          <w:lang w:val="en-IN"/>
        </w:rPr>
        <w:t>The competitive advantage of nations</w:t>
      </w:r>
      <w:r w:rsidRPr="00495BC5">
        <w:rPr>
          <w:lang w:val="en-IN"/>
        </w:rPr>
        <w:t>. New York: Free Press.</w:t>
      </w:r>
    </w:p>
    <w:p w14:paraId="168A6E65" w14:textId="77777777" w:rsidR="00495BC5" w:rsidRPr="00495BC5" w:rsidRDefault="00495BC5" w:rsidP="00495BC5">
      <w:pPr>
        <w:rPr>
          <w:lang w:val="en-IN"/>
        </w:rPr>
      </w:pPr>
      <w:r w:rsidRPr="00495BC5">
        <w:rPr>
          <w:b/>
          <w:bCs/>
          <w:lang w:val="en-IN"/>
        </w:rPr>
        <w:t>PwC</w:t>
      </w:r>
      <w:r w:rsidRPr="00495BC5">
        <w:rPr>
          <w:lang w:val="en-IN"/>
        </w:rPr>
        <w:t xml:space="preserve"> (2024) </w:t>
      </w:r>
      <w:r w:rsidRPr="00495BC5">
        <w:rPr>
          <w:i/>
          <w:iCs/>
          <w:lang w:val="en-IN"/>
        </w:rPr>
        <w:t>Global entertainment &amp; media outlook 2024–2028</w:t>
      </w:r>
      <w:r w:rsidRPr="00495BC5">
        <w:rPr>
          <w:lang w:val="en-IN"/>
        </w:rPr>
        <w:t xml:space="preserve">. Available at: </w:t>
      </w:r>
      <w:hyperlink r:id="rId16" w:tgtFrame="_blank" w:history="1">
        <w:r w:rsidRPr="00495BC5">
          <w:rPr>
            <w:rStyle w:val="Hyperlink"/>
            <w:lang w:val="en-IN"/>
          </w:rPr>
          <w:t>https://www.pwc.com</w:t>
        </w:r>
      </w:hyperlink>
      <w:r w:rsidRPr="00495BC5">
        <w:rPr>
          <w:lang w:val="en-IN"/>
        </w:rPr>
        <w:t xml:space="preserve"> (Accessed: 16 March 2026).</w:t>
      </w:r>
    </w:p>
    <w:p w14:paraId="57B9C546" w14:textId="77777777" w:rsidR="00495BC5" w:rsidRPr="00495BC5" w:rsidRDefault="00495BC5" w:rsidP="00495BC5">
      <w:pPr>
        <w:rPr>
          <w:lang w:val="en-IN"/>
        </w:rPr>
      </w:pPr>
      <w:r w:rsidRPr="00495BC5">
        <w:rPr>
          <w:b/>
          <w:bCs/>
          <w:lang w:val="en-IN"/>
        </w:rPr>
        <w:t>Reuters</w:t>
      </w:r>
      <w:r w:rsidRPr="00495BC5">
        <w:rPr>
          <w:lang w:val="en-IN"/>
        </w:rPr>
        <w:t xml:space="preserve"> (2024) 'Reliance and Disney announce $8.5 billion merger of India media assets', </w:t>
      </w:r>
      <w:r w:rsidRPr="00495BC5">
        <w:rPr>
          <w:i/>
          <w:iCs/>
          <w:lang w:val="en-IN"/>
        </w:rPr>
        <w:t>Reuters</w:t>
      </w:r>
      <w:r w:rsidRPr="00495BC5">
        <w:rPr>
          <w:lang w:val="en-IN"/>
        </w:rPr>
        <w:t xml:space="preserve">, 28 February. Available at: </w:t>
      </w:r>
      <w:hyperlink r:id="rId17" w:tgtFrame="_blank" w:history="1">
        <w:r w:rsidRPr="00495BC5">
          <w:rPr>
            <w:rStyle w:val="Hyperlink"/>
            <w:lang w:val="en-IN"/>
          </w:rPr>
          <w:t>https://www.reuters.com</w:t>
        </w:r>
      </w:hyperlink>
      <w:r w:rsidRPr="00495BC5">
        <w:rPr>
          <w:lang w:val="en-IN"/>
        </w:rPr>
        <w:t xml:space="preserve"> (Accessed: 16 March 2026).</w:t>
      </w:r>
    </w:p>
    <w:p w14:paraId="0CD1EB32" w14:textId="77777777" w:rsidR="00495BC5" w:rsidRPr="00495BC5" w:rsidRDefault="00495BC5" w:rsidP="00495BC5">
      <w:pPr>
        <w:rPr>
          <w:lang w:val="en-IN"/>
        </w:rPr>
      </w:pPr>
      <w:r w:rsidRPr="00495BC5">
        <w:rPr>
          <w:b/>
          <w:bCs/>
          <w:lang w:val="en-IN"/>
        </w:rPr>
        <w:lastRenderedPageBreak/>
        <w:t>The Economic Times</w:t>
      </w:r>
      <w:r w:rsidRPr="00495BC5">
        <w:rPr>
          <w:lang w:val="en-IN"/>
        </w:rPr>
        <w:t xml:space="preserve"> (2024) 'ITAT rules in favour of Netflix on transfer pricing', </w:t>
      </w:r>
      <w:r w:rsidRPr="00495BC5">
        <w:rPr>
          <w:i/>
          <w:iCs/>
          <w:lang w:val="en-IN"/>
        </w:rPr>
        <w:t>The Economic Times</w:t>
      </w:r>
      <w:r w:rsidRPr="00495BC5">
        <w:rPr>
          <w:lang w:val="en-IN"/>
        </w:rPr>
        <w:t xml:space="preserve">, 12 May. Available at: </w:t>
      </w:r>
      <w:hyperlink r:id="rId18" w:tgtFrame="_blank" w:history="1">
        <w:r w:rsidRPr="00495BC5">
          <w:rPr>
            <w:rStyle w:val="Hyperlink"/>
            <w:lang w:val="en-IN"/>
          </w:rPr>
          <w:t>https://economictimes.indiatimes.com</w:t>
        </w:r>
      </w:hyperlink>
      <w:r w:rsidRPr="00495BC5">
        <w:rPr>
          <w:lang w:val="en-IN"/>
        </w:rPr>
        <w:t xml:space="preserve"> (Accessed: 16 March 2026).</w:t>
      </w:r>
    </w:p>
    <w:p w14:paraId="4E26B893" w14:textId="77777777" w:rsidR="00495BC5" w:rsidRPr="00495BC5" w:rsidRDefault="00495BC5" w:rsidP="00495BC5">
      <w:pPr>
        <w:rPr>
          <w:lang w:val="en-IN"/>
        </w:rPr>
      </w:pPr>
    </w:p>
    <w:p w14:paraId="019B182C" w14:textId="77777777" w:rsidR="008D7339" w:rsidRPr="00D02333" w:rsidRDefault="008D7339" w:rsidP="00D02333"/>
    <w:sectPr w:rsidR="008D7339" w:rsidRPr="00D02333">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E5C56F" w14:textId="77777777" w:rsidR="00E72741" w:rsidRDefault="00E72741" w:rsidP="009274D5">
      <w:pPr>
        <w:spacing w:after="0" w:line="240" w:lineRule="auto"/>
      </w:pPr>
      <w:r>
        <w:separator/>
      </w:r>
    </w:p>
  </w:endnote>
  <w:endnote w:type="continuationSeparator" w:id="0">
    <w:p w14:paraId="77D9A62A" w14:textId="77777777" w:rsidR="00E72741" w:rsidRDefault="00E72741" w:rsidP="009274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FDD4A" w14:textId="77777777" w:rsidR="00E72741" w:rsidRDefault="00E72741" w:rsidP="009274D5">
      <w:pPr>
        <w:spacing w:after="0" w:line="240" w:lineRule="auto"/>
      </w:pPr>
      <w:r>
        <w:separator/>
      </w:r>
    </w:p>
  </w:footnote>
  <w:footnote w:type="continuationSeparator" w:id="0">
    <w:p w14:paraId="7FDD27F7" w14:textId="77777777" w:rsidR="00E72741" w:rsidRDefault="00E72741" w:rsidP="009274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6070435"/>
      <w:docPartObj>
        <w:docPartGallery w:val="Page Numbers (Top of Page)"/>
        <w:docPartUnique/>
      </w:docPartObj>
    </w:sdtPr>
    <w:sdtEndPr>
      <w:rPr>
        <w:noProof/>
      </w:rPr>
    </w:sdtEndPr>
    <w:sdtContent>
      <w:p w14:paraId="5767708A" w14:textId="028CCC61" w:rsidR="003A6D4C" w:rsidRDefault="003A6D4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19E5A7B" w14:textId="34BD25FF" w:rsidR="009274D5" w:rsidRDefault="009274D5" w:rsidP="009274D5">
    <w:pPr>
      <w:pStyle w:val="Header"/>
      <w:tabs>
        <w:tab w:val="clear" w:pos="4513"/>
        <w:tab w:val="clear" w:pos="9026"/>
        <w:tab w:val="left" w:pos="2400"/>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4D5"/>
    <w:rsid w:val="000041F8"/>
    <w:rsid w:val="000066AD"/>
    <w:rsid w:val="00011AC6"/>
    <w:rsid w:val="000302DB"/>
    <w:rsid w:val="00037A57"/>
    <w:rsid w:val="000432CA"/>
    <w:rsid w:val="00043AFB"/>
    <w:rsid w:val="00060C85"/>
    <w:rsid w:val="000676F1"/>
    <w:rsid w:val="00096AC3"/>
    <w:rsid w:val="000B417C"/>
    <w:rsid w:val="000B53E5"/>
    <w:rsid w:val="000D3048"/>
    <w:rsid w:val="000F4E06"/>
    <w:rsid w:val="00102D67"/>
    <w:rsid w:val="00111408"/>
    <w:rsid w:val="00120481"/>
    <w:rsid w:val="00137932"/>
    <w:rsid w:val="001425B4"/>
    <w:rsid w:val="00144058"/>
    <w:rsid w:val="001629FF"/>
    <w:rsid w:val="00163BF4"/>
    <w:rsid w:val="001811B5"/>
    <w:rsid w:val="001B10FC"/>
    <w:rsid w:val="001C0A91"/>
    <w:rsid w:val="001C0C37"/>
    <w:rsid w:val="001E00F1"/>
    <w:rsid w:val="001F1AFA"/>
    <w:rsid w:val="001F333F"/>
    <w:rsid w:val="001F46F7"/>
    <w:rsid w:val="0020073C"/>
    <w:rsid w:val="002215CF"/>
    <w:rsid w:val="00223D4E"/>
    <w:rsid w:val="00245BBC"/>
    <w:rsid w:val="002476F9"/>
    <w:rsid w:val="00250672"/>
    <w:rsid w:val="00254911"/>
    <w:rsid w:val="00261B36"/>
    <w:rsid w:val="00293CAA"/>
    <w:rsid w:val="002B2703"/>
    <w:rsid w:val="002B560E"/>
    <w:rsid w:val="002D09B8"/>
    <w:rsid w:val="002F4474"/>
    <w:rsid w:val="0031046B"/>
    <w:rsid w:val="00333DEA"/>
    <w:rsid w:val="00336A73"/>
    <w:rsid w:val="00353AC7"/>
    <w:rsid w:val="00361012"/>
    <w:rsid w:val="00376470"/>
    <w:rsid w:val="00376B67"/>
    <w:rsid w:val="00377351"/>
    <w:rsid w:val="003866E9"/>
    <w:rsid w:val="003A6D4C"/>
    <w:rsid w:val="003A704F"/>
    <w:rsid w:val="003C4E67"/>
    <w:rsid w:val="003C7EE6"/>
    <w:rsid w:val="003D59F1"/>
    <w:rsid w:val="003E72DF"/>
    <w:rsid w:val="003E796C"/>
    <w:rsid w:val="00413AB6"/>
    <w:rsid w:val="004321D2"/>
    <w:rsid w:val="00433DB2"/>
    <w:rsid w:val="00444B5B"/>
    <w:rsid w:val="00475A0E"/>
    <w:rsid w:val="00484F94"/>
    <w:rsid w:val="00493B89"/>
    <w:rsid w:val="00495BC5"/>
    <w:rsid w:val="004A2C9B"/>
    <w:rsid w:val="004E0A62"/>
    <w:rsid w:val="004E53A1"/>
    <w:rsid w:val="00506990"/>
    <w:rsid w:val="00514507"/>
    <w:rsid w:val="00522264"/>
    <w:rsid w:val="00526073"/>
    <w:rsid w:val="00556C8F"/>
    <w:rsid w:val="00557A57"/>
    <w:rsid w:val="00583EDD"/>
    <w:rsid w:val="00597B90"/>
    <w:rsid w:val="005C1FB7"/>
    <w:rsid w:val="005D30AA"/>
    <w:rsid w:val="005E1742"/>
    <w:rsid w:val="005F5A62"/>
    <w:rsid w:val="00601672"/>
    <w:rsid w:val="00606BB1"/>
    <w:rsid w:val="0061228A"/>
    <w:rsid w:val="00656A89"/>
    <w:rsid w:val="00662410"/>
    <w:rsid w:val="00674EBE"/>
    <w:rsid w:val="006811D6"/>
    <w:rsid w:val="00681427"/>
    <w:rsid w:val="00682027"/>
    <w:rsid w:val="006851FE"/>
    <w:rsid w:val="00686186"/>
    <w:rsid w:val="006868F6"/>
    <w:rsid w:val="00695960"/>
    <w:rsid w:val="006A47C1"/>
    <w:rsid w:val="006E6EF1"/>
    <w:rsid w:val="006F026D"/>
    <w:rsid w:val="006F4B14"/>
    <w:rsid w:val="006F6D2F"/>
    <w:rsid w:val="00702B9D"/>
    <w:rsid w:val="00707964"/>
    <w:rsid w:val="00711AAB"/>
    <w:rsid w:val="0072197E"/>
    <w:rsid w:val="00734F5A"/>
    <w:rsid w:val="007424AA"/>
    <w:rsid w:val="0074664E"/>
    <w:rsid w:val="00757BBC"/>
    <w:rsid w:val="007647FA"/>
    <w:rsid w:val="007705BF"/>
    <w:rsid w:val="007828FA"/>
    <w:rsid w:val="00791D1A"/>
    <w:rsid w:val="007D3A23"/>
    <w:rsid w:val="007E56C6"/>
    <w:rsid w:val="007F3129"/>
    <w:rsid w:val="00814A32"/>
    <w:rsid w:val="00820AED"/>
    <w:rsid w:val="00824A92"/>
    <w:rsid w:val="00832B68"/>
    <w:rsid w:val="00832DA4"/>
    <w:rsid w:val="0087410E"/>
    <w:rsid w:val="00883F78"/>
    <w:rsid w:val="008B60A8"/>
    <w:rsid w:val="008D7339"/>
    <w:rsid w:val="008D77C4"/>
    <w:rsid w:val="009036BD"/>
    <w:rsid w:val="009039E6"/>
    <w:rsid w:val="009274D5"/>
    <w:rsid w:val="0094034A"/>
    <w:rsid w:val="0094306F"/>
    <w:rsid w:val="00952FB8"/>
    <w:rsid w:val="00953218"/>
    <w:rsid w:val="009616B8"/>
    <w:rsid w:val="009762B2"/>
    <w:rsid w:val="00990EB6"/>
    <w:rsid w:val="009C5DC9"/>
    <w:rsid w:val="009D47B3"/>
    <w:rsid w:val="009D5521"/>
    <w:rsid w:val="009F6271"/>
    <w:rsid w:val="009F72A0"/>
    <w:rsid w:val="00A00F5D"/>
    <w:rsid w:val="00A15FB8"/>
    <w:rsid w:val="00A1699A"/>
    <w:rsid w:val="00A21AFB"/>
    <w:rsid w:val="00A224D6"/>
    <w:rsid w:val="00A25109"/>
    <w:rsid w:val="00A42A10"/>
    <w:rsid w:val="00A42D03"/>
    <w:rsid w:val="00A45FE9"/>
    <w:rsid w:val="00A55C20"/>
    <w:rsid w:val="00A6571D"/>
    <w:rsid w:val="00A72AFA"/>
    <w:rsid w:val="00A7444A"/>
    <w:rsid w:val="00A86309"/>
    <w:rsid w:val="00A87C76"/>
    <w:rsid w:val="00A93A4C"/>
    <w:rsid w:val="00AC22A8"/>
    <w:rsid w:val="00AD1127"/>
    <w:rsid w:val="00AD1FB6"/>
    <w:rsid w:val="00B113E7"/>
    <w:rsid w:val="00B229B1"/>
    <w:rsid w:val="00B27485"/>
    <w:rsid w:val="00B3278E"/>
    <w:rsid w:val="00B352D6"/>
    <w:rsid w:val="00B45142"/>
    <w:rsid w:val="00B45191"/>
    <w:rsid w:val="00B55CF6"/>
    <w:rsid w:val="00B72D09"/>
    <w:rsid w:val="00B8620B"/>
    <w:rsid w:val="00B91C72"/>
    <w:rsid w:val="00BA130C"/>
    <w:rsid w:val="00BB2AC7"/>
    <w:rsid w:val="00BB3671"/>
    <w:rsid w:val="00BB58D8"/>
    <w:rsid w:val="00BE2D29"/>
    <w:rsid w:val="00C14739"/>
    <w:rsid w:val="00C1667A"/>
    <w:rsid w:val="00C167EE"/>
    <w:rsid w:val="00C33A6A"/>
    <w:rsid w:val="00C43D2F"/>
    <w:rsid w:val="00C47509"/>
    <w:rsid w:val="00C6343A"/>
    <w:rsid w:val="00C82AF7"/>
    <w:rsid w:val="00C9110B"/>
    <w:rsid w:val="00C91444"/>
    <w:rsid w:val="00CA2D94"/>
    <w:rsid w:val="00CB3D94"/>
    <w:rsid w:val="00CC499C"/>
    <w:rsid w:val="00D019A1"/>
    <w:rsid w:val="00D02333"/>
    <w:rsid w:val="00D23ED8"/>
    <w:rsid w:val="00D27C81"/>
    <w:rsid w:val="00D35CB9"/>
    <w:rsid w:val="00D550B2"/>
    <w:rsid w:val="00D6481F"/>
    <w:rsid w:val="00D6620F"/>
    <w:rsid w:val="00D66F65"/>
    <w:rsid w:val="00D71CF2"/>
    <w:rsid w:val="00D73AB4"/>
    <w:rsid w:val="00D80DD1"/>
    <w:rsid w:val="00D82A7D"/>
    <w:rsid w:val="00D85AA1"/>
    <w:rsid w:val="00D875F5"/>
    <w:rsid w:val="00D91B6B"/>
    <w:rsid w:val="00DD2719"/>
    <w:rsid w:val="00DD6A21"/>
    <w:rsid w:val="00E0151A"/>
    <w:rsid w:val="00E17D3C"/>
    <w:rsid w:val="00E46AF5"/>
    <w:rsid w:val="00E53AFB"/>
    <w:rsid w:val="00E6456D"/>
    <w:rsid w:val="00E64EF3"/>
    <w:rsid w:val="00E72741"/>
    <w:rsid w:val="00E76065"/>
    <w:rsid w:val="00E95F77"/>
    <w:rsid w:val="00E9693F"/>
    <w:rsid w:val="00EA493B"/>
    <w:rsid w:val="00EC05E3"/>
    <w:rsid w:val="00EE337C"/>
    <w:rsid w:val="00EF024B"/>
    <w:rsid w:val="00EF4089"/>
    <w:rsid w:val="00F0063A"/>
    <w:rsid w:val="00F062CB"/>
    <w:rsid w:val="00F11D86"/>
    <w:rsid w:val="00F13285"/>
    <w:rsid w:val="00F21423"/>
    <w:rsid w:val="00F407C2"/>
    <w:rsid w:val="00F417E2"/>
    <w:rsid w:val="00F5045F"/>
    <w:rsid w:val="00F50B6D"/>
    <w:rsid w:val="00F549B9"/>
    <w:rsid w:val="00F60063"/>
    <w:rsid w:val="00F7188F"/>
    <w:rsid w:val="00F74345"/>
    <w:rsid w:val="00F77637"/>
    <w:rsid w:val="00FA5E1B"/>
    <w:rsid w:val="00FB0257"/>
    <w:rsid w:val="00FC36A7"/>
    <w:rsid w:val="00FD1704"/>
    <w:rsid w:val="00FE2440"/>
    <w:rsid w:val="00FF703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E1B8E2"/>
  <w15:chartTrackingRefBased/>
  <w15:docId w15:val="{98A61DBF-2692-469A-9E71-892081640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AC7"/>
    <w:rPr>
      <w:rFonts w:ascii="Arial" w:hAnsi="Arial"/>
    </w:rPr>
  </w:style>
  <w:style w:type="paragraph" w:styleId="Heading1">
    <w:name w:val="heading 1"/>
    <w:basedOn w:val="Normal"/>
    <w:next w:val="Normal"/>
    <w:link w:val="Heading1Char"/>
    <w:uiPriority w:val="9"/>
    <w:qFormat/>
    <w:rsid w:val="0094034A"/>
    <w:pPr>
      <w:keepNext/>
      <w:keepLines/>
      <w:spacing w:before="360" w:after="80"/>
      <w:outlineLvl w:val="0"/>
    </w:pPr>
    <w:rPr>
      <w:rFonts w:eastAsiaTheme="majorEastAsia" w:cstheme="majorBidi"/>
      <w:b/>
      <w:sz w:val="40"/>
      <w:szCs w:val="40"/>
    </w:rPr>
  </w:style>
  <w:style w:type="paragraph" w:styleId="Heading2">
    <w:name w:val="heading 2"/>
    <w:basedOn w:val="Normal"/>
    <w:next w:val="Normal"/>
    <w:link w:val="Heading2Char"/>
    <w:uiPriority w:val="9"/>
    <w:unhideWhenUsed/>
    <w:qFormat/>
    <w:rsid w:val="00F13285"/>
    <w:pPr>
      <w:keepNext/>
      <w:keepLines/>
      <w:spacing w:before="160" w:after="80"/>
      <w:outlineLvl w:val="1"/>
    </w:pPr>
    <w:rPr>
      <w:rFonts w:eastAsiaTheme="majorEastAsia" w:cstheme="majorBidi"/>
      <w:b/>
      <w:sz w:val="32"/>
      <w:szCs w:val="32"/>
    </w:rPr>
  </w:style>
  <w:style w:type="paragraph" w:styleId="Heading3">
    <w:name w:val="heading 3"/>
    <w:basedOn w:val="Normal"/>
    <w:next w:val="Normal"/>
    <w:link w:val="Heading3Char"/>
    <w:uiPriority w:val="9"/>
    <w:unhideWhenUsed/>
    <w:qFormat/>
    <w:rsid w:val="00C47509"/>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9274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74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74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74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74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74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034A"/>
    <w:rPr>
      <w:rFonts w:ascii="Arial" w:eastAsiaTheme="majorEastAsia" w:hAnsi="Arial" w:cstheme="majorBidi"/>
      <w:b/>
      <w:sz w:val="40"/>
      <w:szCs w:val="40"/>
    </w:rPr>
  </w:style>
  <w:style w:type="character" w:customStyle="1" w:styleId="Heading2Char">
    <w:name w:val="Heading 2 Char"/>
    <w:basedOn w:val="DefaultParagraphFont"/>
    <w:link w:val="Heading2"/>
    <w:uiPriority w:val="9"/>
    <w:rsid w:val="00F13285"/>
    <w:rPr>
      <w:rFonts w:ascii="Arial" w:eastAsiaTheme="majorEastAsia" w:hAnsi="Arial" w:cstheme="majorBidi"/>
      <w:b/>
      <w:sz w:val="32"/>
      <w:szCs w:val="32"/>
    </w:rPr>
  </w:style>
  <w:style w:type="character" w:customStyle="1" w:styleId="Heading3Char">
    <w:name w:val="Heading 3 Char"/>
    <w:basedOn w:val="DefaultParagraphFont"/>
    <w:link w:val="Heading3"/>
    <w:uiPriority w:val="9"/>
    <w:rsid w:val="00C47509"/>
    <w:rPr>
      <w:rFonts w:ascii="Arial" w:eastAsiaTheme="majorEastAsia" w:hAnsi="Arial" w:cstheme="majorBidi"/>
      <w:b/>
      <w:szCs w:val="28"/>
    </w:rPr>
  </w:style>
  <w:style w:type="character" w:customStyle="1" w:styleId="Heading4Char">
    <w:name w:val="Heading 4 Char"/>
    <w:basedOn w:val="DefaultParagraphFont"/>
    <w:link w:val="Heading4"/>
    <w:uiPriority w:val="9"/>
    <w:semiHidden/>
    <w:rsid w:val="009274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74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74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74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74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74D5"/>
    <w:rPr>
      <w:rFonts w:eastAsiaTheme="majorEastAsia" w:cstheme="majorBidi"/>
      <w:color w:val="272727" w:themeColor="text1" w:themeTint="D8"/>
    </w:rPr>
  </w:style>
  <w:style w:type="paragraph" w:styleId="Title">
    <w:name w:val="Title"/>
    <w:basedOn w:val="Normal"/>
    <w:next w:val="Normal"/>
    <w:link w:val="TitleChar"/>
    <w:uiPriority w:val="10"/>
    <w:qFormat/>
    <w:rsid w:val="009274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74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74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74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74D5"/>
    <w:pPr>
      <w:spacing w:before="160"/>
      <w:jc w:val="center"/>
    </w:pPr>
    <w:rPr>
      <w:i/>
      <w:iCs/>
      <w:color w:val="404040" w:themeColor="text1" w:themeTint="BF"/>
    </w:rPr>
  </w:style>
  <w:style w:type="character" w:customStyle="1" w:styleId="QuoteChar">
    <w:name w:val="Quote Char"/>
    <w:basedOn w:val="DefaultParagraphFont"/>
    <w:link w:val="Quote"/>
    <w:uiPriority w:val="29"/>
    <w:rsid w:val="009274D5"/>
    <w:rPr>
      <w:i/>
      <w:iCs/>
      <w:color w:val="404040" w:themeColor="text1" w:themeTint="BF"/>
    </w:rPr>
  </w:style>
  <w:style w:type="paragraph" w:styleId="ListParagraph">
    <w:name w:val="List Paragraph"/>
    <w:basedOn w:val="Normal"/>
    <w:uiPriority w:val="34"/>
    <w:qFormat/>
    <w:rsid w:val="009274D5"/>
    <w:pPr>
      <w:ind w:left="720"/>
      <w:contextualSpacing/>
    </w:pPr>
  </w:style>
  <w:style w:type="character" w:styleId="IntenseEmphasis">
    <w:name w:val="Intense Emphasis"/>
    <w:basedOn w:val="DefaultParagraphFont"/>
    <w:uiPriority w:val="21"/>
    <w:qFormat/>
    <w:rsid w:val="009274D5"/>
    <w:rPr>
      <w:i/>
      <w:iCs/>
      <w:color w:val="0F4761" w:themeColor="accent1" w:themeShade="BF"/>
    </w:rPr>
  </w:style>
  <w:style w:type="paragraph" w:styleId="IntenseQuote">
    <w:name w:val="Intense Quote"/>
    <w:basedOn w:val="Normal"/>
    <w:next w:val="Normal"/>
    <w:link w:val="IntenseQuoteChar"/>
    <w:uiPriority w:val="30"/>
    <w:qFormat/>
    <w:rsid w:val="009274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74D5"/>
    <w:rPr>
      <w:i/>
      <w:iCs/>
      <w:color w:val="0F4761" w:themeColor="accent1" w:themeShade="BF"/>
    </w:rPr>
  </w:style>
  <w:style w:type="character" w:styleId="IntenseReference">
    <w:name w:val="Intense Reference"/>
    <w:basedOn w:val="DefaultParagraphFont"/>
    <w:uiPriority w:val="32"/>
    <w:qFormat/>
    <w:rsid w:val="009274D5"/>
    <w:rPr>
      <w:b/>
      <w:bCs/>
      <w:smallCaps/>
      <w:color w:val="0F4761" w:themeColor="accent1" w:themeShade="BF"/>
      <w:spacing w:val="5"/>
    </w:rPr>
  </w:style>
  <w:style w:type="paragraph" w:styleId="Header">
    <w:name w:val="header"/>
    <w:basedOn w:val="Normal"/>
    <w:link w:val="HeaderChar"/>
    <w:uiPriority w:val="99"/>
    <w:unhideWhenUsed/>
    <w:rsid w:val="009274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74D5"/>
  </w:style>
  <w:style w:type="paragraph" w:styleId="Footer">
    <w:name w:val="footer"/>
    <w:basedOn w:val="Normal"/>
    <w:link w:val="FooterChar"/>
    <w:uiPriority w:val="99"/>
    <w:unhideWhenUsed/>
    <w:rsid w:val="009274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74D5"/>
  </w:style>
  <w:style w:type="paragraph" w:styleId="TOCHeading">
    <w:name w:val="TOC Heading"/>
    <w:basedOn w:val="Heading1"/>
    <w:next w:val="Normal"/>
    <w:uiPriority w:val="39"/>
    <w:unhideWhenUsed/>
    <w:qFormat/>
    <w:rsid w:val="00C167EE"/>
    <w:pPr>
      <w:spacing w:before="240" w:after="0" w:line="259" w:lineRule="auto"/>
      <w:outlineLvl w:val="9"/>
    </w:pPr>
    <w:rPr>
      <w:rFonts w:asciiTheme="majorHAnsi" w:hAnsiTheme="majorHAnsi"/>
      <w:b w:val="0"/>
      <w:color w:val="0F4761" w:themeColor="accent1" w:themeShade="BF"/>
      <w:kern w:val="0"/>
      <w:sz w:val="32"/>
      <w:szCs w:val="32"/>
      <w:lang w:val="en-US" w:eastAsia="en-US"/>
      <w14:ligatures w14:val="none"/>
    </w:rPr>
  </w:style>
  <w:style w:type="paragraph" w:styleId="TOC1">
    <w:name w:val="toc 1"/>
    <w:basedOn w:val="Normal"/>
    <w:next w:val="Normal"/>
    <w:autoRedefine/>
    <w:uiPriority w:val="39"/>
    <w:unhideWhenUsed/>
    <w:rsid w:val="00C167EE"/>
    <w:pPr>
      <w:spacing w:after="100"/>
    </w:pPr>
  </w:style>
  <w:style w:type="paragraph" w:styleId="TOC2">
    <w:name w:val="toc 2"/>
    <w:basedOn w:val="Normal"/>
    <w:next w:val="Normal"/>
    <w:autoRedefine/>
    <w:uiPriority w:val="39"/>
    <w:unhideWhenUsed/>
    <w:rsid w:val="00C167EE"/>
    <w:pPr>
      <w:spacing w:after="100"/>
      <w:ind w:left="240"/>
    </w:pPr>
  </w:style>
  <w:style w:type="paragraph" w:styleId="TOC3">
    <w:name w:val="toc 3"/>
    <w:basedOn w:val="Normal"/>
    <w:next w:val="Normal"/>
    <w:autoRedefine/>
    <w:uiPriority w:val="39"/>
    <w:unhideWhenUsed/>
    <w:rsid w:val="00C167EE"/>
    <w:pPr>
      <w:spacing w:after="100"/>
      <w:ind w:left="480"/>
    </w:pPr>
  </w:style>
  <w:style w:type="character" w:styleId="Hyperlink">
    <w:name w:val="Hyperlink"/>
    <w:basedOn w:val="DefaultParagraphFont"/>
    <w:uiPriority w:val="99"/>
    <w:unhideWhenUsed/>
    <w:rsid w:val="00C167EE"/>
    <w:rPr>
      <w:color w:val="467886" w:themeColor="hyperlink"/>
      <w:u w:val="single"/>
    </w:rPr>
  </w:style>
  <w:style w:type="paragraph" w:styleId="NormalWeb">
    <w:name w:val="Normal (Web)"/>
    <w:basedOn w:val="Normal"/>
    <w:uiPriority w:val="99"/>
    <w:semiHidden/>
    <w:unhideWhenUsed/>
    <w:rsid w:val="00D27C81"/>
    <w:rPr>
      <w:rFonts w:ascii="Times New Roman" w:hAnsi="Times New Roman" w:cs="Times New Roman"/>
    </w:rPr>
  </w:style>
  <w:style w:type="character" w:styleId="UnresolvedMention">
    <w:name w:val="Unresolved Mention"/>
    <w:basedOn w:val="DefaultParagraphFont"/>
    <w:uiPriority w:val="99"/>
    <w:semiHidden/>
    <w:unhideWhenUsed/>
    <w:rsid w:val="00495BC5"/>
    <w:rPr>
      <w:color w:val="605E5C"/>
      <w:shd w:val="clear" w:color="auto" w:fill="E1DFDD"/>
    </w:rPr>
  </w:style>
  <w:style w:type="character" w:styleId="FollowedHyperlink">
    <w:name w:val="FollowedHyperlink"/>
    <w:basedOn w:val="DefaultParagraphFont"/>
    <w:uiPriority w:val="99"/>
    <w:semiHidden/>
    <w:unhideWhenUsed/>
    <w:rsid w:val="00495BC5"/>
    <w:rPr>
      <w:color w:val="96607D" w:themeColor="followedHyperlink"/>
      <w:u w:val="single"/>
    </w:rPr>
  </w:style>
  <w:style w:type="paragraph" w:styleId="Caption">
    <w:name w:val="caption"/>
    <w:basedOn w:val="Normal"/>
    <w:next w:val="Normal"/>
    <w:uiPriority w:val="35"/>
    <w:unhideWhenUsed/>
    <w:qFormat/>
    <w:rsid w:val="00D6481F"/>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mib.gov.in" TargetMode="External"/><Relationship Id="rId18" Type="http://schemas.openxmlformats.org/officeDocument/2006/relationships/hyperlink" Target="https://economictimes.indiatimes.co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meity.gov.in" TargetMode="External"/><Relationship Id="rId17" Type="http://schemas.openxmlformats.org/officeDocument/2006/relationships/hyperlink" Target="https://www.reuters.com" TargetMode="External"/><Relationship Id="rId2" Type="http://schemas.openxmlformats.org/officeDocument/2006/relationships/styles" Target="styles.xml"/><Relationship Id="rId16" Type="http://schemas.openxmlformats.org/officeDocument/2006/relationships/hyperlink" Target="https://www.pwc.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onsuunt.com/porters-diamond-model/" TargetMode="External"/><Relationship Id="rId5" Type="http://schemas.openxmlformats.org/officeDocument/2006/relationships/footnotes" Target="footnotes.xml"/><Relationship Id="rId15" Type="http://schemas.openxmlformats.org/officeDocument/2006/relationships/hyperlink" Target="https://ir.netflix.net/financials/annual-reports-and-proxies/default.aspx" TargetMode="External"/><Relationship Id="rId10" Type="http://schemas.openxmlformats.org/officeDocument/2006/relationships/image" Target="media/image2.gif"/><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hyperlink" Target="https://www.npci.org.in"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Indian OTT Market Value (Billions USD)</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Sheet1!$A$2:$A$7</c:f>
              <c:strCache>
                <c:ptCount val="6"/>
                <c:pt idx="0">
                  <c:v>2023</c:v>
                </c:pt>
                <c:pt idx="1">
                  <c:v>2024</c:v>
                </c:pt>
                <c:pt idx="2">
                  <c:v>2025</c:v>
                </c:pt>
                <c:pt idx="3">
                  <c:v>2026(Est.)</c:v>
                </c:pt>
                <c:pt idx="4">
                  <c:v>2027(Est.)</c:v>
                </c:pt>
                <c:pt idx="5">
                  <c:v>2028(Est.)</c:v>
                </c:pt>
              </c:strCache>
            </c:strRef>
          </c:cat>
          <c:val>
            <c:numRef>
              <c:f>Sheet1!$B$2:$B$7</c:f>
              <c:numCache>
                <c:formatCode>General</c:formatCode>
                <c:ptCount val="6"/>
                <c:pt idx="0">
                  <c:v>3.9</c:v>
                </c:pt>
                <c:pt idx="1">
                  <c:v>4.5999999999999996</c:v>
                </c:pt>
                <c:pt idx="2">
                  <c:v>5.4</c:v>
                </c:pt>
                <c:pt idx="3">
                  <c:v>6.4</c:v>
                </c:pt>
                <c:pt idx="4">
                  <c:v>7.5</c:v>
                </c:pt>
                <c:pt idx="5">
                  <c:v>8.8000000000000007</c:v>
                </c:pt>
              </c:numCache>
            </c:numRef>
          </c:val>
          <c:extLst>
            <c:ext xmlns:c16="http://schemas.microsoft.com/office/drawing/2014/chart" uri="{C3380CC4-5D6E-409C-BE32-E72D297353CC}">
              <c16:uniqueId val="{00000000-E1AE-4C5C-822E-D4CBAE4D0858}"/>
            </c:ext>
          </c:extLst>
        </c:ser>
        <c:dLbls>
          <c:dLblPos val="inEnd"/>
          <c:showLegendKey val="0"/>
          <c:showVal val="1"/>
          <c:showCatName val="0"/>
          <c:showSerName val="0"/>
          <c:showPercent val="0"/>
          <c:showBubbleSize val="0"/>
        </c:dLbls>
        <c:gapWidth val="65"/>
        <c:axId val="1575655871"/>
        <c:axId val="1580301295"/>
      </c:barChart>
      <c:catAx>
        <c:axId val="1575655871"/>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580301295"/>
        <c:crosses val="autoZero"/>
        <c:auto val="1"/>
        <c:lblAlgn val="ctr"/>
        <c:lblOffset val="100"/>
        <c:noMultiLvlLbl val="0"/>
      </c:catAx>
      <c:valAx>
        <c:axId val="1580301295"/>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575655871"/>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Estimated SVOD Market Share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27D-4B71-B4BA-9FEF1C962CD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27D-4B71-B4BA-9FEF1C962CD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27D-4B71-B4BA-9FEF1C962CDE}"/>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27D-4B71-B4BA-9FEF1C962CDE}"/>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627D-4B71-B4BA-9FEF1C962CD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JioHotstar (Reliance-Disney)</c:v>
                </c:pt>
                <c:pt idx="1">
                  <c:v>Amazon Prime Video</c:v>
                </c:pt>
                <c:pt idx="2">
                  <c:v>Netflix</c:v>
                </c:pt>
                <c:pt idx="3">
                  <c:v>Zee5 &amp; SonyLIV</c:v>
                </c:pt>
                <c:pt idx="4">
                  <c:v>Others (Regional Niche)</c:v>
                </c:pt>
              </c:strCache>
            </c:strRef>
          </c:cat>
          <c:val>
            <c:numRef>
              <c:f>Sheet1!$B$2:$B$6</c:f>
              <c:numCache>
                <c:formatCode>0%</c:formatCode>
                <c:ptCount val="5"/>
                <c:pt idx="0">
                  <c:v>0.45</c:v>
                </c:pt>
                <c:pt idx="1">
                  <c:v>0.2</c:v>
                </c:pt>
                <c:pt idx="2">
                  <c:v>0.15</c:v>
                </c:pt>
                <c:pt idx="3">
                  <c:v>0.15</c:v>
                </c:pt>
                <c:pt idx="4">
                  <c:v>0.05</c:v>
                </c:pt>
              </c:numCache>
            </c:numRef>
          </c:val>
          <c:extLst>
            <c:ext xmlns:c16="http://schemas.microsoft.com/office/drawing/2014/chart" uri="{C3380CC4-5D6E-409C-BE32-E72D297353CC}">
              <c16:uniqueId val="{00000000-6A03-436D-AA59-65B8DB1DBFFD}"/>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F29A8-71EA-4622-8719-8A619E975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22</Pages>
  <Words>6695</Words>
  <Characters>38168</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Virendrasinh Rajendrasinh Rathod (2438323)</dc:creator>
  <cp:keywords/>
  <dc:description/>
  <cp:lastModifiedBy>Yashraj Gadhavi</cp:lastModifiedBy>
  <cp:revision>19</cp:revision>
  <dcterms:created xsi:type="dcterms:W3CDTF">2026-03-20T08:32:00Z</dcterms:created>
  <dcterms:modified xsi:type="dcterms:W3CDTF">2026-03-20T12:09:00Z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f2363534-3cd9-4a55-bb4c-fabe59a6a5af</vt:lpwstr>
  </property>
</Properties>
</file>