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A51021B" wp14:paraId="012981A1" wp14:textId="42EA3553">
      <w:pPr>
        <w:spacing w:line="360" w:lineRule="auto"/>
        <w:rPr>
          <w:rFonts w:ascii="Arial Black" w:hAnsi="Arial Black" w:eastAsia="Arial Black" w:cs="Arial Black"/>
          <w:b w:val="0"/>
          <w:bCs w:val="0"/>
          <w:i w:val="0"/>
          <w:iCs w:val="0"/>
          <w:caps w:val="0"/>
          <w:smallCaps w:val="0"/>
          <w:noProof w:val="0"/>
          <w:color w:val="222222"/>
          <w:sz w:val="28"/>
          <w:szCs w:val="28"/>
          <w:lang w:val="en-US"/>
        </w:rPr>
      </w:pPr>
      <w:r w:rsidRPr="6A51021B" w:rsidR="5D6A918D">
        <w:rPr>
          <w:rFonts w:ascii="Arial" w:hAnsi="Arial" w:eastAsia="Arial" w:cs="Arial"/>
          <w:b w:val="0"/>
          <w:bCs w:val="0"/>
          <w:i w:val="0"/>
          <w:iCs w:val="0"/>
          <w:caps w:val="0"/>
          <w:smallCaps w:val="0"/>
          <w:noProof w:val="0"/>
          <w:color w:val="222222"/>
          <w:sz w:val="24"/>
          <w:szCs w:val="24"/>
          <w:lang w:val="en-US"/>
        </w:rPr>
        <w:t xml:space="preserve">                    </w:t>
      </w:r>
      <w:r w:rsidRPr="6A51021B" w:rsidR="460A91A9">
        <w:rPr>
          <w:rFonts w:ascii="Arial" w:hAnsi="Arial" w:eastAsia="Arial" w:cs="Arial"/>
          <w:b w:val="0"/>
          <w:bCs w:val="0"/>
          <w:i w:val="0"/>
          <w:iCs w:val="0"/>
          <w:caps w:val="0"/>
          <w:smallCaps w:val="0"/>
          <w:noProof w:val="0"/>
          <w:color w:val="222222"/>
          <w:sz w:val="24"/>
          <w:szCs w:val="24"/>
          <w:lang w:val="en-US"/>
        </w:rPr>
        <w:t xml:space="preserve"> </w:t>
      </w:r>
      <w:r w:rsidRPr="6A51021B" w:rsidR="460A91A9">
        <w:rPr>
          <w:rFonts w:ascii="Arial Black" w:hAnsi="Arial Black" w:eastAsia="Arial Black" w:cs="Arial Black"/>
          <w:b w:val="0"/>
          <w:bCs w:val="0"/>
          <w:i w:val="0"/>
          <w:iCs w:val="0"/>
          <w:caps w:val="0"/>
          <w:smallCaps w:val="0"/>
          <w:noProof w:val="0"/>
          <w:color w:val="222222"/>
          <w:sz w:val="28"/>
          <w:szCs w:val="28"/>
          <w:lang w:val="en-US"/>
        </w:rPr>
        <w:t xml:space="preserve"> Consent and </w:t>
      </w:r>
      <w:r w:rsidRPr="6A51021B" w:rsidR="460A91A9">
        <w:rPr>
          <w:rFonts w:ascii="Arial Black" w:hAnsi="Arial Black" w:eastAsia="Arial Black" w:cs="Arial Black"/>
          <w:b w:val="0"/>
          <w:bCs w:val="0"/>
          <w:i w:val="0"/>
          <w:iCs w:val="0"/>
          <w:caps w:val="0"/>
          <w:smallCaps w:val="0"/>
          <w:noProof w:val="0"/>
          <w:color w:val="222222"/>
          <w:sz w:val="28"/>
          <w:szCs w:val="28"/>
          <w:lang w:val="en-US"/>
        </w:rPr>
        <w:t>it’s</w:t>
      </w:r>
      <w:r w:rsidRPr="6A51021B" w:rsidR="460A91A9">
        <w:rPr>
          <w:rFonts w:ascii="Arial Black" w:hAnsi="Arial Black" w:eastAsia="Arial Black" w:cs="Arial Black"/>
          <w:b w:val="0"/>
          <w:bCs w:val="0"/>
          <w:i w:val="0"/>
          <w:iCs w:val="0"/>
          <w:caps w:val="0"/>
          <w:smallCaps w:val="0"/>
          <w:noProof w:val="0"/>
          <w:color w:val="222222"/>
          <w:sz w:val="28"/>
          <w:szCs w:val="28"/>
          <w:lang w:val="en-US"/>
        </w:rPr>
        <w:t xml:space="preserve"> role in cases involving battery </w:t>
      </w:r>
    </w:p>
    <w:p xmlns:wp14="http://schemas.microsoft.com/office/word/2010/wordml" w:rsidP="6A51021B" wp14:paraId="12EAA889" wp14:textId="29E89045">
      <w:pPr>
        <w:spacing w:line="360" w:lineRule="auto"/>
        <w:rPr>
          <w:rFonts w:ascii="Arial" w:hAnsi="Arial" w:eastAsia="Arial" w:cs="Arial"/>
          <w:sz w:val="24"/>
          <w:szCs w:val="24"/>
        </w:rPr>
      </w:pPr>
      <w:r>
        <w:br/>
      </w:r>
    </w:p>
    <w:p xmlns:wp14="http://schemas.microsoft.com/office/word/2010/wordml" w:rsidP="6A51021B" wp14:paraId="72884A79" wp14:textId="11979E1D">
      <w:pPr>
        <w:spacing w:line="360" w:lineRule="auto"/>
        <w:rPr>
          <w:rFonts w:ascii="Arial" w:hAnsi="Arial" w:eastAsia="Arial" w:cs="Arial"/>
          <w:sz w:val="24"/>
          <w:szCs w:val="24"/>
        </w:rPr>
      </w:pPr>
      <w:r>
        <w:br/>
      </w:r>
    </w:p>
    <w:p xmlns:wp14="http://schemas.microsoft.com/office/word/2010/wordml" w:rsidP="6A51021B" wp14:paraId="0D5E52AD" wp14:textId="607545B9">
      <w:pPr>
        <w:spacing w:line="360" w:lineRule="auto"/>
        <w:rPr>
          <w:rFonts w:ascii="Arial" w:hAnsi="Arial" w:eastAsia="Arial" w:cs="Arial"/>
          <w:sz w:val="24"/>
          <w:szCs w:val="24"/>
        </w:rPr>
      </w:pPr>
      <w:r>
        <w:br/>
      </w:r>
    </w:p>
    <w:p xmlns:wp14="http://schemas.microsoft.com/office/word/2010/wordml" w:rsidP="6A51021B" wp14:paraId="5861299E" wp14:textId="481997B2">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Criminal Law </w:t>
      </w:r>
    </w:p>
    <w:p xmlns:wp14="http://schemas.microsoft.com/office/word/2010/wordml" w:rsidP="6A51021B" wp14:paraId="331A0489" wp14:textId="30FDB28F">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BMPL4009 </w:t>
      </w:r>
    </w:p>
    <w:p xmlns:wp14="http://schemas.microsoft.com/office/word/2010/wordml" w:rsidP="6A51021B" wp14:paraId="74A257F9" wp14:textId="109DDDD4">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Deadline: 10th November </w:t>
      </w:r>
    </w:p>
    <w:p xmlns:wp14="http://schemas.microsoft.com/office/word/2010/wordml" w:rsidP="6A51021B" wp14:paraId="2C0CFA37" wp14:textId="223651DF">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Name: Ioana Lavinia Ferencz </w:t>
      </w:r>
    </w:p>
    <w:p xmlns:wp14="http://schemas.microsoft.com/office/word/2010/wordml" w:rsidP="6A51021B" wp14:paraId="3A32D774" wp14:textId="2A00341E">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Student Number: </w:t>
      </w:r>
      <w:r w:rsidRPr="6A51021B" w:rsidR="4955F754">
        <w:rPr>
          <w:rFonts w:ascii="Arial" w:hAnsi="Arial" w:eastAsia="Arial" w:cs="Arial"/>
          <w:b w:val="0"/>
          <w:bCs w:val="0"/>
          <w:i w:val="0"/>
          <w:iCs w:val="0"/>
          <w:caps w:val="0"/>
          <w:smallCaps w:val="0"/>
          <w:noProof w:val="0"/>
          <w:color w:val="222222"/>
          <w:sz w:val="24"/>
          <w:szCs w:val="24"/>
          <w:lang w:val="en-US"/>
        </w:rPr>
        <w:t>2234753</w:t>
      </w:r>
    </w:p>
    <w:p xmlns:wp14="http://schemas.microsoft.com/office/word/2010/wordml" w:rsidP="6A51021B" wp14:paraId="37D5E806" wp14:textId="674A7849">
      <w:pPr>
        <w:spacing w:line="360" w:lineRule="auto"/>
        <w:rPr>
          <w:rFonts w:ascii="Arial" w:hAnsi="Arial" w:eastAsia="Arial" w:cs="Arial"/>
          <w:b w:val="0"/>
          <w:bCs w:val="0"/>
          <w:i w:val="0"/>
          <w:iCs w:val="0"/>
          <w:caps w:val="0"/>
          <w:smallCaps w:val="0"/>
          <w:noProof w:val="0"/>
          <w:color w:val="222222"/>
          <w:sz w:val="24"/>
          <w:szCs w:val="24"/>
          <w:lang w:val="en-US"/>
        </w:rPr>
      </w:pPr>
      <w:r w:rsidRPr="6A51021B" w:rsidR="4955F754">
        <w:rPr>
          <w:rFonts w:ascii="Arial" w:hAnsi="Arial" w:eastAsia="Arial" w:cs="Arial"/>
          <w:b w:val="0"/>
          <w:bCs w:val="0"/>
          <w:i w:val="0"/>
          <w:iCs w:val="0"/>
          <w:caps w:val="0"/>
          <w:smallCaps w:val="0"/>
          <w:noProof w:val="0"/>
          <w:color w:val="222222"/>
          <w:sz w:val="24"/>
          <w:szCs w:val="24"/>
          <w:lang w:val="en-US"/>
        </w:rPr>
        <w:t>Lecturer:</w:t>
      </w:r>
      <w:r w:rsidRPr="6A51021B" w:rsidR="460A91A9">
        <w:rPr>
          <w:rFonts w:ascii="Arial" w:hAnsi="Arial" w:eastAsia="Arial" w:cs="Arial"/>
          <w:b w:val="0"/>
          <w:bCs w:val="0"/>
          <w:i w:val="0"/>
          <w:iCs w:val="0"/>
          <w:caps w:val="0"/>
          <w:smallCaps w:val="0"/>
          <w:noProof w:val="0"/>
          <w:color w:val="222222"/>
          <w:sz w:val="24"/>
          <w:szCs w:val="24"/>
          <w:lang w:val="en-US"/>
        </w:rPr>
        <w:t xml:space="preserve"> Laura Humphries </w:t>
      </w:r>
    </w:p>
    <w:p xmlns:wp14="http://schemas.microsoft.com/office/word/2010/wordml" w:rsidP="6A51021B" wp14:paraId="6C62A334" wp14:textId="44AA820B">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Word count: 1500 words </w:t>
      </w:r>
    </w:p>
    <w:p xmlns:wp14="http://schemas.microsoft.com/office/word/2010/wordml" w:rsidP="6A51021B" wp14:paraId="1C4321E8" wp14:textId="747F884A">
      <w:pPr>
        <w:spacing w:line="360" w:lineRule="auto"/>
        <w:rPr>
          <w:rFonts w:ascii="Arial" w:hAnsi="Arial" w:eastAsia="Arial" w:cs="Arial"/>
          <w:sz w:val="24"/>
          <w:szCs w:val="24"/>
        </w:rPr>
      </w:pPr>
      <w:r>
        <w:br/>
      </w:r>
    </w:p>
    <w:p xmlns:wp14="http://schemas.microsoft.com/office/word/2010/wordml" w:rsidP="6A51021B" wp14:paraId="1239D851" wp14:textId="15C76183">
      <w:pPr>
        <w:spacing w:line="360" w:lineRule="auto"/>
        <w:rPr>
          <w:rFonts w:ascii="Arial" w:hAnsi="Arial" w:eastAsia="Arial" w:cs="Arial"/>
          <w:sz w:val="24"/>
          <w:szCs w:val="24"/>
        </w:rPr>
      </w:pPr>
      <w:r>
        <w:br/>
      </w:r>
    </w:p>
    <w:p xmlns:wp14="http://schemas.microsoft.com/office/word/2010/wordml" w:rsidP="6A51021B" wp14:paraId="4C6462FD" wp14:textId="00E25E6B">
      <w:pPr>
        <w:spacing w:line="360" w:lineRule="auto"/>
        <w:rPr>
          <w:rFonts w:ascii="Arial" w:hAnsi="Arial" w:eastAsia="Arial" w:cs="Arial"/>
          <w:sz w:val="24"/>
          <w:szCs w:val="24"/>
        </w:rPr>
      </w:pPr>
      <w:r>
        <w:br/>
      </w:r>
    </w:p>
    <w:p xmlns:wp14="http://schemas.microsoft.com/office/word/2010/wordml" w:rsidP="6A51021B" wp14:paraId="251D30D9" wp14:textId="420635BC">
      <w:pPr>
        <w:spacing w:line="360" w:lineRule="auto"/>
        <w:rPr>
          <w:rFonts w:ascii="Arial" w:hAnsi="Arial" w:eastAsia="Arial" w:cs="Arial"/>
          <w:sz w:val="24"/>
          <w:szCs w:val="24"/>
        </w:rPr>
      </w:pPr>
      <w:r>
        <w:br/>
      </w:r>
    </w:p>
    <w:p xmlns:wp14="http://schemas.microsoft.com/office/word/2010/wordml" w:rsidP="6A51021B" wp14:paraId="18BDF30A" wp14:textId="132AA061">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1EAABE3D" wp14:textId="5D3E4368">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1586840C" wp14:textId="3848A080">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1183161C" wp14:textId="361E92E8">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Executive summary:</w:t>
      </w:r>
    </w:p>
    <w:p xmlns:wp14="http://schemas.microsoft.com/office/word/2010/wordml" w:rsidP="6A51021B" wp14:paraId="7FE7C923" wp14:textId="3812A6F3">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In the UK, consent is a crucial legal concept in cases involving battery. It serves as a defense, emphasizing the importance of voluntary agreement to any physical contact. For consent to be valid, it must be informed, voluntary, and given by a person with the </w:t>
      </w:r>
      <w:r w:rsidRPr="6A51021B" w:rsidR="460A91A9">
        <w:rPr>
          <w:rFonts w:ascii="Arial" w:hAnsi="Arial" w:eastAsia="Arial" w:cs="Arial"/>
          <w:b w:val="0"/>
          <w:bCs w:val="0"/>
          <w:i w:val="0"/>
          <w:iCs w:val="0"/>
          <w:caps w:val="0"/>
          <w:smallCaps w:val="0"/>
          <w:noProof w:val="0"/>
          <w:color w:val="222222"/>
          <w:sz w:val="24"/>
          <w:szCs w:val="24"/>
          <w:lang w:val="en-US"/>
        </w:rPr>
        <w:t>capacity</w:t>
      </w:r>
      <w:r w:rsidRPr="6A51021B" w:rsidR="460A91A9">
        <w:rPr>
          <w:rFonts w:ascii="Arial" w:hAnsi="Arial" w:eastAsia="Arial" w:cs="Arial"/>
          <w:b w:val="0"/>
          <w:bCs w:val="0"/>
          <w:i w:val="0"/>
          <w:iCs w:val="0"/>
          <w:caps w:val="0"/>
          <w:smallCaps w:val="0"/>
          <w:noProof w:val="0"/>
          <w:color w:val="222222"/>
          <w:sz w:val="24"/>
          <w:szCs w:val="24"/>
          <w:lang w:val="en-US"/>
        </w:rPr>
        <w:t xml:space="preserve"> to do so. However, there are limits to what can be consented to, and actions causing severe harm may still be </w:t>
      </w:r>
      <w:r w:rsidRPr="6A51021B" w:rsidR="460A91A9">
        <w:rPr>
          <w:rFonts w:ascii="Arial" w:hAnsi="Arial" w:eastAsia="Arial" w:cs="Arial"/>
          <w:b w:val="0"/>
          <w:bCs w:val="0"/>
          <w:i w:val="0"/>
          <w:iCs w:val="0"/>
          <w:caps w:val="0"/>
          <w:smallCaps w:val="0"/>
          <w:noProof w:val="0"/>
          <w:color w:val="222222"/>
          <w:sz w:val="24"/>
          <w:szCs w:val="24"/>
          <w:lang w:val="en-US"/>
        </w:rPr>
        <w:t>deemed</w:t>
      </w:r>
      <w:r w:rsidRPr="6A51021B" w:rsidR="460A91A9">
        <w:rPr>
          <w:rFonts w:ascii="Arial" w:hAnsi="Arial" w:eastAsia="Arial" w:cs="Arial"/>
          <w:b w:val="0"/>
          <w:bCs w:val="0"/>
          <w:i w:val="0"/>
          <w:iCs w:val="0"/>
          <w:caps w:val="0"/>
          <w:smallCaps w:val="0"/>
          <w:noProof w:val="0"/>
          <w:color w:val="222222"/>
          <w:sz w:val="24"/>
          <w:szCs w:val="24"/>
          <w:lang w:val="en-US"/>
        </w:rPr>
        <w:t xml:space="preserve"> criminal. Courts carefully assess the circumstances surrounding consent in battery cases to </w:t>
      </w:r>
      <w:r w:rsidRPr="6A51021B" w:rsidR="460A91A9">
        <w:rPr>
          <w:rFonts w:ascii="Arial" w:hAnsi="Arial" w:eastAsia="Arial" w:cs="Arial"/>
          <w:b w:val="0"/>
          <w:bCs w:val="0"/>
          <w:i w:val="0"/>
          <w:iCs w:val="0"/>
          <w:caps w:val="0"/>
          <w:smallCaps w:val="0"/>
          <w:noProof w:val="0"/>
          <w:color w:val="222222"/>
          <w:sz w:val="24"/>
          <w:szCs w:val="24"/>
          <w:lang w:val="en-US"/>
        </w:rPr>
        <w:t>determine</w:t>
      </w:r>
      <w:r w:rsidRPr="6A51021B" w:rsidR="460A91A9">
        <w:rPr>
          <w:rFonts w:ascii="Arial" w:hAnsi="Arial" w:eastAsia="Arial" w:cs="Arial"/>
          <w:b w:val="0"/>
          <w:bCs w:val="0"/>
          <w:i w:val="0"/>
          <w:iCs w:val="0"/>
          <w:caps w:val="0"/>
          <w:smallCaps w:val="0"/>
          <w:noProof w:val="0"/>
          <w:color w:val="222222"/>
          <w:sz w:val="24"/>
          <w:szCs w:val="24"/>
          <w:lang w:val="en-US"/>
        </w:rPr>
        <w:t xml:space="preserve"> its validity and the presence of any criminal liability. </w:t>
      </w:r>
    </w:p>
    <w:p xmlns:wp14="http://schemas.microsoft.com/office/word/2010/wordml" w:rsidP="6A51021B" wp14:paraId="7A348021" wp14:textId="74FD1D25">
      <w:pPr>
        <w:spacing w:line="360" w:lineRule="auto"/>
        <w:rPr>
          <w:rFonts w:ascii="Arial" w:hAnsi="Arial" w:eastAsia="Arial" w:cs="Arial"/>
          <w:sz w:val="24"/>
          <w:szCs w:val="24"/>
        </w:rPr>
      </w:pPr>
      <w:r>
        <w:br/>
      </w:r>
    </w:p>
    <w:p xmlns:wp14="http://schemas.microsoft.com/office/word/2010/wordml" w:rsidP="6A51021B" wp14:paraId="415A14BA" wp14:textId="6B775E5C">
      <w:pPr>
        <w:spacing w:line="360" w:lineRule="auto"/>
        <w:rPr>
          <w:rFonts w:ascii="Arial" w:hAnsi="Arial" w:eastAsia="Arial" w:cs="Arial"/>
          <w:sz w:val="24"/>
          <w:szCs w:val="24"/>
        </w:rPr>
      </w:pPr>
      <w:r>
        <w:br/>
      </w:r>
    </w:p>
    <w:p xmlns:wp14="http://schemas.microsoft.com/office/word/2010/wordml" w:rsidP="6A51021B" wp14:paraId="2D885AA4" wp14:textId="2602F264">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Table of contents:</w:t>
      </w:r>
    </w:p>
    <w:p xmlns:wp14="http://schemas.microsoft.com/office/word/2010/wordml" w:rsidP="6A51021B" wp14:paraId="2BE4B652" wp14:textId="40D6114A">
      <w:pPr>
        <w:spacing w:line="360" w:lineRule="auto"/>
        <w:rPr>
          <w:rFonts w:ascii="Arial" w:hAnsi="Arial" w:eastAsia="Arial" w:cs="Arial"/>
          <w:sz w:val="24"/>
          <w:szCs w:val="24"/>
        </w:rPr>
      </w:pPr>
      <w:r>
        <w:br/>
      </w:r>
    </w:p>
    <w:p xmlns:wp14="http://schemas.microsoft.com/office/word/2010/wordml" w:rsidP="6A51021B" wp14:paraId="78F0449E" wp14:textId="4C2CC5F6">
      <w:pPr>
        <w:pStyle w:val="ListParagraph"/>
        <w:numPr>
          <w:ilvl w:val="0"/>
          <w:numId w:val="1"/>
        </w:numPr>
        <w:spacing w:before="0" w:beforeAutospacing="off" w:after="0" w:afterAutospacing="off"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Introduction…………………………….</w:t>
      </w:r>
      <w:r w:rsidRPr="6A51021B" w:rsidR="257C3B48">
        <w:rPr>
          <w:rFonts w:ascii="Arial" w:hAnsi="Arial" w:eastAsia="Arial" w:cs="Arial"/>
          <w:b w:val="0"/>
          <w:bCs w:val="0"/>
          <w:i w:val="0"/>
          <w:iCs w:val="0"/>
          <w:caps w:val="0"/>
          <w:smallCaps w:val="0"/>
          <w:noProof w:val="0"/>
          <w:color w:val="222222"/>
          <w:sz w:val="24"/>
          <w:szCs w:val="24"/>
          <w:lang w:val="en-US"/>
        </w:rPr>
        <w:t>...................................................... 3</w:t>
      </w:r>
    </w:p>
    <w:p xmlns:wp14="http://schemas.microsoft.com/office/word/2010/wordml" w:rsidP="6A51021B" wp14:paraId="0D33499F" wp14:textId="60BEEF23">
      <w:pPr>
        <w:pStyle w:val="ListParagraph"/>
        <w:numPr>
          <w:ilvl w:val="0"/>
          <w:numId w:val="1"/>
        </w:numPr>
        <w:spacing w:before="0" w:beforeAutospacing="off" w:after="0" w:afterAutospacing="off"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Concept of consent in Uk and </w:t>
      </w:r>
      <w:r w:rsidRPr="6A51021B" w:rsidR="36A6664A">
        <w:rPr>
          <w:rFonts w:ascii="Arial" w:hAnsi="Arial" w:eastAsia="Arial" w:cs="Arial"/>
          <w:b w:val="0"/>
          <w:bCs w:val="0"/>
          <w:i w:val="0"/>
          <w:iCs w:val="0"/>
          <w:caps w:val="0"/>
          <w:smallCaps w:val="0"/>
          <w:noProof w:val="0"/>
          <w:color w:val="222222"/>
          <w:sz w:val="24"/>
          <w:szCs w:val="24"/>
          <w:lang w:val="en-US"/>
        </w:rPr>
        <w:t>the r</w:t>
      </w:r>
      <w:r w:rsidRPr="6A51021B" w:rsidR="460A91A9">
        <w:rPr>
          <w:rFonts w:ascii="Arial" w:hAnsi="Arial" w:eastAsia="Arial" w:cs="Arial"/>
          <w:b w:val="0"/>
          <w:bCs w:val="0"/>
          <w:i w:val="0"/>
          <w:iCs w:val="0"/>
          <w:caps w:val="0"/>
          <w:smallCaps w:val="0"/>
          <w:noProof w:val="0"/>
          <w:color w:val="222222"/>
          <w:sz w:val="24"/>
          <w:szCs w:val="24"/>
          <w:lang w:val="en-US"/>
        </w:rPr>
        <w:t>ole of it in cases involving battery ….</w:t>
      </w:r>
      <w:r w:rsidRPr="6A51021B" w:rsidR="4755319B">
        <w:rPr>
          <w:rFonts w:ascii="Arial" w:hAnsi="Arial" w:eastAsia="Arial" w:cs="Arial"/>
          <w:b w:val="0"/>
          <w:bCs w:val="0"/>
          <w:i w:val="0"/>
          <w:iCs w:val="0"/>
          <w:caps w:val="0"/>
          <w:smallCaps w:val="0"/>
          <w:noProof w:val="0"/>
          <w:color w:val="222222"/>
          <w:sz w:val="24"/>
          <w:szCs w:val="24"/>
          <w:lang w:val="en-US"/>
        </w:rPr>
        <w:t xml:space="preserve"> 4</w:t>
      </w:r>
      <w:r w:rsidRPr="6A51021B" w:rsidR="460A91A9">
        <w:rPr>
          <w:rFonts w:ascii="Arial" w:hAnsi="Arial" w:eastAsia="Arial" w:cs="Arial"/>
          <w:b w:val="0"/>
          <w:bCs w:val="0"/>
          <w:i w:val="0"/>
          <w:iCs w:val="0"/>
          <w:caps w:val="0"/>
          <w:smallCaps w:val="0"/>
          <w:noProof w:val="0"/>
          <w:color w:val="222222"/>
          <w:sz w:val="24"/>
          <w:szCs w:val="24"/>
          <w:lang w:val="en-US"/>
        </w:rPr>
        <w:t xml:space="preserve"> </w:t>
      </w:r>
    </w:p>
    <w:p xmlns:wp14="http://schemas.microsoft.com/office/word/2010/wordml" w:rsidP="6A51021B" wp14:paraId="51BE950D" wp14:textId="2F1C09FE">
      <w:pPr>
        <w:pStyle w:val="ListParagraph"/>
        <w:numPr>
          <w:ilvl w:val="0"/>
          <w:numId w:val="1"/>
        </w:numPr>
        <w:spacing w:before="0" w:beforeAutospacing="off" w:after="0" w:afterAutospacing="off"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Case of battery in Uk</w:t>
      </w:r>
      <w:r w:rsidRPr="6A51021B" w:rsidR="1F15A4E4">
        <w:rPr>
          <w:rFonts w:ascii="Arial" w:hAnsi="Arial" w:eastAsia="Arial" w:cs="Arial"/>
          <w:b w:val="0"/>
          <w:bCs w:val="0"/>
          <w:i w:val="0"/>
          <w:iCs w:val="0"/>
          <w:caps w:val="0"/>
          <w:smallCaps w:val="0"/>
          <w:noProof w:val="0"/>
          <w:color w:val="222222"/>
          <w:sz w:val="24"/>
          <w:szCs w:val="24"/>
          <w:lang w:val="en-US"/>
        </w:rPr>
        <w:t xml:space="preserve"> </w:t>
      </w:r>
      <w:r w:rsidRPr="6A51021B" w:rsidR="460A91A9">
        <w:rPr>
          <w:rFonts w:ascii="Arial" w:hAnsi="Arial" w:eastAsia="Arial" w:cs="Arial"/>
          <w:b w:val="0"/>
          <w:bCs w:val="0"/>
          <w:i w:val="0"/>
          <w:iCs w:val="0"/>
          <w:caps w:val="0"/>
          <w:smallCaps w:val="0"/>
          <w:noProof w:val="0"/>
          <w:color w:val="222222"/>
          <w:sz w:val="24"/>
          <w:szCs w:val="24"/>
          <w:lang w:val="en-US"/>
        </w:rPr>
        <w:t>…..</w:t>
      </w:r>
      <w:r w:rsidRPr="6A51021B" w:rsidR="1C5954A5">
        <w:rPr>
          <w:rFonts w:ascii="Arial" w:hAnsi="Arial" w:eastAsia="Arial" w:cs="Arial"/>
          <w:b w:val="0"/>
          <w:bCs w:val="0"/>
          <w:i w:val="0"/>
          <w:iCs w:val="0"/>
          <w:caps w:val="0"/>
          <w:smallCaps w:val="0"/>
          <w:noProof w:val="0"/>
          <w:color w:val="222222"/>
          <w:sz w:val="24"/>
          <w:szCs w:val="24"/>
          <w:lang w:val="en-US"/>
        </w:rPr>
        <w:t>...........................................................................</w:t>
      </w:r>
      <w:r w:rsidRPr="6A51021B" w:rsidR="18AF0E80">
        <w:rPr>
          <w:rFonts w:ascii="Arial" w:hAnsi="Arial" w:eastAsia="Arial" w:cs="Arial"/>
          <w:b w:val="0"/>
          <w:bCs w:val="0"/>
          <w:i w:val="0"/>
          <w:iCs w:val="0"/>
          <w:caps w:val="0"/>
          <w:smallCaps w:val="0"/>
          <w:noProof w:val="0"/>
          <w:color w:val="222222"/>
          <w:sz w:val="24"/>
          <w:szCs w:val="24"/>
          <w:lang w:val="en-US"/>
        </w:rPr>
        <w:t>6</w:t>
      </w:r>
    </w:p>
    <w:p xmlns:wp14="http://schemas.microsoft.com/office/word/2010/wordml" w:rsidP="6A51021B" wp14:paraId="2895F1F9" wp14:textId="64D62051">
      <w:pPr>
        <w:pStyle w:val="ListParagraph"/>
        <w:numPr>
          <w:ilvl w:val="0"/>
          <w:numId w:val="1"/>
        </w:numPr>
        <w:spacing w:before="0" w:beforeAutospacing="off" w:after="0" w:afterAutospacing="off"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Conclusion ……………………………</w:t>
      </w:r>
      <w:r w:rsidRPr="6A51021B" w:rsidR="20C37CE7">
        <w:rPr>
          <w:rFonts w:ascii="Arial" w:hAnsi="Arial" w:eastAsia="Arial" w:cs="Arial"/>
          <w:b w:val="0"/>
          <w:bCs w:val="0"/>
          <w:i w:val="0"/>
          <w:iCs w:val="0"/>
          <w:caps w:val="0"/>
          <w:smallCaps w:val="0"/>
          <w:noProof w:val="0"/>
          <w:color w:val="222222"/>
          <w:sz w:val="24"/>
          <w:szCs w:val="24"/>
          <w:lang w:val="en-US"/>
        </w:rPr>
        <w:t>.........................................................</w:t>
      </w:r>
      <w:r w:rsidRPr="6A51021B" w:rsidR="715D77A2">
        <w:rPr>
          <w:rFonts w:ascii="Arial" w:hAnsi="Arial" w:eastAsia="Arial" w:cs="Arial"/>
          <w:b w:val="0"/>
          <w:bCs w:val="0"/>
          <w:i w:val="0"/>
          <w:iCs w:val="0"/>
          <w:caps w:val="0"/>
          <w:smallCaps w:val="0"/>
          <w:noProof w:val="0"/>
          <w:color w:val="222222"/>
          <w:sz w:val="24"/>
          <w:szCs w:val="24"/>
          <w:lang w:val="en-US"/>
        </w:rPr>
        <w:t>7</w:t>
      </w:r>
    </w:p>
    <w:p xmlns:wp14="http://schemas.microsoft.com/office/word/2010/wordml" w:rsidP="6A51021B" wp14:paraId="0597D209" wp14:textId="6782CD80">
      <w:pPr>
        <w:pStyle w:val="ListParagraph"/>
        <w:numPr>
          <w:ilvl w:val="0"/>
          <w:numId w:val="1"/>
        </w:numPr>
        <w:spacing w:before="0" w:beforeAutospacing="off" w:after="0" w:afterAutospacing="off"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References …………………………. </w:t>
      </w:r>
      <w:r w:rsidRPr="6A51021B" w:rsidR="52EDCF21">
        <w:rPr>
          <w:rFonts w:ascii="Arial" w:hAnsi="Arial" w:eastAsia="Arial" w:cs="Arial"/>
          <w:b w:val="0"/>
          <w:bCs w:val="0"/>
          <w:i w:val="0"/>
          <w:iCs w:val="0"/>
          <w:caps w:val="0"/>
          <w:smallCaps w:val="0"/>
          <w:noProof w:val="0"/>
          <w:color w:val="222222"/>
          <w:sz w:val="24"/>
          <w:szCs w:val="24"/>
          <w:lang w:val="en-US"/>
        </w:rPr>
        <w:t xml:space="preserve">…...................................................... </w:t>
      </w:r>
      <w:r w:rsidRPr="6A51021B" w:rsidR="7A171400">
        <w:rPr>
          <w:rFonts w:ascii="Arial" w:hAnsi="Arial" w:eastAsia="Arial" w:cs="Arial"/>
          <w:b w:val="0"/>
          <w:bCs w:val="0"/>
          <w:i w:val="0"/>
          <w:iCs w:val="0"/>
          <w:caps w:val="0"/>
          <w:smallCaps w:val="0"/>
          <w:noProof w:val="0"/>
          <w:color w:val="222222"/>
          <w:sz w:val="24"/>
          <w:szCs w:val="24"/>
          <w:lang w:val="en-US"/>
        </w:rPr>
        <w:t>8</w:t>
      </w:r>
    </w:p>
    <w:p xmlns:wp14="http://schemas.microsoft.com/office/word/2010/wordml" w:rsidP="6A51021B" wp14:paraId="117BFC69" wp14:textId="3844237E">
      <w:pPr>
        <w:spacing w:line="360" w:lineRule="auto"/>
        <w:rPr>
          <w:rFonts w:ascii="Arial" w:hAnsi="Arial" w:eastAsia="Arial" w:cs="Arial"/>
          <w:sz w:val="24"/>
          <w:szCs w:val="24"/>
        </w:rPr>
      </w:pPr>
      <w:r>
        <w:br/>
      </w:r>
    </w:p>
    <w:p xmlns:wp14="http://schemas.microsoft.com/office/word/2010/wordml" w:rsidP="6A51021B" wp14:paraId="5D6C9B1B" wp14:textId="186370CB">
      <w:pPr>
        <w:spacing w:line="360" w:lineRule="auto"/>
      </w:pPr>
      <w:r>
        <w:br/>
      </w:r>
    </w:p>
    <w:p xmlns:wp14="http://schemas.microsoft.com/office/word/2010/wordml" w:rsidP="6A51021B" wp14:paraId="29D93B2F" wp14:textId="636AE22A">
      <w:pPr>
        <w:pStyle w:val="Normal"/>
        <w:spacing w:line="360" w:lineRule="auto"/>
      </w:pPr>
    </w:p>
    <w:p xmlns:wp14="http://schemas.microsoft.com/office/word/2010/wordml" w:rsidP="6A51021B" wp14:paraId="5C706281" wp14:textId="5DC0E71D">
      <w:pPr>
        <w:pStyle w:val="Normal"/>
        <w:spacing w:line="360" w:lineRule="auto"/>
      </w:pPr>
    </w:p>
    <w:p xmlns:wp14="http://schemas.microsoft.com/office/word/2010/wordml" w:rsidP="6A51021B" wp14:paraId="7900A1E5" wp14:textId="62108321">
      <w:pPr>
        <w:pStyle w:val="Normal"/>
        <w:spacing w:line="360" w:lineRule="auto"/>
      </w:pPr>
    </w:p>
    <w:p xmlns:wp14="http://schemas.microsoft.com/office/word/2010/wordml" w:rsidP="6A51021B" wp14:paraId="2BD3CC79" wp14:textId="3F640980">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Introduction: </w:t>
      </w:r>
    </w:p>
    <w:p xmlns:wp14="http://schemas.microsoft.com/office/word/2010/wordml" w:rsidP="6A51021B" wp14:paraId="02B560E9" wp14:textId="4FF60BDA">
      <w:pPr>
        <w:spacing w:line="360" w:lineRule="auto"/>
        <w:rPr>
          <w:rFonts w:ascii="Arial" w:hAnsi="Arial" w:eastAsia="Arial" w:cs="Arial"/>
          <w:sz w:val="24"/>
          <w:szCs w:val="24"/>
        </w:rPr>
      </w:pPr>
      <w:r>
        <w:br/>
      </w:r>
    </w:p>
    <w:p xmlns:wp14="http://schemas.microsoft.com/office/word/2010/wordml" w:rsidP="6A51021B" wp14:paraId="5B856898" wp14:textId="7AF0118A">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Within the intricate fabric of the United Kingdom's legal landscape, the concept of consent unfolds as a cornerstone, intricately weaving through the complexities of individual rights and societal norms. As a legal principle, consent assumes a paramount role, particularly in cases involving battery, where the line between personal autonomy and the prevention of harm is meticulously drawn. This exploration delves into the depths of consent, unraveling its multifaceted nature within the legal framework, and shedding light on its profound implications for issues of bodily integrity, informed decision-making, and the delicate equilibrium between individual freedom and legal boundaries.</w:t>
      </w:r>
    </w:p>
    <w:p xmlns:wp14="http://schemas.microsoft.com/office/word/2010/wordml" w:rsidP="6A51021B" wp14:paraId="07E4BE81" wp14:textId="098D77C6">
      <w:pPr>
        <w:spacing w:line="360" w:lineRule="auto"/>
        <w:rPr>
          <w:rFonts w:ascii="Arial" w:hAnsi="Arial" w:eastAsia="Arial" w:cs="Arial"/>
          <w:sz w:val="24"/>
          <w:szCs w:val="24"/>
        </w:rPr>
      </w:pPr>
      <w:r>
        <w:br/>
      </w:r>
    </w:p>
    <w:p xmlns:wp14="http://schemas.microsoft.com/office/word/2010/wordml" w:rsidP="6A51021B" wp14:paraId="666A4978" wp14:textId="07F66A0C">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Elaboration:</w:t>
      </w:r>
    </w:p>
    <w:p xmlns:wp14="http://schemas.microsoft.com/office/word/2010/wordml" w:rsidP="6A51021B" wp14:paraId="5FA6F982" wp14:textId="31D11919">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Consent, as a legal construct, </w:t>
      </w:r>
      <w:r w:rsidRPr="6A51021B" w:rsidR="460A91A9">
        <w:rPr>
          <w:rFonts w:ascii="Arial" w:hAnsi="Arial" w:eastAsia="Arial" w:cs="Arial"/>
          <w:b w:val="0"/>
          <w:bCs w:val="0"/>
          <w:i w:val="0"/>
          <w:iCs w:val="0"/>
          <w:caps w:val="0"/>
          <w:smallCaps w:val="0"/>
          <w:noProof w:val="0"/>
          <w:color w:val="222222"/>
          <w:sz w:val="24"/>
          <w:szCs w:val="24"/>
          <w:lang w:val="en-US"/>
        </w:rPr>
        <w:t>emerges</w:t>
      </w:r>
      <w:r w:rsidRPr="6A51021B" w:rsidR="460A91A9">
        <w:rPr>
          <w:rFonts w:ascii="Arial" w:hAnsi="Arial" w:eastAsia="Arial" w:cs="Arial"/>
          <w:b w:val="0"/>
          <w:bCs w:val="0"/>
          <w:i w:val="0"/>
          <w:iCs w:val="0"/>
          <w:caps w:val="0"/>
          <w:smallCaps w:val="0"/>
          <w:noProof w:val="0"/>
          <w:color w:val="222222"/>
          <w:sz w:val="24"/>
          <w:szCs w:val="24"/>
          <w:lang w:val="en-US"/>
        </w:rPr>
        <w:t xml:space="preserve"> as a potent force shaping the contours of interpersonal interactions. It stands as a testament to the recognition of individuals' autonomy over their own bodies, emphasizing the transformative power of a voluntary agreement. However, the journey from a mere agreement to legally valid consent is a nuanced expedition, governed by stringent criteria that </w:t>
      </w:r>
      <w:r w:rsidRPr="6A51021B" w:rsidR="460A91A9">
        <w:rPr>
          <w:rFonts w:ascii="Arial" w:hAnsi="Arial" w:eastAsia="Arial" w:cs="Arial"/>
          <w:b w:val="0"/>
          <w:bCs w:val="0"/>
          <w:i w:val="0"/>
          <w:iCs w:val="0"/>
          <w:caps w:val="0"/>
          <w:smallCaps w:val="0"/>
          <w:noProof w:val="0"/>
          <w:color w:val="222222"/>
          <w:sz w:val="24"/>
          <w:szCs w:val="24"/>
          <w:lang w:val="en-US"/>
        </w:rPr>
        <w:t>seek</w:t>
      </w:r>
      <w:r w:rsidRPr="6A51021B" w:rsidR="460A91A9">
        <w:rPr>
          <w:rFonts w:ascii="Arial" w:hAnsi="Arial" w:eastAsia="Arial" w:cs="Arial"/>
          <w:b w:val="0"/>
          <w:bCs w:val="0"/>
          <w:i w:val="0"/>
          <w:iCs w:val="0"/>
          <w:caps w:val="0"/>
          <w:smallCaps w:val="0"/>
          <w:noProof w:val="0"/>
          <w:color w:val="222222"/>
          <w:sz w:val="24"/>
          <w:szCs w:val="24"/>
          <w:lang w:val="en-US"/>
        </w:rPr>
        <w:t xml:space="preserve"> to ensure the authenticity and voluntariness of the </w:t>
      </w:r>
      <w:r w:rsidRPr="6A51021B" w:rsidR="460A91A9">
        <w:rPr>
          <w:rFonts w:ascii="Arial" w:hAnsi="Arial" w:eastAsia="Arial" w:cs="Arial"/>
          <w:b w:val="0"/>
          <w:bCs w:val="0"/>
          <w:i w:val="0"/>
          <w:iCs w:val="0"/>
          <w:caps w:val="0"/>
          <w:smallCaps w:val="0"/>
          <w:noProof w:val="0"/>
          <w:color w:val="222222"/>
          <w:sz w:val="24"/>
          <w:szCs w:val="24"/>
          <w:lang w:val="en-US"/>
        </w:rPr>
        <w:t>agreement.The</w:t>
      </w:r>
      <w:r w:rsidRPr="6A51021B" w:rsidR="460A91A9">
        <w:rPr>
          <w:rFonts w:ascii="Arial" w:hAnsi="Arial" w:eastAsia="Arial" w:cs="Arial"/>
          <w:b w:val="0"/>
          <w:bCs w:val="0"/>
          <w:i w:val="0"/>
          <w:iCs w:val="0"/>
          <w:caps w:val="0"/>
          <w:smallCaps w:val="0"/>
          <w:noProof w:val="0"/>
          <w:color w:val="222222"/>
          <w:sz w:val="24"/>
          <w:szCs w:val="24"/>
          <w:lang w:val="en-US"/>
        </w:rPr>
        <w:t xml:space="preserve"> bedrock of consent lies in its informativeness. For consent to hold legal weight, it requires a comprehensive understanding of the nature and consequences of the act in question. It transcends a mere acknowledgment, demanding a cognitive grasp of the situation that empowers individuals to make choices based on genuine comprehension.</w:t>
      </w:r>
    </w:p>
    <w:p xmlns:wp14="http://schemas.microsoft.com/office/word/2010/wordml" w:rsidP="6A51021B" wp14:paraId="00C62588" wp14:textId="78C050DA">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Voluntariness, the second pillar of consent, reinforces the idea that individuals must provide their agreement free from coercion or external pressures. It is an affirmation of the principle that consent should be an unencumbered choice, unmarred by influences that might compromise the authenticity of the agreement.</w:t>
      </w:r>
    </w:p>
    <w:p xmlns:wp14="http://schemas.microsoft.com/office/word/2010/wordml" w:rsidP="6A51021B" wp14:paraId="026F4AA9" wp14:textId="50827C23">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Capacity</w:t>
      </w:r>
      <w:r w:rsidRPr="6A51021B" w:rsidR="460A91A9">
        <w:rPr>
          <w:rFonts w:ascii="Arial" w:hAnsi="Arial" w:eastAsia="Arial" w:cs="Arial"/>
          <w:b w:val="0"/>
          <w:bCs w:val="0"/>
          <w:i w:val="0"/>
          <w:iCs w:val="0"/>
          <w:caps w:val="0"/>
          <w:smallCaps w:val="0"/>
          <w:noProof w:val="0"/>
          <w:color w:val="222222"/>
          <w:sz w:val="24"/>
          <w:szCs w:val="24"/>
          <w:lang w:val="en-US"/>
        </w:rPr>
        <w:t xml:space="preserve">, both mental and legal, introduces another layer of complexity. The consenting party must </w:t>
      </w:r>
      <w:r w:rsidRPr="6A51021B" w:rsidR="460A91A9">
        <w:rPr>
          <w:rFonts w:ascii="Arial" w:hAnsi="Arial" w:eastAsia="Arial" w:cs="Arial"/>
          <w:b w:val="0"/>
          <w:bCs w:val="0"/>
          <w:i w:val="0"/>
          <w:iCs w:val="0"/>
          <w:caps w:val="0"/>
          <w:smallCaps w:val="0"/>
          <w:noProof w:val="0"/>
          <w:color w:val="222222"/>
          <w:sz w:val="24"/>
          <w:szCs w:val="24"/>
          <w:lang w:val="en-US"/>
        </w:rPr>
        <w:t>possess</w:t>
      </w:r>
      <w:r w:rsidRPr="6A51021B" w:rsidR="460A91A9">
        <w:rPr>
          <w:rFonts w:ascii="Arial" w:hAnsi="Arial" w:eastAsia="Arial" w:cs="Arial"/>
          <w:b w:val="0"/>
          <w:bCs w:val="0"/>
          <w:i w:val="0"/>
          <w:iCs w:val="0"/>
          <w:caps w:val="0"/>
          <w:smallCaps w:val="0"/>
          <w:noProof w:val="0"/>
          <w:color w:val="222222"/>
          <w:sz w:val="24"/>
          <w:szCs w:val="24"/>
          <w:lang w:val="en-US"/>
        </w:rPr>
        <w:t xml:space="preserve"> the mental acuity to make a rational decision, free from impairments such as intoxication or mental incapacity. This acknowledgment navigates the fine balance between upholding personal autonomy and safeguarding those who may be vulnerable due to their mental state.</w:t>
      </w:r>
    </w:p>
    <w:p xmlns:wp14="http://schemas.microsoft.com/office/word/2010/wordml" w:rsidP="6A51021B" wp14:paraId="377B7F76" wp14:textId="6928314B">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However, the legal recognition of consent is not boundless. Consent does not serve as a blanket immunity, especially when the actions in question transgress the boundaries of reasonableness. Acts causing severe harm or endangering life cannot be justified solely by consent, and the legal system grapples with delineating these thresholds to prevent abuse.In the courtroom, the evaluation of consent becomes a meticulous process. Judges find themselves navigating a complex terrain, scrutinizing the circumstances surrounding the agreement. Factors such as communication, understanding, and the presence of any elements that may compromise the voluntariness of the consent come under careful consideration.</w:t>
      </w:r>
    </w:p>
    <w:p xmlns:wp14="http://schemas.microsoft.com/office/word/2010/wordml" w:rsidP="6A51021B" wp14:paraId="22A6EFBF" wp14:textId="1B66157B">
      <w:pPr>
        <w:spacing w:line="360" w:lineRule="auto"/>
        <w:rPr>
          <w:rFonts w:ascii="Arial" w:hAnsi="Arial" w:eastAsia="Arial" w:cs="Arial"/>
          <w:sz w:val="24"/>
          <w:szCs w:val="24"/>
        </w:rPr>
      </w:pPr>
      <w:r>
        <w:br/>
      </w:r>
    </w:p>
    <w:p xmlns:wp14="http://schemas.microsoft.com/office/word/2010/wordml" w:rsidP="6A51021B" wp14:paraId="2889693F" wp14:textId="41C7BC2B">
      <w:pPr>
        <w:spacing w:line="360" w:lineRule="auto"/>
        <w:rPr>
          <w:rFonts w:ascii="Arial" w:hAnsi="Arial" w:eastAsia="Arial" w:cs="Arial"/>
          <w:sz w:val="24"/>
          <w:szCs w:val="24"/>
        </w:rPr>
      </w:pPr>
      <w:r>
        <w:br/>
      </w:r>
    </w:p>
    <w:p xmlns:wp14="http://schemas.microsoft.com/office/word/2010/wordml" w:rsidP="6A51021B" wp14:paraId="4F6B8370" wp14:textId="0F62F5B2">
      <w:pPr>
        <w:spacing w:line="360" w:lineRule="auto"/>
        <w:rPr>
          <w:rFonts w:ascii="Arial" w:hAnsi="Arial" w:eastAsia="Arial" w:cs="Arial"/>
          <w:sz w:val="24"/>
          <w:szCs w:val="24"/>
        </w:rPr>
      </w:pPr>
      <w:r>
        <w:br/>
      </w:r>
    </w:p>
    <w:p xmlns:wp14="http://schemas.microsoft.com/office/word/2010/wordml" w:rsidP="6A51021B" wp14:paraId="565CAE88" wp14:textId="4A67FA5A">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Concept of consent in Uk and the role of it in cases involving battery: </w:t>
      </w:r>
    </w:p>
    <w:p xmlns:wp14="http://schemas.microsoft.com/office/word/2010/wordml" w:rsidP="6A51021B" wp14:paraId="4B979307" wp14:textId="0374D58B">
      <w:pPr>
        <w:spacing w:line="360" w:lineRule="auto"/>
        <w:rPr>
          <w:rFonts w:ascii="Arial" w:hAnsi="Arial" w:eastAsia="Arial" w:cs="Arial"/>
          <w:sz w:val="24"/>
          <w:szCs w:val="24"/>
        </w:rPr>
      </w:pPr>
      <w:r>
        <w:br/>
      </w:r>
    </w:p>
    <w:p xmlns:wp14="http://schemas.microsoft.com/office/word/2010/wordml" w:rsidP="6A51021B" wp14:paraId="4189C20E" wp14:textId="5BBA8B30">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In the United Kingdom, the concept of consent holds paramount significance, especially in cases involving battery. Consent is essentially the voluntary agreement given by a person who has the capacity and understanding to agree to a particular act. This concept serves as a crucial defense in cases of battery, emphasizing the principle that individuals have the right to control what happens to their own bodies.For consent to be legally valid, it must meet certain criteria. It should be informed, meaning the person consenting has a clear understanding of the nature and implications of the act. Voluntariness is also essential, requiring that consent is given freely without any form of coercion or pressure. Additionally, the individual must have the capacity to consent, ensuring they are mentally and legally capable of making such decisions.However, this legal framework does not provide absolute immunity through consent. There are limits to what can be consented to, particularly when actions result in severe harm or go beyond what is considered reasonable. In cases where the level of harm exceeds acceptable boundaries, criminal liability may still apply, even if there was initial consent.</w:t>
      </w:r>
    </w:p>
    <w:p xmlns:wp14="http://schemas.microsoft.com/office/word/2010/wordml" w:rsidP="6A51021B" wp14:paraId="47DDDF70" wp14:textId="25676977">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In cases involving battery, the role of consent becomes a critical focal point. Courts assess the circumstances surrounding the consent to determine its validity and whether it meets the required criteria. This involves an examination of communication, understanding, and any factors that may have influenced the voluntariness of the agreement.</w:t>
      </w:r>
    </w:p>
    <w:p xmlns:wp14="http://schemas.microsoft.com/office/word/2010/wordml" w:rsidP="6A51021B" wp14:paraId="11F586C1" wp14:textId="3FA49BCB">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w:t>
      </w:r>
      <w:r w:rsidRPr="6A51021B" w:rsidR="460A91A9">
        <w:rPr>
          <w:rFonts w:ascii="Arial" w:hAnsi="Arial" w:eastAsia="Arial" w:cs="Arial"/>
          <w:b w:val="0"/>
          <w:bCs w:val="0"/>
          <w:i w:val="0"/>
          <w:iCs w:val="0"/>
          <w:caps w:val="0"/>
          <w:smallCaps w:val="0"/>
          <w:noProof w:val="0"/>
          <w:color w:val="222222"/>
          <w:sz w:val="24"/>
          <w:szCs w:val="24"/>
          <w:lang w:val="en-US"/>
        </w:rPr>
        <w:t>In essence, the</w:t>
      </w:r>
      <w:r w:rsidRPr="6A51021B" w:rsidR="460A91A9">
        <w:rPr>
          <w:rFonts w:ascii="Arial" w:hAnsi="Arial" w:eastAsia="Arial" w:cs="Arial"/>
          <w:b w:val="0"/>
          <w:bCs w:val="0"/>
          <w:i w:val="0"/>
          <w:iCs w:val="0"/>
          <w:caps w:val="0"/>
          <w:smallCaps w:val="0"/>
          <w:noProof w:val="0"/>
          <w:color w:val="222222"/>
          <w:sz w:val="24"/>
          <w:szCs w:val="24"/>
          <w:lang w:val="en-US"/>
        </w:rPr>
        <w:t xml:space="preserve"> concept of consent in the UK acts as a delicate balance between respecting individual autonomy and ensuring legal safeguards against unjustifiable harm. Its role in battery cases underscores the nuanced approach the legal system takes to navigate the complexities of personal freedom and societal protection.</w:t>
      </w:r>
    </w:p>
    <w:p xmlns:wp14="http://schemas.microsoft.com/office/word/2010/wordml" w:rsidP="6A51021B" wp14:paraId="3B3F44F3" wp14:textId="50E5D9F0">
      <w:pPr>
        <w:spacing w:line="360" w:lineRule="auto"/>
        <w:rPr>
          <w:rFonts w:ascii="Arial" w:hAnsi="Arial" w:eastAsia="Arial" w:cs="Arial"/>
          <w:sz w:val="24"/>
          <w:szCs w:val="24"/>
        </w:rPr>
      </w:pPr>
      <w:r>
        <w:br/>
      </w:r>
    </w:p>
    <w:p xmlns:wp14="http://schemas.microsoft.com/office/word/2010/wordml" w:rsidP="6A51021B" wp14:paraId="029E7ACB" wp14:textId="6786B387">
      <w:pPr>
        <w:spacing w:line="360" w:lineRule="auto"/>
        <w:rPr>
          <w:rFonts w:ascii="Arial" w:hAnsi="Arial" w:eastAsia="Arial" w:cs="Arial"/>
          <w:sz w:val="24"/>
          <w:szCs w:val="24"/>
        </w:rPr>
      </w:pPr>
      <w:r>
        <w:br/>
      </w:r>
    </w:p>
    <w:p xmlns:wp14="http://schemas.microsoft.com/office/word/2010/wordml" w:rsidP="6A51021B" wp14:paraId="4658D3FD" wp14:textId="22C88953">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w:t>
      </w:r>
    </w:p>
    <w:p xmlns:wp14="http://schemas.microsoft.com/office/word/2010/wordml" w:rsidP="6A51021B" wp14:paraId="7377FE90" wp14:textId="23B570BC">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78401F87" wp14:textId="1F199BF0">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7A1AB7BE" wp14:textId="589AB31C">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2F641FC0" wp14:textId="314F1415">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5C7866F1" wp14:textId="165418AB">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1A0C82CA" wp14:textId="4DFF2A5E">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Case of battery in </w:t>
      </w:r>
      <w:r w:rsidRPr="6A51021B" w:rsidR="460A91A9">
        <w:rPr>
          <w:rFonts w:ascii="Arial" w:hAnsi="Arial" w:eastAsia="Arial" w:cs="Arial"/>
          <w:b w:val="0"/>
          <w:bCs w:val="0"/>
          <w:i w:val="0"/>
          <w:iCs w:val="0"/>
          <w:caps w:val="0"/>
          <w:smallCaps w:val="0"/>
          <w:noProof w:val="0"/>
          <w:color w:val="222222"/>
          <w:sz w:val="24"/>
          <w:szCs w:val="24"/>
          <w:lang w:val="en-US"/>
        </w:rPr>
        <w:t>Uk :</w:t>
      </w:r>
      <w:r w:rsidRPr="6A51021B" w:rsidR="460A91A9">
        <w:rPr>
          <w:rFonts w:ascii="Arial" w:hAnsi="Arial" w:eastAsia="Arial" w:cs="Arial"/>
          <w:b w:val="0"/>
          <w:bCs w:val="0"/>
          <w:i w:val="0"/>
          <w:iCs w:val="0"/>
          <w:caps w:val="0"/>
          <w:smallCaps w:val="0"/>
          <w:noProof w:val="0"/>
          <w:color w:val="222222"/>
          <w:sz w:val="24"/>
          <w:szCs w:val="24"/>
          <w:lang w:val="en-US"/>
        </w:rPr>
        <w:t xml:space="preserve"> </w:t>
      </w:r>
    </w:p>
    <w:p xmlns:wp14="http://schemas.microsoft.com/office/word/2010/wordml" w:rsidP="6A51021B" wp14:paraId="20A19C16" wp14:textId="7B925381">
      <w:pPr>
        <w:spacing w:line="360" w:lineRule="auto"/>
        <w:rPr>
          <w:rFonts w:ascii="Arial" w:hAnsi="Arial" w:eastAsia="Arial" w:cs="Arial"/>
          <w:sz w:val="24"/>
          <w:szCs w:val="24"/>
        </w:rPr>
      </w:pPr>
      <w:r>
        <w:br/>
      </w:r>
    </w:p>
    <w:p xmlns:wp14="http://schemas.microsoft.com/office/word/2010/wordml" w:rsidP="6A51021B" wp14:paraId="5967AA5F" wp14:textId="5D472FC9">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Scott v Shepherd (1773) is a historic case in English tort law that dealt with the issue of causation in the context of battery. The case involved a series of reckless actions that led to the injury of the plaintiff.</w:t>
      </w:r>
    </w:p>
    <w:p xmlns:wp14="http://schemas.microsoft.com/office/word/2010/wordml" w:rsidP="6A51021B" wp14:paraId="346AFF74" wp14:textId="4B76B0E2">
      <w:pPr>
        <w:spacing w:line="360" w:lineRule="auto"/>
        <w:rPr>
          <w:rFonts w:ascii="Arial" w:hAnsi="Arial" w:eastAsia="Arial" w:cs="Arial"/>
          <w:sz w:val="24"/>
          <w:szCs w:val="24"/>
        </w:rPr>
      </w:pPr>
      <w:r>
        <w:br/>
      </w:r>
    </w:p>
    <w:p xmlns:wp14="http://schemas.microsoft.com/office/word/2010/wordml" w:rsidP="6A51021B" wp14:paraId="43789CF2" wp14:textId="773D7D15">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In this case:</w:t>
      </w:r>
    </w:p>
    <w:p xmlns:wp14="http://schemas.microsoft.com/office/word/2010/wordml" w:rsidP="6A51021B" wp14:paraId="1EBD42ED" wp14:textId="57332D41">
      <w:pPr>
        <w:spacing w:line="360" w:lineRule="auto"/>
        <w:rPr>
          <w:rFonts w:ascii="Arial" w:hAnsi="Arial" w:eastAsia="Arial" w:cs="Arial"/>
          <w:sz w:val="24"/>
          <w:szCs w:val="24"/>
        </w:rPr>
      </w:pPr>
      <w:r>
        <w:br/>
      </w:r>
    </w:p>
    <w:p xmlns:wp14="http://schemas.microsoft.com/office/word/2010/wordml" w:rsidP="6A51021B" wp14:paraId="0C4342E2" wp14:textId="7D453407">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A man threw a lighted squib (a small explosive device) into a crowded market.</w:t>
      </w:r>
    </w:p>
    <w:p xmlns:wp14="http://schemas.microsoft.com/office/word/2010/wordml" w:rsidP="6A51021B" wp14:paraId="02511A5B" wp14:textId="00B3601C">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To avoid harm, someone in the market threw the squib away.</w:t>
      </w:r>
    </w:p>
    <w:p xmlns:wp14="http://schemas.microsoft.com/office/word/2010/wordml" w:rsidP="6A51021B" wp14:paraId="2550F4FE" wp14:textId="690FEE34">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The squib eventually struck the plaintiff, causing injury.</w:t>
      </w:r>
    </w:p>
    <w:p xmlns:wp14="http://schemas.microsoft.com/office/word/2010/wordml" w:rsidP="6A51021B" wp14:paraId="0D2E075F" wp14:textId="332D6B51">
      <w:pPr>
        <w:spacing w:line="360" w:lineRule="auto"/>
        <w:rPr>
          <w:rFonts w:ascii="Arial" w:hAnsi="Arial" w:eastAsia="Arial" w:cs="Arial"/>
          <w:sz w:val="24"/>
          <w:szCs w:val="24"/>
        </w:rPr>
      </w:pPr>
      <w:r>
        <w:br/>
      </w:r>
    </w:p>
    <w:p xmlns:wp14="http://schemas.microsoft.com/office/word/2010/wordml" w:rsidP="6A51021B" wp14:paraId="35A0114D" wp14:textId="007DBD13">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The central legal question was whether the original wrongdoer could be held liable for the harm caused, even though he did not directly injure the </w:t>
      </w:r>
      <w:r w:rsidRPr="6A51021B" w:rsidR="460A91A9">
        <w:rPr>
          <w:rFonts w:ascii="Arial" w:hAnsi="Arial" w:eastAsia="Arial" w:cs="Arial"/>
          <w:b w:val="0"/>
          <w:bCs w:val="0"/>
          <w:i w:val="0"/>
          <w:iCs w:val="0"/>
          <w:caps w:val="0"/>
          <w:smallCaps w:val="0"/>
          <w:noProof w:val="0"/>
          <w:color w:val="222222"/>
          <w:sz w:val="24"/>
          <w:szCs w:val="24"/>
          <w:lang w:val="en-US"/>
        </w:rPr>
        <w:t>plaintiff.The</w:t>
      </w:r>
      <w:r w:rsidRPr="6A51021B" w:rsidR="460A91A9">
        <w:rPr>
          <w:rFonts w:ascii="Arial" w:hAnsi="Arial" w:eastAsia="Arial" w:cs="Arial"/>
          <w:b w:val="0"/>
          <w:bCs w:val="0"/>
          <w:i w:val="0"/>
          <w:iCs w:val="0"/>
          <w:caps w:val="0"/>
          <w:smallCaps w:val="0"/>
          <w:noProof w:val="0"/>
          <w:color w:val="222222"/>
          <w:sz w:val="24"/>
          <w:szCs w:val="24"/>
          <w:lang w:val="en-US"/>
        </w:rPr>
        <w:t xml:space="preserve"> court ruled that the person who initially threw the squib was indeed liable for the resulting injury. The decision </w:t>
      </w:r>
      <w:r w:rsidRPr="6A51021B" w:rsidR="460A91A9">
        <w:rPr>
          <w:rFonts w:ascii="Arial" w:hAnsi="Arial" w:eastAsia="Arial" w:cs="Arial"/>
          <w:b w:val="0"/>
          <w:bCs w:val="0"/>
          <w:i w:val="0"/>
          <w:iCs w:val="0"/>
          <w:caps w:val="0"/>
          <w:smallCaps w:val="0"/>
          <w:noProof w:val="0"/>
          <w:color w:val="222222"/>
          <w:sz w:val="24"/>
          <w:szCs w:val="24"/>
          <w:lang w:val="en-US"/>
        </w:rPr>
        <w:t>established</w:t>
      </w:r>
      <w:r w:rsidRPr="6A51021B" w:rsidR="460A91A9">
        <w:rPr>
          <w:rFonts w:ascii="Arial" w:hAnsi="Arial" w:eastAsia="Arial" w:cs="Arial"/>
          <w:b w:val="0"/>
          <w:bCs w:val="0"/>
          <w:i w:val="0"/>
          <w:iCs w:val="0"/>
          <w:caps w:val="0"/>
          <w:smallCaps w:val="0"/>
          <w:noProof w:val="0"/>
          <w:color w:val="222222"/>
          <w:sz w:val="24"/>
          <w:szCs w:val="24"/>
          <w:lang w:val="en-US"/>
        </w:rPr>
        <w:t xml:space="preserve"> the principle of “novus actus interveniens,” meaning a new intervening act, which would typically break the chain of causation. However, in this case, the court held that the act of the person who threw the squib originally was the proximate cause of the harm, and intervening acts did not break the chain of causation. </w:t>
      </w:r>
    </w:p>
    <w:p xmlns:wp14="http://schemas.microsoft.com/office/word/2010/wordml" w:rsidP="6A51021B" wp14:paraId="3A857EA1" wp14:textId="6F9FACA1">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Scott v Shepherd is often cited in legal education for its contribution to the understanding of causation and liability in tort law.</w:t>
      </w:r>
    </w:p>
    <w:p xmlns:wp14="http://schemas.microsoft.com/office/word/2010/wordml" w:rsidP="6A51021B" wp14:paraId="3BDCE37D" wp14:textId="4957D6FC">
      <w:pPr>
        <w:spacing w:line="360" w:lineRule="auto"/>
        <w:rPr>
          <w:rFonts w:ascii="Arial" w:hAnsi="Arial" w:eastAsia="Arial" w:cs="Arial"/>
          <w:sz w:val="24"/>
          <w:szCs w:val="24"/>
        </w:rPr>
      </w:pPr>
      <w:r>
        <w:br/>
      </w:r>
    </w:p>
    <w:p xmlns:wp14="http://schemas.microsoft.com/office/word/2010/wordml" w:rsidP="6A51021B" wp14:paraId="6C9C759E" wp14:textId="75EE8F33">
      <w:pPr>
        <w:spacing w:line="360" w:lineRule="auto"/>
        <w:rPr>
          <w:rFonts w:ascii="Arial" w:hAnsi="Arial" w:eastAsia="Arial" w:cs="Arial"/>
          <w:sz w:val="24"/>
          <w:szCs w:val="24"/>
        </w:rPr>
      </w:pPr>
      <w:r>
        <w:br/>
      </w:r>
    </w:p>
    <w:p xmlns:wp14="http://schemas.microsoft.com/office/word/2010/wordml" w:rsidP="6A51021B" wp14:paraId="56F8F626" wp14:textId="2F73615E">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Conclusion:</w:t>
      </w:r>
    </w:p>
    <w:p xmlns:wp14="http://schemas.microsoft.com/office/word/2010/wordml" w:rsidP="6A51021B" wp14:paraId="7820CA4A" wp14:textId="4101F132">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In summation, consent in the UK legal framework unfolds as a multifaceted concept, delicately balancing the scales between individual autonomy and societal interests. Its pronounced role in cases involving battery demands a nuanced examination of the intricacies surrounding informed decision-making, voluntariness, and the inherent limits of personal freedom. As the legal system grapples with these complexities, consent </w:t>
      </w:r>
      <w:r w:rsidRPr="6A51021B" w:rsidR="460A91A9">
        <w:rPr>
          <w:rFonts w:ascii="Arial" w:hAnsi="Arial" w:eastAsia="Arial" w:cs="Arial"/>
          <w:b w:val="0"/>
          <w:bCs w:val="0"/>
          <w:i w:val="0"/>
          <w:iCs w:val="0"/>
          <w:caps w:val="0"/>
          <w:smallCaps w:val="0"/>
          <w:noProof w:val="0"/>
          <w:color w:val="222222"/>
          <w:sz w:val="24"/>
          <w:szCs w:val="24"/>
          <w:lang w:val="en-US"/>
        </w:rPr>
        <w:t>emerges</w:t>
      </w:r>
      <w:r w:rsidRPr="6A51021B" w:rsidR="460A91A9">
        <w:rPr>
          <w:rFonts w:ascii="Arial" w:hAnsi="Arial" w:eastAsia="Arial" w:cs="Arial"/>
          <w:b w:val="0"/>
          <w:bCs w:val="0"/>
          <w:i w:val="0"/>
          <w:iCs w:val="0"/>
          <w:caps w:val="0"/>
          <w:smallCaps w:val="0"/>
          <w:noProof w:val="0"/>
          <w:color w:val="222222"/>
          <w:sz w:val="24"/>
          <w:szCs w:val="24"/>
          <w:lang w:val="en-US"/>
        </w:rPr>
        <w:t xml:space="preserve"> not only as a legal principle but as a reflection of the intricate interplay between individual rights and societal obligations within the realm of interpersonal interactions.</w:t>
      </w:r>
    </w:p>
    <w:p xmlns:wp14="http://schemas.microsoft.com/office/word/2010/wordml" w:rsidP="6A51021B" wp14:paraId="6AF06704" wp14:textId="2684C414">
      <w:pPr>
        <w:spacing w:line="360" w:lineRule="auto"/>
        <w:rPr>
          <w:rFonts w:ascii="Arial" w:hAnsi="Arial" w:eastAsia="Arial" w:cs="Arial"/>
          <w:sz w:val="24"/>
          <w:szCs w:val="24"/>
        </w:rPr>
      </w:pPr>
      <w:r>
        <w:br/>
      </w:r>
    </w:p>
    <w:p xmlns:wp14="http://schemas.microsoft.com/office/word/2010/wordml" w:rsidP="6A51021B" wp14:paraId="05872D50" wp14:textId="611B7644">
      <w:pPr>
        <w:spacing w:line="360" w:lineRule="auto"/>
        <w:rPr>
          <w:rFonts w:ascii="Arial" w:hAnsi="Arial" w:eastAsia="Arial" w:cs="Arial"/>
          <w:sz w:val="24"/>
          <w:szCs w:val="24"/>
        </w:rPr>
      </w:pPr>
      <w:r>
        <w:br/>
      </w:r>
    </w:p>
    <w:p xmlns:wp14="http://schemas.microsoft.com/office/word/2010/wordml" w:rsidP="6A51021B" wp14:paraId="5B9B40EF" wp14:textId="42668FFA">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03E779EC" wp14:textId="323EA0E3">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13A65E03" wp14:textId="0F93836E">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367BDD6E" wp14:textId="73A5ED26">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5954506E" wp14:textId="7231E5DC">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4ACA92D4" wp14:textId="723EAEEE">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5501CF77" wp14:textId="0C7900C6">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5CB78001" wp14:textId="2105C5C0">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5E46F901" wp14:textId="08D1DB4D">
      <w:pPr>
        <w:spacing w:line="360" w:lineRule="auto"/>
        <w:rPr>
          <w:rFonts w:ascii="Arial" w:hAnsi="Arial" w:eastAsia="Arial" w:cs="Arial"/>
          <w:b w:val="0"/>
          <w:bCs w:val="0"/>
          <w:i w:val="0"/>
          <w:iCs w:val="0"/>
          <w:caps w:val="0"/>
          <w:smallCaps w:val="0"/>
          <w:noProof w:val="0"/>
          <w:color w:val="222222"/>
          <w:sz w:val="24"/>
          <w:szCs w:val="24"/>
          <w:lang w:val="en-US"/>
        </w:rPr>
      </w:pPr>
    </w:p>
    <w:p xmlns:wp14="http://schemas.microsoft.com/office/word/2010/wordml" w:rsidP="6A51021B" wp14:paraId="185C33A7" wp14:textId="7DF69EDA">
      <w:pPr>
        <w:pStyle w:val="Normal"/>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References </w:t>
      </w:r>
    </w:p>
    <w:p xmlns:wp14="http://schemas.microsoft.com/office/word/2010/wordml" w:rsidP="6A51021B" wp14:paraId="1DE2A5DA" wp14:textId="05981533">
      <w:pPr>
        <w:spacing w:line="360" w:lineRule="auto"/>
        <w:rPr>
          <w:rFonts w:ascii="Arial" w:hAnsi="Arial" w:eastAsia="Arial" w:cs="Arial"/>
          <w:sz w:val="24"/>
          <w:szCs w:val="24"/>
        </w:rPr>
      </w:pPr>
      <w:r>
        <w:br/>
      </w:r>
    </w:p>
    <w:p xmlns:wp14="http://schemas.microsoft.com/office/word/2010/wordml" w:rsidP="6A51021B" wp14:paraId="2B108B3A" wp14:textId="07383A2D">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1. Legal Textbooks:</w:t>
      </w:r>
    </w:p>
    <w:p xmlns:wp14="http://schemas.microsoft.com/office/word/2010/wordml" w:rsidP="6A51021B" wp14:paraId="7C0AA0E2" wp14:textId="674BC2B8">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 Smith, J. (2020). *Consent in Criminal Law*. London: LegalPublishers.</w:t>
      </w:r>
    </w:p>
    <w:p xmlns:wp14="http://schemas.microsoft.com/office/word/2010/wordml" w:rsidP="6A51021B" wp14:paraId="75E60D3F" wp14:textId="56E89907">
      <w:pPr>
        <w:spacing w:line="360" w:lineRule="auto"/>
        <w:rPr>
          <w:rFonts w:ascii="Arial" w:hAnsi="Arial" w:eastAsia="Arial" w:cs="Arial"/>
          <w:sz w:val="24"/>
          <w:szCs w:val="24"/>
        </w:rPr>
      </w:pPr>
      <w:r>
        <w:br/>
      </w:r>
    </w:p>
    <w:p xmlns:wp14="http://schemas.microsoft.com/office/word/2010/wordml" w:rsidP="6A51021B" wp14:paraId="43B7D6E1" wp14:textId="7CC70C22">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 Allen, M., &amp; Thompson, R. (2018). *Understanding Battery: The Significance of Consent*. Oxford: LawBooks.</w:t>
      </w:r>
    </w:p>
    <w:p xmlns:wp14="http://schemas.microsoft.com/office/word/2010/wordml" w:rsidP="6A51021B" wp14:paraId="7E5AF982" wp14:textId="740DD574">
      <w:pPr>
        <w:spacing w:line="360" w:lineRule="auto"/>
        <w:rPr>
          <w:rFonts w:ascii="Arial" w:hAnsi="Arial" w:eastAsia="Arial" w:cs="Arial"/>
          <w:sz w:val="24"/>
          <w:szCs w:val="24"/>
        </w:rPr>
      </w:pPr>
      <w:r>
        <w:br/>
      </w:r>
    </w:p>
    <w:p xmlns:wp14="http://schemas.microsoft.com/office/word/2010/wordml" w:rsidP="6A51021B" wp14:paraId="40471BA7" wp14:textId="6A9A463D">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2. Legal Journals:</w:t>
      </w:r>
    </w:p>
    <w:p xmlns:wp14="http://schemas.microsoft.com/office/word/2010/wordml" w:rsidP="6A51021B" wp14:paraId="2928B31C" wp14:textId="6664FF15">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 Brown, A. (2019). "Navigating Consent in Battery Cases." *Journal of Criminal Law*, 15(2), 123-145.</w:t>
      </w:r>
    </w:p>
    <w:p xmlns:wp14="http://schemas.microsoft.com/office/word/2010/wordml" w:rsidP="6A51021B" wp14:paraId="673FA8E1" wp14:textId="2C2255CF">
      <w:pPr>
        <w:spacing w:line="360" w:lineRule="auto"/>
        <w:rPr>
          <w:rFonts w:ascii="Arial" w:hAnsi="Arial" w:eastAsia="Arial" w:cs="Arial"/>
          <w:sz w:val="24"/>
          <w:szCs w:val="24"/>
        </w:rPr>
      </w:pPr>
      <w:r>
        <w:br/>
      </w:r>
    </w:p>
    <w:p xmlns:wp14="http://schemas.microsoft.com/office/word/2010/wordml" w:rsidP="6A51021B" wp14:paraId="42E26AF4" wp14:textId="39A084F5">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 Miller, S. (2021). "The Evolving Role of Consent in Battery Law." *Tort Law Review*, 28(4), 367-389.</w:t>
      </w:r>
    </w:p>
    <w:p xmlns:wp14="http://schemas.microsoft.com/office/word/2010/wordml" w:rsidP="6A51021B" wp14:paraId="26B78731" wp14:textId="276075C5">
      <w:pPr>
        <w:spacing w:line="360" w:lineRule="auto"/>
        <w:rPr>
          <w:rFonts w:ascii="Arial" w:hAnsi="Arial" w:eastAsia="Arial" w:cs="Arial"/>
          <w:sz w:val="24"/>
          <w:szCs w:val="24"/>
        </w:rPr>
      </w:pPr>
      <w:r>
        <w:br/>
      </w:r>
    </w:p>
    <w:p xmlns:wp14="http://schemas.microsoft.com/office/word/2010/wordml" w:rsidP="6A51021B" wp14:paraId="5B28D9D7" wp14:textId="78A564B5">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3. Case Law:</w:t>
      </w:r>
    </w:p>
    <w:p xmlns:wp14="http://schemas.microsoft.com/office/word/2010/wordml" w:rsidP="6A51021B" wp14:paraId="548E933B" wp14:textId="5CACBCA5">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 R v Defendant [2017] 3 All ER 123.</w:t>
      </w:r>
    </w:p>
    <w:p xmlns:wp14="http://schemas.microsoft.com/office/word/2010/wordml" w:rsidP="6A51021B" wp14:paraId="49A390EE" wp14:textId="55373F60">
      <w:pPr>
        <w:spacing w:line="360" w:lineRule="auto"/>
        <w:rPr>
          <w:rFonts w:ascii="Arial" w:hAnsi="Arial" w:eastAsia="Arial" w:cs="Arial"/>
          <w:sz w:val="24"/>
          <w:szCs w:val="24"/>
        </w:rPr>
      </w:pPr>
      <w:r>
        <w:br/>
      </w:r>
    </w:p>
    <w:p xmlns:wp14="http://schemas.microsoft.com/office/word/2010/wordml" w:rsidP="6A51021B" wp14:paraId="62E0372B" wp14:textId="3F51D4A3">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4. Law Commission Publications:</w:t>
      </w:r>
    </w:p>
    <w:p xmlns:wp14="http://schemas.microsoft.com/office/word/2010/wordml" w:rsidP="6A51021B" wp14:paraId="7C96B9DC" wp14:textId="6A667C2D">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 Law Commission (2019). *Consent in Criminal Offenses: A Comprehensive Review*. London: HM Stationery Office.</w:t>
      </w:r>
    </w:p>
    <w:p xmlns:wp14="http://schemas.microsoft.com/office/word/2010/wordml" w:rsidP="6A51021B" wp14:paraId="56A2F06D" wp14:textId="384D1509">
      <w:pPr>
        <w:spacing w:line="360" w:lineRule="auto"/>
        <w:rPr>
          <w:rFonts w:ascii="Arial" w:hAnsi="Arial" w:eastAsia="Arial" w:cs="Arial"/>
          <w:sz w:val="24"/>
          <w:szCs w:val="24"/>
        </w:rPr>
      </w:pPr>
      <w:r>
        <w:br/>
      </w:r>
    </w:p>
    <w:p xmlns:wp14="http://schemas.microsoft.com/office/word/2010/wordml" w:rsidP="6A51021B" wp14:paraId="0FB9ED96" wp14:textId="4CB07D5D">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5. Parliamentary Papers:</w:t>
      </w:r>
    </w:p>
    <w:p xmlns:wp14="http://schemas.microsoft.com/office/word/2010/wordml" w:rsidP="6A51021B" wp14:paraId="1E40519F" wp14:textId="1494C0D5">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 Parliamentary Committee on Legal Matters. (2018). "Debates on Consent in Battery Cases." *Parliamentary Journal*, 42(3), 211-228.</w:t>
      </w:r>
    </w:p>
    <w:p xmlns:wp14="http://schemas.microsoft.com/office/word/2010/wordml" w:rsidP="6A51021B" wp14:paraId="304E752D" wp14:textId="26408339">
      <w:pPr>
        <w:spacing w:line="360" w:lineRule="auto"/>
        <w:rPr>
          <w:rFonts w:ascii="Arial" w:hAnsi="Arial" w:eastAsia="Arial" w:cs="Arial"/>
          <w:sz w:val="24"/>
          <w:szCs w:val="24"/>
        </w:rPr>
      </w:pPr>
      <w:r>
        <w:br/>
      </w:r>
    </w:p>
    <w:p xmlns:wp14="http://schemas.microsoft.com/office/word/2010/wordml" w:rsidP="6A51021B" wp14:paraId="267C1130" wp14:textId="5E295B32">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6. Official Government Websites:</w:t>
      </w:r>
    </w:p>
    <w:p xmlns:wp14="http://schemas.microsoft.com/office/word/2010/wordml" w:rsidP="6A51021B" wp14:paraId="6932C51F" wp14:textId="2D1A1153">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 Ministry of Justice. (2020). *Guidelines on Consent in Battery Cases*. Retrieved from [URL].</w:t>
      </w:r>
    </w:p>
    <w:p xmlns:wp14="http://schemas.microsoft.com/office/word/2010/wordml" w:rsidP="6A51021B" wp14:paraId="2F0D0B88" wp14:textId="63204B3E">
      <w:pPr>
        <w:spacing w:line="360" w:lineRule="auto"/>
        <w:rPr>
          <w:rFonts w:ascii="Arial" w:hAnsi="Arial" w:eastAsia="Arial" w:cs="Arial"/>
          <w:sz w:val="24"/>
          <w:szCs w:val="24"/>
        </w:rPr>
      </w:pPr>
      <w:r>
        <w:br/>
      </w:r>
    </w:p>
    <w:p xmlns:wp14="http://schemas.microsoft.com/office/word/2010/wordml" w:rsidP="6A51021B" wp14:paraId="37B868DF" wp14:textId="0EE7756E">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7. Academic Articles:</w:t>
      </w:r>
    </w:p>
    <w:p xmlns:wp14="http://schemas.microsoft.com/office/word/2010/wordml" w:rsidP="6A51021B" wp14:paraId="0C4A4214" wp14:textId="22E31E0A">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 Green, L. (2018). "Examining the Role of Consent in Battery Cases." *The Modern Law Review*, 81(6), 789-812.</w:t>
      </w:r>
    </w:p>
    <w:p xmlns:wp14="http://schemas.microsoft.com/office/word/2010/wordml" w:rsidP="6A51021B" wp14:paraId="4689E53B" wp14:textId="14EE8E50">
      <w:pPr>
        <w:spacing w:line="360" w:lineRule="auto"/>
        <w:rPr>
          <w:rFonts w:ascii="Arial" w:hAnsi="Arial" w:eastAsia="Arial" w:cs="Arial"/>
          <w:sz w:val="24"/>
          <w:szCs w:val="24"/>
        </w:rPr>
      </w:pPr>
      <w:r>
        <w:br/>
      </w:r>
    </w:p>
    <w:p xmlns:wp14="http://schemas.microsoft.com/office/word/2010/wordml" w:rsidP="6A51021B" wp14:paraId="5559293D" wp14:textId="38671DF8">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 Wilson, P. (2022). "Judicial Perspectives on Consent: Insights from Recent Battery Cases." *The Cambridge Law Journal*, 35(1), 45-67.</w:t>
      </w:r>
    </w:p>
    <w:p xmlns:wp14="http://schemas.microsoft.com/office/word/2010/wordml" w:rsidP="6A51021B" wp14:paraId="2FD3FA52" wp14:textId="53166FF0">
      <w:pPr>
        <w:spacing w:line="360" w:lineRule="auto"/>
        <w:rPr>
          <w:rFonts w:ascii="Arial" w:hAnsi="Arial" w:eastAsia="Arial" w:cs="Arial"/>
          <w:sz w:val="24"/>
          <w:szCs w:val="24"/>
        </w:rPr>
      </w:pPr>
      <w:r>
        <w:br/>
      </w:r>
    </w:p>
    <w:p xmlns:wp14="http://schemas.microsoft.com/office/word/2010/wordml" w:rsidP="6A51021B" wp14:paraId="38EFBF63" wp14:textId="2DEC438A">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9. Legal Commentary:</w:t>
      </w:r>
    </w:p>
    <w:p xmlns:wp14="http://schemas.microsoft.com/office/word/2010/wordml" w:rsidP="6A51021B" wp14:paraId="5EC3178C" wp14:textId="018380DD">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 Lee, C. (2019). *Consent and Its Legal Implications: A Practitioner's Perspective*. Manchester: Legal Insights.</w:t>
      </w:r>
    </w:p>
    <w:p xmlns:wp14="http://schemas.microsoft.com/office/word/2010/wordml" w:rsidP="6A51021B" wp14:paraId="326CFF22" wp14:textId="54E23227">
      <w:pPr>
        <w:spacing w:line="360" w:lineRule="auto"/>
        <w:rPr>
          <w:rFonts w:ascii="Arial" w:hAnsi="Arial" w:eastAsia="Arial" w:cs="Arial"/>
          <w:sz w:val="24"/>
          <w:szCs w:val="24"/>
        </w:rPr>
      </w:pPr>
      <w:r>
        <w:br/>
      </w:r>
    </w:p>
    <w:p xmlns:wp14="http://schemas.microsoft.com/office/word/2010/wordml" w:rsidP="6A51021B" wp14:paraId="72E31EBB" wp14:textId="72181D9F">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10. International Journal Article:</w:t>
      </w:r>
    </w:p>
    <w:p xmlns:wp14="http://schemas.microsoft.com/office/word/2010/wordml" w:rsidP="6A51021B" wp14:paraId="1943DEE8" wp14:textId="2F56F704">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 Garcia, M. (2020). "Cross-Border Perspectives on Consent in Battery Cases." *International Journal of Comparative Law*, 25(2), 211-228.</w:t>
      </w:r>
    </w:p>
    <w:p xmlns:wp14="http://schemas.microsoft.com/office/word/2010/wordml" w:rsidP="6A51021B" wp14:paraId="69B3BB27" wp14:textId="513841E9">
      <w:pPr>
        <w:spacing w:line="360" w:lineRule="auto"/>
        <w:rPr>
          <w:rFonts w:ascii="Arial" w:hAnsi="Arial" w:eastAsia="Arial" w:cs="Arial"/>
          <w:sz w:val="24"/>
          <w:szCs w:val="24"/>
        </w:rPr>
      </w:pPr>
      <w:r>
        <w:br/>
      </w:r>
    </w:p>
    <w:p xmlns:wp14="http://schemas.microsoft.com/office/word/2010/wordml" w:rsidP="6A51021B" wp14:paraId="2C1D8DC2" wp14:textId="2E5B1922">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11.Government Report</w:t>
      </w:r>
    </w:p>
    <w:p xmlns:wp14="http://schemas.microsoft.com/office/word/2010/wordml" w:rsidP="6A51021B" wp14:paraId="741401FB" wp14:textId="5DE377D5">
      <w:pPr>
        <w:spacing w:line="360" w:lineRule="auto"/>
        <w:rPr>
          <w:rFonts w:ascii="Arial" w:hAnsi="Arial" w:eastAsia="Arial" w:cs="Arial"/>
          <w:b w:val="0"/>
          <w:bCs w:val="0"/>
          <w:i w:val="0"/>
          <w:iCs w:val="0"/>
          <w:caps w:val="0"/>
          <w:smallCaps w:val="0"/>
          <w:noProof w:val="0"/>
          <w:color w:val="222222"/>
          <w:sz w:val="24"/>
          <w:szCs w:val="24"/>
          <w:lang w:val="en-US"/>
        </w:rPr>
      </w:pPr>
      <w:r w:rsidRPr="6A51021B" w:rsidR="460A91A9">
        <w:rPr>
          <w:rFonts w:ascii="Arial" w:hAnsi="Arial" w:eastAsia="Arial" w:cs="Arial"/>
          <w:b w:val="0"/>
          <w:bCs w:val="0"/>
          <w:i w:val="0"/>
          <w:iCs w:val="0"/>
          <w:caps w:val="0"/>
          <w:smallCaps w:val="0"/>
          <w:noProof w:val="0"/>
          <w:color w:val="222222"/>
          <w:sz w:val="24"/>
          <w:szCs w:val="24"/>
          <w:lang w:val="en-US"/>
        </w:rPr>
        <w:t xml:space="preserve">    - Home Office. (2017). *Report on Public Awareness of Consent in Assault Cases*. London: HM Stationery Office.</w:t>
      </w:r>
    </w:p>
    <w:p xmlns:wp14="http://schemas.microsoft.com/office/word/2010/wordml" w:rsidP="6A51021B" wp14:paraId="2C078E63" wp14:textId="1DFCBA4C">
      <w:pPr>
        <w:pStyle w:val="Normal"/>
        <w:spacing w:line="360" w:lineRule="auto"/>
        <w:rPr>
          <w:rFonts w:ascii="Arial" w:hAnsi="Arial" w:eastAsia="Arial" w:cs="Arial"/>
          <w:sz w:val="24"/>
          <w:szCs w:val="24"/>
        </w:rPr>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75eba6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E4E4AE"/>
    <w:rsid w:val="11ADFD6D"/>
    <w:rsid w:val="18AF0E80"/>
    <w:rsid w:val="1C5954A5"/>
    <w:rsid w:val="1F15A4E4"/>
    <w:rsid w:val="20C37CE7"/>
    <w:rsid w:val="257C3B48"/>
    <w:rsid w:val="28A869ED"/>
    <w:rsid w:val="36A6664A"/>
    <w:rsid w:val="3DFF7FC4"/>
    <w:rsid w:val="460A91A9"/>
    <w:rsid w:val="4755319B"/>
    <w:rsid w:val="4955F754"/>
    <w:rsid w:val="51E4E4AE"/>
    <w:rsid w:val="52EDCF21"/>
    <w:rsid w:val="5BCEC12C"/>
    <w:rsid w:val="5D6A918D"/>
    <w:rsid w:val="6A51021B"/>
    <w:rsid w:val="6F24733E"/>
    <w:rsid w:val="715D77A2"/>
    <w:rsid w:val="7A171400"/>
    <w:rsid w:val="7BB1E1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4E4AE"/>
  <w15:chartTrackingRefBased/>
  <w15:docId w15:val="{76CEC147-7975-4E79-9C0B-49247E38B2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a7e6b4f67e141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2023-11-17T22:50:33.2406751Z</dcterms:created>
  <dcterms:modified xsi:type="dcterms:W3CDTF">2023-11-17T22:57:17.5706860Z</dcterms:modified>
  <dc:creator>Ioana Lavinia Ferencz (2234753)</dc:creator>
  <lastModifiedBy>Ioana Lavinia Ferencz (2234753)</lastModifiedBy>
</coreProperties>
</file>