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007273" cy="958492"/>
            <wp:effectExtent b="0" l="0" r="0" t="0"/>
            <wp:docPr descr="A logo with black text&#10;&#10;AI-generated content may be incorrect." id="2040726463" name="image1.png"/>
            <a:graphic>
              <a:graphicData uri="http://schemas.openxmlformats.org/drawingml/2006/picture">
                <pic:pic>
                  <pic:nvPicPr>
                    <pic:cNvPr descr="A logo with black text&#10;&#10;AI-generated content may be incorrect." id="0" name="image1.png"/>
                    <pic:cNvPicPr preferRelativeResize="0"/>
                  </pic:nvPicPr>
                  <pic:blipFill>
                    <a:blip r:embed="rId7"/>
                    <a:srcRect b="0" l="0" r="0" t="0"/>
                    <a:stretch>
                      <a:fillRect/>
                    </a:stretch>
                  </pic:blipFill>
                  <pic:spPr>
                    <a:xfrm>
                      <a:off x="0" y="0"/>
                      <a:ext cx="2007273" cy="95849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bCs w:val="1"/>
          <w:sz w:val="32"/>
          <w:szCs w:val="32"/>
        </w:rPr>
      </w:pPr>
      <w:r w:rsidDel="00000000" w:rsidR="00000000" w:rsidRPr="00000000">
        <w:rPr>
          <w:b w:val="1"/>
          <w:bCs w:val="1"/>
          <w:sz w:val="32"/>
          <w:szCs w:val="32"/>
          <w:rtl w:val="0"/>
        </w:rPr>
        <w:t xml:space="preserve">STUDENT NAME: AMINA DIALLO</w:t>
        <w:br w:type="textWrapping"/>
        <w:t xml:space="preserve">STUDENT NUMBER: 2320589</w:t>
        <w:br w:type="textWrapping"/>
        <w:t xml:space="preserve">MODULE CODE:  BMHP6029 </w:t>
        <w:br w:type="textWrapping"/>
        <w:t xml:space="preserve">MODULE NAME: Psychological Classifications and Provisions</w:t>
      </w:r>
    </w:p>
    <w:p w:rsidR="00000000" w:rsidDel="00000000" w:rsidP="00000000" w:rsidRDefault="00000000" w:rsidRPr="00000000" w14:paraId="00000003">
      <w:pPr>
        <w:rPr>
          <w:b w:val="1"/>
          <w:bCs w:val="1"/>
          <w:sz w:val="32"/>
          <w:szCs w:val="32"/>
        </w:rPr>
      </w:pPr>
      <w:r w:rsidDel="00000000" w:rsidR="00000000" w:rsidRPr="00000000">
        <w:rPr>
          <w:b w:val="1"/>
          <w:bCs w:val="1"/>
          <w:sz w:val="32"/>
          <w:szCs w:val="32"/>
          <w:rtl w:val="0"/>
        </w:rPr>
        <w:t xml:space="preserve">PROFESSOR NAME : NEALE HADDON</w:t>
        <w:br w:type="textWrapping"/>
        <w:t xml:space="preserve">ASSIGNMENT TITLE: Component 2: Written Report</w:t>
      </w:r>
    </w:p>
    <w:p w:rsidR="00000000" w:rsidDel="00000000" w:rsidP="00000000" w:rsidRDefault="00000000" w:rsidRPr="00000000" w14:paraId="0000000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Play" w:cs="Play" w:eastAsia="Play" w:hAnsi="Play"/>
          <w:b w:val="1"/>
          <w:bCs w:val="1"/>
          <w:i w:val="0"/>
          <w:iCs w:val="0"/>
          <w:smallCaps w:val="0"/>
          <w:strike w:val="0"/>
          <w:color w:val="0f4761"/>
          <w:sz w:val="36"/>
          <w:szCs w:val="36"/>
          <w:u w:val="none"/>
          <w:shd w:fill="auto" w:val="clear"/>
          <w:vertAlign w:val="baseline"/>
        </w:rPr>
      </w:pPr>
      <w:r w:rsidDel="00000000" w:rsidR="00000000" w:rsidRPr="00000000">
        <w:rPr>
          <w:rFonts w:ascii="Play" w:cs="Play" w:eastAsia="Play" w:hAnsi="Play"/>
          <w:b w:val="1"/>
          <w:bCs w:val="1"/>
          <w:i w:val="0"/>
          <w:iCs w:val="0"/>
          <w:smallCaps w:val="0"/>
          <w:strike w:val="0"/>
          <w:color w:val="0f4761"/>
          <w:sz w:val="36"/>
          <w:szCs w:val="36"/>
          <w:u w:val="none"/>
          <w:shd w:fill="auto" w:val="clear"/>
          <w:vertAlign w:val="baseline"/>
          <w:rtl w:val="0"/>
        </w:rPr>
        <w:t xml:space="preserve">Table of Contents</w:t>
      </w:r>
    </w:p>
    <w:sdt>
      <w:sdtPr>
        <w:id w:val="-2083432903"/>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ciwgqcsnv6m7">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ks3czs3tbhgb">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Classification and Diagnosis</w:t>
              <w:tab/>
              <w:t xml:space="preserve">2</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yiba45xiap4u">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Treatment and Rehabilitation</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7l4zam784yo0">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Current Debates and Emerging Issues</w:t>
              <w:tab/>
              <w:t xml:space="preserve">4</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5wzouozh86rq">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Recommendations</w:t>
              <w:tab/>
              <w:t xml:space="preserve">5</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80406pzb0s0">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ponotv70r51f">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Reference List</w:t>
              <w:tab/>
              <w:t xml:space="preserve">6</w:t>
            </w:r>
          </w:hyperlink>
          <w:r w:rsidDel="00000000" w:rsidR="00000000" w:rsidRPr="00000000">
            <w:rPr>
              <w:rtl w:val="0"/>
            </w:rPr>
          </w:r>
        </w:p>
        <w:p w:rsidR="00000000" w:rsidDel="00000000" w:rsidP="00000000" w:rsidRDefault="00000000" w:rsidRPr="00000000" w14:paraId="0000000C">
          <w:pPr>
            <w:rPr>
              <w:sz w:val="32"/>
              <w:szCs w:val="3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D">
      <w:pPr>
        <w:rPr>
          <w:b w:val="1"/>
          <w:bCs w:val="1"/>
          <w:sz w:val="32"/>
          <w:szCs w:val="32"/>
        </w:rPr>
      </w:pPr>
      <w:r w:rsidDel="00000000" w:rsidR="00000000" w:rsidRPr="00000000">
        <w:rPr>
          <w:rtl w:val="0"/>
        </w:rPr>
      </w:r>
    </w:p>
    <w:p w:rsidR="00000000" w:rsidDel="00000000" w:rsidP="00000000" w:rsidRDefault="00000000" w:rsidRPr="00000000" w14:paraId="0000000E">
      <w:pPr>
        <w:rPr>
          <w:b w:val="1"/>
          <w:bCs w:val="1"/>
          <w:sz w:val="32"/>
          <w:szCs w:val="32"/>
        </w:rPr>
      </w:pPr>
      <w:r w:rsidDel="00000000" w:rsidR="00000000" w:rsidRPr="00000000">
        <w:rPr>
          <w:rtl w:val="0"/>
        </w:rPr>
      </w:r>
    </w:p>
    <w:p w:rsidR="00000000" w:rsidDel="00000000" w:rsidP="00000000" w:rsidRDefault="00000000" w:rsidRPr="00000000" w14:paraId="0000000F">
      <w:pPr>
        <w:rPr>
          <w:b w:val="1"/>
          <w:bCs w:val="1"/>
        </w:rPr>
      </w:pPr>
      <w:r w:rsidDel="00000000" w:rsidR="00000000" w:rsidRPr="00000000">
        <w:rPr>
          <w:rtl w:val="0"/>
        </w:rPr>
      </w:r>
    </w:p>
    <w:p w:rsidR="00000000" w:rsidDel="00000000" w:rsidP="00000000" w:rsidRDefault="00000000" w:rsidRPr="00000000" w14:paraId="00000010">
      <w:pPr>
        <w:rPr>
          <w:b w:val="1"/>
          <w:bCs w:val="1"/>
        </w:rPr>
      </w:pPr>
      <w:r w:rsidDel="00000000" w:rsidR="00000000" w:rsidRPr="00000000">
        <w:rPr>
          <w:rtl w:val="0"/>
        </w:rPr>
      </w:r>
    </w:p>
    <w:p w:rsidR="00000000" w:rsidDel="00000000" w:rsidP="00000000" w:rsidRDefault="00000000" w:rsidRPr="00000000" w14:paraId="00000011">
      <w:pPr>
        <w:rPr>
          <w:b w:val="1"/>
          <w:bCs w:val="1"/>
        </w:rPr>
      </w:pPr>
      <w:r w:rsidDel="00000000" w:rsidR="00000000" w:rsidRPr="00000000">
        <w:rPr>
          <w:rtl w:val="0"/>
        </w:rPr>
      </w:r>
    </w:p>
    <w:p w:rsidR="00000000" w:rsidDel="00000000" w:rsidP="00000000" w:rsidRDefault="00000000" w:rsidRPr="00000000" w14:paraId="00000012">
      <w:pPr>
        <w:rPr>
          <w:b w:val="1"/>
          <w:bCs w:val="1"/>
        </w:rPr>
      </w:pPr>
      <w:r w:rsidDel="00000000" w:rsidR="00000000" w:rsidRPr="00000000">
        <w:rPr>
          <w:rtl w:val="0"/>
        </w:rPr>
      </w:r>
    </w:p>
    <w:p w:rsidR="00000000" w:rsidDel="00000000" w:rsidP="00000000" w:rsidRDefault="00000000" w:rsidRPr="00000000" w14:paraId="00000013">
      <w:pPr>
        <w:rPr>
          <w:b w:val="1"/>
          <w:bCs w:val="1"/>
        </w:rPr>
      </w:pPr>
      <w:r w:rsidDel="00000000" w:rsidR="00000000" w:rsidRPr="00000000">
        <w:rPr>
          <w:rtl w:val="0"/>
        </w:rPr>
      </w:r>
    </w:p>
    <w:bookmarkStart w:colFirst="0" w:colLast="0" w:name="bookmark=id.cv8j98hnp49v" w:id="0"/>
    <w:bookmarkEnd w:id="0"/>
    <w:p w:rsidR="00000000" w:rsidDel="00000000" w:rsidP="00000000" w:rsidRDefault="00000000" w:rsidRPr="00000000" w14:paraId="00000014">
      <w:pPr>
        <w:pStyle w:val="Heading1"/>
        <w:rPr/>
      </w:pPr>
      <w:bookmarkStart w:colFirst="0" w:colLast="0" w:name="_heading=h.ciwgqcsnv6m7" w:id="1"/>
      <w:bookmarkEnd w:id="1"/>
      <w:r w:rsidDel="00000000" w:rsidR="00000000" w:rsidRPr="00000000">
        <w:rPr>
          <w:rtl w:val="0"/>
        </w:rPr>
        <w:t xml:space="preserve">Introduction </w:t>
      </w:r>
    </w:p>
    <w:p w:rsidR="00000000" w:rsidDel="00000000" w:rsidP="00000000" w:rsidRDefault="00000000" w:rsidRPr="00000000" w14:paraId="00000015">
      <w:pPr>
        <w:rPr/>
      </w:pPr>
      <w:r w:rsidDel="00000000" w:rsidR="00000000" w:rsidRPr="00000000">
        <w:rPr>
          <w:rtl w:val="0"/>
        </w:rPr>
        <w:t xml:space="preserve">Eating disorders are severe mental health issues that impact a person's eating habits, thoughts about food, and body image. They can result in serious problems like weight gain or loss, fatigue, stomach discomfort, and heart or tooth damage from vomiting. People may struggle at job and school, avoid friends, or feel extremely embarrassed. Genes, peer pressure, low self-esteem, bullying, stress, and social media portrayals of "perfect" bodies are some of the causes. In the mental health section of ICD-11, they are included under food and eating disorders. The primary examples in this report are bulimia nervosa (binge eating followed by purging) and anorexia nervosa (severe dieting and fear of gaining weight).</w:t>
      </w:r>
    </w:p>
    <w:p w:rsidR="00000000" w:rsidDel="00000000" w:rsidP="00000000" w:rsidRDefault="00000000" w:rsidRPr="00000000" w14:paraId="00000016">
      <w:pPr>
        <w:rPr/>
      </w:pPr>
      <w:r w:rsidDel="00000000" w:rsidR="00000000" w:rsidRPr="00000000">
        <w:rPr>
          <w:rtl w:val="0"/>
        </w:rPr>
        <w:t xml:space="preserve">ICD-11 helps physicians diagnose these conditions more quickly by classifying them according to their symptoms, causes, and effects on day-to-day functioning. Picky eating must not be the only way that symptoms negatively impact life. To assess and gauge severity, doctors employ tests, questionnaires, and discussions.</w:t>
      </w:r>
    </w:p>
    <w:p w:rsidR="00000000" w:rsidDel="00000000" w:rsidP="00000000" w:rsidRDefault="00000000" w:rsidRPr="00000000" w14:paraId="00000017">
      <w:pPr>
        <w:rPr/>
      </w:pPr>
      <w:r w:rsidDel="00000000" w:rsidR="00000000" w:rsidRPr="00000000">
        <w:rPr>
          <w:rtl w:val="0"/>
        </w:rPr>
        <w:t xml:space="preserve">Talking therapy, meal plans, and hospital care if necessary are among the treatments. Teams of physicians, nurses, and dietitians are available through the NHS. Rehab helps people manage triggers, eat properly, and gain self-confidence.</w:t>
      </w:r>
    </w:p>
    <w:p w:rsidR="00000000" w:rsidDel="00000000" w:rsidP="00000000" w:rsidRDefault="00000000" w:rsidRPr="00000000" w14:paraId="00000018">
      <w:pPr>
        <w:rPr/>
      </w:pPr>
      <w:r w:rsidDel="00000000" w:rsidR="00000000" w:rsidRPr="00000000">
        <w:rPr>
          <w:rtl w:val="0"/>
        </w:rPr>
        <w:t xml:space="preserve">Discussions include whether social media increases the number of cases, whether labels like "disorder" are beneficial or detrimental, and NHS wait times. Apps for assistance are among the new concepts. Suggestions enhance awareness, financing, and training. Better lives with clear information from studies are the aim.</w:t>
      </w:r>
    </w:p>
    <w:bookmarkStart w:colFirst="0" w:colLast="0" w:name="bookmark=id.bxq8nft98cf5" w:id="2"/>
    <w:bookmarkEnd w:id="2"/>
    <w:p w:rsidR="00000000" w:rsidDel="00000000" w:rsidP="00000000" w:rsidRDefault="00000000" w:rsidRPr="00000000" w14:paraId="00000019">
      <w:pPr>
        <w:pStyle w:val="Heading1"/>
        <w:rPr/>
      </w:pPr>
      <w:bookmarkStart w:colFirst="0" w:colLast="0" w:name="_heading=h.ks3czs3tbhgb" w:id="3"/>
      <w:bookmarkEnd w:id="3"/>
      <w:r w:rsidDel="00000000" w:rsidR="00000000" w:rsidRPr="00000000">
        <w:rPr>
          <w:rtl w:val="0"/>
        </w:rPr>
        <w:t xml:space="preserve">Classification and Diagnosis</w:t>
      </w:r>
    </w:p>
    <w:p w:rsidR="00000000" w:rsidDel="00000000" w:rsidP="00000000" w:rsidRDefault="00000000" w:rsidRPr="00000000" w14:paraId="0000001A">
      <w:pPr>
        <w:rPr/>
      </w:pPr>
      <w:r w:rsidDel="00000000" w:rsidR="00000000" w:rsidRPr="00000000">
        <w:rPr>
          <w:rtl w:val="0"/>
        </w:rPr>
        <w:t xml:space="preserve">In ICD-11, eating disorders fall under the feeding and eating disorders group of Chapter 6: Mental, behavioural, or neurodevelopmental disorders.  This categorises them according to their primary symptoms, such as dietary restriction, bingeing, or purging, and how they impact health and body image. According to the World Health Organization (2024), unlike earlier systems with greater overlap, this configuration enables physicians to see patterns more rapidly. Typical forms include bulimia nervosa, which is characterised by frequent binge eating followed by vomiting, laxatives, or excessive exercise; anorexia nervosa, in which sufferers eat very little, fear gaining weight despite being underweight, and perceive themselves as fat; and binge eating disorder, which is characterised by binges without purging but frequently results in shame and weight gain.  Other categories include avoidant/restrictive food intake disorder (avoiding food because of sensory problems or fear of choking), pica (eating non-food like dirt), and rumination (regurgitating food).</w:t>
      </w:r>
    </w:p>
    <w:p w:rsidR="00000000" w:rsidDel="00000000" w:rsidP="00000000" w:rsidRDefault="00000000" w:rsidRPr="00000000" w14:paraId="0000001B">
      <w:pPr>
        <w:rPr/>
      </w:pPr>
      <w:r w:rsidDel="00000000" w:rsidR="00000000" w:rsidRPr="00000000">
        <w:rPr>
          <w:rtl w:val="0"/>
        </w:rPr>
        <w:t xml:space="preserve">A thorough discussion about eating patterns, weight fluctuations, exercise, mood, and family history is the first step in the diagnosis process. Doctors enquire about triggers such as poorly executed diets or remarks concerning appearance. Symptoms are scored for severity using instruments such as the Eating Disorder Examination Questionnaire.  Physical examinations include blood pressure, heart rate, blood tests for low potassium or anaemia, teeth exams for purge damage, and BMI (less than 17.5 indicates severe anorexia).  For unclear cases, diaries track meals and feelings. There are three levels of severity: mild (some influence on life), moderate (major everyday issues), and severe (medical risk like organ strain or fainting). Children undergo special examinations to rule out typical pickiness. ICD-11 refers to them as "disorders" to indicate that they combine behaviour, body, and mind, which lessens the emphasis on willpower.  This helps families comprehend and support recovery by resulting in prompt NHS referrals for therapy or the hospital if necessary.</w:t>
      </w:r>
    </w:p>
    <w:p w:rsidR="00000000" w:rsidDel="00000000" w:rsidP="00000000" w:rsidRDefault="00000000" w:rsidRPr="00000000" w14:paraId="0000001C">
      <w:pPr>
        <w:pStyle w:val="Heading1"/>
        <w:rPr/>
      </w:pPr>
      <w:bookmarkStart w:colFirst="0" w:colLast="0" w:name="_heading=h.yiba45xiap4u" w:id="4"/>
      <w:bookmarkEnd w:id="4"/>
      <w:r w:rsidDel="00000000" w:rsidR="00000000" w:rsidRPr="00000000">
        <w:rPr>
          <w:rtl w:val="0"/>
        </w:rPr>
        <w:t xml:space="preserve">Treatment and Rehabilitation</w:t>
      </w:r>
    </w:p>
    <w:p w:rsidR="00000000" w:rsidDel="00000000" w:rsidP="00000000" w:rsidRDefault="00000000" w:rsidRPr="00000000" w14:paraId="0000001D">
      <w:pPr>
        <w:rPr/>
      </w:pPr>
      <w:r w:rsidDel="00000000" w:rsidR="00000000" w:rsidRPr="00000000">
        <w:rPr>
          <w:rtl w:val="0"/>
        </w:rPr>
        <w:t xml:space="preserve">Stopping injury, repairing the body, and altering attitudes toward food and weight are the main goals of treatment for eating disorders. According to the National Institute for Health and Care Excellence (NICE), 2020, a team approach is most effective when a psychiatrist or psychologist leads therapy, a nutritionist develops safe meal plans, a general practitioner keeps an eye on vital signs including blood pressure and heart rate, and nurses perform daily checks.</w:t>
      </w:r>
    </w:p>
    <w:p w:rsidR="00000000" w:rsidDel="00000000" w:rsidP="00000000" w:rsidRDefault="00000000" w:rsidRPr="00000000" w14:paraId="0000001E">
      <w:pPr>
        <w:rPr/>
      </w:pPr>
      <w:r w:rsidDel="00000000" w:rsidR="00000000" w:rsidRPr="00000000">
        <w:rPr>
          <w:rtl w:val="0"/>
        </w:rPr>
        <w:t xml:space="preserve">Refeeding under supervision is the initial stage in treating anorexia nervosa in order to gain weight gradually (0.5–1 kg per week) and prevent complications like refeeding syndrome, in which low minerals lead to heart or brain problems. If vital signs fail or the BMI falls below 14, hospital stays occur. In 20 weekly sessions, cognitive behavioural treatment for eating disorders (CBT-ED) trains patients to practise eating items they are afraid of, such as carbohydrates, and to confront anxieties such as "I am worthless if overweight." Research indicates that CBT reduces symptoms by 60% within a year (World Health Organization, 2024). Under-18s benefit from family-based treatment (FBT), which teaches parents to oversee meals at home without placing blame. In 50% of instances, FBT results in full recovery (National Institute for Health and Care Excellence (NICE), 2020).</w:t>
      </w:r>
    </w:p>
    <w:p w:rsidR="00000000" w:rsidDel="00000000" w:rsidP="00000000" w:rsidRDefault="00000000" w:rsidRPr="00000000" w14:paraId="0000001F">
      <w:pPr>
        <w:rPr/>
      </w:pPr>
      <w:r w:rsidDel="00000000" w:rsidR="00000000" w:rsidRPr="00000000">
        <w:rPr>
          <w:rtl w:val="0"/>
        </w:rPr>
        <w:t xml:space="preserve">The goal of bulimia nervosa treatment is to break the cycle of binge-purge. Over the course of 16–20 weeks, CBT increases self-worth beyond appearances, develops delay skills, and tracks desires. When combined to treatment, antidepressants such as fluoxetine (60 mg daily) reduce binges by 50%. Similar CBT combined with diet coaching helps people with binge eating disorder avoid dieting pitfalls. Severe instances require inpatient care for intestinal rest, IV fluids, and teeth repairs due to acid erosion. According to NICE guidelines, NHS eating disorder teams should provide early access within four weeks (National Institute for Health and Care Excellence (NICE), 2020).</w:t>
      </w:r>
    </w:p>
    <w:p w:rsidR="00000000" w:rsidDel="00000000" w:rsidP="00000000" w:rsidRDefault="00000000" w:rsidRPr="00000000" w14:paraId="00000020">
      <w:pPr>
        <w:rPr/>
      </w:pPr>
      <w:r w:rsidDel="00000000" w:rsidR="00000000" w:rsidRPr="00000000">
        <w:rPr>
          <w:rtl w:val="0"/>
        </w:rPr>
        <w:t xml:space="preserve">After acute treatment, rehabilitation creates long-term behaviours. In order to identify triggers such as exams, breakups, or Instagram filters, patients create relapse maps. Body-neutral conversations replace weekly weigh-ins, and applications now record mood rather than calories. NHS community services educate mindful eating to appreciate food, making balanced meals, and reading labels calmly. Peer groups, which share victories like eating cake at celebrations, are provided by charity like Beat. Occupational therapists modify work or school, such as anti-bullying programs or flexible lunch schedules. 50–70% of families who enrol maintain their improvements after 6–12 months, but 20–30% regress due to stress or limited access. Journaling and yoga at home reduce anxiety. Six-month wait times and rural gaps are problems in the UK, yet free services from GP referrals to specialists save lives and money. According to the World Health Organization (2024), success is defined as maintaining a healthy weight, eating in public without hiding, and pursuing occupations free from food obsessions.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1"/>
        <w:rPr/>
      </w:pPr>
      <w:bookmarkStart w:colFirst="0" w:colLast="0" w:name="_heading=h.7l4zam784yo0" w:id="5"/>
      <w:bookmarkEnd w:id="5"/>
      <w:r w:rsidDel="00000000" w:rsidR="00000000" w:rsidRPr="00000000">
        <w:rPr>
          <w:rtl w:val="0"/>
        </w:rPr>
        <w:t xml:space="preserve">Current Debates and Emerging Issues</w:t>
      </w:r>
    </w:p>
    <w:p w:rsidR="00000000" w:rsidDel="00000000" w:rsidP="00000000" w:rsidRDefault="00000000" w:rsidRPr="00000000" w14:paraId="00000023">
      <w:pPr>
        <w:rPr/>
      </w:pPr>
      <w:r w:rsidDel="00000000" w:rsidR="00000000" w:rsidRPr="00000000">
        <w:rPr>
          <w:rtl w:val="0"/>
        </w:rPr>
        <w:t xml:space="preserve">Experts discuss important concerns related to eating disorders such as bulimia and anorexia. One major debate is the causes: do social media, food, and familial pressure have a greater influence than ICD-11 indicates, or are they mostly caused by genes and brain wiring? In 2019, Claudino et al.  Critics claim that labels disregard life triggers, resulting in therapies that omit practical solutions like media prohibitions for adolescents. Eating disorders increase the likelihood of depression by four times, yet ICD-11 puts them in different chapters from mood disorders, making integrated care challenging (First et al., 2023).</w:t>
      </w:r>
    </w:p>
    <w:p w:rsidR="00000000" w:rsidDel="00000000" w:rsidP="00000000" w:rsidRDefault="00000000" w:rsidRPr="00000000" w14:paraId="00000024">
      <w:pPr>
        <w:rPr/>
      </w:pPr>
      <w:r w:rsidDel="00000000" w:rsidR="00000000" w:rsidRPr="00000000">
        <w:rPr>
          <w:rtl w:val="0"/>
        </w:rPr>
        <w:t xml:space="preserve">Concerns about overdiagnosis arise when typical teen diets is labelled as anorexia, squandering treatment time. Anger is sparked by NHS access gaps: cancer receives days, while eating disorder delays reach 18 months in some regions (Quadflieg et al., 2023). According to Uher and Rutter (2012), others claim that the term "disorder" stigmatises rather than helps, promoting body positivity beliefs that thin phobia is merely a cultural phenomenon rather than a medical condition. Families in rural areas or with low incomes are most likely to miss programs.</w:t>
      </w:r>
    </w:p>
    <w:p w:rsidR="00000000" w:rsidDel="00000000" w:rsidP="00000000" w:rsidRDefault="00000000" w:rsidRPr="00000000" w14:paraId="00000025">
      <w:pPr>
        <w:rPr/>
      </w:pPr>
      <w:r w:rsidDel="00000000" w:rsidR="00000000" w:rsidRPr="00000000">
        <w:rPr>
          <w:rtl w:val="0"/>
        </w:rPr>
        <w:t xml:space="preserve">AI chatbots for CBT and applications that monitor binges are examples of new technology that promises home assistance but carries a danger of poor advise or privacy breaches. Despite prohibitions, "pro-ana" websites continue to provide advice. There is an increasing demand for GP training and school screens (Schmidt et al., 2023). With a mere 0.5% budget for mental health, UK policy trails behind cancer in terms of investment. For improved results, debates advocate for more equitable ICD-11 modifications, anti-stigma advertisements, and mixed science-life care.</w:t>
      </w:r>
    </w:p>
    <w:p w:rsidR="00000000" w:rsidDel="00000000" w:rsidP="00000000" w:rsidRDefault="00000000" w:rsidRPr="00000000" w14:paraId="00000026">
      <w:pPr>
        <w:pStyle w:val="Heading1"/>
        <w:rPr/>
      </w:pPr>
      <w:bookmarkStart w:colFirst="0" w:colLast="0" w:name="_heading=h.5wzouozh86rq" w:id="6"/>
      <w:bookmarkEnd w:id="6"/>
      <w:r w:rsidDel="00000000" w:rsidR="00000000" w:rsidRPr="00000000">
        <w:rPr>
          <w:rtl w:val="0"/>
        </w:rPr>
        <w:t xml:space="preserve">Recommendations</w:t>
      </w:r>
    </w:p>
    <w:p w:rsidR="00000000" w:rsidDel="00000000" w:rsidP="00000000" w:rsidRDefault="00000000" w:rsidRPr="00000000" w14:paraId="00000027">
      <w:pPr>
        <w:rPr/>
      </w:pPr>
      <w:r w:rsidDel="00000000" w:rsidR="00000000" w:rsidRPr="00000000">
        <w:rPr>
          <w:rtl w:val="0"/>
        </w:rPr>
        <w:t xml:space="preserve">In order to close the treatment gaps for eating disorders, GP offices should install inexpensive AI tools and smartphone apps that may quickly identify symptoms of bulimia or anorexia through symptom quizzes, reducing diagnosis wait times from months to days (World Health Organization, 2024). All general practitioners, school nurses, and social workers should participate in one-day ICD-11 seminars to learn how to identify dangers such as hidden binges or intense exercise, how to take safe precautions like keeping meal records, and when to make an urgent referral. Specialists can now focus on difficult patients (National Institute for Health and Care Excellence (NICE), 2020).</w:t>
      </w:r>
    </w:p>
    <w:p w:rsidR="00000000" w:rsidDel="00000000" w:rsidP="00000000" w:rsidRDefault="00000000" w:rsidRPr="00000000" w14:paraId="00000028">
      <w:pPr>
        <w:rPr/>
      </w:pPr>
      <w:r w:rsidDel="00000000" w:rsidR="00000000" w:rsidRPr="00000000">
        <w:rPr>
          <w:rtl w:val="0"/>
        </w:rPr>
        <w:t xml:space="preserve">Increase NHS funding for community centres that include family therapy, diet support, and rapid CBT-ED; studies show that 70% of patients recover in six months as opposed to 40% currently. Create free Beat-style groups where people can discuss body discussions, social media blocking, and party eating without feeling anxious. During visits, connect eating teams with mental health for free anxiety assessments (Claudino et al., 2019).</w:t>
      </w:r>
    </w:p>
    <w:p w:rsidR="00000000" w:rsidDel="00000000" w:rsidP="00000000" w:rsidRDefault="00000000" w:rsidRPr="00000000" w14:paraId="00000029">
      <w:pPr>
        <w:rPr/>
      </w:pPr>
      <w:r w:rsidDel="00000000" w:rsidR="00000000" w:rsidRPr="00000000">
        <w:rPr>
          <w:rtl w:val="0"/>
        </w:rPr>
        <w:t xml:space="preserve">Run commercials on TV, TikTok, and in schools with the slogan "eating disorders hide in plain sight – ask about feelings, not weight" to reduce bullying, humiliation, and male underreporting (only 25% of cases are detected). Try gut-health foods that reduce bloating anxiety and new online CBT for remote access. Budgets for dining services should be increased by 20% to reflect the priority of cancer.</w:t>
      </w:r>
    </w:p>
    <w:p w:rsidR="00000000" w:rsidDel="00000000" w:rsidP="00000000" w:rsidRDefault="00000000" w:rsidRPr="00000000" w14:paraId="0000002A">
      <w:pPr>
        <w:rPr/>
      </w:pPr>
      <w:r w:rsidDel="00000000" w:rsidR="00000000" w:rsidRPr="00000000">
        <w:rPr>
          <w:rtl w:val="0"/>
        </w:rPr>
        <w:t xml:space="preserve">These steps promise fairer, faster UK care blending science, families and tech for happier lives (First et al., 2023)</w:t>
      </w:r>
    </w:p>
    <w:p w:rsidR="00000000" w:rsidDel="00000000" w:rsidP="00000000" w:rsidRDefault="00000000" w:rsidRPr="00000000" w14:paraId="0000002B">
      <w:pPr>
        <w:pStyle w:val="Heading1"/>
        <w:rPr/>
      </w:pPr>
      <w:bookmarkStart w:colFirst="0" w:colLast="0" w:name="_heading=h.80406pzb0s0" w:id="7"/>
      <w:bookmarkEnd w:id="7"/>
      <w:r w:rsidDel="00000000" w:rsidR="00000000" w:rsidRPr="00000000">
        <w:rPr>
          <w:rtl w:val="0"/>
        </w:rPr>
        <w:t xml:space="preserve">Conclusion</w:t>
      </w:r>
    </w:p>
    <w:p w:rsidR="00000000" w:rsidDel="00000000" w:rsidP="00000000" w:rsidRDefault="00000000" w:rsidRPr="00000000" w14:paraId="0000002C">
      <w:pPr>
        <w:rPr/>
      </w:pPr>
      <w:r w:rsidDel="00000000" w:rsidR="00000000" w:rsidRPr="00000000">
        <w:rPr>
          <w:rtl w:val="0"/>
        </w:rPr>
        <w:t xml:space="preserve">Anorexia nervosa and bulimia nervosa are two severe eating disorders that affect how people eat, perceive their bodies, and go about their daily lives. Low energy, heart risks, tooth damage from vomiting, missing school, and feelings of loneliness due to hidden behaviours are other consequences. This study examined them in ICD-11's Chapter 6 for mental health, classifying them according to body fears and restricting, bingeing, or purging. In-depth discussions regarding behaviours, family history, eating disorder scales, BMI ≤ 17.5 for severe cases, blood testing for risks, and the exclusion of other disorders are all necessary for the diagnosis (Schmidt et al., 2023).</w:t>
      </w:r>
    </w:p>
    <w:p w:rsidR="00000000" w:rsidDel="00000000" w:rsidP="00000000" w:rsidRDefault="00000000" w:rsidRPr="00000000" w14:paraId="0000002D">
      <w:pPr>
        <w:rPr/>
      </w:pPr>
      <w:r w:rsidDel="00000000" w:rsidR="00000000" w:rsidRPr="00000000">
        <w:rPr>
          <w:rtl w:val="0"/>
        </w:rPr>
        <w:t xml:space="preserve">In contrast to previous codes, ICD-11 makes it easier for physicians to categorise and provide assistance quickly. Treatments for bulimia include safe weight gain programs, family coaching for teenagers, cognitive behavioural therapy (CBT) to correct thoughts, and medication for mood. Wait times hurt, but NHS teams, from general practitioners to specialists, improve by 50–70% in 6–12 months. Rehab offers lunch breaks at work, friend support through Beat groups, and cooking without stress (Uher and Rutter, 2012).</w:t>
      </w:r>
    </w:p>
    <w:p w:rsidR="00000000" w:rsidDel="00000000" w:rsidP="00000000" w:rsidRDefault="00000000" w:rsidRPr="00000000" w14:paraId="0000002E">
      <w:pPr>
        <w:rPr/>
      </w:pPr>
      <w:r w:rsidDel="00000000" w:rsidR="00000000" w:rsidRPr="00000000">
        <w:rPr>
          <w:rtl w:val="0"/>
        </w:rPr>
        <w:t xml:space="preserve">Discussions centre on whether Instagram leads to increases, whether an excessive emphasis on weight obscures mental issues, or whether "disorder" tags add shame. Boys, rural locations, and impoverished communities have the worst access. AI apps are a great idea, but they need to be tested for safety.</w:t>
      </w:r>
    </w:p>
    <w:p w:rsidR="00000000" w:rsidDel="00000000" w:rsidP="00000000" w:rsidRDefault="00000000" w:rsidRPr="00000000" w14:paraId="0000002F">
      <w:pPr>
        <w:rPr/>
      </w:pPr>
      <w:r w:rsidDel="00000000" w:rsidR="00000000" w:rsidRPr="00000000">
        <w:rPr>
          <w:rtl w:val="0"/>
        </w:rPr>
        <w:t xml:space="preserve">Improve by installing school screens, training thousands of people quickly, increasing funding by 20%, running "it's not willpower" advertisements, and combining eating and mental health treatment. Across UK health systems, these innovations promise stronger lives, less stigma, and faster cures.</w:t>
      </w:r>
    </w:p>
    <w:p w:rsidR="00000000" w:rsidDel="00000000" w:rsidP="00000000" w:rsidRDefault="00000000" w:rsidRPr="00000000" w14:paraId="00000030">
      <w:pPr>
        <w:pStyle w:val="Heading1"/>
        <w:rPr/>
      </w:pPr>
      <w:bookmarkStart w:colFirst="0" w:colLast="0" w:name="_heading=h.ponotv70r51f" w:id="8"/>
      <w:bookmarkEnd w:id="8"/>
      <w:r w:rsidDel="00000000" w:rsidR="00000000" w:rsidRPr="00000000">
        <w:rPr>
          <w:rtl w:val="0"/>
        </w:rPr>
        <w:t xml:space="preserve">Reference List</w:t>
      </w:r>
    </w:p>
    <w:p w:rsidR="00000000" w:rsidDel="00000000" w:rsidP="00000000" w:rsidRDefault="00000000" w:rsidRPr="00000000" w14:paraId="00000031">
      <w:pPr>
        <w:rPr/>
      </w:pPr>
      <w:r w:rsidDel="00000000" w:rsidR="00000000" w:rsidRPr="00000000">
        <w:rPr>
          <w:rtl w:val="0"/>
        </w:rPr>
        <w:t xml:space="preserve">Beat (2026) The UK’s Eating Disorder Charity - Beat. Available at: </w:t>
      </w:r>
      <w:hyperlink r:id="rId8">
        <w:r w:rsidDel="00000000" w:rsidR="00000000" w:rsidRPr="00000000">
          <w:rPr>
            <w:color w:val="467886"/>
            <w:u w:val="single"/>
            <w:rtl w:val="0"/>
          </w:rPr>
          <w:t xml:space="preserve">https://www.beateatingdisorders.org.uk</w:t>
        </w:r>
      </w:hyperlink>
      <w:r w:rsidDel="00000000" w:rsidR="00000000" w:rsidRPr="00000000">
        <w:rPr>
          <w:rtl w:val="0"/>
        </w:rPr>
        <w:t xml:space="preserve"> </w:t>
      </w:r>
    </w:p>
    <w:p w:rsidR="00000000" w:rsidDel="00000000" w:rsidP="00000000" w:rsidRDefault="00000000" w:rsidRPr="00000000" w14:paraId="00000032">
      <w:pPr>
        <w:rPr/>
      </w:pPr>
      <w:r w:rsidDel="00000000" w:rsidR="00000000" w:rsidRPr="00000000">
        <w:rPr>
          <w:rtl w:val="0"/>
        </w:rPr>
        <w:t xml:space="preserve">Claudino, A.M., Pike, K.M., Hay, P., Keeley, J.W., Evans, S.C., Rebello, T.J. and others (2019) ‘The classification of feeding and eating disorders in the ICD-11: results of a field study comparing proposed ICD-11 guidelines with existing ICD-10 guidelines’, BMC Medicine, 17, p. 93. Available at: </w:t>
      </w:r>
      <w:hyperlink r:id="rId9">
        <w:r w:rsidDel="00000000" w:rsidR="00000000" w:rsidRPr="00000000">
          <w:rPr>
            <w:color w:val="467886"/>
            <w:u w:val="single"/>
            <w:rtl w:val="0"/>
          </w:rPr>
          <w:t xml:space="preserve">https://pmc.ncbi.nlm.nih.gov/articles/PMC6515596/</w:t>
        </w:r>
      </w:hyperlink>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t xml:space="preserve">First, M.B., Reed, G.M., Hyman, S.E. and Saxena, S. (2023) ‘Eating disorders’, in Tyrer, P. (ed.) Making Sense of the ICD-11: For Mental Health Professionals. Cambridge: Cambridge University Press, pp. 135–136. Available at: </w:t>
      </w:r>
      <w:hyperlink r:id="rId10">
        <w:r w:rsidDel="00000000" w:rsidR="00000000" w:rsidRPr="00000000">
          <w:rPr>
            <w:color w:val="467886"/>
            <w:u w:val="single"/>
            <w:rtl w:val="0"/>
          </w:rPr>
          <w:t xml:space="preserve">https://www.cambridge.org/core/books/making-sense-of-the-icd11/eating-disorders/6B2C6D6DAFD0C235FF93D4E3A6A43C53</w:t>
        </w:r>
      </w:hyperlink>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t xml:space="preserve">Mento, C. et al. (2024) ‘Social media effects regarding eating disorders and body image in adolescents and young adults’. Available at: </w:t>
      </w:r>
      <w:hyperlink r:id="rId11">
        <w:r w:rsidDel="00000000" w:rsidR="00000000" w:rsidRPr="00000000">
          <w:rPr>
            <w:color w:val="467886"/>
            <w:u w:val="single"/>
            <w:rtl w:val="0"/>
          </w:rPr>
          <w:t xml:space="preserve">https://pmc.ncbi.nlm.nih.gov/articles/PMC11103119/</w:t>
        </w:r>
      </w:hyperlink>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National Eating Disorders Collaboration (2023) ‘Stigma and eating disorders’. Available at: </w:t>
      </w:r>
      <w:hyperlink r:id="rId12">
        <w:r w:rsidDel="00000000" w:rsidR="00000000" w:rsidRPr="00000000">
          <w:rPr>
            <w:color w:val="467886"/>
            <w:u w:val="single"/>
            <w:rtl w:val="0"/>
          </w:rPr>
          <w:t xml:space="preserve">https://nedc.com.au/eating-disorders/eating-disorders-explained/stigma</w:t>
        </w:r>
      </w:hyperlink>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t xml:space="preserve">National Institute for Health and Care Excellence (NICE) (2020) Eating disorders: recognition and treatment (NG69). London: NICE. Available at: </w:t>
      </w:r>
      <w:hyperlink r:id="rId13">
        <w:r w:rsidDel="00000000" w:rsidR="00000000" w:rsidRPr="00000000">
          <w:rPr>
            <w:color w:val="467886"/>
            <w:u w:val="single"/>
            <w:rtl w:val="0"/>
          </w:rPr>
          <w:t xml:space="preserve">https://www.nice.org.uk/guidance/ng69</w:t>
        </w:r>
      </w:hyperlink>
      <w:r w:rsidDel="00000000" w:rsidR="00000000" w:rsidRPr="00000000">
        <w:rPr>
          <w:rtl w:val="0"/>
        </w:rPr>
        <w:t xml:space="preserve"> </w:t>
      </w:r>
    </w:p>
    <w:p w:rsidR="00000000" w:rsidDel="00000000" w:rsidP="00000000" w:rsidRDefault="00000000" w:rsidRPr="00000000" w14:paraId="00000037">
      <w:pPr>
        <w:rPr/>
      </w:pPr>
      <w:r w:rsidDel="00000000" w:rsidR="00000000" w:rsidRPr="00000000">
        <w:rPr>
          <w:rtl w:val="0"/>
        </w:rPr>
        <w:t xml:space="preserve">Quadflieg, S. et al. (2023) ‘Comparing ICD-11 and DSM-5 eating disorder diagnoses with the Eating Disorder Diagnostic Scale’, International Journal of Eating Disorders, 56(9), pp. 1742–1753. Available at: </w:t>
      </w:r>
      <w:hyperlink r:id="rId14">
        <w:r w:rsidDel="00000000" w:rsidR="00000000" w:rsidRPr="00000000">
          <w:rPr>
            <w:color w:val="467886"/>
            <w:u w:val="single"/>
            <w:rtl w:val="0"/>
          </w:rPr>
          <w:t xml:space="preserve">https://onlinelibrary.wiley.com/doi/full/10.1002/eat.24010</w:t>
        </w:r>
      </w:hyperlink>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t xml:space="preserve">Schmidt, U. et al. (2023) ‘ICD-11 eating disorders: clinical utility and validity’, World Psychiatry, 22(2), pp. 265–278. Available at: </w:t>
      </w:r>
      <w:hyperlink r:id="rId15">
        <w:r w:rsidDel="00000000" w:rsidR="00000000" w:rsidRPr="00000000">
          <w:rPr>
            <w:color w:val="467886"/>
            <w:u w:val="single"/>
            <w:rtl w:val="0"/>
          </w:rPr>
          <w:t xml:space="preserve">https://icd.who.int/browse11/l-m/en</w:t>
        </w:r>
      </w:hyperlink>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t xml:space="preserve">Uher, R. and Rutter, M. (2012) ‘Classification of feeding and eating disorders: review of evidence and proposals for ICD-11’, World Psychiatry, 11(2), pp. 80–92. Available at: </w:t>
      </w:r>
      <w:hyperlink r:id="rId16">
        <w:r w:rsidDel="00000000" w:rsidR="00000000" w:rsidRPr="00000000">
          <w:rPr>
            <w:color w:val="467886"/>
            <w:u w:val="single"/>
            <w:rtl w:val="0"/>
          </w:rPr>
          <w:t xml:space="preserve">https://pubmed.ncbi.nlm.nih.gov/22654933/</w:t>
        </w:r>
      </w:hyperlink>
      <w:r w:rsidDel="00000000" w:rsidR="00000000" w:rsidRPr="00000000">
        <w:rPr>
          <w:rtl w:val="0"/>
        </w:rPr>
        <w:t xml:space="preserve"> </w:t>
      </w:r>
    </w:p>
    <w:p w:rsidR="00000000" w:rsidDel="00000000" w:rsidP="00000000" w:rsidRDefault="00000000" w:rsidRPr="00000000" w14:paraId="0000003A">
      <w:pPr>
        <w:rPr/>
      </w:pPr>
      <w:r w:rsidDel="00000000" w:rsidR="00000000" w:rsidRPr="00000000">
        <w:rPr>
          <w:rtl w:val="0"/>
        </w:rPr>
        <w:t xml:space="preserve">World Health Organization (2024) ICD-11 reference guide: feeding and eating disorders. Geneva: WHO. Available at: </w:t>
      </w:r>
      <w:hyperlink r:id="rId17">
        <w:r w:rsidDel="00000000" w:rsidR="00000000" w:rsidRPr="00000000">
          <w:rPr>
            <w:color w:val="467886"/>
            <w:u w:val="single"/>
            <w:rtl w:val="0"/>
          </w:rPr>
          <w:t xml:space="preserve">https://icd.who.int/browse11/l-m/en</w:t>
        </w:r>
      </w:hyperlink>
      <w:r w:rsidDel="00000000" w:rsidR="00000000" w:rsidRPr="00000000">
        <w:rPr>
          <w:rtl w:val="0"/>
        </w:rPr>
        <w:t xml:space="preserve"> </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A63F6"/>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8A63F6"/>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A63F6"/>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A63F6"/>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8A63F6"/>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8A63F6"/>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8A63F6"/>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A63F6"/>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A63F6"/>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A63F6"/>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A63F6"/>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A63F6"/>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A63F6"/>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A63F6"/>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A63F6"/>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A63F6"/>
    <w:rPr>
      <w:i w:val="1"/>
      <w:iCs w:val="1"/>
      <w:color w:val="404040" w:themeColor="text1" w:themeTint="0000BF"/>
    </w:rPr>
  </w:style>
  <w:style w:type="paragraph" w:styleId="ListParagraph">
    <w:name w:val="List Paragraph"/>
    <w:basedOn w:val="Normal"/>
    <w:uiPriority w:val="34"/>
    <w:qFormat w:val="1"/>
    <w:rsid w:val="008A63F6"/>
    <w:pPr>
      <w:ind w:left="720"/>
      <w:contextualSpacing w:val="1"/>
    </w:pPr>
  </w:style>
  <w:style w:type="character" w:styleId="IntenseEmphasis">
    <w:name w:val="Intense Emphasis"/>
    <w:basedOn w:val="DefaultParagraphFont"/>
    <w:uiPriority w:val="21"/>
    <w:qFormat w:val="1"/>
    <w:rsid w:val="008A63F6"/>
    <w:rPr>
      <w:i w:val="1"/>
      <w:iCs w:val="1"/>
      <w:color w:val="0f4761" w:themeColor="accent1" w:themeShade="0000BF"/>
    </w:rPr>
  </w:style>
  <w:style w:type="paragraph" w:styleId="IntenseQuote">
    <w:name w:val="Intense Quote"/>
    <w:basedOn w:val="Normal"/>
    <w:next w:val="Normal"/>
    <w:link w:val="IntenseQuoteChar"/>
    <w:uiPriority w:val="30"/>
    <w:qFormat w:val="1"/>
    <w:rsid w:val="008A63F6"/>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A63F6"/>
    <w:rPr>
      <w:i w:val="1"/>
      <w:iCs w:val="1"/>
      <w:color w:val="0f4761" w:themeColor="accent1" w:themeShade="0000BF"/>
    </w:rPr>
  </w:style>
  <w:style w:type="character" w:styleId="IntenseReference">
    <w:name w:val="Intense Reference"/>
    <w:basedOn w:val="DefaultParagraphFont"/>
    <w:uiPriority w:val="32"/>
    <w:qFormat w:val="1"/>
    <w:rsid w:val="008A63F6"/>
    <w:rPr>
      <w:b w:val="1"/>
      <w:bCs w:val="1"/>
      <w:smallCaps w:val="1"/>
      <w:color w:val="0f4761" w:themeColor="accent1" w:themeShade="0000BF"/>
      <w:spacing w:val="5"/>
    </w:rPr>
  </w:style>
  <w:style w:type="character" w:styleId="Hyperlink">
    <w:name w:val="Hyperlink"/>
    <w:basedOn w:val="DefaultParagraphFont"/>
    <w:uiPriority w:val="99"/>
    <w:unhideWhenUsed w:val="1"/>
    <w:rsid w:val="008A63F6"/>
    <w:rPr>
      <w:color w:val="467886" w:themeColor="hyperlink"/>
      <w:u w:val="single"/>
    </w:rPr>
  </w:style>
  <w:style w:type="character" w:styleId="UnresolvedMention">
    <w:name w:val="Unresolved Mention"/>
    <w:basedOn w:val="DefaultParagraphFont"/>
    <w:uiPriority w:val="99"/>
    <w:semiHidden w:val="1"/>
    <w:unhideWhenUsed w:val="1"/>
    <w:rsid w:val="008A63F6"/>
    <w:rPr>
      <w:color w:val="605e5c"/>
      <w:shd w:color="auto" w:fill="e1dfdd" w:val="clear"/>
    </w:rPr>
  </w:style>
  <w:style w:type="paragraph" w:styleId="TOCHeading">
    <w:name w:val="TOC Heading"/>
    <w:basedOn w:val="Heading1"/>
    <w:next w:val="Normal"/>
    <w:uiPriority w:val="39"/>
    <w:unhideWhenUsed w:val="1"/>
    <w:qFormat w:val="1"/>
    <w:rsid w:val="002C634B"/>
    <w:pPr>
      <w:spacing w:after="0" w:before="480" w:line="276" w:lineRule="auto"/>
      <w:outlineLvl w:val="9"/>
    </w:pPr>
    <w:rPr>
      <w:b w:val="1"/>
      <w:bCs w:val="1"/>
      <w:kern w:val="0"/>
      <w:sz w:val="28"/>
      <w:szCs w:val="28"/>
      <w:lang w:val="en-US"/>
    </w:rPr>
  </w:style>
  <w:style w:type="paragraph" w:styleId="TOC1">
    <w:name w:val="toc 1"/>
    <w:basedOn w:val="Normal"/>
    <w:next w:val="Normal"/>
    <w:autoRedefine w:val="1"/>
    <w:uiPriority w:val="39"/>
    <w:unhideWhenUsed w:val="1"/>
    <w:rsid w:val="002C634B"/>
    <w:pPr>
      <w:spacing w:after="0" w:before="120"/>
    </w:pPr>
    <w:rPr>
      <w:b w:val="1"/>
      <w:bCs w:val="1"/>
      <w:i w:val="1"/>
      <w:iCs w:val="1"/>
    </w:rPr>
  </w:style>
  <w:style w:type="paragraph" w:styleId="TOC2">
    <w:name w:val="toc 2"/>
    <w:basedOn w:val="Normal"/>
    <w:next w:val="Normal"/>
    <w:autoRedefine w:val="1"/>
    <w:uiPriority w:val="39"/>
    <w:semiHidden w:val="1"/>
    <w:unhideWhenUsed w:val="1"/>
    <w:rsid w:val="002C634B"/>
    <w:pPr>
      <w:spacing w:after="0" w:before="120"/>
      <w:ind w:left="240"/>
    </w:pPr>
    <w:rPr>
      <w:b w:val="1"/>
      <w:bCs w:val="1"/>
      <w:sz w:val="22"/>
      <w:szCs w:val="22"/>
    </w:rPr>
  </w:style>
  <w:style w:type="paragraph" w:styleId="TOC3">
    <w:name w:val="toc 3"/>
    <w:basedOn w:val="Normal"/>
    <w:next w:val="Normal"/>
    <w:autoRedefine w:val="1"/>
    <w:uiPriority w:val="39"/>
    <w:semiHidden w:val="1"/>
    <w:unhideWhenUsed w:val="1"/>
    <w:rsid w:val="002C634B"/>
    <w:pPr>
      <w:spacing w:after="0"/>
      <w:ind w:left="480"/>
    </w:pPr>
    <w:rPr>
      <w:sz w:val="20"/>
      <w:szCs w:val="20"/>
    </w:rPr>
  </w:style>
  <w:style w:type="paragraph" w:styleId="TOC4">
    <w:name w:val="toc 4"/>
    <w:basedOn w:val="Normal"/>
    <w:next w:val="Normal"/>
    <w:autoRedefine w:val="1"/>
    <w:uiPriority w:val="39"/>
    <w:semiHidden w:val="1"/>
    <w:unhideWhenUsed w:val="1"/>
    <w:rsid w:val="002C634B"/>
    <w:pPr>
      <w:spacing w:after="0"/>
      <w:ind w:left="720"/>
    </w:pPr>
    <w:rPr>
      <w:sz w:val="20"/>
      <w:szCs w:val="20"/>
    </w:rPr>
  </w:style>
  <w:style w:type="paragraph" w:styleId="TOC5">
    <w:name w:val="toc 5"/>
    <w:basedOn w:val="Normal"/>
    <w:next w:val="Normal"/>
    <w:autoRedefine w:val="1"/>
    <w:uiPriority w:val="39"/>
    <w:semiHidden w:val="1"/>
    <w:unhideWhenUsed w:val="1"/>
    <w:rsid w:val="002C634B"/>
    <w:pPr>
      <w:spacing w:after="0"/>
      <w:ind w:left="960"/>
    </w:pPr>
    <w:rPr>
      <w:sz w:val="20"/>
      <w:szCs w:val="20"/>
    </w:rPr>
  </w:style>
  <w:style w:type="paragraph" w:styleId="TOC6">
    <w:name w:val="toc 6"/>
    <w:basedOn w:val="Normal"/>
    <w:next w:val="Normal"/>
    <w:autoRedefine w:val="1"/>
    <w:uiPriority w:val="39"/>
    <w:semiHidden w:val="1"/>
    <w:unhideWhenUsed w:val="1"/>
    <w:rsid w:val="002C634B"/>
    <w:pPr>
      <w:spacing w:after="0"/>
      <w:ind w:left="1200"/>
    </w:pPr>
    <w:rPr>
      <w:sz w:val="20"/>
      <w:szCs w:val="20"/>
    </w:rPr>
  </w:style>
  <w:style w:type="paragraph" w:styleId="TOC7">
    <w:name w:val="toc 7"/>
    <w:basedOn w:val="Normal"/>
    <w:next w:val="Normal"/>
    <w:autoRedefine w:val="1"/>
    <w:uiPriority w:val="39"/>
    <w:semiHidden w:val="1"/>
    <w:unhideWhenUsed w:val="1"/>
    <w:rsid w:val="002C634B"/>
    <w:pPr>
      <w:spacing w:after="0"/>
      <w:ind w:left="1440"/>
    </w:pPr>
    <w:rPr>
      <w:sz w:val="20"/>
      <w:szCs w:val="20"/>
    </w:rPr>
  </w:style>
  <w:style w:type="paragraph" w:styleId="TOC8">
    <w:name w:val="toc 8"/>
    <w:basedOn w:val="Normal"/>
    <w:next w:val="Normal"/>
    <w:autoRedefine w:val="1"/>
    <w:uiPriority w:val="39"/>
    <w:semiHidden w:val="1"/>
    <w:unhideWhenUsed w:val="1"/>
    <w:rsid w:val="002C634B"/>
    <w:pPr>
      <w:spacing w:after="0"/>
      <w:ind w:left="1680"/>
    </w:pPr>
    <w:rPr>
      <w:sz w:val="20"/>
      <w:szCs w:val="20"/>
    </w:rPr>
  </w:style>
  <w:style w:type="paragraph" w:styleId="TOC9">
    <w:name w:val="toc 9"/>
    <w:basedOn w:val="Normal"/>
    <w:next w:val="Normal"/>
    <w:autoRedefine w:val="1"/>
    <w:uiPriority w:val="39"/>
    <w:semiHidden w:val="1"/>
    <w:unhideWhenUsed w:val="1"/>
    <w:rsid w:val="002C634B"/>
    <w:pPr>
      <w:spacing w:after="0"/>
      <w:ind w:left="1920"/>
    </w:pPr>
    <w:rPr>
      <w:sz w:val="20"/>
      <w:szCs w:val="20"/>
    </w:rPr>
  </w:style>
  <w:style w:type="character" w:styleId="FollowedHyperlink">
    <w:name w:val="FollowedHyperlink"/>
    <w:basedOn w:val="DefaultParagraphFont"/>
    <w:uiPriority w:val="99"/>
    <w:semiHidden w:val="1"/>
    <w:unhideWhenUsed w:val="1"/>
    <w:rsid w:val="008C074D"/>
    <w:rPr>
      <w:color w:val="96607d" w:themeColor="followedHyperlink"/>
      <w:u w:val="single"/>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pmc.ncbi.nlm.nih.gov/articles/PMC11103119/" TargetMode="External"/><Relationship Id="rId10" Type="http://schemas.openxmlformats.org/officeDocument/2006/relationships/hyperlink" Target="https://www.cambridge.org/core/books/making-sense-of-the-icd11/eating-disorders/6B2C6D6DAFD0C235FF93D4E3A6A43C53" TargetMode="External"/><Relationship Id="rId13" Type="http://schemas.openxmlformats.org/officeDocument/2006/relationships/hyperlink" Target="https://www.nice.org.uk/guidance/ng69" TargetMode="External"/><Relationship Id="rId12" Type="http://schemas.openxmlformats.org/officeDocument/2006/relationships/hyperlink" Target="https://nedc.com.au/eating-disorders/eating-disorders-explained/stigm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mc.ncbi.nlm.nih.gov/articles/PMC6515596/" TargetMode="External"/><Relationship Id="rId15" Type="http://schemas.openxmlformats.org/officeDocument/2006/relationships/hyperlink" Target="https://icd.who.int/browse11/l-m/en" TargetMode="External"/><Relationship Id="rId14" Type="http://schemas.openxmlformats.org/officeDocument/2006/relationships/hyperlink" Target="https://onlinelibrary.wiley.com/doi/full/10.1002/eat.24010" TargetMode="External"/><Relationship Id="rId17" Type="http://schemas.openxmlformats.org/officeDocument/2006/relationships/hyperlink" Target="https://icd.who.int/browse11/l-m/en" TargetMode="External"/><Relationship Id="rId16" Type="http://schemas.openxmlformats.org/officeDocument/2006/relationships/hyperlink" Target="https://pubmed.ncbi.nlm.nih.gov/22654933/"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beateatingdisorders.org.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Wca0loLiDrBZ6VWjV/UNZB+lYA==">CgMxLjAyD2lkLmN2OGo5OGhucDQ5djIOaC5jaXdncWNzbnY2bTcyD2lkLmJ4cThuZnQ5OGNmNTIOaC5rczNjenMzdGJoZ2IyDmgueWliYTQ1eGlhcDR1Mg5oLjdsNHphbTc4NHlvMDIOaC41d3pvdW96aDg2cnEyDWguODA0MDZwemIwczAyDmgucG9ub3R2NzByNTFmOAByITExczg1UVdvd0xzV2tOejVUZjVyOEFINzhOcXltN1dOUg==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2026-03-03T16:32:00Z</dcterms:created>
</cp:coreProperties>
</file>