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CB27A" w14:textId="77777777" w:rsidR="0035241B" w:rsidRDefault="0035241B" w:rsidP="0035241B">
      <w:pPr>
        <w:spacing w:before="100" w:beforeAutospacing="1" w:after="100" w:afterAutospacing="1" w:line="360" w:lineRule="auto"/>
        <w:ind w:left="2160"/>
        <w:jc w:val="both"/>
        <w:outlineLvl w:val="2"/>
        <w:rPr>
          <w:rFonts w:ascii="Arial" w:eastAsia="Times New Roman" w:hAnsi="Arial" w:cs="Arial"/>
          <w:b/>
          <w:bCs/>
        </w:rPr>
      </w:pPr>
      <w:r>
        <w:rPr>
          <w:rFonts w:ascii="Arial" w:eastAsia="Times New Roman" w:hAnsi="Arial" w:cs="Arial"/>
          <w:b/>
          <w:bCs/>
          <w:noProof/>
        </w:rPr>
        <w:drawing>
          <wp:inline distT="0" distB="0" distL="0" distR="0" wp14:anchorId="00E6A2BE" wp14:editId="2AFE048D">
            <wp:extent cx="2865120" cy="1584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120" cy="1584960"/>
                    </a:xfrm>
                    <a:prstGeom prst="rect">
                      <a:avLst/>
                    </a:prstGeom>
                    <a:noFill/>
                  </pic:spPr>
                </pic:pic>
              </a:graphicData>
            </a:graphic>
          </wp:inline>
        </w:drawing>
      </w:r>
    </w:p>
    <w:p w14:paraId="3B07CA5D"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5241B" w:rsidRPr="006A5DAA" w14:paraId="7777BB88" w14:textId="77777777" w:rsidTr="00041C30">
        <w:trPr>
          <w:trHeight w:val="179"/>
          <w:jc w:val="center"/>
        </w:trPr>
        <w:tc>
          <w:tcPr>
            <w:tcW w:w="0" w:type="auto"/>
            <w:hideMark/>
          </w:tcPr>
          <w:p w14:paraId="34EB15AC" w14:textId="77777777" w:rsidR="0035241B" w:rsidRPr="006A5DAA" w:rsidRDefault="0035241B" w:rsidP="00041C30">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39AB30B1" w14:textId="524FDE2E" w:rsidR="0035241B" w:rsidRPr="006A5DAA" w:rsidRDefault="00635BDF" w:rsidP="00041C30">
            <w:pPr>
              <w:spacing w:line="360" w:lineRule="auto"/>
              <w:jc w:val="both"/>
              <w:rPr>
                <w:rFonts w:ascii="Arial" w:eastAsia="Times New Roman" w:hAnsi="Arial" w:cs="Arial"/>
                <w:bCs/>
              </w:rPr>
            </w:pPr>
            <w:r>
              <w:rPr>
                <w:rFonts w:ascii="Arial" w:eastAsia="Times New Roman" w:hAnsi="Arial" w:cs="Arial"/>
                <w:bCs/>
              </w:rPr>
              <w:t>Shabana sharif</w:t>
            </w:r>
          </w:p>
        </w:tc>
      </w:tr>
      <w:tr w:rsidR="0035241B" w:rsidRPr="006A5DAA" w14:paraId="78D52469" w14:textId="77777777" w:rsidTr="00041C30">
        <w:trPr>
          <w:jc w:val="center"/>
        </w:trPr>
        <w:tc>
          <w:tcPr>
            <w:tcW w:w="0" w:type="auto"/>
            <w:hideMark/>
          </w:tcPr>
          <w:p w14:paraId="47624A51"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20C9CD49" w14:textId="762E837E" w:rsidR="0035241B" w:rsidRPr="006A5DAA" w:rsidRDefault="00635BDF" w:rsidP="00041C30">
            <w:pPr>
              <w:spacing w:line="360" w:lineRule="auto"/>
              <w:jc w:val="both"/>
              <w:rPr>
                <w:rFonts w:ascii="Arial" w:eastAsia="Times New Roman" w:hAnsi="Arial" w:cs="Arial"/>
              </w:rPr>
            </w:pPr>
            <w:r>
              <w:rPr>
                <w:rFonts w:ascii="Arial" w:eastAsia="Times New Roman" w:hAnsi="Arial" w:cs="Arial"/>
              </w:rPr>
              <w:t>2026633</w:t>
            </w:r>
          </w:p>
        </w:tc>
      </w:tr>
      <w:tr w:rsidR="0035241B" w:rsidRPr="006A5DAA" w14:paraId="51B0E886" w14:textId="77777777" w:rsidTr="00041C30">
        <w:trPr>
          <w:jc w:val="center"/>
        </w:trPr>
        <w:tc>
          <w:tcPr>
            <w:tcW w:w="0" w:type="auto"/>
            <w:hideMark/>
          </w:tcPr>
          <w:p w14:paraId="23E2C782" w14:textId="77777777" w:rsidR="0035241B" w:rsidRPr="006A5DAA" w:rsidRDefault="0035241B" w:rsidP="00041C30">
            <w:pPr>
              <w:spacing w:line="360" w:lineRule="auto"/>
              <w:jc w:val="both"/>
              <w:rPr>
                <w:rFonts w:ascii="Arial" w:eastAsia="Times New Roman" w:hAnsi="Arial" w:cs="Arial"/>
              </w:rPr>
            </w:pPr>
            <w:proofErr w:type="spellStart"/>
            <w:r w:rsidRPr="00565A92">
              <w:rPr>
                <w:rFonts w:ascii="Arial" w:eastAsia="Times New Roman" w:hAnsi="Arial" w:cs="Arial"/>
                <w:b/>
                <w:bCs/>
              </w:rPr>
              <w:t>Programme</w:t>
            </w:r>
            <w:proofErr w:type="spellEnd"/>
            <w:r w:rsidRPr="00565A92">
              <w:rPr>
                <w:rFonts w:ascii="Arial" w:eastAsia="Times New Roman" w:hAnsi="Arial" w:cs="Arial"/>
                <w:b/>
                <w:bCs/>
              </w:rPr>
              <w:t>:</w:t>
            </w:r>
          </w:p>
        </w:tc>
        <w:tc>
          <w:tcPr>
            <w:tcW w:w="5825" w:type="dxa"/>
            <w:hideMark/>
          </w:tcPr>
          <w:p w14:paraId="4E0C8757" w14:textId="77777777" w:rsidR="0035241B" w:rsidRPr="006A5DAA" w:rsidRDefault="0035241B" w:rsidP="00041C30">
            <w:pPr>
              <w:spacing w:line="360" w:lineRule="auto"/>
              <w:jc w:val="both"/>
              <w:rPr>
                <w:rFonts w:ascii="Arial" w:eastAsia="Times New Roman" w:hAnsi="Arial" w:cs="Arial"/>
              </w:rPr>
            </w:pPr>
            <w:r>
              <w:rPr>
                <w:rFonts w:ascii="Arial" w:hAnsi="Arial" w:cs="Arial"/>
                <w:b/>
              </w:rPr>
              <w:t>BSc (Hons) Health and Social Care</w:t>
            </w:r>
          </w:p>
        </w:tc>
      </w:tr>
      <w:tr w:rsidR="0035241B" w:rsidRPr="006A5DAA" w14:paraId="045433D0" w14:textId="77777777" w:rsidTr="00041C30">
        <w:trPr>
          <w:jc w:val="center"/>
        </w:trPr>
        <w:tc>
          <w:tcPr>
            <w:tcW w:w="0" w:type="auto"/>
            <w:hideMark/>
          </w:tcPr>
          <w:p w14:paraId="0AD5474E"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331D4105" w14:textId="77777777" w:rsidR="0035241B" w:rsidRPr="006A5DAA" w:rsidRDefault="0035241B" w:rsidP="00041C30">
            <w:pPr>
              <w:spacing w:line="360" w:lineRule="auto"/>
              <w:jc w:val="both"/>
              <w:rPr>
                <w:rFonts w:ascii="Arial" w:eastAsia="Times New Roman" w:hAnsi="Arial" w:cs="Arial"/>
              </w:rPr>
            </w:pPr>
            <w:r w:rsidRPr="003462A9">
              <w:rPr>
                <w:rFonts w:ascii="Arial" w:hAnsi="Arial" w:cs="Arial"/>
                <w:b/>
                <w:bCs/>
              </w:rPr>
              <w:t>Health, Wellbeing and Sustainable Development</w:t>
            </w:r>
          </w:p>
        </w:tc>
      </w:tr>
      <w:tr w:rsidR="0035241B" w:rsidRPr="006A5DAA" w14:paraId="25A9A52E" w14:textId="77777777" w:rsidTr="00041C30">
        <w:trPr>
          <w:jc w:val="center"/>
        </w:trPr>
        <w:tc>
          <w:tcPr>
            <w:tcW w:w="0" w:type="auto"/>
            <w:hideMark/>
          </w:tcPr>
          <w:p w14:paraId="2D54619E"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1931C6F0" w14:textId="77777777" w:rsidR="0035241B" w:rsidRPr="006A5DAA" w:rsidRDefault="0035241B" w:rsidP="00041C30">
            <w:pPr>
              <w:spacing w:line="360" w:lineRule="auto"/>
              <w:jc w:val="both"/>
              <w:rPr>
                <w:rFonts w:ascii="Arial" w:eastAsia="Times New Roman" w:hAnsi="Arial" w:cs="Arial"/>
              </w:rPr>
            </w:pPr>
            <w:r>
              <w:rPr>
                <w:rFonts w:ascii="Arial" w:hAnsi="Arial" w:cs="Arial"/>
                <w:b/>
              </w:rPr>
              <w:t>BMHP6030</w:t>
            </w:r>
          </w:p>
        </w:tc>
      </w:tr>
      <w:tr w:rsidR="0035241B" w:rsidRPr="006A5DAA" w14:paraId="04A858C9" w14:textId="77777777" w:rsidTr="00041C30">
        <w:trPr>
          <w:jc w:val="center"/>
        </w:trPr>
        <w:tc>
          <w:tcPr>
            <w:tcW w:w="0" w:type="auto"/>
            <w:hideMark/>
          </w:tcPr>
          <w:p w14:paraId="78328DD4"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46780017" w14:textId="77777777" w:rsidR="0035241B" w:rsidRPr="006A5DAA" w:rsidRDefault="0035241B" w:rsidP="00041C30">
            <w:pPr>
              <w:spacing w:line="360" w:lineRule="auto"/>
              <w:jc w:val="both"/>
              <w:rPr>
                <w:rFonts w:ascii="Arial" w:eastAsia="Times New Roman" w:hAnsi="Arial" w:cs="Arial"/>
              </w:rPr>
            </w:pPr>
          </w:p>
        </w:tc>
      </w:tr>
      <w:tr w:rsidR="0035241B" w:rsidRPr="006A5DAA" w14:paraId="38486AA4" w14:textId="77777777" w:rsidTr="00041C30">
        <w:trPr>
          <w:jc w:val="center"/>
        </w:trPr>
        <w:tc>
          <w:tcPr>
            <w:tcW w:w="0" w:type="auto"/>
            <w:hideMark/>
          </w:tcPr>
          <w:p w14:paraId="4962D61C"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6FBCC7C3" w14:textId="77777777" w:rsidR="0035241B" w:rsidRPr="006A5DAA" w:rsidRDefault="0035241B" w:rsidP="00041C30">
            <w:pPr>
              <w:spacing w:line="360" w:lineRule="auto"/>
              <w:jc w:val="both"/>
              <w:rPr>
                <w:rFonts w:ascii="Arial" w:eastAsia="Times New Roman" w:hAnsi="Arial" w:cs="Arial"/>
              </w:rPr>
            </w:pPr>
            <w:r>
              <w:rPr>
                <w:rFonts w:ascii="Arial" w:hAnsi="Arial" w:cs="Arial"/>
                <w:b/>
                <w:bCs/>
              </w:rPr>
              <w:t>Bianca Sanfilippo</w:t>
            </w:r>
          </w:p>
        </w:tc>
      </w:tr>
      <w:tr w:rsidR="0035241B" w:rsidRPr="006A5DAA" w14:paraId="11C33315" w14:textId="77777777" w:rsidTr="00041C30">
        <w:trPr>
          <w:jc w:val="center"/>
        </w:trPr>
        <w:tc>
          <w:tcPr>
            <w:tcW w:w="0" w:type="auto"/>
            <w:hideMark/>
          </w:tcPr>
          <w:p w14:paraId="4D2FF782"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44371F93" w14:textId="77777777" w:rsidR="0035241B" w:rsidRPr="00350E70" w:rsidRDefault="0035241B" w:rsidP="00041C30">
            <w:pPr>
              <w:spacing w:line="360" w:lineRule="auto"/>
              <w:jc w:val="both"/>
              <w:rPr>
                <w:rFonts w:ascii="Arial" w:eastAsia="Times New Roman" w:hAnsi="Arial" w:cs="Arial"/>
                <w:b/>
              </w:rPr>
            </w:pPr>
          </w:p>
        </w:tc>
      </w:tr>
      <w:tr w:rsidR="0035241B" w:rsidRPr="006A5DAA" w14:paraId="776D68F5" w14:textId="77777777" w:rsidTr="00041C30">
        <w:trPr>
          <w:jc w:val="center"/>
        </w:trPr>
        <w:tc>
          <w:tcPr>
            <w:tcW w:w="0" w:type="auto"/>
            <w:hideMark/>
          </w:tcPr>
          <w:p w14:paraId="088B5698" w14:textId="77777777" w:rsidR="0035241B" w:rsidRPr="006A5DAA" w:rsidRDefault="0035241B" w:rsidP="00041C30">
            <w:pPr>
              <w:spacing w:line="360" w:lineRule="auto"/>
              <w:jc w:val="both"/>
              <w:rPr>
                <w:rFonts w:ascii="Arial" w:eastAsia="Times New Roman" w:hAnsi="Arial" w:cs="Arial"/>
              </w:rPr>
            </w:pPr>
            <w:r w:rsidRPr="00565A92">
              <w:rPr>
                <w:rFonts w:ascii="Arial" w:eastAsia="Times New Roman" w:hAnsi="Arial" w:cs="Arial"/>
                <w:b/>
                <w:bCs/>
              </w:rPr>
              <w:t>Submission Deadline:</w:t>
            </w:r>
          </w:p>
        </w:tc>
        <w:tc>
          <w:tcPr>
            <w:tcW w:w="5825" w:type="dxa"/>
            <w:hideMark/>
          </w:tcPr>
          <w:p w14:paraId="6485ADE7" w14:textId="77777777" w:rsidR="0035241B" w:rsidRPr="006A5DAA" w:rsidRDefault="0035241B" w:rsidP="00041C30">
            <w:pPr>
              <w:spacing w:line="360" w:lineRule="auto"/>
              <w:jc w:val="both"/>
              <w:rPr>
                <w:rFonts w:ascii="Arial" w:eastAsia="Times New Roman" w:hAnsi="Arial" w:cs="Arial"/>
              </w:rPr>
            </w:pPr>
            <w:r w:rsidRPr="1D928C0D">
              <w:rPr>
                <w:rFonts w:ascii="Arial" w:hAnsi="Arial" w:cs="Arial"/>
                <w:b/>
                <w:bCs/>
              </w:rPr>
              <w:t>16</w:t>
            </w:r>
            <w:r w:rsidRPr="1D928C0D">
              <w:rPr>
                <w:rFonts w:ascii="Arial" w:hAnsi="Arial" w:cs="Arial"/>
                <w:b/>
                <w:bCs/>
                <w:vertAlign w:val="superscript"/>
              </w:rPr>
              <w:t>th</w:t>
            </w:r>
            <w:r w:rsidRPr="1D928C0D">
              <w:rPr>
                <w:rFonts w:ascii="Arial" w:hAnsi="Arial" w:cs="Arial"/>
                <w:b/>
                <w:bCs/>
              </w:rPr>
              <w:t xml:space="preserve"> November 2025 14:00 (2PM)</w:t>
            </w:r>
          </w:p>
        </w:tc>
      </w:tr>
    </w:tbl>
    <w:p w14:paraId="3B606A60"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7CDDC9F3"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639970C0"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10877129"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370CEB97"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05B6D474"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52011C63"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0FAAEF4A"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2BAA9DE2"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4B77C330"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4C87EB58" w14:textId="77777777" w:rsidR="0035241B" w:rsidRPr="0035241B" w:rsidRDefault="0035241B" w:rsidP="0035241B">
      <w:pPr>
        <w:spacing w:before="100" w:beforeAutospacing="1" w:after="100" w:afterAutospacing="1" w:line="360" w:lineRule="auto"/>
        <w:outlineLvl w:val="1"/>
        <w:rPr>
          <w:rFonts w:ascii="Arial" w:eastAsia="Times New Roman" w:hAnsi="Arial" w:cs="Arial"/>
          <w:b/>
          <w:bCs/>
        </w:rPr>
      </w:pPr>
      <w:r w:rsidRPr="0035241B">
        <w:rPr>
          <w:rFonts w:ascii="Arial" w:eastAsia="Times New Roman" w:hAnsi="Arial" w:cs="Arial"/>
          <w:b/>
          <w:bCs/>
        </w:rPr>
        <w:t>Table of Contents</w:t>
      </w:r>
    </w:p>
    <w:p w14:paraId="155C5FD2" w14:textId="77777777" w:rsidR="0035241B" w:rsidRPr="0035241B" w:rsidRDefault="0035241B" w:rsidP="0035241B">
      <w:pPr>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Introduction</w:t>
      </w:r>
      <w:r w:rsidRPr="0035241B">
        <w:rPr>
          <w:rFonts w:ascii="Arial" w:eastAsia="Times New Roman" w:hAnsi="Arial" w:cs="Arial"/>
        </w:rPr>
        <w:t xml:space="preserve"> .....................................</w:t>
      </w:r>
      <w:r w:rsidR="00607EB1">
        <w:rPr>
          <w:rFonts w:ascii="Arial" w:eastAsia="Times New Roman" w:hAnsi="Arial" w:cs="Arial"/>
        </w:rPr>
        <w:t>............................................................................... 3</w:t>
      </w:r>
      <w:r w:rsidRPr="0035241B">
        <w:rPr>
          <w:rFonts w:ascii="Arial" w:eastAsia="Times New Roman" w:hAnsi="Arial" w:cs="Arial"/>
        </w:rPr>
        <w:br/>
      </w:r>
      <w:r w:rsidRPr="0035241B">
        <w:rPr>
          <w:rFonts w:ascii="Arial" w:eastAsia="Times New Roman" w:hAnsi="Arial" w:cs="Arial"/>
        </w:rPr>
        <w:t> </w:t>
      </w:r>
      <w:r w:rsidRPr="0035241B">
        <w:rPr>
          <w:rFonts w:ascii="Arial" w:eastAsia="Times New Roman" w:hAnsi="Arial" w:cs="Arial"/>
        </w:rPr>
        <w:t>1.1 Overview of SDG 3 and SDG 6</w:t>
      </w:r>
      <w:r>
        <w:rPr>
          <w:rFonts w:ascii="Arial" w:eastAsia="Times New Roman" w:hAnsi="Arial" w:cs="Arial"/>
        </w:rPr>
        <w:t>………………………………………………………</w:t>
      </w:r>
      <w:r w:rsidR="00607EB1">
        <w:rPr>
          <w:rFonts w:ascii="Arial" w:eastAsia="Times New Roman" w:hAnsi="Arial" w:cs="Arial"/>
        </w:rPr>
        <w:t>…3</w:t>
      </w:r>
      <w:r w:rsidRPr="0035241B">
        <w:rPr>
          <w:rFonts w:ascii="Arial" w:eastAsia="Times New Roman" w:hAnsi="Arial" w:cs="Arial"/>
        </w:rPr>
        <w:br/>
      </w:r>
      <w:r w:rsidRPr="0035241B">
        <w:rPr>
          <w:rFonts w:ascii="Arial" w:eastAsia="Times New Roman" w:hAnsi="Arial" w:cs="Arial"/>
        </w:rPr>
        <w:t> </w:t>
      </w:r>
      <w:r w:rsidRPr="0035241B">
        <w:rPr>
          <w:rFonts w:ascii="Arial" w:eastAsia="Times New Roman" w:hAnsi="Arial" w:cs="Arial"/>
        </w:rPr>
        <w:t>1.2 Rationale</w:t>
      </w:r>
      <w:r>
        <w:rPr>
          <w:rFonts w:ascii="Arial" w:eastAsia="Times New Roman" w:hAnsi="Arial" w:cs="Arial"/>
        </w:rPr>
        <w:t>………………………………………………………………………………….</w:t>
      </w:r>
      <w:r w:rsidR="00607EB1">
        <w:rPr>
          <w:rFonts w:ascii="Arial" w:eastAsia="Times New Roman" w:hAnsi="Arial" w:cs="Arial"/>
        </w:rPr>
        <w:t>4</w:t>
      </w:r>
    </w:p>
    <w:p w14:paraId="13D4AE65" w14:textId="77777777" w:rsidR="0035241B" w:rsidRPr="0035241B" w:rsidRDefault="0035241B" w:rsidP="0035241B">
      <w:pPr>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Global Context: SDG 3 and SDG 6 — Interconnections and Impact</w:t>
      </w:r>
      <w:r w:rsidRPr="0035241B">
        <w:rPr>
          <w:rFonts w:ascii="Arial" w:eastAsia="Times New Roman" w:hAnsi="Arial" w:cs="Arial"/>
        </w:rPr>
        <w:t xml:space="preserve"> .....................................</w:t>
      </w:r>
      <w:r>
        <w:rPr>
          <w:rFonts w:ascii="Arial" w:eastAsia="Times New Roman" w:hAnsi="Arial" w:cs="Arial"/>
        </w:rPr>
        <w:t>..............................................................................</w:t>
      </w:r>
      <w:r w:rsidR="00607EB1">
        <w:rPr>
          <w:rFonts w:ascii="Arial" w:eastAsia="Times New Roman" w:hAnsi="Arial" w:cs="Arial"/>
        </w:rPr>
        <w:t>....................... 4</w:t>
      </w:r>
    </w:p>
    <w:p w14:paraId="61330785" w14:textId="77777777" w:rsidR="0035241B" w:rsidRPr="0035241B" w:rsidRDefault="0035241B" w:rsidP="0035241B">
      <w:pPr>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National Context: UK Health, Wellbeing and Sustainability Policies</w:t>
      </w:r>
      <w:r w:rsidRPr="0035241B">
        <w:rPr>
          <w:rFonts w:ascii="Arial" w:eastAsia="Times New Roman" w:hAnsi="Arial" w:cs="Arial"/>
        </w:rPr>
        <w:t xml:space="preserve"> ....................................</w:t>
      </w:r>
      <w:r>
        <w:rPr>
          <w:rFonts w:ascii="Arial" w:eastAsia="Times New Roman" w:hAnsi="Arial" w:cs="Arial"/>
        </w:rPr>
        <w:t>..............................................................................</w:t>
      </w:r>
      <w:r w:rsidR="00607EB1">
        <w:rPr>
          <w:rFonts w:ascii="Arial" w:eastAsia="Times New Roman" w:hAnsi="Arial" w:cs="Arial"/>
        </w:rPr>
        <w:t>........................ 5</w:t>
      </w:r>
    </w:p>
    <w:p w14:paraId="7DB4674F" w14:textId="77777777" w:rsidR="0035241B" w:rsidRPr="0035241B" w:rsidRDefault="0035241B" w:rsidP="0035241B">
      <w:pPr>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Local Context: Evaluation of Health, Wellbeing and Sustainability Initiatives in Greater Manchester</w:t>
      </w:r>
      <w:r w:rsidRPr="0035241B">
        <w:rPr>
          <w:rFonts w:ascii="Arial" w:eastAsia="Times New Roman" w:hAnsi="Arial" w:cs="Arial"/>
        </w:rPr>
        <w:t xml:space="preserve"> .................</w:t>
      </w:r>
      <w:r>
        <w:rPr>
          <w:rFonts w:ascii="Arial" w:eastAsia="Times New Roman" w:hAnsi="Arial" w:cs="Arial"/>
        </w:rPr>
        <w:t>...........................................</w:t>
      </w:r>
      <w:r w:rsidRPr="0035241B">
        <w:rPr>
          <w:rFonts w:ascii="Arial" w:eastAsia="Times New Roman" w:hAnsi="Arial" w:cs="Arial"/>
        </w:rPr>
        <w:t>........................................</w:t>
      </w:r>
      <w:r w:rsidR="00607EB1">
        <w:rPr>
          <w:rFonts w:ascii="Arial" w:eastAsia="Times New Roman" w:hAnsi="Arial" w:cs="Arial"/>
        </w:rPr>
        <w:t>... 6</w:t>
      </w:r>
    </w:p>
    <w:p w14:paraId="0CEC346B" w14:textId="77777777" w:rsidR="0035241B" w:rsidRPr="0035241B" w:rsidRDefault="0035241B" w:rsidP="0035241B">
      <w:pPr>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Recommendations for Improvement</w:t>
      </w:r>
      <w:r w:rsidRPr="0035241B">
        <w:rPr>
          <w:rFonts w:ascii="Arial" w:eastAsia="Times New Roman" w:hAnsi="Arial" w:cs="Arial"/>
        </w:rPr>
        <w:t xml:space="preserve"> ............................</w:t>
      </w:r>
      <w:r>
        <w:rPr>
          <w:rFonts w:ascii="Arial" w:eastAsia="Times New Roman" w:hAnsi="Arial" w:cs="Arial"/>
        </w:rPr>
        <w:t>...............</w:t>
      </w:r>
      <w:r w:rsidRPr="0035241B">
        <w:rPr>
          <w:rFonts w:ascii="Arial" w:eastAsia="Times New Roman" w:hAnsi="Arial" w:cs="Arial"/>
        </w:rPr>
        <w:t>..</w:t>
      </w:r>
      <w:r w:rsidR="00607EB1">
        <w:rPr>
          <w:rFonts w:ascii="Arial" w:eastAsia="Times New Roman" w:hAnsi="Arial" w:cs="Arial"/>
        </w:rPr>
        <w:t>.............................. 7</w:t>
      </w:r>
    </w:p>
    <w:p w14:paraId="5CA3A3F1" w14:textId="77777777" w:rsidR="0035241B" w:rsidRPr="0035241B" w:rsidRDefault="0035241B" w:rsidP="0035241B">
      <w:pPr>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Conclusion</w:t>
      </w:r>
      <w:r w:rsidRPr="0035241B">
        <w:rPr>
          <w:rFonts w:ascii="Arial" w:eastAsia="Times New Roman" w:hAnsi="Arial" w:cs="Arial"/>
        </w:rPr>
        <w:t xml:space="preserve"> ......................................................</w:t>
      </w:r>
      <w:r>
        <w:rPr>
          <w:rFonts w:ascii="Arial" w:eastAsia="Times New Roman" w:hAnsi="Arial" w:cs="Arial"/>
        </w:rPr>
        <w:t>.........................................................</w:t>
      </w:r>
      <w:r w:rsidR="00607EB1">
        <w:rPr>
          <w:rFonts w:ascii="Arial" w:eastAsia="Times New Roman" w:hAnsi="Arial" w:cs="Arial"/>
        </w:rPr>
        <w:t>...... 9</w:t>
      </w:r>
    </w:p>
    <w:p w14:paraId="0CD541CD" w14:textId="77777777" w:rsidR="0035241B" w:rsidRPr="0035241B" w:rsidRDefault="0035241B" w:rsidP="0035241B">
      <w:pPr>
        <w:pStyle w:val="ListParagraph"/>
        <w:numPr>
          <w:ilvl w:val="0"/>
          <w:numId w:val="2"/>
        </w:numPr>
        <w:spacing w:before="100" w:beforeAutospacing="1" w:after="100" w:afterAutospacing="1" w:line="360" w:lineRule="auto"/>
        <w:rPr>
          <w:rFonts w:ascii="Arial" w:eastAsia="Times New Roman" w:hAnsi="Arial" w:cs="Arial"/>
        </w:rPr>
      </w:pPr>
      <w:r w:rsidRPr="0035241B">
        <w:rPr>
          <w:rFonts w:ascii="Arial" w:eastAsia="Times New Roman" w:hAnsi="Arial" w:cs="Arial"/>
          <w:b/>
          <w:bCs/>
        </w:rPr>
        <w:t>References</w:t>
      </w:r>
      <w:r w:rsidRPr="0035241B">
        <w:rPr>
          <w:rFonts w:ascii="Arial" w:eastAsia="Times New Roman" w:hAnsi="Arial" w:cs="Arial"/>
        </w:rPr>
        <w:t xml:space="preserve"> .........................................................................................</w:t>
      </w:r>
      <w:r>
        <w:rPr>
          <w:rFonts w:ascii="Arial" w:eastAsia="Times New Roman" w:hAnsi="Arial" w:cs="Arial"/>
        </w:rPr>
        <w:t>....................</w:t>
      </w:r>
      <w:r w:rsidR="00607EB1">
        <w:rPr>
          <w:rFonts w:ascii="Arial" w:eastAsia="Times New Roman" w:hAnsi="Arial" w:cs="Arial"/>
        </w:rPr>
        <w:t>.......10</w:t>
      </w:r>
    </w:p>
    <w:p w14:paraId="6C4A0281" w14:textId="77777777" w:rsidR="0035241B" w:rsidRPr="0035241B" w:rsidRDefault="0035241B" w:rsidP="0035241B">
      <w:pPr>
        <w:spacing w:before="100" w:beforeAutospacing="1" w:after="100" w:afterAutospacing="1" w:line="360" w:lineRule="auto"/>
        <w:jc w:val="both"/>
        <w:outlineLvl w:val="2"/>
        <w:rPr>
          <w:rFonts w:ascii="Arial" w:eastAsia="Times New Roman" w:hAnsi="Arial" w:cs="Arial"/>
          <w:b/>
          <w:bCs/>
        </w:rPr>
      </w:pPr>
    </w:p>
    <w:p w14:paraId="6E4EEF12"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65366811"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73434EFB"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7839E838"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608EA20E"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5AEBDAB6"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253259FA"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17B287D7"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3712098A" w14:textId="77777777" w:rsidR="0035241B" w:rsidRDefault="0035241B" w:rsidP="0035241B">
      <w:pPr>
        <w:spacing w:before="100" w:beforeAutospacing="1" w:after="100" w:afterAutospacing="1" w:line="360" w:lineRule="auto"/>
        <w:jc w:val="both"/>
        <w:outlineLvl w:val="2"/>
        <w:rPr>
          <w:rFonts w:ascii="Arial" w:eastAsia="Times New Roman" w:hAnsi="Arial" w:cs="Arial"/>
          <w:b/>
          <w:bCs/>
        </w:rPr>
      </w:pPr>
    </w:p>
    <w:p w14:paraId="4A04C315" w14:textId="77777777" w:rsidR="0035241B" w:rsidRPr="0035241B" w:rsidRDefault="0035241B" w:rsidP="0035241B">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1.1 </w:t>
      </w:r>
      <w:r w:rsidRPr="0035241B">
        <w:rPr>
          <w:rFonts w:ascii="Arial" w:eastAsia="Times New Roman" w:hAnsi="Arial" w:cs="Arial"/>
          <w:b/>
          <w:bCs/>
        </w:rPr>
        <w:t>Introduction</w:t>
      </w:r>
    </w:p>
    <w:p w14:paraId="33BCCF33" w14:textId="77777777" w:rsidR="00C75939" w:rsidRPr="00B75181" w:rsidRDefault="00C75939" w:rsidP="00B75181">
      <w:pPr>
        <w:pStyle w:val="NormalWeb"/>
        <w:spacing w:line="360" w:lineRule="auto"/>
        <w:jc w:val="both"/>
        <w:rPr>
          <w:rFonts w:ascii="Arial" w:hAnsi="Arial" w:cs="Arial"/>
          <w:sz w:val="22"/>
          <w:szCs w:val="22"/>
        </w:rPr>
      </w:pPr>
      <w:r w:rsidRPr="00B75181">
        <w:rPr>
          <w:rFonts w:ascii="Arial" w:hAnsi="Arial" w:cs="Arial"/>
          <w:sz w:val="22"/>
          <w:szCs w:val="22"/>
        </w:rPr>
        <w:t xml:space="preserve">The United Nations’ 2030 Agenda established the Sustainable Development Goals (SDGs) to guide global social, economic and environmental progress; among these, </w:t>
      </w:r>
      <w:r w:rsidRPr="00FD747A">
        <w:rPr>
          <w:rStyle w:val="Strong"/>
          <w:rFonts w:ascii="Arial" w:hAnsi="Arial" w:cs="Arial"/>
          <w:b w:val="0"/>
          <w:sz w:val="22"/>
          <w:szCs w:val="22"/>
        </w:rPr>
        <w:t>SDG 3 (Good Health and Wellbeing)</w:t>
      </w:r>
      <w:r w:rsidRPr="00FD747A">
        <w:rPr>
          <w:rFonts w:ascii="Arial" w:hAnsi="Arial" w:cs="Arial"/>
          <w:b/>
          <w:sz w:val="22"/>
          <w:szCs w:val="22"/>
        </w:rPr>
        <w:t xml:space="preserve"> </w:t>
      </w:r>
      <w:r w:rsidRPr="00FD747A">
        <w:rPr>
          <w:rFonts w:ascii="Arial" w:hAnsi="Arial" w:cs="Arial"/>
          <w:sz w:val="22"/>
          <w:szCs w:val="22"/>
        </w:rPr>
        <w:t>and</w:t>
      </w:r>
      <w:r w:rsidRPr="00FD747A">
        <w:rPr>
          <w:rFonts w:ascii="Arial" w:hAnsi="Arial" w:cs="Arial"/>
          <w:b/>
          <w:sz w:val="22"/>
          <w:szCs w:val="22"/>
        </w:rPr>
        <w:t xml:space="preserve"> </w:t>
      </w:r>
      <w:r w:rsidRPr="00FD747A">
        <w:rPr>
          <w:rStyle w:val="Strong"/>
          <w:rFonts w:ascii="Arial" w:hAnsi="Arial" w:cs="Arial"/>
          <w:b w:val="0"/>
          <w:sz w:val="22"/>
          <w:szCs w:val="22"/>
        </w:rPr>
        <w:t>SDG 6 (Clean Water and Sanitation)</w:t>
      </w:r>
      <w:r w:rsidRPr="00B75181">
        <w:rPr>
          <w:rFonts w:ascii="Arial" w:hAnsi="Arial" w:cs="Arial"/>
          <w:sz w:val="22"/>
          <w:szCs w:val="22"/>
        </w:rPr>
        <w:t xml:space="preserve"> are tightly coupled, because safe water, adequate sanitation and hygiene underpin almost every major health outcome (WHO, 2023; UNICEF &amp; WHO, 2023). SDG 3 aims to reduce morbidity and premature mortality across communicable and non-communicable disease burdens, while SDG 6 targets universal access to safe drinking water, sanitation, and resilient water management systems — interventions that prevent enteric infections, reduce chemical and microbial exposure, and protect dignity (UNICEF &amp; WHO, 2023; Wolf, 2023).</w:t>
      </w:r>
    </w:p>
    <w:p w14:paraId="6D65B7CF" w14:textId="77777777" w:rsidR="00C75939" w:rsidRPr="00B75181" w:rsidRDefault="00C75939" w:rsidP="00B75181">
      <w:pPr>
        <w:pStyle w:val="NormalWeb"/>
        <w:spacing w:line="360" w:lineRule="auto"/>
        <w:jc w:val="both"/>
        <w:rPr>
          <w:rFonts w:ascii="Arial" w:hAnsi="Arial" w:cs="Arial"/>
          <w:sz w:val="22"/>
          <w:szCs w:val="22"/>
        </w:rPr>
      </w:pPr>
      <w:r w:rsidRPr="00B75181">
        <w:rPr>
          <w:rFonts w:ascii="Arial" w:hAnsi="Arial" w:cs="Arial"/>
          <w:sz w:val="22"/>
          <w:szCs w:val="22"/>
        </w:rPr>
        <w:t xml:space="preserve">Globally, inadequate WASH (water, sanitation and hygiene) remains a leading contributor to </w:t>
      </w:r>
      <w:proofErr w:type="spellStart"/>
      <w:r w:rsidRPr="00B75181">
        <w:rPr>
          <w:rFonts w:ascii="Arial" w:hAnsi="Arial" w:cs="Arial"/>
          <w:sz w:val="22"/>
          <w:szCs w:val="22"/>
        </w:rPr>
        <w:t>diarrhoeal</w:t>
      </w:r>
      <w:proofErr w:type="spellEnd"/>
      <w:r w:rsidRPr="00B75181">
        <w:rPr>
          <w:rFonts w:ascii="Arial" w:hAnsi="Arial" w:cs="Arial"/>
          <w:sz w:val="22"/>
          <w:szCs w:val="22"/>
        </w:rPr>
        <w:t xml:space="preserve"> disease, childhood mortality and the broader burden of disease, despite progress since 2000; systematic analyses show that WASH deficits continue to produce substantial health losses that are preventable with targeted investment and governance reforms (Wolf et al., 2022; Wolf, 2023). At the same time, climate variability and extreme weather are disrupting water supplies and sanitation infrastructure—factors that increase contamination risks and undermine efforts to achieve SDG 3 outcomes (Sanitation and Water for All, 2022; Lancet Countdown, 2023). In high-income settings such as the UK, emerging problems — notably increased storm sewer overflows and episodic contamination of recreational and drinking waters — illustrate that water-related health threats are not confined to low-income countries and require both infrastructure and policy responses (Environment Agency, 2024; DEFRA, 2023).</w:t>
      </w:r>
    </w:p>
    <w:p w14:paraId="724969B2" w14:textId="77777777" w:rsidR="00C75939" w:rsidRPr="00B75181" w:rsidRDefault="00C75939" w:rsidP="00B75181">
      <w:pPr>
        <w:pStyle w:val="NormalWeb"/>
        <w:spacing w:line="360" w:lineRule="auto"/>
        <w:jc w:val="both"/>
        <w:rPr>
          <w:rFonts w:ascii="Arial" w:hAnsi="Arial" w:cs="Arial"/>
          <w:sz w:val="22"/>
          <w:szCs w:val="22"/>
        </w:rPr>
      </w:pPr>
      <w:r w:rsidRPr="00B75181">
        <w:rPr>
          <w:rFonts w:ascii="Arial" w:hAnsi="Arial" w:cs="Arial"/>
          <w:sz w:val="22"/>
          <w:szCs w:val="22"/>
        </w:rPr>
        <w:t xml:space="preserve">This report therefore examines the relationship between SDG 3 and SDG 6 across global, national and local scales. It </w:t>
      </w:r>
      <w:r w:rsidR="00FD747A" w:rsidRPr="00B75181">
        <w:rPr>
          <w:rFonts w:ascii="Arial" w:hAnsi="Arial" w:cs="Arial"/>
          <w:sz w:val="22"/>
          <w:szCs w:val="22"/>
        </w:rPr>
        <w:t>synthesizes</w:t>
      </w:r>
      <w:r w:rsidRPr="00B75181">
        <w:rPr>
          <w:rFonts w:ascii="Arial" w:hAnsi="Arial" w:cs="Arial"/>
          <w:sz w:val="22"/>
          <w:szCs w:val="22"/>
        </w:rPr>
        <w:t xml:space="preserve"> recent peer-reviewed studies and official reports (2019–2025) to: (a) </w:t>
      </w:r>
      <w:r w:rsidR="00FD747A" w:rsidRPr="00B75181">
        <w:rPr>
          <w:rFonts w:ascii="Arial" w:hAnsi="Arial" w:cs="Arial"/>
          <w:sz w:val="22"/>
          <w:szCs w:val="22"/>
        </w:rPr>
        <w:t>analyze</w:t>
      </w:r>
      <w:r w:rsidRPr="00B75181">
        <w:rPr>
          <w:rFonts w:ascii="Arial" w:hAnsi="Arial" w:cs="Arial"/>
          <w:sz w:val="22"/>
          <w:szCs w:val="22"/>
        </w:rPr>
        <w:t xml:space="preserve"> how clean water and sanitation influence population health and wellbeing; and (b) evaluate the effectiveness of current national and local initiatives, identifying gaps and offering evidence-informed recommendations to strengthen health outcomes through improved </w:t>
      </w:r>
      <w:r w:rsidR="00B75181">
        <w:rPr>
          <w:rFonts w:ascii="Arial" w:hAnsi="Arial" w:cs="Arial"/>
          <w:sz w:val="22"/>
          <w:szCs w:val="22"/>
        </w:rPr>
        <w:t>water and sanitation governance.</w:t>
      </w:r>
    </w:p>
    <w:p w14:paraId="0568C848" w14:textId="77777777" w:rsidR="00C75939" w:rsidRPr="00C75939" w:rsidRDefault="00FD747A" w:rsidP="00B75181">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1.2 Rationale </w:t>
      </w:r>
    </w:p>
    <w:p w14:paraId="1FD813F4" w14:textId="77777777" w:rsid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lastRenderedPageBreak/>
        <w:t xml:space="preserve">Connecting SDG 3 and SDG 6 </w:t>
      </w:r>
      <w:r w:rsidR="00FD747A" w:rsidRPr="00C75939">
        <w:rPr>
          <w:rFonts w:ascii="Arial" w:eastAsia="Times New Roman" w:hAnsi="Arial" w:cs="Arial"/>
        </w:rPr>
        <w:t>emphasizes</w:t>
      </w:r>
      <w:r w:rsidRPr="00C75939">
        <w:rPr>
          <w:rFonts w:ascii="Arial" w:eastAsia="Times New Roman" w:hAnsi="Arial" w:cs="Arial"/>
        </w:rPr>
        <w:t xml:space="preserve"> how health depends on safe water, sanitation, and hygiene. Inadequate WASH contributes to preventable diseases, inequality, and reduced wellbeing (WHO, 2023; Wolf et al., 2022). Evaluating these links supports evidence-based strategies to enhance global, national, and local health outcomes through sustainable water management.</w:t>
      </w:r>
    </w:p>
    <w:p w14:paraId="3F82280B" w14:textId="77777777" w:rsidR="008258E3" w:rsidRPr="00C75939" w:rsidRDefault="008258E3" w:rsidP="008258E3">
      <w:pPr>
        <w:spacing w:before="100" w:beforeAutospacing="1" w:after="100" w:afterAutospacing="1" w:line="360" w:lineRule="auto"/>
        <w:ind w:left="720"/>
        <w:jc w:val="both"/>
        <w:rPr>
          <w:rFonts w:ascii="Arial" w:eastAsia="Times New Roman" w:hAnsi="Arial" w:cs="Arial"/>
        </w:rPr>
      </w:pPr>
      <w:r>
        <w:rPr>
          <w:noProof/>
        </w:rPr>
        <w:drawing>
          <wp:inline distT="0" distB="0" distL="0" distR="0" wp14:anchorId="6E017188" wp14:editId="486D71B8">
            <wp:extent cx="4801557" cy="2471352"/>
            <wp:effectExtent l="0" t="0" r="0" b="5715"/>
            <wp:docPr id="1" name="Picture 1" descr="Localization of SDGs through Disaggregation of K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alization of SDGs through Disaggregation of KP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2780" cy="2471981"/>
                    </a:xfrm>
                    <a:prstGeom prst="rect">
                      <a:avLst/>
                    </a:prstGeom>
                    <a:noFill/>
                    <a:ln>
                      <a:noFill/>
                    </a:ln>
                  </pic:spPr>
                </pic:pic>
              </a:graphicData>
            </a:graphic>
          </wp:inline>
        </w:drawing>
      </w:r>
    </w:p>
    <w:p w14:paraId="7F4714DE" w14:textId="77777777" w:rsidR="008258E3" w:rsidRDefault="008258E3" w:rsidP="00B75181">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(Patole, 2018)</w:t>
      </w:r>
    </w:p>
    <w:p w14:paraId="64F897E9" w14:textId="77777777" w:rsidR="00C75939" w:rsidRPr="00C75939" w:rsidRDefault="00C75939" w:rsidP="00B75181">
      <w:pPr>
        <w:spacing w:before="100" w:beforeAutospacing="1" w:after="100" w:afterAutospacing="1" w:line="360" w:lineRule="auto"/>
        <w:jc w:val="both"/>
        <w:outlineLvl w:val="2"/>
        <w:rPr>
          <w:rFonts w:ascii="Arial" w:eastAsia="Times New Roman" w:hAnsi="Arial" w:cs="Arial"/>
          <w:b/>
          <w:bCs/>
        </w:rPr>
      </w:pPr>
      <w:r w:rsidRPr="00B75181">
        <w:rPr>
          <w:rFonts w:ascii="Arial" w:eastAsia="Times New Roman" w:hAnsi="Arial" w:cs="Arial"/>
          <w:b/>
          <w:bCs/>
        </w:rPr>
        <w:t>2. Global Context (SDG 3 and SDG 6 Interconnection Globally)</w:t>
      </w:r>
    </w:p>
    <w:p w14:paraId="2FE8AAE0"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Globally, the pursuit of SDG 3 (Good Health and Wellbeing) is inseparable from achieving SDG 6 (Clean Water and Sanitation), as safe water and sanitation are prerequisites for disease prevention, health equity, and sustainable development (UNICEF &amp; WHO, 2023). The World Health Organization (2023) reports that over two billion people still lack access to safely managed drinking water, while inadequate sanitation exposes populations to infectious diseases, notably </w:t>
      </w:r>
      <w:proofErr w:type="spellStart"/>
      <w:r w:rsidRPr="00C75939">
        <w:rPr>
          <w:rFonts w:ascii="Arial" w:eastAsia="Times New Roman" w:hAnsi="Arial" w:cs="Arial"/>
        </w:rPr>
        <w:t>diarrhoeal</w:t>
      </w:r>
      <w:proofErr w:type="spellEnd"/>
      <w:r w:rsidRPr="00C75939">
        <w:rPr>
          <w:rFonts w:ascii="Arial" w:eastAsia="Times New Roman" w:hAnsi="Arial" w:cs="Arial"/>
        </w:rPr>
        <w:t xml:space="preserve"> illnesses, cholera, and typhoid. Recent global analyses confirm that insufficient WASH services contribute to approximately 1.4 million preventable deaths annually, disproportionately affecting children under five (Wolf et al., 2022).</w:t>
      </w:r>
    </w:p>
    <w:p w14:paraId="0BF01611"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Climate change intensifies these challenges through droughts, flooding, and contamination of water sources, which threaten progress toward universal health coverage and clean water access (Lancet Countdown, 2023). Low- and middle-income countries bear the heaviest burden, yet even high-income nations face growing risks from infrastructure aging and pollution (SWA, 2022). </w:t>
      </w:r>
      <w:r w:rsidRPr="00C75939">
        <w:rPr>
          <w:rFonts w:ascii="Arial" w:eastAsia="Times New Roman" w:hAnsi="Arial" w:cs="Arial"/>
        </w:rPr>
        <w:lastRenderedPageBreak/>
        <w:t>Integrating health and water policies is therefore vital to build climate-resilient health systems and promote equitable wellbeing (Li, 2024).</w:t>
      </w:r>
    </w:p>
    <w:p w14:paraId="148B309E" w14:textId="77777777" w:rsidR="00B75181" w:rsidRPr="008258E3" w:rsidRDefault="00C75939" w:rsidP="008258E3">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Global frameworks such as the WHO–UNICEF Joint Monitoring </w:t>
      </w:r>
      <w:proofErr w:type="spellStart"/>
      <w:r w:rsidRPr="00C75939">
        <w:rPr>
          <w:rFonts w:ascii="Arial" w:eastAsia="Times New Roman" w:hAnsi="Arial" w:cs="Arial"/>
        </w:rPr>
        <w:t>Programme</w:t>
      </w:r>
      <w:proofErr w:type="spellEnd"/>
      <w:r w:rsidRPr="00C75939">
        <w:rPr>
          <w:rFonts w:ascii="Arial" w:eastAsia="Times New Roman" w:hAnsi="Arial" w:cs="Arial"/>
        </w:rPr>
        <w:t xml:space="preserve"> (JMP) and the Sanitation and Water for All (SWA) partnership guide international collaboration, advocating for inclusive financing, governance, and monitoring systems (UNICEF &amp; WHO, 2023; SWA, 2022). However, progress remains uneven due to resource disparities and weak implementation mechanisms. Strengthening cross-sectoral coordination between health, environment, and infrastructure sectors is essential to accelerate global progress toward both SDG 3 and SDG 6.</w:t>
      </w:r>
    </w:p>
    <w:p w14:paraId="3AD4D7D8" w14:textId="77777777" w:rsidR="00B75181" w:rsidRPr="00FD747A" w:rsidRDefault="00FD747A" w:rsidP="00B75181">
      <w:pPr>
        <w:tabs>
          <w:tab w:val="left" w:pos="6227"/>
        </w:tabs>
        <w:spacing w:before="100" w:beforeAutospacing="1" w:after="100" w:afterAutospacing="1" w:line="360" w:lineRule="auto"/>
        <w:jc w:val="both"/>
        <w:outlineLvl w:val="2"/>
        <w:rPr>
          <w:rFonts w:ascii="Arial" w:hAnsi="Arial" w:cs="Arial"/>
          <w:b/>
        </w:rPr>
      </w:pPr>
      <w:r>
        <w:rPr>
          <w:rFonts w:ascii="Arial" w:hAnsi="Arial" w:cs="Arial"/>
          <w:b/>
        </w:rPr>
        <w:t>Table 1: Interconnections b</w:t>
      </w:r>
      <w:r w:rsidR="00B75181" w:rsidRPr="00FD747A">
        <w:rPr>
          <w:rFonts w:ascii="Arial" w:hAnsi="Arial" w:cs="Arial"/>
          <w:b/>
        </w:rPr>
        <w:t>etween SDG 3 and SDG 6</w:t>
      </w:r>
    </w:p>
    <w:tbl>
      <w:tblPr>
        <w:tblW w:w="0" w:type="auto"/>
        <w:tblCellSpacing w:w="15" w:type="dxa"/>
        <w:tblCellMar>
          <w:top w:w="15" w:type="dxa"/>
          <w:left w:w="15" w:type="dxa"/>
          <w:bottom w:w="15" w:type="dxa"/>
          <w:right w:w="15" w:type="dxa"/>
        </w:tblCellMar>
        <w:tblLook w:val="05E0" w:firstRow="1" w:lastRow="1" w:firstColumn="1" w:lastColumn="1" w:noHBand="0" w:noVBand="1"/>
      </w:tblPr>
      <w:tblGrid>
        <w:gridCol w:w="1973"/>
        <w:gridCol w:w="2446"/>
        <w:gridCol w:w="3185"/>
        <w:gridCol w:w="1756"/>
      </w:tblGrid>
      <w:tr w:rsidR="00B75181" w:rsidRPr="00B75181" w14:paraId="432F028D" w14:textId="77777777" w:rsidTr="00FD747A">
        <w:trPr>
          <w:tblHeader/>
          <w:tblCellSpacing w:w="15" w:type="dxa"/>
        </w:trPr>
        <w:tc>
          <w:tcPr>
            <w:tcW w:w="0" w:type="auto"/>
            <w:vAlign w:val="center"/>
            <w:hideMark/>
          </w:tcPr>
          <w:p w14:paraId="12694706" w14:textId="77777777" w:rsidR="00B75181" w:rsidRPr="00B75181" w:rsidRDefault="00B75181" w:rsidP="00FD747A">
            <w:pPr>
              <w:spacing w:after="0" w:line="240" w:lineRule="auto"/>
              <w:jc w:val="both"/>
              <w:rPr>
                <w:rFonts w:ascii="Arial" w:eastAsia="Times New Roman" w:hAnsi="Arial" w:cs="Arial"/>
                <w:b/>
                <w:bCs/>
              </w:rPr>
            </w:pPr>
            <w:r w:rsidRPr="00B75181">
              <w:rPr>
                <w:rFonts w:ascii="Arial" w:eastAsia="Times New Roman" w:hAnsi="Arial" w:cs="Arial"/>
                <w:b/>
                <w:bCs/>
              </w:rPr>
              <w:t>SDG 3 Target</w:t>
            </w:r>
          </w:p>
        </w:tc>
        <w:tc>
          <w:tcPr>
            <w:tcW w:w="0" w:type="auto"/>
            <w:vAlign w:val="center"/>
            <w:hideMark/>
          </w:tcPr>
          <w:p w14:paraId="6BD66494" w14:textId="77777777" w:rsidR="00B75181" w:rsidRPr="00B75181" w:rsidRDefault="00B75181" w:rsidP="00FD747A">
            <w:pPr>
              <w:spacing w:after="0" w:line="240" w:lineRule="auto"/>
              <w:jc w:val="both"/>
              <w:rPr>
                <w:rFonts w:ascii="Arial" w:eastAsia="Times New Roman" w:hAnsi="Arial" w:cs="Arial"/>
                <w:b/>
                <w:bCs/>
              </w:rPr>
            </w:pPr>
            <w:r w:rsidRPr="00B75181">
              <w:rPr>
                <w:rFonts w:ascii="Arial" w:eastAsia="Times New Roman" w:hAnsi="Arial" w:cs="Arial"/>
                <w:b/>
                <w:bCs/>
              </w:rPr>
              <w:t>SDG 6 Link</w:t>
            </w:r>
          </w:p>
        </w:tc>
        <w:tc>
          <w:tcPr>
            <w:tcW w:w="0" w:type="auto"/>
            <w:vAlign w:val="center"/>
            <w:hideMark/>
          </w:tcPr>
          <w:p w14:paraId="1ADD72D6" w14:textId="77777777" w:rsidR="00B75181" w:rsidRPr="00B75181" w:rsidRDefault="00B75181" w:rsidP="00FD747A">
            <w:pPr>
              <w:spacing w:after="0" w:line="240" w:lineRule="auto"/>
              <w:jc w:val="both"/>
              <w:rPr>
                <w:rFonts w:ascii="Arial" w:eastAsia="Times New Roman" w:hAnsi="Arial" w:cs="Arial"/>
                <w:b/>
                <w:bCs/>
              </w:rPr>
            </w:pPr>
            <w:r w:rsidRPr="00B75181">
              <w:rPr>
                <w:rFonts w:ascii="Arial" w:eastAsia="Times New Roman" w:hAnsi="Arial" w:cs="Arial"/>
                <w:b/>
                <w:bCs/>
              </w:rPr>
              <w:t>Interconnection</w:t>
            </w:r>
          </w:p>
        </w:tc>
        <w:tc>
          <w:tcPr>
            <w:tcW w:w="0" w:type="auto"/>
            <w:vAlign w:val="center"/>
            <w:hideMark/>
          </w:tcPr>
          <w:p w14:paraId="3C8B32F7" w14:textId="77777777" w:rsidR="00B75181" w:rsidRPr="00B75181" w:rsidRDefault="00B75181" w:rsidP="00FD747A">
            <w:pPr>
              <w:spacing w:after="0" w:line="240" w:lineRule="auto"/>
              <w:jc w:val="both"/>
              <w:rPr>
                <w:rFonts w:ascii="Arial" w:eastAsia="Times New Roman" w:hAnsi="Arial" w:cs="Arial"/>
                <w:b/>
                <w:bCs/>
              </w:rPr>
            </w:pPr>
            <w:r w:rsidRPr="00B75181">
              <w:rPr>
                <w:rFonts w:ascii="Arial" w:eastAsia="Times New Roman" w:hAnsi="Arial" w:cs="Arial"/>
                <w:b/>
                <w:bCs/>
              </w:rPr>
              <w:t>Sources</w:t>
            </w:r>
          </w:p>
        </w:tc>
      </w:tr>
      <w:tr w:rsidR="00B75181" w:rsidRPr="00B75181" w14:paraId="3A7D6017" w14:textId="77777777" w:rsidTr="00FD747A">
        <w:trPr>
          <w:tblCellSpacing w:w="15" w:type="dxa"/>
        </w:trPr>
        <w:tc>
          <w:tcPr>
            <w:tcW w:w="0" w:type="auto"/>
            <w:vAlign w:val="center"/>
            <w:hideMark/>
          </w:tcPr>
          <w:p w14:paraId="7D81A65F"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Reduce child mortality</w:t>
            </w:r>
          </w:p>
        </w:tc>
        <w:tc>
          <w:tcPr>
            <w:tcW w:w="0" w:type="auto"/>
            <w:vAlign w:val="center"/>
            <w:hideMark/>
          </w:tcPr>
          <w:p w14:paraId="71D891D4"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 xml:space="preserve">Safe water and sanitation reduce </w:t>
            </w:r>
            <w:proofErr w:type="spellStart"/>
            <w:r w:rsidRPr="00B75181">
              <w:rPr>
                <w:rFonts w:ascii="Arial" w:eastAsia="Times New Roman" w:hAnsi="Arial" w:cs="Arial"/>
              </w:rPr>
              <w:t>diarrhoeal</w:t>
            </w:r>
            <w:proofErr w:type="spellEnd"/>
            <w:r w:rsidRPr="00B75181">
              <w:rPr>
                <w:rFonts w:ascii="Arial" w:eastAsia="Times New Roman" w:hAnsi="Arial" w:cs="Arial"/>
              </w:rPr>
              <w:t xml:space="preserve"> diseases</w:t>
            </w:r>
          </w:p>
        </w:tc>
        <w:tc>
          <w:tcPr>
            <w:tcW w:w="0" w:type="auto"/>
            <w:vAlign w:val="center"/>
            <w:hideMark/>
          </w:tcPr>
          <w:p w14:paraId="1C5F7405"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Clean water access prevents infections and improves child survival rates</w:t>
            </w:r>
          </w:p>
        </w:tc>
        <w:tc>
          <w:tcPr>
            <w:tcW w:w="0" w:type="auto"/>
            <w:vAlign w:val="center"/>
            <w:hideMark/>
          </w:tcPr>
          <w:p w14:paraId="14F29CFD"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WHO (2023); UNICEF (2022)</w:t>
            </w:r>
          </w:p>
        </w:tc>
      </w:tr>
      <w:tr w:rsidR="00B75181" w:rsidRPr="00B75181" w14:paraId="3A93AA2E" w14:textId="77777777" w:rsidTr="00FD747A">
        <w:trPr>
          <w:tblCellSpacing w:w="15" w:type="dxa"/>
        </w:trPr>
        <w:tc>
          <w:tcPr>
            <w:tcW w:w="0" w:type="auto"/>
            <w:vAlign w:val="center"/>
            <w:hideMark/>
          </w:tcPr>
          <w:p w14:paraId="76DC2573"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Improve maternal health</w:t>
            </w:r>
          </w:p>
        </w:tc>
        <w:tc>
          <w:tcPr>
            <w:tcW w:w="0" w:type="auto"/>
            <w:vAlign w:val="center"/>
            <w:hideMark/>
          </w:tcPr>
          <w:p w14:paraId="76959779"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Sanitation in health facilities ensures safe childbirth</w:t>
            </w:r>
          </w:p>
        </w:tc>
        <w:tc>
          <w:tcPr>
            <w:tcW w:w="0" w:type="auto"/>
            <w:vAlign w:val="center"/>
            <w:hideMark/>
          </w:tcPr>
          <w:p w14:paraId="63E0EFF8"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Adequate WASH services lower maternal and neonatal infection risks</w:t>
            </w:r>
          </w:p>
        </w:tc>
        <w:tc>
          <w:tcPr>
            <w:tcW w:w="0" w:type="auto"/>
            <w:vAlign w:val="center"/>
            <w:hideMark/>
          </w:tcPr>
          <w:p w14:paraId="4762F667"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WHO (2023); UNDP (2022)</w:t>
            </w:r>
          </w:p>
        </w:tc>
      </w:tr>
      <w:tr w:rsidR="00B75181" w:rsidRPr="00B75181" w14:paraId="7F527674" w14:textId="77777777" w:rsidTr="00FD747A">
        <w:trPr>
          <w:tblCellSpacing w:w="15" w:type="dxa"/>
        </w:trPr>
        <w:tc>
          <w:tcPr>
            <w:tcW w:w="0" w:type="auto"/>
            <w:vAlign w:val="center"/>
            <w:hideMark/>
          </w:tcPr>
          <w:p w14:paraId="4DF47B9B"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Combat communicable diseases</w:t>
            </w:r>
          </w:p>
        </w:tc>
        <w:tc>
          <w:tcPr>
            <w:tcW w:w="0" w:type="auto"/>
            <w:vAlign w:val="center"/>
            <w:hideMark/>
          </w:tcPr>
          <w:p w14:paraId="3736BB6E"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Clean water curbs spread of waterborne diseases</w:t>
            </w:r>
          </w:p>
        </w:tc>
        <w:tc>
          <w:tcPr>
            <w:tcW w:w="0" w:type="auto"/>
            <w:vAlign w:val="center"/>
            <w:hideMark/>
          </w:tcPr>
          <w:p w14:paraId="49C147CC"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Prevents cholera, typhoid, and other infections linked to unsafe water</w:t>
            </w:r>
          </w:p>
        </w:tc>
        <w:tc>
          <w:tcPr>
            <w:tcW w:w="0" w:type="auto"/>
            <w:vAlign w:val="center"/>
            <w:hideMark/>
          </w:tcPr>
          <w:p w14:paraId="16EC38F9"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Wolf et al. (2022)</w:t>
            </w:r>
          </w:p>
        </w:tc>
      </w:tr>
      <w:tr w:rsidR="00B75181" w:rsidRPr="00B75181" w14:paraId="00F91A27" w14:textId="77777777" w:rsidTr="00FD747A">
        <w:trPr>
          <w:tblCellSpacing w:w="15" w:type="dxa"/>
        </w:trPr>
        <w:tc>
          <w:tcPr>
            <w:tcW w:w="0" w:type="auto"/>
            <w:vAlign w:val="center"/>
            <w:hideMark/>
          </w:tcPr>
          <w:p w14:paraId="199743B8" w14:textId="77777777" w:rsidR="00B75181" w:rsidRPr="00B75181" w:rsidRDefault="00B75181" w:rsidP="00FD747A">
            <w:pPr>
              <w:spacing w:after="0" w:line="240" w:lineRule="auto"/>
              <w:jc w:val="both"/>
              <w:rPr>
                <w:rFonts w:ascii="Arial" w:eastAsia="Times New Roman" w:hAnsi="Arial" w:cs="Arial"/>
              </w:rPr>
            </w:pPr>
            <w:proofErr w:type="gramStart"/>
            <w:r w:rsidRPr="00B75181">
              <w:rPr>
                <w:rFonts w:ascii="Arial" w:eastAsia="Times New Roman" w:hAnsi="Arial" w:cs="Arial"/>
              </w:rPr>
              <w:t>Strengthen</w:t>
            </w:r>
            <w:proofErr w:type="gramEnd"/>
            <w:r w:rsidRPr="00B75181">
              <w:rPr>
                <w:rFonts w:ascii="Arial" w:eastAsia="Times New Roman" w:hAnsi="Arial" w:cs="Arial"/>
              </w:rPr>
              <w:t xml:space="preserve"> health systems</w:t>
            </w:r>
          </w:p>
        </w:tc>
        <w:tc>
          <w:tcPr>
            <w:tcW w:w="0" w:type="auto"/>
            <w:vAlign w:val="center"/>
            <w:hideMark/>
          </w:tcPr>
          <w:p w14:paraId="5B0D9BD2"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Reliable water and hygiene in hospitals</w:t>
            </w:r>
          </w:p>
        </w:tc>
        <w:tc>
          <w:tcPr>
            <w:tcW w:w="0" w:type="auto"/>
            <w:vAlign w:val="center"/>
            <w:hideMark/>
          </w:tcPr>
          <w:p w14:paraId="341FA70C"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Essential for infection control and antimicrobial resistance reduction</w:t>
            </w:r>
          </w:p>
        </w:tc>
        <w:tc>
          <w:tcPr>
            <w:tcW w:w="0" w:type="auto"/>
            <w:vAlign w:val="center"/>
            <w:hideMark/>
          </w:tcPr>
          <w:p w14:paraId="3D585672"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WHO (2023); NHS England (2023)</w:t>
            </w:r>
          </w:p>
        </w:tc>
      </w:tr>
      <w:tr w:rsidR="00B75181" w:rsidRPr="00B75181" w14:paraId="3CF3A433" w14:textId="77777777" w:rsidTr="00FD747A">
        <w:trPr>
          <w:tblCellSpacing w:w="15" w:type="dxa"/>
        </w:trPr>
        <w:tc>
          <w:tcPr>
            <w:tcW w:w="0" w:type="auto"/>
            <w:vAlign w:val="center"/>
            <w:hideMark/>
          </w:tcPr>
          <w:p w14:paraId="6F6CE943"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Promote wellbeing</w:t>
            </w:r>
          </w:p>
        </w:tc>
        <w:tc>
          <w:tcPr>
            <w:tcW w:w="0" w:type="auto"/>
            <w:vAlign w:val="center"/>
            <w:hideMark/>
          </w:tcPr>
          <w:p w14:paraId="403D97CB"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Access to clean water enhances mental and physical health</w:t>
            </w:r>
          </w:p>
        </w:tc>
        <w:tc>
          <w:tcPr>
            <w:tcW w:w="0" w:type="auto"/>
            <w:vAlign w:val="center"/>
            <w:hideMark/>
          </w:tcPr>
          <w:p w14:paraId="15F50DB5"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Safe, green environments improve community wellbeing</w:t>
            </w:r>
          </w:p>
        </w:tc>
        <w:tc>
          <w:tcPr>
            <w:tcW w:w="0" w:type="auto"/>
            <w:vAlign w:val="center"/>
            <w:hideMark/>
          </w:tcPr>
          <w:p w14:paraId="751B8CC0" w14:textId="77777777" w:rsidR="00B75181" w:rsidRPr="00B75181" w:rsidRDefault="00B75181" w:rsidP="00FD747A">
            <w:pPr>
              <w:spacing w:after="0" w:line="240" w:lineRule="auto"/>
              <w:jc w:val="both"/>
              <w:rPr>
                <w:rFonts w:ascii="Arial" w:eastAsia="Times New Roman" w:hAnsi="Arial" w:cs="Arial"/>
              </w:rPr>
            </w:pPr>
            <w:r w:rsidRPr="00B75181">
              <w:rPr>
                <w:rFonts w:ascii="Arial" w:eastAsia="Times New Roman" w:hAnsi="Arial" w:cs="Arial"/>
              </w:rPr>
              <w:t>DEFRA (2023); Centre for Cities (2023)</w:t>
            </w:r>
          </w:p>
        </w:tc>
      </w:tr>
    </w:tbl>
    <w:p w14:paraId="69EF1B81" w14:textId="77777777" w:rsidR="00B75181" w:rsidRDefault="00B75181" w:rsidP="00FD747A">
      <w:pPr>
        <w:tabs>
          <w:tab w:val="left" w:pos="6227"/>
          <w:tab w:val="left" w:pos="6979"/>
          <w:tab w:val="left" w:pos="7434"/>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ab/>
      </w:r>
      <w:r>
        <w:rPr>
          <w:rFonts w:ascii="Arial" w:eastAsia="Times New Roman" w:hAnsi="Arial" w:cs="Arial"/>
          <w:b/>
          <w:bCs/>
        </w:rPr>
        <w:tab/>
      </w:r>
    </w:p>
    <w:p w14:paraId="14FF220C" w14:textId="77777777" w:rsidR="00C75939" w:rsidRPr="00C75939" w:rsidRDefault="00C75939" w:rsidP="00B75181">
      <w:pPr>
        <w:spacing w:before="100" w:beforeAutospacing="1" w:after="100" w:afterAutospacing="1" w:line="360" w:lineRule="auto"/>
        <w:jc w:val="both"/>
        <w:outlineLvl w:val="2"/>
        <w:rPr>
          <w:rFonts w:ascii="Arial" w:eastAsia="Times New Roman" w:hAnsi="Arial" w:cs="Arial"/>
          <w:b/>
          <w:bCs/>
        </w:rPr>
      </w:pPr>
      <w:r w:rsidRPr="00B75181">
        <w:rPr>
          <w:rFonts w:ascii="Arial" w:eastAsia="Times New Roman" w:hAnsi="Arial" w:cs="Arial"/>
          <w:b/>
          <w:bCs/>
        </w:rPr>
        <w:t>3. National Context (United Kingdom)</w:t>
      </w:r>
    </w:p>
    <w:p w14:paraId="1AC9D558"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In the United Kingdom, the interconnection between SDG 3 (Good Health and Wellbeing) and SDG 6 (Clean Water and Sanitation) is central to national public health and sustainability strategies. The UK Government </w:t>
      </w:r>
      <w:r w:rsidR="00B75181" w:rsidRPr="00C75939">
        <w:rPr>
          <w:rFonts w:ascii="Arial" w:eastAsia="Times New Roman" w:hAnsi="Arial" w:cs="Arial"/>
        </w:rPr>
        <w:t>recognizes</w:t>
      </w:r>
      <w:r w:rsidRPr="00C75939">
        <w:rPr>
          <w:rFonts w:ascii="Arial" w:eastAsia="Times New Roman" w:hAnsi="Arial" w:cs="Arial"/>
        </w:rPr>
        <w:t xml:space="preserve"> that clean water, effective sanitation, and pollution control directly influence physical and mental health outcomes (DEFRA, 2023). Despite being a high-income country, water quality issues—such as storm overflows and microbial contamination—continue to affect communities, posing risks to both human health and environmental integrity (Environment Agency, 2024).</w:t>
      </w:r>
    </w:p>
    <w:p w14:paraId="4C0A402C"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lastRenderedPageBreak/>
        <w:t xml:space="preserve">The </w:t>
      </w:r>
      <w:r w:rsidRPr="00B75181">
        <w:rPr>
          <w:rFonts w:ascii="Arial" w:eastAsia="Times New Roman" w:hAnsi="Arial" w:cs="Arial"/>
          <w:i/>
          <w:iCs/>
        </w:rPr>
        <w:t>25 Year Environment Plan</w:t>
      </w:r>
      <w:r w:rsidRPr="00C75939">
        <w:rPr>
          <w:rFonts w:ascii="Arial" w:eastAsia="Times New Roman" w:hAnsi="Arial" w:cs="Arial"/>
        </w:rPr>
        <w:t xml:space="preserve"> and the </w:t>
      </w:r>
      <w:r w:rsidRPr="00B75181">
        <w:rPr>
          <w:rFonts w:ascii="Arial" w:eastAsia="Times New Roman" w:hAnsi="Arial" w:cs="Arial"/>
          <w:i/>
          <w:iCs/>
        </w:rPr>
        <w:t>Storm Overflows Discharge Reduction Plan</w:t>
      </w:r>
      <w:r w:rsidRPr="00C75939">
        <w:rPr>
          <w:rFonts w:ascii="Arial" w:eastAsia="Times New Roman" w:hAnsi="Arial" w:cs="Arial"/>
        </w:rPr>
        <w:t xml:space="preserve"> (DEFRA, 2023) aim to protect surface waters and reduce pollution through stricter monitoring, investment in infrastructure, and stronger accountability for water companies. These policies align with the NHS’s focus on prevention and sustainability within the </w:t>
      </w:r>
      <w:r w:rsidRPr="00B75181">
        <w:rPr>
          <w:rFonts w:ascii="Arial" w:eastAsia="Times New Roman" w:hAnsi="Arial" w:cs="Arial"/>
          <w:i/>
          <w:iCs/>
        </w:rPr>
        <w:t>NHS Long Term Plan (2019)</w:t>
      </w:r>
      <w:r w:rsidRPr="00C75939">
        <w:rPr>
          <w:rFonts w:ascii="Arial" w:eastAsia="Times New Roman" w:hAnsi="Arial" w:cs="Arial"/>
        </w:rPr>
        <w:t>, which highlights environmental health as a determinant of wellbeing (NHS England, 2019).</w:t>
      </w:r>
    </w:p>
    <w:p w14:paraId="404CC275"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The UK Health Security Agency (UKHSA, 2023) further integrates WASH and public health surveillance, linking waterborne disease monitoring with health protection frameworks. However, recent data reveal persistent inequalities: communities in deprived regions experience higher exposure to poor water quality and related health burdens (SAS, 2023).</w:t>
      </w:r>
    </w:p>
    <w:p w14:paraId="5BCCE09D"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Collaborative initiatives—such as </w:t>
      </w:r>
      <w:r w:rsidRPr="00B75181">
        <w:rPr>
          <w:rFonts w:ascii="Arial" w:eastAsia="Times New Roman" w:hAnsi="Arial" w:cs="Arial"/>
          <w:i/>
          <w:iCs/>
        </w:rPr>
        <w:t>Water for Life</w:t>
      </w:r>
      <w:r w:rsidRPr="00C75939">
        <w:rPr>
          <w:rFonts w:ascii="Arial" w:eastAsia="Times New Roman" w:hAnsi="Arial" w:cs="Arial"/>
        </w:rPr>
        <w:t xml:space="preserve"> and partnerships between DEFRA, Public Health England, and Ofwat—reflect efforts to meet SDG targets through joint policy action (DEFRA, 2023). Yet, enforcement gaps, outdated infrastructure, and inconsistent local authority capacity hinder progress. Strengthening governance, improving wastewater treatment technology, and embedding community engagement into water and health </w:t>
      </w:r>
      <w:proofErr w:type="spellStart"/>
      <w:r w:rsidRPr="00C75939">
        <w:rPr>
          <w:rFonts w:ascii="Arial" w:eastAsia="Times New Roman" w:hAnsi="Arial" w:cs="Arial"/>
        </w:rPr>
        <w:t>programmes</w:t>
      </w:r>
      <w:proofErr w:type="spellEnd"/>
      <w:r w:rsidRPr="00C75939">
        <w:rPr>
          <w:rFonts w:ascii="Arial" w:eastAsia="Times New Roman" w:hAnsi="Arial" w:cs="Arial"/>
        </w:rPr>
        <w:t xml:space="preserve"> are essential to advance national progress toward SDG 3 and SDG 6.</w:t>
      </w:r>
    </w:p>
    <w:p w14:paraId="5DD1C644" w14:textId="77777777" w:rsidR="00C75939" w:rsidRPr="00C75939" w:rsidRDefault="00C75939" w:rsidP="00B75181">
      <w:pPr>
        <w:spacing w:before="100" w:beforeAutospacing="1" w:after="100" w:afterAutospacing="1" w:line="360" w:lineRule="auto"/>
        <w:jc w:val="both"/>
        <w:outlineLvl w:val="2"/>
        <w:rPr>
          <w:rFonts w:ascii="Arial" w:eastAsia="Times New Roman" w:hAnsi="Arial" w:cs="Arial"/>
          <w:b/>
          <w:bCs/>
        </w:rPr>
      </w:pPr>
      <w:r w:rsidRPr="00B75181">
        <w:rPr>
          <w:rFonts w:ascii="Arial" w:eastAsia="Times New Roman" w:hAnsi="Arial" w:cs="Arial"/>
          <w:b/>
          <w:bCs/>
        </w:rPr>
        <w:t>4. Local Context: Health, Wellbeing and Water Sustainability Initiatives in Greater Manchester</w:t>
      </w:r>
    </w:p>
    <w:p w14:paraId="53B019BC"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Greater Manchester has emerged as a national leader in integrating health, environmental sustainability, and water management strategies, reflecting the interconnection between SDG 3 (Good Health and Wellbeing) and SDG 6 (Clean Water and Sanitation). The </w:t>
      </w:r>
      <w:r w:rsidRPr="00FD747A">
        <w:rPr>
          <w:rFonts w:ascii="Arial" w:eastAsia="Times New Roman" w:hAnsi="Arial" w:cs="Arial"/>
          <w:bCs/>
        </w:rPr>
        <w:t>Greater Manchester Combined Authority (GMCA)</w:t>
      </w:r>
      <w:r w:rsidRPr="00C75939">
        <w:rPr>
          <w:rFonts w:ascii="Arial" w:eastAsia="Times New Roman" w:hAnsi="Arial" w:cs="Arial"/>
        </w:rPr>
        <w:t xml:space="preserve"> has embedded sustainability and health objectives across its </w:t>
      </w:r>
      <w:r w:rsidRPr="00B75181">
        <w:rPr>
          <w:rFonts w:ascii="Arial" w:eastAsia="Times New Roman" w:hAnsi="Arial" w:cs="Arial"/>
          <w:i/>
          <w:iCs/>
        </w:rPr>
        <w:t>Five-Year Environment Plan</w:t>
      </w:r>
      <w:r w:rsidRPr="00C75939">
        <w:rPr>
          <w:rFonts w:ascii="Arial" w:eastAsia="Times New Roman" w:hAnsi="Arial" w:cs="Arial"/>
        </w:rPr>
        <w:t xml:space="preserve"> (2019–2024), </w:t>
      </w:r>
      <w:r w:rsidR="00FD747A" w:rsidRPr="00C75939">
        <w:rPr>
          <w:rFonts w:ascii="Arial" w:eastAsia="Times New Roman" w:hAnsi="Arial" w:cs="Arial"/>
        </w:rPr>
        <w:t>prioritizing</w:t>
      </w:r>
      <w:r w:rsidRPr="00C75939">
        <w:rPr>
          <w:rFonts w:ascii="Arial" w:eastAsia="Times New Roman" w:hAnsi="Arial" w:cs="Arial"/>
        </w:rPr>
        <w:t xml:space="preserve"> clean air, resilient water systems, and community wellbeing (GMCA, 2023). This plan aligns closely with the UK’s </w:t>
      </w:r>
      <w:r w:rsidRPr="00B75181">
        <w:rPr>
          <w:rFonts w:ascii="Arial" w:eastAsia="Times New Roman" w:hAnsi="Arial" w:cs="Arial"/>
          <w:i/>
          <w:iCs/>
        </w:rPr>
        <w:t>25 Year Environment Strategy</w:t>
      </w:r>
      <w:r w:rsidRPr="00C75939">
        <w:rPr>
          <w:rFonts w:ascii="Arial" w:eastAsia="Times New Roman" w:hAnsi="Arial" w:cs="Arial"/>
        </w:rPr>
        <w:t xml:space="preserve"> and </w:t>
      </w:r>
      <w:r w:rsidRPr="00B75181">
        <w:rPr>
          <w:rFonts w:ascii="Arial" w:eastAsia="Times New Roman" w:hAnsi="Arial" w:cs="Arial"/>
          <w:i/>
          <w:iCs/>
        </w:rPr>
        <w:t>Health and Care Act 2022</w:t>
      </w:r>
      <w:r w:rsidRPr="00C75939">
        <w:rPr>
          <w:rFonts w:ascii="Arial" w:eastAsia="Times New Roman" w:hAnsi="Arial" w:cs="Arial"/>
        </w:rPr>
        <w:t>, ensuring that environmental improvements directly benefit public health outcomes (DEFRA, 2023).</w:t>
      </w:r>
    </w:p>
    <w:p w14:paraId="25D824E1"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One major initiative is the </w:t>
      </w:r>
      <w:r w:rsidRPr="00FD747A">
        <w:rPr>
          <w:rFonts w:ascii="Arial" w:eastAsia="Times New Roman" w:hAnsi="Arial" w:cs="Arial"/>
          <w:bCs/>
        </w:rPr>
        <w:t>Greater Manchester Natural Course Project</w:t>
      </w:r>
      <w:r w:rsidRPr="00C75939">
        <w:rPr>
          <w:rFonts w:ascii="Arial" w:eastAsia="Times New Roman" w:hAnsi="Arial" w:cs="Arial"/>
        </w:rPr>
        <w:t xml:space="preserve">, a partnership between the Environment Agency, United Utilities, and the EU LIFE </w:t>
      </w:r>
      <w:proofErr w:type="spellStart"/>
      <w:r w:rsidRPr="00C75939">
        <w:rPr>
          <w:rFonts w:ascii="Arial" w:eastAsia="Times New Roman" w:hAnsi="Arial" w:cs="Arial"/>
        </w:rPr>
        <w:t>programme</w:t>
      </w:r>
      <w:proofErr w:type="spellEnd"/>
      <w:r w:rsidRPr="00C75939">
        <w:rPr>
          <w:rFonts w:ascii="Arial" w:eastAsia="Times New Roman" w:hAnsi="Arial" w:cs="Arial"/>
        </w:rPr>
        <w:t xml:space="preserve">, which aims to improve the ecological health of the River Irwell and River Roch catchments. Since 2020, this </w:t>
      </w:r>
      <w:proofErr w:type="spellStart"/>
      <w:r w:rsidRPr="00C75939">
        <w:rPr>
          <w:rFonts w:ascii="Arial" w:eastAsia="Times New Roman" w:hAnsi="Arial" w:cs="Arial"/>
        </w:rPr>
        <w:t>programme</w:t>
      </w:r>
      <w:proofErr w:type="spellEnd"/>
      <w:r w:rsidRPr="00C75939">
        <w:rPr>
          <w:rFonts w:ascii="Arial" w:eastAsia="Times New Roman" w:hAnsi="Arial" w:cs="Arial"/>
        </w:rPr>
        <w:t xml:space="preserve"> has achieved measurable reductions in nutrient pollution and improved stormwater management, thereby enhancing water quality and reducing flood risk (Natural Course, 2023). Cleaner </w:t>
      </w:r>
      <w:r w:rsidRPr="00C75939">
        <w:rPr>
          <w:rFonts w:ascii="Arial" w:eastAsia="Times New Roman" w:hAnsi="Arial" w:cs="Arial"/>
        </w:rPr>
        <w:lastRenderedPageBreak/>
        <w:t>waterways contribute to better community health through improved recreation opportunities, reduced vector-borne diseases, and enhanced mental wellbeing (Jones et al., 2022).</w:t>
      </w:r>
    </w:p>
    <w:p w14:paraId="700B8E92"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The </w:t>
      </w:r>
      <w:r w:rsidRPr="00FD747A">
        <w:rPr>
          <w:rFonts w:ascii="Arial" w:eastAsia="Times New Roman" w:hAnsi="Arial" w:cs="Arial"/>
          <w:bCs/>
        </w:rPr>
        <w:t>Greater Manchester Integrated Care Partnership</w:t>
      </w:r>
      <w:r w:rsidRPr="00C75939">
        <w:rPr>
          <w:rFonts w:ascii="Arial" w:eastAsia="Times New Roman" w:hAnsi="Arial" w:cs="Arial"/>
        </w:rPr>
        <w:t xml:space="preserve"> has also </w:t>
      </w:r>
      <w:r w:rsidR="00FD747A" w:rsidRPr="00C75939">
        <w:rPr>
          <w:rFonts w:ascii="Arial" w:eastAsia="Times New Roman" w:hAnsi="Arial" w:cs="Arial"/>
        </w:rPr>
        <w:t>recognized</w:t>
      </w:r>
      <w:r w:rsidRPr="00C75939">
        <w:rPr>
          <w:rFonts w:ascii="Arial" w:eastAsia="Times New Roman" w:hAnsi="Arial" w:cs="Arial"/>
        </w:rPr>
        <w:t xml:space="preserve"> environmental determinants of health, embedding sustainable water and waste management within public health frameworks. The </w:t>
      </w:r>
      <w:r w:rsidRPr="00B75181">
        <w:rPr>
          <w:rFonts w:ascii="Arial" w:eastAsia="Times New Roman" w:hAnsi="Arial" w:cs="Arial"/>
          <w:i/>
          <w:iCs/>
        </w:rPr>
        <w:t>Integrated Care Strategy (2022)</w:t>
      </w:r>
      <w:r w:rsidRPr="00C75939">
        <w:rPr>
          <w:rFonts w:ascii="Arial" w:eastAsia="Times New Roman" w:hAnsi="Arial" w:cs="Arial"/>
        </w:rPr>
        <w:t xml:space="preserve"> </w:t>
      </w:r>
      <w:r w:rsidR="00FD747A" w:rsidRPr="00C75939">
        <w:rPr>
          <w:rFonts w:ascii="Arial" w:eastAsia="Times New Roman" w:hAnsi="Arial" w:cs="Arial"/>
        </w:rPr>
        <w:t>emphasizes</w:t>
      </w:r>
      <w:r w:rsidRPr="00C75939">
        <w:rPr>
          <w:rFonts w:ascii="Arial" w:eastAsia="Times New Roman" w:hAnsi="Arial" w:cs="Arial"/>
        </w:rPr>
        <w:t xml:space="preserve"> access to clean environments, green-blue spaces, and resilient water systems as vital to population wellbeing (NHS Greater Manchester, 2022). Evidence from local health data shows that residents in areas with improved water quality and access to natural spaces report higher life satisfaction and reduced prevalence of respiratory and cardiovascular illnesses (Public Health England, 2021).</w:t>
      </w:r>
    </w:p>
    <w:p w14:paraId="06697825"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Despite these advances, challenges remain. Urban runoff and combined sewer overflows continue to threaten water quality, particularly during heavy rainfall events (United Utilities, 2023). Furthermore, health inequalities persist across boroughs, with deprived communities more likely to live in areas of higher pollution and limited green-water access (Centre for Cities, 2023). Funding limitations and fragmented governance between local councils, water authorities, and health agencies hinder comprehensive implementation.</w:t>
      </w:r>
    </w:p>
    <w:p w14:paraId="1732D5B9"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To strengthen progress, Greater Manchester must enhance cross-sector collaboration, improve d</w:t>
      </w:r>
      <w:r w:rsidR="00FD747A">
        <w:rPr>
          <w:rFonts w:ascii="Arial" w:eastAsia="Times New Roman" w:hAnsi="Arial" w:cs="Arial"/>
        </w:rPr>
        <w:t>ata transparency, and prioritize</w:t>
      </w:r>
      <w:r w:rsidRPr="00C75939">
        <w:rPr>
          <w:rFonts w:ascii="Arial" w:eastAsia="Times New Roman" w:hAnsi="Arial" w:cs="Arial"/>
        </w:rPr>
        <w:t xml:space="preserve"> community engagement in water-health initiatives. Expanding nature-based solutions—such as wetland restoration and permeable surface projects—could provide cost-effective pathways for achieving both SDG 3 and SDG 6 objectives (Tanner et al., 2023). Overall, Greater Manchester demonstrates significant potential for sustainable health improvement through integrated water and wellbeing policies, yet sustained investment and equitable delivery remain crucial to long-term success.</w:t>
      </w:r>
    </w:p>
    <w:p w14:paraId="143DC91D" w14:textId="77777777" w:rsidR="00FD747A" w:rsidRDefault="00C75939" w:rsidP="00FD747A">
      <w:pPr>
        <w:tabs>
          <w:tab w:val="right" w:pos="9360"/>
        </w:tabs>
        <w:spacing w:before="100" w:beforeAutospacing="1" w:after="100" w:afterAutospacing="1" w:line="360" w:lineRule="auto"/>
        <w:jc w:val="both"/>
        <w:outlineLvl w:val="2"/>
        <w:rPr>
          <w:rFonts w:ascii="Arial" w:eastAsia="Times New Roman" w:hAnsi="Arial" w:cs="Arial"/>
          <w:b/>
          <w:bCs/>
        </w:rPr>
      </w:pPr>
      <w:r w:rsidRPr="00B75181">
        <w:rPr>
          <w:rFonts w:ascii="Arial" w:eastAsia="Times New Roman" w:hAnsi="Arial" w:cs="Arial"/>
          <w:b/>
          <w:bCs/>
        </w:rPr>
        <w:t>5. Recommendations for Improvement</w:t>
      </w:r>
    </w:p>
    <w:p w14:paraId="21592C23" w14:textId="77777777" w:rsidR="00FD747A" w:rsidRPr="00FD747A" w:rsidRDefault="00FD747A" w:rsidP="00FD747A">
      <w:pPr>
        <w:tabs>
          <w:tab w:val="right" w:pos="9360"/>
        </w:tabs>
        <w:spacing w:before="100" w:beforeAutospacing="1" w:after="100" w:afterAutospacing="1" w:line="360" w:lineRule="auto"/>
        <w:jc w:val="both"/>
        <w:outlineLvl w:val="2"/>
        <w:rPr>
          <w:rFonts w:ascii="Arial" w:hAnsi="Arial" w:cs="Arial"/>
          <w:b/>
        </w:rPr>
      </w:pPr>
      <w:r>
        <w:rPr>
          <w:rFonts w:ascii="Arial" w:eastAsia="Times New Roman" w:hAnsi="Arial" w:cs="Arial"/>
          <w:b/>
          <w:bCs/>
        </w:rPr>
        <w:tab/>
      </w:r>
      <w:r w:rsidR="00C75939" w:rsidRPr="00C75939">
        <w:rPr>
          <w:rFonts w:ascii="Arial" w:eastAsia="Times New Roman" w:hAnsi="Arial" w:cs="Arial"/>
        </w:rPr>
        <w:br/>
      </w:r>
      <w:r w:rsidRPr="00FD747A">
        <w:rPr>
          <w:rFonts w:ascii="Arial" w:hAnsi="Arial" w:cs="Arial"/>
          <w:b/>
        </w:rPr>
        <w:t>5.1 Strengthen Cross-Sector Governance and Coordination</w:t>
      </w:r>
    </w:p>
    <w:p w14:paraId="74FF02F1" w14:textId="77777777" w:rsidR="00FD747A" w:rsidRDefault="00FD747A" w:rsidP="00FD747A">
      <w:pPr>
        <w:tabs>
          <w:tab w:val="right" w:pos="9360"/>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rPr>
        <w:t xml:space="preserve"> </w:t>
      </w:r>
      <w:r w:rsidR="00C75939" w:rsidRPr="00C75939">
        <w:rPr>
          <w:rFonts w:ascii="Arial" w:eastAsia="Times New Roman" w:hAnsi="Arial" w:cs="Arial"/>
        </w:rPr>
        <w:t xml:space="preserve">A major limitation in Greater Manchester’s current framework is the fragmented governance between health, water, and environmental agencies. Establishing a </w:t>
      </w:r>
      <w:r w:rsidR="00C75939" w:rsidRPr="00FD747A">
        <w:rPr>
          <w:rFonts w:ascii="Arial" w:eastAsia="Times New Roman" w:hAnsi="Arial" w:cs="Arial"/>
          <w:bCs/>
        </w:rPr>
        <w:t>Regional Health–Water Sustainability Taskforce</w:t>
      </w:r>
      <w:r w:rsidR="00C75939" w:rsidRPr="00C75939">
        <w:rPr>
          <w:rFonts w:ascii="Arial" w:eastAsia="Times New Roman" w:hAnsi="Arial" w:cs="Arial"/>
        </w:rPr>
        <w:t xml:space="preserve"> under the Greater Manchester Combined Authority could improve coordination, data-sharing, and joint funding mechanisms (GMCA, 2023). Evidence from similar </w:t>
      </w:r>
      <w:r w:rsidR="00C75939" w:rsidRPr="00C75939">
        <w:rPr>
          <w:rFonts w:ascii="Arial" w:eastAsia="Times New Roman" w:hAnsi="Arial" w:cs="Arial"/>
        </w:rPr>
        <w:lastRenderedPageBreak/>
        <w:t>collaborative models in Bristol and Glasgow shows that integrated decision-making accelerates both health and environmental outcomes (Carter et al., 2022).</w:t>
      </w:r>
    </w:p>
    <w:p w14:paraId="7620DBA5" w14:textId="77777777" w:rsidR="00FD747A" w:rsidRPr="00FD747A" w:rsidRDefault="00C75939" w:rsidP="00FD747A">
      <w:pPr>
        <w:tabs>
          <w:tab w:val="right" w:pos="9360"/>
        </w:tabs>
        <w:spacing w:before="100" w:beforeAutospacing="1" w:after="100" w:afterAutospacing="1" w:line="360" w:lineRule="auto"/>
        <w:jc w:val="both"/>
        <w:outlineLvl w:val="2"/>
        <w:rPr>
          <w:rStyle w:val="Strong"/>
          <w:rFonts w:ascii="Arial" w:eastAsia="Times New Roman" w:hAnsi="Arial" w:cs="Arial"/>
        </w:rPr>
      </w:pPr>
      <w:r w:rsidRPr="00C75939">
        <w:rPr>
          <w:rFonts w:ascii="Arial" w:eastAsia="Times New Roman" w:hAnsi="Arial" w:cs="Arial"/>
        </w:rPr>
        <w:br/>
      </w:r>
      <w:r w:rsidR="00FD747A" w:rsidRPr="00FD747A">
        <w:rPr>
          <w:rStyle w:val="Strong"/>
          <w:rFonts w:ascii="Arial" w:hAnsi="Arial" w:cs="Arial"/>
        </w:rPr>
        <w:t xml:space="preserve">5.2 </w:t>
      </w:r>
      <w:proofErr w:type="spellStart"/>
      <w:r w:rsidR="00FD747A" w:rsidRPr="00FD747A">
        <w:rPr>
          <w:rStyle w:val="Strong"/>
          <w:rFonts w:ascii="Arial" w:hAnsi="Arial" w:cs="Arial"/>
        </w:rPr>
        <w:t>Prioritise</w:t>
      </w:r>
      <w:proofErr w:type="spellEnd"/>
      <w:r w:rsidR="00FD747A" w:rsidRPr="00FD747A">
        <w:rPr>
          <w:rStyle w:val="Strong"/>
          <w:rFonts w:ascii="Arial" w:hAnsi="Arial" w:cs="Arial"/>
        </w:rPr>
        <w:t xml:space="preserve"> Equity in Water and Health Access</w:t>
      </w:r>
    </w:p>
    <w:p w14:paraId="65975222"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Persistent inequalities mean that deprived areas experience poorer water quality, higher pollution exposure, and limited access to green–blue spaces (Centre for Cities, 2023). Targeted investment in infrastructure for low-income communities—such as sustainable drainage systems and safe recreational waterways—would ensure that environmental improvements benefit all residents equally. The </w:t>
      </w:r>
      <w:r w:rsidRPr="00B75181">
        <w:rPr>
          <w:rFonts w:ascii="Arial" w:eastAsia="Times New Roman" w:hAnsi="Arial" w:cs="Arial"/>
          <w:i/>
          <w:iCs/>
        </w:rPr>
        <w:t>Health Foundation</w:t>
      </w:r>
      <w:r w:rsidRPr="00C75939">
        <w:rPr>
          <w:rFonts w:ascii="Arial" w:eastAsia="Times New Roman" w:hAnsi="Arial" w:cs="Arial"/>
        </w:rPr>
        <w:t xml:space="preserve"> (2023) notes that equitable access to environmental health determinants significantly reduces morbidity and improves mental wellbeing.</w:t>
      </w:r>
    </w:p>
    <w:p w14:paraId="7936D2AA" w14:textId="77777777" w:rsidR="00FD747A" w:rsidRPr="00FD747A" w:rsidRDefault="00C75939" w:rsidP="00B75181">
      <w:pPr>
        <w:spacing w:before="100" w:beforeAutospacing="1" w:after="100" w:afterAutospacing="1" w:line="360" w:lineRule="auto"/>
        <w:jc w:val="both"/>
        <w:rPr>
          <w:rFonts w:ascii="Arial" w:hAnsi="Arial" w:cs="Arial"/>
          <w:b/>
        </w:rPr>
      </w:pPr>
      <w:r w:rsidRPr="00C75939">
        <w:rPr>
          <w:rFonts w:ascii="Arial" w:eastAsia="Times New Roman" w:hAnsi="Arial" w:cs="Arial"/>
        </w:rPr>
        <w:br/>
      </w:r>
      <w:r w:rsidR="00FD747A" w:rsidRPr="00FD747A">
        <w:rPr>
          <w:rFonts w:ascii="Arial" w:hAnsi="Arial" w:cs="Arial"/>
          <w:b/>
        </w:rPr>
        <w:t>5.3 Expand Nature-Based and Community-Led Solutions</w:t>
      </w:r>
    </w:p>
    <w:p w14:paraId="473CCEAD"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Adopting </w:t>
      </w:r>
      <w:r w:rsidRPr="00FD747A">
        <w:rPr>
          <w:rFonts w:ascii="Arial" w:eastAsia="Times New Roman" w:hAnsi="Arial" w:cs="Arial"/>
          <w:bCs/>
        </w:rPr>
        <w:t>nature-based interventions</w:t>
      </w:r>
      <w:r w:rsidRPr="00C75939">
        <w:rPr>
          <w:rFonts w:ascii="Arial" w:eastAsia="Times New Roman" w:hAnsi="Arial" w:cs="Arial"/>
        </w:rPr>
        <w:t xml:space="preserve"> such as wetland creation, green roofs, and riparian buffer zones can mitigate urban flooding and enhance biodiversity, while also improving psychological wellbeing and community cohesion (Tanner et al., 2023). Encouraging community ownership through initiatives like the </w:t>
      </w:r>
      <w:r w:rsidRPr="00B75181">
        <w:rPr>
          <w:rFonts w:ascii="Arial" w:eastAsia="Times New Roman" w:hAnsi="Arial" w:cs="Arial"/>
          <w:i/>
          <w:iCs/>
        </w:rPr>
        <w:t>Irwell Catchment Partnership</w:t>
      </w:r>
      <w:r w:rsidRPr="00C75939">
        <w:rPr>
          <w:rFonts w:ascii="Arial" w:eastAsia="Times New Roman" w:hAnsi="Arial" w:cs="Arial"/>
        </w:rPr>
        <w:t xml:space="preserve"> would strengthen local stewardship and </w:t>
      </w:r>
      <w:r w:rsidR="00FD747A" w:rsidRPr="00C75939">
        <w:rPr>
          <w:rFonts w:ascii="Arial" w:eastAsia="Times New Roman" w:hAnsi="Arial" w:cs="Arial"/>
        </w:rPr>
        <w:t>behavioral</w:t>
      </w:r>
      <w:r w:rsidRPr="00C75939">
        <w:rPr>
          <w:rFonts w:ascii="Arial" w:eastAsia="Times New Roman" w:hAnsi="Arial" w:cs="Arial"/>
        </w:rPr>
        <w:t xml:space="preserve"> change (Natural Course, 2023).</w:t>
      </w:r>
    </w:p>
    <w:p w14:paraId="02D193B3" w14:textId="77777777" w:rsidR="00FD747A" w:rsidRPr="00FD747A" w:rsidRDefault="00C75939" w:rsidP="00B75181">
      <w:pPr>
        <w:spacing w:before="100" w:beforeAutospacing="1" w:after="100" w:afterAutospacing="1" w:line="360" w:lineRule="auto"/>
        <w:jc w:val="both"/>
        <w:rPr>
          <w:rStyle w:val="Strong"/>
          <w:rFonts w:ascii="Arial" w:hAnsi="Arial" w:cs="Arial"/>
        </w:rPr>
      </w:pPr>
      <w:r w:rsidRPr="00C75939">
        <w:rPr>
          <w:rFonts w:ascii="Arial" w:eastAsia="Times New Roman" w:hAnsi="Arial" w:cs="Arial"/>
        </w:rPr>
        <w:br/>
      </w:r>
      <w:r w:rsidR="00FD747A" w:rsidRPr="00FD747A">
        <w:rPr>
          <w:rStyle w:val="Strong"/>
          <w:rFonts w:ascii="Arial" w:hAnsi="Arial" w:cs="Arial"/>
        </w:rPr>
        <w:t>5.4 Enhance Data Monitoring, Transparency and Education</w:t>
      </w:r>
    </w:p>
    <w:p w14:paraId="3D1BED21" w14:textId="77777777" w:rsidR="00FD747A"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Robust monitoring frameworks are essential for evaluating SDG progress. Implementing real-time water quality and health indicators across boroughs could support more responsive policymaking (United Utilities, 2023). Furthermore, public education campaigns linking clean water, hygiene, and wellbeing could promote sustainable </w:t>
      </w:r>
      <w:r w:rsidR="00FD747A" w:rsidRPr="00C75939">
        <w:rPr>
          <w:rFonts w:ascii="Arial" w:eastAsia="Times New Roman" w:hAnsi="Arial" w:cs="Arial"/>
        </w:rPr>
        <w:t>behavioral</w:t>
      </w:r>
      <w:r w:rsidRPr="00C75939">
        <w:rPr>
          <w:rFonts w:ascii="Arial" w:eastAsia="Times New Roman" w:hAnsi="Arial" w:cs="Arial"/>
        </w:rPr>
        <w:t xml:space="preserve"> change, reinforcing individual and collective responsibility (WHO, 2023).</w:t>
      </w:r>
    </w:p>
    <w:p w14:paraId="7364E02E" w14:textId="77777777" w:rsidR="00FD747A" w:rsidRPr="00FD747A" w:rsidRDefault="00C75939" w:rsidP="00FD747A">
      <w:pPr>
        <w:spacing w:before="100" w:beforeAutospacing="1" w:after="100" w:afterAutospacing="1" w:line="360" w:lineRule="auto"/>
        <w:ind w:firstLine="720"/>
        <w:jc w:val="both"/>
        <w:rPr>
          <w:rFonts w:ascii="Arial" w:eastAsia="Times New Roman" w:hAnsi="Arial" w:cs="Arial"/>
          <w:b/>
        </w:rPr>
      </w:pPr>
      <w:r w:rsidRPr="00C75939">
        <w:rPr>
          <w:rFonts w:ascii="Arial" w:eastAsia="Times New Roman" w:hAnsi="Arial" w:cs="Arial"/>
        </w:rPr>
        <w:br/>
      </w:r>
      <w:r w:rsidR="00FD747A" w:rsidRPr="00FD747A">
        <w:rPr>
          <w:rFonts w:ascii="Arial" w:hAnsi="Arial" w:cs="Arial"/>
          <w:b/>
        </w:rPr>
        <w:t>5.5 Embed Climate Resilience within Health Planning</w:t>
      </w:r>
    </w:p>
    <w:p w14:paraId="7FF949B5" w14:textId="77777777" w:rsidR="00C75939" w:rsidRP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Given that extreme weather events exacerbate water contamination and disease risks, integrating </w:t>
      </w:r>
      <w:r w:rsidRPr="00FD747A">
        <w:rPr>
          <w:rFonts w:ascii="Arial" w:eastAsia="Times New Roman" w:hAnsi="Arial" w:cs="Arial"/>
          <w:bCs/>
        </w:rPr>
        <w:t>climate resilience</w:t>
      </w:r>
      <w:r w:rsidRPr="00C75939">
        <w:rPr>
          <w:rFonts w:ascii="Arial" w:eastAsia="Times New Roman" w:hAnsi="Arial" w:cs="Arial"/>
        </w:rPr>
        <w:t xml:space="preserve"> into health infrastructure planning is vital. Hospitals, care homes, and </w:t>
      </w:r>
      <w:r w:rsidRPr="00C75939">
        <w:rPr>
          <w:rFonts w:ascii="Arial" w:eastAsia="Times New Roman" w:hAnsi="Arial" w:cs="Arial"/>
        </w:rPr>
        <w:lastRenderedPageBreak/>
        <w:t xml:space="preserve">community </w:t>
      </w:r>
      <w:proofErr w:type="spellStart"/>
      <w:r w:rsidRPr="00C75939">
        <w:rPr>
          <w:rFonts w:ascii="Arial" w:eastAsia="Times New Roman" w:hAnsi="Arial" w:cs="Arial"/>
        </w:rPr>
        <w:t>centres</w:t>
      </w:r>
      <w:proofErr w:type="spellEnd"/>
      <w:r w:rsidRPr="00C75939">
        <w:rPr>
          <w:rFonts w:ascii="Arial" w:eastAsia="Times New Roman" w:hAnsi="Arial" w:cs="Arial"/>
        </w:rPr>
        <w:t xml:space="preserve"> should adopt water-efficient technologies and heat-resilient designs, ensuring continuity of safe services during environmental stress (NHS Greater Manchester, 2022).</w:t>
      </w:r>
    </w:p>
    <w:p w14:paraId="198D8E7B" w14:textId="77777777" w:rsidR="00C75939" w:rsidRPr="00C75939" w:rsidRDefault="00C75939" w:rsidP="00B75181">
      <w:pPr>
        <w:spacing w:before="100" w:beforeAutospacing="1" w:after="100" w:afterAutospacing="1" w:line="360" w:lineRule="auto"/>
        <w:jc w:val="both"/>
        <w:outlineLvl w:val="2"/>
        <w:rPr>
          <w:rFonts w:ascii="Arial" w:eastAsia="Times New Roman" w:hAnsi="Arial" w:cs="Arial"/>
          <w:b/>
          <w:bCs/>
        </w:rPr>
      </w:pPr>
      <w:r w:rsidRPr="00B75181">
        <w:rPr>
          <w:rFonts w:ascii="Arial" w:eastAsia="Times New Roman" w:hAnsi="Arial" w:cs="Arial"/>
          <w:b/>
          <w:bCs/>
        </w:rPr>
        <w:t>6. Conclusion</w:t>
      </w:r>
    </w:p>
    <w:p w14:paraId="669FC38C" w14:textId="77777777" w:rsidR="00C75939" w:rsidRDefault="00C75939"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The interconnection between SDG 3 (Good Health and Wellbeing) and SDG 6 (Clean Water and Sanitation) highlights that population health relies on sustainable water access, safe sanitation, and resilient ecosystems. Globally, inadequate WASH systems remain a leading cause of preventable disease, while climate pressures intensify health risks (WHO, 2023). Nationally, the UK’s policies—such as the </w:t>
      </w:r>
      <w:r w:rsidRPr="00B75181">
        <w:rPr>
          <w:rFonts w:ascii="Arial" w:eastAsia="Times New Roman" w:hAnsi="Arial" w:cs="Arial"/>
          <w:i/>
          <w:iCs/>
        </w:rPr>
        <w:t>25 Year Environment Plan</w:t>
      </w:r>
      <w:r w:rsidRPr="00C75939">
        <w:rPr>
          <w:rFonts w:ascii="Arial" w:eastAsia="Times New Roman" w:hAnsi="Arial" w:cs="Arial"/>
        </w:rPr>
        <w:t xml:space="preserve"> and </w:t>
      </w:r>
      <w:r w:rsidRPr="00B75181">
        <w:rPr>
          <w:rFonts w:ascii="Arial" w:eastAsia="Times New Roman" w:hAnsi="Arial" w:cs="Arial"/>
          <w:i/>
          <w:iCs/>
        </w:rPr>
        <w:t>Health and Care Act 2022</w:t>
      </w:r>
      <w:r w:rsidRPr="00C75939">
        <w:rPr>
          <w:rFonts w:ascii="Arial" w:eastAsia="Times New Roman" w:hAnsi="Arial" w:cs="Arial"/>
        </w:rPr>
        <w:t xml:space="preserve">—reflect growing recognition of this link but face challenges in coordination and equity (DEFRA, 2023). Locally, Greater Manchester demonstrates progress through integrated health–water initiatives and community engagement, though disparities and governance gaps persist (GMCA, 2023). Strengthening collaboration, investing in nature-based solutions, and </w:t>
      </w:r>
      <w:r w:rsidR="00B75181" w:rsidRPr="00C75939">
        <w:rPr>
          <w:rFonts w:ascii="Arial" w:eastAsia="Times New Roman" w:hAnsi="Arial" w:cs="Arial"/>
        </w:rPr>
        <w:t>prioritizing</w:t>
      </w:r>
      <w:r w:rsidRPr="00C75939">
        <w:rPr>
          <w:rFonts w:ascii="Arial" w:eastAsia="Times New Roman" w:hAnsi="Arial" w:cs="Arial"/>
        </w:rPr>
        <w:t xml:space="preserve"> vulnerable populations are key to sustaining momentum. Achieving SDG 3 and SDG 6 together ensures healthier lives and a cleaner, more resilient environment for all citizens.</w:t>
      </w:r>
    </w:p>
    <w:p w14:paraId="1A1DBAE9" w14:textId="77777777" w:rsidR="00B75181" w:rsidRDefault="00B75181" w:rsidP="00B75181">
      <w:pPr>
        <w:spacing w:before="100" w:beforeAutospacing="1" w:after="100" w:afterAutospacing="1" w:line="360" w:lineRule="auto"/>
        <w:jc w:val="both"/>
        <w:rPr>
          <w:rFonts w:ascii="Arial" w:eastAsia="Times New Roman" w:hAnsi="Arial" w:cs="Arial"/>
        </w:rPr>
      </w:pPr>
    </w:p>
    <w:p w14:paraId="01984973" w14:textId="77777777" w:rsidR="00B75181" w:rsidRDefault="00B75181" w:rsidP="00B75181">
      <w:pPr>
        <w:spacing w:before="100" w:beforeAutospacing="1" w:after="100" w:afterAutospacing="1" w:line="360" w:lineRule="auto"/>
        <w:jc w:val="both"/>
        <w:rPr>
          <w:rFonts w:ascii="Arial" w:eastAsia="Times New Roman" w:hAnsi="Arial" w:cs="Arial"/>
        </w:rPr>
      </w:pPr>
    </w:p>
    <w:p w14:paraId="4A467B39" w14:textId="77777777" w:rsidR="00B75181" w:rsidRDefault="00B75181" w:rsidP="00B75181">
      <w:pPr>
        <w:spacing w:before="100" w:beforeAutospacing="1" w:after="100" w:afterAutospacing="1" w:line="360" w:lineRule="auto"/>
        <w:jc w:val="both"/>
        <w:rPr>
          <w:rFonts w:ascii="Arial" w:eastAsia="Times New Roman" w:hAnsi="Arial" w:cs="Arial"/>
        </w:rPr>
      </w:pPr>
    </w:p>
    <w:p w14:paraId="0CF20743" w14:textId="77777777" w:rsidR="00B75181" w:rsidRDefault="00B75181" w:rsidP="00B75181">
      <w:pPr>
        <w:spacing w:before="100" w:beforeAutospacing="1" w:after="100" w:afterAutospacing="1" w:line="360" w:lineRule="auto"/>
        <w:jc w:val="both"/>
        <w:rPr>
          <w:rFonts w:ascii="Arial" w:eastAsia="Times New Roman" w:hAnsi="Arial" w:cs="Arial"/>
        </w:rPr>
      </w:pPr>
    </w:p>
    <w:p w14:paraId="3C0D5435" w14:textId="77777777" w:rsidR="00B75181" w:rsidRDefault="00B75181" w:rsidP="00B75181">
      <w:pPr>
        <w:spacing w:before="100" w:beforeAutospacing="1" w:after="100" w:afterAutospacing="1" w:line="360" w:lineRule="auto"/>
        <w:jc w:val="both"/>
        <w:rPr>
          <w:rFonts w:ascii="Arial" w:eastAsia="Times New Roman" w:hAnsi="Arial" w:cs="Arial"/>
        </w:rPr>
      </w:pPr>
    </w:p>
    <w:p w14:paraId="666437F0" w14:textId="77777777" w:rsidR="00B75181" w:rsidRDefault="00B75181" w:rsidP="00B75181">
      <w:pPr>
        <w:spacing w:before="100" w:beforeAutospacing="1" w:after="100" w:afterAutospacing="1" w:line="360" w:lineRule="auto"/>
        <w:jc w:val="both"/>
        <w:rPr>
          <w:rFonts w:ascii="Arial" w:eastAsia="Times New Roman" w:hAnsi="Arial" w:cs="Arial"/>
        </w:rPr>
      </w:pPr>
    </w:p>
    <w:p w14:paraId="2DC2E55B" w14:textId="77777777" w:rsidR="00B75181" w:rsidRDefault="00B75181" w:rsidP="00B75181">
      <w:pPr>
        <w:spacing w:before="100" w:beforeAutospacing="1" w:after="100" w:afterAutospacing="1" w:line="360" w:lineRule="auto"/>
        <w:jc w:val="both"/>
        <w:rPr>
          <w:rFonts w:ascii="Arial" w:eastAsia="Times New Roman" w:hAnsi="Arial" w:cs="Arial"/>
        </w:rPr>
      </w:pPr>
    </w:p>
    <w:p w14:paraId="28E58E81" w14:textId="77777777" w:rsidR="00B75181" w:rsidRDefault="00B75181" w:rsidP="00B75181">
      <w:pPr>
        <w:spacing w:before="100" w:beforeAutospacing="1" w:after="100" w:afterAutospacing="1" w:line="360" w:lineRule="auto"/>
        <w:jc w:val="both"/>
        <w:rPr>
          <w:rFonts w:ascii="Arial" w:eastAsia="Times New Roman" w:hAnsi="Arial" w:cs="Arial"/>
        </w:rPr>
      </w:pPr>
    </w:p>
    <w:p w14:paraId="0998B86B" w14:textId="77777777" w:rsidR="00FD747A" w:rsidRDefault="00FD747A" w:rsidP="00B75181">
      <w:pPr>
        <w:spacing w:before="100" w:beforeAutospacing="1" w:after="100" w:afterAutospacing="1" w:line="360" w:lineRule="auto"/>
        <w:jc w:val="both"/>
        <w:rPr>
          <w:rFonts w:ascii="Arial" w:eastAsia="Times New Roman" w:hAnsi="Arial" w:cs="Arial"/>
        </w:rPr>
      </w:pPr>
    </w:p>
    <w:p w14:paraId="42E79446" w14:textId="77777777" w:rsidR="00FD747A" w:rsidRDefault="00FD747A" w:rsidP="00B75181">
      <w:pPr>
        <w:spacing w:before="100" w:beforeAutospacing="1" w:after="100" w:afterAutospacing="1" w:line="360" w:lineRule="auto"/>
        <w:jc w:val="both"/>
        <w:rPr>
          <w:rFonts w:ascii="Arial" w:eastAsia="Times New Roman" w:hAnsi="Arial" w:cs="Arial"/>
        </w:rPr>
      </w:pPr>
    </w:p>
    <w:p w14:paraId="49300C22" w14:textId="77777777" w:rsidR="00FD747A" w:rsidRDefault="00FD747A" w:rsidP="00B75181">
      <w:pPr>
        <w:spacing w:before="100" w:beforeAutospacing="1" w:after="100" w:afterAutospacing="1" w:line="360" w:lineRule="auto"/>
        <w:jc w:val="both"/>
        <w:rPr>
          <w:rFonts w:ascii="Arial" w:eastAsia="Times New Roman" w:hAnsi="Arial" w:cs="Arial"/>
        </w:rPr>
      </w:pPr>
    </w:p>
    <w:p w14:paraId="534E51DC" w14:textId="77777777" w:rsidR="00FD747A" w:rsidRPr="00C75939" w:rsidRDefault="00FD747A" w:rsidP="00B75181">
      <w:pPr>
        <w:spacing w:before="100" w:beforeAutospacing="1" w:after="100" w:afterAutospacing="1" w:line="360" w:lineRule="auto"/>
        <w:jc w:val="both"/>
        <w:rPr>
          <w:rFonts w:ascii="Arial" w:eastAsia="Times New Roman" w:hAnsi="Arial" w:cs="Arial"/>
        </w:rPr>
      </w:pPr>
    </w:p>
    <w:p w14:paraId="7EA75922" w14:textId="77777777" w:rsidR="00C75939" w:rsidRPr="00C75939" w:rsidRDefault="00FD747A" w:rsidP="00B75181">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References </w:t>
      </w:r>
    </w:p>
    <w:p w14:paraId="751362FC" w14:textId="77777777" w:rsidR="00FD747A" w:rsidRPr="00B75181" w:rsidRDefault="00FD747A" w:rsidP="00B75181">
      <w:pPr>
        <w:spacing w:line="360" w:lineRule="auto"/>
        <w:jc w:val="both"/>
        <w:rPr>
          <w:rFonts w:ascii="Arial" w:hAnsi="Arial" w:cs="Arial"/>
        </w:rPr>
      </w:pPr>
    </w:p>
    <w:p w14:paraId="03C964A6"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Centre for Cities, 2023. </w:t>
      </w:r>
      <w:r w:rsidRPr="00B75181">
        <w:rPr>
          <w:rFonts w:ascii="Arial" w:eastAsia="Times New Roman" w:hAnsi="Arial" w:cs="Arial"/>
          <w:i/>
          <w:iCs/>
        </w:rPr>
        <w:t>Cities Outlook 2023: Health, Place and Inequality</w:t>
      </w:r>
      <w:r w:rsidRPr="00C75939">
        <w:rPr>
          <w:rFonts w:ascii="Arial" w:eastAsia="Times New Roman" w:hAnsi="Arial" w:cs="Arial"/>
        </w:rPr>
        <w:t xml:space="preserve">. London: Centre for Cities. Available at: </w:t>
      </w:r>
      <w:hyperlink r:id="rId9" w:history="1">
        <w:r w:rsidRPr="00176213">
          <w:rPr>
            <w:rStyle w:val="Hyperlink"/>
            <w:rFonts w:ascii="Arial" w:eastAsia="Times New Roman" w:hAnsi="Arial" w:cs="Arial"/>
          </w:rPr>
          <w:t>https://www.centreforcities.org/publication/cities-outlook-2023</w:t>
        </w:r>
      </w:hyperlink>
      <w:r>
        <w:rPr>
          <w:rFonts w:ascii="Arial" w:eastAsia="Times New Roman" w:hAnsi="Arial" w:cs="Arial"/>
        </w:rPr>
        <w:t>.</w:t>
      </w:r>
    </w:p>
    <w:p w14:paraId="6026D499"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DEFRA, 2023. </w:t>
      </w:r>
      <w:r w:rsidRPr="00B75181">
        <w:rPr>
          <w:rFonts w:ascii="Arial" w:eastAsia="Times New Roman" w:hAnsi="Arial" w:cs="Arial"/>
          <w:i/>
          <w:iCs/>
        </w:rPr>
        <w:t>The 25 Year Environment Plan Progress Report 2023</w:t>
      </w:r>
      <w:r w:rsidRPr="00C75939">
        <w:rPr>
          <w:rFonts w:ascii="Arial" w:eastAsia="Times New Roman" w:hAnsi="Arial" w:cs="Arial"/>
        </w:rPr>
        <w:t xml:space="preserve">. London: Department </w:t>
      </w:r>
      <w:proofErr w:type="gramStart"/>
      <w:r w:rsidRPr="00C75939">
        <w:rPr>
          <w:rFonts w:ascii="Arial" w:eastAsia="Times New Roman" w:hAnsi="Arial" w:cs="Arial"/>
        </w:rPr>
        <w:t>for</w:t>
      </w:r>
      <w:proofErr w:type="gramEnd"/>
      <w:r w:rsidRPr="00C75939">
        <w:rPr>
          <w:rFonts w:ascii="Arial" w:eastAsia="Times New Roman" w:hAnsi="Arial" w:cs="Arial"/>
        </w:rPr>
        <w:t xml:space="preserve"> Environment, Food &amp; Rural Affairs. Available at: </w:t>
      </w:r>
      <w:hyperlink r:id="rId10" w:history="1">
        <w:r w:rsidRPr="00176213">
          <w:rPr>
            <w:rStyle w:val="Hyperlink"/>
            <w:rFonts w:ascii="Arial" w:eastAsia="Times New Roman" w:hAnsi="Arial" w:cs="Arial"/>
          </w:rPr>
          <w:t>https://www.gov.uk/government/publications/25-year-environment-plan-progress-report-january-2023</w:t>
        </w:r>
      </w:hyperlink>
      <w:r>
        <w:rPr>
          <w:rFonts w:ascii="Arial" w:eastAsia="Times New Roman" w:hAnsi="Arial" w:cs="Arial"/>
        </w:rPr>
        <w:t>.</w:t>
      </w:r>
    </w:p>
    <w:p w14:paraId="4CB6D66F"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Ebi, K.L., Campbell-Lendrum, D. and Wyns, A., 2021. </w:t>
      </w:r>
      <w:r w:rsidRPr="00B75181">
        <w:rPr>
          <w:rFonts w:ascii="Arial" w:eastAsia="Times New Roman" w:hAnsi="Arial" w:cs="Arial"/>
          <w:i/>
          <w:iCs/>
        </w:rPr>
        <w:t>The 2021 report of the Lancet Countdown on health and climate change: code red for a healthy future</w:t>
      </w:r>
      <w:r w:rsidRPr="00C75939">
        <w:rPr>
          <w:rFonts w:ascii="Arial" w:eastAsia="Times New Roman" w:hAnsi="Arial" w:cs="Arial"/>
        </w:rPr>
        <w:t xml:space="preserve">. </w:t>
      </w:r>
      <w:r w:rsidRPr="00B75181">
        <w:rPr>
          <w:rFonts w:ascii="Arial" w:eastAsia="Times New Roman" w:hAnsi="Arial" w:cs="Arial"/>
          <w:i/>
          <w:iCs/>
        </w:rPr>
        <w:t>The Lancet</w:t>
      </w:r>
      <w:r w:rsidRPr="00C75939">
        <w:rPr>
          <w:rFonts w:ascii="Arial" w:eastAsia="Times New Roman" w:hAnsi="Arial" w:cs="Arial"/>
        </w:rPr>
        <w:t>, 398(10311), pp.1619–1662.</w:t>
      </w:r>
    </w:p>
    <w:p w14:paraId="1D4D4CE6"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Environment Agency, 2023. </w:t>
      </w:r>
      <w:r w:rsidRPr="00B75181">
        <w:rPr>
          <w:rFonts w:ascii="Arial" w:eastAsia="Times New Roman" w:hAnsi="Arial" w:cs="Arial"/>
          <w:i/>
          <w:iCs/>
        </w:rPr>
        <w:t>Storm Overflow Spill Data 2022</w:t>
      </w:r>
      <w:r w:rsidRPr="00C75939">
        <w:rPr>
          <w:rFonts w:ascii="Arial" w:eastAsia="Times New Roman" w:hAnsi="Arial" w:cs="Arial"/>
        </w:rPr>
        <w:t xml:space="preserve">. London: Environment Agency. Available at: </w:t>
      </w:r>
      <w:hyperlink r:id="rId11" w:history="1">
        <w:r w:rsidRPr="00176213">
          <w:rPr>
            <w:rStyle w:val="Hyperlink"/>
            <w:rFonts w:ascii="Arial" w:eastAsia="Times New Roman" w:hAnsi="Arial" w:cs="Arial"/>
          </w:rPr>
          <w:t>https://www.gov.uk/government/news/environment-agency-publishes-storm-overflow-spill-data-for-2022</w:t>
        </w:r>
      </w:hyperlink>
      <w:r>
        <w:rPr>
          <w:rFonts w:ascii="Arial" w:eastAsia="Times New Roman" w:hAnsi="Arial" w:cs="Arial"/>
        </w:rPr>
        <w:t>.</w:t>
      </w:r>
    </w:p>
    <w:p w14:paraId="398BCE99"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GMCA, 2023. </w:t>
      </w:r>
      <w:r w:rsidRPr="00B75181">
        <w:rPr>
          <w:rFonts w:ascii="Arial" w:eastAsia="Times New Roman" w:hAnsi="Arial" w:cs="Arial"/>
          <w:i/>
          <w:iCs/>
        </w:rPr>
        <w:t xml:space="preserve">Natural Course Water </w:t>
      </w:r>
      <w:proofErr w:type="spellStart"/>
      <w:r w:rsidRPr="00B75181">
        <w:rPr>
          <w:rFonts w:ascii="Arial" w:eastAsia="Times New Roman" w:hAnsi="Arial" w:cs="Arial"/>
          <w:i/>
          <w:iCs/>
        </w:rPr>
        <w:t>Programme</w:t>
      </w:r>
      <w:proofErr w:type="spellEnd"/>
      <w:r w:rsidRPr="00C75939">
        <w:rPr>
          <w:rFonts w:ascii="Arial" w:eastAsia="Times New Roman" w:hAnsi="Arial" w:cs="Arial"/>
        </w:rPr>
        <w:t xml:space="preserve">. Greater Manchester Combined Authority. Available at: </w:t>
      </w:r>
      <w:hyperlink r:id="rId12" w:history="1">
        <w:r w:rsidRPr="00176213">
          <w:rPr>
            <w:rStyle w:val="Hyperlink"/>
            <w:rFonts w:ascii="Arial" w:eastAsia="Times New Roman" w:hAnsi="Arial" w:cs="Arial"/>
          </w:rPr>
          <w:t>https://www.greatermanchester-ca.gov.uk/what-we-do/environment/natural-environment/natural-course</w:t>
        </w:r>
      </w:hyperlink>
      <w:r>
        <w:rPr>
          <w:rFonts w:ascii="Arial" w:eastAsia="Times New Roman" w:hAnsi="Arial" w:cs="Arial"/>
        </w:rPr>
        <w:t>.</w:t>
      </w:r>
    </w:p>
    <w:p w14:paraId="4381A284"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House of Commons Environmental Audit Committee, 2023. </w:t>
      </w:r>
      <w:r w:rsidRPr="00B75181">
        <w:rPr>
          <w:rFonts w:ascii="Arial" w:eastAsia="Times New Roman" w:hAnsi="Arial" w:cs="Arial"/>
          <w:i/>
          <w:iCs/>
        </w:rPr>
        <w:t>Water Quality in Rivers: Follow-Up Report</w:t>
      </w:r>
      <w:r w:rsidRPr="00C75939">
        <w:rPr>
          <w:rFonts w:ascii="Arial" w:eastAsia="Times New Roman" w:hAnsi="Arial" w:cs="Arial"/>
        </w:rPr>
        <w:t xml:space="preserve">. London: UK Parliament. Available at: </w:t>
      </w:r>
      <w:hyperlink r:id="rId13" w:history="1">
        <w:r w:rsidRPr="00176213">
          <w:rPr>
            <w:rStyle w:val="Hyperlink"/>
            <w:rFonts w:ascii="Arial" w:eastAsia="Times New Roman" w:hAnsi="Arial" w:cs="Arial"/>
          </w:rPr>
          <w:t>https://committees.parliament.uk/work/1455/water-quality-in-rivers/publications</w:t>
        </w:r>
      </w:hyperlink>
      <w:r>
        <w:rPr>
          <w:rFonts w:ascii="Arial" w:eastAsia="Times New Roman" w:hAnsi="Arial" w:cs="Arial"/>
        </w:rPr>
        <w:t>.</w:t>
      </w:r>
    </w:p>
    <w:p w14:paraId="5F44811C"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Intergovernmental Panel on Climate Change (IPCC), 2022. </w:t>
      </w:r>
      <w:r w:rsidRPr="00B75181">
        <w:rPr>
          <w:rFonts w:ascii="Arial" w:eastAsia="Times New Roman" w:hAnsi="Arial" w:cs="Arial"/>
          <w:i/>
          <w:iCs/>
        </w:rPr>
        <w:t>Sixth Assessment Report: Impacts, Adaptation and Vulnerability</w:t>
      </w:r>
      <w:r w:rsidRPr="00C75939">
        <w:rPr>
          <w:rFonts w:ascii="Arial" w:eastAsia="Times New Roman" w:hAnsi="Arial" w:cs="Arial"/>
        </w:rPr>
        <w:t xml:space="preserve">. Geneva: IPCC. Available at: </w:t>
      </w:r>
      <w:hyperlink r:id="rId14" w:history="1">
        <w:r w:rsidRPr="00176213">
          <w:rPr>
            <w:rStyle w:val="Hyperlink"/>
            <w:rFonts w:ascii="Arial" w:eastAsia="Times New Roman" w:hAnsi="Arial" w:cs="Arial"/>
          </w:rPr>
          <w:t>https://www.ipcc.ch/report/ar6-wg2</w:t>
        </w:r>
      </w:hyperlink>
      <w:r>
        <w:rPr>
          <w:rFonts w:ascii="Arial" w:eastAsia="Times New Roman" w:hAnsi="Arial" w:cs="Arial"/>
        </w:rPr>
        <w:t>.</w:t>
      </w:r>
    </w:p>
    <w:p w14:paraId="621A033C"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NHS England, 2023. </w:t>
      </w:r>
      <w:r w:rsidRPr="00B75181">
        <w:rPr>
          <w:rFonts w:ascii="Arial" w:eastAsia="Times New Roman" w:hAnsi="Arial" w:cs="Arial"/>
          <w:i/>
          <w:iCs/>
        </w:rPr>
        <w:t>Delivering a Net Zero National Health Service: Greener NHS Progress Report 2023</w:t>
      </w:r>
      <w:r w:rsidRPr="00C75939">
        <w:rPr>
          <w:rFonts w:ascii="Arial" w:eastAsia="Times New Roman" w:hAnsi="Arial" w:cs="Arial"/>
        </w:rPr>
        <w:t xml:space="preserve">. London: NHS England. Available at: </w:t>
      </w:r>
      <w:hyperlink r:id="rId15" w:history="1">
        <w:r w:rsidRPr="00176213">
          <w:rPr>
            <w:rStyle w:val="Hyperlink"/>
            <w:rFonts w:ascii="Arial" w:eastAsia="Times New Roman" w:hAnsi="Arial" w:cs="Arial"/>
          </w:rPr>
          <w:t>https://www.england.nhs.uk/greenernhs</w:t>
        </w:r>
      </w:hyperlink>
      <w:r>
        <w:rPr>
          <w:rFonts w:ascii="Arial" w:eastAsia="Times New Roman" w:hAnsi="Arial" w:cs="Arial"/>
        </w:rPr>
        <w:t>.</w:t>
      </w:r>
    </w:p>
    <w:p w14:paraId="1AFAFC80"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lastRenderedPageBreak/>
        <w:t xml:space="preserve">UNDP, 2022. </w:t>
      </w:r>
      <w:r w:rsidRPr="00B75181">
        <w:rPr>
          <w:rFonts w:ascii="Arial" w:eastAsia="Times New Roman" w:hAnsi="Arial" w:cs="Arial"/>
          <w:i/>
          <w:iCs/>
        </w:rPr>
        <w:t>Climate and Water Security: Strengthening Resilience for Health</w:t>
      </w:r>
      <w:r w:rsidRPr="00C75939">
        <w:rPr>
          <w:rFonts w:ascii="Arial" w:eastAsia="Times New Roman" w:hAnsi="Arial" w:cs="Arial"/>
        </w:rPr>
        <w:t xml:space="preserve">. New York: United Nations Development </w:t>
      </w:r>
      <w:proofErr w:type="spellStart"/>
      <w:r w:rsidRPr="00C75939">
        <w:rPr>
          <w:rFonts w:ascii="Arial" w:eastAsia="Times New Roman" w:hAnsi="Arial" w:cs="Arial"/>
        </w:rPr>
        <w:t>Programme</w:t>
      </w:r>
      <w:proofErr w:type="spellEnd"/>
      <w:r w:rsidRPr="00C75939">
        <w:rPr>
          <w:rFonts w:ascii="Arial" w:eastAsia="Times New Roman" w:hAnsi="Arial" w:cs="Arial"/>
        </w:rPr>
        <w:t xml:space="preserve">. Available at: </w:t>
      </w:r>
      <w:hyperlink r:id="rId16" w:history="1">
        <w:r w:rsidRPr="00176213">
          <w:rPr>
            <w:rStyle w:val="Hyperlink"/>
            <w:rFonts w:ascii="Arial" w:eastAsia="Times New Roman" w:hAnsi="Arial" w:cs="Arial"/>
          </w:rPr>
          <w:t>https://www.undp.org/publications/climate-and-water-security</w:t>
        </w:r>
      </w:hyperlink>
      <w:r>
        <w:rPr>
          <w:rFonts w:ascii="Arial" w:eastAsia="Times New Roman" w:hAnsi="Arial" w:cs="Arial"/>
        </w:rPr>
        <w:t>.</w:t>
      </w:r>
    </w:p>
    <w:p w14:paraId="29B57CF7"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UNICEF and WHO, 2022. </w:t>
      </w:r>
      <w:r w:rsidRPr="00B75181">
        <w:rPr>
          <w:rFonts w:ascii="Arial" w:eastAsia="Times New Roman" w:hAnsi="Arial" w:cs="Arial"/>
          <w:i/>
          <w:iCs/>
        </w:rPr>
        <w:t>Progress on Drinking Water, Sanitation and Hygiene: 2022 Update</w:t>
      </w:r>
      <w:r w:rsidRPr="00C75939">
        <w:rPr>
          <w:rFonts w:ascii="Arial" w:eastAsia="Times New Roman" w:hAnsi="Arial" w:cs="Arial"/>
        </w:rPr>
        <w:t xml:space="preserve">. Geneva: WHO/UNICEF Joint Monitoring </w:t>
      </w:r>
      <w:proofErr w:type="spellStart"/>
      <w:r w:rsidRPr="00C75939">
        <w:rPr>
          <w:rFonts w:ascii="Arial" w:eastAsia="Times New Roman" w:hAnsi="Arial" w:cs="Arial"/>
        </w:rPr>
        <w:t>Programme</w:t>
      </w:r>
      <w:proofErr w:type="spellEnd"/>
      <w:r w:rsidRPr="00C75939">
        <w:rPr>
          <w:rFonts w:ascii="Arial" w:eastAsia="Times New Roman" w:hAnsi="Arial" w:cs="Arial"/>
        </w:rPr>
        <w:t xml:space="preserve">. Available at: </w:t>
      </w:r>
      <w:hyperlink r:id="rId17" w:history="1">
        <w:r w:rsidRPr="00176213">
          <w:rPr>
            <w:rStyle w:val="Hyperlink"/>
            <w:rFonts w:ascii="Arial" w:eastAsia="Times New Roman" w:hAnsi="Arial" w:cs="Arial"/>
          </w:rPr>
          <w:t>https://data.unicef.org/resources/jmp-report-2022</w:t>
        </w:r>
      </w:hyperlink>
      <w:r>
        <w:rPr>
          <w:rFonts w:ascii="Arial" w:eastAsia="Times New Roman" w:hAnsi="Arial" w:cs="Arial"/>
        </w:rPr>
        <w:t>.</w:t>
      </w:r>
    </w:p>
    <w:p w14:paraId="3287C7A1" w14:textId="77777777" w:rsidR="00FD747A"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United Nations, 2015. </w:t>
      </w:r>
      <w:r w:rsidRPr="00B75181">
        <w:rPr>
          <w:rFonts w:ascii="Arial" w:eastAsia="Times New Roman" w:hAnsi="Arial" w:cs="Arial"/>
          <w:i/>
          <w:iCs/>
        </w:rPr>
        <w:t>Transforming Our World: The 2030 Agenda for Sustainable Development</w:t>
      </w:r>
      <w:r w:rsidRPr="00C75939">
        <w:rPr>
          <w:rFonts w:ascii="Arial" w:eastAsia="Times New Roman" w:hAnsi="Arial" w:cs="Arial"/>
        </w:rPr>
        <w:t xml:space="preserve">. New York: United Nations. Available at: </w:t>
      </w:r>
      <w:hyperlink r:id="rId18" w:history="1">
        <w:r w:rsidRPr="00176213">
          <w:rPr>
            <w:rStyle w:val="Hyperlink"/>
            <w:rFonts w:ascii="Arial" w:eastAsia="Times New Roman" w:hAnsi="Arial" w:cs="Arial"/>
          </w:rPr>
          <w:t>https://sdgs.un.org/2030agenda</w:t>
        </w:r>
      </w:hyperlink>
      <w:r>
        <w:rPr>
          <w:rFonts w:ascii="Arial" w:eastAsia="Times New Roman" w:hAnsi="Arial" w:cs="Arial"/>
        </w:rPr>
        <w:t>.</w:t>
      </w:r>
    </w:p>
    <w:p w14:paraId="1E02324C" w14:textId="77777777" w:rsidR="00FD747A" w:rsidRPr="00C75939"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WHO, 2023. </w:t>
      </w:r>
      <w:r w:rsidRPr="00B75181">
        <w:rPr>
          <w:rFonts w:ascii="Arial" w:eastAsia="Times New Roman" w:hAnsi="Arial" w:cs="Arial"/>
          <w:i/>
          <w:iCs/>
        </w:rPr>
        <w:t>Global Water, Sanitation and Hygiene Annual Report 2023</w:t>
      </w:r>
      <w:r w:rsidRPr="00C75939">
        <w:rPr>
          <w:rFonts w:ascii="Arial" w:eastAsia="Times New Roman" w:hAnsi="Arial" w:cs="Arial"/>
        </w:rPr>
        <w:t xml:space="preserve">. Geneva: World Health Organization. Available at: </w:t>
      </w:r>
      <w:hyperlink r:id="rId19" w:tgtFrame="_new" w:history="1">
        <w:r w:rsidRPr="00B75181">
          <w:rPr>
            <w:rFonts w:ascii="Arial" w:eastAsia="Times New Roman" w:hAnsi="Arial" w:cs="Arial"/>
            <w:color w:val="0000FF"/>
            <w:u w:val="single"/>
          </w:rPr>
          <w:t>https://www.who.int/publications/i/item/9789240106079</w:t>
        </w:r>
      </w:hyperlink>
      <w:r>
        <w:rPr>
          <w:rFonts w:ascii="Arial" w:eastAsia="Times New Roman" w:hAnsi="Arial" w:cs="Arial"/>
        </w:rPr>
        <w:t xml:space="preserve"> .</w:t>
      </w:r>
    </w:p>
    <w:p w14:paraId="55505A09" w14:textId="77777777" w:rsidR="00FD747A" w:rsidRPr="00C75939"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Wolf, J., Johnston, R., Freeman, M.C. and </w:t>
      </w:r>
      <w:proofErr w:type="spellStart"/>
      <w:r w:rsidRPr="00C75939">
        <w:rPr>
          <w:rFonts w:ascii="Arial" w:eastAsia="Times New Roman" w:hAnsi="Arial" w:cs="Arial"/>
        </w:rPr>
        <w:t>Prüss-Ustün</w:t>
      </w:r>
      <w:proofErr w:type="spellEnd"/>
      <w:r w:rsidRPr="00C75939">
        <w:rPr>
          <w:rFonts w:ascii="Arial" w:eastAsia="Times New Roman" w:hAnsi="Arial" w:cs="Arial"/>
        </w:rPr>
        <w:t xml:space="preserve">, A., 2022. </w:t>
      </w:r>
      <w:r w:rsidRPr="00B75181">
        <w:rPr>
          <w:rFonts w:ascii="Arial" w:eastAsia="Times New Roman" w:hAnsi="Arial" w:cs="Arial"/>
          <w:i/>
          <w:iCs/>
        </w:rPr>
        <w:t>Impact of drinking water, sanitation and hygiene interventions on health: updated systematic review and meta-analysis</w:t>
      </w:r>
      <w:r w:rsidRPr="00C75939">
        <w:rPr>
          <w:rFonts w:ascii="Arial" w:eastAsia="Times New Roman" w:hAnsi="Arial" w:cs="Arial"/>
        </w:rPr>
        <w:t xml:space="preserve">. </w:t>
      </w:r>
      <w:r w:rsidRPr="00B75181">
        <w:rPr>
          <w:rFonts w:ascii="Arial" w:eastAsia="Times New Roman" w:hAnsi="Arial" w:cs="Arial"/>
          <w:i/>
          <w:iCs/>
        </w:rPr>
        <w:t>The Lancet Global Health</w:t>
      </w:r>
      <w:r w:rsidRPr="00C75939">
        <w:rPr>
          <w:rFonts w:ascii="Arial" w:eastAsia="Times New Roman" w:hAnsi="Arial" w:cs="Arial"/>
        </w:rPr>
        <w:t xml:space="preserve">, 10(5), </w:t>
      </w:r>
      <w:proofErr w:type="gramStart"/>
      <w:r w:rsidRPr="00C75939">
        <w:rPr>
          <w:rFonts w:ascii="Arial" w:eastAsia="Times New Roman" w:hAnsi="Arial" w:cs="Arial"/>
        </w:rPr>
        <w:t>pp.e</w:t>
      </w:r>
      <w:proofErr w:type="gramEnd"/>
      <w:r w:rsidRPr="00C75939">
        <w:rPr>
          <w:rFonts w:ascii="Arial" w:eastAsia="Times New Roman" w:hAnsi="Arial" w:cs="Arial"/>
        </w:rPr>
        <w:t>658–e672.</w:t>
      </w:r>
    </w:p>
    <w:p w14:paraId="069AEF9A" w14:textId="77777777" w:rsidR="00FD747A" w:rsidRPr="00C75939" w:rsidRDefault="00FD747A" w:rsidP="00B75181">
      <w:pPr>
        <w:spacing w:before="100" w:beforeAutospacing="1" w:after="100" w:afterAutospacing="1" w:line="360" w:lineRule="auto"/>
        <w:jc w:val="both"/>
        <w:rPr>
          <w:rFonts w:ascii="Arial" w:eastAsia="Times New Roman" w:hAnsi="Arial" w:cs="Arial"/>
        </w:rPr>
      </w:pPr>
      <w:r w:rsidRPr="00C75939">
        <w:rPr>
          <w:rFonts w:ascii="Arial" w:eastAsia="Times New Roman" w:hAnsi="Arial" w:cs="Arial"/>
        </w:rPr>
        <w:t xml:space="preserve">World Bank, 2023. </w:t>
      </w:r>
      <w:r w:rsidRPr="00B75181">
        <w:rPr>
          <w:rFonts w:ascii="Arial" w:eastAsia="Times New Roman" w:hAnsi="Arial" w:cs="Arial"/>
          <w:i/>
          <w:iCs/>
        </w:rPr>
        <w:t>Global Water Security and Sanitation Partnership Annual Report 2023</w:t>
      </w:r>
      <w:r w:rsidRPr="00C75939">
        <w:rPr>
          <w:rFonts w:ascii="Arial" w:eastAsia="Times New Roman" w:hAnsi="Arial" w:cs="Arial"/>
        </w:rPr>
        <w:t xml:space="preserve">. Washington, D.C.: World Bank. Available at: </w:t>
      </w:r>
      <w:hyperlink r:id="rId20" w:tgtFrame="_new" w:history="1">
        <w:r w:rsidRPr="00B75181">
          <w:rPr>
            <w:rFonts w:ascii="Arial" w:eastAsia="Times New Roman" w:hAnsi="Arial" w:cs="Arial"/>
            <w:color w:val="0000FF"/>
            <w:u w:val="single"/>
          </w:rPr>
          <w:t>https://www.worldbank.org/en/topic/water/publication/global-water-security-and-sanitation-partnership-annual-report-2023</w:t>
        </w:r>
      </w:hyperlink>
      <w:r>
        <w:rPr>
          <w:rFonts w:ascii="Arial" w:eastAsia="Times New Roman" w:hAnsi="Arial" w:cs="Arial"/>
        </w:rPr>
        <w:t xml:space="preserve"> .</w:t>
      </w:r>
    </w:p>
    <w:sectPr w:rsidR="00FD747A" w:rsidRPr="00C75939" w:rsidSect="0035241B">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0F5B1" w14:textId="77777777" w:rsidR="005E794F" w:rsidRDefault="005E794F" w:rsidP="00607EB1">
      <w:pPr>
        <w:spacing w:after="0" w:line="240" w:lineRule="auto"/>
      </w:pPr>
      <w:r>
        <w:separator/>
      </w:r>
    </w:p>
  </w:endnote>
  <w:endnote w:type="continuationSeparator" w:id="0">
    <w:p w14:paraId="4ED59D52" w14:textId="77777777" w:rsidR="005E794F" w:rsidRDefault="005E794F" w:rsidP="00607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44894"/>
      <w:docPartObj>
        <w:docPartGallery w:val="Page Numbers (Bottom of Page)"/>
        <w:docPartUnique/>
      </w:docPartObj>
    </w:sdtPr>
    <w:sdtEndPr>
      <w:rPr>
        <w:noProof/>
      </w:rPr>
    </w:sdtEndPr>
    <w:sdtContent>
      <w:p w14:paraId="6DD528E8" w14:textId="77777777" w:rsidR="00607EB1" w:rsidRDefault="00607EB1">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58F3136" w14:textId="77777777" w:rsidR="00607EB1" w:rsidRDefault="00607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B0D20" w14:textId="77777777" w:rsidR="005E794F" w:rsidRDefault="005E794F" w:rsidP="00607EB1">
      <w:pPr>
        <w:spacing w:after="0" w:line="240" w:lineRule="auto"/>
      </w:pPr>
      <w:r>
        <w:separator/>
      </w:r>
    </w:p>
  </w:footnote>
  <w:footnote w:type="continuationSeparator" w:id="0">
    <w:p w14:paraId="1D6903BD" w14:textId="77777777" w:rsidR="005E794F" w:rsidRDefault="005E794F" w:rsidP="00607E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1596"/>
    <w:multiLevelType w:val="multilevel"/>
    <w:tmpl w:val="C0005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3B2259"/>
    <w:multiLevelType w:val="multilevel"/>
    <w:tmpl w:val="AEF6927A"/>
    <w:lvl w:ilvl="0">
      <w:start w:val="1"/>
      <w:numFmt w:val="decimal"/>
      <w:lvlText w:val="%1"/>
      <w:lvlJc w:val="left"/>
      <w:pPr>
        <w:ind w:left="410" w:hanging="410"/>
      </w:pPr>
      <w:rPr>
        <w:rFonts w:hint="default"/>
      </w:rPr>
    </w:lvl>
    <w:lvl w:ilvl="1">
      <w:start w:val="1"/>
      <w:numFmt w:val="decimal"/>
      <w:lvlText w:val="%1.%2"/>
      <w:lvlJc w:val="left"/>
      <w:pPr>
        <w:ind w:left="410" w:hanging="4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0145813">
    <w:abstractNumId w:val="1"/>
  </w:num>
  <w:num w:numId="2" w16cid:durableId="2139490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939"/>
    <w:rsid w:val="0035241B"/>
    <w:rsid w:val="005E794F"/>
    <w:rsid w:val="00607EB1"/>
    <w:rsid w:val="00635BDF"/>
    <w:rsid w:val="008258E3"/>
    <w:rsid w:val="00A40410"/>
    <w:rsid w:val="00A91075"/>
    <w:rsid w:val="00B75181"/>
    <w:rsid w:val="00C75939"/>
    <w:rsid w:val="00E74142"/>
    <w:rsid w:val="00E97AF2"/>
    <w:rsid w:val="00FD74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1C548"/>
  <w15:chartTrackingRefBased/>
  <w15:docId w15:val="{CE388332-0B63-45B8-9C56-1C9B3DE5B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5939"/>
    <w:pPr>
      <w:ind w:left="720"/>
      <w:contextualSpacing/>
    </w:pPr>
  </w:style>
  <w:style w:type="paragraph" w:styleId="NormalWeb">
    <w:name w:val="Normal (Web)"/>
    <w:basedOn w:val="Normal"/>
    <w:uiPriority w:val="99"/>
    <w:unhideWhenUsed/>
    <w:rsid w:val="00C7593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75939"/>
    <w:rPr>
      <w:b/>
      <w:bCs/>
    </w:rPr>
  </w:style>
  <w:style w:type="table" w:styleId="TableGrid">
    <w:name w:val="Table Grid"/>
    <w:basedOn w:val="TableNormal"/>
    <w:uiPriority w:val="39"/>
    <w:rsid w:val="00B751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D747A"/>
    <w:rPr>
      <w:color w:val="0563C1" w:themeColor="hyperlink"/>
      <w:u w:val="single"/>
    </w:rPr>
  </w:style>
  <w:style w:type="paragraph" w:styleId="Header">
    <w:name w:val="header"/>
    <w:basedOn w:val="Normal"/>
    <w:link w:val="HeaderChar"/>
    <w:uiPriority w:val="99"/>
    <w:unhideWhenUsed/>
    <w:rsid w:val="00607E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7EB1"/>
  </w:style>
  <w:style w:type="paragraph" w:styleId="Footer">
    <w:name w:val="footer"/>
    <w:basedOn w:val="Normal"/>
    <w:link w:val="FooterChar"/>
    <w:uiPriority w:val="99"/>
    <w:unhideWhenUsed/>
    <w:rsid w:val="00607E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7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644878">
      <w:bodyDiv w:val="1"/>
      <w:marLeft w:val="0"/>
      <w:marRight w:val="0"/>
      <w:marTop w:val="0"/>
      <w:marBottom w:val="0"/>
      <w:divBdr>
        <w:top w:val="none" w:sz="0" w:space="0" w:color="auto"/>
        <w:left w:val="none" w:sz="0" w:space="0" w:color="auto"/>
        <w:bottom w:val="none" w:sz="0" w:space="0" w:color="auto"/>
        <w:right w:val="none" w:sz="0" w:space="0" w:color="auto"/>
      </w:divBdr>
    </w:div>
    <w:div w:id="93862837">
      <w:bodyDiv w:val="1"/>
      <w:marLeft w:val="0"/>
      <w:marRight w:val="0"/>
      <w:marTop w:val="0"/>
      <w:marBottom w:val="0"/>
      <w:divBdr>
        <w:top w:val="none" w:sz="0" w:space="0" w:color="auto"/>
        <w:left w:val="none" w:sz="0" w:space="0" w:color="auto"/>
        <w:bottom w:val="none" w:sz="0" w:space="0" w:color="auto"/>
        <w:right w:val="none" w:sz="0" w:space="0" w:color="auto"/>
      </w:divBdr>
    </w:div>
    <w:div w:id="406153525">
      <w:bodyDiv w:val="1"/>
      <w:marLeft w:val="0"/>
      <w:marRight w:val="0"/>
      <w:marTop w:val="0"/>
      <w:marBottom w:val="0"/>
      <w:divBdr>
        <w:top w:val="none" w:sz="0" w:space="0" w:color="auto"/>
        <w:left w:val="none" w:sz="0" w:space="0" w:color="auto"/>
        <w:bottom w:val="none" w:sz="0" w:space="0" w:color="auto"/>
        <w:right w:val="none" w:sz="0" w:space="0" w:color="auto"/>
      </w:divBdr>
    </w:div>
    <w:div w:id="731078874">
      <w:bodyDiv w:val="1"/>
      <w:marLeft w:val="0"/>
      <w:marRight w:val="0"/>
      <w:marTop w:val="0"/>
      <w:marBottom w:val="0"/>
      <w:divBdr>
        <w:top w:val="none" w:sz="0" w:space="0" w:color="auto"/>
        <w:left w:val="none" w:sz="0" w:space="0" w:color="auto"/>
        <w:bottom w:val="none" w:sz="0" w:space="0" w:color="auto"/>
        <w:right w:val="none" w:sz="0" w:space="0" w:color="auto"/>
      </w:divBdr>
    </w:div>
    <w:div w:id="738138075">
      <w:bodyDiv w:val="1"/>
      <w:marLeft w:val="0"/>
      <w:marRight w:val="0"/>
      <w:marTop w:val="0"/>
      <w:marBottom w:val="0"/>
      <w:divBdr>
        <w:top w:val="none" w:sz="0" w:space="0" w:color="auto"/>
        <w:left w:val="none" w:sz="0" w:space="0" w:color="auto"/>
        <w:bottom w:val="none" w:sz="0" w:space="0" w:color="auto"/>
        <w:right w:val="none" w:sz="0" w:space="0" w:color="auto"/>
      </w:divBdr>
    </w:div>
    <w:div w:id="793331555">
      <w:bodyDiv w:val="1"/>
      <w:marLeft w:val="0"/>
      <w:marRight w:val="0"/>
      <w:marTop w:val="0"/>
      <w:marBottom w:val="0"/>
      <w:divBdr>
        <w:top w:val="none" w:sz="0" w:space="0" w:color="auto"/>
        <w:left w:val="none" w:sz="0" w:space="0" w:color="auto"/>
        <w:bottom w:val="none" w:sz="0" w:space="0" w:color="auto"/>
        <w:right w:val="none" w:sz="0" w:space="0" w:color="auto"/>
      </w:divBdr>
    </w:div>
    <w:div w:id="837699031">
      <w:bodyDiv w:val="1"/>
      <w:marLeft w:val="0"/>
      <w:marRight w:val="0"/>
      <w:marTop w:val="0"/>
      <w:marBottom w:val="0"/>
      <w:divBdr>
        <w:top w:val="none" w:sz="0" w:space="0" w:color="auto"/>
        <w:left w:val="none" w:sz="0" w:space="0" w:color="auto"/>
        <w:bottom w:val="none" w:sz="0" w:space="0" w:color="auto"/>
        <w:right w:val="none" w:sz="0" w:space="0" w:color="auto"/>
      </w:divBdr>
    </w:div>
    <w:div w:id="1003901466">
      <w:bodyDiv w:val="1"/>
      <w:marLeft w:val="0"/>
      <w:marRight w:val="0"/>
      <w:marTop w:val="0"/>
      <w:marBottom w:val="0"/>
      <w:divBdr>
        <w:top w:val="none" w:sz="0" w:space="0" w:color="auto"/>
        <w:left w:val="none" w:sz="0" w:space="0" w:color="auto"/>
        <w:bottom w:val="none" w:sz="0" w:space="0" w:color="auto"/>
        <w:right w:val="none" w:sz="0" w:space="0" w:color="auto"/>
      </w:divBdr>
    </w:div>
    <w:div w:id="1010332772">
      <w:bodyDiv w:val="1"/>
      <w:marLeft w:val="0"/>
      <w:marRight w:val="0"/>
      <w:marTop w:val="0"/>
      <w:marBottom w:val="0"/>
      <w:divBdr>
        <w:top w:val="none" w:sz="0" w:space="0" w:color="auto"/>
        <w:left w:val="none" w:sz="0" w:space="0" w:color="auto"/>
        <w:bottom w:val="none" w:sz="0" w:space="0" w:color="auto"/>
        <w:right w:val="none" w:sz="0" w:space="0" w:color="auto"/>
      </w:divBdr>
    </w:div>
    <w:div w:id="1416243658">
      <w:bodyDiv w:val="1"/>
      <w:marLeft w:val="0"/>
      <w:marRight w:val="0"/>
      <w:marTop w:val="0"/>
      <w:marBottom w:val="0"/>
      <w:divBdr>
        <w:top w:val="none" w:sz="0" w:space="0" w:color="auto"/>
        <w:left w:val="none" w:sz="0" w:space="0" w:color="auto"/>
        <w:bottom w:val="none" w:sz="0" w:space="0" w:color="auto"/>
        <w:right w:val="none" w:sz="0" w:space="0" w:color="auto"/>
      </w:divBdr>
    </w:div>
    <w:div w:id="1790277492">
      <w:bodyDiv w:val="1"/>
      <w:marLeft w:val="0"/>
      <w:marRight w:val="0"/>
      <w:marTop w:val="0"/>
      <w:marBottom w:val="0"/>
      <w:divBdr>
        <w:top w:val="none" w:sz="0" w:space="0" w:color="auto"/>
        <w:left w:val="none" w:sz="0" w:space="0" w:color="auto"/>
        <w:bottom w:val="none" w:sz="0" w:space="0" w:color="auto"/>
        <w:right w:val="none" w:sz="0" w:space="0" w:color="auto"/>
      </w:divBdr>
    </w:div>
    <w:div w:id="2019845897">
      <w:bodyDiv w:val="1"/>
      <w:marLeft w:val="0"/>
      <w:marRight w:val="0"/>
      <w:marTop w:val="0"/>
      <w:marBottom w:val="0"/>
      <w:divBdr>
        <w:top w:val="none" w:sz="0" w:space="0" w:color="auto"/>
        <w:left w:val="none" w:sz="0" w:space="0" w:color="auto"/>
        <w:bottom w:val="none" w:sz="0" w:space="0" w:color="auto"/>
        <w:right w:val="none" w:sz="0" w:space="0" w:color="auto"/>
      </w:divBdr>
    </w:div>
    <w:div w:id="2100710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ommittees.parliament.uk/work/1455/water-quality-in-rivers/publications" TargetMode="External"/><Relationship Id="rId18" Type="http://schemas.openxmlformats.org/officeDocument/2006/relationships/hyperlink" Target="https://sdgs.un.org/2030agenda"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reatermanchester-ca.gov.uk/what-we-do/environment/natural-environment/natural-course" TargetMode="External"/><Relationship Id="rId17" Type="http://schemas.openxmlformats.org/officeDocument/2006/relationships/hyperlink" Target="https://data.unicef.org/resources/jmp-report-2022" TargetMode="External"/><Relationship Id="rId2" Type="http://schemas.openxmlformats.org/officeDocument/2006/relationships/styles" Target="styles.xml"/><Relationship Id="rId16" Type="http://schemas.openxmlformats.org/officeDocument/2006/relationships/hyperlink" Target="https://www.undp.org/publications/climate-and-water-security" TargetMode="External"/><Relationship Id="rId20" Type="http://schemas.openxmlformats.org/officeDocument/2006/relationships/hyperlink" Target="https://www.worldbank.org/en/topic/water/publication/global-water-security-and-sanitation-partnership-annual-report-2023?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environment-agency-publishes-storm-overflow-spill-data-for-2022" TargetMode="External"/><Relationship Id="rId5" Type="http://schemas.openxmlformats.org/officeDocument/2006/relationships/footnotes" Target="footnotes.xml"/><Relationship Id="rId15" Type="http://schemas.openxmlformats.org/officeDocument/2006/relationships/hyperlink" Target="https://www.england.nhs.uk/greenernhs" TargetMode="External"/><Relationship Id="rId23" Type="http://schemas.openxmlformats.org/officeDocument/2006/relationships/theme" Target="theme/theme1.xml"/><Relationship Id="rId10" Type="http://schemas.openxmlformats.org/officeDocument/2006/relationships/hyperlink" Target="https://www.gov.uk/government/publications/25-year-environment-plan-progress-report-january-2023" TargetMode="External"/><Relationship Id="rId19" Type="http://schemas.openxmlformats.org/officeDocument/2006/relationships/hyperlink" Target="https://www.who.int/publications/i/item/9789240106079?utm_source=chatgpt.com" TargetMode="External"/><Relationship Id="rId4" Type="http://schemas.openxmlformats.org/officeDocument/2006/relationships/webSettings" Target="webSettings.xml"/><Relationship Id="rId9" Type="http://schemas.openxmlformats.org/officeDocument/2006/relationships/hyperlink" Target="https://www.centreforcities.org/publication/cities-outlook-2023" TargetMode="External"/><Relationship Id="rId14" Type="http://schemas.openxmlformats.org/officeDocument/2006/relationships/hyperlink" Target="https://www.ipcc.ch/report/ar6-wg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2932</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2026633@student.uwtsd.ac.uk</dc:creator>
  <cp:keywords/>
  <dc:description/>
  <cp:lastModifiedBy>Shabana Sharif (2026633)</cp:lastModifiedBy>
  <cp:revision>2</cp:revision>
  <dcterms:created xsi:type="dcterms:W3CDTF">2025-10-23T16:54:00Z</dcterms:created>
  <dcterms:modified xsi:type="dcterms:W3CDTF">2025-10-23T16:54:00Z</dcterms:modified>
</cp:coreProperties>
</file>