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6.xml" ContentType="application/vnd.openxmlformats-officedocument.wordprocessingml.header+xml"/>
  <Override PartName="/word/footer1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jc w:val="center"/>
        <w:tblLook w:val="04A0" w:firstRow="1" w:lastRow="0" w:firstColumn="1" w:lastColumn="0" w:noHBand="0" w:noVBand="1"/>
      </w:tblPr>
      <w:tblGrid>
        <w:gridCol w:w="8608"/>
      </w:tblGrid>
      <w:tr w:rsidR="003C13EB" w:rsidTr="008E51CA">
        <w:trPr>
          <w:trHeight w:val="2880"/>
          <w:jc w:val="center"/>
        </w:trPr>
        <w:tc>
          <w:tcPr>
            <w:tcW w:w="5000" w:type="pct"/>
          </w:tcPr>
          <w:p w:rsidR="003C13EB" w:rsidRDefault="003C13EB" w:rsidP="008E51CA">
            <w:pPr>
              <w:pStyle w:val="NoSpacing"/>
              <w:jc w:val="center"/>
              <w:rPr>
                <w:rFonts w:asciiTheme="majorHAnsi" w:eastAsiaTheme="majorEastAsia" w:hAnsiTheme="majorHAnsi" w:cstheme="majorBidi"/>
                <w:caps/>
              </w:rPr>
            </w:pPr>
          </w:p>
        </w:tc>
      </w:tr>
      <w:tr w:rsidR="003C13EB" w:rsidTr="003C13EB">
        <w:trPr>
          <w:trHeight w:val="1440"/>
          <w:jc w:val="center"/>
        </w:trPr>
        <w:tc>
          <w:tcPr>
            <w:tcW w:w="5000" w:type="pct"/>
            <w:tcBorders>
              <w:bottom w:val="single" w:sz="4" w:space="0" w:color="BFBFBF" w:themeColor="background1" w:themeShade="BF"/>
            </w:tcBorders>
            <w:vAlign w:val="center"/>
          </w:tcPr>
          <w:p w:rsidR="003C13EB" w:rsidRDefault="00DB7041" w:rsidP="008E51CA">
            <w:pPr>
              <w:pStyle w:val="NoSpacing"/>
              <w:jc w:val="center"/>
              <w:rPr>
                <w:rFonts w:asciiTheme="majorHAnsi" w:eastAsiaTheme="majorEastAsia" w:hAnsiTheme="majorHAnsi" w:cstheme="majorBidi"/>
                <w:sz w:val="80"/>
                <w:szCs w:val="80"/>
              </w:rPr>
            </w:pPr>
            <w:sdt>
              <w:sdtPr>
                <w:rPr>
                  <w:rFonts w:asciiTheme="majorHAnsi" w:eastAsiaTheme="majorEastAsia" w:hAnsiTheme="majorHAnsi" w:cstheme="majorBidi"/>
                  <w:sz w:val="56"/>
                  <w:szCs w:val="56"/>
                </w:rPr>
                <w:alias w:val="Title"/>
                <w:id w:val="-1053147533"/>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sz w:val="56"/>
                    <w:szCs w:val="56"/>
                  </w:rPr>
                  <w:t xml:space="preserve">Cosmic Chaos in Islamic Apocalyptic </w:t>
                </w:r>
                <w:r>
                  <w:rPr>
                    <w:rFonts w:asciiTheme="majorHAnsi" w:eastAsiaTheme="majorEastAsia" w:hAnsiTheme="majorHAnsi" w:cstheme="majorBidi"/>
                    <w:sz w:val="56"/>
                    <w:szCs w:val="56"/>
                    <w:cs/>
                  </w:rPr>
                  <w:t>‎</w:t>
                </w:r>
                <w:r>
                  <w:rPr>
                    <w:rFonts w:asciiTheme="majorHAnsi" w:eastAsiaTheme="majorEastAsia" w:hAnsiTheme="majorHAnsi" w:cstheme="majorBidi"/>
                    <w:sz w:val="56"/>
                    <w:szCs w:val="56"/>
                  </w:rPr>
                  <w:t>Eschatology</w:t>
                </w:r>
              </w:sdtContent>
            </w:sdt>
            <w:r>
              <w:rPr>
                <w:rFonts w:asciiTheme="majorHAnsi" w:eastAsiaTheme="majorEastAsia" w:hAnsiTheme="majorHAnsi" w:cstheme="majorBidi"/>
                <w:vanish/>
                <w:sz w:val="56"/>
                <w:szCs w:val="56"/>
                <w:highlight w:val="yellow"/>
              </w:rPr>
              <w:t xml:space="preserve"> </w:t>
            </w:r>
            <w:sdt>
              <w:sdtPr>
                <w:rPr>
                  <w:rFonts w:asciiTheme="majorHAnsi" w:eastAsiaTheme="majorEastAsia" w:hAnsiTheme="majorHAnsi" w:cstheme="majorBidi"/>
                  <w:vanish/>
                  <w:sz w:val="56"/>
                  <w:szCs w:val="56"/>
                  <w:highlight w:val="yellow"/>
                </w:rPr>
                <w:alias w:val="Title"/>
                <w:id w:val="15524250"/>
                <w:dataBinding w:prefixMappings="xmlns:ns0='http://schemas.openxmlformats.org/package/2006/metadata/core-properties' xmlns:ns1='http://purl.org/dc/elements/1.1/'" w:xpath="/ns0:coreProperties[1]/ns1:title[1]" w:storeItemID="{6C3C8BC8-F283-45AE-878A-BAB7291924A1}"/>
                <w:text/>
              </w:sdtPr>
              <w:sdtContent>
                <w:r w:rsidR="00625697">
                  <w:rPr>
                    <w:rFonts w:asciiTheme="majorHAnsi" w:eastAsiaTheme="majorEastAsia" w:hAnsiTheme="majorHAnsi" w:cstheme="majorBidi"/>
                    <w:vanish/>
                    <w:sz w:val="56"/>
                    <w:szCs w:val="56"/>
                    <w:highlight w:val="yellow"/>
                  </w:rPr>
                  <w:t xml:space="preserve">Cosmic Chaos in Islamic Apocalyptic </w:t>
                </w:r>
                <w:r w:rsidR="00625697">
                  <w:rPr>
                    <w:rFonts w:asciiTheme="majorHAnsi" w:eastAsiaTheme="majorEastAsia" w:hAnsiTheme="majorHAnsi" w:cstheme="majorBidi"/>
                    <w:vanish/>
                    <w:sz w:val="56"/>
                    <w:szCs w:val="56"/>
                    <w:highlight w:val="yellow"/>
                    <w:cs/>
                  </w:rPr>
                  <w:t>‎</w:t>
                </w:r>
                <w:r w:rsidR="00625697">
                  <w:rPr>
                    <w:rFonts w:asciiTheme="majorHAnsi" w:eastAsiaTheme="majorEastAsia" w:hAnsiTheme="majorHAnsi" w:cstheme="majorBidi"/>
                    <w:vanish/>
                    <w:sz w:val="56"/>
                    <w:szCs w:val="56"/>
                    <w:highlight w:val="yellow"/>
                  </w:rPr>
                  <w:t>Eschatology</w:t>
                </w:r>
              </w:sdtContent>
            </w:sdt>
          </w:p>
        </w:tc>
      </w:tr>
      <w:tr w:rsidR="003C13EB" w:rsidTr="003C13EB">
        <w:trPr>
          <w:trHeight w:val="720"/>
          <w:jc w:val="center"/>
        </w:trPr>
        <w:tc>
          <w:tcPr>
            <w:tcW w:w="5000" w:type="pct"/>
            <w:tcBorders>
              <w:top w:val="single" w:sz="4" w:space="0" w:color="BFBFBF" w:themeColor="background1" w:themeShade="BF"/>
            </w:tcBorders>
            <w:vAlign w:val="center"/>
          </w:tcPr>
          <w:p w:rsidR="003C13EB" w:rsidRDefault="003C13EB" w:rsidP="008E51CA">
            <w:pPr>
              <w:pStyle w:val="NoSpacing"/>
              <w:jc w:val="center"/>
              <w:rPr>
                <w:rFonts w:asciiTheme="majorHAnsi" w:eastAsiaTheme="majorEastAsia" w:hAnsiTheme="majorHAnsi" w:cstheme="majorBidi"/>
                <w:sz w:val="44"/>
                <w:szCs w:val="44"/>
              </w:rPr>
            </w:pPr>
          </w:p>
        </w:tc>
      </w:tr>
      <w:tr w:rsidR="003C13EB" w:rsidTr="008E51CA">
        <w:trPr>
          <w:trHeight w:val="360"/>
          <w:jc w:val="center"/>
        </w:trPr>
        <w:tc>
          <w:tcPr>
            <w:tcW w:w="5000" w:type="pct"/>
            <w:vAlign w:val="center"/>
          </w:tcPr>
          <w:sdt>
            <w:sdtPr>
              <w:rPr>
                <w:b/>
                <w:bCs/>
                <w:sz w:val="32"/>
                <w:szCs w:val="32"/>
              </w:rPr>
              <w:alias w:val="Author"/>
              <w:id w:val="-1296290522"/>
              <w:dataBinding w:prefixMappings="xmlns:ns0='http://schemas.openxmlformats.org/package/2006/metadata/core-properties' xmlns:ns1='http://purl.org/dc/elements/1.1/'" w:xpath="/ns0:coreProperties[1]/ns1:creator[1]" w:storeItemID="{6C3C8BC8-F283-45AE-878A-BAB7291924A1}"/>
              <w:text/>
            </w:sdtPr>
            <w:sdtContent>
              <w:p w:rsidR="003F6BB7" w:rsidRPr="007A5E36" w:rsidRDefault="003F6BB7" w:rsidP="003F6BB7">
                <w:pPr>
                  <w:pStyle w:val="NoSpacing"/>
                  <w:jc w:val="center"/>
                  <w:rPr>
                    <w:b/>
                    <w:bCs/>
                    <w:sz w:val="32"/>
                    <w:szCs w:val="32"/>
                  </w:rPr>
                </w:pPr>
                <w:r w:rsidRPr="007A5E36">
                  <w:rPr>
                    <w:b/>
                    <w:bCs/>
                    <w:sz w:val="32"/>
                    <w:szCs w:val="32"/>
                  </w:rPr>
                  <w:t>Mai Lootah</w:t>
                </w:r>
              </w:p>
            </w:sdtContent>
          </w:sdt>
          <w:p w:rsidR="003C13EB" w:rsidRDefault="003C13EB" w:rsidP="008E51CA">
            <w:pPr>
              <w:pStyle w:val="NoSpacing"/>
              <w:jc w:val="center"/>
            </w:pPr>
          </w:p>
        </w:tc>
      </w:tr>
      <w:tr w:rsidR="003C13EB" w:rsidTr="008E51CA">
        <w:trPr>
          <w:trHeight w:val="360"/>
          <w:jc w:val="center"/>
        </w:trPr>
        <w:tc>
          <w:tcPr>
            <w:tcW w:w="5000" w:type="pct"/>
            <w:vAlign w:val="center"/>
          </w:tcPr>
          <w:p w:rsidR="003C13EB" w:rsidRDefault="003C13EB" w:rsidP="003F6BB7">
            <w:pPr>
              <w:pStyle w:val="NoSpacing"/>
              <w:rPr>
                <w:b/>
                <w:bCs/>
                <w:sz w:val="32"/>
                <w:szCs w:val="32"/>
              </w:rPr>
            </w:pPr>
          </w:p>
          <w:p w:rsidR="003C13EB" w:rsidRDefault="003C13EB" w:rsidP="008E51CA">
            <w:pPr>
              <w:pStyle w:val="NoSpacing"/>
              <w:jc w:val="center"/>
              <w:rPr>
                <w:b/>
                <w:bCs/>
                <w:sz w:val="32"/>
                <w:szCs w:val="32"/>
              </w:rPr>
            </w:pPr>
          </w:p>
          <w:p w:rsidR="003C13EB" w:rsidRPr="004105FF" w:rsidRDefault="003C13EB" w:rsidP="008E51CA">
            <w:pPr>
              <w:spacing w:line="240" w:lineRule="auto"/>
              <w:jc w:val="center"/>
              <w:rPr>
                <w:rFonts w:ascii="Cambria" w:hAnsi="Cambria" w:cs="Cambria"/>
                <w:color w:val="000000"/>
                <w:sz w:val="28"/>
                <w:szCs w:val="28"/>
              </w:rPr>
            </w:pPr>
            <w:r w:rsidRPr="004105FF">
              <w:rPr>
                <w:rFonts w:ascii="Cambria" w:hAnsi="Cambria" w:cs="Cambria"/>
                <w:color w:val="000000"/>
                <w:sz w:val="28"/>
                <w:szCs w:val="28"/>
              </w:rPr>
              <w:t>Dissertation submitted in partial fulfillment</w:t>
            </w:r>
          </w:p>
          <w:p w:rsidR="003C13EB" w:rsidRPr="004105FF" w:rsidRDefault="003C13EB" w:rsidP="008E51CA">
            <w:pPr>
              <w:spacing w:line="240" w:lineRule="auto"/>
              <w:jc w:val="center"/>
              <w:rPr>
                <w:rFonts w:ascii="Cambria" w:hAnsi="Cambria" w:cs="Cambria"/>
                <w:color w:val="000000"/>
                <w:sz w:val="28"/>
                <w:szCs w:val="28"/>
              </w:rPr>
            </w:pPr>
            <w:r w:rsidRPr="004105FF">
              <w:rPr>
                <w:rFonts w:ascii="Cambria" w:hAnsi="Cambria" w:cs="Cambria"/>
                <w:color w:val="000000"/>
                <w:sz w:val="28"/>
                <w:szCs w:val="28"/>
              </w:rPr>
              <w:t>of a M.A. in Cultural Astronomy and Astrology</w:t>
            </w:r>
          </w:p>
          <w:p w:rsidR="003C13EB" w:rsidRPr="004105FF" w:rsidRDefault="003C13EB" w:rsidP="008E51CA">
            <w:pPr>
              <w:pStyle w:val="NoSpacing"/>
              <w:jc w:val="center"/>
              <w:rPr>
                <w:sz w:val="32"/>
                <w:szCs w:val="32"/>
              </w:rPr>
            </w:pPr>
            <w:r w:rsidRPr="004105FF">
              <w:rPr>
                <w:rFonts w:ascii="Cambria" w:eastAsiaTheme="minorHAnsi" w:hAnsi="Cambria" w:cs="Cambria"/>
                <w:color w:val="000000"/>
                <w:sz w:val="28"/>
                <w:szCs w:val="28"/>
                <w:lang w:eastAsia="en-US"/>
              </w:rPr>
              <w:t>University of Wales Trinity Saint David</w:t>
            </w:r>
          </w:p>
          <w:p w:rsidR="003C13EB" w:rsidRDefault="003C13EB" w:rsidP="008E51CA">
            <w:pPr>
              <w:pStyle w:val="NoSpacing"/>
              <w:rPr>
                <w:b/>
                <w:bCs/>
                <w:sz w:val="32"/>
                <w:szCs w:val="32"/>
              </w:rPr>
            </w:pPr>
          </w:p>
          <w:p w:rsidR="003C13EB" w:rsidRDefault="003C13EB" w:rsidP="008E51CA">
            <w:pPr>
              <w:pStyle w:val="NoSpacing"/>
              <w:rPr>
                <w:b/>
                <w:bCs/>
                <w:sz w:val="32"/>
                <w:szCs w:val="32"/>
              </w:rPr>
            </w:pPr>
          </w:p>
          <w:p w:rsidR="003C13EB" w:rsidRDefault="003C13EB" w:rsidP="008E51CA">
            <w:pPr>
              <w:pStyle w:val="NoSpacing"/>
              <w:jc w:val="center"/>
              <w:rPr>
                <w:b/>
                <w:bCs/>
                <w:sz w:val="32"/>
                <w:szCs w:val="32"/>
              </w:rPr>
            </w:pPr>
          </w:p>
          <w:p w:rsidR="003C13EB" w:rsidRDefault="003C13EB" w:rsidP="00DE7B2A">
            <w:pPr>
              <w:pStyle w:val="NoSpacing"/>
              <w:jc w:val="center"/>
              <w:rPr>
                <w:b/>
                <w:bCs/>
              </w:rPr>
            </w:pPr>
            <w:r w:rsidRPr="00DE7B2A">
              <w:rPr>
                <w:b/>
                <w:bCs/>
              </w:rPr>
              <w:t>Word Count: 15,</w:t>
            </w:r>
            <w:r w:rsidR="00DE7B2A" w:rsidRPr="00DE7B2A">
              <w:rPr>
                <w:b/>
                <w:bCs/>
              </w:rPr>
              <w:t>394</w:t>
            </w:r>
          </w:p>
          <w:p w:rsidR="003C13EB" w:rsidRDefault="003C13EB" w:rsidP="008E51CA">
            <w:pPr>
              <w:pStyle w:val="NoSpacing"/>
              <w:jc w:val="center"/>
              <w:rPr>
                <w:b/>
                <w:bCs/>
              </w:rPr>
            </w:pPr>
          </w:p>
          <w:p w:rsidR="003C13EB" w:rsidRDefault="003C13EB" w:rsidP="008E51CA">
            <w:pPr>
              <w:pStyle w:val="NoSpacing"/>
              <w:rPr>
                <w:b/>
                <w:bCs/>
              </w:rPr>
            </w:pPr>
          </w:p>
        </w:tc>
      </w:tr>
      <w:tr w:rsidR="003C13EB" w:rsidTr="008E51CA">
        <w:trPr>
          <w:trHeight w:val="360"/>
          <w:jc w:val="center"/>
        </w:trPr>
        <w:tc>
          <w:tcPr>
            <w:tcW w:w="5000" w:type="pct"/>
            <w:vAlign w:val="center"/>
          </w:tcPr>
          <w:p w:rsidR="003C13EB" w:rsidRPr="003A167A" w:rsidRDefault="003C13EB" w:rsidP="00501B25">
            <w:pPr>
              <w:pStyle w:val="NoSpacing"/>
              <w:jc w:val="center"/>
              <w:rPr>
                <w:b/>
                <w:bCs/>
                <w:sz w:val="24"/>
                <w:szCs w:val="24"/>
                <w:highlight w:val="yellow"/>
              </w:rPr>
            </w:pPr>
            <w:r w:rsidRPr="00501B25">
              <w:rPr>
                <w:b/>
                <w:bCs/>
                <w:sz w:val="24"/>
                <w:szCs w:val="24"/>
              </w:rPr>
              <w:t xml:space="preserve">Submitted: </w:t>
            </w:r>
            <w:r w:rsidR="00501B25" w:rsidRPr="00501B25">
              <w:rPr>
                <w:b/>
                <w:bCs/>
                <w:sz w:val="24"/>
                <w:szCs w:val="24"/>
              </w:rPr>
              <w:t>18</w:t>
            </w:r>
            <w:r w:rsidRPr="00501B25">
              <w:rPr>
                <w:b/>
                <w:bCs/>
                <w:sz w:val="24"/>
                <w:szCs w:val="24"/>
                <w:vertAlign w:val="superscript"/>
              </w:rPr>
              <w:t>t</w:t>
            </w:r>
            <w:r w:rsidR="00501B25" w:rsidRPr="00501B25">
              <w:rPr>
                <w:b/>
                <w:bCs/>
                <w:sz w:val="24"/>
                <w:szCs w:val="24"/>
                <w:vertAlign w:val="superscript"/>
              </w:rPr>
              <w:t>h</w:t>
            </w:r>
            <w:r w:rsidRPr="00501B25">
              <w:rPr>
                <w:b/>
                <w:bCs/>
                <w:sz w:val="24"/>
                <w:szCs w:val="24"/>
              </w:rPr>
              <w:t xml:space="preserve"> </w:t>
            </w:r>
            <w:r w:rsidR="008E51CA" w:rsidRPr="00501B25">
              <w:rPr>
                <w:b/>
                <w:bCs/>
                <w:sz w:val="24"/>
                <w:szCs w:val="24"/>
              </w:rPr>
              <w:t>March 2017</w:t>
            </w:r>
          </w:p>
        </w:tc>
      </w:tr>
    </w:tbl>
    <w:sdt>
      <w:sdtPr>
        <w:rPr>
          <w:vanish/>
          <w:highlight w:val="yellow"/>
        </w:rPr>
        <w:id w:val="-54628011"/>
        <w:docPartObj>
          <w:docPartGallery w:val="Cover Pages"/>
          <w:docPartUnique/>
        </w:docPartObj>
      </w:sdtPr>
      <w:sdtContent>
        <w:p w:rsidR="003C13EB" w:rsidRDefault="003C13EB"/>
        <w:p w:rsidR="003C13EB" w:rsidRDefault="003C13EB"/>
        <w:p w:rsidR="003C13EB" w:rsidRDefault="003C13EB"/>
        <w:p w:rsidR="003C13EB" w:rsidRDefault="003C13EB">
          <w:pPr>
            <w:autoSpaceDE/>
            <w:autoSpaceDN/>
            <w:adjustRightInd/>
            <w:spacing w:after="200"/>
            <w:rPr>
              <w:rFonts w:asciiTheme="majorHAnsi" w:eastAsiaTheme="majorEastAsia" w:hAnsiTheme="majorHAnsi" w:cstheme="majorBidi"/>
              <w:b/>
              <w:bCs/>
              <w:sz w:val="28"/>
              <w:szCs w:val="28"/>
            </w:rPr>
          </w:pPr>
          <w:r>
            <w:br w:type="page"/>
          </w:r>
        </w:p>
      </w:sdtContent>
    </w:sdt>
    <w:p w:rsidR="00DB534F" w:rsidRPr="00951BBF" w:rsidRDefault="00DB534F" w:rsidP="00DB534F">
      <w:pPr>
        <w:spacing w:after="120"/>
        <w:ind w:left="720"/>
        <w:rPr>
          <w:rFonts w:ascii="Arial" w:hAnsi="Arial" w:cs="Arial"/>
        </w:rPr>
      </w:pPr>
      <w:bookmarkStart w:id="0" w:name="_Toc463008608"/>
      <w:r>
        <w:rPr>
          <w:rFonts w:ascii="Arial" w:hAnsi="Arial" w:cs="Arial"/>
          <w:noProof/>
        </w:rPr>
        <w:lastRenderedPageBreak/>
        <w:drawing>
          <wp:inline distT="0" distB="0" distL="0" distR="0" wp14:anchorId="27A0D798" wp14:editId="607BB011">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roofErr w:type="gramStart"/>
      <w:r w:rsidRPr="00951BBF">
        <w:rPr>
          <w:rFonts w:ascii="Arial" w:hAnsi="Arial" w:cs="Arial"/>
        </w:rPr>
        <w:t>..</w:t>
      </w:r>
      <w:proofErr w:type="gramEnd"/>
      <w:r w:rsidRPr="00951BBF">
        <w:rPr>
          <w:rFonts w:ascii="Arial" w:hAnsi="Arial" w:cs="Arial"/>
        </w:rPr>
        <w:t>…</w:t>
      </w:r>
      <w:r w:rsidR="00681E8F">
        <w:rPr>
          <w:rFonts w:ascii="Arial" w:hAnsi="Arial" w:cs="Arial"/>
        </w:rPr>
        <w:t>Mai Ali Rashed Lootah….………………………………………</w:t>
      </w:r>
      <w:r w:rsidRPr="00951BBF">
        <w:rPr>
          <w:rFonts w:ascii="Arial" w:hAnsi="Arial" w:cs="Arial"/>
        </w:rPr>
        <w:t>…...</w:t>
      </w:r>
    </w:p>
    <w:p w:rsidR="00DB534F" w:rsidRPr="00951BBF" w:rsidRDefault="00DB534F" w:rsidP="003F6BB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681E8F">
        <w:rPr>
          <w:rFonts w:ascii="Arial" w:hAnsi="Arial" w:cs="Arial"/>
        </w:rPr>
        <w:t>1</w:t>
      </w:r>
      <w:r w:rsidR="003F6BB7">
        <w:rPr>
          <w:rFonts w:ascii="Arial" w:hAnsi="Arial" w:cs="Arial"/>
        </w:rPr>
        <w:t>8</w:t>
      </w:r>
      <w:r w:rsidR="00681E8F">
        <w:rPr>
          <w:rFonts w:ascii="Arial" w:hAnsi="Arial" w:cs="Arial"/>
        </w:rPr>
        <w:t>/March/2017……………………………………………………</w:t>
      </w:r>
      <w:r w:rsidRPr="00951BBF">
        <w:rPr>
          <w:rFonts w:ascii="Arial" w:hAnsi="Arial" w:cs="Arial"/>
        </w:rPr>
        <w:t>...</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sidR="00681E8F">
        <w:rPr>
          <w:rFonts w:ascii="Arial" w:hAnsi="Arial" w:cs="Arial"/>
        </w:rPr>
        <w:t>M.A. in Cultural Astronomy and Astrology…</w:t>
      </w:r>
      <w:r w:rsidRPr="00951BBF">
        <w:rPr>
          <w:rFonts w:ascii="Arial" w:hAnsi="Arial" w:cs="Arial"/>
        </w:rPr>
        <w:t>...............................</w:t>
      </w:r>
    </w:p>
    <w:p w:rsidR="00DB534F" w:rsidRPr="00951BBF" w:rsidRDefault="00740A11" w:rsidP="00DB534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DB534F" w:rsidRPr="00951BBF">
        <w:rPr>
          <w:rFonts w:ascii="Arial" w:hAnsi="Arial" w:cs="Arial"/>
        </w:rPr>
        <w:t>…</w:t>
      </w:r>
      <w:r w:rsidR="00681E8F">
        <w:rPr>
          <w:rFonts w:ascii="Arial" w:hAnsi="Arial" w:cs="Arial"/>
        </w:rPr>
        <w:t>Mai Ali Rashed Lootah…………………………………………………………</w:t>
      </w:r>
      <w:r w:rsidR="00DB534F" w:rsidRPr="00951BBF">
        <w:rPr>
          <w:rFonts w:ascii="Arial" w:hAnsi="Arial" w:cs="Arial"/>
        </w:rPr>
        <w:t>.</w:t>
      </w:r>
    </w:p>
    <w:p w:rsidR="00DB534F" w:rsidRPr="00951BBF" w:rsidRDefault="00DB534F" w:rsidP="003F6BB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  …</w:t>
      </w:r>
      <w:proofErr w:type="gramEnd"/>
      <w:r w:rsidRPr="00951BBF">
        <w:rPr>
          <w:rFonts w:ascii="Arial" w:hAnsi="Arial" w:cs="Arial"/>
        </w:rPr>
        <w:t>……</w:t>
      </w:r>
      <w:r w:rsidR="00681E8F">
        <w:rPr>
          <w:rFonts w:ascii="Arial" w:hAnsi="Arial" w:cs="Arial"/>
        </w:rPr>
        <w:t>1</w:t>
      </w:r>
      <w:r w:rsidR="003F6BB7">
        <w:rPr>
          <w:rFonts w:ascii="Arial" w:hAnsi="Arial" w:cs="Arial"/>
        </w:rPr>
        <w:t>8</w:t>
      </w:r>
      <w:r w:rsidR="00681E8F">
        <w:rPr>
          <w:rFonts w:ascii="Arial" w:hAnsi="Arial" w:cs="Arial"/>
        </w:rPr>
        <w:t>/March/2017…</w:t>
      </w:r>
      <w:r w:rsidRPr="00951BBF">
        <w:rPr>
          <w:rFonts w:ascii="Arial" w:hAnsi="Arial" w:cs="Arial"/>
        </w:rPr>
        <w:t>…………………………………….…………..…………...</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DB534F" w:rsidRPr="00951BBF" w:rsidRDefault="00740A11" w:rsidP="00DB534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Name……Mai Ali Rashed Lootah…</w:t>
      </w:r>
      <w:r w:rsidR="00DB534F" w:rsidRPr="00951BBF">
        <w:rPr>
          <w:rFonts w:ascii="Arial" w:hAnsi="Arial" w:cs="Arial"/>
        </w:rPr>
        <w:t>………………………………….……………….</w:t>
      </w:r>
    </w:p>
    <w:p w:rsidR="00DB534F" w:rsidRPr="00951BBF" w:rsidRDefault="00DB534F" w:rsidP="003F6BB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proofErr w:type="gramStart"/>
      <w:r w:rsidRPr="00951BBF">
        <w:rPr>
          <w:rFonts w:ascii="Arial" w:hAnsi="Arial" w:cs="Arial"/>
        </w:rPr>
        <w:t>:  ………</w:t>
      </w:r>
      <w:proofErr w:type="gramEnd"/>
      <w:r w:rsidR="00740A11">
        <w:rPr>
          <w:rFonts w:ascii="Arial" w:hAnsi="Arial" w:cs="Arial"/>
        </w:rPr>
        <w:t>1</w:t>
      </w:r>
      <w:r w:rsidR="003F6BB7">
        <w:rPr>
          <w:rFonts w:ascii="Arial" w:hAnsi="Arial" w:cs="Arial"/>
        </w:rPr>
        <w:t>8</w:t>
      </w:r>
      <w:r w:rsidR="00740A11">
        <w:rPr>
          <w:rFonts w:ascii="Arial" w:hAnsi="Arial" w:cs="Arial"/>
        </w:rPr>
        <w:t>/March/2017…</w:t>
      </w:r>
      <w:r w:rsidRPr="00951BBF">
        <w:rPr>
          <w:rFonts w:ascii="Arial" w:hAnsi="Arial" w:cs="Arial"/>
        </w:rPr>
        <w:t>………………………………...……………………….</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740A11">
        <w:rPr>
          <w:rFonts w:ascii="Arial" w:hAnsi="Arial" w:cs="Arial"/>
        </w:rPr>
        <w:t>Mai Ali Rashed Lootah</w:t>
      </w:r>
      <w:r w:rsidRPr="00951BBF">
        <w:rPr>
          <w:rFonts w:ascii="Arial" w:hAnsi="Arial" w:cs="Arial"/>
        </w:rPr>
        <w:t>………………………</w:t>
      </w:r>
      <w:r w:rsidR="00740A11">
        <w:rPr>
          <w:rFonts w:ascii="Arial" w:hAnsi="Arial" w:cs="Arial"/>
        </w:rPr>
        <w:t>……………</w:t>
      </w:r>
      <w:r w:rsidRPr="00951BBF">
        <w:rPr>
          <w:rFonts w:ascii="Arial" w:hAnsi="Arial" w:cs="Arial"/>
        </w:rPr>
        <w:t>……………….</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3F6BB7">
        <w:rPr>
          <w:rFonts w:ascii="Arial" w:hAnsi="Arial" w:cs="Arial"/>
        </w:rPr>
        <w:t>18</w:t>
      </w:r>
      <w:r w:rsidR="00740A11">
        <w:rPr>
          <w:rFonts w:ascii="Arial" w:hAnsi="Arial" w:cs="Arial"/>
        </w:rPr>
        <w:t>/March/2017…</w:t>
      </w:r>
      <w:r w:rsidR="00CA7FF5">
        <w:rPr>
          <w:rFonts w:ascii="Arial" w:hAnsi="Arial" w:cs="Arial"/>
        </w:rPr>
        <w:t>………………………….…………………………….</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rsidR="00DB534F" w:rsidRPr="00951BBF" w:rsidRDefault="00DB534F" w:rsidP="00DB534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w:t>
      </w:r>
      <w:proofErr w:type="gramStart"/>
      <w:r w:rsidRPr="00951BBF">
        <w:rPr>
          <w:rFonts w:ascii="Arial" w:hAnsi="Arial" w:cs="Arial"/>
        </w:rPr>
        <w:t>:  …………………………………………………………………………...</w:t>
      </w:r>
      <w:proofErr w:type="gramEnd"/>
    </w:p>
    <w:p w:rsidR="00DB534F" w:rsidRDefault="00DB534F" w:rsidP="00DB534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rsidR="003A167A" w:rsidRDefault="003A167A" w:rsidP="00EB7521"/>
    <w:p w:rsidR="00DB534F" w:rsidRDefault="00DB534F">
      <w:pPr>
        <w:autoSpaceDE/>
        <w:autoSpaceDN/>
        <w:adjustRightInd/>
        <w:spacing w:after="200"/>
      </w:pPr>
      <w:r>
        <w:br w:type="page"/>
      </w:r>
    </w:p>
    <w:p w:rsidR="00817BF3" w:rsidRDefault="00817BF3" w:rsidP="00EB7521"/>
    <w:p w:rsidR="00817BF3" w:rsidRDefault="00817BF3" w:rsidP="00EB7521"/>
    <w:p w:rsidR="00817BF3" w:rsidRDefault="00817BF3" w:rsidP="00EB7521"/>
    <w:p w:rsidR="00817BF3" w:rsidRDefault="00817BF3" w:rsidP="00EB7521"/>
    <w:p w:rsidR="00817BF3" w:rsidRDefault="00817BF3" w:rsidP="00EB7521"/>
    <w:p w:rsidR="00817BF3" w:rsidRDefault="00817BF3" w:rsidP="00EB7521"/>
    <w:p w:rsidR="00817BF3" w:rsidRDefault="00817BF3" w:rsidP="00EB7521"/>
    <w:p w:rsidR="00817BF3" w:rsidRDefault="00817BF3" w:rsidP="00EB7521"/>
    <w:p w:rsidR="00817BF3" w:rsidRDefault="00817BF3" w:rsidP="00EB7521"/>
    <w:p w:rsidR="00817BF3" w:rsidRDefault="00817BF3" w:rsidP="00EB7521"/>
    <w:p w:rsidR="00817BF3" w:rsidRDefault="00817BF3" w:rsidP="00EB7521"/>
    <w:p w:rsidR="00817BF3" w:rsidRDefault="00817BF3" w:rsidP="00EB7521"/>
    <w:p w:rsidR="00817BF3" w:rsidRPr="0039301F" w:rsidRDefault="00992898" w:rsidP="00992898">
      <w:pPr>
        <w:spacing w:line="240" w:lineRule="auto"/>
        <w:jc w:val="center"/>
        <w:rPr>
          <w:rFonts w:ascii="MCS Basmalah normal." w:hAnsi="MCS Basmalah normal."/>
          <w:sz w:val="320"/>
          <w:szCs w:val="320"/>
        </w:rPr>
      </w:pPr>
      <w:r>
        <w:rPr>
          <w:rFonts w:ascii="MCS Basmalah normal." w:hAnsi="MCS Basmalah normal."/>
          <w:noProof/>
          <w:sz w:val="320"/>
          <w:szCs w:val="320"/>
        </w:rPr>
        <w:drawing>
          <wp:inline distT="0" distB="0" distL="0" distR="0" wp14:anchorId="041E71D1" wp14:editId="1F011926">
            <wp:extent cx="1095375" cy="1143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بسم الله الرحمن الرحيم.jpg"/>
                    <pic:cNvPicPr/>
                  </pic:nvPicPr>
                  <pic:blipFill>
                    <a:blip r:embed="rId10">
                      <a:extLst>
                        <a:ext uri="{28A0092B-C50C-407E-A947-70E740481C1C}">
                          <a14:useLocalDpi xmlns:a14="http://schemas.microsoft.com/office/drawing/2010/main" val="0"/>
                        </a:ext>
                      </a:extLst>
                    </a:blip>
                    <a:stretch>
                      <a:fillRect/>
                    </a:stretch>
                  </pic:blipFill>
                  <pic:spPr>
                    <a:xfrm>
                      <a:off x="0" y="0"/>
                      <a:ext cx="1095375" cy="1143000"/>
                    </a:xfrm>
                    <a:prstGeom prst="rect">
                      <a:avLst/>
                    </a:prstGeom>
                  </pic:spPr>
                </pic:pic>
              </a:graphicData>
            </a:graphic>
          </wp:inline>
        </w:drawing>
      </w:r>
    </w:p>
    <w:p w:rsidR="00817BF3" w:rsidRPr="00D21ED5" w:rsidRDefault="00817BF3" w:rsidP="00817BF3">
      <w:pPr>
        <w:spacing w:line="240" w:lineRule="auto"/>
        <w:jc w:val="center"/>
        <w:rPr>
          <w:b/>
          <w:bCs/>
          <w:lang w:bidi="ar-AE"/>
        </w:rPr>
      </w:pPr>
    </w:p>
    <w:p w:rsidR="00817BF3" w:rsidRPr="0039301F" w:rsidRDefault="00817BF3" w:rsidP="00817BF3">
      <w:pPr>
        <w:spacing w:line="240" w:lineRule="auto"/>
        <w:jc w:val="center"/>
        <w:rPr>
          <w:rFonts w:ascii="Monotype Corsiva" w:hAnsi="Monotype Corsiva"/>
          <w:sz w:val="28"/>
          <w:szCs w:val="28"/>
          <w:lang w:bidi="ar-AE"/>
        </w:rPr>
      </w:pPr>
      <w:r w:rsidRPr="0039301F">
        <w:rPr>
          <w:rFonts w:ascii="Monotype Corsiva" w:hAnsi="Monotype Corsiva"/>
          <w:sz w:val="28"/>
          <w:szCs w:val="28"/>
          <w:lang w:bidi="ar-AE"/>
        </w:rPr>
        <w:t>In the name of Allah, the Compassionate, the Merciful</w:t>
      </w:r>
    </w:p>
    <w:p w:rsidR="00817BF3" w:rsidRDefault="00817BF3" w:rsidP="00EB7521"/>
    <w:p w:rsidR="00817BF3" w:rsidRDefault="00817BF3" w:rsidP="00EB7521"/>
    <w:p w:rsidR="00817BF3" w:rsidRDefault="00817BF3" w:rsidP="00EB7521"/>
    <w:p w:rsidR="00817BF3" w:rsidRDefault="00817BF3" w:rsidP="00EB7521">
      <w:pPr>
        <w:sectPr w:rsidR="00817BF3" w:rsidSect="003C13EB">
          <w:headerReference w:type="even" r:id="rId11"/>
          <w:headerReference w:type="default" r:id="rId12"/>
          <w:footerReference w:type="even" r:id="rId13"/>
          <w:footerReference w:type="default" r:id="rId14"/>
          <w:headerReference w:type="first" r:id="rId15"/>
          <w:footerReference w:type="first" r:id="rId16"/>
          <w:pgSz w:w="11907" w:h="16839" w:code="9"/>
          <w:pgMar w:top="1440" w:right="1247" w:bottom="1440" w:left="2268" w:header="720" w:footer="720" w:gutter="0"/>
          <w:pgNumType w:start="0"/>
          <w:cols w:space="720"/>
          <w:titlePg/>
          <w:docGrid w:linePitch="360"/>
        </w:sectPr>
      </w:pPr>
    </w:p>
    <w:p w:rsidR="00EB7521" w:rsidRDefault="00EB7521" w:rsidP="00EB7521"/>
    <w:p w:rsidR="00A7687B" w:rsidRDefault="00A7687B" w:rsidP="00A7687B">
      <w:bookmarkStart w:id="1" w:name="_Toc462173703"/>
      <w:bookmarkStart w:id="2" w:name="_Toc463008609"/>
      <w:bookmarkStart w:id="3" w:name="_Toc477317370"/>
      <w:bookmarkStart w:id="4" w:name="_Toc463008610"/>
    </w:p>
    <w:p w:rsidR="00A7687B" w:rsidRDefault="00A7687B" w:rsidP="00A7687B"/>
    <w:p w:rsidR="00A7687B" w:rsidRDefault="00A7687B" w:rsidP="00A7687B"/>
    <w:p w:rsidR="00A7687B" w:rsidRDefault="00A7687B" w:rsidP="00A7687B"/>
    <w:p w:rsidR="00A7687B" w:rsidRDefault="00A7687B" w:rsidP="00A7687B"/>
    <w:p w:rsidR="008D7E2A" w:rsidRDefault="008D7E2A" w:rsidP="008D7E2A">
      <w:pPr>
        <w:pStyle w:val="Heading1"/>
      </w:pPr>
      <w:r>
        <w:t>Acknowledgments</w:t>
      </w:r>
      <w:bookmarkEnd w:id="1"/>
      <w:bookmarkEnd w:id="2"/>
      <w:bookmarkEnd w:id="3"/>
      <w:r>
        <w:t xml:space="preserve"> </w:t>
      </w:r>
    </w:p>
    <w:p w:rsidR="008D7E2A" w:rsidRDefault="008D7E2A" w:rsidP="008D7E2A">
      <w:pPr>
        <w:rPr>
          <w:rFonts w:asciiTheme="minorHAnsi" w:hAnsiTheme="minorHAnsi"/>
          <w:b/>
          <w:bCs/>
          <w:sz w:val="24"/>
          <w:szCs w:val="24"/>
        </w:rPr>
      </w:pPr>
    </w:p>
    <w:p w:rsidR="008D7E2A" w:rsidRDefault="008D7E2A" w:rsidP="008D7E2A">
      <w:pPr>
        <w:jc w:val="lowKashida"/>
        <w:rPr>
          <w:rtl/>
        </w:rPr>
      </w:pPr>
    </w:p>
    <w:p w:rsidR="008D7E2A" w:rsidRPr="00EE3D0C" w:rsidRDefault="008D7E2A" w:rsidP="008D7E2A">
      <w:pPr>
        <w:bidi/>
        <w:jc w:val="center"/>
        <w:rPr>
          <w:rStyle w:val="Strong"/>
          <w:rFonts w:ascii="AGA Arabesque" w:hAnsi="AGA Arabesque" w:cs="Traditional Arabic"/>
          <w:sz w:val="32"/>
          <w:szCs w:val="32"/>
          <w:rtl/>
        </w:rPr>
      </w:pPr>
      <w:r w:rsidRPr="00EE3D0C">
        <w:rPr>
          <w:rStyle w:val="Strong"/>
          <w:rFonts w:ascii="AGA Arabesque" w:hAnsi="AGA Arabesque" w:cs="Traditional Arabic"/>
          <w:sz w:val="32"/>
          <w:szCs w:val="32"/>
        </w:rPr>
        <w:t></w:t>
      </w:r>
      <w:r w:rsidRPr="00EE3D0C">
        <w:rPr>
          <w:rStyle w:val="Strong"/>
          <w:rFonts w:ascii="Traditional Arabic" w:hAnsi="Traditional Arabic" w:cs="Traditional Arabic"/>
          <w:sz w:val="32"/>
          <w:szCs w:val="32"/>
          <w:rtl/>
        </w:rPr>
        <w:t>سُبْحَانَكَ لَا عِلْمَ لَنَا إِلَّا مَا عَلَّمْتَنَا ۖ إِنَّكَ أَنتَ الْعَلِيمُ الْحَكِي</w:t>
      </w:r>
      <w:r w:rsidRPr="00EE3D0C">
        <w:rPr>
          <w:rStyle w:val="Strong"/>
          <w:rFonts w:ascii="Traditional Arabic" w:hAnsi="Traditional Arabic" w:cs="Traditional Arabic" w:hint="cs"/>
          <w:sz w:val="32"/>
          <w:szCs w:val="32"/>
          <w:rtl/>
        </w:rPr>
        <w:t>م</w:t>
      </w:r>
      <w:r w:rsidRPr="00EE3D0C">
        <w:rPr>
          <w:rStyle w:val="Strong"/>
          <w:rFonts w:ascii="Traditional Arabic" w:hAnsi="Traditional Arabic" w:cs="Traditional Arabic" w:hint="cs"/>
          <w:sz w:val="32"/>
          <w:szCs w:val="32"/>
          <w:rtl/>
          <w:lang w:bidi="ar-AE"/>
        </w:rPr>
        <w:t>ُ</w:t>
      </w:r>
      <w:r w:rsidRPr="00EE3D0C">
        <w:rPr>
          <w:rStyle w:val="Strong"/>
          <w:rFonts w:ascii="AGA Arabesque" w:hAnsi="AGA Arabesque" w:cs="Traditional Arabic"/>
          <w:sz w:val="32"/>
          <w:szCs w:val="32"/>
          <w:lang w:bidi="ar-AE"/>
        </w:rPr>
        <w:t></w:t>
      </w:r>
    </w:p>
    <w:p w:rsidR="008D7E2A" w:rsidRDefault="008D7E2A" w:rsidP="00123885">
      <w:pPr>
        <w:jc w:val="center"/>
        <w:rPr>
          <w:rFonts w:ascii="AGA Arabesque" w:hAnsi="AGA Arabesque"/>
          <w:color w:val="000000"/>
          <w:sz w:val="24"/>
          <w:szCs w:val="24"/>
        </w:rPr>
      </w:pPr>
      <w:r w:rsidRPr="00EE3D0C">
        <w:rPr>
          <w:rFonts w:ascii="AGA Arabesque" w:hAnsi="AGA Arabesque"/>
          <w:color w:val="000000"/>
          <w:sz w:val="24"/>
          <w:szCs w:val="24"/>
        </w:rPr>
        <w:t></w:t>
      </w:r>
      <w:r w:rsidRPr="00EE3D0C">
        <w:rPr>
          <w:rFonts w:ascii="Baskerville Old Face" w:hAnsi="Baskerville Old Face"/>
          <w:color w:val="000000"/>
          <w:sz w:val="24"/>
          <w:szCs w:val="24"/>
        </w:rPr>
        <w:t>Glory to Thee: of knowledge we have none, save that Thou hast taught us: in truth it is Thou who art perfect in knowledge and wisdom</w:t>
      </w:r>
      <w:r w:rsidRPr="00EE3D0C">
        <w:rPr>
          <w:rFonts w:ascii="AGA Arabesque" w:hAnsi="AGA Arabesque"/>
          <w:color w:val="000000"/>
          <w:sz w:val="24"/>
          <w:szCs w:val="24"/>
        </w:rPr>
        <w:t></w:t>
      </w:r>
    </w:p>
    <w:p w:rsidR="00123885" w:rsidRPr="00123885" w:rsidRDefault="00123885" w:rsidP="008D7E2A">
      <w:pPr>
        <w:jc w:val="center"/>
        <w:rPr>
          <w:color w:val="000000"/>
        </w:rPr>
      </w:pPr>
      <w:r w:rsidRPr="00123885">
        <w:rPr>
          <w:i/>
          <w:sz w:val="20"/>
          <w:szCs w:val="20"/>
        </w:rPr>
        <w:t xml:space="preserve">The Meaning of the Holy Qur’ān, </w:t>
      </w:r>
      <w:r w:rsidRPr="00123885">
        <w:rPr>
          <w:iCs/>
          <w:sz w:val="20"/>
          <w:szCs w:val="20"/>
        </w:rPr>
        <w:t>trans. by Abdullah Yusuf Ali and Muhammad Marmaduke Pickthall</w:t>
      </w:r>
      <w:r w:rsidRPr="00123885">
        <w:rPr>
          <w:i/>
          <w:sz w:val="20"/>
          <w:szCs w:val="20"/>
        </w:rPr>
        <w:t xml:space="preserve"> </w:t>
      </w:r>
      <w:r w:rsidRPr="00123885">
        <w:rPr>
          <w:iCs/>
          <w:sz w:val="20"/>
          <w:szCs w:val="20"/>
        </w:rPr>
        <w:t>(Beltsville: Amana Publications, 1997), 2:32</w:t>
      </w:r>
    </w:p>
    <w:p w:rsidR="008D7E2A" w:rsidRDefault="008D7E2A" w:rsidP="008D7E2A">
      <w:pPr>
        <w:jc w:val="center"/>
        <w:rPr>
          <w:color w:val="000000"/>
          <w:sz w:val="20"/>
          <w:szCs w:val="20"/>
        </w:rPr>
      </w:pPr>
    </w:p>
    <w:p w:rsidR="008D7E2A" w:rsidRDefault="008D7E2A" w:rsidP="008D7E2A">
      <w:pPr>
        <w:rPr>
          <w:color w:val="000000"/>
          <w:sz w:val="20"/>
          <w:szCs w:val="20"/>
        </w:rPr>
      </w:pPr>
    </w:p>
    <w:p w:rsidR="008D7E2A" w:rsidRPr="00065513" w:rsidRDefault="008D7E2A" w:rsidP="008D7E2A">
      <w:pPr>
        <w:jc w:val="lowKashida"/>
        <w:rPr>
          <w:sz w:val="24"/>
          <w:szCs w:val="24"/>
        </w:rPr>
      </w:pPr>
      <w:r w:rsidRPr="00065513">
        <w:rPr>
          <w:sz w:val="24"/>
          <w:szCs w:val="24"/>
        </w:rPr>
        <w:t xml:space="preserve">First and foremost, praise </w:t>
      </w:r>
      <w:proofErr w:type="gramStart"/>
      <w:r w:rsidRPr="00065513">
        <w:rPr>
          <w:sz w:val="24"/>
          <w:szCs w:val="24"/>
        </w:rPr>
        <w:t>be</w:t>
      </w:r>
      <w:proofErr w:type="gramEnd"/>
      <w:r w:rsidRPr="00065513">
        <w:rPr>
          <w:sz w:val="24"/>
          <w:szCs w:val="24"/>
        </w:rPr>
        <w:t xml:space="preserve"> to Allah for illuminating my pathway during this academic inquiry, and for granting </w:t>
      </w:r>
      <w:r w:rsidRPr="00065513">
        <w:rPr>
          <w:sz w:val="24"/>
          <w:szCs w:val="24"/>
          <w:lang w:bidi="ar-AE"/>
        </w:rPr>
        <w:t>the will power, patience and dedication that enabled me to complete this master's programme and dissertation.</w:t>
      </w:r>
      <w:r w:rsidRPr="00065513">
        <w:rPr>
          <w:sz w:val="24"/>
          <w:szCs w:val="24"/>
        </w:rPr>
        <w:t xml:space="preserve"> I would then like to acknowledge my supervisor, Dr. Nicholas Campion, for his valuable remarks, time and support throughout the process of writing up this master's dissertation, and most importantly for introducing me to the remarkable works of Norman Cohn and Richard Landes, which without doubt, refined my understanding of the enigmatic world of apocalypticism. I would also like to thank Azharite scholar, Dr. Hesham Baharia, for helping me with medieval Islamic references, and classicist Mr. John Priest for his revision and verification of the Greek and Latin terms used in this paper. In addition, I would like to express my appreciation to the tutors of the MA in Cultural Astronomy and Astrology for their comprehensive comments and guidance during the highly enjoyable learning process of this unique master's programme. I must also express my love and gratitude to my mother who had always believed in me, encouraged me to undertake postgraduate studies, and supported me throughout the years of my studies. Special thanks are also due to my friends for the stimulating discussions, insightful comments and unfailing support.</w:t>
      </w:r>
    </w:p>
    <w:p w:rsidR="008D7E2A" w:rsidRDefault="008D7E2A" w:rsidP="008D7E2A">
      <w:pPr>
        <w:autoSpaceDE/>
        <w:autoSpaceDN/>
        <w:adjustRightInd/>
        <w:spacing w:after="200"/>
        <w:sectPr w:rsidR="008D7E2A" w:rsidSect="002B256D">
          <w:headerReference w:type="default" r:id="rId17"/>
          <w:footerReference w:type="default" r:id="rId18"/>
          <w:headerReference w:type="first" r:id="rId19"/>
          <w:footerReference w:type="first" r:id="rId20"/>
          <w:pgSz w:w="11907" w:h="16839" w:code="9"/>
          <w:pgMar w:top="1440" w:right="1247" w:bottom="1440" w:left="2268" w:header="720" w:footer="720" w:gutter="0"/>
          <w:pgNumType w:fmt="lowerRoman" w:start="1"/>
          <w:cols w:space="720"/>
          <w:docGrid w:linePitch="360"/>
        </w:sectPr>
      </w:pPr>
    </w:p>
    <w:p w:rsidR="002B256D" w:rsidRDefault="002B256D" w:rsidP="002B256D">
      <w:pPr>
        <w:pStyle w:val="Heading1"/>
        <w:rPr>
          <w:rtl/>
          <w:lang w:bidi="ar-AE"/>
        </w:rPr>
      </w:pPr>
      <w:bookmarkStart w:id="5" w:name="_Toc477317371"/>
      <w:r>
        <w:lastRenderedPageBreak/>
        <w:t>Table of Contents</w:t>
      </w:r>
      <w:bookmarkEnd w:id="4"/>
      <w:bookmarkEnd w:id="5"/>
    </w:p>
    <w:p w:rsidR="002B256D" w:rsidRDefault="002B256D" w:rsidP="002B256D">
      <w:pPr>
        <w:rPr>
          <w:rFonts w:ascii="Times New Roman" w:hAnsi="Times New Roman" w:cs="Times New Roman"/>
          <w:color w:val="000000"/>
          <w:sz w:val="23"/>
          <w:szCs w:val="23"/>
        </w:rPr>
      </w:pPr>
    </w:p>
    <w:sdt>
      <w:sdtPr>
        <w:rPr>
          <w:vanish/>
          <w:highlight w:val="yellow"/>
        </w:rPr>
        <w:id w:val="-1619526073"/>
        <w:docPartObj>
          <w:docPartGallery w:val="Table of Contents"/>
          <w:docPartUnique/>
        </w:docPartObj>
      </w:sdtPr>
      <w:sdtEndPr>
        <w:rPr>
          <w:b/>
          <w:bCs/>
          <w:noProof/>
          <w:sz w:val="20"/>
          <w:szCs w:val="20"/>
        </w:rPr>
      </w:sdtEndPr>
      <w:sdtContent>
        <w:p w:rsidR="002B256D" w:rsidRDefault="002B256D" w:rsidP="002B256D"/>
        <w:p w:rsidR="006678E6" w:rsidRDefault="002B256D" w:rsidP="00652648">
          <w:pPr>
            <w:pStyle w:val="TOC1"/>
            <w:tabs>
              <w:tab w:val="right" w:leader="dot" w:pos="8382"/>
            </w:tabs>
            <w:rPr>
              <w:rFonts w:asciiTheme="minorHAnsi" w:eastAsiaTheme="minorEastAsia" w:hAnsiTheme="minorHAnsi"/>
              <w:noProof/>
            </w:rPr>
          </w:pPr>
          <w:r w:rsidRPr="000D43E4">
            <w:rPr>
              <w:sz w:val="20"/>
              <w:szCs w:val="20"/>
            </w:rPr>
            <w:fldChar w:fldCharType="begin"/>
          </w:r>
          <w:r w:rsidRPr="000D43E4">
            <w:rPr>
              <w:sz w:val="20"/>
              <w:szCs w:val="20"/>
            </w:rPr>
            <w:instrText xml:space="preserve"> TOC \o "1-3" \h \z \u </w:instrText>
          </w:r>
          <w:r w:rsidRPr="000D43E4">
            <w:rPr>
              <w:sz w:val="20"/>
              <w:szCs w:val="20"/>
            </w:rPr>
            <w:fldChar w:fldCharType="separate"/>
          </w:r>
          <w:hyperlink w:anchor="_Toc477317372" w:history="1">
            <w:r w:rsidR="006678E6" w:rsidRPr="00B077D2">
              <w:rPr>
                <w:rStyle w:val="Hyperlink"/>
                <w:noProof/>
              </w:rPr>
              <w:t>Abstract</w:t>
            </w:r>
            <w:r w:rsidR="006678E6">
              <w:rPr>
                <w:noProof/>
                <w:webHidden/>
              </w:rPr>
              <w:tab/>
            </w:r>
            <w:r w:rsidR="006678E6">
              <w:rPr>
                <w:noProof/>
                <w:webHidden/>
              </w:rPr>
              <w:fldChar w:fldCharType="begin"/>
            </w:r>
            <w:r w:rsidR="006678E6">
              <w:rPr>
                <w:noProof/>
                <w:webHidden/>
              </w:rPr>
              <w:instrText xml:space="preserve"> PAGEREF _Toc477317372 \h </w:instrText>
            </w:r>
            <w:r w:rsidR="006678E6">
              <w:rPr>
                <w:noProof/>
                <w:webHidden/>
              </w:rPr>
            </w:r>
            <w:r w:rsidR="006678E6">
              <w:rPr>
                <w:noProof/>
                <w:webHidden/>
              </w:rPr>
              <w:fldChar w:fldCharType="separate"/>
            </w:r>
            <w:r w:rsidR="006313FE">
              <w:rPr>
                <w:noProof/>
                <w:webHidden/>
              </w:rPr>
              <w:t>i</w:t>
            </w:r>
            <w:r w:rsidR="006678E6">
              <w:rPr>
                <w:noProof/>
                <w:webHidden/>
              </w:rPr>
              <w:fldChar w:fldCharType="end"/>
            </w:r>
          </w:hyperlink>
        </w:p>
        <w:p w:rsidR="006678E6" w:rsidRDefault="00FB6A18">
          <w:pPr>
            <w:pStyle w:val="TOC1"/>
            <w:tabs>
              <w:tab w:val="right" w:leader="dot" w:pos="8382"/>
            </w:tabs>
            <w:rPr>
              <w:rFonts w:asciiTheme="minorHAnsi" w:eastAsiaTheme="minorEastAsia" w:hAnsiTheme="minorHAnsi"/>
              <w:noProof/>
            </w:rPr>
          </w:pPr>
          <w:hyperlink w:anchor="_Toc477317373" w:history="1">
            <w:r w:rsidR="006678E6" w:rsidRPr="00B077D2">
              <w:rPr>
                <w:rStyle w:val="Hyperlink"/>
                <w:noProof/>
              </w:rPr>
              <w:t>I. Introduction</w:t>
            </w:r>
            <w:r w:rsidR="006678E6">
              <w:rPr>
                <w:noProof/>
                <w:webHidden/>
              </w:rPr>
              <w:tab/>
            </w:r>
            <w:r w:rsidR="006678E6">
              <w:rPr>
                <w:noProof/>
                <w:webHidden/>
              </w:rPr>
              <w:fldChar w:fldCharType="begin"/>
            </w:r>
            <w:r w:rsidR="006678E6">
              <w:rPr>
                <w:noProof/>
                <w:webHidden/>
              </w:rPr>
              <w:instrText xml:space="preserve"> PAGEREF _Toc477317373 \h </w:instrText>
            </w:r>
            <w:r w:rsidR="006678E6">
              <w:rPr>
                <w:noProof/>
                <w:webHidden/>
              </w:rPr>
            </w:r>
            <w:r w:rsidR="006678E6">
              <w:rPr>
                <w:noProof/>
                <w:webHidden/>
              </w:rPr>
              <w:fldChar w:fldCharType="separate"/>
            </w:r>
            <w:r w:rsidR="006313FE">
              <w:rPr>
                <w:noProof/>
                <w:webHidden/>
              </w:rPr>
              <w:t>1</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74" w:history="1">
            <w:r w:rsidR="006678E6" w:rsidRPr="00B077D2">
              <w:rPr>
                <w:rStyle w:val="Hyperlink"/>
                <w:noProof/>
              </w:rPr>
              <w:t>Value of this Research: Competing Eschatological Narratives and Conflict in the Middle East</w:t>
            </w:r>
            <w:r w:rsidR="006678E6">
              <w:rPr>
                <w:noProof/>
                <w:webHidden/>
              </w:rPr>
              <w:tab/>
            </w:r>
            <w:r w:rsidR="006678E6">
              <w:rPr>
                <w:noProof/>
                <w:webHidden/>
              </w:rPr>
              <w:fldChar w:fldCharType="begin"/>
            </w:r>
            <w:r w:rsidR="006678E6">
              <w:rPr>
                <w:noProof/>
                <w:webHidden/>
              </w:rPr>
              <w:instrText xml:space="preserve"> PAGEREF _Toc477317374 \h </w:instrText>
            </w:r>
            <w:r w:rsidR="006678E6">
              <w:rPr>
                <w:noProof/>
                <w:webHidden/>
              </w:rPr>
            </w:r>
            <w:r w:rsidR="006678E6">
              <w:rPr>
                <w:noProof/>
                <w:webHidden/>
              </w:rPr>
              <w:fldChar w:fldCharType="separate"/>
            </w:r>
            <w:r w:rsidR="006313FE">
              <w:rPr>
                <w:noProof/>
                <w:webHidden/>
              </w:rPr>
              <w:t>1</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75" w:history="1">
            <w:r w:rsidR="006678E6" w:rsidRPr="00B077D2">
              <w:rPr>
                <w:rStyle w:val="Hyperlink"/>
                <w:noProof/>
              </w:rPr>
              <w:t>Background: Islamic Apocalyptic Eschatology and the Destruction of the World</w:t>
            </w:r>
            <w:r w:rsidR="006678E6">
              <w:rPr>
                <w:noProof/>
                <w:webHidden/>
              </w:rPr>
              <w:tab/>
            </w:r>
            <w:r w:rsidR="006678E6">
              <w:rPr>
                <w:noProof/>
                <w:webHidden/>
              </w:rPr>
              <w:fldChar w:fldCharType="begin"/>
            </w:r>
            <w:r w:rsidR="006678E6">
              <w:rPr>
                <w:noProof/>
                <w:webHidden/>
              </w:rPr>
              <w:instrText xml:space="preserve"> PAGEREF _Toc477317375 \h </w:instrText>
            </w:r>
            <w:r w:rsidR="006678E6">
              <w:rPr>
                <w:noProof/>
                <w:webHidden/>
              </w:rPr>
            </w:r>
            <w:r w:rsidR="006678E6">
              <w:rPr>
                <w:noProof/>
                <w:webHidden/>
              </w:rPr>
              <w:fldChar w:fldCharType="separate"/>
            </w:r>
            <w:r w:rsidR="006313FE">
              <w:rPr>
                <w:noProof/>
                <w:webHidden/>
              </w:rPr>
              <w:t>3</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76" w:history="1">
            <w:r w:rsidR="006678E6" w:rsidRPr="00B077D2">
              <w:rPr>
                <w:rStyle w:val="Hyperlink"/>
                <w:noProof/>
              </w:rPr>
              <w:t>1.1 Research Focus and Outline</w:t>
            </w:r>
            <w:r w:rsidR="006678E6">
              <w:rPr>
                <w:noProof/>
                <w:webHidden/>
              </w:rPr>
              <w:tab/>
            </w:r>
            <w:r w:rsidR="006678E6">
              <w:rPr>
                <w:noProof/>
                <w:webHidden/>
              </w:rPr>
              <w:fldChar w:fldCharType="begin"/>
            </w:r>
            <w:r w:rsidR="006678E6">
              <w:rPr>
                <w:noProof/>
                <w:webHidden/>
              </w:rPr>
              <w:instrText xml:space="preserve"> PAGEREF _Toc477317376 \h </w:instrText>
            </w:r>
            <w:r w:rsidR="006678E6">
              <w:rPr>
                <w:noProof/>
                <w:webHidden/>
              </w:rPr>
            </w:r>
            <w:r w:rsidR="006678E6">
              <w:rPr>
                <w:noProof/>
                <w:webHidden/>
              </w:rPr>
              <w:fldChar w:fldCharType="separate"/>
            </w:r>
            <w:r w:rsidR="006313FE">
              <w:rPr>
                <w:noProof/>
                <w:webHidden/>
              </w:rPr>
              <w:t>5</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77" w:history="1">
            <w:r w:rsidR="006678E6" w:rsidRPr="00B077D2">
              <w:rPr>
                <w:rStyle w:val="Hyperlink"/>
                <w:noProof/>
              </w:rPr>
              <w:t>1.2 Definition of Terms</w:t>
            </w:r>
            <w:r w:rsidR="006678E6">
              <w:rPr>
                <w:noProof/>
                <w:webHidden/>
              </w:rPr>
              <w:tab/>
            </w:r>
            <w:r w:rsidR="006678E6">
              <w:rPr>
                <w:noProof/>
                <w:webHidden/>
              </w:rPr>
              <w:fldChar w:fldCharType="begin"/>
            </w:r>
            <w:r w:rsidR="006678E6">
              <w:rPr>
                <w:noProof/>
                <w:webHidden/>
              </w:rPr>
              <w:instrText xml:space="preserve"> PAGEREF _Toc477317377 \h </w:instrText>
            </w:r>
            <w:r w:rsidR="006678E6">
              <w:rPr>
                <w:noProof/>
                <w:webHidden/>
              </w:rPr>
            </w:r>
            <w:r w:rsidR="006678E6">
              <w:rPr>
                <w:noProof/>
                <w:webHidden/>
              </w:rPr>
              <w:fldChar w:fldCharType="separate"/>
            </w:r>
            <w:r w:rsidR="006313FE">
              <w:rPr>
                <w:noProof/>
                <w:webHidden/>
              </w:rPr>
              <w:t>6</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78" w:history="1">
            <w:r w:rsidR="006678E6" w:rsidRPr="00B077D2">
              <w:rPr>
                <w:rStyle w:val="Hyperlink"/>
                <w:noProof/>
              </w:rPr>
              <w:t>1.3 Literature Review</w:t>
            </w:r>
            <w:r w:rsidR="006678E6">
              <w:rPr>
                <w:noProof/>
                <w:webHidden/>
              </w:rPr>
              <w:tab/>
            </w:r>
            <w:r w:rsidR="006678E6">
              <w:rPr>
                <w:noProof/>
                <w:webHidden/>
              </w:rPr>
              <w:fldChar w:fldCharType="begin"/>
            </w:r>
            <w:r w:rsidR="006678E6">
              <w:rPr>
                <w:noProof/>
                <w:webHidden/>
              </w:rPr>
              <w:instrText xml:space="preserve"> PAGEREF _Toc477317378 \h </w:instrText>
            </w:r>
            <w:r w:rsidR="006678E6">
              <w:rPr>
                <w:noProof/>
                <w:webHidden/>
              </w:rPr>
            </w:r>
            <w:r w:rsidR="006678E6">
              <w:rPr>
                <w:noProof/>
                <w:webHidden/>
              </w:rPr>
              <w:fldChar w:fldCharType="separate"/>
            </w:r>
            <w:r w:rsidR="006313FE">
              <w:rPr>
                <w:noProof/>
                <w:webHidden/>
              </w:rPr>
              <w:t>7</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79" w:history="1">
            <w:r w:rsidR="006678E6" w:rsidRPr="00B077D2">
              <w:rPr>
                <w:rStyle w:val="Hyperlink"/>
                <w:noProof/>
              </w:rPr>
              <w:t>1.4 Methodology</w:t>
            </w:r>
            <w:r w:rsidR="006678E6">
              <w:rPr>
                <w:noProof/>
                <w:webHidden/>
              </w:rPr>
              <w:tab/>
            </w:r>
            <w:r w:rsidR="006678E6">
              <w:rPr>
                <w:noProof/>
                <w:webHidden/>
              </w:rPr>
              <w:fldChar w:fldCharType="begin"/>
            </w:r>
            <w:r w:rsidR="006678E6">
              <w:rPr>
                <w:noProof/>
                <w:webHidden/>
              </w:rPr>
              <w:instrText xml:space="preserve"> PAGEREF _Toc477317379 \h </w:instrText>
            </w:r>
            <w:r w:rsidR="006678E6">
              <w:rPr>
                <w:noProof/>
                <w:webHidden/>
              </w:rPr>
            </w:r>
            <w:r w:rsidR="006678E6">
              <w:rPr>
                <w:noProof/>
                <w:webHidden/>
              </w:rPr>
              <w:fldChar w:fldCharType="separate"/>
            </w:r>
            <w:r w:rsidR="006313FE">
              <w:rPr>
                <w:noProof/>
                <w:webHidden/>
              </w:rPr>
              <w:t>11</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80" w:history="1">
            <w:r w:rsidR="006678E6" w:rsidRPr="00B077D2">
              <w:rPr>
                <w:rStyle w:val="Hyperlink"/>
                <w:noProof/>
              </w:rPr>
              <w:t>1.5 Key Concepts &amp; Emerging Issues</w:t>
            </w:r>
            <w:r w:rsidR="006678E6">
              <w:rPr>
                <w:noProof/>
                <w:webHidden/>
              </w:rPr>
              <w:tab/>
            </w:r>
            <w:r w:rsidR="006678E6">
              <w:rPr>
                <w:noProof/>
                <w:webHidden/>
              </w:rPr>
              <w:fldChar w:fldCharType="begin"/>
            </w:r>
            <w:r w:rsidR="006678E6">
              <w:rPr>
                <w:noProof/>
                <w:webHidden/>
              </w:rPr>
              <w:instrText xml:space="preserve"> PAGEREF _Toc477317380 \h </w:instrText>
            </w:r>
            <w:r w:rsidR="006678E6">
              <w:rPr>
                <w:noProof/>
                <w:webHidden/>
              </w:rPr>
            </w:r>
            <w:r w:rsidR="006678E6">
              <w:rPr>
                <w:noProof/>
                <w:webHidden/>
              </w:rPr>
              <w:fldChar w:fldCharType="separate"/>
            </w:r>
            <w:r w:rsidR="006313FE">
              <w:rPr>
                <w:noProof/>
                <w:webHidden/>
              </w:rPr>
              <w:t>14</w:t>
            </w:r>
            <w:r w:rsidR="006678E6">
              <w:rPr>
                <w:noProof/>
                <w:webHidden/>
              </w:rPr>
              <w:fldChar w:fldCharType="end"/>
            </w:r>
          </w:hyperlink>
        </w:p>
        <w:p w:rsidR="006678E6" w:rsidRDefault="00FB6A18">
          <w:pPr>
            <w:pStyle w:val="TOC1"/>
            <w:tabs>
              <w:tab w:val="right" w:leader="dot" w:pos="8382"/>
            </w:tabs>
            <w:rPr>
              <w:rFonts w:asciiTheme="minorHAnsi" w:eastAsiaTheme="minorEastAsia" w:hAnsiTheme="minorHAnsi"/>
              <w:noProof/>
            </w:rPr>
          </w:pPr>
          <w:hyperlink w:anchor="_Toc477317381" w:history="1">
            <w:r w:rsidR="006678E6" w:rsidRPr="00B077D2">
              <w:rPr>
                <w:rStyle w:val="Hyperlink"/>
                <w:noProof/>
              </w:rPr>
              <w:t>Chapter II: Islamic Apocalyptica against the Historical, Sociopolitical and Intellectual Backdrop</w:t>
            </w:r>
            <w:r w:rsidR="006678E6">
              <w:rPr>
                <w:noProof/>
                <w:webHidden/>
              </w:rPr>
              <w:tab/>
            </w:r>
            <w:r w:rsidR="006678E6">
              <w:rPr>
                <w:noProof/>
                <w:webHidden/>
              </w:rPr>
              <w:fldChar w:fldCharType="begin"/>
            </w:r>
            <w:r w:rsidR="006678E6">
              <w:rPr>
                <w:noProof/>
                <w:webHidden/>
              </w:rPr>
              <w:instrText xml:space="preserve"> PAGEREF _Toc477317381 \h </w:instrText>
            </w:r>
            <w:r w:rsidR="006678E6">
              <w:rPr>
                <w:noProof/>
                <w:webHidden/>
              </w:rPr>
            </w:r>
            <w:r w:rsidR="006678E6">
              <w:rPr>
                <w:noProof/>
                <w:webHidden/>
              </w:rPr>
              <w:fldChar w:fldCharType="separate"/>
            </w:r>
            <w:r w:rsidR="006313FE">
              <w:rPr>
                <w:noProof/>
                <w:webHidden/>
              </w:rPr>
              <w:t>15</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82" w:history="1">
            <w:r w:rsidR="006678E6" w:rsidRPr="00B077D2">
              <w:rPr>
                <w:rStyle w:val="Hyperlink"/>
                <w:noProof/>
              </w:rPr>
              <w:t>2.1 Historical and Sociopolitical Context</w:t>
            </w:r>
            <w:r w:rsidR="006678E6">
              <w:rPr>
                <w:noProof/>
                <w:webHidden/>
              </w:rPr>
              <w:tab/>
            </w:r>
            <w:r w:rsidR="006678E6">
              <w:rPr>
                <w:noProof/>
                <w:webHidden/>
              </w:rPr>
              <w:fldChar w:fldCharType="begin"/>
            </w:r>
            <w:r w:rsidR="006678E6">
              <w:rPr>
                <w:noProof/>
                <w:webHidden/>
              </w:rPr>
              <w:instrText xml:space="preserve"> PAGEREF _Toc477317382 \h </w:instrText>
            </w:r>
            <w:r w:rsidR="006678E6">
              <w:rPr>
                <w:noProof/>
                <w:webHidden/>
              </w:rPr>
            </w:r>
            <w:r w:rsidR="006678E6">
              <w:rPr>
                <w:noProof/>
                <w:webHidden/>
              </w:rPr>
              <w:fldChar w:fldCharType="separate"/>
            </w:r>
            <w:r w:rsidR="006313FE">
              <w:rPr>
                <w:noProof/>
                <w:webHidden/>
              </w:rPr>
              <w:t>15</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83" w:history="1">
            <w:r w:rsidR="006678E6" w:rsidRPr="00B077D2">
              <w:rPr>
                <w:rStyle w:val="Hyperlink"/>
                <w:noProof/>
              </w:rPr>
              <w:t>2.1.1</w:t>
            </w:r>
            <w:r w:rsidR="006678E6">
              <w:rPr>
                <w:rFonts w:asciiTheme="minorHAnsi" w:eastAsiaTheme="minorEastAsia" w:hAnsiTheme="minorHAnsi"/>
                <w:noProof/>
              </w:rPr>
              <w:tab/>
            </w:r>
            <w:r w:rsidR="006678E6" w:rsidRPr="00B077D2">
              <w:rPr>
                <w:rStyle w:val="Hyperlink"/>
                <w:noProof/>
              </w:rPr>
              <w:t>Mercantile Economy, Dissemination of Apocalyptic Ideas and Pagan Hierarchy in Pre-Islamic Arabia</w:t>
            </w:r>
            <w:r w:rsidR="006678E6">
              <w:rPr>
                <w:noProof/>
                <w:webHidden/>
              </w:rPr>
              <w:tab/>
            </w:r>
            <w:r w:rsidR="006678E6">
              <w:rPr>
                <w:noProof/>
                <w:webHidden/>
              </w:rPr>
              <w:fldChar w:fldCharType="begin"/>
            </w:r>
            <w:r w:rsidR="006678E6">
              <w:rPr>
                <w:noProof/>
                <w:webHidden/>
              </w:rPr>
              <w:instrText xml:space="preserve"> PAGEREF _Toc477317383 \h </w:instrText>
            </w:r>
            <w:r w:rsidR="006678E6">
              <w:rPr>
                <w:noProof/>
                <w:webHidden/>
              </w:rPr>
            </w:r>
            <w:r w:rsidR="006678E6">
              <w:rPr>
                <w:noProof/>
                <w:webHidden/>
              </w:rPr>
              <w:fldChar w:fldCharType="separate"/>
            </w:r>
            <w:r w:rsidR="006313FE">
              <w:rPr>
                <w:noProof/>
                <w:webHidden/>
              </w:rPr>
              <w:t>15</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84" w:history="1">
            <w:r w:rsidR="006678E6" w:rsidRPr="00B077D2">
              <w:rPr>
                <w:rStyle w:val="Hyperlink"/>
                <w:noProof/>
              </w:rPr>
              <w:t>2.1.2</w:t>
            </w:r>
            <w:r w:rsidR="006678E6">
              <w:rPr>
                <w:rFonts w:asciiTheme="minorHAnsi" w:eastAsiaTheme="minorEastAsia" w:hAnsiTheme="minorHAnsi"/>
                <w:noProof/>
              </w:rPr>
              <w:tab/>
            </w:r>
            <w:r w:rsidR="006678E6" w:rsidRPr="00B077D2">
              <w:rPr>
                <w:rStyle w:val="Hyperlink"/>
                <w:noProof/>
              </w:rPr>
              <w:t>Fitan and Tribulations</w:t>
            </w:r>
            <w:r w:rsidR="006678E6">
              <w:rPr>
                <w:noProof/>
                <w:webHidden/>
              </w:rPr>
              <w:tab/>
            </w:r>
            <w:r w:rsidR="006678E6">
              <w:rPr>
                <w:noProof/>
                <w:webHidden/>
              </w:rPr>
              <w:fldChar w:fldCharType="begin"/>
            </w:r>
            <w:r w:rsidR="006678E6">
              <w:rPr>
                <w:noProof/>
                <w:webHidden/>
              </w:rPr>
              <w:instrText xml:space="preserve"> PAGEREF _Toc477317384 \h </w:instrText>
            </w:r>
            <w:r w:rsidR="006678E6">
              <w:rPr>
                <w:noProof/>
                <w:webHidden/>
              </w:rPr>
            </w:r>
            <w:r w:rsidR="006678E6">
              <w:rPr>
                <w:noProof/>
                <w:webHidden/>
              </w:rPr>
              <w:fldChar w:fldCharType="separate"/>
            </w:r>
            <w:r w:rsidR="006313FE">
              <w:rPr>
                <w:noProof/>
                <w:webHidden/>
              </w:rPr>
              <w:t>18</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85" w:history="1">
            <w:r w:rsidR="006678E6" w:rsidRPr="00B077D2">
              <w:rPr>
                <w:rStyle w:val="Hyperlink"/>
                <w:noProof/>
              </w:rPr>
              <w:t>2.2 Pre-Islamic and Islamic Cosmologies</w:t>
            </w:r>
            <w:r w:rsidR="006678E6">
              <w:rPr>
                <w:noProof/>
                <w:webHidden/>
              </w:rPr>
              <w:tab/>
            </w:r>
            <w:r w:rsidR="006678E6">
              <w:rPr>
                <w:noProof/>
                <w:webHidden/>
              </w:rPr>
              <w:fldChar w:fldCharType="begin"/>
            </w:r>
            <w:r w:rsidR="006678E6">
              <w:rPr>
                <w:noProof/>
                <w:webHidden/>
              </w:rPr>
              <w:instrText xml:space="preserve"> PAGEREF _Toc477317385 \h </w:instrText>
            </w:r>
            <w:r w:rsidR="006678E6">
              <w:rPr>
                <w:noProof/>
                <w:webHidden/>
              </w:rPr>
            </w:r>
            <w:r w:rsidR="006678E6">
              <w:rPr>
                <w:noProof/>
                <w:webHidden/>
              </w:rPr>
              <w:fldChar w:fldCharType="separate"/>
            </w:r>
            <w:r w:rsidR="006313FE">
              <w:rPr>
                <w:noProof/>
                <w:webHidden/>
              </w:rPr>
              <w:t>20</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86" w:history="1">
            <w:r w:rsidR="006678E6" w:rsidRPr="00B077D2">
              <w:rPr>
                <w:rStyle w:val="Hyperlink"/>
                <w:noProof/>
              </w:rPr>
              <w:t>2.2.1</w:t>
            </w:r>
            <w:r w:rsidR="006678E6">
              <w:rPr>
                <w:rFonts w:asciiTheme="minorHAnsi" w:eastAsiaTheme="minorEastAsia" w:hAnsiTheme="minorHAnsi"/>
                <w:noProof/>
              </w:rPr>
              <w:tab/>
            </w:r>
            <w:r w:rsidR="006678E6" w:rsidRPr="00B077D2">
              <w:rPr>
                <w:rStyle w:val="Hyperlink"/>
                <w:noProof/>
              </w:rPr>
              <w:t>Pre-Islamic Arabic Cosmology</w:t>
            </w:r>
            <w:r w:rsidR="006678E6">
              <w:rPr>
                <w:noProof/>
                <w:webHidden/>
              </w:rPr>
              <w:tab/>
            </w:r>
            <w:r w:rsidR="006678E6">
              <w:rPr>
                <w:noProof/>
                <w:webHidden/>
              </w:rPr>
              <w:fldChar w:fldCharType="begin"/>
            </w:r>
            <w:r w:rsidR="006678E6">
              <w:rPr>
                <w:noProof/>
                <w:webHidden/>
              </w:rPr>
              <w:instrText xml:space="preserve"> PAGEREF _Toc477317386 \h </w:instrText>
            </w:r>
            <w:r w:rsidR="006678E6">
              <w:rPr>
                <w:noProof/>
                <w:webHidden/>
              </w:rPr>
            </w:r>
            <w:r w:rsidR="006678E6">
              <w:rPr>
                <w:noProof/>
                <w:webHidden/>
              </w:rPr>
              <w:fldChar w:fldCharType="separate"/>
            </w:r>
            <w:r w:rsidR="006313FE">
              <w:rPr>
                <w:noProof/>
                <w:webHidden/>
              </w:rPr>
              <w:t>20</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87" w:history="1">
            <w:r w:rsidR="006678E6" w:rsidRPr="00B077D2">
              <w:rPr>
                <w:rStyle w:val="Hyperlink"/>
                <w:noProof/>
              </w:rPr>
              <w:t>2.2.2</w:t>
            </w:r>
            <w:r w:rsidR="006678E6">
              <w:rPr>
                <w:rFonts w:asciiTheme="minorHAnsi" w:eastAsiaTheme="minorEastAsia" w:hAnsiTheme="minorHAnsi"/>
                <w:noProof/>
              </w:rPr>
              <w:tab/>
            </w:r>
            <w:r w:rsidR="006678E6" w:rsidRPr="00B077D2">
              <w:rPr>
                <w:rStyle w:val="Hyperlink"/>
                <w:noProof/>
              </w:rPr>
              <w:t>Islamic Orthodox Cosmology and the Influence of '</w:t>
            </w:r>
            <w:r w:rsidR="006678E6" w:rsidRPr="00B077D2">
              <w:rPr>
                <w:rStyle w:val="Hyperlink"/>
                <w:noProof/>
                <w:lang w:bidi="ar-AE"/>
              </w:rPr>
              <w:t>Isrā'īliyyāt'</w:t>
            </w:r>
            <w:r w:rsidR="006678E6">
              <w:rPr>
                <w:noProof/>
                <w:webHidden/>
              </w:rPr>
              <w:tab/>
            </w:r>
            <w:r w:rsidR="006678E6">
              <w:rPr>
                <w:noProof/>
                <w:webHidden/>
              </w:rPr>
              <w:fldChar w:fldCharType="begin"/>
            </w:r>
            <w:r w:rsidR="006678E6">
              <w:rPr>
                <w:noProof/>
                <w:webHidden/>
              </w:rPr>
              <w:instrText xml:space="preserve"> PAGEREF _Toc477317387 \h </w:instrText>
            </w:r>
            <w:r w:rsidR="006678E6">
              <w:rPr>
                <w:noProof/>
                <w:webHidden/>
              </w:rPr>
            </w:r>
            <w:r w:rsidR="006678E6">
              <w:rPr>
                <w:noProof/>
                <w:webHidden/>
              </w:rPr>
              <w:fldChar w:fldCharType="separate"/>
            </w:r>
            <w:r w:rsidR="006313FE">
              <w:rPr>
                <w:noProof/>
                <w:webHidden/>
              </w:rPr>
              <w:t>22</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88" w:history="1">
            <w:r w:rsidR="006678E6" w:rsidRPr="00B077D2">
              <w:rPr>
                <w:rStyle w:val="Hyperlink"/>
                <w:noProof/>
              </w:rPr>
              <w:t>2.2.3</w:t>
            </w:r>
            <w:r w:rsidR="006678E6">
              <w:rPr>
                <w:rFonts w:asciiTheme="minorHAnsi" w:eastAsiaTheme="minorEastAsia" w:hAnsiTheme="minorHAnsi"/>
                <w:noProof/>
              </w:rPr>
              <w:tab/>
            </w:r>
            <w:r w:rsidR="006678E6" w:rsidRPr="00B077D2">
              <w:rPr>
                <w:rStyle w:val="Hyperlink"/>
                <w:noProof/>
                <w:lang w:bidi="ar-AE"/>
              </w:rPr>
              <w:t>Philosophical</w:t>
            </w:r>
            <w:r w:rsidR="006678E6" w:rsidRPr="00B077D2">
              <w:rPr>
                <w:rStyle w:val="Hyperlink"/>
                <w:noProof/>
              </w:rPr>
              <w:t xml:space="preserve"> Islamic Cosmology</w:t>
            </w:r>
            <w:r w:rsidR="006678E6">
              <w:rPr>
                <w:noProof/>
                <w:webHidden/>
              </w:rPr>
              <w:tab/>
            </w:r>
            <w:r w:rsidR="006678E6">
              <w:rPr>
                <w:noProof/>
                <w:webHidden/>
              </w:rPr>
              <w:fldChar w:fldCharType="begin"/>
            </w:r>
            <w:r w:rsidR="006678E6">
              <w:rPr>
                <w:noProof/>
                <w:webHidden/>
              </w:rPr>
              <w:instrText xml:space="preserve"> PAGEREF _Toc477317388 \h </w:instrText>
            </w:r>
            <w:r w:rsidR="006678E6">
              <w:rPr>
                <w:noProof/>
                <w:webHidden/>
              </w:rPr>
            </w:r>
            <w:r w:rsidR="006678E6">
              <w:rPr>
                <w:noProof/>
                <w:webHidden/>
              </w:rPr>
              <w:fldChar w:fldCharType="separate"/>
            </w:r>
            <w:r w:rsidR="006313FE">
              <w:rPr>
                <w:noProof/>
                <w:webHidden/>
              </w:rPr>
              <w:t>25</w:t>
            </w:r>
            <w:r w:rsidR="006678E6">
              <w:rPr>
                <w:noProof/>
                <w:webHidden/>
              </w:rPr>
              <w:fldChar w:fldCharType="end"/>
            </w:r>
          </w:hyperlink>
        </w:p>
        <w:p w:rsidR="006678E6" w:rsidRDefault="00FB6A18">
          <w:pPr>
            <w:pStyle w:val="TOC1"/>
            <w:tabs>
              <w:tab w:val="right" w:leader="dot" w:pos="8382"/>
            </w:tabs>
            <w:rPr>
              <w:rFonts w:asciiTheme="minorHAnsi" w:eastAsiaTheme="minorEastAsia" w:hAnsiTheme="minorHAnsi"/>
              <w:noProof/>
            </w:rPr>
          </w:pPr>
          <w:hyperlink w:anchor="_Toc477317389" w:history="1">
            <w:r w:rsidR="006678E6" w:rsidRPr="00B077D2">
              <w:rPr>
                <w:rStyle w:val="Hyperlink"/>
                <w:noProof/>
              </w:rPr>
              <w:t>Chapter III: Classical Interpretations of the Cosmic Portents of the Last Day (800-1</w:t>
            </w:r>
            <w:r w:rsidR="006678E6" w:rsidRPr="00B077D2">
              <w:rPr>
                <w:rStyle w:val="Hyperlink"/>
                <w:noProof/>
                <w:rtl/>
              </w:rPr>
              <w:t>6</w:t>
            </w:r>
            <w:r w:rsidR="006678E6" w:rsidRPr="00B077D2">
              <w:rPr>
                <w:rStyle w:val="Hyperlink"/>
                <w:noProof/>
              </w:rPr>
              <w:t>00 CE)</w:t>
            </w:r>
            <w:r w:rsidR="006678E6">
              <w:rPr>
                <w:noProof/>
                <w:webHidden/>
              </w:rPr>
              <w:tab/>
            </w:r>
            <w:r w:rsidR="006678E6">
              <w:rPr>
                <w:noProof/>
                <w:webHidden/>
              </w:rPr>
              <w:fldChar w:fldCharType="begin"/>
            </w:r>
            <w:r w:rsidR="006678E6">
              <w:rPr>
                <w:noProof/>
                <w:webHidden/>
              </w:rPr>
              <w:instrText xml:space="preserve"> PAGEREF _Toc477317389 \h </w:instrText>
            </w:r>
            <w:r w:rsidR="006678E6">
              <w:rPr>
                <w:noProof/>
                <w:webHidden/>
              </w:rPr>
            </w:r>
            <w:r w:rsidR="006678E6">
              <w:rPr>
                <w:noProof/>
                <w:webHidden/>
              </w:rPr>
              <w:fldChar w:fldCharType="separate"/>
            </w:r>
            <w:r w:rsidR="006313FE">
              <w:rPr>
                <w:noProof/>
                <w:webHidden/>
              </w:rPr>
              <w:t>27</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90" w:history="1">
            <w:r w:rsidR="006678E6" w:rsidRPr="00B077D2">
              <w:rPr>
                <w:rStyle w:val="Hyperlink"/>
                <w:noProof/>
              </w:rPr>
              <w:t>3.1 Cosmic Chaos in the Qur'ān</w:t>
            </w:r>
            <w:r w:rsidR="006678E6">
              <w:rPr>
                <w:noProof/>
                <w:webHidden/>
              </w:rPr>
              <w:tab/>
            </w:r>
            <w:r w:rsidR="006678E6">
              <w:rPr>
                <w:noProof/>
                <w:webHidden/>
              </w:rPr>
              <w:fldChar w:fldCharType="begin"/>
            </w:r>
            <w:r w:rsidR="006678E6">
              <w:rPr>
                <w:noProof/>
                <w:webHidden/>
              </w:rPr>
              <w:instrText xml:space="preserve"> PAGEREF _Toc477317390 \h </w:instrText>
            </w:r>
            <w:r w:rsidR="006678E6">
              <w:rPr>
                <w:noProof/>
                <w:webHidden/>
              </w:rPr>
            </w:r>
            <w:r w:rsidR="006678E6">
              <w:rPr>
                <w:noProof/>
                <w:webHidden/>
              </w:rPr>
              <w:fldChar w:fldCharType="separate"/>
            </w:r>
            <w:r w:rsidR="006313FE">
              <w:rPr>
                <w:noProof/>
                <w:webHidden/>
              </w:rPr>
              <w:t>27</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91" w:history="1">
            <w:r w:rsidR="006678E6" w:rsidRPr="00B077D2">
              <w:rPr>
                <w:rStyle w:val="Hyperlink"/>
                <w:noProof/>
              </w:rPr>
              <w:t>3.1.1</w:t>
            </w:r>
            <w:r w:rsidR="006678E6">
              <w:rPr>
                <w:rFonts w:asciiTheme="minorHAnsi" w:eastAsiaTheme="minorEastAsia" w:hAnsiTheme="minorHAnsi"/>
                <w:noProof/>
              </w:rPr>
              <w:tab/>
            </w:r>
            <w:r w:rsidR="006678E6" w:rsidRPr="00B077D2">
              <w:rPr>
                <w:rStyle w:val="Hyperlink"/>
                <w:noProof/>
              </w:rPr>
              <w:t>Revelation, Exegeses and Tribulations</w:t>
            </w:r>
            <w:r w:rsidR="006678E6">
              <w:rPr>
                <w:noProof/>
                <w:webHidden/>
              </w:rPr>
              <w:tab/>
            </w:r>
            <w:r w:rsidR="006678E6">
              <w:rPr>
                <w:noProof/>
                <w:webHidden/>
              </w:rPr>
              <w:fldChar w:fldCharType="begin"/>
            </w:r>
            <w:r w:rsidR="006678E6">
              <w:rPr>
                <w:noProof/>
                <w:webHidden/>
              </w:rPr>
              <w:instrText xml:space="preserve"> PAGEREF _Toc477317391 \h </w:instrText>
            </w:r>
            <w:r w:rsidR="006678E6">
              <w:rPr>
                <w:noProof/>
                <w:webHidden/>
              </w:rPr>
            </w:r>
            <w:r w:rsidR="006678E6">
              <w:rPr>
                <w:noProof/>
                <w:webHidden/>
              </w:rPr>
              <w:fldChar w:fldCharType="separate"/>
            </w:r>
            <w:r w:rsidR="006313FE">
              <w:rPr>
                <w:noProof/>
                <w:webHidden/>
              </w:rPr>
              <w:t>27</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92" w:history="1">
            <w:r w:rsidR="006678E6" w:rsidRPr="00B077D2">
              <w:rPr>
                <w:rStyle w:val="Hyperlink"/>
                <w:noProof/>
              </w:rPr>
              <w:t>3.1.3</w:t>
            </w:r>
            <w:r w:rsidR="006678E6">
              <w:rPr>
                <w:rFonts w:asciiTheme="minorHAnsi" w:eastAsiaTheme="minorEastAsia" w:hAnsiTheme="minorHAnsi"/>
                <w:noProof/>
              </w:rPr>
              <w:tab/>
            </w:r>
            <w:r w:rsidR="006678E6" w:rsidRPr="00B077D2">
              <w:rPr>
                <w:rStyle w:val="Hyperlink"/>
                <w:noProof/>
              </w:rPr>
              <w:t>Cosmic Apocalypse in the Qur'ān</w:t>
            </w:r>
            <w:r w:rsidR="006678E6">
              <w:rPr>
                <w:noProof/>
                <w:webHidden/>
              </w:rPr>
              <w:tab/>
            </w:r>
            <w:r w:rsidR="006678E6">
              <w:rPr>
                <w:noProof/>
                <w:webHidden/>
              </w:rPr>
              <w:fldChar w:fldCharType="begin"/>
            </w:r>
            <w:r w:rsidR="006678E6">
              <w:rPr>
                <w:noProof/>
                <w:webHidden/>
              </w:rPr>
              <w:instrText xml:space="preserve"> PAGEREF _Toc477317392 \h </w:instrText>
            </w:r>
            <w:r w:rsidR="006678E6">
              <w:rPr>
                <w:noProof/>
                <w:webHidden/>
              </w:rPr>
            </w:r>
            <w:r w:rsidR="006678E6">
              <w:rPr>
                <w:noProof/>
                <w:webHidden/>
              </w:rPr>
              <w:fldChar w:fldCharType="separate"/>
            </w:r>
            <w:r w:rsidR="006313FE">
              <w:rPr>
                <w:noProof/>
                <w:webHidden/>
              </w:rPr>
              <w:t>29</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93" w:history="1">
            <w:r w:rsidR="006678E6" w:rsidRPr="00B077D2">
              <w:rPr>
                <w:rStyle w:val="Hyperlink"/>
                <w:noProof/>
              </w:rPr>
              <w:t>3.2 Cosmic Chaos in Prophetic Ḥadīth</w:t>
            </w:r>
            <w:r w:rsidR="006678E6">
              <w:rPr>
                <w:noProof/>
                <w:webHidden/>
              </w:rPr>
              <w:tab/>
            </w:r>
            <w:r w:rsidR="006678E6">
              <w:rPr>
                <w:noProof/>
                <w:webHidden/>
              </w:rPr>
              <w:fldChar w:fldCharType="begin"/>
            </w:r>
            <w:r w:rsidR="006678E6">
              <w:rPr>
                <w:noProof/>
                <w:webHidden/>
              </w:rPr>
              <w:instrText xml:space="preserve"> PAGEREF _Toc477317393 \h </w:instrText>
            </w:r>
            <w:r w:rsidR="006678E6">
              <w:rPr>
                <w:noProof/>
                <w:webHidden/>
              </w:rPr>
            </w:r>
            <w:r w:rsidR="006678E6">
              <w:rPr>
                <w:noProof/>
                <w:webHidden/>
              </w:rPr>
              <w:fldChar w:fldCharType="separate"/>
            </w:r>
            <w:r w:rsidR="006313FE">
              <w:rPr>
                <w:noProof/>
                <w:webHidden/>
              </w:rPr>
              <w:t>39</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94" w:history="1">
            <w:r w:rsidR="006678E6" w:rsidRPr="00B077D2">
              <w:rPr>
                <w:rStyle w:val="Hyperlink"/>
                <w:noProof/>
              </w:rPr>
              <w:t>3.2.1</w:t>
            </w:r>
            <w:r w:rsidR="006678E6">
              <w:rPr>
                <w:rFonts w:asciiTheme="minorHAnsi" w:eastAsiaTheme="minorEastAsia" w:hAnsiTheme="minorHAnsi"/>
                <w:noProof/>
              </w:rPr>
              <w:tab/>
            </w:r>
            <w:r w:rsidR="006678E6" w:rsidRPr="00B077D2">
              <w:rPr>
                <w:rStyle w:val="Hyperlink"/>
                <w:noProof/>
              </w:rPr>
              <w:t>The Ḥadīth of a Historical Propheta, Muḥammad</w:t>
            </w:r>
            <w:r w:rsidR="006678E6">
              <w:rPr>
                <w:noProof/>
                <w:webHidden/>
              </w:rPr>
              <w:tab/>
            </w:r>
            <w:r w:rsidR="006678E6">
              <w:rPr>
                <w:noProof/>
                <w:webHidden/>
              </w:rPr>
              <w:fldChar w:fldCharType="begin"/>
            </w:r>
            <w:r w:rsidR="006678E6">
              <w:rPr>
                <w:noProof/>
                <w:webHidden/>
              </w:rPr>
              <w:instrText xml:space="preserve"> PAGEREF _Toc477317394 \h </w:instrText>
            </w:r>
            <w:r w:rsidR="006678E6">
              <w:rPr>
                <w:noProof/>
                <w:webHidden/>
              </w:rPr>
            </w:r>
            <w:r w:rsidR="006678E6">
              <w:rPr>
                <w:noProof/>
                <w:webHidden/>
              </w:rPr>
              <w:fldChar w:fldCharType="separate"/>
            </w:r>
            <w:r w:rsidR="006313FE">
              <w:rPr>
                <w:noProof/>
                <w:webHidden/>
              </w:rPr>
              <w:t>39</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95" w:history="1">
            <w:r w:rsidR="006678E6" w:rsidRPr="00B077D2">
              <w:rPr>
                <w:rStyle w:val="Hyperlink"/>
                <w:noProof/>
              </w:rPr>
              <w:t>3.2.2</w:t>
            </w:r>
            <w:r w:rsidR="006678E6">
              <w:rPr>
                <w:rFonts w:asciiTheme="minorHAnsi" w:eastAsiaTheme="minorEastAsia" w:hAnsiTheme="minorHAnsi"/>
                <w:noProof/>
              </w:rPr>
              <w:tab/>
            </w:r>
            <w:r w:rsidR="006678E6" w:rsidRPr="00B077D2">
              <w:rPr>
                <w:rStyle w:val="Hyperlink"/>
                <w:noProof/>
              </w:rPr>
              <w:t>Cosmic Portents of the Last Day in Prophetic Ḥadīth</w:t>
            </w:r>
            <w:r w:rsidR="006678E6">
              <w:rPr>
                <w:noProof/>
                <w:webHidden/>
              </w:rPr>
              <w:tab/>
            </w:r>
            <w:r w:rsidR="006678E6">
              <w:rPr>
                <w:noProof/>
                <w:webHidden/>
              </w:rPr>
              <w:fldChar w:fldCharType="begin"/>
            </w:r>
            <w:r w:rsidR="006678E6">
              <w:rPr>
                <w:noProof/>
                <w:webHidden/>
              </w:rPr>
              <w:instrText xml:space="preserve"> PAGEREF _Toc477317395 \h </w:instrText>
            </w:r>
            <w:r w:rsidR="006678E6">
              <w:rPr>
                <w:noProof/>
                <w:webHidden/>
              </w:rPr>
            </w:r>
            <w:r w:rsidR="006678E6">
              <w:rPr>
                <w:noProof/>
                <w:webHidden/>
              </w:rPr>
              <w:fldChar w:fldCharType="separate"/>
            </w:r>
            <w:r w:rsidR="006313FE">
              <w:rPr>
                <w:noProof/>
                <w:webHidden/>
              </w:rPr>
              <w:t>41</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396" w:history="1">
            <w:r w:rsidR="006678E6" w:rsidRPr="00B077D2">
              <w:rPr>
                <w:rStyle w:val="Hyperlink"/>
                <w:noProof/>
              </w:rPr>
              <w:t>3.3 Portents of the Last Day in the 'Tribulations and Fierce Battles' Genre</w:t>
            </w:r>
            <w:r w:rsidR="006678E6">
              <w:rPr>
                <w:noProof/>
                <w:webHidden/>
              </w:rPr>
              <w:tab/>
            </w:r>
            <w:r w:rsidR="006678E6">
              <w:rPr>
                <w:noProof/>
                <w:webHidden/>
              </w:rPr>
              <w:fldChar w:fldCharType="begin"/>
            </w:r>
            <w:r w:rsidR="006678E6">
              <w:rPr>
                <w:noProof/>
                <w:webHidden/>
              </w:rPr>
              <w:instrText xml:space="preserve"> PAGEREF _Toc477317396 \h </w:instrText>
            </w:r>
            <w:r w:rsidR="006678E6">
              <w:rPr>
                <w:noProof/>
                <w:webHidden/>
              </w:rPr>
            </w:r>
            <w:r w:rsidR="006678E6">
              <w:rPr>
                <w:noProof/>
                <w:webHidden/>
              </w:rPr>
              <w:fldChar w:fldCharType="separate"/>
            </w:r>
            <w:r w:rsidR="006313FE">
              <w:rPr>
                <w:noProof/>
                <w:webHidden/>
              </w:rPr>
              <w:t>43</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97" w:history="1">
            <w:r w:rsidR="006678E6" w:rsidRPr="00B077D2">
              <w:rPr>
                <w:rStyle w:val="Hyperlink"/>
                <w:noProof/>
              </w:rPr>
              <w:t>3.3.1</w:t>
            </w:r>
            <w:r w:rsidR="006678E6">
              <w:rPr>
                <w:rFonts w:asciiTheme="minorHAnsi" w:eastAsiaTheme="minorEastAsia" w:hAnsiTheme="minorHAnsi"/>
                <w:noProof/>
              </w:rPr>
              <w:tab/>
            </w:r>
            <w:r w:rsidR="006678E6" w:rsidRPr="00B077D2">
              <w:rPr>
                <w:rStyle w:val="Hyperlink"/>
                <w:noProof/>
                <w:lang w:bidi="ar-AE"/>
              </w:rPr>
              <w:t>The Genre of Islamic Apocalyptica</w:t>
            </w:r>
            <w:r w:rsidR="006678E6">
              <w:rPr>
                <w:noProof/>
                <w:webHidden/>
              </w:rPr>
              <w:tab/>
            </w:r>
            <w:r w:rsidR="006678E6">
              <w:rPr>
                <w:noProof/>
                <w:webHidden/>
              </w:rPr>
              <w:fldChar w:fldCharType="begin"/>
            </w:r>
            <w:r w:rsidR="006678E6">
              <w:rPr>
                <w:noProof/>
                <w:webHidden/>
              </w:rPr>
              <w:instrText xml:space="preserve"> PAGEREF _Toc477317397 \h </w:instrText>
            </w:r>
            <w:r w:rsidR="006678E6">
              <w:rPr>
                <w:noProof/>
                <w:webHidden/>
              </w:rPr>
            </w:r>
            <w:r w:rsidR="006678E6">
              <w:rPr>
                <w:noProof/>
                <w:webHidden/>
              </w:rPr>
              <w:fldChar w:fldCharType="separate"/>
            </w:r>
            <w:r w:rsidR="006313FE">
              <w:rPr>
                <w:noProof/>
                <w:webHidden/>
              </w:rPr>
              <w:t>43</w:t>
            </w:r>
            <w:r w:rsidR="006678E6">
              <w:rPr>
                <w:noProof/>
                <w:webHidden/>
              </w:rPr>
              <w:fldChar w:fldCharType="end"/>
            </w:r>
          </w:hyperlink>
        </w:p>
        <w:p w:rsidR="006678E6" w:rsidRDefault="00FB6A18">
          <w:pPr>
            <w:pStyle w:val="TOC3"/>
            <w:tabs>
              <w:tab w:val="left" w:pos="1320"/>
              <w:tab w:val="right" w:leader="dot" w:pos="8382"/>
            </w:tabs>
            <w:rPr>
              <w:rFonts w:asciiTheme="minorHAnsi" w:eastAsiaTheme="minorEastAsia" w:hAnsiTheme="minorHAnsi"/>
              <w:noProof/>
            </w:rPr>
          </w:pPr>
          <w:hyperlink w:anchor="_Toc477317398" w:history="1">
            <w:r w:rsidR="006678E6" w:rsidRPr="00B077D2">
              <w:rPr>
                <w:rStyle w:val="Hyperlink"/>
                <w:noProof/>
              </w:rPr>
              <w:t>3.3.2</w:t>
            </w:r>
            <w:r w:rsidR="006678E6">
              <w:rPr>
                <w:rFonts w:asciiTheme="minorHAnsi" w:eastAsiaTheme="minorEastAsia" w:hAnsiTheme="minorHAnsi"/>
                <w:noProof/>
              </w:rPr>
              <w:tab/>
            </w:r>
            <w:r w:rsidR="006678E6" w:rsidRPr="00B077D2">
              <w:rPr>
                <w:rStyle w:val="Hyperlink"/>
                <w:noProof/>
              </w:rPr>
              <w:t>Cosmic Portents of the Last Day in the Genre of Islamic Apocalyptica</w:t>
            </w:r>
            <w:r w:rsidR="006678E6">
              <w:rPr>
                <w:noProof/>
                <w:webHidden/>
              </w:rPr>
              <w:tab/>
            </w:r>
            <w:r w:rsidR="006678E6">
              <w:rPr>
                <w:noProof/>
                <w:webHidden/>
              </w:rPr>
              <w:fldChar w:fldCharType="begin"/>
            </w:r>
            <w:r w:rsidR="006678E6">
              <w:rPr>
                <w:noProof/>
                <w:webHidden/>
              </w:rPr>
              <w:instrText xml:space="preserve"> PAGEREF _Toc477317398 \h </w:instrText>
            </w:r>
            <w:r w:rsidR="006678E6">
              <w:rPr>
                <w:noProof/>
                <w:webHidden/>
              </w:rPr>
            </w:r>
            <w:r w:rsidR="006678E6">
              <w:rPr>
                <w:noProof/>
                <w:webHidden/>
              </w:rPr>
              <w:fldChar w:fldCharType="separate"/>
            </w:r>
            <w:r w:rsidR="006313FE">
              <w:rPr>
                <w:noProof/>
                <w:webHidden/>
              </w:rPr>
              <w:t>44</w:t>
            </w:r>
            <w:r w:rsidR="006678E6">
              <w:rPr>
                <w:noProof/>
                <w:webHidden/>
              </w:rPr>
              <w:fldChar w:fldCharType="end"/>
            </w:r>
          </w:hyperlink>
        </w:p>
        <w:p w:rsidR="006678E6" w:rsidRDefault="00FB6A18">
          <w:pPr>
            <w:pStyle w:val="TOC1"/>
            <w:tabs>
              <w:tab w:val="right" w:leader="dot" w:pos="8382"/>
            </w:tabs>
            <w:rPr>
              <w:rFonts w:asciiTheme="minorHAnsi" w:eastAsiaTheme="minorEastAsia" w:hAnsiTheme="minorHAnsi"/>
              <w:noProof/>
            </w:rPr>
          </w:pPr>
          <w:hyperlink w:anchor="_Toc477317399" w:history="1">
            <w:r w:rsidR="006678E6" w:rsidRPr="00B077D2">
              <w:rPr>
                <w:rStyle w:val="Hyperlink"/>
                <w:noProof/>
              </w:rPr>
              <w:t>IV. Conclusion</w:t>
            </w:r>
            <w:r w:rsidR="006678E6">
              <w:rPr>
                <w:noProof/>
                <w:webHidden/>
              </w:rPr>
              <w:tab/>
            </w:r>
            <w:r w:rsidR="006678E6">
              <w:rPr>
                <w:noProof/>
                <w:webHidden/>
              </w:rPr>
              <w:fldChar w:fldCharType="begin"/>
            </w:r>
            <w:r w:rsidR="006678E6">
              <w:rPr>
                <w:noProof/>
                <w:webHidden/>
              </w:rPr>
              <w:instrText xml:space="preserve"> PAGEREF _Toc477317399 \h </w:instrText>
            </w:r>
            <w:r w:rsidR="006678E6">
              <w:rPr>
                <w:noProof/>
                <w:webHidden/>
              </w:rPr>
            </w:r>
            <w:r w:rsidR="006678E6">
              <w:rPr>
                <w:noProof/>
                <w:webHidden/>
              </w:rPr>
              <w:fldChar w:fldCharType="separate"/>
            </w:r>
            <w:r w:rsidR="006313FE">
              <w:rPr>
                <w:noProof/>
                <w:webHidden/>
              </w:rPr>
              <w:t>48</w:t>
            </w:r>
            <w:r w:rsidR="006678E6">
              <w:rPr>
                <w:noProof/>
                <w:webHidden/>
              </w:rPr>
              <w:fldChar w:fldCharType="end"/>
            </w:r>
          </w:hyperlink>
        </w:p>
        <w:p w:rsidR="006678E6" w:rsidRDefault="00FB6A18">
          <w:pPr>
            <w:pStyle w:val="TOC1"/>
            <w:tabs>
              <w:tab w:val="right" w:leader="dot" w:pos="8382"/>
            </w:tabs>
            <w:rPr>
              <w:rFonts w:asciiTheme="minorHAnsi" w:eastAsiaTheme="minorEastAsia" w:hAnsiTheme="minorHAnsi"/>
              <w:noProof/>
            </w:rPr>
          </w:pPr>
          <w:hyperlink w:anchor="_Toc477317400" w:history="1">
            <w:r w:rsidR="006678E6" w:rsidRPr="00B077D2">
              <w:rPr>
                <w:rStyle w:val="Hyperlink"/>
                <w:noProof/>
              </w:rPr>
              <w:t>Bibliography</w:t>
            </w:r>
            <w:r w:rsidR="006678E6">
              <w:rPr>
                <w:noProof/>
                <w:webHidden/>
              </w:rPr>
              <w:tab/>
            </w:r>
            <w:r w:rsidR="006678E6">
              <w:rPr>
                <w:noProof/>
                <w:webHidden/>
              </w:rPr>
              <w:fldChar w:fldCharType="begin"/>
            </w:r>
            <w:r w:rsidR="006678E6">
              <w:rPr>
                <w:noProof/>
                <w:webHidden/>
              </w:rPr>
              <w:instrText xml:space="preserve"> PAGEREF _Toc477317400 \h </w:instrText>
            </w:r>
            <w:r w:rsidR="006678E6">
              <w:rPr>
                <w:noProof/>
                <w:webHidden/>
              </w:rPr>
            </w:r>
            <w:r w:rsidR="006678E6">
              <w:rPr>
                <w:noProof/>
                <w:webHidden/>
              </w:rPr>
              <w:fldChar w:fldCharType="separate"/>
            </w:r>
            <w:r w:rsidR="006313FE">
              <w:rPr>
                <w:noProof/>
                <w:webHidden/>
              </w:rPr>
              <w:t>51</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401" w:history="1">
            <w:r w:rsidR="006678E6" w:rsidRPr="00B077D2">
              <w:rPr>
                <w:rStyle w:val="Hyperlink"/>
                <w:noProof/>
              </w:rPr>
              <w:t>Arabic Sources</w:t>
            </w:r>
            <w:r w:rsidR="006678E6">
              <w:rPr>
                <w:noProof/>
                <w:webHidden/>
              </w:rPr>
              <w:tab/>
            </w:r>
            <w:r w:rsidR="006678E6">
              <w:rPr>
                <w:noProof/>
                <w:webHidden/>
              </w:rPr>
              <w:fldChar w:fldCharType="begin"/>
            </w:r>
            <w:r w:rsidR="006678E6">
              <w:rPr>
                <w:noProof/>
                <w:webHidden/>
              </w:rPr>
              <w:instrText xml:space="preserve"> PAGEREF _Toc477317401 \h </w:instrText>
            </w:r>
            <w:r w:rsidR="006678E6">
              <w:rPr>
                <w:noProof/>
                <w:webHidden/>
              </w:rPr>
            </w:r>
            <w:r w:rsidR="006678E6">
              <w:rPr>
                <w:noProof/>
                <w:webHidden/>
              </w:rPr>
              <w:fldChar w:fldCharType="separate"/>
            </w:r>
            <w:r w:rsidR="006313FE">
              <w:rPr>
                <w:noProof/>
                <w:webHidden/>
              </w:rPr>
              <w:t>51</w:t>
            </w:r>
            <w:r w:rsidR="006678E6">
              <w:rPr>
                <w:noProof/>
                <w:webHidden/>
              </w:rPr>
              <w:fldChar w:fldCharType="end"/>
            </w:r>
          </w:hyperlink>
        </w:p>
        <w:p w:rsidR="006678E6" w:rsidRDefault="00FB6A18">
          <w:pPr>
            <w:pStyle w:val="TOC2"/>
            <w:tabs>
              <w:tab w:val="right" w:leader="dot" w:pos="8382"/>
            </w:tabs>
            <w:rPr>
              <w:rFonts w:asciiTheme="minorHAnsi" w:eastAsiaTheme="minorEastAsia" w:hAnsiTheme="minorHAnsi"/>
              <w:noProof/>
            </w:rPr>
          </w:pPr>
          <w:hyperlink w:anchor="_Toc477317402" w:history="1">
            <w:r w:rsidR="006678E6" w:rsidRPr="00B077D2">
              <w:rPr>
                <w:rStyle w:val="Hyperlink"/>
                <w:noProof/>
              </w:rPr>
              <w:t>English Sources</w:t>
            </w:r>
            <w:r w:rsidR="006678E6">
              <w:rPr>
                <w:noProof/>
                <w:webHidden/>
              </w:rPr>
              <w:tab/>
            </w:r>
            <w:r w:rsidR="006678E6">
              <w:rPr>
                <w:noProof/>
                <w:webHidden/>
              </w:rPr>
              <w:fldChar w:fldCharType="begin"/>
            </w:r>
            <w:r w:rsidR="006678E6">
              <w:rPr>
                <w:noProof/>
                <w:webHidden/>
              </w:rPr>
              <w:instrText xml:space="preserve"> PAGEREF _Toc477317402 \h </w:instrText>
            </w:r>
            <w:r w:rsidR="006678E6">
              <w:rPr>
                <w:noProof/>
                <w:webHidden/>
              </w:rPr>
            </w:r>
            <w:r w:rsidR="006678E6">
              <w:rPr>
                <w:noProof/>
                <w:webHidden/>
              </w:rPr>
              <w:fldChar w:fldCharType="separate"/>
            </w:r>
            <w:r w:rsidR="006313FE">
              <w:rPr>
                <w:noProof/>
                <w:webHidden/>
              </w:rPr>
              <w:t>55</w:t>
            </w:r>
            <w:r w:rsidR="006678E6">
              <w:rPr>
                <w:noProof/>
                <w:webHidden/>
              </w:rPr>
              <w:fldChar w:fldCharType="end"/>
            </w:r>
          </w:hyperlink>
        </w:p>
        <w:p w:rsidR="006678E6" w:rsidRDefault="00FB6A18">
          <w:pPr>
            <w:pStyle w:val="TOC1"/>
            <w:tabs>
              <w:tab w:val="right" w:leader="dot" w:pos="8382"/>
            </w:tabs>
            <w:rPr>
              <w:rFonts w:asciiTheme="minorHAnsi" w:eastAsiaTheme="minorEastAsia" w:hAnsiTheme="minorHAnsi"/>
              <w:noProof/>
            </w:rPr>
          </w:pPr>
          <w:hyperlink w:anchor="_Toc477317403" w:history="1">
            <w:r w:rsidR="006678E6" w:rsidRPr="00B077D2">
              <w:rPr>
                <w:rStyle w:val="Hyperlink"/>
                <w:noProof/>
              </w:rPr>
              <w:t>Appendix: MA Dissertation Approval Form</w:t>
            </w:r>
            <w:r w:rsidR="006678E6">
              <w:rPr>
                <w:noProof/>
                <w:webHidden/>
              </w:rPr>
              <w:tab/>
            </w:r>
            <w:r w:rsidR="006678E6">
              <w:rPr>
                <w:noProof/>
                <w:webHidden/>
              </w:rPr>
              <w:fldChar w:fldCharType="begin"/>
            </w:r>
            <w:r w:rsidR="006678E6">
              <w:rPr>
                <w:noProof/>
                <w:webHidden/>
              </w:rPr>
              <w:instrText xml:space="preserve"> PAGEREF _Toc477317403 \h </w:instrText>
            </w:r>
            <w:r w:rsidR="006678E6">
              <w:rPr>
                <w:noProof/>
                <w:webHidden/>
              </w:rPr>
            </w:r>
            <w:r w:rsidR="006678E6">
              <w:rPr>
                <w:noProof/>
                <w:webHidden/>
              </w:rPr>
              <w:fldChar w:fldCharType="separate"/>
            </w:r>
            <w:r w:rsidR="006313FE">
              <w:rPr>
                <w:noProof/>
                <w:webHidden/>
              </w:rPr>
              <w:t>61</w:t>
            </w:r>
            <w:r w:rsidR="006678E6">
              <w:rPr>
                <w:noProof/>
                <w:webHidden/>
              </w:rPr>
              <w:fldChar w:fldCharType="end"/>
            </w:r>
          </w:hyperlink>
        </w:p>
        <w:p w:rsidR="00890CCB" w:rsidRDefault="002B256D" w:rsidP="002B256D">
          <w:pPr>
            <w:rPr>
              <w:sz w:val="20"/>
              <w:szCs w:val="20"/>
            </w:rPr>
          </w:pPr>
          <w:r w:rsidRPr="000D43E4">
            <w:rPr>
              <w:b/>
              <w:bCs/>
              <w:noProof/>
              <w:sz w:val="20"/>
              <w:szCs w:val="20"/>
            </w:rPr>
            <w:fldChar w:fldCharType="end"/>
          </w:r>
        </w:p>
      </w:sdtContent>
    </w:sdt>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Pr="00890CCB" w:rsidRDefault="00890CCB" w:rsidP="00890CCB">
      <w:pPr>
        <w:rPr>
          <w:sz w:val="20"/>
          <w:szCs w:val="20"/>
        </w:rPr>
      </w:pPr>
    </w:p>
    <w:p w:rsidR="00890CCB" w:rsidRDefault="00890CCB" w:rsidP="00890CCB">
      <w:pPr>
        <w:rPr>
          <w:sz w:val="20"/>
          <w:szCs w:val="20"/>
        </w:rPr>
      </w:pPr>
    </w:p>
    <w:p w:rsidR="00890CCB" w:rsidRPr="00890CCB" w:rsidRDefault="00890CCB" w:rsidP="00890CCB">
      <w:pPr>
        <w:rPr>
          <w:sz w:val="20"/>
          <w:szCs w:val="20"/>
        </w:rPr>
      </w:pPr>
    </w:p>
    <w:p w:rsidR="00890CCB" w:rsidRDefault="00890CCB" w:rsidP="00890CCB">
      <w:pPr>
        <w:rPr>
          <w:sz w:val="20"/>
          <w:szCs w:val="20"/>
        </w:rPr>
      </w:pPr>
    </w:p>
    <w:p w:rsidR="00890CCB" w:rsidRDefault="00890CCB" w:rsidP="00890CCB">
      <w:pPr>
        <w:jc w:val="center"/>
        <w:rPr>
          <w:sz w:val="20"/>
          <w:szCs w:val="20"/>
        </w:rPr>
      </w:pPr>
    </w:p>
    <w:p w:rsidR="00890CCB" w:rsidRDefault="00890CCB" w:rsidP="00890CCB">
      <w:pPr>
        <w:rPr>
          <w:sz w:val="20"/>
          <w:szCs w:val="20"/>
        </w:rPr>
      </w:pPr>
    </w:p>
    <w:p w:rsidR="002B256D" w:rsidRPr="00890CCB" w:rsidRDefault="002B256D" w:rsidP="00890CCB">
      <w:pPr>
        <w:rPr>
          <w:sz w:val="20"/>
          <w:szCs w:val="20"/>
        </w:rPr>
        <w:sectPr w:rsidR="002B256D" w:rsidRPr="00890CCB" w:rsidSect="00CE65ED">
          <w:headerReference w:type="default" r:id="rId21"/>
          <w:footerReference w:type="default" r:id="rId22"/>
          <w:headerReference w:type="first" r:id="rId23"/>
          <w:footerReference w:type="first" r:id="rId24"/>
          <w:pgSz w:w="11907" w:h="16839" w:code="9"/>
          <w:pgMar w:top="1440" w:right="1247" w:bottom="1440" w:left="2268" w:header="720" w:footer="720" w:gutter="0"/>
          <w:pgNumType w:fmt="lowerRoman" w:start="1"/>
          <w:cols w:space="720"/>
          <w:docGrid w:linePitch="360"/>
        </w:sectPr>
      </w:pPr>
    </w:p>
    <w:p w:rsidR="003A167A" w:rsidRDefault="002B256D" w:rsidP="002B256D">
      <w:pPr>
        <w:pStyle w:val="Heading1"/>
      </w:pPr>
      <w:r w:rsidRPr="002E6910">
        <w:lastRenderedPageBreak/>
        <w:t xml:space="preserve"> </w:t>
      </w:r>
      <w:bookmarkStart w:id="6" w:name="_Toc477317372"/>
      <w:r w:rsidR="003A167A" w:rsidRPr="002E6910">
        <w:t>Abstract</w:t>
      </w:r>
      <w:bookmarkEnd w:id="0"/>
      <w:bookmarkEnd w:id="6"/>
    </w:p>
    <w:p w:rsidR="003A167A" w:rsidRDefault="003A167A" w:rsidP="003A167A">
      <w:pPr>
        <w:jc w:val="lowKashida"/>
      </w:pPr>
    </w:p>
    <w:p w:rsidR="003A167A" w:rsidRDefault="003A167A" w:rsidP="00534CA1">
      <w:pPr>
        <w:tabs>
          <w:tab w:val="left" w:pos="7655"/>
        </w:tabs>
        <w:spacing w:line="240" w:lineRule="auto"/>
        <w:jc w:val="lowKashida"/>
        <w:rPr>
          <w:sz w:val="24"/>
          <w:szCs w:val="24"/>
          <w:lang w:bidi="ar-AE"/>
        </w:rPr>
      </w:pPr>
      <w:r w:rsidRPr="000266A8">
        <w:rPr>
          <w:sz w:val="24"/>
          <w:szCs w:val="24"/>
        </w:rPr>
        <w:t xml:space="preserve">The redemptive eschatology of Islam did not merely serve as a moral deterrent, but also had a considerable impact on the sociopolitical history of Islam. In Islamic apocalyptic eschatology in particular, a sequence of terrifying celestial phenomena, or cosmic portents, ultimately lead to a turbulent cataclysmic universal apocalypse that terminates mundane history, or profane time. </w:t>
      </w:r>
      <w:r w:rsidRPr="008D6268">
        <w:rPr>
          <w:sz w:val="24"/>
          <w:szCs w:val="24"/>
        </w:rPr>
        <w:t xml:space="preserve">Assessing Islamic eschatology from </w:t>
      </w:r>
      <w:r w:rsidR="008D6268" w:rsidRPr="008D6268">
        <w:rPr>
          <w:sz w:val="24"/>
          <w:szCs w:val="24"/>
        </w:rPr>
        <w:t>a</w:t>
      </w:r>
      <w:r w:rsidRPr="008D6268">
        <w:rPr>
          <w:sz w:val="24"/>
          <w:szCs w:val="24"/>
        </w:rPr>
        <w:t xml:space="preserve"> cosmological perspective,</w:t>
      </w:r>
      <w:r w:rsidRPr="000266A8">
        <w:rPr>
          <w:sz w:val="24"/>
          <w:szCs w:val="24"/>
        </w:rPr>
        <w:t xml:space="preserve"> this </w:t>
      </w:r>
      <w:r w:rsidR="008D6268">
        <w:rPr>
          <w:sz w:val="24"/>
          <w:szCs w:val="24"/>
        </w:rPr>
        <w:t>dissertation</w:t>
      </w:r>
      <w:r w:rsidRPr="000266A8">
        <w:rPr>
          <w:sz w:val="24"/>
          <w:szCs w:val="24"/>
        </w:rPr>
        <w:t xml:space="preserve"> engages in a critical historical exploration of how the Last Day cosmic portents mentioned the Qur'ān, Prophetic </w:t>
      </w:r>
      <w:r w:rsidRPr="000266A8">
        <w:rPr>
          <w:rFonts w:cs="TimesNewRomanPS-BoldMT"/>
          <w:bCs/>
          <w:i/>
          <w:iCs/>
          <w:sz w:val="24"/>
          <w:szCs w:val="24"/>
        </w:rPr>
        <w:t>ḥadīth</w:t>
      </w:r>
      <w:r w:rsidRPr="000266A8">
        <w:rPr>
          <w:rFonts w:cs="TimesNewRomanPS-BoldMT"/>
          <w:bCs/>
          <w:sz w:val="24"/>
          <w:szCs w:val="24"/>
        </w:rPr>
        <w:t xml:space="preserve"> </w:t>
      </w:r>
      <w:r w:rsidRPr="000266A8">
        <w:rPr>
          <w:sz w:val="24"/>
          <w:szCs w:val="24"/>
        </w:rPr>
        <w:t xml:space="preserve">(sayings and deeds of the prophet Muḥammad), and genre of Islamic apocalyptica known as </w:t>
      </w:r>
      <w:r w:rsidRPr="000266A8">
        <w:rPr>
          <w:i/>
          <w:iCs/>
          <w:sz w:val="24"/>
          <w:szCs w:val="24"/>
        </w:rPr>
        <w:t>al-Fitan</w:t>
      </w:r>
      <w:r w:rsidR="00957224">
        <w:rPr>
          <w:sz w:val="24"/>
          <w:szCs w:val="24"/>
        </w:rPr>
        <w:t xml:space="preserve"> </w:t>
      </w:r>
      <w:r w:rsidR="00957224" w:rsidRPr="00957224">
        <w:rPr>
          <w:i/>
          <w:iCs/>
          <w:sz w:val="24"/>
          <w:szCs w:val="24"/>
        </w:rPr>
        <w:t>wal-</w:t>
      </w:r>
      <w:r w:rsidRPr="000266A8">
        <w:rPr>
          <w:i/>
          <w:iCs/>
          <w:sz w:val="24"/>
          <w:szCs w:val="24"/>
        </w:rPr>
        <w:t>Malāḥim</w:t>
      </w:r>
      <w:r w:rsidRPr="000266A8">
        <w:rPr>
          <w:sz w:val="24"/>
          <w:szCs w:val="24"/>
        </w:rPr>
        <w:t xml:space="preserve"> (Tribulations and Fierce Battles), were understood and conceptualized </w:t>
      </w:r>
      <w:r w:rsidR="008D6268" w:rsidRPr="00280A7B">
        <w:rPr>
          <w:rFonts w:cs="TimesNewRomanPS-BoldMT"/>
          <w:sz w:val="24"/>
          <w:szCs w:val="24"/>
        </w:rPr>
        <w:t xml:space="preserve">in the period extending from the eighth to the seventeenth centuries </w:t>
      </w:r>
      <w:r w:rsidR="008D6268" w:rsidRPr="00F14447">
        <w:rPr>
          <w:rFonts w:cs="TimesNewRomanPS-BoldMT"/>
        </w:rPr>
        <w:t>CE</w:t>
      </w:r>
      <w:r w:rsidR="008D6268" w:rsidRPr="00280A7B">
        <w:rPr>
          <w:rFonts w:cs="TimesNewRomanPS-BoldMT"/>
          <w:sz w:val="24"/>
          <w:szCs w:val="24"/>
        </w:rPr>
        <w:t>, and the extent to which this reflects Islamic cosmological beliefs.</w:t>
      </w:r>
      <w:r w:rsidR="008D6268">
        <w:rPr>
          <w:sz w:val="24"/>
          <w:szCs w:val="24"/>
        </w:rPr>
        <w:t xml:space="preserve"> </w:t>
      </w:r>
      <w:r w:rsidRPr="000266A8">
        <w:rPr>
          <w:rFonts w:cs="TimesNewRomanPS-BoldMT"/>
          <w:iCs/>
          <w:sz w:val="24"/>
          <w:szCs w:val="24"/>
        </w:rPr>
        <w:t xml:space="preserve">To gain a holistic understanding of the phenomenon studied, an interdisciplinary approach is employed, drawing on relevant theories on history, myths, cosmology, sociology, politics, philosophy and theology. </w:t>
      </w:r>
      <w:r w:rsidRPr="008D6268">
        <w:rPr>
          <w:sz w:val="24"/>
          <w:szCs w:val="24"/>
        </w:rPr>
        <w:t xml:space="preserve">The </w:t>
      </w:r>
      <w:r w:rsidR="008D6268">
        <w:rPr>
          <w:sz w:val="24"/>
          <w:szCs w:val="24"/>
        </w:rPr>
        <w:t>central assumption of this dissertation</w:t>
      </w:r>
      <w:r w:rsidRPr="008D6268">
        <w:rPr>
          <w:sz w:val="24"/>
          <w:szCs w:val="24"/>
        </w:rPr>
        <w:t xml:space="preserve"> is that a better understanding of Islamic apocalyptic eschatology, as an alternative yet significant cosmology, can lead to a more thorough understanding of Islam as a religion, and </w:t>
      </w:r>
      <w:r w:rsidR="009210A3">
        <w:rPr>
          <w:sz w:val="24"/>
          <w:szCs w:val="24"/>
        </w:rPr>
        <w:t>subsequently</w:t>
      </w:r>
      <w:r w:rsidR="008D6268">
        <w:rPr>
          <w:sz w:val="24"/>
          <w:szCs w:val="24"/>
        </w:rPr>
        <w:t xml:space="preserve">, </w:t>
      </w:r>
      <w:r w:rsidR="0093527B">
        <w:rPr>
          <w:sz w:val="24"/>
          <w:szCs w:val="24"/>
        </w:rPr>
        <w:t xml:space="preserve">to the reason behind the prevasiveness of apocalypticism </w:t>
      </w:r>
      <w:r w:rsidR="008D6268" w:rsidRPr="008D6268">
        <w:rPr>
          <w:sz w:val="24"/>
          <w:szCs w:val="24"/>
        </w:rPr>
        <w:t xml:space="preserve">in areas of conflict in the Middle East. </w:t>
      </w:r>
      <w:r w:rsidR="00AD622C">
        <w:rPr>
          <w:sz w:val="24"/>
          <w:szCs w:val="24"/>
        </w:rPr>
        <w:t>This</w:t>
      </w:r>
      <w:r w:rsidR="008D6268">
        <w:rPr>
          <w:sz w:val="24"/>
          <w:szCs w:val="24"/>
        </w:rPr>
        <w:t xml:space="preserve"> dissertation</w:t>
      </w:r>
      <w:r w:rsidR="00AD622C">
        <w:rPr>
          <w:sz w:val="24"/>
          <w:szCs w:val="24"/>
        </w:rPr>
        <w:t xml:space="preserve"> has found</w:t>
      </w:r>
      <w:r w:rsidRPr="000266A8">
        <w:rPr>
          <w:sz w:val="24"/>
          <w:szCs w:val="24"/>
        </w:rPr>
        <w:t xml:space="preserve"> that through declaring the inevitability of the future annihilation of the universe, Islam was in principle eradicating the pre-Islamic notion of the eternity of the cosmos, and by doing so, confirming the </w:t>
      </w:r>
      <w:r w:rsidRPr="000266A8">
        <w:rPr>
          <w:sz w:val="24"/>
          <w:szCs w:val="24"/>
          <w:lang w:bidi="ar-AE"/>
        </w:rPr>
        <w:t xml:space="preserve">contingency of the universe as reflected in the concept of </w:t>
      </w:r>
      <w:r w:rsidRPr="000266A8">
        <w:rPr>
          <w:i/>
          <w:iCs/>
          <w:sz w:val="24"/>
          <w:szCs w:val="24"/>
          <w:lang w:bidi="ar-AE"/>
        </w:rPr>
        <w:t>creatio ex nihilo</w:t>
      </w:r>
      <w:r w:rsidRPr="000266A8">
        <w:rPr>
          <w:sz w:val="24"/>
          <w:szCs w:val="24"/>
          <w:lang w:bidi="ar-AE"/>
        </w:rPr>
        <w:t>. Th</w:t>
      </w:r>
      <w:r w:rsidR="00E27B90">
        <w:rPr>
          <w:sz w:val="24"/>
          <w:szCs w:val="24"/>
          <w:lang w:bidi="ar-AE"/>
        </w:rPr>
        <w:t xml:space="preserve">rough this, </w:t>
      </w:r>
      <w:r w:rsidRPr="00B12360">
        <w:rPr>
          <w:sz w:val="24"/>
          <w:szCs w:val="24"/>
          <w:lang w:bidi="ar-AE"/>
        </w:rPr>
        <w:t>Islamic esc</w:t>
      </w:r>
      <w:r w:rsidR="00B12360" w:rsidRPr="00B12360">
        <w:rPr>
          <w:sz w:val="24"/>
          <w:szCs w:val="24"/>
          <w:lang w:bidi="ar-AE"/>
        </w:rPr>
        <w:t xml:space="preserve">hatology </w:t>
      </w:r>
      <w:r w:rsidRPr="00B12360">
        <w:rPr>
          <w:sz w:val="24"/>
          <w:szCs w:val="24"/>
          <w:lang w:bidi="ar-AE"/>
        </w:rPr>
        <w:t xml:space="preserve">managed to maintain its </w:t>
      </w:r>
      <w:r w:rsidR="00B12360" w:rsidRPr="00B12360">
        <w:rPr>
          <w:sz w:val="24"/>
          <w:szCs w:val="24"/>
          <w:lang w:bidi="ar-AE"/>
        </w:rPr>
        <w:t xml:space="preserve">classical </w:t>
      </w:r>
      <w:r w:rsidR="00B12360">
        <w:rPr>
          <w:sz w:val="24"/>
          <w:szCs w:val="24"/>
          <w:lang w:bidi="ar-AE"/>
        </w:rPr>
        <w:t xml:space="preserve">Abrahamic </w:t>
      </w:r>
      <w:r w:rsidRPr="00B12360">
        <w:rPr>
          <w:sz w:val="24"/>
          <w:szCs w:val="24"/>
          <w:lang w:bidi="ar-AE"/>
        </w:rPr>
        <w:t>teleological, theistic and retributive essence, and henc</w:t>
      </w:r>
      <w:r w:rsidR="009210A3">
        <w:rPr>
          <w:sz w:val="24"/>
          <w:szCs w:val="24"/>
          <w:lang w:bidi="ar-AE"/>
        </w:rPr>
        <w:t>e continued to serve a</w:t>
      </w:r>
      <w:r w:rsidRPr="00B12360">
        <w:rPr>
          <w:sz w:val="24"/>
          <w:szCs w:val="24"/>
          <w:lang w:bidi="ar-AE"/>
        </w:rPr>
        <w:t xml:space="preserve"> mythological role</w:t>
      </w:r>
      <w:r w:rsidR="00B12360">
        <w:rPr>
          <w:sz w:val="24"/>
          <w:szCs w:val="24"/>
          <w:lang w:bidi="ar-AE"/>
        </w:rPr>
        <w:t xml:space="preserve"> </w:t>
      </w:r>
      <w:r w:rsidRPr="00B12360">
        <w:rPr>
          <w:sz w:val="24"/>
          <w:szCs w:val="24"/>
          <w:lang w:bidi="ar-AE"/>
        </w:rPr>
        <w:t xml:space="preserve">that </w:t>
      </w:r>
      <w:r w:rsidR="00534CA1">
        <w:rPr>
          <w:sz w:val="24"/>
          <w:szCs w:val="24"/>
          <w:lang w:bidi="ar-AE"/>
        </w:rPr>
        <w:t>could</w:t>
      </w:r>
      <w:r w:rsidR="009210A3">
        <w:rPr>
          <w:sz w:val="24"/>
          <w:szCs w:val="24"/>
          <w:lang w:bidi="ar-AE"/>
        </w:rPr>
        <w:t xml:space="preserve"> </w:t>
      </w:r>
      <w:r w:rsidRPr="00B12360">
        <w:rPr>
          <w:sz w:val="24"/>
          <w:szCs w:val="24"/>
          <w:lang w:bidi="ar-AE"/>
        </w:rPr>
        <w:t>help answer fundamental</w:t>
      </w:r>
      <w:r w:rsidR="009210A3">
        <w:rPr>
          <w:sz w:val="24"/>
          <w:szCs w:val="24"/>
          <w:lang w:bidi="ar-AE"/>
        </w:rPr>
        <w:t xml:space="preserve"> ontological questions, </w:t>
      </w:r>
      <w:r w:rsidR="001D174A">
        <w:rPr>
          <w:sz w:val="24"/>
          <w:szCs w:val="24"/>
          <w:lang w:bidi="ar-AE"/>
        </w:rPr>
        <w:t>and</w:t>
      </w:r>
      <w:r w:rsidR="009210A3">
        <w:rPr>
          <w:sz w:val="24"/>
          <w:szCs w:val="24"/>
          <w:lang w:bidi="ar-AE"/>
        </w:rPr>
        <w:t xml:space="preserve"> in its radical manifestation could dangerously trigger </w:t>
      </w:r>
      <w:r w:rsidR="001D174A">
        <w:rPr>
          <w:sz w:val="24"/>
          <w:szCs w:val="24"/>
          <w:lang w:bidi="ar-AE"/>
        </w:rPr>
        <w:t xml:space="preserve">violent revolutionary messianism in </w:t>
      </w:r>
      <w:r w:rsidR="009210A3">
        <w:rPr>
          <w:sz w:val="24"/>
          <w:szCs w:val="24"/>
          <w:lang w:bidi="ar-AE"/>
        </w:rPr>
        <w:t>volatile regions and among disoriented populations.</w:t>
      </w:r>
      <w:r w:rsidR="00B12360">
        <w:rPr>
          <w:sz w:val="24"/>
          <w:szCs w:val="24"/>
          <w:lang w:bidi="ar-AE"/>
        </w:rPr>
        <w:t xml:space="preserve"> </w:t>
      </w:r>
    </w:p>
    <w:p w:rsidR="003A167A" w:rsidRDefault="003A167A" w:rsidP="003A167A">
      <w:pPr>
        <w:jc w:val="lowKashida"/>
        <w:rPr>
          <w:rFonts w:cs="TimesNewRomanPS-BoldMT"/>
          <w:b/>
          <w:bCs/>
          <w:i/>
        </w:rPr>
      </w:pPr>
    </w:p>
    <w:p w:rsidR="003A167A" w:rsidRPr="000266A8" w:rsidRDefault="003A167A" w:rsidP="003A167A">
      <w:pPr>
        <w:jc w:val="lowKashida"/>
        <w:rPr>
          <w:rFonts w:cs="TimesNewRomanPS-BoldMT"/>
          <w:i/>
          <w:sz w:val="24"/>
          <w:szCs w:val="24"/>
        </w:rPr>
      </w:pPr>
      <w:r w:rsidRPr="000266A8">
        <w:rPr>
          <w:rFonts w:cs="TimesNewRomanPS-BoldMT"/>
          <w:b/>
          <w:bCs/>
          <w:i/>
          <w:sz w:val="24"/>
          <w:szCs w:val="24"/>
        </w:rPr>
        <w:t>Keywords:</w:t>
      </w:r>
      <w:r w:rsidRPr="000266A8">
        <w:rPr>
          <w:rFonts w:cs="TimesNewRomanPS-BoldMT"/>
          <w:i/>
          <w:sz w:val="24"/>
          <w:szCs w:val="24"/>
        </w:rPr>
        <w:t xml:space="preserve"> Islamic apocalypticism, Islamic eschatology, Islamic cosmology, Abrahamic cataclysmic apocalypse, </w:t>
      </w:r>
      <w:r w:rsidR="002415F8" w:rsidRPr="000266A8">
        <w:rPr>
          <w:rFonts w:cs="TimesNewRomanPS-BoldMT"/>
          <w:i/>
          <w:sz w:val="24"/>
          <w:szCs w:val="24"/>
        </w:rPr>
        <w:t>Islamic messianism</w:t>
      </w:r>
      <w:r w:rsidRPr="000266A8">
        <w:rPr>
          <w:rFonts w:cs="TimesNewRomanPS-BoldMT"/>
          <w:i/>
          <w:sz w:val="24"/>
          <w:szCs w:val="24"/>
        </w:rPr>
        <w:t xml:space="preserve"> </w:t>
      </w:r>
    </w:p>
    <w:p w:rsidR="003A167A" w:rsidRDefault="003A167A" w:rsidP="003A167A"/>
    <w:p w:rsidR="00817BF3" w:rsidRDefault="00817BF3" w:rsidP="00817BF3">
      <w:bookmarkStart w:id="7" w:name="_Toc462173702"/>
    </w:p>
    <w:p w:rsidR="008D7E2A" w:rsidRDefault="008D7E2A" w:rsidP="00817BF3">
      <w:pPr>
        <w:sectPr w:rsidR="008D7E2A" w:rsidSect="008D7E2A">
          <w:headerReference w:type="default" r:id="rId25"/>
          <w:footerReference w:type="default" r:id="rId26"/>
          <w:headerReference w:type="first" r:id="rId27"/>
          <w:footerReference w:type="first" r:id="rId28"/>
          <w:pgSz w:w="11907" w:h="16839" w:code="9"/>
          <w:pgMar w:top="1440" w:right="1247" w:bottom="1440" w:left="2268" w:header="720" w:footer="720" w:gutter="0"/>
          <w:pgNumType w:fmt="lowerRoman" w:start="1"/>
          <w:cols w:space="720"/>
          <w:titlePg/>
          <w:docGrid w:linePitch="360"/>
        </w:sectPr>
      </w:pPr>
    </w:p>
    <w:p w:rsidR="00624A62" w:rsidRDefault="00624A62" w:rsidP="00624A62">
      <w:pPr>
        <w:pStyle w:val="Heading1"/>
      </w:pPr>
      <w:bookmarkStart w:id="8" w:name="_Toc477317373"/>
      <w:bookmarkEnd w:id="7"/>
      <w:r>
        <w:lastRenderedPageBreak/>
        <w:t>I. Introduction</w:t>
      </w:r>
      <w:bookmarkEnd w:id="8"/>
    </w:p>
    <w:p w:rsidR="007E4995" w:rsidRPr="00BA78DA" w:rsidRDefault="007E4995" w:rsidP="00670D42">
      <w:pPr>
        <w:pStyle w:val="Heading2"/>
      </w:pPr>
      <w:bookmarkStart w:id="9" w:name="_Toc477317374"/>
      <w:r>
        <w:t xml:space="preserve">Value of this Research: Competing Eschatological Narratives </w:t>
      </w:r>
      <w:r w:rsidR="000D43E4">
        <w:t>and</w:t>
      </w:r>
      <w:r>
        <w:t xml:space="preserve"> Conflict in the Middle East</w:t>
      </w:r>
      <w:bookmarkEnd w:id="9"/>
      <w:r>
        <w:t xml:space="preserve"> </w:t>
      </w:r>
    </w:p>
    <w:p w:rsidR="007E4995" w:rsidRPr="00AD0D89" w:rsidRDefault="007E4995" w:rsidP="007E4995">
      <w:pPr>
        <w:jc w:val="lowKashida"/>
        <w:rPr>
          <w:rFonts w:cs="Arial"/>
          <w:color w:val="000000"/>
          <w:sz w:val="24"/>
          <w:szCs w:val="24"/>
        </w:rPr>
      </w:pPr>
      <w:r w:rsidRPr="00AD0D89">
        <w:rPr>
          <w:rFonts w:cs="Arial"/>
          <w:color w:val="000000"/>
          <w:sz w:val="24"/>
          <w:szCs w:val="24"/>
        </w:rPr>
        <w:t>The final annihilation of the universe described in the holy scriptures of Islam did not only serve as a moral deterrent, but also had a massive impact on the sociopolitical scene in Islamic history. A thorough analysis of the propagandistic strategies employed by modern Islamic fundamentalists reveals an undeniable influence, coupled with deliberate political manipulation, of an eschatological discourse that promises jihadists with afterlife rewards for their active participation in a pre-ordained, highly dualistic, apocalyptic scenario that culminates with the establishment of a messianic kingdom.</w:t>
      </w:r>
      <w:r w:rsidRPr="00AD0D89">
        <w:rPr>
          <w:rStyle w:val="FootnoteReference"/>
          <w:rFonts w:cs="Arial"/>
          <w:color w:val="000000"/>
          <w:sz w:val="24"/>
          <w:szCs w:val="24"/>
        </w:rPr>
        <w:footnoteReference w:id="1"/>
      </w:r>
      <w:r w:rsidRPr="00AD0D89">
        <w:rPr>
          <w:rFonts w:cs="Arial"/>
          <w:color w:val="000000"/>
          <w:sz w:val="24"/>
          <w:szCs w:val="24"/>
        </w:rPr>
        <w:t xml:space="preserve"> A recent study by James Fromson and Steven Simon, for instance, has found that the so-called Islamic State (</w:t>
      </w:r>
      <w:smartTag w:uri="urn:schemas-microsoft-com:office:smarttags" w:element="stockticker">
        <w:r w:rsidRPr="00AD0D89">
          <w:rPr>
            <w:rFonts w:cs="Arial"/>
            <w:color w:val="000000"/>
            <w:sz w:val="24"/>
            <w:szCs w:val="24"/>
          </w:rPr>
          <w:t>ISIS</w:t>
        </w:r>
      </w:smartTag>
      <w:r w:rsidRPr="00AD0D89">
        <w:rPr>
          <w:rFonts w:cs="Arial"/>
          <w:color w:val="000000"/>
          <w:sz w:val="24"/>
          <w:szCs w:val="24"/>
        </w:rPr>
        <w:t xml:space="preserve">) heavily relies on a reinterpreted apocalyptic ideology in which </w:t>
      </w:r>
      <w:smartTag w:uri="urn:schemas-microsoft-com:office:smarttags" w:element="stockticker">
        <w:r w:rsidRPr="00AD0D89">
          <w:rPr>
            <w:rFonts w:cs="Arial"/>
            <w:color w:val="000000"/>
            <w:sz w:val="24"/>
            <w:szCs w:val="24"/>
          </w:rPr>
          <w:t>ISIS</w:t>
        </w:r>
      </w:smartTag>
      <w:r w:rsidRPr="00AD0D89">
        <w:rPr>
          <w:rFonts w:cs="Arial"/>
          <w:color w:val="000000"/>
          <w:sz w:val="24"/>
          <w:szCs w:val="24"/>
        </w:rPr>
        <w:t xml:space="preserve"> is depicted as the harbinger of an imminent apocalypse.</w:t>
      </w:r>
      <w:r w:rsidRPr="00AD0D89">
        <w:rPr>
          <w:rStyle w:val="FootnoteReference"/>
          <w:rFonts w:cs="Arial"/>
          <w:color w:val="000000"/>
          <w:sz w:val="24"/>
          <w:szCs w:val="24"/>
        </w:rPr>
        <w:footnoteReference w:id="2"/>
      </w:r>
      <w:r w:rsidRPr="00AD0D89">
        <w:rPr>
          <w:rFonts w:cs="Arial"/>
          <w:color w:val="000000"/>
          <w:sz w:val="24"/>
          <w:szCs w:val="24"/>
        </w:rPr>
        <w:t xml:space="preserve"> Yet the usage of apocalyptic narrative as a means of attaining political dominance is not limited to fundamentalist jihadists. The previous Iranian president Mahmoud Ahmadinejad comparatively sought popularity through claiming that he was a predecessor to the occulted Mahdī, or Messiah of the Shi'ites.</w:t>
      </w:r>
      <w:r w:rsidRPr="00AD0D89">
        <w:rPr>
          <w:rStyle w:val="FootnoteReference"/>
          <w:rFonts w:cs="Arial"/>
          <w:color w:val="000000"/>
          <w:sz w:val="24"/>
          <w:szCs w:val="24"/>
        </w:rPr>
        <w:footnoteReference w:id="3"/>
      </w:r>
      <w:r w:rsidRPr="00AD0D89">
        <w:rPr>
          <w:rFonts w:cs="Arial"/>
          <w:color w:val="000000"/>
          <w:sz w:val="24"/>
          <w:szCs w:val="24"/>
        </w:rPr>
        <w:t xml:space="preserve"> Both </w:t>
      </w:r>
      <w:smartTag w:uri="urn:schemas-microsoft-com:office:smarttags" w:element="stockticker">
        <w:r w:rsidRPr="00AD0D89">
          <w:rPr>
            <w:rFonts w:cs="Arial"/>
            <w:color w:val="000000"/>
            <w:sz w:val="24"/>
            <w:szCs w:val="24"/>
          </w:rPr>
          <w:t>ISIS</w:t>
        </w:r>
      </w:smartTag>
      <w:r w:rsidRPr="00AD0D89">
        <w:rPr>
          <w:rFonts w:cs="Arial"/>
          <w:color w:val="000000"/>
          <w:sz w:val="24"/>
          <w:szCs w:val="24"/>
        </w:rPr>
        <w:t xml:space="preserve"> and Ahmadinejad</w:t>
      </w:r>
      <w:r w:rsidRPr="00AD0D89">
        <w:rPr>
          <w:rFonts w:cs="Arial"/>
          <w:color w:val="000000"/>
          <w:sz w:val="24"/>
          <w:szCs w:val="24"/>
          <w:lang w:bidi="ar-AE"/>
        </w:rPr>
        <w:t xml:space="preserve"> evidently exploited the prevalence of apocalypticism among Muslim societies, for according to a recent poll, </w:t>
      </w:r>
      <w:r w:rsidRPr="00AD0D89">
        <w:rPr>
          <w:rFonts w:cs="Arial"/>
          <w:color w:val="000000"/>
          <w:sz w:val="24"/>
          <w:szCs w:val="24"/>
        </w:rPr>
        <w:t>over 50% of Muslims in the Middle East, and more than 70% in conflict areas such as Iraq and Afghanistan, believed in the imminent appearance of the Mahdī.</w:t>
      </w:r>
      <w:r w:rsidRPr="00AD0D89">
        <w:rPr>
          <w:rStyle w:val="FootnoteReference"/>
          <w:rFonts w:cs="Arial"/>
          <w:color w:val="000000"/>
          <w:sz w:val="24"/>
          <w:szCs w:val="24"/>
        </w:rPr>
        <w:footnoteReference w:id="4"/>
      </w:r>
      <w:r w:rsidRPr="00AD0D89">
        <w:rPr>
          <w:rFonts w:cs="Arial"/>
          <w:color w:val="000000"/>
          <w:sz w:val="24"/>
          <w:szCs w:val="24"/>
        </w:rPr>
        <w:t xml:space="preserve"> </w:t>
      </w:r>
    </w:p>
    <w:p w:rsidR="007E4995" w:rsidRDefault="007E4995" w:rsidP="007E4995">
      <w:pPr>
        <w:jc w:val="lowKashida"/>
        <w:rPr>
          <w:rFonts w:cs="Arial"/>
          <w:color w:val="000000"/>
        </w:rPr>
      </w:pPr>
    </w:p>
    <w:p w:rsidR="007E4995" w:rsidRPr="00065513" w:rsidRDefault="007E4995" w:rsidP="005B42AC">
      <w:pPr>
        <w:jc w:val="lowKashida"/>
        <w:rPr>
          <w:sz w:val="24"/>
          <w:szCs w:val="24"/>
        </w:rPr>
      </w:pPr>
      <w:r w:rsidRPr="00065513">
        <w:rPr>
          <w:rFonts w:cs="Arial"/>
          <w:color w:val="000000"/>
          <w:sz w:val="24"/>
          <w:szCs w:val="24"/>
        </w:rPr>
        <w:lastRenderedPageBreak/>
        <w:t>Despite the increasing academic interest in apocalypticism as a sociological phenomenon, it had been observed by a considerable number of published studies that the predominant modern academic discourse still tends to stigmatise apocalyptic thought as a form of irrational fanaticism.</w:t>
      </w:r>
      <w:r w:rsidRPr="00065513">
        <w:rPr>
          <w:rStyle w:val="FootnoteReference"/>
          <w:rFonts w:cs="Arial"/>
          <w:color w:val="000000"/>
          <w:sz w:val="24"/>
          <w:szCs w:val="24"/>
        </w:rPr>
        <w:footnoteReference w:id="5"/>
      </w:r>
      <w:r w:rsidRPr="00065513">
        <w:rPr>
          <w:rFonts w:cs="Arial"/>
          <w:color w:val="000000"/>
          <w:sz w:val="24"/>
          <w:szCs w:val="24"/>
        </w:rPr>
        <w:t xml:space="preserve"> </w:t>
      </w:r>
      <w:r w:rsidRPr="00065513">
        <w:rPr>
          <w:sz w:val="24"/>
          <w:szCs w:val="24"/>
        </w:rPr>
        <w:t>Such a stance seems to be reflective of the political and historical tension which, in David Hufford's view, still exists between believers on the one hand, and the secular academic community on the other, and subsequently prevents thorough and balanced research into matters that pertain to religious beliefs.</w:t>
      </w:r>
      <w:r w:rsidRPr="00065513">
        <w:rPr>
          <w:rStyle w:val="FootnoteReference"/>
          <w:sz w:val="24"/>
          <w:szCs w:val="24"/>
        </w:rPr>
        <w:footnoteReference w:id="6"/>
      </w:r>
      <w:r w:rsidRPr="00065513">
        <w:rPr>
          <w:sz w:val="24"/>
          <w:szCs w:val="24"/>
        </w:rPr>
        <w:t xml:space="preserve"> Yet there is no doubt that apocalyptic eschatology fulfills an essential cosmological role which, according to Freya Mathews, </w:t>
      </w:r>
      <w:r w:rsidRPr="00065513">
        <w:rPr>
          <w:rFonts w:cs="Arial"/>
          <w:color w:val="000000"/>
          <w:sz w:val="24"/>
          <w:szCs w:val="24"/>
        </w:rPr>
        <w:t xml:space="preserve">defines </w:t>
      </w:r>
      <w:r w:rsidRPr="00065513">
        <w:rPr>
          <w:sz w:val="24"/>
          <w:szCs w:val="24"/>
        </w:rPr>
        <w:t>'</w:t>
      </w:r>
      <w:r w:rsidRPr="00065513">
        <w:rPr>
          <w:rFonts w:cs="Arial"/>
          <w:color w:val="000000"/>
          <w:sz w:val="24"/>
          <w:szCs w:val="24"/>
        </w:rPr>
        <w:t>the place of humankind in the cosmic scheme of things.'</w:t>
      </w:r>
      <w:r w:rsidRPr="00065513">
        <w:rPr>
          <w:rStyle w:val="FootnoteReference"/>
          <w:rFonts w:ascii="Arial" w:hAnsi="Arial" w:cs="Arial"/>
          <w:color w:val="000000"/>
          <w:sz w:val="24"/>
          <w:szCs w:val="24"/>
        </w:rPr>
        <w:footnoteReference w:id="7"/>
      </w:r>
      <w:r w:rsidRPr="00065513">
        <w:rPr>
          <w:sz w:val="24"/>
          <w:szCs w:val="24"/>
        </w:rPr>
        <w:t xml:space="preserve"> The significance of apocalyptic thought as an archaic cosmology had been recognised and discussed by modern western scholarship, particularly in Norman Cohn's </w:t>
      </w:r>
      <w:r w:rsidRPr="00065513">
        <w:rPr>
          <w:i/>
          <w:iCs/>
          <w:sz w:val="24"/>
          <w:szCs w:val="24"/>
        </w:rPr>
        <w:t>Cosmos, Chaos and the World to Come,</w:t>
      </w:r>
      <w:r w:rsidRPr="00065513">
        <w:rPr>
          <w:sz w:val="24"/>
          <w:szCs w:val="24"/>
        </w:rPr>
        <w:t xml:space="preserve"> Mircea Eliade's </w:t>
      </w:r>
      <w:r w:rsidRPr="00065513">
        <w:rPr>
          <w:i/>
          <w:sz w:val="24"/>
          <w:szCs w:val="24"/>
        </w:rPr>
        <w:t xml:space="preserve">Cosmos and History: The Myth of the Eternal Return, Myth and Reality </w:t>
      </w:r>
      <w:r w:rsidRPr="00065513">
        <w:rPr>
          <w:iCs/>
          <w:sz w:val="24"/>
          <w:szCs w:val="24"/>
        </w:rPr>
        <w:t xml:space="preserve">and </w:t>
      </w:r>
      <w:r w:rsidRPr="00065513">
        <w:rPr>
          <w:i/>
          <w:iCs/>
          <w:sz w:val="24"/>
          <w:szCs w:val="24"/>
        </w:rPr>
        <w:t>The Two and the One</w:t>
      </w:r>
      <w:r w:rsidRPr="00065513">
        <w:rPr>
          <w:sz w:val="24"/>
          <w:szCs w:val="24"/>
        </w:rPr>
        <w:t xml:space="preserve">, and Nicholas Campion's </w:t>
      </w:r>
      <w:r w:rsidRPr="00065513">
        <w:rPr>
          <w:i/>
          <w:iCs/>
          <w:sz w:val="24"/>
          <w:szCs w:val="24"/>
        </w:rPr>
        <w:t>The Great Year</w:t>
      </w:r>
      <w:r w:rsidRPr="00065513">
        <w:rPr>
          <w:sz w:val="24"/>
          <w:szCs w:val="24"/>
        </w:rPr>
        <w:t>.</w:t>
      </w:r>
      <w:r w:rsidRPr="00065513">
        <w:rPr>
          <w:rStyle w:val="FootnoteReference"/>
          <w:sz w:val="24"/>
          <w:szCs w:val="24"/>
        </w:rPr>
        <w:footnoteReference w:id="8"/>
      </w:r>
      <w:r w:rsidRPr="00065513">
        <w:rPr>
          <w:sz w:val="24"/>
          <w:szCs w:val="24"/>
        </w:rPr>
        <w:t xml:space="preserve"> With regards to Islamic apocalyticism and its relationship to celestial phenomena </w:t>
      </w:r>
      <w:r w:rsidRPr="00065513">
        <w:rPr>
          <w:i/>
          <w:iCs/>
          <w:sz w:val="24"/>
          <w:szCs w:val="24"/>
        </w:rPr>
        <w:t>per se</w:t>
      </w:r>
      <w:r w:rsidRPr="00065513">
        <w:rPr>
          <w:sz w:val="24"/>
          <w:szCs w:val="24"/>
        </w:rPr>
        <w:t xml:space="preserve">, </w:t>
      </w:r>
      <w:r w:rsidR="005B42AC" w:rsidRPr="00065513">
        <w:rPr>
          <w:sz w:val="24"/>
          <w:szCs w:val="24"/>
        </w:rPr>
        <w:t>one finds a rare study titled</w:t>
      </w:r>
      <w:r w:rsidRPr="00065513">
        <w:rPr>
          <w:sz w:val="24"/>
          <w:szCs w:val="24"/>
        </w:rPr>
        <w:t xml:space="preserve"> 'Messianism and Astronomical Events during the First Four </w:t>
      </w:r>
      <w:r w:rsidRPr="00065513">
        <w:rPr>
          <w:sz w:val="24"/>
          <w:szCs w:val="24"/>
          <w:cs/>
        </w:rPr>
        <w:t>‎</w:t>
      </w:r>
      <w:r w:rsidRPr="00065513">
        <w:rPr>
          <w:sz w:val="24"/>
          <w:szCs w:val="24"/>
        </w:rPr>
        <w:t>Centuries of Islam' by David Cook, which could be described as an investigative study of the apparent causal relationship between the appearance of comets and the outbreak messianic enthusiasm in Islamic history.</w:t>
      </w:r>
      <w:r w:rsidRPr="00065513">
        <w:rPr>
          <w:rStyle w:val="FootnoteReference"/>
          <w:sz w:val="24"/>
          <w:szCs w:val="24"/>
        </w:rPr>
        <w:footnoteReference w:id="9"/>
      </w:r>
      <w:r w:rsidRPr="00065513">
        <w:rPr>
          <w:sz w:val="24"/>
          <w:szCs w:val="24"/>
        </w:rPr>
        <w:t xml:space="preserve"> Cook concluded his paper by urging for further research into how Islamic apocalypticism is shaped and provoked by celestial phenomena, since the 'study of comets and other celestial portents are some of the </w:t>
      </w:r>
      <w:r w:rsidRPr="00065513">
        <w:rPr>
          <w:sz w:val="24"/>
          <w:szCs w:val="24"/>
        </w:rPr>
        <w:lastRenderedPageBreak/>
        <w:t>most important in this regard and are essential in understanding the mass communication used by many apocalyptic leaders to gain their audiences.'</w:t>
      </w:r>
      <w:r w:rsidRPr="00065513">
        <w:rPr>
          <w:rStyle w:val="FootnoteReference"/>
          <w:sz w:val="24"/>
          <w:szCs w:val="24"/>
        </w:rPr>
        <w:footnoteReference w:id="10"/>
      </w:r>
    </w:p>
    <w:p w:rsidR="007E4995" w:rsidRDefault="007E4995" w:rsidP="007E4995">
      <w:pPr>
        <w:jc w:val="lowKashida"/>
      </w:pPr>
    </w:p>
    <w:p w:rsidR="007E4995" w:rsidRPr="00065513" w:rsidRDefault="007E4995" w:rsidP="005B42AC">
      <w:pPr>
        <w:jc w:val="lowKashida"/>
        <w:rPr>
          <w:sz w:val="24"/>
          <w:szCs w:val="24"/>
        </w:rPr>
      </w:pPr>
      <w:r w:rsidRPr="00065513">
        <w:rPr>
          <w:sz w:val="24"/>
          <w:szCs w:val="24"/>
        </w:rPr>
        <w:t>While Cook's</w:t>
      </w:r>
      <w:r w:rsidR="005B42AC" w:rsidRPr="00065513">
        <w:rPr>
          <w:sz w:val="24"/>
          <w:szCs w:val="24"/>
        </w:rPr>
        <w:t xml:space="preserve"> study could be considered as an unprecedented</w:t>
      </w:r>
      <w:r w:rsidRPr="00065513">
        <w:rPr>
          <w:sz w:val="24"/>
          <w:szCs w:val="24"/>
        </w:rPr>
        <w:t xml:space="preserve"> historical exploration of the implicit connection between celestial occurrences and sociopolitical events in Islamic history, it may still be noticed that none of the previous studies have tackled the topic of Islamic apocalyptic eschatology, exclusively, from an analytical cosmological perspective. Since </w:t>
      </w:r>
      <w:r w:rsidRPr="00065513">
        <w:rPr>
          <w:rFonts w:cs="Arial"/>
          <w:color w:val="000000"/>
          <w:sz w:val="24"/>
          <w:szCs w:val="24"/>
        </w:rPr>
        <w:t xml:space="preserve">cosmological beliefs mirror theological convictions as Campion suggested, one may assume that a </w:t>
      </w:r>
      <w:r w:rsidRPr="00065513">
        <w:rPr>
          <w:sz w:val="24"/>
          <w:szCs w:val="24"/>
        </w:rPr>
        <w:t>better understanding of Islamic apocalyptic eschatology will most probably lead to a better understanding of Islam as a religion</w:t>
      </w:r>
      <w:r w:rsidRPr="00065513">
        <w:rPr>
          <w:rFonts w:cs="Arial"/>
          <w:color w:val="000000"/>
          <w:sz w:val="24"/>
          <w:szCs w:val="24"/>
        </w:rPr>
        <w:t>.</w:t>
      </w:r>
      <w:r w:rsidRPr="00065513">
        <w:rPr>
          <w:rStyle w:val="FootnoteReference"/>
          <w:rFonts w:cs="Arial"/>
          <w:color w:val="000000"/>
          <w:sz w:val="24"/>
          <w:szCs w:val="24"/>
        </w:rPr>
        <w:footnoteReference w:id="11"/>
      </w:r>
      <w:r w:rsidRPr="00065513">
        <w:rPr>
          <w:sz w:val="24"/>
          <w:szCs w:val="24"/>
        </w:rPr>
        <w:t xml:space="preserve"> Considering the expanding political conflict, increasing sectarian strife, worsening violence and growing death toll in the Middle East, such an understanding has never been as essentially crucial as it presently is, for as </w:t>
      </w:r>
      <w:r w:rsidRPr="00065513">
        <w:rPr>
          <w:rFonts w:cs="Arial"/>
          <w:color w:val="000000"/>
          <w:sz w:val="24"/>
          <w:szCs w:val="24"/>
        </w:rPr>
        <w:t xml:space="preserve">Jerry L. </w:t>
      </w:r>
      <w:r w:rsidRPr="00065513">
        <w:rPr>
          <w:sz w:val="24"/>
          <w:szCs w:val="24"/>
        </w:rPr>
        <w:t>Walls asserted, 'the most passionately contested cultural, political, and social conflicts in our world today are rooted in competing eschatological claims.'</w:t>
      </w:r>
      <w:r w:rsidRPr="00065513">
        <w:rPr>
          <w:rStyle w:val="FootnoteReference"/>
          <w:sz w:val="24"/>
          <w:szCs w:val="24"/>
        </w:rPr>
        <w:footnoteReference w:id="12"/>
      </w:r>
      <w:r w:rsidRPr="00065513">
        <w:rPr>
          <w:sz w:val="24"/>
          <w:szCs w:val="24"/>
        </w:rPr>
        <w:t xml:space="preserve"> </w:t>
      </w:r>
    </w:p>
    <w:p w:rsidR="007E4995" w:rsidRDefault="007E4995" w:rsidP="007E4995"/>
    <w:p w:rsidR="007E4995" w:rsidRDefault="007E4995" w:rsidP="007E4995">
      <w:pPr>
        <w:pStyle w:val="z-TopofForm"/>
        <w:pBdr>
          <w:bottom w:val="none" w:sz="0" w:space="0" w:color="auto"/>
        </w:pBdr>
      </w:pPr>
      <w:r>
        <w:t>Top of Form</w:t>
      </w:r>
    </w:p>
    <w:p w:rsidR="007E4995" w:rsidRDefault="007E4995" w:rsidP="007E4995">
      <w:pPr>
        <w:pStyle w:val="z-BottomofForm"/>
      </w:pPr>
      <w:r>
        <w:t>Bottom of Form</w:t>
      </w:r>
    </w:p>
    <w:p w:rsidR="007E4995" w:rsidRDefault="007E4995" w:rsidP="007E4995">
      <w:pPr>
        <w:pStyle w:val="Heading2"/>
      </w:pPr>
      <w:bookmarkStart w:id="10" w:name="_Toc477317375"/>
      <w:r>
        <w:t>Background: Islamic Apocalyptic Eschatology and the Destruction of the World</w:t>
      </w:r>
      <w:bookmarkEnd w:id="10"/>
      <w:r>
        <w:t xml:space="preserve"> </w:t>
      </w:r>
    </w:p>
    <w:p w:rsidR="007E4995" w:rsidRPr="00065513" w:rsidRDefault="007E4995" w:rsidP="007E4995">
      <w:pPr>
        <w:jc w:val="lowKashida"/>
        <w:rPr>
          <w:rFonts w:cs="TimesNewRomanPS-BoldMT"/>
          <w:bCs/>
          <w:sz w:val="24"/>
          <w:szCs w:val="24"/>
        </w:rPr>
      </w:pPr>
      <w:r w:rsidRPr="00065513">
        <w:rPr>
          <w:rFonts w:cs="TimesNewRomanPS-BoldMT"/>
          <w:bCs/>
          <w:sz w:val="24"/>
          <w:szCs w:val="24"/>
        </w:rPr>
        <w:t>Unlike mythical cosmogonies that depict a forceful emergence of cosmos (order) from chaos (the undifferentiated void), Eliade noticed that eschatological myths represent a reversal of cosmogony through a return to a state of primordial chaos.</w:t>
      </w:r>
      <w:r w:rsidRPr="00065513">
        <w:rPr>
          <w:rStyle w:val="FootnoteReference"/>
          <w:sz w:val="24"/>
          <w:szCs w:val="24"/>
        </w:rPr>
        <w:footnoteReference w:id="13"/>
      </w:r>
      <w:r w:rsidRPr="00065513">
        <w:rPr>
          <w:rFonts w:cs="TimesNewRomanPS-BoldMT"/>
          <w:bCs/>
          <w:sz w:val="24"/>
          <w:szCs w:val="24"/>
        </w:rPr>
        <w:t xml:space="preserve"> While the eschatologies of many ancient and primitive cultures prophesy a periodical regeneration of a cyclical cosmos, </w:t>
      </w:r>
      <w:r w:rsidR="00BB7507">
        <w:rPr>
          <w:rFonts w:cs="TimesNewRomanPS-BoldMT"/>
          <w:bCs/>
          <w:sz w:val="24"/>
          <w:szCs w:val="24"/>
        </w:rPr>
        <w:t xml:space="preserve">as </w:t>
      </w:r>
      <w:r w:rsidRPr="00065513">
        <w:rPr>
          <w:rFonts w:cs="TimesNewRomanPS-BoldMT"/>
          <w:bCs/>
          <w:sz w:val="24"/>
          <w:szCs w:val="24"/>
        </w:rPr>
        <w:t>Eliade argued, linear and irreversible 'Judaeo-Christian' history denotes an ultimate cataclysmic end of the world prior to a moral judgment in which 'men will be judged by their acts.'</w:t>
      </w:r>
      <w:r w:rsidRPr="00065513">
        <w:rPr>
          <w:rStyle w:val="FootnoteReference"/>
          <w:rFonts w:cs="TimesNewRomanPS-BoldMT"/>
          <w:bCs/>
          <w:sz w:val="24"/>
          <w:szCs w:val="24"/>
        </w:rPr>
        <w:footnoteReference w:id="14"/>
      </w:r>
      <w:r w:rsidRPr="00065513">
        <w:rPr>
          <w:rFonts w:cs="TimesNewRomanPS-BoldMT"/>
          <w:bCs/>
          <w:sz w:val="24"/>
          <w:szCs w:val="24"/>
        </w:rPr>
        <w:t xml:space="preserve"> The linear eschatology of Abrahamic religions thus acquired a teleological, ethical and retributive angle.</w:t>
      </w:r>
    </w:p>
    <w:p w:rsidR="007E4995" w:rsidRDefault="007E4995" w:rsidP="007E4995">
      <w:pPr>
        <w:jc w:val="lowKashida"/>
        <w:rPr>
          <w:rFonts w:cs="TimesNewRomanPS-BoldMT"/>
          <w:bCs/>
          <w:sz w:val="28"/>
          <w:szCs w:val="26"/>
        </w:rPr>
      </w:pPr>
    </w:p>
    <w:p w:rsidR="007E4995" w:rsidRPr="00065513" w:rsidRDefault="007E4995" w:rsidP="00CD709D">
      <w:pPr>
        <w:jc w:val="lowKashida"/>
        <w:rPr>
          <w:sz w:val="24"/>
          <w:szCs w:val="24"/>
          <w:rtl/>
        </w:rPr>
      </w:pPr>
      <w:r w:rsidRPr="00065513">
        <w:rPr>
          <w:sz w:val="24"/>
          <w:szCs w:val="24"/>
        </w:rPr>
        <w:t>William C. Chittick claimed that the holy scripture of Islam, the Qur'ān, contains more eschatological references than any other major scripture</w:t>
      </w:r>
      <w:r w:rsidRPr="00065513">
        <w:rPr>
          <w:i/>
          <w:iCs/>
          <w:sz w:val="24"/>
          <w:szCs w:val="24"/>
        </w:rPr>
        <w:t>.</w:t>
      </w:r>
      <w:r w:rsidRPr="00065513">
        <w:rPr>
          <w:rStyle w:val="FootnoteReference"/>
          <w:sz w:val="24"/>
          <w:szCs w:val="24"/>
        </w:rPr>
        <w:footnoteReference w:id="15"/>
      </w:r>
      <w:r w:rsidRPr="00065513">
        <w:rPr>
          <w:sz w:val="24"/>
          <w:szCs w:val="24"/>
        </w:rPr>
        <w:t xml:space="preserve"> Indeed, the most recited chapter in the Qur'ān, </w:t>
      </w:r>
      <w:r w:rsidRPr="00065513">
        <w:rPr>
          <w:i/>
          <w:iCs/>
          <w:sz w:val="24"/>
          <w:szCs w:val="24"/>
        </w:rPr>
        <w:t xml:space="preserve">Sūrat al-Fātiḥa </w:t>
      </w:r>
      <w:r w:rsidRPr="00065513">
        <w:rPr>
          <w:sz w:val="24"/>
          <w:szCs w:val="24"/>
        </w:rPr>
        <w:t>(The Opener), which according to</w:t>
      </w:r>
      <w:r w:rsidR="00CD709D" w:rsidRPr="00065513">
        <w:rPr>
          <w:sz w:val="24"/>
          <w:szCs w:val="24"/>
        </w:rPr>
        <w:t xml:space="preserve"> the</w:t>
      </w:r>
      <w:r w:rsidRPr="00065513">
        <w:rPr>
          <w:sz w:val="24"/>
          <w:szCs w:val="24"/>
        </w:rPr>
        <w:t xml:space="preserve"> exegete </w:t>
      </w:r>
      <w:r w:rsidRPr="00065513">
        <w:rPr>
          <w:rFonts w:eastAsia="Times New Roman" w:cs="Times New Roman"/>
          <w:sz w:val="24"/>
          <w:szCs w:val="24"/>
        </w:rPr>
        <w:t>ibn Kathīr (</w:t>
      </w:r>
      <w:r w:rsidRPr="00065513">
        <w:rPr>
          <w:sz w:val="24"/>
          <w:szCs w:val="24"/>
        </w:rPr>
        <w:t xml:space="preserve">1300-1373 </w:t>
      </w:r>
      <w:r w:rsidRPr="00065513">
        <w:t>CE</w:t>
      </w:r>
      <w:r w:rsidRPr="00065513">
        <w:rPr>
          <w:sz w:val="24"/>
          <w:szCs w:val="24"/>
        </w:rPr>
        <w:t xml:space="preserve">) summarises the most fundamental theological precepts of </w:t>
      </w:r>
      <w:r w:rsidRPr="00065513">
        <w:rPr>
          <w:sz w:val="24"/>
          <w:szCs w:val="24"/>
        </w:rPr>
        <w:lastRenderedPageBreak/>
        <w:t>the holy book, is a supplication prayer that pleads for guidance on the Day of Judgment:</w:t>
      </w:r>
    </w:p>
    <w:p w:rsidR="007E4995" w:rsidRPr="00065513" w:rsidRDefault="007E4995" w:rsidP="007E4995">
      <w:pPr>
        <w:ind w:left="720"/>
        <w:jc w:val="lowKashida"/>
        <w:rPr>
          <w:sz w:val="24"/>
          <w:szCs w:val="24"/>
        </w:rPr>
      </w:pPr>
    </w:p>
    <w:p w:rsidR="007E4995" w:rsidRPr="00065513" w:rsidRDefault="007E4995" w:rsidP="00065513">
      <w:pPr>
        <w:spacing w:line="240" w:lineRule="auto"/>
        <w:ind w:left="720"/>
        <w:jc w:val="lowKashida"/>
        <w:rPr>
          <w:sz w:val="24"/>
          <w:szCs w:val="24"/>
        </w:rPr>
      </w:pPr>
      <w:r w:rsidRPr="00065513">
        <w:rPr>
          <w:sz w:val="24"/>
          <w:szCs w:val="24"/>
        </w:rPr>
        <w:t>In the name of Allah, the All-Merciful, the Compassionate.</w:t>
      </w:r>
    </w:p>
    <w:p w:rsidR="007E4995" w:rsidRPr="00065513" w:rsidRDefault="007E4995" w:rsidP="00065513">
      <w:pPr>
        <w:spacing w:line="240" w:lineRule="auto"/>
        <w:ind w:left="720"/>
        <w:jc w:val="lowKashida"/>
        <w:rPr>
          <w:sz w:val="24"/>
          <w:szCs w:val="24"/>
        </w:rPr>
      </w:pPr>
      <w:r w:rsidRPr="00065513">
        <w:rPr>
          <w:sz w:val="24"/>
          <w:szCs w:val="24"/>
        </w:rPr>
        <w:t xml:space="preserve">Praise </w:t>
      </w:r>
      <w:proofErr w:type="gramStart"/>
      <w:r w:rsidRPr="00065513">
        <w:rPr>
          <w:sz w:val="24"/>
          <w:szCs w:val="24"/>
        </w:rPr>
        <w:t>be</w:t>
      </w:r>
      <w:proofErr w:type="gramEnd"/>
      <w:r w:rsidRPr="00065513">
        <w:rPr>
          <w:sz w:val="24"/>
          <w:szCs w:val="24"/>
        </w:rPr>
        <w:t xml:space="preserve"> to Allah, the Lord of the Worlds;</w:t>
      </w:r>
    </w:p>
    <w:p w:rsidR="007E4995" w:rsidRPr="00065513" w:rsidRDefault="007E4995" w:rsidP="00065513">
      <w:pPr>
        <w:spacing w:line="240" w:lineRule="auto"/>
        <w:ind w:left="720"/>
        <w:jc w:val="lowKashida"/>
        <w:rPr>
          <w:sz w:val="24"/>
          <w:szCs w:val="24"/>
        </w:rPr>
      </w:pPr>
      <w:r w:rsidRPr="00065513">
        <w:rPr>
          <w:sz w:val="24"/>
          <w:szCs w:val="24"/>
        </w:rPr>
        <w:t>The All-Merciful, the Compassionate;</w:t>
      </w:r>
    </w:p>
    <w:p w:rsidR="007E4995" w:rsidRPr="00065513" w:rsidRDefault="007E4995" w:rsidP="00065513">
      <w:pPr>
        <w:spacing w:line="240" w:lineRule="auto"/>
        <w:ind w:left="720"/>
        <w:jc w:val="lowKashida"/>
        <w:rPr>
          <w:sz w:val="24"/>
          <w:szCs w:val="24"/>
        </w:rPr>
      </w:pPr>
      <w:r w:rsidRPr="00065513">
        <w:rPr>
          <w:sz w:val="24"/>
          <w:szCs w:val="24"/>
        </w:rPr>
        <w:t>Master of the Day of Judgment;</w:t>
      </w:r>
    </w:p>
    <w:p w:rsidR="007E4995" w:rsidRPr="00065513" w:rsidRDefault="007E4995" w:rsidP="00065513">
      <w:pPr>
        <w:spacing w:line="240" w:lineRule="auto"/>
        <w:ind w:left="720"/>
        <w:jc w:val="lowKashida"/>
        <w:rPr>
          <w:sz w:val="24"/>
          <w:szCs w:val="24"/>
        </w:rPr>
      </w:pPr>
      <w:r w:rsidRPr="00065513">
        <w:rPr>
          <w:sz w:val="24"/>
          <w:szCs w:val="24"/>
        </w:rPr>
        <w:t xml:space="preserve">You alone do </w:t>
      </w:r>
      <w:proofErr w:type="gramStart"/>
      <w:r w:rsidRPr="00065513">
        <w:rPr>
          <w:sz w:val="24"/>
          <w:szCs w:val="24"/>
        </w:rPr>
        <w:t>we</w:t>
      </w:r>
      <w:proofErr w:type="gramEnd"/>
      <w:r w:rsidRPr="00065513">
        <w:rPr>
          <w:sz w:val="24"/>
          <w:szCs w:val="24"/>
        </w:rPr>
        <w:t xml:space="preserve"> worship, and your help alone we seek.</w:t>
      </w:r>
    </w:p>
    <w:p w:rsidR="007E4995" w:rsidRPr="00065513" w:rsidRDefault="007E4995" w:rsidP="00065513">
      <w:pPr>
        <w:spacing w:line="240" w:lineRule="auto"/>
        <w:ind w:left="720"/>
        <w:jc w:val="lowKashida"/>
        <w:rPr>
          <w:sz w:val="24"/>
          <w:szCs w:val="24"/>
        </w:rPr>
      </w:pPr>
      <w:r w:rsidRPr="00065513">
        <w:rPr>
          <w:sz w:val="24"/>
          <w:szCs w:val="24"/>
        </w:rPr>
        <w:t>Guide us to the Straight Path;</w:t>
      </w:r>
    </w:p>
    <w:p w:rsidR="007E4995" w:rsidRPr="00065513" w:rsidRDefault="007E4995" w:rsidP="00065513">
      <w:pPr>
        <w:spacing w:line="240" w:lineRule="auto"/>
        <w:ind w:left="720"/>
        <w:jc w:val="lowKashida"/>
        <w:rPr>
          <w:sz w:val="24"/>
          <w:szCs w:val="24"/>
        </w:rPr>
      </w:pPr>
      <w:r w:rsidRPr="00065513">
        <w:rPr>
          <w:sz w:val="24"/>
          <w:szCs w:val="24"/>
        </w:rPr>
        <w:t xml:space="preserve">The path of those whom </w:t>
      </w:r>
      <w:proofErr w:type="gramStart"/>
      <w:r w:rsidRPr="00065513">
        <w:rPr>
          <w:sz w:val="24"/>
          <w:szCs w:val="24"/>
        </w:rPr>
        <w:t>You</w:t>
      </w:r>
      <w:proofErr w:type="gramEnd"/>
      <w:r w:rsidRPr="00065513">
        <w:rPr>
          <w:sz w:val="24"/>
          <w:szCs w:val="24"/>
        </w:rPr>
        <w:t xml:space="preserve"> have favored;</w:t>
      </w:r>
    </w:p>
    <w:p w:rsidR="007E4995" w:rsidRPr="00065513" w:rsidRDefault="007E4995" w:rsidP="00065513">
      <w:pPr>
        <w:spacing w:line="240" w:lineRule="auto"/>
        <w:ind w:left="720"/>
        <w:jc w:val="lowKashida"/>
        <w:rPr>
          <w:sz w:val="24"/>
          <w:szCs w:val="24"/>
        </w:rPr>
      </w:pPr>
      <w:proofErr w:type="gramStart"/>
      <w:r w:rsidRPr="00065513">
        <w:rPr>
          <w:sz w:val="24"/>
          <w:szCs w:val="24"/>
        </w:rPr>
        <w:t>Not of those who have incurred your wrath, nor</w:t>
      </w:r>
      <w:proofErr w:type="gramEnd"/>
      <w:r w:rsidRPr="00065513">
        <w:rPr>
          <w:sz w:val="24"/>
          <w:szCs w:val="24"/>
        </w:rPr>
        <w:t xml:space="preserve"> of those who are astray.</w:t>
      </w:r>
      <w:r w:rsidRPr="00065513">
        <w:rPr>
          <w:rStyle w:val="FootnoteReference"/>
          <w:sz w:val="24"/>
          <w:szCs w:val="24"/>
        </w:rPr>
        <w:footnoteReference w:id="16"/>
      </w:r>
    </w:p>
    <w:p w:rsidR="007E4995" w:rsidRPr="00065513" w:rsidRDefault="007E4995" w:rsidP="007E4995">
      <w:pPr>
        <w:jc w:val="lowKashida"/>
        <w:rPr>
          <w:sz w:val="24"/>
          <w:szCs w:val="24"/>
        </w:rPr>
      </w:pPr>
    </w:p>
    <w:p w:rsidR="007E4995" w:rsidRPr="00065513" w:rsidRDefault="007E4995" w:rsidP="007E4995">
      <w:pPr>
        <w:jc w:val="lowKashida"/>
        <w:rPr>
          <w:sz w:val="24"/>
          <w:szCs w:val="24"/>
        </w:rPr>
      </w:pPr>
      <w:r w:rsidRPr="00065513">
        <w:rPr>
          <w:sz w:val="24"/>
          <w:szCs w:val="24"/>
        </w:rPr>
        <w:t xml:space="preserve">Numerous other verses in the Qur'ān vividly illustrate a final cataclysmic destruction of the world, particularly those specified in the prophetic </w:t>
      </w:r>
      <w:r w:rsidRPr="00065513">
        <w:rPr>
          <w:rFonts w:cs="Arial"/>
          <w:i/>
          <w:iCs/>
          <w:color w:val="000000"/>
          <w:sz w:val="24"/>
          <w:szCs w:val="24"/>
        </w:rPr>
        <w:t>ḥ</w:t>
      </w:r>
      <w:r w:rsidRPr="00065513">
        <w:rPr>
          <w:i/>
          <w:iCs/>
          <w:sz w:val="24"/>
          <w:szCs w:val="24"/>
        </w:rPr>
        <w:t>adīth</w:t>
      </w:r>
      <w:r w:rsidRPr="00065513">
        <w:rPr>
          <w:sz w:val="24"/>
          <w:szCs w:val="24"/>
        </w:rPr>
        <w:t xml:space="preserve"> documented in the canonic </w:t>
      </w:r>
      <w:r w:rsidRPr="00065513">
        <w:rPr>
          <w:rFonts w:cs="Arial"/>
          <w:color w:val="000000"/>
          <w:sz w:val="24"/>
          <w:szCs w:val="24"/>
        </w:rPr>
        <w:t>compilation</w:t>
      </w:r>
      <w:r w:rsidRPr="00065513">
        <w:rPr>
          <w:sz w:val="24"/>
          <w:szCs w:val="24"/>
        </w:rPr>
        <w:t xml:space="preserve"> of al-Tirmidhī (824-992 </w:t>
      </w:r>
      <w:r w:rsidRPr="00F14447">
        <w:t>CE</w:t>
      </w:r>
      <w:r w:rsidRPr="00065513">
        <w:rPr>
          <w:sz w:val="24"/>
          <w:szCs w:val="24"/>
        </w:rPr>
        <w:t>), 'Whoever wishes to look at the Day of Resurrection, as if he is seeing it with his eye, then let him recite: "When the sun is darkened [</w:t>
      </w:r>
      <w:r w:rsidR="00870F3C">
        <w:rPr>
          <w:sz w:val="24"/>
          <w:szCs w:val="24"/>
        </w:rPr>
        <w:t xml:space="preserve">the Qur'ānic chapter titled </w:t>
      </w:r>
      <w:r w:rsidR="00870F3C" w:rsidRPr="00870F3C">
        <w:rPr>
          <w:i/>
          <w:iCs/>
          <w:sz w:val="24"/>
          <w:szCs w:val="24"/>
        </w:rPr>
        <w:t>'al-Takwīr'</w:t>
      </w:r>
      <w:r w:rsidR="00870F3C">
        <w:rPr>
          <w:sz w:val="24"/>
          <w:szCs w:val="24"/>
        </w:rPr>
        <w:t xml:space="preserve"> or '</w:t>
      </w:r>
      <w:r w:rsidRPr="00065513">
        <w:rPr>
          <w:sz w:val="24"/>
          <w:szCs w:val="24"/>
        </w:rPr>
        <w:t>the Darkening</w:t>
      </w:r>
      <w:r w:rsidR="00870F3C">
        <w:rPr>
          <w:sz w:val="24"/>
          <w:szCs w:val="24"/>
        </w:rPr>
        <w:t>'</w:t>
      </w:r>
      <w:r w:rsidRPr="00065513">
        <w:rPr>
          <w:sz w:val="24"/>
          <w:szCs w:val="24"/>
        </w:rPr>
        <w:t>]" and "When the heaven is cleft asunder [</w:t>
      </w:r>
      <w:r w:rsidR="00870F3C">
        <w:rPr>
          <w:sz w:val="24"/>
          <w:szCs w:val="24"/>
        </w:rPr>
        <w:t xml:space="preserve">the Qur'ānic chapter titled </w:t>
      </w:r>
      <w:r w:rsidR="00870F3C" w:rsidRPr="00870F3C">
        <w:rPr>
          <w:i/>
          <w:iCs/>
          <w:sz w:val="24"/>
          <w:szCs w:val="24"/>
        </w:rPr>
        <w:t>'al-Infiṭār'</w:t>
      </w:r>
      <w:r w:rsidR="00870F3C">
        <w:rPr>
          <w:sz w:val="24"/>
          <w:szCs w:val="24"/>
        </w:rPr>
        <w:t xml:space="preserve"> or '</w:t>
      </w:r>
      <w:r w:rsidRPr="00065513">
        <w:rPr>
          <w:sz w:val="24"/>
          <w:szCs w:val="24"/>
        </w:rPr>
        <w:t>the Cleaving</w:t>
      </w:r>
      <w:r w:rsidR="00870F3C">
        <w:rPr>
          <w:sz w:val="24"/>
          <w:szCs w:val="24"/>
        </w:rPr>
        <w:t>'</w:t>
      </w:r>
      <w:r w:rsidRPr="00065513">
        <w:rPr>
          <w:sz w:val="24"/>
          <w:szCs w:val="24"/>
        </w:rPr>
        <w:t>]" and "When the heaven is split asunder [</w:t>
      </w:r>
      <w:r w:rsidR="00870F3C">
        <w:rPr>
          <w:sz w:val="24"/>
          <w:szCs w:val="24"/>
        </w:rPr>
        <w:t xml:space="preserve">the Qur'ānic chapter titled </w:t>
      </w:r>
      <w:r w:rsidR="00870F3C" w:rsidRPr="00870F3C">
        <w:rPr>
          <w:i/>
          <w:iCs/>
          <w:sz w:val="24"/>
          <w:szCs w:val="24"/>
        </w:rPr>
        <w:t>'al-Inshiqāq'</w:t>
      </w:r>
      <w:r w:rsidR="00870F3C">
        <w:rPr>
          <w:sz w:val="24"/>
          <w:szCs w:val="24"/>
        </w:rPr>
        <w:t xml:space="preserve"> or '</w:t>
      </w:r>
      <w:r w:rsidRPr="00065513">
        <w:rPr>
          <w:sz w:val="24"/>
          <w:szCs w:val="24"/>
        </w:rPr>
        <w:t>the Sundering</w:t>
      </w:r>
      <w:r w:rsidR="00870F3C">
        <w:rPr>
          <w:sz w:val="24"/>
          <w:szCs w:val="24"/>
        </w:rPr>
        <w:t>'</w:t>
      </w:r>
      <w:r w:rsidRPr="00065513">
        <w:rPr>
          <w:sz w:val="24"/>
          <w:szCs w:val="24"/>
        </w:rPr>
        <w:t>]."'</w:t>
      </w:r>
      <w:r w:rsidRPr="00065513">
        <w:rPr>
          <w:rStyle w:val="FootnoteReference"/>
          <w:sz w:val="24"/>
          <w:szCs w:val="24"/>
        </w:rPr>
        <w:footnoteReference w:id="17"/>
      </w:r>
      <w:r w:rsidRPr="00065513">
        <w:rPr>
          <w:sz w:val="24"/>
          <w:szCs w:val="24"/>
        </w:rPr>
        <w:t xml:space="preserve"> In 'the Darkening' (</w:t>
      </w:r>
      <w:r w:rsidRPr="00065513">
        <w:rPr>
          <w:i/>
          <w:iCs/>
          <w:sz w:val="24"/>
          <w:szCs w:val="24"/>
        </w:rPr>
        <w:t>al-Takwīr</w:t>
      </w:r>
      <w:r w:rsidRPr="00065513">
        <w:rPr>
          <w:sz w:val="24"/>
          <w:szCs w:val="24"/>
        </w:rPr>
        <w:t xml:space="preserve">), one reads an intense depiction of a turbulent cataclysmic cosmic destruction: </w:t>
      </w:r>
    </w:p>
    <w:p w:rsidR="007E4995" w:rsidRPr="00065513" w:rsidRDefault="007E4995" w:rsidP="007E4995">
      <w:pPr>
        <w:jc w:val="lowKashida"/>
        <w:rPr>
          <w:rFonts w:cs="TimesNewRomanPS-BoldMT"/>
          <w:bCs/>
          <w:sz w:val="24"/>
          <w:szCs w:val="24"/>
        </w:rPr>
      </w:pP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sun (with its spacious light) is folded up;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stars fall, losing their luster;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mountains vanish (like a mirage);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she-camels, ten months with young, are left untended;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wild beasts are herded together (in human habitations);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oceans boil over with a swell;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souls are sorted out, (being joined, like with like);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female (infant) buried alive, is questioned―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For what crime she was killed;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Scrolls are laid open;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World on High is unveiled: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 xml:space="preserve">When the Blazing Fire is kindled to fierce heat;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lastRenderedPageBreak/>
        <w:t xml:space="preserve">And when the Garden is brought near― </w:t>
      </w:r>
    </w:p>
    <w:p w:rsidR="007E4995" w:rsidRPr="00065513" w:rsidRDefault="007E4995" w:rsidP="00065513">
      <w:pPr>
        <w:spacing w:line="240" w:lineRule="auto"/>
        <w:ind w:left="720"/>
        <w:rPr>
          <w:rFonts w:ascii="Ehrhardt-Fraction" w:cs="Ehrhardt-Fraction"/>
          <w:sz w:val="24"/>
          <w:szCs w:val="24"/>
        </w:rPr>
      </w:pPr>
      <w:r w:rsidRPr="00065513">
        <w:rPr>
          <w:color w:val="000000"/>
          <w:sz w:val="24"/>
          <w:szCs w:val="24"/>
        </w:rPr>
        <w:t>(Then) shall each soul know what it has put forward.</w:t>
      </w:r>
      <w:r w:rsidRPr="00065513">
        <w:rPr>
          <w:rStyle w:val="FootnoteReference"/>
          <w:color w:val="000000"/>
          <w:sz w:val="24"/>
          <w:szCs w:val="24"/>
        </w:rPr>
        <w:footnoteReference w:id="18"/>
      </w:r>
    </w:p>
    <w:p w:rsidR="007E4995" w:rsidRDefault="007E4995" w:rsidP="007E4995">
      <w:pPr>
        <w:ind w:left="720"/>
        <w:jc w:val="lowKashida"/>
        <w:rPr>
          <w:rFonts w:cs="TimesNewRomanPS-BoldMT"/>
        </w:rPr>
      </w:pPr>
    </w:p>
    <w:p w:rsidR="00D770CC" w:rsidRDefault="007E4995" w:rsidP="007E4995">
      <w:pPr>
        <w:pStyle w:val="Heading2"/>
        <w:tabs>
          <w:tab w:val="left" w:pos="4785"/>
        </w:tabs>
      </w:pPr>
      <w:r>
        <w:t xml:space="preserve"> </w:t>
      </w:r>
      <w:bookmarkStart w:id="14" w:name="_Toc477317376"/>
      <w:r w:rsidR="00FA7182">
        <w:t>1.1</w:t>
      </w:r>
      <w:r w:rsidR="00D770CC">
        <w:t xml:space="preserve"> Research Focus</w:t>
      </w:r>
      <w:r w:rsidR="00387921">
        <w:t xml:space="preserve"> and Outline</w:t>
      </w:r>
      <w:bookmarkEnd w:id="14"/>
      <w:r w:rsidR="00743890">
        <w:tab/>
      </w:r>
    </w:p>
    <w:p w:rsidR="003B2DFF" w:rsidRPr="00280A7B" w:rsidRDefault="00D770CC" w:rsidP="00F060CD">
      <w:pPr>
        <w:jc w:val="lowKashida"/>
        <w:rPr>
          <w:rFonts w:cs="TimesNewRomanPS-BoldMT"/>
          <w:sz w:val="24"/>
          <w:szCs w:val="24"/>
        </w:rPr>
      </w:pPr>
      <w:r w:rsidRPr="00280A7B">
        <w:rPr>
          <w:sz w:val="24"/>
          <w:szCs w:val="24"/>
        </w:rPr>
        <w:t xml:space="preserve">The overall aim of this dissertation is to contribute to a better understanding of Islamic eschatological cosmology through looking at </w:t>
      </w:r>
      <w:r w:rsidRPr="00280A7B">
        <w:rPr>
          <w:rFonts w:cs="TimesNewRomanPS-BoldMT"/>
          <w:sz w:val="24"/>
          <w:szCs w:val="24"/>
        </w:rPr>
        <w:t xml:space="preserve">how </w:t>
      </w:r>
      <w:r w:rsidR="0041723A" w:rsidRPr="00280A7B">
        <w:rPr>
          <w:rFonts w:cs="TimesNewRomanPS-BoldMT"/>
          <w:sz w:val="24"/>
          <w:szCs w:val="24"/>
        </w:rPr>
        <w:t xml:space="preserve">the cosmic </w:t>
      </w:r>
      <w:r w:rsidR="0041723A" w:rsidRPr="00280A7B">
        <w:rPr>
          <w:rFonts w:cs="TimesNewRomanPS-BoldMT"/>
          <w:i/>
          <w:iCs/>
          <w:sz w:val="24"/>
          <w:szCs w:val="24"/>
        </w:rPr>
        <w:t xml:space="preserve">ashrāṭ, </w:t>
      </w:r>
      <w:r w:rsidR="0041723A" w:rsidRPr="00280A7B">
        <w:rPr>
          <w:rFonts w:cs="TimesNewRomanPS-BoldMT"/>
          <w:sz w:val="24"/>
          <w:szCs w:val="24"/>
        </w:rPr>
        <w:t xml:space="preserve">or portents, that foretell the looming disintegration of mundane history, </w:t>
      </w:r>
      <w:r w:rsidRPr="00280A7B">
        <w:rPr>
          <w:rFonts w:cs="TimesNewRomanPS-BoldMT"/>
          <w:sz w:val="24"/>
          <w:szCs w:val="24"/>
        </w:rPr>
        <w:t xml:space="preserve">were </w:t>
      </w:r>
      <w:r w:rsidR="00BC2208" w:rsidRPr="00280A7B">
        <w:rPr>
          <w:rFonts w:cs="TimesNewRomanPS-BoldMT"/>
          <w:sz w:val="24"/>
          <w:szCs w:val="24"/>
        </w:rPr>
        <w:t xml:space="preserve">classically </w:t>
      </w:r>
      <w:r w:rsidRPr="00280A7B">
        <w:rPr>
          <w:rFonts w:cs="TimesNewRomanPS-BoldMT"/>
          <w:sz w:val="24"/>
          <w:szCs w:val="24"/>
        </w:rPr>
        <w:t xml:space="preserve">understood and conceptualised in </w:t>
      </w:r>
      <w:r w:rsidR="00BC2208" w:rsidRPr="00280A7B">
        <w:rPr>
          <w:rFonts w:cs="TimesNewRomanPS-BoldMT"/>
          <w:sz w:val="24"/>
          <w:szCs w:val="24"/>
        </w:rPr>
        <w:t xml:space="preserve">the period extending from the eighth to the seventeenth centuries </w:t>
      </w:r>
      <w:r w:rsidR="00D64BB4" w:rsidRPr="00F14447">
        <w:rPr>
          <w:rFonts w:cs="TimesNewRomanPS-BoldMT"/>
        </w:rPr>
        <w:t>C</w:t>
      </w:r>
      <w:r w:rsidR="00BC2208" w:rsidRPr="00F14447">
        <w:rPr>
          <w:rFonts w:cs="TimesNewRomanPS-BoldMT"/>
        </w:rPr>
        <w:t>E</w:t>
      </w:r>
      <w:r w:rsidR="00BC2208" w:rsidRPr="00280A7B">
        <w:rPr>
          <w:rFonts w:cs="TimesNewRomanPS-BoldMT"/>
          <w:sz w:val="24"/>
          <w:szCs w:val="24"/>
        </w:rPr>
        <w:t xml:space="preserve">, </w:t>
      </w:r>
      <w:r w:rsidRPr="00280A7B">
        <w:rPr>
          <w:rFonts w:cs="TimesNewRomanPS-BoldMT"/>
          <w:sz w:val="24"/>
          <w:szCs w:val="24"/>
        </w:rPr>
        <w:t xml:space="preserve">and the extent to which this reflects </w:t>
      </w:r>
      <w:r w:rsidR="00F060CD" w:rsidRPr="00280A7B">
        <w:rPr>
          <w:rFonts w:cs="TimesNewRomanPS-BoldMT"/>
          <w:sz w:val="24"/>
          <w:szCs w:val="24"/>
        </w:rPr>
        <w:t xml:space="preserve">Islamic </w:t>
      </w:r>
      <w:r w:rsidRPr="00280A7B">
        <w:rPr>
          <w:rFonts w:cs="TimesNewRomanPS-BoldMT"/>
          <w:sz w:val="24"/>
          <w:szCs w:val="24"/>
        </w:rPr>
        <w:t xml:space="preserve">cosmological beliefs. </w:t>
      </w:r>
      <w:r w:rsidR="003B2DFF" w:rsidRPr="00280A7B">
        <w:rPr>
          <w:rFonts w:cs="Times New Roman"/>
          <w:sz w:val="24"/>
          <w:szCs w:val="24"/>
        </w:rPr>
        <w:t>Before investigating the aforementioned, chapter two of this dissertation first throws light on</w:t>
      </w:r>
      <w:r w:rsidR="008F56C4" w:rsidRPr="00280A7B">
        <w:rPr>
          <w:rFonts w:cs="Times New Roman"/>
          <w:sz w:val="24"/>
          <w:szCs w:val="24"/>
        </w:rPr>
        <w:t>to</w:t>
      </w:r>
      <w:r w:rsidR="003B2DFF" w:rsidRPr="00280A7B">
        <w:rPr>
          <w:rFonts w:cs="Times New Roman"/>
          <w:sz w:val="24"/>
          <w:szCs w:val="24"/>
        </w:rPr>
        <w:t xml:space="preserve"> the historical, sociopolitical and intellectual contexts that may have actively, or passively, shaped the literary body of Islamic eschatology. This chapter studies the </w:t>
      </w:r>
      <w:r w:rsidR="00F016D6" w:rsidRPr="00280A7B">
        <w:rPr>
          <w:rFonts w:cs="Times New Roman"/>
          <w:sz w:val="24"/>
          <w:szCs w:val="24"/>
        </w:rPr>
        <w:t>dissemination of eschatological ideas, particularly those of monotheistic Abrahamic religions, in the pre-Islamic mercantile pagan environment wherein the eschatological messages of the Qur'ān were revealed</w:t>
      </w:r>
      <w:r w:rsidR="00387921" w:rsidRPr="00280A7B">
        <w:rPr>
          <w:rFonts w:cs="Times New Roman"/>
          <w:sz w:val="24"/>
          <w:szCs w:val="24"/>
        </w:rPr>
        <w:t xml:space="preserve">. Assessing the pre and post Islamic perception of the cosmos, this chapter also explores the </w:t>
      </w:r>
      <w:r w:rsidR="00B8525D" w:rsidRPr="00280A7B">
        <w:rPr>
          <w:rFonts w:cs="Times New Roman"/>
          <w:sz w:val="24"/>
          <w:szCs w:val="24"/>
        </w:rPr>
        <w:t xml:space="preserve">possible </w:t>
      </w:r>
      <w:r w:rsidR="00387921" w:rsidRPr="00280A7B">
        <w:rPr>
          <w:rFonts w:cs="Times New Roman"/>
          <w:sz w:val="24"/>
          <w:szCs w:val="24"/>
        </w:rPr>
        <w:t xml:space="preserve">role of </w:t>
      </w:r>
      <w:r w:rsidR="00B8525D" w:rsidRPr="00280A7B">
        <w:rPr>
          <w:rFonts w:cs="Times New Roman"/>
          <w:sz w:val="24"/>
          <w:szCs w:val="24"/>
        </w:rPr>
        <w:t>Israelite biblical</w:t>
      </w:r>
      <w:r w:rsidR="00387921" w:rsidRPr="00280A7B">
        <w:rPr>
          <w:rFonts w:cs="Times New Roman"/>
          <w:sz w:val="24"/>
          <w:szCs w:val="24"/>
        </w:rPr>
        <w:t xml:space="preserve"> traditions, commonly known as </w:t>
      </w:r>
      <w:r w:rsidR="00387921" w:rsidRPr="00280A7B">
        <w:rPr>
          <w:rFonts w:cs="Times New Roman"/>
          <w:i/>
          <w:iCs/>
          <w:sz w:val="24"/>
          <w:szCs w:val="24"/>
        </w:rPr>
        <w:t>Isrā'īl</w:t>
      </w:r>
      <w:r w:rsidR="00B8525D" w:rsidRPr="00280A7B">
        <w:rPr>
          <w:rFonts w:cs="Times New Roman"/>
          <w:i/>
          <w:iCs/>
          <w:sz w:val="24"/>
          <w:szCs w:val="24"/>
        </w:rPr>
        <w:t>i</w:t>
      </w:r>
      <w:r w:rsidR="00387921" w:rsidRPr="00280A7B">
        <w:rPr>
          <w:rFonts w:cs="Times New Roman"/>
          <w:i/>
          <w:iCs/>
          <w:sz w:val="24"/>
          <w:szCs w:val="24"/>
        </w:rPr>
        <w:t>yyat</w:t>
      </w:r>
      <w:r w:rsidR="00387921" w:rsidRPr="00280A7B">
        <w:rPr>
          <w:rFonts w:cs="Times New Roman"/>
          <w:sz w:val="24"/>
          <w:szCs w:val="24"/>
        </w:rPr>
        <w:t>, in shaping the apocalyptic vision of Islam</w:t>
      </w:r>
      <w:r w:rsidR="008F56C4" w:rsidRPr="00280A7B">
        <w:rPr>
          <w:rFonts w:cs="Times New Roman"/>
          <w:sz w:val="24"/>
          <w:szCs w:val="24"/>
        </w:rPr>
        <w:t xml:space="preserve"> as</w:t>
      </w:r>
      <w:r w:rsidR="00387921" w:rsidRPr="00280A7B">
        <w:rPr>
          <w:rFonts w:cs="Times New Roman"/>
          <w:sz w:val="24"/>
          <w:szCs w:val="24"/>
        </w:rPr>
        <w:t xml:space="preserve"> a religion perceived </w:t>
      </w:r>
      <w:r w:rsidR="008F56C4" w:rsidRPr="00280A7B">
        <w:rPr>
          <w:rFonts w:cs="Times New Roman"/>
          <w:sz w:val="24"/>
          <w:szCs w:val="24"/>
        </w:rPr>
        <w:t>to be</w:t>
      </w:r>
      <w:r w:rsidR="00387921" w:rsidRPr="00280A7B">
        <w:rPr>
          <w:rFonts w:cs="Times New Roman"/>
          <w:sz w:val="24"/>
          <w:szCs w:val="24"/>
        </w:rPr>
        <w:t xml:space="preserve"> a continuation of the </w:t>
      </w:r>
      <w:r w:rsidR="008F56C4" w:rsidRPr="00280A7B">
        <w:rPr>
          <w:rFonts w:cs="Times New Roman"/>
          <w:sz w:val="24"/>
          <w:szCs w:val="24"/>
        </w:rPr>
        <w:t xml:space="preserve">previous </w:t>
      </w:r>
      <w:r w:rsidR="00387921" w:rsidRPr="00280A7B">
        <w:rPr>
          <w:rFonts w:cs="Times New Roman"/>
          <w:sz w:val="24"/>
          <w:szCs w:val="24"/>
        </w:rPr>
        <w:t xml:space="preserve">Abrahamic revelations. Chapter two </w:t>
      </w:r>
      <w:r w:rsidR="00B8525D" w:rsidRPr="00280A7B">
        <w:rPr>
          <w:rFonts w:cs="Times New Roman"/>
          <w:sz w:val="24"/>
          <w:szCs w:val="24"/>
        </w:rPr>
        <w:t>also</w:t>
      </w:r>
      <w:r w:rsidR="003B2DFF" w:rsidRPr="00280A7B">
        <w:rPr>
          <w:rFonts w:cs="Times New Roman"/>
          <w:sz w:val="24"/>
          <w:szCs w:val="24"/>
        </w:rPr>
        <w:t xml:space="preserve"> investigates the period of succession civil wars and foreign invasions that occurred during the formative centuries of Islam and triggered messianic revolutions</w:t>
      </w:r>
      <w:r w:rsidR="00B8525D" w:rsidRPr="00280A7B">
        <w:rPr>
          <w:rFonts w:cs="Times New Roman"/>
          <w:sz w:val="24"/>
          <w:szCs w:val="24"/>
        </w:rPr>
        <w:t>.</w:t>
      </w:r>
    </w:p>
    <w:p w:rsidR="003B2DFF" w:rsidRPr="00280A7B" w:rsidRDefault="003B2DFF" w:rsidP="00BF6A32">
      <w:pPr>
        <w:jc w:val="lowKashida"/>
        <w:rPr>
          <w:rFonts w:cs="TimesNewRomanPS-BoldMT"/>
          <w:sz w:val="24"/>
          <w:szCs w:val="24"/>
        </w:rPr>
      </w:pPr>
    </w:p>
    <w:p w:rsidR="00D64BB4" w:rsidRPr="00280A7B" w:rsidRDefault="00B8525D" w:rsidP="00F85472">
      <w:pPr>
        <w:jc w:val="lowKashida"/>
        <w:rPr>
          <w:rFonts w:cs="TimesNewRomanPS-BoldMT"/>
          <w:sz w:val="24"/>
          <w:szCs w:val="24"/>
        </w:rPr>
      </w:pPr>
      <w:r w:rsidRPr="00280A7B">
        <w:rPr>
          <w:rFonts w:cs="TimesNewRomanPS-BoldMT"/>
          <w:sz w:val="24"/>
          <w:szCs w:val="24"/>
        </w:rPr>
        <w:t xml:space="preserve">Chapter three </w:t>
      </w:r>
      <w:r w:rsidR="00F85472" w:rsidRPr="00280A7B">
        <w:rPr>
          <w:rFonts w:cs="TimesNewRomanPS-BoldMT"/>
          <w:sz w:val="24"/>
          <w:szCs w:val="24"/>
        </w:rPr>
        <w:t xml:space="preserve">then </w:t>
      </w:r>
      <w:r w:rsidRPr="00280A7B">
        <w:rPr>
          <w:rFonts w:cs="TimesNewRomanPS-BoldMT"/>
          <w:sz w:val="24"/>
          <w:szCs w:val="24"/>
        </w:rPr>
        <w:t xml:space="preserve">examines </w:t>
      </w:r>
      <w:r w:rsidR="003B2DFF" w:rsidRPr="00280A7B">
        <w:rPr>
          <w:rFonts w:cs="Times New Roman"/>
          <w:sz w:val="24"/>
          <w:szCs w:val="24"/>
        </w:rPr>
        <w:t>the medieval interpretation of the apocalyptic cosmic portents mentioned in the Qur'ān, Prophetic</w:t>
      </w:r>
      <w:r w:rsidR="003B2DFF" w:rsidRPr="00280A7B">
        <w:rPr>
          <w:rFonts w:cs="Times New Roman"/>
          <w:i/>
          <w:iCs/>
          <w:sz w:val="24"/>
          <w:szCs w:val="24"/>
        </w:rPr>
        <w:t xml:space="preserve"> ḥadīth,</w:t>
      </w:r>
      <w:r w:rsidR="003B2DFF" w:rsidRPr="00280A7B">
        <w:rPr>
          <w:rFonts w:cs="Times New Roman"/>
          <w:sz w:val="24"/>
          <w:szCs w:val="24"/>
        </w:rPr>
        <w:t xml:space="preserve"> and genre of </w:t>
      </w:r>
      <w:r w:rsidR="003B2DFF" w:rsidRPr="00280A7B">
        <w:rPr>
          <w:rFonts w:cs="Times New Roman"/>
          <w:i/>
          <w:iCs/>
          <w:sz w:val="24"/>
          <w:szCs w:val="24"/>
        </w:rPr>
        <w:t>al-Fitan wal-Malāhim</w:t>
      </w:r>
      <w:r w:rsidR="00BA78DA" w:rsidRPr="00280A7B">
        <w:rPr>
          <w:rFonts w:cs="TimesNewRomanPS-BoldMT"/>
          <w:sz w:val="24"/>
          <w:szCs w:val="24"/>
        </w:rPr>
        <w:t xml:space="preserve"> (T</w:t>
      </w:r>
      <w:r w:rsidR="008F5526" w:rsidRPr="00280A7B">
        <w:rPr>
          <w:rFonts w:cs="TimesNewRomanPS-BoldMT"/>
          <w:sz w:val="24"/>
          <w:szCs w:val="24"/>
        </w:rPr>
        <w:t>ribulations and Fierce Battles). This chapter starts off by</w:t>
      </w:r>
      <w:r w:rsidR="00A55D63" w:rsidRPr="00280A7B">
        <w:rPr>
          <w:rFonts w:cs="TimesNewRomanPS-BoldMT"/>
          <w:sz w:val="24"/>
          <w:szCs w:val="24"/>
        </w:rPr>
        <w:t xml:space="preserve"> comparing and contrasting</w:t>
      </w:r>
      <w:r w:rsidR="00BA78DA" w:rsidRPr="00280A7B">
        <w:rPr>
          <w:rFonts w:cs="TimesNewRomanPS-BoldMT"/>
          <w:sz w:val="24"/>
          <w:szCs w:val="24"/>
        </w:rPr>
        <w:t xml:space="preserve"> how these cosmic events were understood by </w:t>
      </w:r>
      <w:r w:rsidR="00BF6A32" w:rsidRPr="00280A7B">
        <w:rPr>
          <w:rFonts w:cs="TimesNewRomanPS-BoldMT"/>
          <w:sz w:val="24"/>
          <w:szCs w:val="24"/>
        </w:rPr>
        <w:t>two</w:t>
      </w:r>
      <w:r w:rsidR="008F5526" w:rsidRPr="00280A7B">
        <w:rPr>
          <w:rFonts w:cs="TimesNewRomanPS-BoldMT"/>
          <w:sz w:val="24"/>
          <w:szCs w:val="24"/>
        </w:rPr>
        <w:t xml:space="preserve"> schools of Qurānic</w:t>
      </w:r>
      <w:r w:rsidR="00BA78DA" w:rsidRPr="00280A7B">
        <w:rPr>
          <w:rFonts w:cs="TimesNewRomanPS-BoldMT"/>
          <w:sz w:val="24"/>
          <w:szCs w:val="24"/>
        </w:rPr>
        <w:t xml:space="preserve"> </w:t>
      </w:r>
      <w:r w:rsidR="008F5526" w:rsidRPr="00280A7B">
        <w:rPr>
          <w:rFonts w:cs="TimesNewRomanPS-BoldMT"/>
          <w:sz w:val="24"/>
          <w:szCs w:val="24"/>
        </w:rPr>
        <w:t>exege</w:t>
      </w:r>
      <w:r w:rsidR="008F56C4" w:rsidRPr="00280A7B">
        <w:rPr>
          <w:rFonts w:cs="TimesNewRomanPS-BoldMT"/>
          <w:sz w:val="24"/>
          <w:szCs w:val="24"/>
        </w:rPr>
        <w:t>ses</w:t>
      </w:r>
      <w:r w:rsidR="00BA78DA" w:rsidRPr="00280A7B">
        <w:rPr>
          <w:rFonts w:cs="TimesNewRomanPS-BoldMT"/>
          <w:sz w:val="24"/>
          <w:szCs w:val="24"/>
        </w:rPr>
        <w:t xml:space="preserve">, </w:t>
      </w:r>
      <w:r w:rsidR="00A55D63" w:rsidRPr="00280A7B">
        <w:rPr>
          <w:rFonts w:cs="TimesNewRomanPS-BoldMT"/>
          <w:sz w:val="24"/>
          <w:szCs w:val="24"/>
        </w:rPr>
        <w:t xml:space="preserve">namely </w:t>
      </w:r>
      <w:r w:rsidR="008F56C4" w:rsidRPr="00280A7B">
        <w:rPr>
          <w:rFonts w:cs="TimesNewRomanPS-BoldMT"/>
          <w:sz w:val="24"/>
          <w:szCs w:val="24"/>
        </w:rPr>
        <w:t xml:space="preserve">those of </w:t>
      </w:r>
      <w:r w:rsidR="00DE67F3" w:rsidRPr="00280A7B">
        <w:rPr>
          <w:rFonts w:cs="TimesNewRomanPS-BoldMT"/>
          <w:sz w:val="24"/>
          <w:szCs w:val="24"/>
        </w:rPr>
        <w:t>the traditionalists and</w:t>
      </w:r>
      <w:r w:rsidR="00BA78DA" w:rsidRPr="00280A7B">
        <w:rPr>
          <w:rFonts w:cs="TimesNewRomanPS-BoldMT"/>
          <w:sz w:val="24"/>
          <w:szCs w:val="24"/>
        </w:rPr>
        <w:t xml:space="preserve"> classical ra</w:t>
      </w:r>
      <w:r w:rsidR="00DE67F3" w:rsidRPr="00280A7B">
        <w:rPr>
          <w:rFonts w:cs="TimesNewRomanPS-BoldMT"/>
          <w:sz w:val="24"/>
          <w:szCs w:val="24"/>
        </w:rPr>
        <w:t>tionalists</w:t>
      </w:r>
      <w:r w:rsidR="008F5526" w:rsidRPr="00280A7B">
        <w:rPr>
          <w:rFonts w:cs="TimesNewRomanPS-BoldMT"/>
          <w:sz w:val="24"/>
          <w:szCs w:val="24"/>
        </w:rPr>
        <w:t>,</w:t>
      </w:r>
      <w:r w:rsidR="004A4450" w:rsidRPr="00280A7B">
        <w:rPr>
          <w:rFonts w:cs="TimesNewRomanPS-BoldMT"/>
          <w:sz w:val="24"/>
          <w:szCs w:val="24"/>
        </w:rPr>
        <w:t xml:space="preserve"> </w:t>
      </w:r>
      <w:r w:rsidR="007C1BF9" w:rsidRPr="00280A7B">
        <w:rPr>
          <w:rFonts w:cs="TimesNewRomanPS-BoldMT"/>
          <w:sz w:val="24"/>
          <w:szCs w:val="24"/>
        </w:rPr>
        <w:t xml:space="preserve">and </w:t>
      </w:r>
      <w:r w:rsidR="008F56C4" w:rsidRPr="00280A7B">
        <w:rPr>
          <w:rFonts w:cs="TimesNewRomanPS-BoldMT"/>
          <w:sz w:val="24"/>
          <w:szCs w:val="24"/>
        </w:rPr>
        <w:t>analysing</w:t>
      </w:r>
      <w:r w:rsidR="00BA78DA" w:rsidRPr="00280A7B">
        <w:rPr>
          <w:rFonts w:cs="TimesNewRomanPS-BoldMT"/>
          <w:sz w:val="24"/>
          <w:szCs w:val="24"/>
        </w:rPr>
        <w:t xml:space="preserve"> </w:t>
      </w:r>
      <w:r w:rsidRPr="00280A7B">
        <w:rPr>
          <w:rFonts w:cs="TimesNewRomanPS-BoldMT"/>
          <w:sz w:val="24"/>
          <w:szCs w:val="24"/>
        </w:rPr>
        <w:t>the different eschatological ideas</w:t>
      </w:r>
      <w:r w:rsidR="00BA78DA" w:rsidRPr="00280A7B">
        <w:rPr>
          <w:rFonts w:cs="TimesNewRomanPS-BoldMT"/>
          <w:sz w:val="24"/>
          <w:szCs w:val="24"/>
        </w:rPr>
        <w:t xml:space="preserve"> and hypotheses pro</w:t>
      </w:r>
      <w:r w:rsidR="004A4450" w:rsidRPr="00280A7B">
        <w:rPr>
          <w:rFonts w:cs="TimesNewRomanPS-BoldMT"/>
          <w:sz w:val="24"/>
          <w:szCs w:val="24"/>
        </w:rPr>
        <w:t>posed by each school of thought</w:t>
      </w:r>
      <w:r w:rsidR="00BA78DA" w:rsidRPr="00280A7B">
        <w:rPr>
          <w:rFonts w:cs="TimesNewRomanPS-BoldMT"/>
          <w:sz w:val="24"/>
          <w:szCs w:val="24"/>
        </w:rPr>
        <w:t>.</w:t>
      </w:r>
      <w:r w:rsidR="008F5526" w:rsidRPr="00280A7B">
        <w:rPr>
          <w:rFonts w:cs="TimesNewRomanPS-BoldMT"/>
          <w:sz w:val="24"/>
          <w:szCs w:val="24"/>
        </w:rPr>
        <w:t xml:space="preserve"> This chapter then evaluates the anticipated cosmic </w:t>
      </w:r>
      <w:r w:rsidR="008F56C4" w:rsidRPr="00280A7B">
        <w:rPr>
          <w:rFonts w:cs="TimesNewRomanPS-BoldMT"/>
          <w:sz w:val="24"/>
          <w:szCs w:val="24"/>
        </w:rPr>
        <w:t>disintegration of the universe as</w:t>
      </w:r>
      <w:r w:rsidR="008F5526" w:rsidRPr="00280A7B">
        <w:rPr>
          <w:rFonts w:cs="TimesNewRomanPS-BoldMT"/>
          <w:sz w:val="24"/>
          <w:szCs w:val="24"/>
        </w:rPr>
        <w:t xml:space="preserve"> documented in mainstream canonical </w:t>
      </w:r>
      <w:r w:rsidR="008F5526" w:rsidRPr="00280A7B">
        <w:rPr>
          <w:i/>
          <w:iCs/>
          <w:sz w:val="24"/>
          <w:szCs w:val="24"/>
        </w:rPr>
        <w:t>ḥadīths</w:t>
      </w:r>
      <w:r w:rsidR="008F56C4" w:rsidRPr="00280A7B">
        <w:rPr>
          <w:i/>
          <w:iCs/>
          <w:sz w:val="24"/>
          <w:szCs w:val="24"/>
        </w:rPr>
        <w:t>,</w:t>
      </w:r>
      <w:r w:rsidR="008F5526" w:rsidRPr="00280A7B">
        <w:rPr>
          <w:rFonts w:cs="TimesNewRomanPS-BoldMT"/>
          <w:sz w:val="24"/>
          <w:szCs w:val="24"/>
        </w:rPr>
        <w:t xml:space="preserve"> before looking at the dramatic apocalyptic scenarios depicted in the disputed genre </w:t>
      </w:r>
      <w:r w:rsidR="008F5526" w:rsidRPr="00280A7B">
        <w:rPr>
          <w:rFonts w:cs="Times New Roman"/>
          <w:sz w:val="24"/>
          <w:szCs w:val="24"/>
        </w:rPr>
        <w:t xml:space="preserve">of </w:t>
      </w:r>
      <w:r w:rsidR="008F5526" w:rsidRPr="00280A7B">
        <w:rPr>
          <w:rFonts w:cs="Times New Roman"/>
          <w:i/>
          <w:iCs/>
          <w:sz w:val="24"/>
          <w:szCs w:val="24"/>
        </w:rPr>
        <w:t>al-Fitan wal-Malāhim</w:t>
      </w:r>
      <w:r w:rsidR="00254C12" w:rsidRPr="00280A7B">
        <w:rPr>
          <w:rFonts w:cs="Times New Roman"/>
          <w:i/>
          <w:iCs/>
          <w:sz w:val="24"/>
          <w:szCs w:val="24"/>
        </w:rPr>
        <w:t>.</w:t>
      </w:r>
      <w:r w:rsidR="008F56C4" w:rsidRPr="00280A7B">
        <w:rPr>
          <w:rFonts w:cs="TimesNewRomanPS-BoldMT"/>
          <w:sz w:val="24"/>
          <w:szCs w:val="24"/>
        </w:rPr>
        <w:t xml:space="preserve"> </w:t>
      </w:r>
      <w:r w:rsidRPr="00280A7B">
        <w:rPr>
          <w:rFonts w:cs="TimesNewRomanPS-BoldMT"/>
          <w:iCs/>
          <w:sz w:val="24"/>
          <w:szCs w:val="24"/>
        </w:rPr>
        <w:t>All of the afore</w:t>
      </w:r>
      <w:r w:rsidR="008F56C4" w:rsidRPr="00280A7B">
        <w:rPr>
          <w:rFonts w:cs="TimesNewRomanPS-BoldMT"/>
          <w:iCs/>
          <w:sz w:val="24"/>
          <w:szCs w:val="24"/>
        </w:rPr>
        <w:t>said</w:t>
      </w:r>
      <w:r w:rsidR="00BA78DA" w:rsidRPr="00280A7B">
        <w:rPr>
          <w:rFonts w:cs="TimesNewRomanPS-BoldMT"/>
          <w:iCs/>
          <w:sz w:val="24"/>
          <w:szCs w:val="24"/>
        </w:rPr>
        <w:t xml:space="preserve"> is investigated within the paradigmatic framework of theories that best explain the </w:t>
      </w:r>
      <w:r w:rsidR="008F56C4" w:rsidRPr="00280A7B">
        <w:rPr>
          <w:rFonts w:cs="TimesNewRomanPS-BoldMT"/>
          <w:iCs/>
          <w:sz w:val="24"/>
          <w:szCs w:val="24"/>
        </w:rPr>
        <w:t>mentioned</w:t>
      </w:r>
      <w:r w:rsidR="00BA78DA" w:rsidRPr="00280A7B">
        <w:rPr>
          <w:rFonts w:cs="TimesNewRomanPS-BoldMT"/>
          <w:iCs/>
          <w:sz w:val="24"/>
          <w:szCs w:val="24"/>
        </w:rPr>
        <w:t xml:space="preserve"> cosmological interpretations and understandings. </w:t>
      </w:r>
      <w:r w:rsidR="00A4616D" w:rsidRPr="00280A7B">
        <w:rPr>
          <w:sz w:val="24"/>
          <w:szCs w:val="24"/>
        </w:rPr>
        <w:t>Yet before proceeding further, it is crucial to clarify the concepts and terms that will be encountered repeatedly throughout this research.</w:t>
      </w:r>
    </w:p>
    <w:p w:rsidR="00A223D0" w:rsidRDefault="00A223D0" w:rsidP="00D770CC">
      <w:pPr>
        <w:jc w:val="lowKashida"/>
        <w:rPr>
          <w:rFonts w:cs="TimesNewRomanPS-BoldMT"/>
        </w:rPr>
      </w:pPr>
    </w:p>
    <w:p w:rsidR="00A4616D" w:rsidRDefault="00A5299F" w:rsidP="007763A6">
      <w:pPr>
        <w:pStyle w:val="Heading2"/>
      </w:pPr>
      <w:bookmarkStart w:id="15" w:name="_Toc477317377"/>
      <w:r>
        <w:lastRenderedPageBreak/>
        <w:t>1.2</w:t>
      </w:r>
      <w:r w:rsidR="005478A5">
        <w:t xml:space="preserve"> Definition of Terms</w:t>
      </w:r>
      <w:bookmarkEnd w:id="15"/>
      <w:r w:rsidR="005478A5">
        <w:t xml:space="preserve"> </w:t>
      </w:r>
    </w:p>
    <w:p w:rsidR="00C862C0" w:rsidRPr="00280A7B" w:rsidRDefault="00A4616D" w:rsidP="00E07596">
      <w:pPr>
        <w:jc w:val="lowKashida"/>
        <w:rPr>
          <w:sz w:val="24"/>
          <w:szCs w:val="24"/>
        </w:rPr>
      </w:pPr>
      <w:r w:rsidRPr="00280A7B">
        <w:rPr>
          <w:sz w:val="24"/>
          <w:szCs w:val="24"/>
        </w:rPr>
        <w:t>The words 'apocalypse,' 'eschatology' and 'millenarianism' or 'millennialism,' had been u</w:t>
      </w:r>
      <w:r w:rsidR="007345E6" w:rsidRPr="00280A7B">
        <w:rPr>
          <w:sz w:val="24"/>
          <w:szCs w:val="24"/>
        </w:rPr>
        <w:t xml:space="preserve">sed interchangeably by scholars in a manner that reflected a </w:t>
      </w:r>
      <w:r w:rsidR="00221B11" w:rsidRPr="00280A7B">
        <w:rPr>
          <w:sz w:val="24"/>
          <w:szCs w:val="24"/>
        </w:rPr>
        <w:t>conceptual</w:t>
      </w:r>
      <w:r w:rsidR="007345E6" w:rsidRPr="00280A7B">
        <w:rPr>
          <w:sz w:val="24"/>
          <w:szCs w:val="24"/>
        </w:rPr>
        <w:t xml:space="preserve"> confusion that most probably resulted from their </w:t>
      </w:r>
      <w:r w:rsidR="00221B11" w:rsidRPr="00280A7B">
        <w:rPr>
          <w:sz w:val="24"/>
          <w:szCs w:val="24"/>
        </w:rPr>
        <w:t xml:space="preserve">intertwined and interdependent definitions. </w:t>
      </w:r>
      <w:r w:rsidRPr="00280A7B">
        <w:rPr>
          <w:sz w:val="24"/>
          <w:szCs w:val="24"/>
        </w:rPr>
        <w:t xml:space="preserve">Eschatology, </w:t>
      </w:r>
      <w:r w:rsidRPr="00280A7B">
        <w:rPr>
          <w:rFonts w:cs="TimesNewRomanPS-BoldMT"/>
          <w:bCs/>
          <w:sz w:val="24"/>
          <w:szCs w:val="24"/>
        </w:rPr>
        <w:t>which</w:t>
      </w:r>
      <w:r w:rsidR="00E07596">
        <w:rPr>
          <w:rFonts w:cs="TimesNewRomanPS-BoldMT"/>
          <w:bCs/>
          <w:sz w:val="24"/>
          <w:szCs w:val="24"/>
        </w:rPr>
        <w:t xml:space="preserve"> is derived from the Greek word</w:t>
      </w:r>
      <w:r w:rsidR="00E07596">
        <w:rPr>
          <w:rFonts w:cs="TimesNewRomanPS-BoldMT"/>
          <w:bCs/>
          <w:i/>
          <w:iCs/>
          <w:sz w:val="24"/>
          <w:szCs w:val="24"/>
        </w:rPr>
        <w:t xml:space="preserve"> </w:t>
      </w:r>
      <w:proofErr w:type="gramStart"/>
      <w:r w:rsidR="00E07596">
        <w:rPr>
          <w:rFonts w:cs="TimesNewRomanPS-BoldMT"/>
          <w:bCs/>
          <w:i/>
          <w:iCs/>
          <w:sz w:val="24"/>
          <w:szCs w:val="24"/>
        </w:rPr>
        <w:t>ἐ</w:t>
      </w:r>
      <w:r w:rsidRPr="00280A7B">
        <w:rPr>
          <w:rFonts w:cs="TimesNewRomanPS-BoldMT"/>
          <w:bCs/>
          <w:i/>
          <w:iCs/>
          <w:sz w:val="24"/>
          <w:szCs w:val="24"/>
        </w:rPr>
        <w:t>σχατο</w:t>
      </w:r>
      <w:r w:rsidRPr="00280A7B">
        <w:rPr>
          <w:rFonts w:cs="TimesNewRomanPS-BoldMT"/>
          <w:bCs/>
          <w:i/>
          <w:iCs/>
          <w:sz w:val="24"/>
          <w:szCs w:val="24"/>
          <w:lang w:val="el-GR"/>
        </w:rPr>
        <w:t>ς</w:t>
      </w:r>
      <w:proofErr w:type="gramEnd"/>
      <w:r w:rsidRPr="00280A7B">
        <w:rPr>
          <w:rFonts w:cs="TimesNewRomanPS-BoldMT"/>
          <w:bCs/>
          <w:i/>
          <w:iCs/>
          <w:sz w:val="24"/>
          <w:szCs w:val="24"/>
        </w:rPr>
        <w:t xml:space="preserve"> </w:t>
      </w:r>
      <w:r w:rsidR="00D80004" w:rsidRPr="00280A7B">
        <w:rPr>
          <w:rFonts w:cs="TimesNewRomanPS-BoldMT"/>
          <w:bCs/>
          <w:sz w:val="24"/>
          <w:szCs w:val="24"/>
        </w:rPr>
        <w:t>is strictly defined by Liddell and Scott as the last or end of time.</w:t>
      </w:r>
      <w:r w:rsidR="00D80004" w:rsidRPr="00280A7B">
        <w:rPr>
          <w:rStyle w:val="FootnoteReference"/>
          <w:rFonts w:cs="TimesNewRomanPS-BoldMT"/>
          <w:bCs/>
          <w:sz w:val="24"/>
          <w:szCs w:val="24"/>
        </w:rPr>
        <w:footnoteReference w:id="19"/>
      </w:r>
      <w:r w:rsidR="00D80004" w:rsidRPr="00280A7B">
        <w:rPr>
          <w:rFonts w:cs="TimesNewRomanPS-BoldMT"/>
          <w:bCs/>
          <w:sz w:val="24"/>
          <w:szCs w:val="24"/>
        </w:rPr>
        <w:t xml:space="preserve"> The broad use of the term </w:t>
      </w:r>
      <w:r w:rsidR="0071109F" w:rsidRPr="00280A7B">
        <w:rPr>
          <w:rFonts w:cs="TimesNewRomanPS-BoldMT"/>
          <w:bCs/>
          <w:sz w:val="24"/>
          <w:szCs w:val="24"/>
        </w:rPr>
        <w:t>'</w:t>
      </w:r>
      <w:r w:rsidR="00D80004" w:rsidRPr="00280A7B">
        <w:rPr>
          <w:rFonts w:cs="TimesNewRomanPS-BoldMT"/>
          <w:bCs/>
          <w:sz w:val="24"/>
          <w:szCs w:val="24"/>
        </w:rPr>
        <w:t>eschatology</w:t>
      </w:r>
      <w:r w:rsidR="0071109F" w:rsidRPr="00280A7B">
        <w:rPr>
          <w:rFonts w:cs="TimesNewRomanPS-BoldMT"/>
          <w:bCs/>
          <w:sz w:val="24"/>
          <w:szCs w:val="24"/>
        </w:rPr>
        <w:t>'</w:t>
      </w:r>
      <w:r w:rsidR="00D80004" w:rsidRPr="00280A7B">
        <w:rPr>
          <w:rFonts w:cs="TimesNewRomanPS-BoldMT"/>
          <w:bCs/>
          <w:sz w:val="24"/>
          <w:szCs w:val="24"/>
        </w:rPr>
        <w:t xml:space="preserve"> tends to refer to, as mentioned previously, the</w:t>
      </w:r>
      <w:r w:rsidR="00CC6B31" w:rsidRPr="00280A7B">
        <w:rPr>
          <w:sz w:val="24"/>
          <w:szCs w:val="24"/>
        </w:rPr>
        <w:t xml:space="preserve"> reversal of the cosmogonic act or</w:t>
      </w:r>
      <w:r w:rsidRPr="00280A7B">
        <w:rPr>
          <w:sz w:val="24"/>
          <w:szCs w:val="24"/>
        </w:rPr>
        <w:t xml:space="preserve"> a transition from cosmos to chaos.</w:t>
      </w:r>
      <w:r w:rsidR="00D80004" w:rsidRPr="00625697">
        <w:rPr>
          <w:rStyle w:val="FootnoteReference"/>
          <w:i/>
          <w:iCs/>
          <w:sz w:val="24"/>
          <w:szCs w:val="24"/>
        </w:rPr>
        <w:footnoteReference w:id="20"/>
      </w:r>
      <w:r w:rsidRPr="00280A7B">
        <w:rPr>
          <w:sz w:val="24"/>
          <w:szCs w:val="24"/>
        </w:rPr>
        <w:t xml:space="preserve"> The specific definition employed in this </w:t>
      </w:r>
      <w:r w:rsidR="002B1C59" w:rsidRPr="00280A7B">
        <w:rPr>
          <w:sz w:val="24"/>
          <w:szCs w:val="24"/>
        </w:rPr>
        <w:t xml:space="preserve">dissertation </w:t>
      </w:r>
      <w:r w:rsidRPr="00280A7B">
        <w:rPr>
          <w:sz w:val="24"/>
          <w:szCs w:val="24"/>
        </w:rPr>
        <w:t xml:space="preserve">is that adopted by monotheistic Abrahamic religions in general, and Islam in particular. It is theistic eschatology shaped by a perception of </w:t>
      </w:r>
      <w:r w:rsidR="00EA2E51" w:rsidRPr="00280A7B">
        <w:rPr>
          <w:sz w:val="24"/>
          <w:szCs w:val="24"/>
        </w:rPr>
        <w:t xml:space="preserve">mundane </w:t>
      </w:r>
      <w:r w:rsidRPr="00280A7B">
        <w:rPr>
          <w:sz w:val="24"/>
          <w:szCs w:val="24"/>
        </w:rPr>
        <w:t>history as linear and irreversible, not cyclical nor regenerative, and b</w:t>
      </w:r>
      <w:r w:rsidR="00A8439E" w:rsidRPr="00280A7B">
        <w:rPr>
          <w:sz w:val="24"/>
          <w:szCs w:val="24"/>
        </w:rPr>
        <w:t xml:space="preserve">ased on a belief in </w:t>
      </w:r>
      <w:r w:rsidRPr="00280A7B">
        <w:rPr>
          <w:sz w:val="24"/>
          <w:szCs w:val="24"/>
        </w:rPr>
        <w:t xml:space="preserve">ultimate </w:t>
      </w:r>
      <w:r w:rsidR="00A8439E" w:rsidRPr="00280A7B">
        <w:rPr>
          <w:sz w:val="24"/>
          <w:szCs w:val="24"/>
        </w:rPr>
        <w:t>Divine justice</w:t>
      </w:r>
      <w:r w:rsidR="00EA2E51" w:rsidRPr="00280A7B">
        <w:rPr>
          <w:sz w:val="24"/>
          <w:szCs w:val="24"/>
        </w:rPr>
        <w:t xml:space="preserve"> which </w:t>
      </w:r>
      <w:r w:rsidR="00A8439E" w:rsidRPr="00280A7B">
        <w:rPr>
          <w:sz w:val="24"/>
          <w:szCs w:val="24"/>
        </w:rPr>
        <w:t>prevails</w:t>
      </w:r>
      <w:r w:rsidR="00EA2E51" w:rsidRPr="00280A7B">
        <w:rPr>
          <w:sz w:val="24"/>
          <w:szCs w:val="24"/>
        </w:rPr>
        <w:t xml:space="preserve"> in a transformed</w:t>
      </w:r>
      <w:r w:rsidR="00C862C0" w:rsidRPr="00280A7B">
        <w:rPr>
          <w:sz w:val="24"/>
          <w:szCs w:val="24"/>
        </w:rPr>
        <w:t xml:space="preserve"> </w:t>
      </w:r>
      <w:r w:rsidR="00EA2E51" w:rsidRPr="00280A7B">
        <w:rPr>
          <w:sz w:val="24"/>
          <w:szCs w:val="24"/>
        </w:rPr>
        <w:t>cosmos</w:t>
      </w:r>
      <w:r w:rsidRPr="00280A7B">
        <w:rPr>
          <w:sz w:val="24"/>
          <w:szCs w:val="24"/>
        </w:rPr>
        <w:t xml:space="preserve">. This </w:t>
      </w:r>
      <w:r w:rsidR="002B1C59" w:rsidRPr="00280A7B">
        <w:rPr>
          <w:sz w:val="24"/>
          <w:szCs w:val="24"/>
        </w:rPr>
        <w:t>dissertation</w:t>
      </w:r>
      <w:r w:rsidRPr="00280A7B">
        <w:rPr>
          <w:sz w:val="24"/>
          <w:szCs w:val="24"/>
        </w:rPr>
        <w:t xml:space="preserve"> applies </w:t>
      </w:r>
      <w:r w:rsidR="00D93BBC">
        <w:rPr>
          <w:sz w:val="24"/>
          <w:szCs w:val="24"/>
        </w:rPr>
        <w:t xml:space="preserve">Richard </w:t>
      </w:r>
      <w:r w:rsidRPr="00280A7B">
        <w:rPr>
          <w:sz w:val="24"/>
          <w:szCs w:val="24"/>
        </w:rPr>
        <w:t>Landes' paradigms of both religious/redemptive and annihilationist eschatology; taking from the former its metaphysical retributive theme of afterlife reward and punishment, and from the latter the notion that describes a total obliteration of the universe.</w:t>
      </w:r>
      <w:r w:rsidRPr="00280A7B">
        <w:rPr>
          <w:rStyle w:val="FootnoteReference"/>
          <w:sz w:val="24"/>
          <w:szCs w:val="24"/>
        </w:rPr>
        <w:footnoteReference w:id="21"/>
      </w:r>
      <w:r w:rsidRPr="00280A7B">
        <w:rPr>
          <w:sz w:val="24"/>
          <w:szCs w:val="24"/>
        </w:rPr>
        <w:t xml:space="preserve"> Thus in summary, the eschatology used here may be referred to as religious redempt</w:t>
      </w:r>
      <w:r w:rsidR="00EA2E51" w:rsidRPr="00280A7B">
        <w:rPr>
          <w:sz w:val="24"/>
          <w:szCs w:val="24"/>
        </w:rPr>
        <w:t xml:space="preserve">ive annihilationist eschatology, in which the cataclysmic termination of profane time inaugurates </w:t>
      </w:r>
      <w:r w:rsidR="00C862C0" w:rsidRPr="00280A7B">
        <w:rPr>
          <w:sz w:val="24"/>
          <w:szCs w:val="24"/>
        </w:rPr>
        <w:t xml:space="preserve">an eternal era of sacred history </w:t>
      </w:r>
      <w:r w:rsidR="008A3637" w:rsidRPr="00280A7B">
        <w:rPr>
          <w:sz w:val="24"/>
          <w:szCs w:val="24"/>
        </w:rPr>
        <w:t>where</w:t>
      </w:r>
      <w:r w:rsidR="00C862C0" w:rsidRPr="00280A7B">
        <w:rPr>
          <w:sz w:val="24"/>
          <w:szCs w:val="24"/>
        </w:rPr>
        <w:t xml:space="preserve"> a universal resurrection takes place.</w:t>
      </w:r>
    </w:p>
    <w:p w:rsidR="00655B48" w:rsidRPr="00280A7B" w:rsidRDefault="00655B48" w:rsidP="00A4616D">
      <w:pPr>
        <w:jc w:val="lowKashida"/>
        <w:rPr>
          <w:sz w:val="24"/>
          <w:szCs w:val="24"/>
        </w:rPr>
      </w:pPr>
    </w:p>
    <w:p w:rsidR="00A4616D" w:rsidRPr="00280A7B" w:rsidRDefault="00A4616D" w:rsidP="00E07596">
      <w:pPr>
        <w:jc w:val="lowKashida"/>
        <w:rPr>
          <w:sz w:val="24"/>
          <w:szCs w:val="24"/>
        </w:rPr>
      </w:pPr>
      <w:r w:rsidRPr="00280A7B">
        <w:rPr>
          <w:sz w:val="24"/>
          <w:szCs w:val="24"/>
        </w:rPr>
        <w:t xml:space="preserve">Alternatively, the word apocalypse, which originates from the Greek word </w:t>
      </w:r>
      <w:r w:rsidR="00E07596" w:rsidRPr="00E07596">
        <w:rPr>
          <w:i/>
          <w:iCs/>
          <w:sz w:val="24"/>
          <w:szCs w:val="24"/>
        </w:rPr>
        <w:t>ἀ</w:t>
      </w:r>
      <w:r w:rsidRPr="00280A7B">
        <w:rPr>
          <w:i/>
          <w:iCs/>
          <w:sz w:val="24"/>
          <w:szCs w:val="24"/>
          <w:lang w:val="el-GR"/>
        </w:rPr>
        <w:t>π</w:t>
      </w:r>
      <w:r w:rsidRPr="00280A7B">
        <w:rPr>
          <w:i/>
          <w:iCs/>
          <w:sz w:val="24"/>
          <w:szCs w:val="24"/>
        </w:rPr>
        <w:t>οκ</w:t>
      </w:r>
      <w:r w:rsidR="00E07596" w:rsidRPr="00280A7B">
        <w:rPr>
          <w:i/>
          <w:iCs/>
          <w:sz w:val="24"/>
          <w:szCs w:val="24"/>
        </w:rPr>
        <w:t>ά</w:t>
      </w:r>
      <w:r w:rsidRPr="00280A7B">
        <w:rPr>
          <w:i/>
          <w:iCs/>
          <w:sz w:val="24"/>
          <w:szCs w:val="24"/>
        </w:rPr>
        <w:t>λυψις,</w:t>
      </w:r>
      <w:r w:rsidRPr="00280A7B">
        <w:rPr>
          <w:sz w:val="24"/>
          <w:szCs w:val="24"/>
        </w:rPr>
        <w:t xml:space="preserve"> denotes an uncovering and a revelation of what John J. Collins describ</w:t>
      </w:r>
      <w:r w:rsidR="00811B8B" w:rsidRPr="00280A7B">
        <w:rPr>
          <w:sz w:val="24"/>
          <w:szCs w:val="24"/>
        </w:rPr>
        <w:t>ed as the 'heavenly mysteries or</w:t>
      </w:r>
      <w:r w:rsidRPr="00280A7B">
        <w:rPr>
          <w:sz w:val="24"/>
          <w:szCs w:val="24"/>
        </w:rPr>
        <w:t xml:space="preserve"> the end of history.'</w:t>
      </w:r>
      <w:r w:rsidRPr="00280A7B">
        <w:rPr>
          <w:rStyle w:val="FootnoteReference"/>
          <w:sz w:val="24"/>
          <w:szCs w:val="24"/>
        </w:rPr>
        <w:footnoteReference w:id="22"/>
      </w:r>
      <w:r w:rsidRPr="00280A7B">
        <w:rPr>
          <w:sz w:val="24"/>
          <w:szCs w:val="24"/>
        </w:rPr>
        <w:t xml:space="preserve"> According to the definition provided by recent scholarship, </w:t>
      </w:r>
      <w:r w:rsidR="00A81FDC" w:rsidRPr="00280A7B">
        <w:rPr>
          <w:sz w:val="24"/>
          <w:szCs w:val="24"/>
        </w:rPr>
        <w:t xml:space="preserve">an urgent sense of the </w:t>
      </w:r>
      <w:r w:rsidRPr="00280A7B">
        <w:rPr>
          <w:sz w:val="24"/>
          <w:szCs w:val="24"/>
        </w:rPr>
        <w:t xml:space="preserve">temporal </w:t>
      </w:r>
      <w:r w:rsidR="00553AF5" w:rsidRPr="00280A7B">
        <w:rPr>
          <w:sz w:val="24"/>
          <w:szCs w:val="24"/>
        </w:rPr>
        <w:t>proximity</w:t>
      </w:r>
      <w:r w:rsidR="00A81FDC" w:rsidRPr="00280A7B">
        <w:rPr>
          <w:sz w:val="24"/>
          <w:szCs w:val="24"/>
        </w:rPr>
        <w:t xml:space="preserve"> of the Last Day</w:t>
      </w:r>
      <w:r w:rsidRPr="00280A7B">
        <w:rPr>
          <w:sz w:val="24"/>
          <w:szCs w:val="24"/>
        </w:rPr>
        <w:t xml:space="preserve"> is a prominent feature in everything apocalyptic.</w:t>
      </w:r>
      <w:r w:rsidRPr="00280A7B">
        <w:rPr>
          <w:rStyle w:val="FootnoteReference"/>
          <w:sz w:val="24"/>
          <w:szCs w:val="24"/>
        </w:rPr>
        <w:footnoteReference w:id="23"/>
      </w:r>
      <w:r w:rsidRPr="00280A7B">
        <w:rPr>
          <w:sz w:val="24"/>
          <w:szCs w:val="24"/>
        </w:rPr>
        <w:t xml:space="preserve"> </w:t>
      </w:r>
      <w:r w:rsidR="008B66A4" w:rsidRPr="00280A7B">
        <w:rPr>
          <w:sz w:val="24"/>
          <w:szCs w:val="24"/>
        </w:rPr>
        <w:t xml:space="preserve">Barbara F. </w:t>
      </w:r>
      <w:r w:rsidR="00A30A2C" w:rsidRPr="00280A7B">
        <w:rPr>
          <w:sz w:val="24"/>
          <w:szCs w:val="24"/>
        </w:rPr>
        <w:t>Stowasser and Landes also associated the term with cosmic-level disasters and catastrophes</w:t>
      </w:r>
      <w:r w:rsidRPr="00280A7B">
        <w:rPr>
          <w:rFonts w:cs="Arial"/>
          <w:color w:val="000000"/>
          <w:sz w:val="24"/>
          <w:szCs w:val="24"/>
        </w:rPr>
        <w:t>.</w:t>
      </w:r>
      <w:r w:rsidRPr="00280A7B">
        <w:rPr>
          <w:rStyle w:val="FootnoteReference"/>
          <w:sz w:val="24"/>
          <w:szCs w:val="24"/>
        </w:rPr>
        <w:footnoteReference w:id="24"/>
      </w:r>
      <w:r w:rsidRPr="00280A7B">
        <w:rPr>
          <w:rFonts w:cs="Arial"/>
          <w:color w:val="000000"/>
          <w:sz w:val="24"/>
          <w:szCs w:val="24"/>
        </w:rPr>
        <w:t xml:space="preserve"> </w:t>
      </w:r>
      <w:r w:rsidRPr="00280A7B">
        <w:rPr>
          <w:rFonts w:cs="Arial"/>
          <w:color w:val="000000"/>
          <w:sz w:val="24"/>
          <w:szCs w:val="24"/>
        </w:rPr>
        <w:lastRenderedPageBreak/>
        <w:t xml:space="preserve">Therefore, the adjective 'apocalyptic' is hereby used to denote the revelatory Islamic </w:t>
      </w:r>
      <w:r w:rsidR="00056A21" w:rsidRPr="00280A7B">
        <w:rPr>
          <w:rFonts w:cs="Arial"/>
          <w:color w:val="000000"/>
          <w:sz w:val="24"/>
          <w:szCs w:val="24"/>
        </w:rPr>
        <w:t>scriptures that describe an immi</w:t>
      </w:r>
      <w:r w:rsidRPr="00280A7B">
        <w:rPr>
          <w:rFonts w:cs="Arial"/>
          <w:color w:val="000000"/>
          <w:sz w:val="24"/>
          <w:szCs w:val="24"/>
        </w:rPr>
        <w:t xml:space="preserve">nent cataclysmic cosmic annihilation of the physical world. </w:t>
      </w:r>
    </w:p>
    <w:p w:rsidR="00A4616D" w:rsidRPr="00280A7B" w:rsidRDefault="00A4616D" w:rsidP="00A4616D">
      <w:pPr>
        <w:jc w:val="lowKashida"/>
        <w:rPr>
          <w:sz w:val="24"/>
          <w:szCs w:val="24"/>
        </w:rPr>
      </w:pPr>
    </w:p>
    <w:p w:rsidR="00A4616D" w:rsidRPr="00280A7B" w:rsidRDefault="00A4616D" w:rsidP="00553AF5">
      <w:pPr>
        <w:jc w:val="lowKashida"/>
        <w:rPr>
          <w:sz w:val="24"/>
          <w:szCs w:val="24"/>
        </w:rPr>
      </w:pPr>
      <w:r w:rsidRPr="00280A7B">
        <w:rPr>
          <w:sz w:val="24"/>
          <w:szCs w:val="24"/>
        </w:rPr>
        <w:t xml:space="preserve">The concept of the Last Day signifies what is referred to in numerous verses of the Qur'ān by </w:t>
      </w:r>
      <w:r w:rsidRPr="00280A7B">
        <w:rPr>
          <w:i/>
          <w:iCs/>
          <w:sz w:val="24"/>
          <w:szCs w:val="24"/>
        </w:rPr>
        <w:t>al-Sā'ah</w:t>
      </w:r>
      <w:r w:rsidRPr="00280A7B">
        <w:rPr>
          <w:sz w:val="24"/>
          <w:szCs w:val="24"/>
        </w:rPr>
        <w:t>.</w:t>
      </w:r>
      <w:r w:rsidRPr="00280A7B">
        <w:rPr>
          <w:rStyle w:val="FootnoteReference"/>
          <w:sz w:val="24"/>
          <w:szCs w:val="24"/>
        </w:rPr>
        <w:footnoteReference w:id="25"/>
      </w:r>
      <w:r w:rsidRPr="00280A7B">
        <w:rPr>
          <w:sz w:val="24"/>
          <w:szCs w:val="24"/>
        </w:rPr>
        <w:t xml:space="preserve"> </w:t>
      </w:r>
      <w:r w:rsidR="00912B5A" w:rsidRPr="00280A7B">
        <w:rPr>
          <w:sz w:val="24"/>
          <w:szCs w:val="24"/>
        </w:rPr>
        <w:t>The m</w:t>
      </w:r>
      <w:r w:rsidRPr="00280A7B">
        <w:rPr>
          <w:sz w:val="24"/>
          <w:szCs w:val="24"/>
        </w:rPr>
        <w:t xml:space="preserve">edieval lexicographer ibn Manẓūr (1233-1311 </w:t>
      </w:r>
      <w:r w:rsidRPr="00F14447">
        <w:t>CE</w:t>
      </w:r>
      <w:r w:rsidRPr="00280A7B">
        <w:rPr>
          <w:sz w:val="24"/>
          <w:szCs w:val="24"/>
        </w:rPr>
        <w:t xml:space="preserve">) wrote that although the word </w:t>
      </w:r>
      <w:r w:rsidRPr="00280A7B">
        <w:rPr>
          <w:i/>
          <w:iCs/>
          <w:sz w:val="24"/>
          <w:szCs w:val="24"/>
        </w:rPr>
        <w:t>al-Sā'ah</w:t>
      </w:r>
      <w:r w:rsidR="00817015" w:rsidRPr="00280A7B">
        <w:rPr>
          <w:sz w:val="24"/>
          <w:szCs w:val="24"/>
        </w:rPr>
        <w:t xml:space="preserve"> indicates</w:t>
      </w:r>
      <w:r w:rsidRPr="00280A7B">
        <w:rPr>
          <w:sz w:val="24"/>
          <w:szCs w:val="24"/>
        </w:rPr>
        <w:t xml:space="preserve"> the temporal mundane 'hour' of the day, it is used metaphorically in the Qur'ān to denote </w:t>
      </w:r>
      <w:r w:rsidRPr="00280A7B">
        <w:rPr>
          <w:i/>
          <w:iCs/>
          <w:sz w:val="24"/>
          <w:szCs w:val="24"/>
        </w:rPr>
        <w:t>Yawm al-Qiyāma</w:t>
      </w:r>
      <w:r w:rsidR="002C3114" w:rsidRPr="00280A7B">
        <w:rPr>
          <w:sz w:val="24"/>
          <w:szCs w:val="24"/>
        </w:rPr>
        <w:t xml:space="preserve"> or Doomsday, since</w:t>
      </w:r>
      <w:r w:rsidRPr="00280A7B">
        <w:rPr>
          <w:sz w:val="24"/>
          <w:szCs w:val="24"/>
        </w:rPr>
        <w:t xml:space="preserve"> </w:t>
      </w:r>
      <w:r w:rsidRPr="00280A7B">
        <w:rPr>
          <w:i/>
          <w:iCs/>
          <w:sz w:val="24"/>
          <w:szCs w:val="24"/>
        </w:rPr>
        <w:t>al-Sā'ah</w:t>
      </w:r>
      <w:r w:rsidRPr="00280A7B">
        <w:rPr>
          <w:sz w:val="24"/>
          <w:szCs w:val="24"/>
        </w:rPr>
        <w:t xml:space="preserve"> also symbolises </w:t>
      </w:r>
      <w:r w:rsidR="00553AF5" w:rsidRPr="00280A7B">
        <w:rPr>
          <w:sz w:val="24"/>
          <w:szCs w:val="24"/>
        </w:rPr>
        <w:t>imminence</w:t>
      </w:r>
      <w:r w:rsidRPr="00280A7B">
        <w:rPr>
          <w:sz w:val="24"/>
          <w:szCs w:val="24"/>
        </w:rPr>
        <w:t xml:space="preserve"> and immediacy, he further clarified.</w:t>
      </w:r>
      <w:r w:rsidRPr="00280A7B">
        <w:rPr>
          <w:rStyle w:val="FootnoteReference"/>
          <w:sz w:val="24"/>
          <w:szCs w:val="24"/>
        </w:rPr>
        <w:footnoteReference w:id="26"/>
      </w:r>
      <w:r w:rsidRPr="00280A7B">
        <w:rPr>
          <w:sz w:val="24"/>
          <w:szCs w:val="24"/>
        </w:rPr>
        <w:t xml:space="preserve"> Truly, one reads in the Qur'ān, '</w:t>
      </w:r>
      <w:proofErr w:type="gramStart"/>
      <w:r w:rsidRPr="00280A7B">
        <w:rPr>
          <w:sz w:val="24"/>
          <w:szCs w:val="24"/>
        </w:rPr>
        <w:t>And</w:t>
      </w:r>
      <w:proofErr w:type="gramEnd"/>
      <w:r w:rsidRPr="00280A7B">
        <w:rPr>
          <w:sz w:val="24"/>
          <w:szCs w:val="24"/>
        </w:rPr>
        <w:t xml:space="preserve"> the matter of the Hour is [as imminent] as the twinkling of an eye or even quicker.'</w:t>
      </w:r>
      <w:r w:rsidRPr="00280A7B">
        <w:rPr>
          <w:rStyle w:val="FootnoteReference"/>
          <w:sz w:val="24"/>
          <w:szCs w:val="24"/>
        </w:rPr>
        <w:footnoteReference w:id="27"/>
      </w:r>
      <w:r w:rsidR="002B1C59" w:rsidRPr="00280A7B">
        <w:rPr>
          <w:sz w:val="24"/>
          <w:szCs w:val="24"/>
          <w:lang w:bidi="ar-AE"/>
        </w:rPr>
        <w:t xml:space="preserve"> In this dissertation</w:t>
      </w:r>
      <w:r w:rsidRPr="00280A7B">
        <w:rPr>
          <w:sz w:val="24"/>
          <w:szCs w:val="24"/>
          <w:lang w:bidi="ar-AE"/>
        </w:rPr>
        <w:t>, the terms 'Last Day' and 'the Hour' will be used interchangeably to refer to</w:t>
      </w:r>
      <w:r w:rsidRPr="00280A7B">
        <w:rPr>
          <w:sz w:val="24"/>
          <w:szCs w:val="24"/>
        </w:rPr>
        <w:t xml:space="preserve"> the imminent apocalyptic instance that triggers the violent cataclysmic annihilation of the cosmos and marks the return to chaos. It is not to be confused with the eschatological concepts of</w:t>
      </w:r>
      <w:r w:rsidR="005549A1" w:rsidRPr="00280A7B">
        <w:rPr>
          <w:sz w:val="24"/>
          <w:szCs w:val="24"/>
        </w:rPr>
        <w:t xml:space="preserve"> </w:t>
      </w:r>
      <w:r w:rsidR="005549A1" w:rsidRPr="00280A7B">
        <w:rPr>
          <w:i/>
          <w:iCs/>
          <w:sz w:val="24"/>
          <w:szCs w:val="24"/>
        </w:rPr>
        <w:t>Yawm</w:t>
      </w:r>
      <w:r w:rsidR="00817015" w:rsidRPr="00280A7B">
        <w:rPr>
          <w:i/>
          <w:iCs/>
          <w:sz w:val="24"/>
          <w:szCs w:val="24"/>
        </w:rPr>
        <w:t xml:space="preserve"> </w:t>
      </w:r>
      <w:r w:rsidR="00817015" w:rsidRPr="00280A7B">
        <w:rPr>
          <w:sz w:val="24"/>
          <w:szCs w:val="24"/>
        </w:rPr>
        <w:t xml:space="preserve">(Day of) </w:t>
      </w:r>
      <w:r w:rsidR="00817015" w:rsidRPr="00280A7B">
        <w:rPr>
          <w:i/>
          <w:iCs/>
          <w:sz w:val="24"/>
          <w:szCs w:val="24"/>
        </w:rPr>
        <w:t>al-Ba'th</w:t>
      </w:r>
      <w:r w:rsidR="00817015" w:rsidRPr="00280A7B">
        <w:rPr>
          <w:sz w:val="24"/>
          <w:szCs w:val="24"/>
        </w:rPr>
        <w:t xml:space="preserve"> (Resurrection) or</w:t>
      </w:r>
      <w:r w:rsidR="00817015" w:rsidRPr="00280A7B">
        <w:rPr>
          <w:i/>
          <w:iCs/>
          <w:sz w:val="24"/>
          <w:szCs w:val="24"/>
        </w:rPr>
        <w:t xml:space="preserve"> al-Ḥisāb</w:t>
      </w:r>
      <w:r w:rsidR="00817015" w:rsidRPr="00280A7B">
        <w:rPr>
          <w:sz w:val="24"/>
          <w:szCs w:val="24"/>
        </w:rPr>
        <w:t xml:space="preserve"> (Judgment). </w:t>
      </w:r>
      <w:r w:rsidRPr="00280A7B">
        <w:rPr>
          <w:sz w:val="24"/>
          <w:szCs w:val="24"/>
        </w:rPr>
        <w:t xml:space="preserve">Rather, </w:t>
      </w:r>
      <w:r w:rsidR="00817015" w:rsidRPr="00280A7B">
        <w:rPr>
          <w:sz w:val="24"/>
          <w:szCs w:val="24"/>
        </w:rPr>
        <w:t xml:space="preserve">the terms 'Last Day' and 'Hour' are used here to denote </w:t>
      </w:r>
      <w:r w:rsidRPr="00280A7B">
        <w:rPr>
          <w:sz w:val="24"/>
          <w:szCs w:val="24"/>
        </w:rPr>
        <w:t xml:space="preserve">the liminal moment that precedes the two and differentiates between </w:t>
      </w:r>
      <w:r w:rsidRPr="00280A7B">
        <w:rPr>
          <w:i/>
          <w:iCs/>
          <w:sz w:val="24"/>
          <w:szCs w:val="24"/>
        </w:rPr>
        <w:t>dunyā</w:t>
      </w:r>
      <w:r w:rsidRPr="00280A7B">
        <w:rPr>
          <w:sz w:val="24"/>
          <w:szCs w:val="24"/>
        </w:rPr>
        <w:t xml:space="preserve"> (this world) and </w:t>
      </w:r>
      <w:r w:rsidRPr="00280A7B">
        <w:rPr>
          <w:i/>
          <w:iCs/>
          <w:sz w:val="24"/>
          <w:szCs w:val="24"/>
        </w:rPr>
        <w:t xml:space="preserve">ākhira </w:t>
      </w:r>
      <w:r w:rsidRPr="00280A7B">
        <w:rPr>
          <w:sz w:val="24"/>
          <w:szCs w:val="24"/>
        </w:rPr>
        <w:t xml:space="preserve">(the last eternal world).  </w:t>
      </w:r>
    </w:p>
    <w:p w:rsidR="00A4616D" w:rsidRPr="00280A7B" w:rsidRDefault="00A4616D" w:rsidP="00A4616D">
      <w:pPr>
        <w:jc w:val="lowKashida"/>
        <w:rPr>
          <w:sz w:val="24"/>
          <w:szCs w:val="24"/>
        </w:rPr>
      </w:pPr>
    </w:p>
    <w:p w:rsidR="00A4616D" w:rsidRPr="00280A7B" w:rsidRDefault="00AB5452" w:rsidP="00AB5452">
      <w:pPr>
        <w:jc w:val="lowKashida"/>
        <w:rPr>
          <w:sz w:val="24"/>
          <w:szCs w:val="24"/>
        </w:rPr>
      </w:pPr>
      <w:r w:rsidRPr="00280A7B">
        <w:rPr>
          <w:sz w:val="24"/>
          <w:szCs w:val="24"/>
        </w:rPr>
        <w:t>U</w:t>
      </w:r>
      <w:r w:rsidR="00A4616D" w:rsidRPr="00280A7B">
        <w:rPr>
          <w:sz w:val="24"/>
          <w:szCs w:val="24"/>
        </w:rPr>
        <w:t>sually associated with the terms 'eschatology' and 'apocalypse,' and indirectly</w:t>
      </w:r>
      <w:r w:rsidRPr="00280A7B">
        <w:rPr>
          <w:sz w:val="24"/>
          <w:szCs w:val="24"/>
        </w:rPr>
        <w:t xml:space="preserve">, yet unavoidably, </w:t>
      </w:r>
      <w:r w:rsidR="00A4616D" w:rsidRPr="00280A7B">
        <w:rPr>
          <w:sz w:val="24"/>
          <w:szCs w:val="24"/>
        </w:rPr>
        <w:t xml:space="preserve">related to the phenomenon researched, </w:t>
      </w:r>
      <w:r w:rsidRPr="00280A7B">
        <w:rPr>
          <w:sz w:val="24"/>
          <w:szCs w:val="24"/>
        </w:rPr>
        <w:t xml:space="preserve">is </w:t>
      </w:r>
      <w:r w:rsidR="00A4616D" w:rsidRPr="00280A7B">
        <w:rPr>
          <w:sz w:val="24"/>
          <w:szCs w:val="24"/>
        </w:rPr>
        <w:t>the term 'mil</w:t>
      </w:r>
      <w:r w:rsidR="003F37D2" w:rsidRPr="00280A7B">
        <w:rPr>
          <w:sz w:val="24"/>
          <w:szCs w:val="24"/>
        </w:rPr>
        <w:t>lennialism' or 'millenarianism'</w:t>
      </w:r>
      <w:r w:rsidR="00A4616D" w:rsidRPr="00280A7B">
        <w:rPr>
          <w:sz w:val="24"/>
          <w:szCs w:val="24"/>
        </w:rPr>
        <w:t xml:space="preserve"> </w:t>
      </w:r>
      <w:r w:rsidR="00DA27DA" w:rsidRPr="00280A7B">
        <w:rPr>
          <w:sz w:val="24"/>
          <w:szCs w:val="24"/>
        </w:rPr>
        <w:t xml:space="preserve">which is </w:t>
      </w:r>
      <w:r w:rsidR="00A4616D" w:rsidRPr="00280A7B">
        <w:rPr>
          <w:sz w:val="24"/>
          <w:szCs w:val="24"/>
        </w:rPr>
        <w:t>defined by scholars as an ideological and revolutionary belief in the upcoming kingdom of peace and justice that will be established on earth by the awaited Messiah before the cataclysmic apocalypse that precedes the Last Judgment.</w:t>
      </w:r>
      <w:r w:rsidR="00A4616D" w:rsidRPr="00280A7B">
        <w:rPr>
          <w:rStyle w:val="FootnoteReference"/>
          <w:sz w:val="24"/>
          <w:szCs w:val="24"/>
        </w:rPr>
        <w:footnoteReference w:id="28"/>
      </w:r>
      <w:r w:rsidR="00A4616D" w:rsidRPr="00280A7B">
        <w:rPr>
          <w:sz w:val="24"/>
          <w:szCs w:val="24"/>
        </w:rPr>
        <w:t xml:space="preserve"> It i</w:t>
      </w:r>
      <w:r w:rsidRPr="00280A7B">
        <w:rPr>
          <w:sz w:val="24"/>
          <w:szCs w:val="24"/>
        </w:rPr>
        <w:t>s important to point out</w:t>
      </w:r>
      <w:r w:rsidR="00A4616D" w:rsidRPr="00280A7B">
        <w:rPr>
          <w:sz w:val="24"/>
          <w:szCs w:val="24"/>
        </w:rPr>
        <w:t xml:space="preserve"> that a belief in the apocalypse can activate millennialism and trigger political mobilization, as Landes noticed.</w:t>
      </w:r>
      <w:r w:rsidR="00A4616D" w:rsidRPr="00280A7B">
        <w:rPr>
          <w:rStyle w:val="FootnoteReference"/>
          <w:sz w:val="24"/>
          <w:szCs w:val="24"/>
        </w:rPr>
        <w:footnoteReference w:id="29"/>
      </w:r>
    </w:p>
    <w:p w:rsidR="00A4616D" w:rsidRDefault="00A4616D" w:rsidP="00D770CC">
      <w:pPr>
        <w:jc w:val="lowKashida"/>
        <w:rPr>
          <w:rFonts w:cs="TimesNewRomanPS-BoldMT"/>
        </w:rPr>
      </w:pPr>
    </w:p>
    <w:p w:rsidR="00073E36" w:rsidRPr="00073E36" w:rsidRDefault="00A5299F" w:rsidP="007763A6">
      <w:pPr>
        <w:pStyle w:val="Heading2"/>
      </w:pPr>
      <w:bookmarkStart w:id="16" w:name="_Toc477317378"/>
      <w:r>
        <w:t>1.3</w:t>
      </w:r>
      <w:r w:rsidR="000E6C50">
        <w:t xml:space="preserve"> Literature Review</w:t>
      </w:r>
      <w:bookmarkEnd w:id="16"/>
      <w:r w:rsidR="000E6C50">
        <w:t xml:space="preserve"> </w:t>
      </w:r>
    </w:p>
    <w:p w:rsidR="00B37D79" w:rsidRPr="00280A7B" w:rsidRDefault="00B37D79" w:rsidP="005B1CD2">
      <w:pPr>
        <w:jc w:val="lowKashida"/>
        <w:rPr>
          <w:sz w:val="24"/>
          <w:szCs w:val="24"/>
        </w:rPr>
      </w:pPr>
      <w:r w:rsidRPr="00280A7B">
        <w:rPr>
          <w:sz w:val="24"/>
          <w:szCs w:val="24"/>
        </w:rPr>
        <w:t xml:space="preserve">This literature review will examine the </w:t>
      </w:r>
      <w:r w:rsidR="00513156" w:rsidRPr="00280A7B">
        <w:rPr>
          <w:sz w:val="24"/>
          <w:szCs w:val="24"/>
        </w:rPr>
        <w:t>relevant</w:t>
      </w:r>
      <w:r w:rsidRPr="00280A7B">
        <w:rPr>
          <w:sz w:val="24"/>
          <w:szCs w:val="24"/>
        </w:rPr>
        <w:t xml:space="preserve"> academic literature on apocalypticism, millennialism and eschatology in order to present an overview of the theories and academic paradigms </w:t>
      </w:r>
      <w:r w:rsidR="00513156" w:rsidRPr="00280A7B">
        <w:rPr>
          <w:sz w:val="24"/>
          <w:szCs w:val="24"/>
        </w:rPr>
        <w:t>pertaining</w:t>
      </w:r>
      <w:r w:rsidRPr="00280A7B">
        <w:rPr>
          <w:sz w:val="24"/>
          <w:szCs w:val="24"/>
        </w:rPr>
        <w:t xml:space="preserve"> to the studied topic. The review first addresses the main theories that attempt to explain historical millenarian movements </w:t>
      </w:r>
      <w:r w:rsidRPr="00280A7B">
        <w:rPr>
          <w:sz w:val="24"/>
          <w:szCs w:val="24"/>
        </w:rPr>
        <w:lastRenderedPageBreak/>
        <w:t xml:space="preserve">from a sociopolitical perspective, and then studies </w:t>
      </w:r>
      <w:r w:rsidR="00513156" w:rsidRPr="00280A7B">
        <w:rPr>
          <w:sz w:val="24"/>
          <w:szCs w:val="24"/>
        </w:rPr>
        <w:t>the anthropology of apocalyptic eschatology as a co</w:t>
      </w:r>
      <w:r w:rsidR="00AB0DBB" w:rsidRPr="00280A7B">
        <w:rPr>
          <w:sz w:val="24"/>
          <w:szCs w:val="24"/>
        </w:rPr>
        <w:t>smology and a</w:t>
      </w:r>
      <w:r w:rsidR="006B0009" w:rsidRPr="00280A7B">
        <w:rPr>
          <w:sz w:val="24"/>
          <w:szCs w:val="24"/>
        </w:rPr>
        <w:t>n</w:t>
      </w:r>
      <w:r w:rsidR="00AB0DBB" w:rsidRPr="00280A7B">
        <w:rPr>
          <w:sz w:val="24"/>
          <w:szCs w:val="24"/>
        </w:rPr>
        <w:t xml:space="preserve"> </w:t>
      </w:r>
      <w:r w:rsidR="006B0009" w:rsidRPr="00280A7B">
        <w:rPr>
          <w:sz w:val="24"/>
          <w:szCs w:val="24"/>
        </w:rPr>
        <w:t xml:space="preserve">archaic </w:t>
      </w:r>
      <w:r w:rsidR="00AB0DBB" w:rsidRPr="00280A7B">
        <w:rPr>
          <w:sz w:val="24"/>
          <w:szCs w:val="24"/>
        </w:rPr>
        <w:t xml:space="preserve">mythical ontology. This review also considers </w:t>
      </w:r>
      <w:r w:rsidR="00513156" w:rsidRPr="00280A7B">
        <w:rPr>
          <w:sz w:val="24"/>
          <w:szCs w:val="24"/>
        </w:rPr>
        <w:t>the psychological therapeutic si</w:t>
      </w:r>
      <w:r w:rsidR="00827700" w:rsidRPr="00280A7B">
        <w:rPr>
          <w:sz w:val="24"/>
          <w:szCs w:val="24"/>
        </w:rPr>
        <w:t>gnificance of apocalyptic faith as a mechanism that aids in tolerating the limitations of history, and more frequently in actively triggering movements that strive to abo</w:t>
      </w:r>
      <w:r w:rsidR="00343329" w:rsidRPr="00280A7B">
        <w:rPr>
          <w:sz w:val="24"/>
          <w:szCs w:val="24"/>
        </w:rPr>
        <w:t xml:space="preserve">lish history and its injustices via </w:t>
      </w:r>
      <w:r w:rsidR="00DE479F" w:rsidRPr="00280A7B">
        <w:rPr>
          <w:sz w:val="24"/>
          <w:szCs w:val="24"/>
        </w:rPr>
        <w:t xml:space="preserve">a </w:t>
      </w:r>
      <w:r w:rsidR="00285739" w:rsidRPr="00280A7B">
        <w:rPr>
          <w:sz w:val="24"/>
          <w:szCs w:val="24"/>
        </w:rPr>
        <w:t>subversive</w:t>
      </w:r>
      <w:r w:rsidR="00343329" w:rsidRPr="00280A7B">
        <w:rPr>
          <w:sz w:val="24"/>
          <w:szCs w:val="24"/>
        </w:rPr>
        <w:t xml:space="preserve"> 'infrapolitical'</w:t>
      </w:r>
      <w:r w:rsidR="00513156" w:rsidRPr="00280A7B">
        <w:rPr>
          <w:sz w:val="24"/>
          <w:szCs w:val="24"/>
        </w:rPr>
        <w:t xml:space="preserve"> discours</w:t>
      </w:r>
      <w:r w:rsidR="00343329" w:rsidRPr="00280A7B">
        <w:rPr>
          <w:sz w:val="24"/>
          <w:szCs w:val="24"/>
        </w:rPr>
        <w:t>e</w:t>
      </w:r>
      <w:r w:rsidR="00DE479F" w:rsidRPr="00280A7B">
        <w:rPr>
          <w:sz w:val="24"/>
          <w:szCs w:val="24"/>
        </w:rPr>
        <w:t>, before finally looking at Landes'</w:t>
      </w:r>
      <w:r w:rsidR="001D4325" w:rsidRPr="00280A7B">
        <w:rPr>
          <w:sz w:val="24"/>
          <w:szCs w:val="24"/>
        </w:rPr>
        <w:t xml:space="preserve"> </w:t>
      </w:r>
      <w:r w:rsidR="00DE479F" w:rsidRPr="00280A7B">
        <w:rPr>
          <w:sz w:val="24"/>
          <w:szCs w:val="24"/>
        </w:rPr>
        <w:t xml:space="preserve">categories of apocalyptic and millennial behavior. </w:t>
      </w:r>
      <w:r w:rsidRPr="00280A7B">
        <w:rPr>
          <w:sz w:val="24"/>
          <w:szCs w:val="24"/>
        </w:rPr>
        <w:t xml:space="preserve">The intention here is to exhibit a critical understanding of key issues and to clarify the position of this </w:t>
      </w:r>
      <w:r w:rsidR="005B1CD2" w:rsidRPr="00280A7B">
        <w:rPr>
          <w:sz w:val="24"/>
          <w:szCs w:val="24"/>
        </w:rPr>
        <w:t>dissertation</w:t>
      </w:r>
      <w:r w:rsidRPr="00280A7B">
        <w:rPr>
          <w:sz w:val="24"/>
          <w:szCs w:val="24"/>
        </w:rPr>
        <w:t xml:space="preserve"> with regards to previous studies.  </w:t>
      </w:r>
    </w:p>
    <w:p w:rsidR="00D4079C" w:rsidRPr="00280A7B" w:rsidRDefault="00D4079C" w:rsidP="00265428">
      <w:pPr>
        <w:jc w:val="lowKashida"/>
        <w:rPr>
          <w:sz w:val="24"/>
          <w:szCs w:val="24"/>
        </w:rPr>
      </w:pPr>
    </w:p>
    <w:p w:rsidR="00421B8D" w:rsidRPr="00280A7B" w:rsidRDefault="00F77417" w:rsidP="00F965F9">
      <w:pPr>
        <w:jc w:val="lowKashida"/>
        <w:rPr>
          <w:sz w:val="24"/>
          <w:szCs w:val="24"/>
        </w:rPr>
      </w:pPr>
      <w:r w:rsidRPr="00280A7B">
        <w:rPr>
          <w:sz w:val="24"/>
          <w:szCs w:val="24"/>
        </w:rPr>
        <w:t xml:space="preserve">Cohn's </w:t>
      </w:r>
      <w:r w:rsidR="000A1655" w:rsidRPr="00280A7B">
        <w:rPr>
          <w:sz w:val="24"/>
          <w:szCs w:val="24"/>
        </w:rPr>
        <w:t xml:space="preserve">seminal work, </w:t>
      </w:r>
      <w:r w:rsidRPr="00280A7B">
        <w:rPr>
          <w:i/>
          <w:iCs/>
          <w:sz w:val="24"/>
          <w:szCs w:val="24"/>
        </w:rPr>
        <w:t>The Pursuit of the Millennium</w:t>
      </w:r>
      <w:r w:rsidR="001C311E" w:rsidRPr="00280A7B">
        <w:rPr>
          <w:i/>
          <w:iCs/>
          <w:sz w:val="24"/>
          <w:szCs w:val="24"/>
        </w:rPr>
        <w:t>,</w:t>
      </w:r>
      <w:r w:rsidR="000A1655" w:rsidRPr="00280A7B">
        <w:rPr>
          <w:sz w:val="24"/>
          <w:szCs w:val="24"/>
        </w:rPr>
        <w:t xml:space="preserve"> </w:t>
      </w:r>
      <w:r w:rsidRPr="00280A7B">
        <w:rPr>
          <w:sz w:val="24"/>
          <w:szCs w:val="24"/>
        </w:rPr>
        <w:t>first published in 1957</w:t>
      </w:r>
      <w:r w:rsidR="00C24D4D" w:rsidRPr="00280A7B">
        <w:rPr>
          <w:sz w:val="24"/>
          <w:szCs w:val="24"/>
        </w:rPr>
        <w:t xml:space="preserve">, is </w:t>
      </w:r>
      <w:r w:rsidR="00825C8C" w:rsidRPr="00280A7B">
        <w:rPr>
          <w:sz w:val="24"/>
          <w:szCs w:val="24"/>
        </w:rPr>
        <w:t>regarded as</w:t>
      </w:r>
      <w:r w:rsidR="000A1655" w:rsidRPr="00280A7B">
        <w:rPr>
          <w:sz w:val="24"/>
          <w:szCs w:val="24"/>
        </w:rPr>
        <w:t xml:space="preserve"> </w:t>
      </w:r>
      <w:r w:rsidR="00C24D4D" w:rsidRPr="00280A7B">
        <w:rPr>
          <w:sz w:val="24"/>
          <w:szCs w:val="24"/>
        </w:rPr>
        <w:t xml:space="preserve">the first </w:t>
      </w:r>
      <w:r w:rsidR="00980F16" w:rsidRPr="00280A7B">
        <w:rPr>
          <w:sz w:val="24"/>
          <w:szCs w:val="24"/>
        </w:rPr>
        <w:t>extensive</w:t>
      </w:r>
      <w:r w:rsidR="00C24D4D" w:rsidRPr="00280A7B">
        <w:rPr>
          <w:sz w:val="24"/>
          <w:szCs w:val="24"/>
        </w:rPr>
        <w:t xml:space="preserve"> historical analysis of apocalyptic millennialism</w:t>
      </w:r>
      <w:r w:rsidR="004A5380" w:rsidRPr="00280A7B">
        <w:rPr>
          <w:sz w:val="24"/>
          <w:szCs w:val="24"/>
        </w:rPr>
        <w:t xml:space="preserve"> in the </w:t>
      </w:r>
      <w:r w:rsidR="00825C8C" w:rsidRPr="00280A7B">
        <w:rPr>
          <w:sz w:val="24"/>
          <w:szCs w:val="24"/>
        </w:rPr>
        <w:t xml:space="preserve">Christian </w:t>
      </w:r>
      <w:r w:rsidR="004A5380" w:rsidRPr="00280A7B">
        <w:rPr>
          <w:sz w:val="24"/>
          <w:szCs w:val="24"/>
        </w:rPr>
        <w:t>West</w:t>
      </w:r>
      <w:r w:rsidR="00C24D4D" w:rsidRPr="00280A7B">
        <w:rPr>
          <w:sz w:val="24"/>
          <w:szCs w:val="24"/>
        </w:rPr>
        <w:t>.</w:t>
      </w:r>
      <w:r w:rsidR="00C24D4D" w:rsidRPr="00280A7B">
        <w:rPr>
          <w:rStyle w:val="FootnoteReference"/>
          <w:sz w:val="24"/>
          <w:szCs w:val="24"/>
        </w:rPr>
        <w:footnoteReference w:id="30"/>
      </w:r>
      <w:r w:rsidR="00C24D4D" w:rsidRPr="00280A7B">
        <w:rPr>
          <w:sz w:val="24"/>
          <w:szCs w:val="24"/>
        </w:rPr>
        <w:t xml:space="preserve"> Focusing on millen</w:t>
      </w:r>
      <w:r w:rsidR="004A5380" w:rsidRPr="00280A7B">
        <w:rPr>
          <w:sz w:val="24"/>
          <w:szCs w:val="24"/>
        </w:rPr>
        <w:t>arian</w:t>
      </w:r>
      <w:r w:rsidR="00C24D4D" w:rsidRPr="00280A7B">
        <w:rPr>
          <w:sz w:val="24"/>
          <w:szCs w:val="24"/>
        </w:rPr>
        <w:t xml:space="preserve"> movements and cults of medieval Western </w:t>
      </w:r>
      <w:r w:rsidR="006E0C7E" w:rsidRPr="00280A7B">
        <w:rPr>
          <w:sz w:val="24"/>
          <w:szCs w:val="24"/>
        </w:rPr>
        <w:t xml:space="preserve">and Central </w:t>
      </w:r>
      <w:r w:rsidR="00C24D4D" w:rsidRPr="00280A7B">
        <w:rPr>
          <w:sz w:val="24"/>
          <w:szCs w:val="24"/>
        </w:rPr>
        <w:t xml:space="preserve">Europe, Cohn </w:t>
      </w:r>
      <w:r w:rsidR="004A5380" w:rsidRPr="00280A7B">
        <w:rPr>
          <w:sz w:val="24"/>
          <w:szCs w:val="24"/>
        </w:rPr>
        <w:t>perceived millennialism as</w:t>
      </w:r>
      <w:r w:rsidR="00A30D53" w:rsidRPr="00280A7B">
        <w:rPr>
          <w:sz w:val="24"/>
          <w:szCs w:val="24"/>
        </w:rPr>
        <w:t xml:space="preserve"> a</w:t>
      </w:r>
      <w:r w:rsidR="004A5380" w:rsidRPr="00280A7B">
        <w:rPr>
          <w:sz w:val="24"/>
          <w:szCs w:val="24"/>
        </w:rPr>
        <w:t xml:space="preserve"> </w:t>
      </w:r>
      <w:r w:rsidR="00E3057B" w:rsidRPr="00280A7B">
        <w:rPr>
          <w:sz w:val="24"/>
          <w:szCs w:val="24"/>
        </w:rPr>
        <w:t>s</w:t>
      </w:r>
      <w:r w:rsidR="00311E9A" w:rsidRPr="00280A7B">
        <w:rPr>
          <w:sz w:val="24"/>
          <w:szCs w:val="24"/>
        </w:rPr>
        <w:t xml:space="preserve">alvationist, </w:t>
      </w:r>
      <w:r w:rsidR="00F965F9" w:rsidRPr="00280A7B">
        <w:rPr>
          <w:sz w:val="24"/>
          <w:szCs w:val="24"/>
        </w:rPr>
        <w:t>though</w:t>
      </w:r>
      <w:r w:rsidR="00311E9A" w:rsidRPr="00280A7B">
        <w:rPr>
          <w:sz w:val="24"/>
          <w:szCs w:val="24"/>
        </w:rPr>
        <w:t xml:space="preserve"> </w:t>
      </w:r>
      <w:r w:rsidR="0013526E" w:rsidRPr="00280A7B">
        <w:rPr>
          <w:sz w:val="24"/>
          <w:szCs w:val="24"/>
        </w:rPr>
        <w:t xml:space="preserve">greatly </w:t>
      </w:r>
      <w:r w:rsidR="00A30D53" w:rsidRPr="00280A7B">
        <w:rPr>
          <w:sz w:val="24"/>
          <w:szCs w:val="24"/>
        </w:rPr>
        <w:t>subversive</w:t>
      </w:r>
      <w:r w:rsidR="00311E9A" w:rsidRPr="00280A7B">
        <w:rPr>
          <w:sz w:val="24"/>
          <w:szCs w:val="24"/>
        </w:rPr>
        <w:t>,</w:t>
      </w:r>
      <w:r w:rsidR="00A30D53" w:rsidRPr="00280A7B">
        <w:rPr>
          <w:sz w:val="24"/>
          <w:szCs w:val="24"/>
        </w:rPr>
        <w:t xml:space="preserve"> </w:t>
      </w:r>
      <w:r w:rsidR="00311E9A" w:rsidRPr="00280A7B">
        <w:rPr>
          <w:sz w:val="24"/>
          <w:szCs w:val="24"/>
        </w:rPr>
        <w:t>ideology</w:t>
      </w:r>
      <w:r w:rsidR="00E35082" w:rsidRPr="00280A7B">
        <w:rPr>
          <w:sz w:val="24"/>
          <w:szCs w:val="24"/>
        </w:rPr>
        <w:t xml:space="preserve"> </w:t>
      </w:r>
      <w:r w:rsidR="00293666" w:rsidRPr="00280A7B">
        <w:rPr>
          <w:sz w:val="24"/>
          <w:szCs w:val="24"/>
        </w:rPr>
        <w:t xml:space="preserve">shaped by Judeo-Christian apocalyptic </w:t>
      </w:r>
      <w:r w:rsidR="00A30D53" w:rsidRPr="00280A7B">
        <w:rPr>
          <w:sz w:val="24"/>
          <w:szCs w:val="24"/>
        </w:rPr>
        <w:t>scriptures</w:t>
      </w:r>
      <w:r w:rsidR="00293666" w:rsidRPr="00280A7B">
        <w:rPr>
          <w:sz w:val="24"/>
          <w:szCs w:val="24"/>
        </w:rPr>
        <w:t xml:space="preserve"> and driven by social injustices</w:t>
      </w:r>
      <w:r w:rsidR="00C6588A" w:rsidRPr="00280A7B">
        <w:rPr>
          <w:sz w:val="24"/>
          <w:szCs w:val="24"/>
        </w:rPr>
        <w:t>.</w:t>
      </w:r>
      <w:r w:rsidR="00C6588A" w:rsidRPr="00280A7B">
        <w:rPr>
          <w:rStyle w:val="FootnoteReference"/>
          <w:sz w:val="24"/>
          <w:szCs w:val="24"/>
        </w:rPr>
        <w:footnoteReference w:id="31"/>
      </w:r>
      <w:r w:rsidR="00C6588A" w:rsidRPr="00280A7B">
        <w:rPr>
          <w:sz w:val="24"/>
          <w:szCs w:val="24"/>
        </w:rPr>
        <w:t xml:space="preserve"> </w:t>
      </w:r>
      <w:r w:rsidR="002C68A8" w:rsidRPr="00280A7B">
        <w:rPr>
          <w:sz w:val="24"/>
          <w:szCs w:val="24"/>
        </w:rPr>
        <w:t xml:space="preserve">Cohn noted that what differentiates millenarianism from other social struggles is </w:t>
      </w:r>
      <w:r w:rsidR="001C311E" w:rsidRPr="00280A7B">
        <w:rPr>
          <w:sz w:val="24"/>
          <w:szCs w:val="24"/>
        </w:rPr>
        <w:t xml:space="preserve">that it is </w:t>
      </w:r>
      <w:r w:rsidR="008C6959" w:rsidRPr="00280A7B">
        <w:rPr>
          <w:sz w:val="24"/>
          <w:szCs w:val="24"/>
        </w:rPr>
        <w:t>viewed</w:t>
      </w:r>
      <w:r w:rsidR="001C311E" w:rsidRPr="00280A7B">
        <w:rPr>
          <w:sz w:val="24"/>
          <w:szCs w:val="24"/>
        </w:rPr>
        <w:t xml:space="preserve"> by its participants as </w:t>
      </w:r>
      <w:r w:rsidR="008E2D20" w:rsidRPr="00280A7B">
        <w:rPr>
          <w:sz w:val="24"/>
          <w:szCs w:val="24"/>
        </w:rPr>
        <w:t xml:space="preserve">a divinely guided movement, transcendental to mundane history, and </w:t>
      </w:r>
      <w:r w:rsidR="001C311E" w:rsidRPr="00280A7B">
        <w:rPr>
          <w:sz w:val="24"/>
          <w:szCs w:val="24"/>
        </w:rPr>
        <w:t xml:space="preserve">leading to the total transformation and redemption of </w:t>
      </w:r>
      <w:r w:rsidR="009C128B" w:rsidRPr="00280A7B">
        <w:rPr>
          <w:sz w:val="24"/>
          <w:szCs w:val="24"/>
        </w:rPr>
        <w:t>a</w:t>
      </w:r>
      <w:r w:rsidR="001C311E" w:rsidRPr="00280A7B">
        <w:rPr>
          <w:sz w:val="24"/>
          <w:szCs w:val="24"/>
        </w:rPr>
        <w:t xml:space="preserve"> world</w:t>
      </w:r>
      <w:r w:rsidR="009C128B" w:rsidRPr="00280A7B">
        <w:rPr>
          <w:sz w:val="24"/>
          <w:szCs w:val="24"/>
        </w:rPr>
        <w:t xml:space="preserve"> dominated by demonic forces</w:t>
      </w:r>
      <w:r w:rsidR="001C311E" w:rsidRPr="00280A7B">
        <w:rPr>
          <w:sz w:val="24"/>
          <w:szCs w:val="24"/>
        </w:rPr>
        <w:t>.</w:t>
      </w:r>
      <w:r w:rsidR="008E2D20" w:rsidRPr="00280A7B">
        <w:rPr>
          <w:rStyle w:val="FootnoteReference"/>
          <w:sz w:val="24"/>
          <w:szCs w:val="24"/>
        </w:rPr>
        <w:footnoteReference w:id="32"/>
      </w:r>
      <w:r w:rsidR="00166B3D" w:rsidRPr="00280A7B">
        <w:rPr>
          <w:sz w:val="24"/>
          <w:szCs w:val="24"/>
        </w:rPr>
        <w:t xml:space="preserve"> </w:t>
      </w:r>
      <w:r w:rsidR="002B5397" w:rsidRPr="00280A7B">
        <w:rPr>
          <w:sz w:val="24"/>
          <w:szCs w:val="24"/>
        </w:rPr>
        <w:t xml:space="preserve">An eruption of messianic fervor, or what Cohn termed 'revolutionary millenarianism,' is usually preceded by a disastrous disruption of the normal flow of life that aggravates the desperation of an already disoriented </w:t>
      </w:r>
      <w:r w:rsidR="008C6959" w:rsidRPr="00280A7B">
        <w:rPr>
          <w:sz w:val="24"/>
          <w:szCs w:val="24"/>
        </w:rPr>
        <w:t xml:space="preserve">and </w:t>
      </w:r>
      <w:r w:rsidR="002B5397" w:rsidRPr="00280A7B">
        <w:rPr>
          <w:sz w:val="24"/>
          <w:szCs w:val="24"/>
        </w:rPr>
        <w:t>marginalised population.</w:t>
      </w:r>
      <w:r w:rsidR="002B5397" w:rsidRPr="00280A7B">
        <w:rPr>
          <w:rStyle w:val="FootnoteReference"/>
          <w:sz w:val="24"/>
          <w:szCs w:val="24"/>
        </w:rPr>
        <w:footnoteReference w:id="33"/>
      </w:r>
      <w:r w:rsidR="008C6959" w:rsidRPr="00280A7B">
        <w:rPr>
          <w:sz w:val="24"/>
          <w:szCs w:val="24"/>
        </w:rPr>
        <w:t xml:space="preserve"> The radical purification of terrestrial mundane history sought b</w:t>
      </w:r>
      <w:r w:rsidR="00265428" w:rsidRPr="00280A7B">
        <w:rPr>
          <w:sz w:val="24"/>
          <w:szCs w:val="24"/>
        </w:rPr>
        <w:t>y</w:t>
      </w:r>
      <w:r w:rsidR="008C6959" w:rsidRPr="00280A7B">
        <w:rPr>
          <w:sz w:val="24"/>
          <w:szCs w:val="24"/>
        </w:rPr>
        <w:t xml:space="preserve"> </w:t>
      </w:r>
      <w:r w:rsidR="00265428" w:rsidRPr="00280A7B">
        <w:rPr>
          <w:sz w:val="24"/>
          <w:szCs w:val="24"/>
        </w:rPr>
        <w:t xml:space="preserve">these </w:t>
      </w:r>
      <w:r w:rsidR="008C6959" w:rsidRPr="00280A7B">
        <w:rPr>
          <w:sz w:val="24"/>
          <w:szCs w:val="24"/>
        </w:rPr>
        <w:t xml:space="preserve">millenarian revolutionaries, </w:t>
      </w:r>
      <w:r w:rsidR="00265428" w:rsidRPr="00280A7B">
        <w:rPr>
          <w:sz w:val="24"/>
          <w:szCs w:val="24"/>
        </w:rPr>
        <w:t xml:space="preserve">as </w:t>
      </w:r>
      <w:r w:rsidR="008C6959" w:rsidRPr="00280A7B">
        <w:rPr>
          <w:sz w:val="24"/>
          <w:szCs w:val="24"/>
        </w:rPr>
        <w:t>Cohn pointed out, usually involved extreme violence and bloodshed.</w:t>
      </w:r>
      <w:r w:rsidR="008C6959" w:rsidRPr="00280A7B">
        <w:rPr>
          <w:rStyle w:val="FootnoteReference"/>
          <w:sz w:val="24"/>
          <w:szCs w:val="24"/>
        </w:rPr>
        <w:footnoteReference w:id="34"/>
      </w:r>
      <w:r w:rsidR="00DA4739" w:rsidRPr="00280A7B">
        <w:rPr>
          <w:sz w:val="24"/>
          <w:szCs w:val="24"/>
        </w:rPr>
        <w:t xml:space="preserve"> </w:t>
      </w:r>
      <w:r w:rsidR="002E5239" w:rsidRPr="00280A7B">
        <w:rPr>
          <w:sz w:val="24"/>
          <w:szCs w:val="24"/>
        </w:rPr>
        <w:t>Cohn concluded that t</w:t>
      </w:r>
      <w:r w:rsidR="00DA4739" w:rsidRPr="00280A7B">
        <w:rPr>
          <w:sz w:val="24"/>
          <w:szCs w:val="24"/>
        </w:rPr>
        <w:t>he relevance of such convictions is that they continue</w:t>
      </w:r>
      <w:r w:rsidR="002E5239" w:rsidRPr="00280A7B">
        <w:rPr>
          <w:sz w:val="24"/>
          <w:szCs w:val="24"/>
        </w:rPr>
        <w:t>d</w:t>
      </w:r>
      <w:r w:rsidR="00DA4739" w:rsidRPr="00280A7B">
        <w:rPr>
          <w:sz w:val="24"/>
          <w:szCs w:val="24"/>
        </w:rPr>
        <w:t xml:space="preserve"> in a 'dim, subterranean existence down the centuries,' manifesting every now and then in </w:t>
      </w:r>
      <w:r w:rsidR="004E6C2F" w:rsidRPr="00280A7B">
        <w:rPr>
          <w:sz w:val="24"/>
          <w:szCs w:val="24"/>
        </w:rPr>
        <w:t>modern revolutionary movements, such as Nazism and Communism, both of which exhibited strong features of Christian millenarian radicalism</w:t>
      </w:r>
      <w:r w:rsidR="002E5239" w:rsidRPr="00280A7B">
        <w:rPr>
          <w:sz w:val="24"/>
          <w:szCs w:val="24"/>
        </w:rPr>
        <w:t xml:space="preserve"> according to Cohn</w:t>
      </w:r>
      <w:r w:rsidR="004E6C2F" w:rsidRPr="00280A7B">
        <w:rPr>
          <w:sz w:val="24"/>
          <w:szCs w:val="24"/>
        </w:rPr>
        <w:t>.</w:t>
      </w:r>
      <w:r w:rsidR="004E6C2F" w:rsidRPr="00280A7B">
        <w:rPr>
          <w:rStyle w:val="FootnoteReference"/>
          <w:sz w:val="24"/>
          <w:szCs w:val="24"/>
        </w:rPr>
        <w:footnoteReference w:id="35"/>
      </w:r>
      <w:r w:rsidR="004E6C2F" w:rsidRPr="00280A7B">
        <w:rPr>
          <w:sz w:val="24"/>
          <w:szCs w:val="24"/>
        </w:rPr>
        <w:t xml:space="preserve">  </w:t>
      </w:r>
      <w:r w:rsidR="00DA4739" w:rsidRPr="00280A7B">
        <w:rPr>
          <w:sz w:val="24"/>
          <w:szCs w:val="24"/>
        </w:rPr>
        <w:t xml:space="preserve"> </w:t>
      </w:r>
    </w:p>
    <w:p w:rsidR="00B012FB" w:rsidRPr="00280A7B" w:rsidRDefault="00B012FB" w:rsidP="00147AA7">
      <w:pPr>
        <w:jc w:val="lowKashida"/>
        <w:rPr>
          <w:rFonts w:cs="Arial"/>
          <w:color w:val="000000"/>
          <w:sz w:val="24"/>
          <w:szCs w:val="24"/>
        </w:rPr>
      </w:pPr>
    </w:p>
    <w:p w:rsidR="00E0215F" w:rsidRPr="00280A7B" w:rsidRDefault="007D087C" w:rsidP="0052240D">
      <w:pPr>
        <w:jc w:val="lowKashida"/>
        <w:rPr>
          <w:sz w:val="24"/>
          <w:szCs w:val="24"/>
        </w:rPr>
      </w:pPr>
      <w:r w:rsidRPr="00280A7B">
        <w:rPr>
          <w:rFonts w:cs="Arial"/>
          <w:color w:val="000000"/>
          <w:sz w:val="24"/>
          <w:szCs w:val="24"/>
        </w:rPr>
        <w:t xml:space="preserve">The </w:t>
      </w:r>
      <w:r w:rsidR="00E943AF" w:rsidRPr="00280A7B">
        <w:rPr>
          <w:rFonts w:cs="Arial"/>
          <w:color w:val="000000"/>
          <w:sz w:val="24"/>
          <w:szCs w:val="24"/>
        </w:rPr>
        <w:t xml:space="preserve">cosmological </w:t>
      </w:r>
      <w:r w:rsidRPr="00280A7B">
        <w:rPr>
          <w:rFonts w:cs="Arial"/>
          <w:color w:val="000000"/>
          <w:sz w:val="24"/>
          <w:szCs w:val="24"/>
        </w:rPr>
        <w:t xml:space="preserve">significance of eschatological and apocalyptic </w:t>
      </w:r>
      <w:r w:rsidR="00E943AF" w:rsidRPr="00280A7B">
        <w:rPr>
          <w:rFonts w:cs="Arial"/>
          <w:color w:val="000000"/>
          <w:sz w:val="24"/>
          <w:szCs w:val="24"/>
        </w:rPr>
        <w:t xml:space="preserve">narratives, to the primitive and modern human alike, </w:t>
      </w:r>
      <w:r w:rsidRPr="00280A7B">
        <w:rPr>
          <w:rFonts w:cs="Arial"/>
          <w:color w:val="000000"/>
          <w:sz w:val="24"/>
          <w:szCs w:val="24"/>
        </w:rPr>
        <w:t>formed the central focus of a number of</w:t>
      </w:r>
      <w:r w:rsidR="0052240D" w:rsidRPr="00280A7B">
        <w:rPr>
          <w:rFonts w:cs="Arial"/>
          <w:color w:val="000000"/>
          <w:sz w:val="24"/>
          <w:szCs w:val="24"/>
        </w:rPr>
        <w:t xml:space="preserve"> works by </w:t>
      </w:r>
      <w:r w:rsidR="0052240D" w:rsidRPr="00280A7B">
        <w:rPr>
          <w:rFonts w:cs="Arial"/>
          <w:color w:val="000000"/>
          <w:sz w:val="24"/>
          <w:szCs w:val="24"/>
        </w:rPr>
        <w:lastRenderedPageBreak/>
        <w:t>Eliade as mentioned previously.</w:t>
      </w:r>
      <w:r w:rsidR="00A3247D" w:rsidRPr="00280A7B">
        <w:rPr>
          <w:rStyle w:val="FootnoteReference"/>
          <w:rFonts w:cs="Arial"/>
          <w:color w:val="000000"/>
          <w:sz w:val="24"/>
          <w:szCs w:val="24"/>
        </w:rPr>
        <w:footnoteReference w:id="36"/>
      </w:r>
      <w:r w:rsidR="0052240D" w:rsidRPr="00280A7B">
        <w:rPr>
          <w:rFonts w:cs="Arial"/>
          <w:color w:val="000000"/>
          <w:sz w:val="24"/>
          <w:szCs w:val="24"/>
        </w:rPr>
        <w:t xml:space="preserve"> </w:t>
      </w:r>
      <w:r w:rsidR="00E943AF" w:rsidRPr="00280A7B">
        <w:rPr>
          <w:sz w:val="24"/>
          <w:szCs w:val="24"/>
        </w:rPr>
        <w:t xml:space="preserve">To Eliade, eschatological </w:t>
      </w:r>
      <w:r w:rsidR="00BF367A" w:rsidRPr="00280A7B">
        <w:rPr>
          <w:sz w:val="24"/>
          <w:szCs w:val="24"/>
        </w:rPr>
        <w:t xml:space="preserve">and messianic </w:t>
      </w:r>
      <w:r w:rsidR="00E943AF" w:rsidRPr="00280A7B">
        <w:rPr>
          <w:sz w:val="24"/>
          <w:szCs w:val="24"/>
        </w:rPr>
        <w:t xml:space="preserve">beliefs reflect an innate primitive human desire to abolish history, perceived as profane time of the 'fallen' state, </w:t>
      </w:r>
      <w:r w:rsidR="009E701D" w:rsidRPr="00280A7B">
        <w:rPr>
          <w:sz w:val="24"/>
          <w:szCs w:val="24"/>
        </w:rPr>
        <w:t>in order to return to the original purity, integrity and plentitude of the myth</w:t>
      </w:r>
      <w:r w:rsidR="00F965F9" w:rsidRPr="00280A7B">
        <w:rPr>
          <w:sz w:val="24"/>
          <w:szCs w:val="24"/>
        </w:rPr>
        <w:t>ical age of the 'lost Paradise'</w:t>
      </w:r>
      <w:r w:rsidR="009E701D" w:rsidRPr="00280A7B">
        <w:rPr>
          <w:sz w:val="24"/>
          <w:szCs w:val="24"/>
        </w:rPr>
        <w:t xml:space="preserve"> or sacred history.</w:t>
      </w:r>
      <w:r w:rsidR="009E701D" w:rsidRPr="00280A7B">
        <w:rPr>
          <w:rStyle w:val="FootnoteReference"/>
          <w:sz w:val="24"/>
          <w:szCs w:val="24"/>
        </w:rPr>
        <w:footnoteReference w:id="37"/>
      </w:r>
      <w:r w:rsidR="009E701D" w:rsidRPr="00280A7B">
        <w:rPr>
          <w:sz w:val="24"/>
          <w:szCs w:val="24"/>
        </w:rPr>
        <w:t xml:space="preserve"> </w:t>
      </w:r>
      <w:r w:rsidR="00211498" w:rsidRPr="00280A7B">
        <w:rPr>
          <w:sz w:val="24"/>
          <w:szCs w:val="24"/>
        </w:rPr>
        <w:t>Naturally antihist</w:t>
      </w:r>
      <w:r w:rsidR="007F5849" w:rsidRPr="00280A7B">
        <w:rPr>
          <w:sz w:val="24"/>
          <w:szCs w:val="24"/>
        </w:rPr>
        <w:t>orical, this 'archaic ontology'</w:t>
      </w:r>
      <w:r w:rsidR="00641599" w:rsidRPr="00280A7B">
        <w:rPr>
          <w:sz w:val="24"/>
          <w:szCs w:val="24"/>
        </w:rPr>
        <w:t xml:space="preserve"> anticipates a progressive and irreversible deterioration in the quality of profane time, with </w:t>
      </w:r>
      <w:r w:rsidR="00380975" w:rsidRPr="00280A7B">
        <w:rPr>
          <w:sz w:val="24"/>
          <w:szCs w:val="24"/>
        </w:rPr>
        <w:t>the</w:t>
      </w:r>
      <w:r w:rsidR="007F5849" w:rsidRPr="00280A7B">
        <w:rPr>
          <w:sz w:val="24"/>
          <w:szCs w:val="24"/>
        </w:rPr>
        <w:t xml:space="preserve"> ultimate triumph of evil shortly </w:t>
      </w:r>
      <w:r w:rsidR="00380975" w:rsidRPr="00280A7B">
        <w:rPr>
          <w:sz w:val="24"/>
          <w:szCs w:val="24"/>
        </w:rPr>
        <w:t>before the destruction of the profane cosmos, and the restoration, or re-creation, of the original mythical cosmos.</w:t>
      </w:r>
      <w:r w:rsidR="00380975" w:rsidRPr="00280A7B">
        <w:rPr>
          <w:rStyle w:val="FootnoteReference"/>
          <w:sz w:val="24"/>
          <w:szCs w:val="24"/>
        </w:rPr>
        <w:footnoteReference w:id="38"/>
      </w:r>
      <w:r w:rsidR="00EA712D" w:rsidRPr="00280A7B">
        <w:rPr>
          <w:sz w:val="24"/>
          <w:szCs w:val="24"/>
        </w:rPr>
        <w:t xml:space="preserve"> </w:t>
      </w:r>
      <w:r w:rsidR="007F5849" w:rsidRPr="00280A7B">
        <w:rPr>
          <w:sz w:val="24"/>
          <w:szCs w:val="24"/>
        </w:rPr>
        <w:t>As the decaying cosmos approaches its inevitable end, its order starts to disintegrate</w:t>
      </w:r>
      <w:r w:rsidR="00E0215F" w:rsidRPr="00280A7B">
        <w:rPr>
          <w:sz w:val="24"/>
          <w:szCs w:val="24"/>
        </w:rPr>
        <w:t xml:space="preserve"> resulting in unusual celestial phenomena, coupled with cataclysmic natural catastrophes.</w:t>
      </w:r>
      <w:r w:rsidR="00E0215F" w:rsidRPr="00280A7B">
        <w:rPr>
          <w:rStyle w:val="FootnoteReference"/>
          <w:sz w:val="24"/>
          <w:szCs w:val="24"/>
        </w:rPr>
        <w:footnoteReference w:id="39"/>
      </w:r>
      <w:r w:rsidR="00E0215F" w:rsidRPr="00280A7B">
        <w:rPr>
          <w:sz w:val="24"/>
          <w:szCs w:val="24"/>
        </w:rPr>
        <w:t xml:space="preserve"> </w:t>
      </w:r>
      <w:r w:rsidR="007A51E6" w:rsidRPr="00280A7B">
        <w:rPr>
          <w:sz w:val="24"/>
          <w:szCs w:val="24"/>
        </w:rPr>
        <w:t>Also serving</w:t>
      </w:r>
      <w:r w:rsidR="00E0215F" w:rsidRPr="00280A7B">
        <w:rPr>
          <w:sz w:val="24"/>
          <w:szCs w:val="24"/>
        </w:rPr>
        <w:t xml:space="preserve"> as Divine 'negative theophanies,' these dramatic celestial and terrestrial occurrences </w:t>
      </w:r>
      <w:r w:rsidR="007A51E6" w:rsidRPr="00280A7B">
        <w:rPr>
          <w:sz w:val="24"/>
          <w:szCs w:val="24"/>
        </w:rPr>
        <w:t>are ultimate warnings meant to bring people back to the path of righteousness.</w:t>
      </w:r>
      <w:r w:rsidR="007A51E6" w:rsidRPr="00280A7B">
        <w:rPr>
          <w:rStyle w:val="FootnoteReference"/>
          <w:sz w:val="24"/>
          <w:szCs w:val="24"/>
        </w:rPr>
        <w:footnoteReference w:id="40"/>
      </w:r>
    </w:p>
    <w:p w:rsidR="00E851A5" w:rsidRPr="00280A7B" w:rsidRDefault="00E851A5" w:rsidP="00E851A5">
      <w:pPr>
        <w:jc w:val="lowKashida"/>
        <w:rPr>
          <w:sz w:val="24"/>
          <w:szCs w:val="24"/>
        </w:rPr>
      </w:pPr>
    </w:p>
    <w:p w:rsidR="00E84292" w:rsidRPr="00280A7B" w:rsidRDefault="007A51E6" w:rsidP="00D71492">
      <w:pPr>
        <w:jc w:val="lowKashida"/>
        <w:rPr>
          <w:sz w:val="24"/>
          <w:szCs w:val="24"/>
        </w:rPr>
      </w:pPr>
      <w:r w:rsidRPr="00280A7B">
        <w:rPr>
          <w:sz w:val="24"/>
          <w:szCs w:val="24"/>
        </w:rPr>
        <w:t>Such a</w:t>
      </w:r>
      <w:r w:rsidR="00E851A5" w:rsidRPr="00280A7B">
        <w:rPr>
          <w:sz w:val="24"/>
          <w:szCs w:val="24"/>
        </w:rPr>
        <w:t xml:space="preserve"> mythical</w:t>
      </w:r>
      <w:r w:rsidRPr="00280A7B">
        <w:rPr>
          <w:sz w:val="24"/>
          <w:szCs w:val="24"/>
        </w:rPr>
        <w:t xml:space="preserve"> ontology, Eliade elaborated, serves a crucial </w:t>
      </w:r>
      <w:proofErr w:type="gramStart"/>
      <w:r w:rsidR="00E851A5" w:rsidRPr="00280A7B">
        <w:rPr>
          <w:sz w:val="24"/>
          <w:szCs w:val="24"/>
        </w:rPr>
        <w:t xml:space="preserve">a psychological need </w:t>
      </w:r>
      <w:r w:rsidR="00D71492" w:rsidRPr="00280A7B">
        <w:rPr>
          <w:sz w:val="24"/>
          <w:szCs w:val="24"/>
        </w:rPr>
        <w:t>that</w:t>
      </w:r>
      <w:r w:rsidR="006F2122" w:rsidRPr="00280A7B">
        <w:rPr>
          <w:sz w:val="24"/>
          <w:szCs w:val="24"/>
        </w:rPr>
        <w:t xml:space="preserve"> enable</w:t>
      </w:r>
      <w:proofErr w:type="gramEnd"/>
      <w:r w:rsidR="00E851A5" w:rsidRPr="00280A7B">
        <w:rPr>
          <w:sz w:val="24"/>
          <w:szCs w:val="24"/>
        </w:rPr>
        <w:t xml:space="preserve"> people to 'tolerate' the</w:t>
      </w:r>
      <w:r w:rsidRPr="00280A7B">
        <w:rPr>
          <w:sz w:val="24"/>
          <w:szCs w:val="24"/>
        </w:rPr>
        <w:t xml:space="preserve"> </w:t>
      </w:r>
      <w:r w:rsidR="00E851A5" w:rsidRPr="00280A7B">
        <w:rPr>
          <w:sz w:val="24"/>
          <w:szCs w:val="24"/>
        </w:rPr>
        <w:t>natural, social and political sufferings and injustices of historical or profane time:</w:t>
      </w:r>
    </w:p>
    <w:p w:rsidR="00E5257E" w:rsidRPr="00280A7B" w:rsidRDefault="00C52BDA" w:rsidP="00280A7B">
      <w:pPr>
        <w:spacing w:before="240" w:line="240" w:lineRule="auto"/>
        <w:ind w:left="720"/>
        <w:jc w:val="lowKashida"/>
        <w:rPr>
          <w:sz w:val="24"/>
          <w:szCs w:val="24"/>
        </w:rPr>
      </w:pPr>
      <w:r w:rsidRPr="00280A7B">
        <w:rPr>
          <w:sz w:val="24"/>
          <w:szCs w:val="24"/>
        </w:rPr>
        <w:t xml:space="preserve">We know how, in the past, humanity has been able to endure the sufferings we have enumerated: they were regarded as a punishment inflicted by God, the syndrome of the decline of the </w:t>
      </w:r>
      <w:r w:rsidR="00C8687B" w:rsidRPr="00280A7B">
        <w:rPr>
          <w:sz w:val="24"/>
          <w:szCs w:val="24"/>
        </w:rPr>
        <w:t>'</w:t>
      </w:r>
      <w:r w:rsidR="007960E6" w:rsidRPr="00280A7B">
        <w:rPr>
          <w:sz w:val="24"/>
          <w:szCs w:val="24"/>
        </w:rPr>
        <w:t>age,</w:t>
      </w:r>
      <w:r w:rsidR="00C8687B" w:rsidRPr="00280A7B">
        <w:rPr>
          <w:sz w:val="24"/>
          <w:szCs w:val="24"/>
        </w:rPr>
        <w:t>'</w:t>
      </w:r>
      <w:r w:rsidRPr="00280A7B">
        <w:rPr>
          <w:sz w:val="24"/>
          <w:szCs w:val="24"/>
        </w:rPr>
        <w:t xml:space="preserve"> and so on. And it was possible to accept them precisely because they had a metahistorical meaning</w:t>
      </w:r>
      <w:r w:rsidR="007960E6" w:rsidRPr="00280A7B">
        <w:rPr>
          <w:sz w:val="24"/>
          <w:szCs w:val="24"/>
        </w:rPr>
        <w:t xml:space="preserve"> […] Every hero repeated the archetypal gesture, every </w:t>
      </w:r>
      <w:r w:rsidRPr="00280A7B">
        <w:rPr>
          <w:sz w:val="24"/>
          <w:szCs w:val="24"/>
        </w:rPr>
        <w:t xml:space="preserve">war rehearsed the struggle between good and evil, every fresh social injustice was identified with the sufferings of the Saviour </w:t>
      </w:r>
      <w:r w:rsidR="007960E6" w:rsidRPr="00280A7B">
        <w:rPr>
          <w:sz w:val="24"/>
          <w:szCs w:val="24"/>
        </w:rPr>
        <w:t>[…]</w:t>
      </w:r>
      <w:r w:rsidRPr="00280A7B">
        <w:rPr>
          <w:sz w:val="24"/>
          <w:szCs w:val="24"/>
        </w:rPr>
        <w:t xml:space="preserve"> By virtue of this view, tens of millions of men were able, for century after century, to endure great historical pressures without despairing, without committing suicide or falling into that spiritual aridity that always brings with it a relativisti</w:t>
      </w:r>
      <w:r w:rsidR="007960E6" w:rsidRPr="00280A7B">
        <w:rPr>
          <w:sz w:val="24"/>
          <w:szCs w:val="24"/>
        </w:rPr>
        <w:t>c or nihilistic view of history.</w:t>
      </w:r>
      <w:r w:rsidR="007960E6" w:rsidRPr="00280A7B">
        <w:rPr>
          <w:rStyle w:val="FootnoteReference"/>
          <w:sz w:val="24"/>
          <w:szCs w:val="24"/>
        </w:rPr>
        <w:footnoteReference w:id="41"/>
      </w:r>
    </w:p>
    <w:p w:rsidR="00E5257E" w:rsidRPr="003B60F7" w:rsidRDefault="00E5257E" w:rsidP="003B60F7">
      <w:pPr>
        <w:rPr>
          <w:sz w:val="24"/>
          <w:szCs w:val="24"/>
        </w:rPr>
      </w:pPr>
    </w:p>
    <w:p w:rsidR="00E851A5" w:rsidRPr="00280A7B" w:rsidRDefault="00E851A5" w:rsidP="006F7EC8">
      <w:pPr>
        <w:jc w:val="lowKashida"/>
        <w:rPr>
          <w:rFonts w:cs="Arial"/>
          <w:color w:val="000000"/>
          <w:sz w:val="24"/>
          <w:szCs w:val="24"/>
        </w:rPr>
      </w:pPr>
      <w:r w:rsidRPr="00280A7B">
        <w:rPr>
          <w:rFonts w:cs="Arial"/>
          <w:color w:val="000000"/>
          <w:sz w:val="24"/>
          <w:szCs w:val="24"/>
        </w:rPr>
        <w:t xml:space="preserve">There is almost a consensus among academics who studied apocalypticism as a social and historical phenomenon that apocalyptic </w:t>
      </w:r>
      <w:r w:rsidR="00CE08A7" w:rsidRPr="00280A7B">
        <w:rPr>
          <w:rFonts w:cs="Arial"/>
          <w:color w:val="000000"/>
          <w:sz w:val="24"/>
          <w:szCs w:val="24"/>
        </w:rPr>
        <w:t>faith</w:t>
      </w:r>
      <w:r w:rsidRPr="00280A7B">
        <w:rPr>
          <w:rFonts w:cs="Arial"/>
          <w:color w:val="000000"/>
          <w:sz w:val="24"/>
          <w:szCs w:val="24"/>
        </w:rPr>
        <w:t xml:space="preserve"> </w:t>
      </w:r>
      <w:r w:rsidR="006F7EC8" w:rsidRPr="00280A7B">
        <w:rPr>
          <w:sz w:val="24"/>
          <w:szCs w:val="24"/>
        </w:rPr>
        <w:t xml:space="preserve">fulfills certain psychological </w:t>
      </w:r>
      <w:r w:rsidRPr="00280A7B">
        <w:rPr>
          <w:sz w:val="24"/>
          <w:szCs w:val="24"/>
        </w:rPr>
        <w:t>and sociopolitical needs. According to Sarah Harvey and Suzanne Newcombe, apocalyptic faith helps alleviate people's anxious helplessness in situations beyond their control through providing meaning and purpose to life.</w:t>
      </w:r>
      <w:r w:rsidRPr="00280A7B">
        <w:rPr>
          <w:rStyle w:val="FootnoteReference"/>
          <w:sz w:val="24"/>
          <w:szCs w:val="24"/>
        </w:rPr>
        <w:footnoteReference w:id="42"/>
      </w:r>
      <w:r w:rsidRPr="00280A7B">
        <w:rPr>
          <w:sz w:val="24"/>
          <w:szCs w:val="24"/>
        </w:rPr>
        <w:t xml:space="preserve"> Walls described it as 'a </w:t>
      </w:r>
      <w:r w:rsidRPr="00280A7B">
        <w:rPr>
          <w:rFonts w:cs="Arial"/>
          <w:color w:val="000000"/>
          <w:sz w:val="24"/>
          <w:szCs w:val="24"/>
        </w:rPr>
        <w:t xml:space="preserve">daring hope, an "insane expectation" that refuses the consolation of stoic resignation in the face of </w:t>
      </w:r>
      <w:r w:rsidRPr="00280A7B">
        <w:rPr>
          <w:rFonts w:cs="Arial"/>
          <w:color w:val="000000"/>
          <w:sz w:val="24"/>
          <w:szCs w:val="24"/>
        </w:rPr>
        <w:lastRenderedPageBreak/>
        <w:t>loss and devastation.'</w:t>
      </w:r>
      <w:r w:rsidRPr="00280A7B">
        <w:rPr>
          <w:rStyle w:val="FootnoteReference"/>
          <w:rFonts w:cs="Arial"/>
          <w:color w:val="000000"/>
          <w:sz w:val="24"/>
          <w:szCs w:val="24"/>
        </w:rPr>
        <w:footnoteReference w:id="43"/>
      </w:r>
      <w:r w:rsidRPr="00280A7B">
        <w:rPr>
          <w:sz w:val="24"/>
          <w:szCs w:val="24"/>
        </w:rPr>
        <w:t xml:space="preserve"> In the sociopolitical context, Cook noticed that apocalyptic faith liberates </w:t>
      </w:r>
      <w:r w:rsidRPr="00280A7B">
        <w:rPr>
          <w:rFonts w:cs="Arial"/>
          <w:color w:val="000000"/>
          <w:sz w:val="24"/>
          <w:szCs w:val="24"/>
        </w:rPr>
        <w:t>its believers from the agreed upon societal codes, encouraging them to deal with long submerged issues</w:t>
      </w:r>
      <w:r w:rsidRPr="00280A7B">
        <w:rPr>
          <w:sz w:val="24"/>
          <w:szCs w:val="24"/>
        </w:rPr>
        <w:t>.</w:t>
      </w:r>
      <w:r w:rsidRPr="00280A7B">
        <w:rPr>
          <w:rStyle w:val="FootnoteReference"/>
          <w:sz w:val="24"/>
          <w:szCs w:val="24"/>
        </w:rPr>
        <w:footnoteReference w:id="44"/>
      </w:r>
      <w:r w:rsidRPr="00280A7B">
        <w:rPr>
          <w:sz w:val="24"/>
          <w:szCs w:val="24"/>
        </w:rPr>
        <w:t xml:space="preserve"> </w:t>
      </w:r>
      <w:r w:rsidRPr="00280A7B">
        <w:rPr>
          <w:rFonts w:cs="Arial"/>
          <w:color w:val="000000"/>
          <w:sz w:val="24"/>
          <w:szCs w:val="24"/>
        </w:rPr>
        <w:t>Elaborating on the therapeutic role of apocalyptic faith</w:t>
      </w:r>
      <w:r w:rsidR="00AF15E2" w:rsidRPr="00280A7B">
        <w:rPr>
          <w:rFonts w:cs="Arial"/>
          <w:color w:val="000000"/>
          <w:sz w:val="24"/>
          <w:szCs w:val="24"/>
        </w:rPr>
        <w:t xml:space="preserve"> in the modern world</w:t>
      </w:r>
      <w:r w:rsidRPr="00280A7B">
        <w:rPr>
          <w:rFonts w:cs="Arial"/>
          <w:color w:val="000000"/>
          <w:sz w:val="24"/>
          <w:szCs w:val="24"/>
        </w:rPr>
        <w:t>, Scott Appleby wrote:</w:t>
      </w:r>
    </w:p>
    <w:p w:rsidR="00F97300" w:rsidRPr="00280A7B" w:rsidRDefault="00E851A5" w:rsidP="00280A7B">
      <w:pPr>
        <w:spacing w:before="240" w:line="240" w:lineRule="auto"/>
        <w:ind w:left="720"/>
        <w:jc w:val="lowKashida"/>
        <w:rPr>
          <w:sz w:val="24"/>
          <w:szCs w:val="24"/>
        </w:rPr>
      </w:pPr>
      <w:r w:rsidRPr="00280A7B">
        <w:rPr>
          <w:rFonts w:cs="Arial"/>
          <w:color w:val="000000"/>
          <w:sz w:val="24"/>
          <w:szCs w:val="24"/>
        </w:rPr>
        <w:t>The anticipated reversal of 'ordinary history' is a source of great comfort for millions of true believers living in conditions of squalor, relative deprivation, or moral decadence. The fundamentalists’ present suffering is but a prelude to a profoundly satisfying reward for their perseverance, whether they live in the putrid refugee camps of Gaza or southern Lebanon, or amid the relative affluence of the spiritually sterile suburbs of Dallas.</w:t>
      </w:r>
      <w:r w:rsidRPr="00280A7B">
        <w:rPr>
          <w:rStyle w:val="FootnoteReference"/>
          <w:rFonts w:cs="Arial"/>
          <w:color w:val="000000"/>
          <w:sz w:val="24"/>
          <w:szCs w:val="24"/>
        </w:rPr>
        <w:footnoteReference w:id="45"/>
      </w:r>
      <w:r w:rsidR="00D31846" w:rsidRPr="00280A7B">
        <w:rPr>
          <w:sz w:val="24"/>
          <w:szCs w:val="24"/>
        </w:rPr>
        <w:t xml:space="preserve"> </w:t>
      </w:r>
    </w:p>
    <w:p w:rsidR="00264360" w:rsidRDefault="00264360" w:rsidP="00264360">
      <w:pPr>
        <w:jc w:val="lowKashida"/>
        <w:rPr>
          <w:sz w:val="24"/>
          <w:szCs w:val="24"/>
        </w:rPr>
      </w:pPr>
    </w:p>
    <w:p w:rsidR="005E5F69" w:rsidRPr="00280A7B" w:rsidRDefault="00AF15E2" w:rsidP="00264360">
      <w:pPr>
        <w:jc w:val="lowKashida"/>
        <w:rPr>
          <w:sz w:val="24"/>
          <w:szCs w:val="24"/>
        </w:rPr>
      </w:pPr>
      <w:r w:rsidRPr="00280A7B">
        <w:rPr>
          <w:sz w:val="24"/>
          <w:szCs w:val="24"/>
        </w:rPr>
        <w:t xml:space="preserve">In the same vein, James C. Scott </w:t>
      </w:r>
      <w:r w:rsidR="007B434E" w:rsidRPr="00280A7B">
        <w:rPr>
          <w:sz w:val="24"/>
          <w:szCs w:val="24"/>
        </w:rPr>
        <w:t xml:space="preserve">wrote </w:t>
      </w:r>
      <w:r w:rsidRPr="00280A7B">
        <w:rPr>
          <w:sz w:val="24"/>
          <w:szCs w:val="24"/>
        </w:rPr>
        <w:t xml:space="preserve">in his book </w:t>
      </w:r>
      <w:r w:rsidRPr="00280A7B">
        <w:rPr>
          <w:i/>
          <w:iCs/>
          <w:sz w:val="24"/>
          <w:szCs w:val="24"/>
        </w:rPr>
        <w:t>Domination and the Arts of Resistance: Hidden Transcripts</w:t>
      </w:r>
      <w:r w:rsidR="00F25DCC" w:rsidRPr="00280A7B">
        <w:rPr>
          <w:sz w:val="24"/>
          <w:szCs w:val="24"/>
        </w:rPr>
        <w:t xml:space="preserve"> </w:t>
      </w:r>
      <w:r w:rsidRPr="00280A7B">
        <w:rPr>
          <w:sz w:val="24"/>
          <w:szCs w:val="24"/>
        </w:rPr>
        <w:t xml:space="preserve">that millennial aspirations </w:t>
      </w:r>
      <w:r w:rsidR="00667297" w:rsidRPr="00280A7B">
        <w:rPr>
          <w:sz w:val="24"/>
          <w:szCs w:val="24"/>
        </w:rPr>
        <w:t>often</w:t>
      </w:r>
      <w:r w:rsidRPr="00280A7B">
        <w:rPr>
          <w:sz w:val="24"/>
          <w:szCs w:val="24"/>
        </w:rPr>
        <w:t xml:space="preserve"> exhibit </w:t>
      </w:r>
      <w:r w:rsidR="00A271F0" w:rsidRPr="00280A7B">
        <w:rPr>
          <w:sz w:val="24"/>
          <w:szCs w:val="24"/>
        </w:rPr>
        <w:t xml:space="preserve">a strong sense of </w:t>
      </w:r>
      <w:r w:rsidRPr="00280A7B">
        <w:rPr>
          <w:i/>
          <w:iCs/>
          <w:sz w:val="24"/>
          <w:szCs w:val="24"/>
        </w:rPr>
        <w:t>schadenfreude</w:t>
      </w:r>
      <w:r w:rsidR="00160C0B" w:rsidRPr="00280A7B">
        <w:rPr>
          <w:i/>
          <w:iCs/>
          <w:sz w:val="24"/>
          <w:szCs w:val="24"/>
        </w:rPr>
        <w:t>,</w:t>
      </w:r>
      <w:r w:rsidR="00A271F0" w:rsidRPr="00280A7B">
        <w:rPr>
          <w:i/>
          <w:iCs/>
          <w:sz w:val="24"/>
          <w:szCs w:val="24"/>
        </w:rPr>
        <w:t xml:space="preserve"> </w:t>
      </w:r>
      <w:r w:rsidR="00A271F0" w:rsidRPr="00280A7B">
        <w:rPr>
          <w:sz w:val="24"/>
          <w:szCs w:val="24"/>
        </w:rPr>
        <w:t xml:space="preserve">or pleasure derived from an eager anticipation </w:t>
      </w:r>
      <w:r w:rsidR="006C7015" w:rsidRPr="00280A7B">
        <w:rPr>
          <w:sz w:val="24"/>
          <w:szCs w:val="24"/>
        </w:rPr>
        <w:t xml:space="preserve">by subordinate groups </w:t>
      </w:r>
      <w:r w:rsidR="00A271F0" w:rsidRPr="00280A7B">
        <w:rPr>
          <w:sz w:val="24"/>
          <w:szCs w:val="24"/>
        </w:rPr>
        <w:t>for 'negative reciprocity, a settling of scores when the high shall be brought low and the last shall be first.'</w:t>
      </w:r>
      <w:r w:rsidR="00A271F0" w:rsidRPr="00280A7B">
        <w:rPr>
          <w:rStyle w:val="FootnoteReference"/>
          <w:sz w:val="24"/>
          <w:szCs w:val="24"/>
        </w:rPr>
        <w:footnoteReference w:id="46"/>
      </w:r>
      <w:r w:rsidR="00A271F0" w:rsidRPr="00280A7B">
        <w:rPr>
          <w:sz w:val="24"/>
          <w:szCs w:val="24"/>
        </w:rPr>
        <w:t xml:space="preserve"> </w:t>
      </w:r>
      <w:r w:rsidR="006C7015" w:rsidRPr="00280A7B">
        <w:rPr>
          <w:sz w:val="24"/>
          <w:szCs w:val="24"/>
        </w:rPr>
        <w:t>Yet due to the social and political helplessness of the oppressed groups, th</w:t>
      </w:r>
      <w:r w:rsidR="001A180D" w:rsidRPr="00280A7B">
        <w:rPr>
          <w:sz w:val="24"/>
          <w:szCs w:val="24"/>
        </w:rPr>
        <w:t>is</w:t>
      </w:r>
      <w:r w:rsidR="006C7015" w:rsidRPr="00280A7B">
        <w:rPr>
          <w:sz w:val="24"/>
          <w:szCs w:val="24"/>
        </w:rPr>
        <w:t xml:space="preserve"> wish for negative reciprocity remains suppressed, existing only in the form of what Scott</w:t>
      </w:r>
      <w:r w:rsidR="007B434E" w:rsidRPr="00280A7B">
        <w:rPr>
          <w:sz w:val="24"/>
          <w:szCs w:val="24"/>
        </w:rPr>
        <w:t xml:space="preserve"> described as</w:t>
      </w:r>
      <w:r w:rsidR="001A180D" w:rsidRPr="00280A7B">
        <w:rPr>
          <w:sz w:val="24"/>
          <w:szCs w:val="24"/>
        </w:rPr>
        <w:t xml:space="preserve"> 'hidden transcript,'</w:t>
      </w:r>
      <w:r w:rsidR="006C7015" w:rsidRPr="00280A7B">
        <w:rPr>
          <w:sz w:val="24"/>
          <w:szCs w:val="24"/>
        </w:rPr>
        <w:t xml:space="preserve"> </w:t>
      </w:r>
      <w:r w:rsidR="007B434E" w:rsidRPr="00280A7B">
        <w:rPr>
          <w:sz w:val="24"/>
          <w:szCs w:val="24"/>
        </w:rPr>
        <w:t>or</w:t>
      </w:r>
      <w:r w:rsidR="001A180D" w:rsidRPr="00280A7B">
        <w:rPr>
          <w:sz w:val="24"/>
          <w:szCs w:val="24"/>
        </w:rPr>
        <w:t xml:space="preserve"> </w:t>
      </w:r>
      <w:r w:rsidR="00773DCE" w:rsidRPr="00280A7B">
        <w:rPr>
          <w:sz w:val="24"/>
          <w:szCs w:val="24"/>
        </w:rPr>
        <w:t xml:space="preserve">the </w:t>
      </w:r>
      <w:r w:rsidR="001A180D" w:rsidRPr="00280A7B">
        <w:rPr>
          <w:sz w:val="24"/>
          <w:szCs w:val="24"/>
        </w:rPr>
        <w:t>secret defiant discourse of the lower strata of any society that refuses to conform the 'public transcript,' or the hegemonic public propagandist</w:t>
      </w:r>
      <w:r w:rsidR="00F965F9" w:rsidRPr="00280A7B">
        <w:rPr>
          <w:sz w:val="24"/>
          <w:szCs w:val="24"/>
        </w:rPr>
        <w:t>ic</w:t>
      </w:r>
      <w:r w:rsidR="001A180D" w:rsidRPr="00280A7B">
        <w:rPr>
          <w:sz w:val="24"/>
          <w:szCs w:val="24"/>
        </w:rPr>
        <w:t xml:space="preserve"> discourse employed by the dominant authoritative group</w:t>
      </w:r>
      <w:r w:rsidR="00E67DDC" w:rsidRPr="00280A7B">
        <w:rPr>
          <w:sz w:val="24"/>
          <w:szCs w:val="24"/>
        </w:rPr>
        <w:t xml:space="preserve"> in that society</w:t>
      </w:r>
      <w:r w:rsidR="001A180D" w:rsidRPr="00280A7B">
        <w:rPr>
          <w:sz w:val="24"/>
          <w:szCs w:val="24"/>
        </w:rPr>
        <w:t>.</w:t>
      </w:r>
      <w:r w:rsidR="001A180D" w:rsidRPr="00280A7B">
        <w:rPr>
          <w:rStyle w:val="FootnoteReference"/>
          <w:sz w:val="24"/>
          <w:szCs w:val="24"/>
        </w:rPr>
        <w:footnoteReference w:id="47"/>
      </w:r>
      <w:r w:rsidR="00682A27" w:rsidRPr="00280A7B">
        <w:rPr>
          <w:sz w:val="24"/>
          <w:szCs w:val="24"/>
        </w:rPr>
        <w:t xml:space="preserve"> </w:t>
      </w:r>
      <w:r w:rsidR="00B6089A" w:rsidRPr="00280A7B">
        <w:rPr>
          <w:sz w:val="24"/>
          <w:szCs w:val="24"/>
        </w:rPr>
        <w:t xml:space="preserve">Most importantly, Scott saw millennialism as a strategic form of 'infrapolitical' resistance which is aimed at </w:t>
      </w:r>
      <w:r w:rsidR="00760812" w:rsidRPr="00280A7B">
        <w:rPr>
          <w:sz w:val="24"/>
          <w:szCs w:val="24"/>
        </w:rPr>
        <w:t>refuting</w:t>
      </w:r>
      <w:r w:rsidR="00B6089A" w:rsidRPr="00280A7B">
        <w:rPr>
          <w:sz w:val="24"/>
          <w:szCs w:val="24"/>
        </w:rPr>
        <w:t xml:space="preserve"> the prevalent public transcript and </w:t>
      </w:r>
      <w:r w:rsidR="00760812" w:rsidRPr="00280A7B">
        <w:rPr>
          <w:sz w:val="24"/>
          <w:szCs w:val="24"/>
        </w:rPr>
        <w:t xml:space="preserve">subsequently </w:t>
      </w:r>
      <w:r w:rsidR="00B6089A" w:rsidRPr="00280A7B">
        <w:rPr>
          <w:sz w:val="24"/>
          <w:szCs w:val="24"/>
        </w:rPr>
        <w:t>overthrowing the</w:t>
      </w:r>
      <w:r w:rsidR="009D35D5" w:rsidRPr="00280A7B">
        <w:rPr>
          <w:sz w:val="24"/>
          <w:szCs w:val="24"/>
        </w:rPr>
        <w:t xml:space="preserve"> political authority of</w:t>
      </w:r>
      <w:r w:rsidR="0067513D" w:rsidRPr="00280A7B">
        <w:rPr>
          <w:sz w:val="24"/>
          <w:szCs w:val="24"/>
        </w:rPr>
        <w:t xml:space="preserve"> the</w:t>
      </w:r>
      <w:r w:rsidR="00B6089A" w:rsidRPr="00280A7B">
        <w:rPr>
          <w:sz w:val="24"/>
          <w:szCs w:val="24"/>
        </w:rPr>
        <w:t xml:space="preserve"> dominant group.</w:t>
      </w:r>
      <w:r w:rsidR="00935C7B" w:rsidRPr="00280A7B">
        <w:rPr>
          <w:rStyle w:val="FootnoteReference"/>
          <w:sz w:val="24"/>
          <w:szCs w:val="24"/>
        </w:rPr>
        <w:footnoteReference w:id="48"/>
      </w:r>
      <w:r w:rsidR="00B6089A" w:rsidRPr="00280A7B">
        <w:rPr>
          <w:sz w:val="24"/>
          <w:szCs w:val="24"/>
        </w:rPr>
        <w:t xml:space="preserve"> </w:t>
      </w:r>
    </w:p>
    <w:p w:rsidR="00ED35B3" w:rsidRPr="00945346" w:rsidRDefault="00311BF0" w:rsidP="00721778">
      <w:pPr>
        <w:spacing w:before="240"/>
        <w:jc w:val="lowKashida"/>
        <w:rPr>
          <w:rFonts w:cs="Times New Roman"/>
          <w:sz w:val="24"/>
          <w:szCs w:val="24"/>
        </w:rPr>
      </w:pPr>
      <w:r w:rsidRPr="00945346">
        <w:rPr>
          <w:rFonts w:cs="Times New Roman"/>
          <w:sz w:val="24"/>
          <w:szCs w:val="24"/>
        </w:rPr>
        <w:t xml:space="preserve">In his </w:t>
      </w:r>
      <w:r w:rsidR="00721778" w:rsidRPr="00945346">
        <w:rPr>
          <w:rFonts w:cs="Times New Roman"/>
          <w:sz w:val="24"/>
          <w:szCs w:val="24"/>
        </w:rPr>
        <w:t xml:space="preserve">study of millennial movements </w:t>
      </w:r>
      <w:r w:rsidRPr="00945346">
        <w:rPr>
          <w:rFonts w:cs="Times New Roman"/>
          <w:sz w:val="24"/>
          <w:szCs w:val="24"/>
        </w:rPr>
        <w:t>Landes proposed a number of distinctive categories and fr</w:t>
      </w:r>
      <w:r w:rsidR="00F965F9" w:rsidRPr="00945346">
        <w:rPr>
          <w:rFonts w:cs="Times New Roman"/>
          <w:sz w:val="24"/>
          <w:szCs w:val="24"/>
        </w:rPr>
        <w:t>ameworks that enable</w:t>
      </w:r>
      <w:r w:rsidR="00165EAD" w:rsidRPr="00945346">
        <w:rPr>
          <w:rFonts w:cs="Times New Roman"/>
          <w:sz w:val="24"/>
          <w:szCs w:val="24"/>
        </w:rPr>
        <w:t xml:space="preserve"> one to</w:t>
      </w:r>
      <w:r w:rsidRPr="00945346">
        <w:rPr>
          <w:rFonts w:cs="Times New Roman"/>
          <w:sz w:val="24"/>
          <w:szCs w:val="24"/>
        </w:rPr>
        <w:t xml:space="preserve"> better understand apocalyptic and millenarian behavior.</w:t>
      </w:r>
      <w:r w:rsidR="00F14720" w:rsidRPr="00945346">
        <w:rPr>
          <w:rStyle w:val="FootnoteReference"/>
          <w:rFonts w:cs="Times New Roman"/>
          <w:sz w:val="24"/>
          <w:szCs w:val="24"/>
        </w:rPr>
        <w:footnoteReference w:id="49"/>
      </w:r>
      <w:r w:rsidR="00A16A8A" w:rsidRPr="00945346">
        <w:rPr>
          <w:rFonts w:cs="Times New Roman"/>
          <w:sz w:val="24"/>
          <w:szCs w:val="24"/>
        </w:rPr>
        <w:t xml:space="preserve"> In Landes' view, millenarian </w:t>
      </w:r>
      <w:r w:rsidR="00614D20" w:rsidRPr="00945346">
        <w:rPr>
          <w:rFonts w:cs="Times New Roman"/>
          <w:sz w:val="24"/>
          <w:szCs w:val="24"/>
        </w:rPr>
        <w:t xml:space="preserve">and apocalyptic </w:t>
      </w:r>
      <w:r w:rsidR="00A16A8A" w:rsidRPr="00945346">
        <w:rPr>
          <w:rFonts w:cs="Times New Roman"/>
          <w:sz w:val="24"/>
          <w:szCs w:val="24"/>
        </w:rPr>
        <w:t xml:space="preserve">manifestations could range from </w:t>
      </w:r>
      <w:r w:rsidR="007E1785" w:rsidRPr="00945346">
        <w:rPr>
          <w:rFonts w:cs="Times New Roman"/>
          <w:sz w:val="24"/>
          <w:szCs w:val="24"/>
        </w:rPr>
        <w:t xml:space="preserve">hierarchical to demotic, </w:t>
      </w:r>
      <w:r w:rsidR="00A16A8A" w:rsidRPr="00945346">
        <w:rPr>
          <w:rFonts w:cs="Times New Roman"/>
          <w:sz w:val="24"/>
          <w:szCs w:val="24"/>
        </w:rPr>
        <w:t>restorative to innovative</w:t>
      </w:r>
      <w:r w:rsidR="007E1785" w:rsidRPr="00945346">
        <w:rPr>
          <w:rFonts w:cs="Times New Roman"/>
          <w:sz w:val="24"/>
          <w:szCs w:val="24"/>
        </w:rPr>
        <w:t>, cataclysmic to transformative, and active to passive</w:t>
      </w:r>
      <w:r w:rsidR="00A16A8A" w:rsidRPr="00945346">
        <w:rPr>
          <w:rFonts w:cs="Times New Roman"/>
          <w:sz w:val="24"/>
          <w:szCs w:val="24"/>
        </w:rPr>
        <w:t>.</w:t>
      </w:r>
      <w:r w:rsidR="00A16A8A" w:rsidRPr="00945346">
        <w:rPr>
          <w:rStyle w:val="FootnoteReference"/>
          <w:rFonts w:cs="Times New Roman"/>
          <w:sz w:val="24"/>
          <w:szCs w:val="24"/>
        </w:rPr>
        <w:footnoteReference w:id="50"/>
      </w:r>
      <w:r w:rsidR="00A16A8A" w:rsidRPr="00945346">
        <w:rPr>
          <w:rFonts w:cs="Times New Roman"/>
          <w:sz w:val="24"/>
          <w:szCs w:val="24"/>
        </w:rPr>
        <w:t xml:space="preserve"> </w:t>
      </w:r>
      <w:r w:rsidR="002B5663" w:rsidRPr="00945346">
        <w:rPr>
          <w:rFonts w:cs="Times New Roman"/>
          <w:sz w:val="24"/>
          <w:szCs w:val="24"/>
        </w:rPr>
        <w:t>Landes observed that hierarchical, imperial or iconic millennialism for instance, is characterized by the leadership of an 'em</w:t>
      </w:r>
      <w:r w:rsidR="0068508D" w:rsidRPr="00945346">
        <w:rPr>
          <w:rFonts w:cs="Times New Roman"/>
          <w:sz w:val="24"/>
          <w:szCs w:val="24"/>
        </w:rPr>
        <w:t>peror-messiah' perceived by his</w:t>
      </w:r>
      <w:r w:rsidR="009254A6" w:rsidRPr="00945346">
        <w:rPr>
          <w:rFonts w:cs="Times New Roman"/>
          <w:sz w:val="24"/>
          <w:szCs w:val="24"/>
        </w:rPr>
        <w:t xml:space="preserve"> </w:t>
      </w:r>
      <w:r w:rsidR="002B5663" w:rsidRPr="00945346">
        <w:rPr>
          <w:rFonts w:cs="Times New Roman"/>
          <w:sz w:val="24"/>
          <w:szCs w:val="24"/>
        </w:rPr>
        <w:t xml:space="preserve">people as an infallible </w:t>
      </w:r>
      <w:r w:rsidR="009254A6" w:rsidRPr="00945346">
        <w:rPr>
          <w:rFonts w:cs="Times New Roman"/>
          <w:sz w:val="24"/>
          <w:szCs w:val="24"/>
        </w:rPr>
        <w:t>religiopolitical leader</w:t>
      </w:r>
      <w:r w:rsidR="002B5663" w:rsidRPr="00945346">
        <w:rPr>
          <w:rFonts w:cs="Times New Roman"/>
          <w:sz w:val="24"/>
          <w:szCs w:val="24"/>
        </w:rPr>
        <w:t xml:space="preserve"> at whose hand</w:t>
      </w:r>
      <w:r w:rsidR="004D68C7" w:rsidRPr="00945346">
        <w:rPr>
          <w:rFonts w:cs="Times New Roman"/>
          <w:sz w:val="24"/>
          <w:szCs w:val="24"/>
        </w:rPr>
        <w:t xml:space="preserve">s </w:t>
      </w:r>
      <w:r w:rsidR="002B5663" w:rsidRPr="00945346">
        <w:rPr>
          <w:rFonts w:cs="Times New Roman"/>
          <w:sz w:val="24"/>
          <w:szCs w:val="24"/>
        </w:rPr>
        <w:lastRenderedPageBreak/>
        <w:t>universal salvation is brought.</w:t>
      </w:r>
      <w:r w:rsidR="004D68C7" w:rsidRPr="00945346">
        <w:rPr>
          <w:rStyle w:val="FootnoteReference"/>
          <w:rFonts w:cs="Times New Roman"/>
          <w:sz w:val="24"/>
          <w:szCs w:val="24"/>
        </w:rPr>
        <w:footnoteReference w:id="51"/>
      </w:r>
      <w:r w:rsidR="009254A6" w:rsidRPr="00945346">
        <w:rPr>
          <w:rFonts w:cs="Times New Roman"/>
          <w:sz w:val="24"/>
          <w:szCs w:val="24"/>
        </w:rPr>
        <w:t xml:space="preserve"> </w:t>
      </w:r>
      <w:r w:rsidR="009D5610" w:rsidRPr="00945346">
        <w:rPr>
          <w:rFonts w:cs="Times New Roman"/>
          <w:sz w:val="24"/>
          <w:szCs w:val="24"/>
        </w:rPr>
        <w:t xml:space="preserve">In its endeavour towards realising a holy egalitarian society, demotic or iconoclastic millennialism in contrast </w:t>
      </w:r>
      <w:r w:rsidR="009254A6" w:rsidRPr="00945346">
        <w:rPr>
          <w:rFonts w:cs="Times New Roman"/>
          <w:sz w:val="24"/>
          <w:szCs w:val="24"/>
        </w:rPr>
        <w:t xml:space="preserve">tends to challenge and rebel against imposed hierarchical order and </w:t>
      </w:r>
      <w:r w:rsidR="00192478" w:rsidRPr="00945346">
        <w:rPr>
          <w:rFonts w:cs="Times New Roman"/>
          <w:sz w:val="24"/>
          <w:szCs w:val="24"/>
        </w:rPr>
        <w:t>the</w:t>
      </w:r>
      <w:r w:rsidR="009D5610" w:rsidRPr="00945346">
        <w:rPr>
          <w:rFonts w:cs="Times New Roman"/>
          <w:sz w:val="24"/>
          <w:szCs w:val="24"/>
        </w:rPr>
        <w:t xml:space="preserve"> </w:t>
      </w:r>
      <w:r w:rsidR="009254A6" w:rsidRPr="00945346">
        <w:rPr>
          <w:rFonts w:cs="Times New Roman"/>
          <w:sz w:val="24"/>
          <w:szCs w:val="24"/>
        </w:rPr>
        <w:t>social inequalities</w:t>
      </w:r>
      <w:r w:rsidR="00192478" w:rsidRPr="00945346">
        <w:rPr>
          <w:rFonts w:cs="Times New Roman"/>
          <w:sz w:val="24"/>
          <w:szCs w:val="24"/>
        </w:rPr>
        <w:t xml:space="preserve"> associated to it</w:t>
      </w:r>
      <w:r w:rsidR="009D5610" w:rsidRPr="00945346">
        <w:rPr>
          <w:rFonts w:cs="Times New Roman"/>
          <w:sz w:val="24"/>
          <w:szCs w:val="24"/>
        </w:rPr>
        <w:t>.</w:t>
      </w:r>
      <w:r w:rsidR="009D5610" w:rsidRPr="00945346">
        <w:rPr>
          <w:rStyle w:val="FootnoteReference"/>
          <w:rFonts w:cs="Times New Roman"/>
          <w:sz w:val="24"/>
          <w:szCs w:val="24"/>
        </w:rPr>
        <w:footnoteReference w:id="52"/>
      </w:r>
      <w:r w:rsidR="007E1785" w:rsidRPr="00945346">
        <w:rPr>
          <w:rFonts w:cs="Times New Roman"/>
          <w:sz w:val="24"/>
          <w:szCs w:val="24"/>
        </w:rPr>
        <w:t xml:space="preserve"> </w:t>
      </w:r>
      <w:r w:rsidR="00865CBD" w:rsidRPr="00945346">
        <w:rPr>
          <w:rFonts w:cs="Times New Roman"/>
          <w:sz w:val="24"/>
          <w:szCs w:val="24"/>
        </w:rPr>
        <w:t>R</w:t>
      </w:r>
      <w:r w:rsidR="00D53FD1" w:rsidRPr="00945346">
        <w:rPr>
          <w:rFonts w:cs="Times New Roman"/>
          <w:sz w:val="24"/>
          <w:szCs w:val="24"/>
        </w:rPr>
        <w:t xml:space="preserve">estorative millennialism </w:t>
      </w:r>
      <w:r w:rsidR="00865CBD" w:rsidRPr="00945346">
        <w:rPr>
          <w:rFonts w:cs="Times New Roman"/>
          <w:sz w:val="24"/>
          <w:szCs w:val="24"/>
        </w:rPr>
        <w:t xml:space="preserve">on the other hand, as Landes clarified, </w:t>
      </w:r>
      <w:r w:rsidR="00D53FD1" w:rsidRPr="00945346">
        <w:rPr>
          <w:rFonts w:cs="Times New Roman"/>
          <w:sz w:val="24"/>
          <w:szCs w:val="24"/>
        </w:rPr>
        <w:t xml:space="preserve">involves a </w:t>
      </w:r>
      <w:r w:rsidR="006E43CA" w:rsidRPr="00945346">
        <w:rPr>
          <w:rFonts w:cs="Times New Roman"/>
          <w:sz w:val="24"/>
          <w:szCs w:val="24"/>
        </w:rPr>
        <w:t xml:space="preserve">nostalgic </w:t>
      </w:r>
      <w:r w:rsidR="00D53FD1" w:rsidRPr="00945346">
        <w:rPr>
          <w:rFonts w:cs="Times New Roman"/>
          <w:sz w:val="24"/>
          <w:szCs w:val="24"/>
        </w:rPr>
        <w:t>desire to return to the original purity of the past,</w:t>
      </w:r>
      <w:r w:rsidR="00910F17" w:rsidRPr="00945346">
        <w:rPr>
          <w:rFonts w:cs="Times New Roman"/>
          <w:sz w:val="24"/>
          <w:szCs w:val="24"/>
        </w:rPr>
        <w:t xml:space="preserve"> </w:t>
      </w:r>
      <w:r w:rsidR="00865CBD" w:rsidRPr="00945346">
        <w:rPr>
          <w:rFonts w:cs="Times New Roman"/>
          <w:sz w:val="24"/>
          <w:szCs w:val="24"/>
        </w:rPr>
        <w:t xml:space="preserve">whereas </w:t>
      </w:r>
      <w:r w:rsidR="00D53FD1" w:rsidRPr="00945346">
        <w:rPr>
          <w:rFonts w:cs="Times New Roman"/>
          <w:sz w:val="24"/>
          <w:szCs w:val="24"/>
        </w:rPr>
        <w:t xml:space="preserve">innovative millennialism displays </w:t>
      </w:r>
      <w:r w:rsidR="003B0959" w:rsidRPr="00945346">
        <w:rPr>
          <w:rFonts w:cs="Times New Roman"/>
          <w:sz w:val="24"/>
          <w:szCs w:val="24"/>
        </w:rPr>
        <w:t>eagerness</w:t>
      </w:r>
      <w:r w:rsidR="005D2DC9" w:rsidRPr="00945346">
        <w:rPr>
          <w:rFonts w:cs="Times New Roman"/>
          <w:sz w:val="24"/>
          <w:szCs w:val="24"/>
        </w:rPr>
        <w:t xml:space="preserve"> towards the future perceived optimistically as an awaited era of perfection and plentitude.</w:t>
      </w:r>
      <w:r w:rsidR="005D2DC9" w:rsidRPr="00945346">
        <w:rPr>
          <w:rStyle w:val="FootnoteReference"/>
          <w:rFonts w:cs="Times New Roman"/>
          <w:sz w:val="24"/>
          <w:szCs w:val="24"/>
        </w:rPr>
        <w:footnoteReference w:id="53"/>
      </w:r>
      <w:r w:rsidR="003B0959" w:rsidRPr="00945346">
        <w:rPr>
          <w:rFonts w:cs="Times New Roman" w:hint="cs"/>
          <w:sz w:val="24"/>
          <w:szCs w:val="24"/>
          <w:rtl/>
        </w:rPr>
        <w:t xml:space="preserve"> </w:t>
      </w:r>
      <w:r w:rsidR="00865CBD" w:rsidRPr="00945346">
        <w:rPr>
          <w:rFonts w:cs="Times New Roman"/>
          <w:sz w:val="24"/>
          <w:szCs w:val="24"/>
        </w:rPr>
        <w:t xml:space="preserve">Furthermore, </w:t>
      </w:r>
      <w:r w:rsidR="00910F17" w:rsidRPr="00945346">
        <w:rPr>
          <w:rFonts w:cs="Times New Roman"/>
          <w:sz w:val="24"/>
          <w:szCs w:val="24"/>
        </w:rPr>
        <w:t>Landes wrote that a</w:t>
      </w:r>
      <w:r w:rsidR="00192E81" w:rsidRPr="00945346">
        <w:rPr>
          <w:rFonts w:cs="Times New Roman"/>
          <w:sz w:val="24"/>
          <w:szCs w:val="24"/>
        </w:rPr>
        <w:t>pocalypticism as a soc</w:t>
      </w:r>
      <w:r w:rsidR="00910F17" w:rsidRPr="00945346">
        <w:rPr>
          <w:rFonts w:cs="Times New Roman"/>
          <w:sz w:val="24"/>
          <w:szCs w:val="24"/>
        </w:rPr>
        <w:t>ial phenomenon</w:t>
      </w:r>
      <w:r w:rsidR="00192E81" w:rsidRPr="00945346">
        <w:rPr>
          <w:rFonts w:cs="Times New Roman"/>
          <w:sz w:val="24"/>
          <w:szCs w:val="24"/>
        </w:rPr>
        <w:t xml:space="preserve"> may either passively await an imminent violent cataclysmic destruction of the world that precede the advent of </w:t>
      </w:r>
      <w:r w:rsidR="00AB0DBB" w:rsidRPr="00945346">
        <w:rPr>
          <w:rFonts w:cs="Times New Roman"/>
          <w:sz w:val="24"/>
          <w:szCs w:val="24"/>
        </w:rPr>
        <w:t>the Messiah and the millennium</w:t>
      </w:r>
      <w:r w:rsidR="0068508D" w:rsidRPr="00945346">
        <w:rPr>
          <w:rFonts w:cs="Times New Roman"/>
          <w:sz w:val="24"/>
          <w:szCs w:val="24"/>
        </w:rPr>
        <w:t xml:space="preserve">, </w:t>
      </w:r>
      <w:r w:rsidR="00E148B2" w:rsidRPr="00945346">
        <w:rPr>
          <w:rFonts w:cs="Times New Roman"/>
          <w:sz w:val="24"/>
          <w:szCs w:val="24"/>
        </w:rPr>
        <w:t xml:space="preserve">or </w:t>
      </w:r>
      <w:r w:rsidR="00865CBD" w:rsidRPr="00945346">
        <w:rPr>
          <w:rFonts w:cs="Times New Roman"/>
          <w:sz w:val="24"/>
          <w:szCs w:val="24"/>
        </w:rPr>
        <w:t xml:space="preserve">in its transformative utopian manifestation, may </w:t>
      </w:r>
      <w:r w:rsidR="00AB0DBB" w:rsidRPr="00945346">
        <w:rPr>
          <w:rFonts w:cs="Times New Roman"/>
          <w:sz w:val="24"/>
          <w:szCs w:val="24"/>
        </w:rPr>
        <w:t>actively</w:t>
      </w:r>
      <w:r w:rsidR="00192E81" w:rsidRPr="00945346">
        <w:rPr>
          <w:rFonts w:cs="Times New Roman"/>
          <w:sz w:val="24"/>
          <w:szCs w:val="24"/>
        </w:rPr>
        <w:t xml:space="preserve"> </w:t>
      </w:r>
      <w:r w:rsidR="00A42279" w:rsidRPr="00945346">
        <w:rPr>
          <w:rFonts w:cs="Times New Roman"/>
          <w:sz w:val="24"/>
          <w:szCs w:val="24"/>
        </w:rPr>
        <w:t>pursue the millennium</w:t>
      </w:r>
      <w:r w:rsidR="00E148B2" w:rsidRPr="00945346">
        <w:rPr>
          <w:rFonts w:cs="Times New Roman"/>
          <w:sz w:val="24"/>
          <w:szCs w:val="24"/>
        </w:rPr>
        <w:t xml:space="preserve"> through the actualization of </w:t>
      </w:r>
      <w:r w:rsidR="006749F9" w:rsidRPr="00945346">
        <w:rPr>
          <w:rFonts w:cs="Times New Roman"/>
          <w:sz w:val="24"/>
          <w:szCs w:val="24"/>
        </w:rPr>
        <w:t>an</w:t>
      </w:r>
      <w:r w:rsidR="00E148B2" w:rsidRPr="00945346">
        <w:rPr>
          <w:rFonts w:cs="Times New Roman"/>
          <w:sz w:val="24"/>
          <w:szCs w:val="24"/>
        </w:rPr>
        <w:t xml:space="preserve"> </w:t>
      </w:r>
      <w:r w:rsidR="006749F9" w:rsidRPr="00945346">
        <w:rPr>
          <w:rFonts w:cs="Times New Roman"/>
          <w:sz w:val="24"/>
          <w:szCs w:val="24"/>
        </w:rPr>
        <w:t>idealistic</w:t>
      </w:r>
      <w:r w:rsidR="00E148B2" w:rsidRPr="00945346">
        <w:rPr>
          <w:rFonts w:cs="Times New Roman"/>
          <w:sz w:val="24"/>
          <w:szCs w:val="24"/>
        </w:rPr>
        <w:t xml:space="preserve"> </w:t>
      </w:r>
      <w:r w:rsidR="006749F9" w:rsidRPr="00945346">
        <w:rPr>
          <w:rFonts w:cs="Times New Roman"/>
          <w:sz w:val="24"/>
          <w:szCs w:val="24"/>
        </w:rPr>
        <w:t xml:space="preserve">global </w:t>
      </w:r>
      <w:r w:rsidR="00E148B2" w:rsidRPr="00945346">
        <w:rPr>
          <w:rFonts w:cs="Times New Roman"/>
          <w:sz w:val="24"/>
          <w:szCs w:val="24"/>
        </w:rPr>
        <w:t xml:space="preserve">community </w:t>
      </w:r>
      <w:r w:rsidR="006749F9" w:rsidRPr="00945346">
        <w:rPr>
          <w:rFonts w:cs="Times New Roman"/>
          <w:sz w:val="24"/>
          <w:szCs w:val="24"/>
        </w:rPr>
        <w:t xml:space="preserve">believed to be a precursor to the promised </w:t>
      </w:r>
      <w:r w:rsidR="00E148B2" w:rsidRPr="00945346">
        <w:rPr>
          <w:rFonts w:cs="Times New Roman"/>
          <w:sz w:val="24"/>
          <w:szCs w:val="24"/>
          <w:lang w:bidi="ar-AE"/>
        </w:rPr>
        <w:t>Golden Age</w:t>
      </w:r>
      <w:r w:rsidR="00973E19" w:rsidRPr="00945346">
        <w:rPr>
          <w:rFonts w:cs="Times New Roman"/>
          <w:sz w:val="24"/>
          <w:szCs w:val="24"/>
        </w:rPr>
        <w:t>.</w:t>
      </w:r>
      <w:r w:rsidR="00973E19" w:rsidRPr="00945346">
        <w:rPr>
          <w:rStyle w:val="FootnoteReference"/>
          <w:rFonts w:cs="Times New Roman"/>
          <w:sz w:val="24"/>
          <w:szCs w:val="24"/>
        </w:rPr>
        <w:footnoteReference w:id="54"/>
      </w:r>
    </w:p>
    <w:p w:rsidR="00ED35B3" w:rsidRPr="00A515FF" w:rsidRDefault="00ED35B3" w:rsidP="00E349EC">
      <w:pPr>
        <w:rPr>
          <w:rFonts w:cs="Arial"/>
          <w:color w:val="000000"/>
          <w:rtl/>
        </w:rPr>
      </w:pPr>
    </w:p>
    <w:p w:rsidR="00992471" w:rsidRPr="002F5940" w:rsidRDefault="00992471" w:rsidP="007763A6">
      <w:pPr>
        <w:pStyle w:val="Heading2"/>
      </w:pPr>
      <w:bookmarkStart w:id="17" w:name="_Toc477317379"/>
      <w:r w:rsidRPr="002F5940">
        <w:t>1.</w:t>
      </w:r>
      <w:r w:rsidR="00A5299F">
        <w:t>4</w:t>
      </w:r>
      <w:r w:rsidRPr="002F5940">
        <w:t xml:space="preserve"> Methodology</w:t>
      </w:r>
      <w:bookmarkEnd w:id="17"/>
      <w:r w:rsidR="00ED6654">
        <w:t xml:space="preserve"> </w:t>
      </w:r>
    </w:p>
    <w:p w:rsidR="00477A85" w:rsidRPr="009C16B1" w:rsidRDefault="005D7E8C" w:rsidP="005A4341">
      <w:pPr>
        <w:jc w:val="lowKashida"/>
        <w:rPr>
          <w:sz w:val="24"/>
          <w:szCs w:val="24"/>
        </w:rPr>
      </w:pPr>
      <w:r w:rsidRPr="009C16B1">
        <w:rPr>
          <w:sz w:val="24"/>
          <w:szCs w:val="24"/>
        </w:rPr>
        <w:t xml:space="preserve">In order to explore the various cosmic eschatological narratives in Islam, and the extent to which these reflected the cosmological beliefs espoused in </w:t>
      </w:r>
      <w:r w:rsidR="005A4341" w:rsidRPr="009C16B1">
        <w:rPr>
          <w:sz w:val="24"/>
          <w:szCs w:val="24"/>
        </w:rPr>
        <w:t xml:space="preserve">the studied </w:t>
      </w:r>
      <w:r w:rsidR="005B1CD2" w:rsidRPr="009C16B1">
        <w:rPr>
          <w:sz w:val="24"/>
          <w:szCs w:val="24"/>
        </w:rPr>
        <w:t xml:space="preserve">historical </w:t>
      </w:r>
      <w:r w:rsidR="005A4341" w:rsidRPr="009C16B1">
        <w:rPr>
          <w:sz w:val="24"/>
          <w:szCs w:val="24"/>
        </w:rPr>
        <w:t>period</w:t>
      </w:r>
      <w:r w:rsidRPr="009C16B1">
        <w:rPr>
          <w:sz w:val="24"/>
          <w:szCs w:val="24"/>
        </w:rPr>
        <w:t xml:space="preserve">, this </w:t>
      </w:r>
      <w:r w:rsidR="002B1C59" w:rsidRPr="009C16B1">
        <w:rPr>
          <w:sz w:val="24"/>
          <w:szCs w:val="24"/>
        </w:rPr>
        <w:t>dissertation</w:t>
      </w:r>
      <w:r w:rsidRPr="009C16B1">
        <w:rPr>
          <w:sz w:val="24"/>
          <w:szCs w:val="24"/>
        </w:rPr>
        <w:t xml:space="preserve"> adopts what Georg Hegel (1770-1831 </w:t>
      </w:r>
      <w:r w:rsidRPr="00F14447">
        <w:t>CE</w:t>
      </w:r>
      <w:r w:rsidRPr="009C16B1">
        <w:rPr>
          <w:sz w:val="24"/>
          <w:szCs w:val="24"/>
        </w:rPr>
        <w:t>) defined as the methodologies of reflective and philosophic history.</w:t>
      </w:r>
      <w:r w:rsidRPr="009C16B1">
        <w:rPr>
          <w:rStyle w:val="FootnoteReference"/>
          <w:sz w:val="24"/>
          <w:szCs w:val="24"/>
        </w:rPr>
        <w:footnoteReference w:id="55"/>
      </w:r>
      <w:r w:rsidR="006B2379" w:rsidRPr="009C16B1">
        <w:rPr>
          <w:sz w:val="24"/>
          <w:szCs w:val="24"/>
        </w:rPr>
        <w:t xml:space="preserve"> To</w:t>
      </w:r>
      <w:r w:rsidR="005371E0" w:rsidRPr="009C16B1">
        <w:rPr>
          <w:sz w:val="24"/>
          <w:szCs w:val="24"/>
        </w:rPr>
        <w:t xml:space="preserve"> </w:t>
      </w:r>
      <w:r w:rsidR="00477A85" w:rsidRPr="009C16B1">
        <w:rPr>
          <w:sz w:val="24"/>
          <w:szCs w:val="24"/>
        </w:rPr>
        <w:t xml:space="preserve">Hegel, </w:t>
      </w:r>
      <w:r w:rsidR="00325C44" w:rsidRPr="009C16B1">
        <w:rPr>
          <w:sz w:val="24"/>
          <w:szCs w:val="24"/>
        </w:rPr>
        <w:t>'</w:t>
      </w:r>
      <w:r w:rsidR="00477A85" w:rsidRPr="009C16B1">
        <w:rPr>
          <w:sz w:val="24"/>
          <w:szCs w:val="24"/>
        </w:rPr>
        <w:t>reflective</w:t>
      </w:r>
      <w:r w:rsidR="00196FA4" w:rsidRPr="009C16B1">
        <w:rPr>
          <w:sz w:val="24"/>
          <w:szCs w:val="24"/>
        </w:rPr>
        <w:t>'</w:t>
      </w:r>
      <w:r w:rsidR="00477A85" w:rsidRPr="009C16B1">
        <w:rPr>
          <w:sz w:val="24"/>
          <w:szCs w:val="24"/>
        </w:rPr>
        <w:t xml:space="preserve"> history</w:t>
      </w:r>
      <w:r w:rsidR="00196FA4" w:rsidRPr="009C16B1">
        <w:rPr>
          <w:sz w:val="24"/>
          <w:szCs w:val="24"/>
        </w:rPr>
        <w:t xml:space="preserve"> is 'history whose mode of representation is not really confined by the limits of the time to which it related, but whose spirit transcends the present.'</w:t>
      </w:r>
      <w:r w:rsidR="00196FA4" w:rsidRPr="009C16B1">
        <w:rPr>
          <w:rStyle w:val="FootnoteReference"/>
          <w:sz w:val="24"/>
          <w:szCs w:val="24"/>
        </w:rPr>
        <w:footnoteReference w:id="56"/>
      </w:r>
      <w:r w:rsidR="00196FA4" w:rsidRPr="009C16B1">
        <w:rPr>
          <w:sz w:val="24"/>
          <w:szCs w:val="24"/>
        </w:rPr>
        <w:t xml:space="preserve"> In other words, reflective history may be defined as </w:t>
      </w:r>
      <w:r w:rsidR="00647EED" w:rsidRPr="009C16B1">
        <w:rPr>
          <w:sz w:val="24"/>
          <w:szCs w:val="24"/>
        </w:rPr>
        <w:t>an</w:t>
      </w:r>
      <w:r w:rsidRPr="009C16B1">
        <w:rPr>
          <w:sz w:val="24"/>
          <w:szCs w:val="24"/>
        </w:rPr>
        <w:t xml:space="preserve"> interpre</w:t>
      </w:r>
      <w:r w:rsidR="00647EED" w:rsidRPr="009C16B1">
        <w:rPr>
          <w:sz w:val="24"/>
          <w:szCs w:val="24"/>
        </w:rPr>
        <w:t>tive form of historiography</w:t>
      </w:r>
      <w:r w:rsidRPr="009C16B1">
        <w:rPr>
          <w:sz w:val="24"/>
          <w:szCs w:val="24"/>
        </w:rPr>
        <w:t xml:space="preserve"> </w:t>
      </w:r>
      <w:r w:rsidR="00477A85" w:rsidRPr="009C16B1">
        <w:rPr>
          <w:sz w:val="24"/>
          <w:szCs w:val="24"/>
        </w:rPr>
        <w:t xml:space="preserve">that </w:t>
      </w:r>
      <w:r w:rsidRPr="009C16B1">
        <w:rPr>
          <w:sz w:val="24"/>
          <w:szCs w:val="24"/>
        </w:rPr>
        <w:t xml:space="preserve">reflects back onto past history in an attempt to reevaluate and understand </w:t>
      </w:r>
      <w:r w:rsidR="00AD0259" w:rsidRPr="009C16B1">
        <w:rPr>
          <w:sz w:val="24"/>
          <w:szCs w:val="24"/>
        </w:rPr>
        <w:t xml:space="preserve">present </w:t>
      </w:r>
      <w:r w:rsidRPr="009C16B1">
        <w:rPr>
          <w:sz w:val="24"/>
          <w:szCs w:val="24"/>
        </w:rPr>
        <w:t>historical events.</w:t>
      </w:r>
      <w:r w:rsidRPr="009C16B1">
        <w:rPr>
          <w:sz w:val="24"/>
          <w:szCs w:val="24"/>
          <w:vertAlign w:val="superscript"/>
        </w:rPr>
        <w:t xml:space="preserve"> </w:t>
      </w:r>
      <w:r w:rsidR="00530AED" w:rsidRPr="009C16B1">
        <w:rPr>
          <w:sz w:val="24"/>
          <w:szCs w:val="24"/>
        </w:rPr>
        <w:t>Due to the controversial nature of the topic of apocal</w:t>
      </w:r>
      <w:r w:rsidR="00647EED" w:rsidRPr="009C16B1">
        <w:rPr>
          <w:sz w:val="24"/>
          <w:szCs w:val="24"/>
        </w:rPr>
        <w:t xml:space="preserve">yptic eschatology, this </w:t>
      </w:r>
      <w:r w:rsidR="002B1C59" w:rsidRPr="009C16B1">
        <w:rPr>
          <w:sz w:val="24"/>
          <w:szCs w:val="24"/>
        </w:rPr>
        <w:t>dissertation</w:t>
      </w:r>
      <w:r w:rsidR="00FD0DD2" w:rsidRPr="009C16B1">
        <w:rPr>
          <w:sz w:val="24"/>
          <w:szCs w:val="24"/>
        </w:rPr>
        <w:t xml:space="preserve"> </w:t>
      </w:r>
      <w:r w:rsidR="00DB2E14" w:rsidRPr="009C16B1">
        <w:rPr>
          <w:sz w:val="24"/>
          <w:szCs w:val="24"/>
        </w:rPr>
        <w:t>adopts</w:t>
      </w:r>
      <w:r w:rsidR="00FD0DD2" w:rsidRPr="009C16B1">
        <w:rPr>
          <w:sz w:val="24"/>
          <w:szCs w:val="24"/>
        </w:rPr>
        <w:t xml:space="preserve"> Hegel's</w:t>
      </w:r>
      <w:r w:rsidRPr="009C16B1">
        <w:rPr>
          <w:sz w:val="24"/>
          <w:szCs w:val="24"/>
        </w:rPr>
        <w:t xml:space="preserve"> paradigm </w:t>
      </w:r>
      <w:r w:rsidR="00FD0DD2" w:rsidRPr="009C16B1">
        <w:rPr>
          <w:sz w:val="24"/>
          <w:szCs w:val="24"/>
        </w:rPr>
        <w:t xml:space="preserve">of </w:t>
      </w:r>
      <w:r w:rsidR="00647EED" w:rsidRPr="009C16B1">
        <w:rPr>
          <w:sz w:val="24"/>
          <w:szCs w:val="24"/>
        </w:rPr>
        <w:t xml:space="preserve">'critical reflective history' or </w:t>
      </w:r>
      <w:r w:rsidR="00D14B39" w:rsidRPr="009C16B1">
        <w:rPr>
          <w:sz w:val="24"/>
          <w:szCs w:val="24"/>
        </w:rPr>
        <w:t>what Edgar Krentz described</w:t>
      </w:r>
      <w:r w:rsidR="00FD0DD2" w:rsidRPr="009C16B1">
        <w:rPr>
          <w:sz w:val="24"/>
          <w:szCs w:val="24"/>
        </w:rPr>
        <w:t xml:space="preserve"> as 'the art of interrogation and evaluation.'</w:t>
      </w:r>
      <w:r w:rsidR="00FD0DD2" w:rsidRPr="009C16B1">
        <w:rPr>
          <w:rStyle w:val="FootnoteReference"/>
          <w:sz w:val="24"/>
          <w:szCs w:val="24"/>
        </w:rPr>
        <w:footnoteReference w:id="57"/>
      </w:r>
      <w:r w:rsidR="005371E0" w:rsidRPr="009C16B1">
        <w:rPr>
          <w:sz w:val="24"/>
          <w:szCs w:val="24"/>
        </w:rPr>
        <w:t xml:space="preserve"> Krentz wrote that</w:t>
      </w:r>
      <w:r w:rsidR="00FD0DD2" w:rsidRPr="009C16B1">
        <w:rPr>
          <w:sz w:val="24"/>
          <w:szCs w:val="24"/>
        </w:rPr>
        <w:t xml:space="preserve"> </w:t>
      </w:r>
      <w:r w:rsidR="005371E0" w:rsidRPr="009C16B1">
        <w:rPr>
          <w:sz w:val="24"/>
          <w:szCs w:val="24"/>
        </w:rPr>
        <w:t xml:space="preserve">in this methodology </w:t>
      </w:r>
      <w:r w:rsidR="00FD0DD2" w:rsidRPr="009C16B1">
        <w:rPr>
          <w:sz w:val="24"/>
          <w:szCs w:val="24"/>
        </w:rPr>
        <w:t xml:space="preserve">the historian </w:t>
      </w:r>
      <w:r w:rsidR="00C136CD" w:rsidRPr="009C16B1">
        <w:rPr>
          <w:sz w:val="24"/>
          <w:szCs w:val="24"/>
        </w:rPr>
        <w:t xml:space="preserve">treats his sources </w:t>
      </w:r>
      <w:r w:rsidRPr="009C16B1">
        <w:rPr>
          <w:sz w:val="24"/>
          <w:szCs w:val="24"/>
        </w:rPr>
        <w:t>'</w:t>
      </w:r>
      <w:r w:rsidRPr="009C16B1">
        <w:rPr>
          <w:rFonts w:cs="Times New Roman"/>
          <w:sz w:val="24"/>
          <w:szCs w:val="24"/>
        </w:rPr>
        <w:t>like witnesses in a court of law: they must be interroga</w:t>
      </w:r>
      <w:r w:rsidR="005371E0" w:rsidRPr="009C16B1">
        <w:rPr>
          <w:rFonts w:cs="Times New Roman"/>
          <w:sz w:val="24"/>
          <w:szCs w:val="24"/>
        </w:rPr>
        <w:t>ted and their answers evaluated.</w:t>
      </w:r>
      <w:r w:rsidRPr="009C16B1">
        <w:rPr>
          <w:rFonts w:cs="Times New Roman"/>
          <w:sz w:val="24"/>
          <w:szCs w:val="24"/>
        </w:rPr>
        <w:t>'</w:t>
      </w:r>
      <w:r w:rsidRPr="009C16B1">
        <w:rPr>
          <w:rStyle w:val="FootnoteReference"/>
          <w:rFonts w:cs="Times New Roman"/>
          <w:sz w:val="24"/>
          <w:szCs w:val="24"/>
        </w:rPr>
        <w:footnoteReference w:id="58"/>
      </w:r>
      <w:r w:rsidRPr="009C16B1">
        <w:rPr>
          <w:rFonts w:ascii="Times New Roman" w:hAnsi="Times New Roman" w:cs="Times New Roman"/>
          <w:sz w:val="24"/>
          <w:szCs w:val="24"/>
        </w:rPr>
        <w:t xml:space="preserve"> </w:t>
      </w:r>
      <w:r w:rsidR="00D14B39" w:rsidRPr="009C16B1">
        <w:rPr>
          <w:sz w:val="24"/>
          <w:szCs w:val="24"/>
        </w:rPr>
        <w:t xml:space="preserve">Alternatively, </w:t>
      </w:r>
      <w:r w:rsidR="005371E0" w:rsidRPr="009C16B1">
        <w:rPr>
          <w:sz w:val="24"/>
          <w:szCs w:val="24"/>
        </w:rPr>
        <w:t>the term '</w:t>
      </w:r>
      <w:r w:rsidR="00D14B39" w:rsidRPr="009C16B1">
        <w:rPr>
          <w:sz w:val="24"/>
          <w:szCs w:val="24"/>
        </w:rPr>
        <w:t>p</w:t>
      </w:r>
      <w:r w:rsidRPr="009C16B1">
        <w:rPr>
          <w:sz w:val="24"/>
          <w:szCs w:val="24"/>
        </w:rPr>
        <w:t>hilosophi</w:t>
      </w:r>
      <w:r w:rsidR="00477A85" w:rsidRPr="009C16B1">
        <w:rPr>
          <w:sz w:val="24"/>
          <w:szCs w:val="24"/>
        </w:rPr>
        <w:t>c history</w:t>
      </w:r>
      <w:r w:rsidR="005371E0" w:rsidRPr="009C16B1">
        <w:rPr>
          <w:sz w:val="24"/>
          <w:szCs w:val="24"/>
        </w:rPr>
        <w:t>' is used by Hegel to refer to the</w:t>
      </w:r>
      <w:r w:rsidR="00EC09EC" w:rsidRPr="009C16B1">
        <w:rPr>
          <w:sz w:val="24"/>
          <w:szCs w:val="24"/>
        </w:rPr>
        <w:t xml:space="preserve"> 'thoughtful consideration'</w:t>
      </w:r>
      <w:r w:rsidR="005371E0" w:rsidRPr="009C16B1">
        <w:rPr>
          <w:sz w:val="24"/>
          <w:szCs w:val="24"/>
        </w:rPr>
        <w:t xml:space="preserve"> </w:t>
      </w:r>
      <w:r w:rsidR="00EC09EC" w:rsidRPr="009C16B1">
        <w:rPr>
          <w:sz w:val="24"/>
          <w:szCs w:val="24"/>
        </w:rPr>
        <w:t xml:space="preserve">of history, perceiving and evaluating the rational processes that </w:t>
      </w:r>
      <w:r w:rsidR="00DD5B21" w:rsidRPr="009C16B1">
        <w:rPr>
          <w:sz w:val="24"/>
          <w:szCs w:val="24"/>
        </w:rPr>
        <w:t>drive and form the collective history of the world</w:t>
      </w:r>
      <w:r w:rsidRPr="009C16B1">
        <w:rPr>
          <w:sz w:val="24"/>
          <w:szCs w:val="24"/>
        </w:rPr>
        <w:t>.</w:t>
      </w:r>
      <w:r w:rsidRPr="009C16B1">
        <w:rPr>
          <w:rStyle w:val="FootnoteReference"/>
          <w:sz w:val="24"/>
          <w:szCs w:val="24"/>
        </w:rPr>
        <w:footnoteReference w:id="59"/>
      </w:r>
      <w:r w:rsidRPr="009C16B1">
        <w:rPr>
          <w:sz w:val="24"/>
          <w:szCs w:val="24"/>
        </w:rPr>
        <w:t xml:space="preserve"> </w:t>
      </w:r>
      <w:r w:rsidR="00D14B39" w:rsidRPr="009C16B1">
        <w:rPr>
          <w:sz w:val="24"/>
          <w:szCs w:val="24"/>
        </w:rPr>
        <w:t>Since</w:t>
      </w:r>
      <w:r w:rsidR="00477A85" w:rsidRPr="009C16B1">
        <w:rPr>
          <w:sz w:val="24"/>
          <w:szCs w:val="24"/>
        </w:rPr>
        <w:t xml:space="preserve"> eschatological history transcends </w:t>
      </w:r>
      <w:r w:rsidR="00477A85" w:rsidRPr="009C16B1">
        <w:rPr>
          <w:sz w:val="24"/>
          <w:szCs w:val="24"/>
        </w:rPr>
        <w:lastRenderedPageBreak/>
        <w:t xml:space="preserve">the notion of mundane history to </w:t>
      </w:r>
      <w:r w:rsidR="00DD5B21" w:rsidRPr="009C16B1">
        <w:rPr>
          <w:sz w:val="24"/>
          <w:szCs w:val="24"/>
        </w:rPr>
        <w:t>t</w:t>
      </w:r>
      <w:r w:rsidR="00477A85" w:rsidRPr="009C16B1">
        <w:rPr>
          <w:sz w:val="24"/>
          <w:szCs w:val="24"/>
        </w:rPr>
        <w:t xml:space="preserve">he metaphysics of </w:t>
      </w:r>
      <w:r w:rsidR="00BA661E" w:rsidRPr="009C16B1">
        <w:rPr>
          <w:sz w:val="24"/>
          <w:szCs w:val="24"/>
        </w:rPr>
        <w:t xml:space="preserve">the </w:t>
      </w:r>
      <w:r w:rsidR="00477A85" w:rsidRPr="009C16B1">
        <w:rPr>
          <w:sz w:val="24"/>
          <w:szCs w:val="24"/>
        </w:rPr>
        <w:t xml:space="preserve">afterlife, </w:t>
      </w:r>
      <w:r w:rsidR="009156C8" w:rsidRPr="009C16B1">
        <w:rPr>
          <w:sz w:val="24"/>
          <w:szCs w:val="24"/>
        </w:rPr>
        <w:t>adopting a philosophical perspective of</w:t>
      </w:r>
      <w:r w:rsidR="00477A85" w:rsidRPr="009C16B1">
        <w:rPr>
          <w:sz w:val="24"/>
          <w:szCs w:val="24"/>
        </w:rPr>
        <w:t xml:space="preserve"> history becomes essential.  </w:t>
      </w:r>
    </w:p>
    <w:p w:rsidR="00526819" w:rsidRPr="009C16B1" w:rsidRDefault="00526819" w:rsidP="003C26F4">
      <w:pPr>
        <w:jc w:val="lowKashida"/>
        <w:rPr>
          <w:sz w:val="24"/>
          <w:szCs w:val="24"/>
        </w:rPr>
      </w:pPr>
    </w:p>
    <w:p w:rsidR="0090286A" w:rsidRPr="009C16B1" w:rsidRDefault="00C61B59" w:rsidP="00C61B59">
      <w:pPr>
        <w:jc w:val="lowKashida"/>
        <w:rPr>
          <w:sz w:val="24"/>
          <w:szCs w:val="24"/>
        </w:rPr>
      </w:pPr>
      <w:r w:rsidRPr="009C16B1">
        <w:rPr>
          <w:sz w:val="24"/>
          <w:szCs w:val="24"/>
        </w:rPr>
        <w:t>Describing the hostility of both religious institutions and academia towards apocalyptic faith, Cook wrote how</w:t>
      </w:r>
      <w:r w:rsidR="0050545D" w:rsidRPr="009C16B1">
        <w:rPr>
          <w:sz w:val="24"/>
          <w:szCs w:val="24"/>
        </w:rPr>
        <w:t xml:space="preserve"> </w:t>
      </w:r>
      <w:r w:rsidRPr="009C16B1">
        <w:rPr>
          <w:sz w:val="24"/>
          <w:szCs w:val="24"/>
        </w:rPr>
        <w:t xml:space="preserve">the </w:t>
      </w:r>
      <w:r w:rsidR="0050545D" w:rsidRPr="009C16B1">
        <w:rPr>
          <w:sz w:val="24"/>
          <w:szCs w:val="24"/>
        </w:rPr>
        <w:t>'general disdain</w:t>
      </w:r>
      <w:r w:rsidRPr="009C16B1">
        <w:rPr>
          <w:sz w:val="24"/>
          <w:szCs w:val="24"/>
        </w:rPr>
        <w:t xml:space="preserve"> for such beliefs is</w:t>
      </w:r>
      <w:r w:rsidR="0050545D" w:rsidRPr="009C16B1">
        <w:rPr>
          <w:sz w:val="24"/>
          <w:szCs w:val="24"/>
        </w:rPr>
        <w:t xml:space="preserve"> </w:t>
      </w:r>
      <w:r w:rsidRPr="009C16B1">
        <w:rPr>
          <w:sz w:val="24"/>
          <w:szCs w:val="24"/>
        </w:rPr>
        <w:t>so great that a scholar publishing on this subject is a source of acute embarrassment to any established religious institution of higher learning with which he – or very rarely she – is associated.'</w:t>
      </w:r>
      <w:r w:rsidRPr="009C16B1">
        <w:rPr>
          <w:rStyle w:val="FootnoteReference"/>
          <w:sz w:val="24"/>
          <w:szCs w:val="24"/>
        </w:rPr>
        <w:footnoteReference w:id="60"/>
      </w:r>
      <w:r w:rsidRPr="009C16B1">
        <w:rPr>
          <w:sz w:val="24"/>
          <w:szCs w:val="24"/>
        </w:rPr>
        <w:t xml:space="preserve"> This therefore</w:t>
      </w:r>
      <w:r w:rsidR="00D14B39" w:rsidRPr="009C16B1">
        <w:rPr>
          <w:sz w:val="24"/>
          <w:szCs w:val="24"/>
        </w:rPr>
        <w:t xml:space="preserve"> </w:t>
      </w:r>
      <w:r w:rsidR="00D526BD" w:rsidRPr="009C16B1">
        <w:rPr>
          <w:sz w:val="24"/>
          <w:szCs w:val="24"/>
        </w:rPr>
        <w:t xml:space="preserve">necessitates the </w:t>
      </w:r>
      <w:r w:rsidR="00315CF4" w:rsidRPr="009C16B1">
        <w:rPr>
          <w:sz w:val="24"/>
          <w:szCs w:val="24"/>
        </w:rPr>
        <w:t>engage</w:t>
      </w:r>
      <w:r w:rsidR="00D526BD" w:rsidRPr="009C16B1">
        <w:rPr>
          <w:sz w:val="24"/>
          <w:szCs w:val="24"/>
        </w:rPr>
        <w:t>ment</w:t>
      </w:r>
      <w:r w:rsidR="00315CF4" w:rsidRPr="009C16B1">
        <w:rPr>
          <w:sz w:val="24"/>
          <w:szCs w:val="24"/>
        </w:rPr>
        <w:t xml:space="preserve"> in a historical inquir</w:t>
      </w:r>
      <w:r w:rsidR="00492125" w:rsidRPr="009C16B1">
        <w:rPr>
          <w:sz w:val="24"/>
          <w:szCs w:val="24"/>
        </w:rPr>
        <w:t>y</w:t>
      </w:r>
      <w:r w:rsidR="00D526BD" w:rsidRPr="009C16B1">
        <w:rPr>
          <w:sz w:val="24"/>
          <w:szCs w:val="24"/>
        </w:rPr>
        <w:t xml:space="preserve"> </w:t>
      </w:r>
      <w:r w:rsidR="00492125" w:rsidRPr="009C16B1">
        <w:rPr>
          <w:sz w:val="24"/>
          <w:szCs w:val="24"/>
        </w:rPr>
        <w:t>from the vantage point of</w:t>
      </w:r>
      <w:r w:rsidR="00315CF4" w:rsidRPr="009C16B1">
        <w:rPr>
          <w:sz w:val="24"/>
          <w:szCs w:val="24"/>
        </w:rPr>
        <w:t xml:space="preserve"> </w:t>
      </w:r>
      <w:r w:rsidR="00606E0C" w:rsidRPr="009C16B1">
        <w:rPr>
          <w:sz w:val="24"/>
          <w:szCs w:val="24"/>
        </w:rPr>
        <w:t>postmodern</w:t>
      </w:r>
      <w:r w:rsidR="00492125" w:rsidRPr="009C16B1">
        <w:rPr>
          <w:sz w:val="24"/>
          <w:szCs w:val="24"/>
        </w:rPr>
        <w:t xml:space="preserve">ism, </w:t>
      </w:r>
      <w:r w:rsidR="00315CF4" w:rsidRPr="009C16B1">
        <w:rPr>
          <w:sz w:val="24"/>
          <w:szCs w:val="24"/>
        </w:rPr>
        <w:t xml:space="preserve">which according to Brenda K. Marshall </w:t>
      </w:r>
      <w:r w:rsidR="00492125" w:rsidRPr="009C16B1">
        <w:rPr>
          <w:sz w:val="24"/>
          <w:szCs w:val="24"/>
        </w:rPr>
        <w:t>focuses on</w:t>
      </w:r>
      <w:r w:rsidR="00315CF4" w:rsidRPr="009C16B1">
        <w:rPr>
          <w:sz w:val="24"/>
          <w:szCs w:val="24"/>
        </w:rPr>
        <w:t xml:space="preserve"> </w:t>
      </w:r>
      <w:r w:rsidR="00606E0C" w:rsidRPr="009C16B1">
        <w:rPr>
          <w:sz w:val="24"/>
          <w:szCs w:val="24"/>
        </w:rPr>
        <w:t>'Histories forgotten, hidden, invisible, considered unimportant, changed, eradicated.'</w:t>
      </w:r>
      <w:r w:rsidR="00606E0C" w:rsidRPr="009C16B1">
        <w:rPr>
          <w:rStyle w:val="FootnoteReference"/>
          <w:sz w:val="24"/>
          <w:szCs w:val="24"/>
        </w:rPr>
        <w:footnoteReference w:id="61"/>
      </w:r>
      <w:r w:rsidR="00606E0C" w:rsidRPr="009C16B1">
        <w:rPr>
          <w:sz w:val="24"/>
          <w:szCs w:val="24"/>
        </w:rPr>
        <w:t xml:space="preserve"> </w:t>
      </w:r>
      <w:r w:rsidR="00A8267D" w:rsidRPr="009C16B1">
        <w:rPr>
          <w:sz w:val="24"/>
          <w:szCs w:val="24"/>
        </w:rPr>
        <w:t>E</w:t>
      </w:r>
      <w:r w:rsidR="00315CF4" w:rsidRPr="009C16B1">
        <w:rPr>
          <w:sz w:val="24"/>
          <w:szCs w:val="24"/>
        </w:rPr>
        <w:t>mploying postmode</w:t>
      </w:r>
      <w:r w:rsidR="00A8267D" w:rsidRPr="009C16B1">
        <w:rPr>
          <w:sz w:val="24"/>
          <w:szCs w:val="24"/>
        </w:rPr>
        <w:t xml:space="preserve">rnism as a guiding epistemology </w:t>
      </w:r>
      <w:r w:rsidR="00315CF4" w:rsidRPr="009C16B1">
        <w:rPr>
          <w:sz w:val="24"/>
          <w:szCs w:val="24"/>
        </w:rPr>
        <w:t>involve</w:t>
      </w:r>
      <w:r w:rsidR="00A8267D" w:rsidRPr="009C16B1">
        <w:rPr>
          <w:sz w:val="24"/>
          <w:szCs w:val="24"/>
        </w:rPr>
        <w:t>s</w:t>
      </w:r>
      <w:r w:rsidR="00315CF4" w:rsidRPr="009C16B1">
        <w:rPr>
          <w:sz w:val="24"/>
          <w:szCs w:val="24"/>
        </w:rPr>
        <w:t xml:space="preserve"> demonstrating what </w:t>
      </w:r>
      <w:r w:rsidR="00606E0C" w:rsidRPr="009C16B1">
        <w:rPr>
          <w:sz w:val="24"/>
          <w:szCs w:val="24"/>
        </w:rPr>
        <w:t>Jean-Franç</w:t>
      </w:r>
      <w:r w:rsidR="007D4391" w:rsidRPr="009C16B1">
        <w:rPr>
          <w:sz w:val="24"/>
          <w:szCs w:val="24"/>
        </w:rPr>
        <w:t>ois Lyotard</w:t>
      </w:r>
      <w:r w:rsidR="00606E0C" w:rsidRPr="009C16B1">
        <w:rPr>
          <w:sz w:val="24"/>
          <w:szCs w:val="24"/>
        </w:rPr>
        <w:t xml:space="preserve"> </w:t>
      </w:r>
      <w:r w:rsidR="00315CF4" w:rsidRPr="009C16B1">
        <w:rPr>
          <w:sz w:val="24"/>
          <w:szCs w:val="24"/>
        </w:rPr>
        <w:t>described</w:t>
      </w:r>
      <w:r w:rsidR="00606E0C" w:rsidRPr="009C16B1">
        <w:rPr>
          <w:sz w:val="24"/>
          <w:szCs w:val="24"/>
        </w:rPr>
        <w:t xml:space="preserve"> as</w:t>
      </w:r>
      <w:r w:rsidR="00606E0C" w:rsidRPr="009C16B1">
        <w:rPr>
          <w:rFonts w:eastAsia="Fd311241-Identity-H" w:cs="Fd441381-Identity-H"/>
          <w:sz w:val="24"/>
          <w:szCs w:val="24"/>
        </w:rPr>
        <w:t xml:space="preserve"> '</w:t>
      </w:r>
      <w:r w:rsidR="00606E0C" w:rsidRPr="009C16B1">
        <w:rPr>
          <w:rFonts w:eastAsia="Fd311241-Identity-H" w:cs="Fd311241-Identity-H"/>
          <w:sz w:val="24"/>
          <w:szCs w:val="24"/>
        </w:rPr>
        <w:t>incredulity toward metanarratives</w:t>
      </w:r>
      <w:r w:rsidR="00B40C2F" w:rsidRPr="009C16B1">
        <w:rPr>
          <w:rFonts w:eastAsia="Fd311241-Identity-H" w:cs="Fd311241-Identity-H"/>
          <w:sz w:val="24"/>
          <w:szCs w:val="24"/>
        </w:rPr>
        <w:t>,'</w:t>
      </w:r>
      <w:r w:rsidR="00606E0C" w:rsidRPr="009C16B1">
        <w:rPr>
          <w:rFonts w:eastAsia="Fd311241-Identity-H" w:cs="Fd311241-Identity-H"/>
          <w:sz w:val="24"/>
          <w:szCs w:val="24"/>
        </w:rPr>
        <w:t xml:space="preserve"> </w:t>
      </w:r>
      <w:r w:rsidR="005371E0" w:rsidRPr="009C16B1">
        <w:rPr>
          <w:rFonts w:eastAsia="Fd311241-Identity-H" w:cs="Fd311241-Identity-H"/>
          <w:sz w:val="24"/>
          <w:szCs w:val="24"/>
        </w:rPr>
        <w:t xml:space="preserve">or </w:t>
      </w:r>
      <w:r w:rsidR="00B40C2F" w:rsidRPr="009C16B1">
        <w:rPr>
          <w:rFonts w:eastAsia="Fd311241-Identity-H" w:cs="Fd311241-Identity-H"/>
          <w:sz w:val="24"/>
          <w:szCs w:val="24"/>
        </w:rPr>
        <w:t xml:space="preserve">dominant </w:t>
      </w:r>
      <w:r w:rsidR="00D14B39" w:rsidRPr="009C16B1">
        <w:rPr>
          <w:rFonts w:eastAsia="Fd311241-Identity-H" w:cs="Fd311241-Identity-H"/>
          <w:sz w:val="24"/>
          <w:szCs w:val="24"/>
        </w:rPr>
        <w:t xml:space="preserve">academic </w:t>
      </w:r>
      <w:r w:rsidR="00B40C2F" w:rsidRPr="009C16B1">
        <w:rPr>
          <w:rFonts w:eastAsia="Fd311241-Identity-H" w:cs="Fd311241-Identity-H"/>
          <w:sz w:val="24"/>
          <w:szCs w:val="24"/>
        </w:rPr>
        <w:t>discourse</w:t>
      </w:r>
      <w:r w:rsidR="00606E0C" w:rsidRPr="009C16B1">
        <w:rPr>
          <w:rFonts w:eastAsia="Fd311241-Identity-H" w:cs="Fd311241-Identity-H"/>
          <w:sz w:val="24"/>
          <w:szCs w:val="24"/>
        </w:rPr>
        <w:t>.</w:t>
      </w:r>
      <w:r w:rsidR="00606E0C" w:rsidRPr="009C16B1">
        <w:rPr>
          <w:rStyle w:val="FootnoteReference"/>
          <w:rFonts w:eastAsia="Fd311241-Identity-H" w:cs="Fd311241-Identity-H"/>
          <w:sz w:val="24"/>
          <w:szCs w:val="24"/>
        </w:rPr>
        <w:footnoteReference w:id="62"/>
      </w:r>
      <w:r w:rsidR="00FD1D8B" w:rsidRPr="009C16B1">
        <w:rPr>
          <w:sz w:val="24"/>
          <w:szCs w:val="24"/>
        </w:rPr>
        <w:t xml:space="preserve"> </w:t>
      </w:r>
      <w:r w:rsidR="005902BD" w:rsidRPr="009C16B1">
        <w:rPr>
          <w:sz w:val="24"/>
          <w:szCs w:val="24"/>
        </w:rPr>
        <w:t>To understand the</w:t>
      </w:r>
      <w:r w:rsidR="00057433" w:rsidRPr="009C16B1">
        <w:rPr>
          <w:sz w:val="24"/>
          <w:szCs w:val="24"/>
        </w:rPr>
        <w:t xml:space="preserve"> intense emotions associated with religious beliefs</w:t>
      </w:r>
      <w:r w:rsidR="009D14F1" w:rsidRPr="009C16B1">
        <w:rPr>
          <w:sz w:val="24"/>
          <w:szCs w:val="24"/>
        </w:rPr>
        <w:t xml:space="preserve">, Ninian Smart proposed </w:t>
      </w:r>
      <w:r w:rsidR="00F5135C" w:rsidRPr="009C16B1">
        <w:rPr>
          <w:sz w:val="24"/>
          <w:szCs w:val="24"/>
        </w:rPr>
        <w:t>embracing</w:t>
      </w:r>
      <w:r w:rsidR="009D14F1" w:rsidRPr="009C16B1">
        <w:rPr>
          <w:sz w:val="24"/>
          <w:szCs w:val="24"/>
        </w:rPr>
        <w:t xml:space="preserve"> a</w:t>
      </w:r>
      <w:r w:rsidR="00057433" w:rsidRPr="009C16B1">
        <w:rPr>
          <w:sz w:val="24"/>
          <w:szCs w:val="24"/>
        </w:rPr>
        <w:t xml:space="preserve"> stance </w:t>
      </w:r>
      <w:r w:rsidR="009D14F1" w:rsidRPr="009C16B1">
        <w:rPr>
          <w:sz w:val="24"/>
          <w:szCs w:val="24"/>
        </w:rPr>
        <w:t>that employs</w:t>
      </w:r>
      <w:r w:rsidR="00057433" w:rsidRPr="009C16B1">
        <w:rPr>
          <w:sz w:val="24"/>
          <w:szCs w:val="24"/>
        </w:rPr>
        <w:t xml:space="preserve"> sensitiv</w:t>
      </w:r>
      <w:r w:rsidR="009D14F1" w:rsidRPr="009C16B1">
        <w:rPr>
          <w:sz w:val="24"/>
          <w:szCs w:val="24"/>
        </w:rPr>
        <w:t>e empathy</w:t>
      </w:r>
      <w:r w:rsidR="00057433" w:rsidRPr="009C16B1">
        <w:rPr>
          <w:sz w:val="24"/>
          <w:szCs w:val="24"/>
        </w:rPr>
        <w:t>.</w:t>
      </w:r>
      <w:r w:rsidR="004379B1" w:rsidRPr="009C16B1">
        <w:rPr>
          <w:rStyle w:val="FootnoteReference"/>
          <w:sz w:val="24"/>
          <w:szCs w:val="24"/>
        </w:rPr>
        <w:footnoteReference w:id="63"/>
      </w:r>
      <w:r w:rsidR="002C75A1" w:rsidRPr="009C16B1">
        <w:rPr>
          <w:sz w:val="24"/>
          <w:szCs w:val="24"/>
        </w:rPr>
        <w:t xml:space="preserve"> </w:t>
      </w:r>
      <w:r w:rsidR="005902BD" w:rsidRPr="009C16B1">
        <w:rPr>
          <w:sz w:val="24"/>
          <w:szCs w:val="24"/>
        </w:rPr>
        <w:t>The</w:t>
      </w:r>
      <w:r w:rsidR="00057433" w:rsidRPr="009C16B1">
        <w:rPr>
          <w:sz w:val="24"/>
          <w:szCs w:val="24"/>
        </w:rPr>
        <w:t xml:space="preserve"> empath</w:t>
      </w:r>
      <w:r w:rsidR="003679CB" w:rsidRPr="009C16B1">
        <w:rPr>
          <w:sz w:val="24"/>
          <w:szCs w:val="24"/>
        </w:rPr>
        <w:t>et</w:t>
      </w:r>
      <w:r w:rsidR="00057433" w:rsidRPr="009C16B1">
        <w:rPr>
          <w:sz w:val="24"/>
          <w:szCs w:val="24"/>
        </w:rPr>
        <w:t>ic</w:t>
      </w:r>
      <w:r w:rsidR="002F5985" w:rsidRPr="009C16B1">
        <w:rPr>
          <w:sz w:val="24"/>
          <w:szCs w:val="24"/>
        </w:rPr>
        <w:t xml:space="preserve"> understanding that </w:t>
      </w:r>
      <w:r w:rsidR="000F3691" w:rsidRPr="009C16B1">
        <w:rPr>
          <w:sz w:val="24"/>
          <w:szCs w:val="24"/>
        </w:rPr>
        <w:t>is provided</w:t>
      </w:r>
      <w:r w:rsidR="00FA0A93" w:rsidRPr="009C16B1">
        <w:rPr>
          <w:sz w:val="24"/>
          <w:szCs w:val="24"/>
        </w:rPr>
        <w:t xml:space="preserve"> in</w:t>
      </w:r>
      <w:r w:rsidR="001C7774" w:rsidRPr="009C16B1">
        <w:rPr>
          <w:sz w:val="24"/>
          <w:szCs w:val="24"/>
        </w:rPr>
        <w:t xml:space="preserve"> this study </w:t>
      </w:r>
      <w:r w:rsidR="00057433" w:rsidRPr="009C16B1">
        <w:rPr>
          <w:sz w:val="24"/>
          <w:szCs w:val="24"/>
        </w:rPr>
        <w:t xml:space="preserve">comes </w:t>
      </w:r>
      <w:r w:rsidR="002F5985" w:rsidRPr="009C16B1">
        <w:rPr>
          <w:sz w:val="24"/>
          <w:szCs w:val="24"/>
        </w:rPr>
        <w:t>mainly</w:t>
      </w:r>
      <w:r w:rsidR="009D14F1" w:rsidRPr="009C16B1">
        <w:rPr>
          <w:sz w:val="24"/>
          <w:szCs w:val="24"/>
        </w:rPr>
        <w:t xml:space="preserve"> from</w:t>
      </w:r>
      <w:r w:rsidR="00057433" w:rsidRPr="009C16B1">
        <w:rPr>
          <w:sz w:val="24"/>
          <w:szCs w:val="24"/>
        </w:rPr>
        <w:t xml:space="preserve"> my</w:t>
      </w:r>
      <w:r w:rsidR="00BB543B" w:rsidRPr="009C16B1">
        <w:rPr>
          <w:sz w:val="24"/>
          <w:szCs w:val="24"/>
        </w:rPr>
        <w:t xml:space="preserve"> insider p</w:t>
      </w:r>
      <w:r w:rsidR="00057433" w:rsidRPr="009C16B1">
        <w:rPr>
          <w:sz w:val="24"/>
          <w:szCs w:val="24"/>
        </w:rPr>
        <w:t>erspective as a Muslim Arab. As state</w:t>
      </w:r>
      <w:r w:rsidR="002F5985" w:rsidRPr="009C16B1">
        <w:rPr>
          <w:sz w:val="24"/>
          <w:szCs w:val="24"/>
        </w:rPr>
        <w:t>d by</w:t>
      </w:r>
      <w:r w:rsidR="00793268" w:rsidRPr="009C16B1">
        <w:rPr>
          <w:sz w:val="24"/>
          <w:szCs w:val="24"/>
        </w:rPr>
        <w:t xml:space="preserve"> Monique Hennink et al., such a</w:t>
      </w:r>
      <w:r w:rsidR="00057433" w:rsidRPr="009C16B1">
        <w:rPr>
          <w:sz w:val="24"/>
          <w:szCs w:val="24"/>
        </w:rPr>
        <w:t xml:space="preserve"> </w:t>
      </w:r>
      <w:r w:rsidR="00E30DA1" w:rsidRPr="009C16B1">
        <w:rPr>
          <w:sz w:val="24"/>
          <w:szCs w:val="24"/>
        </w:rPr>
        <w:t>position</w:t>
      </w:r>
      <w:r w:rsidR="00057433" w:rsidRPr="009C16B1">
        <w:rPr>
          <w:sz w:val="24"/>
          <w:szCs w:val="24"/>
        </w:rPr>
        <w:t xml:space="preserve"> </w:t>
      </w:r>
      <w:r w:rsidR="002C75A1" w:rsidRPr="009C16B1">
        <w:rPr>
          <w:sz w:val="24"/>
          <w:szCs w:val="24"/>
        </w:rPr>
        <w:t>'provides information on the insider's point of view, the insider's perceptio</w:t>
      </w:r>
      <w:r w:rsidR="00D253E1" w:rsidRPr="009C16B1">
        <w:rPr>
          <w:sz w:val="24"/>
          <w:szCs w:val="24"/>
        </w:rPr>
        <w:t>ns, beliefs, and meaning system</w:t>
      </w:r>
      <w:r w:rsidR="002C75A1" w:rsidRPr="009C16B1">
        <w:rPr>
          <w:sz w:val="24"/>
          <w:szCs w:val="24"/>
        </w:rPr>
        <w:t>.</w:t>
      </w:r>
      <w:r w:rsidR="005D75E2" w:rsidRPr="009C16B1">
        <w:rPr>
          <w:sz w:val="24"/>
          <w:szCs w:val="24"/>
        </w:rPr>
        <w:t>'</w:t>
      </w:r>
      <w:r w:rsidR="003017B6" w:rsidRPr="009C16B1">
        <w:rPr>
          <w:rStyle w:val="FootnoteReference"/>
          <w:sz w:val="24"/>
          <w:szCs w:val="24"/>
        </w:rPr>
        <w:footnoteReference w:id="64"/>
      </w:r>
      <w:r w:rsidR="003017B6" w:rsidRPr="009C16B1">
        <w:rPr>
          <w:sz w:val="24"/>
          <w:szCs w:val="24"/>
        </w:rPr>
        <w:t xml:space="preserve"> </w:t>
      </w:r>
      <w:r w:rsidR="002F5985" w:rsidRPr="009C16B1">
        <w:rPr>
          <w:sz w:val="24"/>
          <w:szCs w:val="24"/>
        </w:rPr>
        <w:t xml:space="preserve">My </w:t>
      </w:r>
      <w:r w:rsidR="00E30DA1" w:rsidRPr="009C16B1">
        <w:rPr>
          <w:sz w:val="24"/>
          <w:szCs w:val="24"/>
        </w:rPr>
        <w:t xml:space="preserve">cultural identity thus </w:t>
      </w:r>
      <w:r w:rsidR="00BC7B89" w:rsidRPr="009C16B1">
        <w:rPr>
          <w:sz w:val="24"/>
          <w:szCs w:val="24"/>
        </w:rPr>
        <w:t>facilitate</w:t>
      </w:r>
      <w:r w:rsidR="00057433" w:rsidRPr="009C16B1">
        <w:rPr>
          <w:sz w:val="24"/>
          <w:szCs w:val="24"/>
        </w:rPr>
        <w:t>s</w:t>
      </w:r>
      <w:r w:rsidR="00BC7B89" w:rsidRPr="009C16B1">
        <w:rPr>
          <w:sz w:val="24"/>
          <w:szCs w:val="24"/>
        </w:rPr>
        <w:t xml:space="preserve"> the process of attaining a reasonable degree of </w:t>
      </w:r>
      <w:r w:rsidR="00BC7B89" w:rsidRPr="009C16B1">
        <w:rPr>
          <w:i/>
          <w:iCs/>
          <w:sz w:val="24"/>
          <w:szCs w:val="24"/>
        </w:rPr>
        <w:t xml:space="preserve">verstehen, </w:t>
      </w:r>
      <w:r w:rsidR="00BC7B89" w:rsidRPr="009C16B1">
        <w:rPr>
          <w:sz w:val="24"/>
          <w:szCs w:val="24"/>
        </w:rPr>
        <w:t>which a</w:t>
      </w:r>
      <w:r w:rsidR="00BF2A1B" w:rsidRPr="009C16B1">
        <w:rPr>
          <w:sz w:val="24"/>
          <w:szCs w:val="24"/>
        </w:rPr>
        <w:t xml:space="preserve">ccording to Hennink et al., </w:t>
      </w:r>
      <w:r w:rsidR="00BC7B89" w:rsidRPr="009C16B1">
        <w:rPr>
          <w:sz w:val="24"/>
          <w:szCs w:val="24"/>
        </w:rPr>
        <w:t xml:space="preserve">is </w:t>
      </w:r>
      <w:r w:rsidR="002F5985" w:rsidRPr="009C16B1">
        <w:rPr>
          <w:sz w:val="24"/>
          <w:szCs w:val="24"/>
        </w:rPr>
        <w:t>the</w:t>
      </w:r>
      <w:r w:rsidR="0090585E" w:rsidRPr="009C16B1">
        <w:rPr>
          <w:sz w:val="24"/>
          <w:szCs w:val="24"/>
        </w:rPr>
        <w:t xml:space="preserve"> subjective</w:t>
      </w:r>
      <w:r w:rsidR="005D75E2" w:rsidRPr="009C16B1">
        <w:rPr>
          <w:sz w:val="24"/>
          <w:szCs w:val="24"/>
        </w:rPr>
        <w:t xml:space="preserve"> </w:t>
      </w:r>
      <w:r w:rsidR="0090585E" w:rsidRPr="009C16B1">
        <w:rPr>
          <w:sz w:val="24"/>
          <w:szCs w:val="24"/>
        </w:rPr>
        <w:t xml:space="preserve">understanding of the </w:t>
      </w:r>
      <w:r w:rsidR="005D75E2" w:rsidRPr="009C16B1">
        <w:rPr>
          <w:sz w:val="24"/>
          <w:szCs w:val="24"/>
        </w:rPr>
        <w:t>meaning people attach to their experiences.</w:t>
      </w:r>
      <w:r w:rsidR="005D75E2" w:rsidRPr="009C16B1">
        <w:rPr>
          <w:rStyle w:val="FootnoteReference"/>
          <w:sz w:val="24"/>
          <w:szCs w:val="24"/>
        </w:rPr>
        <w:footnoteReference w:id="65"/>
      </w:r>
      <w:r w:rsidR="00800FCD" w:rsidRPr="009C16B1">
        <w:rPr>
          <w:sz w:val="24"/>
          <w:szCs w:val="24"/>
        </w:rPr>
        <w:t xml:space="preserve"> </w:t>
      </w:r>
      <w:r w:rsidR="002F5985" w:rsidRPr="009C16B1">
        <w:rPr>
          <w:sz w:val="24"/>
          <w:szCs w:val="24"/>
        </w:rPr>
        <w:t>A</w:t>
      </w:r>
      <w:r w:rsidR="00156312" w:rsidRPr="009C16B1">
        <w:rPr>
          <w:sz w:val="24"/>
          <w:szCs w:val="24"/>
        </w:rPr>
        <w:t xml:space="preserve">ny hidden bias </w:t>
      </w:r>
      <w:r w:rsidR="002F5985" w:rsidRPr="009C16B1">
        <w:rPr>
          <w:sz w:val="24"/>
          <w:szCs w:val="24"/>
        </w:rPr>
        <w:t>resulting from my stance</w:t>
      </w:r>
      <w:r w:rsidR="00AA5A61" w:rsidRPr="009C16B1">
        <w:rPr>
          <w:sz w:val="24"/>
          <w:szCs w:val="24"/>
        </w:rPr>
        <w:t xml:space="preserve"> as an insider</w:t>
      </w:r>
      <w:r w:rsidR="002F5985" w:rsidRPr="009C16B1">
        <w:rPr>
          <w:sz w:val="24"/>
          <w:szCs w:val="24"/>
        </w:rPr>
        <w:t xml:space="preserve"> </w:t>
      </w:r>
      <w:r w:rsidR="00156312" w:rsidRPr="009C16B1">
        <w:rPr>
          <w:sz w:val="24"/>
          <w:szCs w:val="24"/>
        </w:rPr>
        <w:t>is controlled through the application of rigorous methodological r</w:t>
      </w:r>
      <w:r w:rsidR="00E30DA1" w:rsidRPr="009C16B1">
        <w:rPr>
          <w:sz w:val="24"/>
          <w:szCs w:val="24"/>
        </w:rPr>
        <w:t>eflexivity that allows diversity of</w:t>
      </w:r>
      <w:r w:rsidR="00156312" w:rsidRPr="009C16B1">
        <w:rPr>
          <w:sz w:val="24"/>
          <w:szCs w:val="24"/>
        </w:rPr>
        <w:t xml:space="preserve"> views as Hufford suggested</w:t>
      </w:r>
      <w:r w:rsidR="00144231" w:rsidRPr="009C16B1">
        <w:rPr>
          <w:sz w:val="24"/>
          <w:szCs w:val="24"/>
        </w:rPr>
        <w:t>.</w:t>
      </w:r>
      <w:r w:rsidR="00144231" w:rsidRPr="009C16B1">
        <w:rPr>
          <w:rStyle w:val="FootnoteReference"/>
          <w:sz w:val="24"/>
          <w:szCs w:val="24"/>
        </w:rPr>
        <w:footnoteReference w:id="66"/>
      </w:r>
      <w:r w:rsidR="00F608CD" w:rsidRPr="009C16B1">
        <w:rPr>
          <w:sz w:val="24"/>
          <w:szCs w:val="24"/>
        </w:rPr>
        <w:t xml:space="preserve"> </w:t>
      </w:r>
    </w:p>
    <w:p w:rsidR="001C1841" w:rsidRPr="009C16B1" w:rsidRDefault="001C1841" w:rsidP="005D7E8C">
      <w:pPr>
        <w:spacing w:line="240" w:lineRule="auto"/>
        <w:rPr>
          <w:rFonts w:ascii="Arial" w:hAnsi="Arial" w:cs="Arial"/>
          <w:color w:val="000000"/>
          <w:sz w:val="24"/>
          <w:szCs w:val="24"/>
          <w:u w:val="single"/>
        </w:rPr>
      </w:pPr>
    </w:p>
    <w:p w:rsidR="00800FCD" w:rsidRPr="009C16B1" w:rsidRDefault="00CF172E" w:rsidP="005A6D26">
      <w:pPr>
        <w:jc w:val="lowKashida"/>
        <w:rPr>
          <w:sz w:val="24"/>
          <w:szCs w:val="24"/>
        </w:rPr>
      </w:pPr>
      <w:r w:rsidRPr="009C16B1">
        <w:rPr>
          <w:rFonts w:cs="TimesNewRomanPSMT"/>
          <w:sz w:val="24"/>
          <w:szCs w:val="24"/>
        </w:rPr>
        <w:t>T</w:t>
      </w:r>
      <w:r w:rsidR="006B400D" w:rsidRPr="009C16B1">
        <w:rPr>
          <w:rFonts w:cs="TimesNewRomanPSMT"/>
          <w:sz w:val="24"/>
          <w:szCs w:val="24"/>
        </w:rPr>
        <w:t xml:space="preserve">he cosmic signs of Islamic apocalypticism </w:t>
      </w:r>
      <w:r w:rsidR="00F333A8" w:rsidRPr="009C16B1">
        <w:rPr>
          <w:rFonts w:cs="TimesNewRomanPSMT"/>
          <w:sz w:val="24"/>
          <w:szCs w:val="24"/>
        </w:rPr>
        <w:t xml:space="preserve">are explored </w:t>
      </w:r>
      <w:r w:rsidR="005902BD" w:rsidRPr="009C16B1">
        <w:rPr>
          <w:rFonts w:cs="TimesNewRomanPSMT"/>
          <w:sz w:val="24"/>
          <w:szCs w:val="24"/>
        </w:rPr>
        <w:t xml:space="preserve">in this </w:t>
      </w:r>
      <w:r w:rsidR="002B1C59" w:rsidRPr="009C16B1">
        <w:rPr>
          <w:rFonts w:cs="TimesNewRomanPSMT"/>
          <w:sz w:val="24"/>
          <w:szCs w:val="24"/>
        </w:rPr>
        <w:t>dissertation</w:t>
      </w:r>
      <w:r w:rsidR="005902BD" w:rsidRPr="009C16B1">
        <w:rPr>
          <w:rFonts w:cs="TimesNewRomanPSMT"/>
          <w:sz w:val="24"/>
          <w:szCs w:val="24"/>
        </w:rPr>
        <w:t xml:space="preserve"> </w:t>
      </w:r>
      <w:r w:rsidR="006B400D" w:rsidRPr="009C16B1">
        <w:rPr>
          <w:rFonts w:cs="TimesNewRomanPSMT"/>
          <w:sz w:val="24"/>
          <w:szCs w:val="24"/>
        </w:rPr>
        <w:t>from</w:t>
      </w:r>
      <w:r w:rsidR="004707A9" w:rsidRPr="009C16B1">
        <w:rPr>
          <w:rFonts w:cs="TimesNewRomanPSMT"/>
          <w:sz w:val="24"/>
          <w:szCs w:val="24"/>
        </w:rPr>
        <w:t xml:space="preserve"> </w:t>
      </w:r>
      <w:r w:rsidR="00EC3612" w:rsidRPr="009C16B1">
        <w:rPr>
          <w:rFonts w:cs="TimesNewRomanPSMT"/>
          <w:sz w:val="24"/>
          <w:szCs w:val="24"/>
        </w:rPr>
        <w:t xml:space="preserve">a </w:t>
      </w:r>
      <w:r w:rsidR="004707A9" w:rsidRPr="009C16B1">
        <w:rPr>
          <w:rFonts w:cs="TimesNewRomanPSMT"/>
          <w:sz w:val="24"/>
          <w:szCs w:val="24"/>
        </w:rPr>
        <w:t>Sunni perspective, for as</w:t>
      </w:r>
      <w:r w:rsidR="00643F93" w:rsidRPr="009C16B1">
        <w:rPr>
          <w:rFonts w:cs="TimesNewRomanPSMT"/>
          <w:sz w:val="24"/>
          <w:szCs w:val="24"/>
        </w:rPr>
        <w:t xml:space="preserve"> Saeed Amir</w:t>
      </w:r>
      <w:r w:rsidR="004707A9" w:rsidRPr="009C16B1">
        <w:rPr>
          <w:rFonts w:cs="TimesNewRomanPSMT"/>
          <w:sz w:val="24"/>
          <w:szCs w:val="24"/>
        </w:rPr>
        <w:t xml:space="preserve"> Arjoma</w:t>
      </w:r>
      <w:r w:rsidR="00EC3612" w:rsidRPr="009C16B1">
        <w:rPr>
          <w:rFonts w:cs="TimesNewRomanPSMT"/>
          <w:sz w:val="24"/>
          <w:szCs w:val="24"/>
        </w:rPr>
        <w:t xml:space="preserve">nd pointed out, </w:t>
      </w:r>
      <w:r w:rsidR="004707A9" w:rsidRPr="009C16B1">
        <w:rPr>
          <w:rFonts w:cs="TimesNewRomanPSMT"/>
          <w:sz w:val="24"/>
          <w:szCs w:val="24"/>
        </w:rPr>
        <w:t>current studies on the subject largely focus on sectarian Shi'</w:t>
      </w:r>
      <w:r w:rsidR="00A70384" w:rsidRPr="009C16B1">
        <w:rPr>
          <w:rFonts w:cs="TimesNewRomanPSMT"/>
          <w:sz w:val="24"/>
          <w:szCs w:val="24"/>
        </w:rPr>
        <w:t>i</w:t>
      </w:r>
      <w:r w:rsidR="004707A9" w:rsidRPr="009C16B1">
        <w:rPr>
          <w:rFonts w:cs="TimesNewRomanPSMT"/>
          <w:sz w:val="24"/>
          <w:szCs w:val="24"/>
        </w:rPr>
        <w:t>te</w:t>
      </w:r>
      <w:r w:rsidR="005902BD" w:rsidRPr="009C16B1">
        <w:rPr>
          <w:rFonts w:cs="TimesNewRomanPSMT"/>
          <w:sz w:val="24"/>
          <w:szCs w:val="24"/>
        </w:rPr>
        <w:t xml:space="preserve"> perspective</w:t>
      </w:r>
      <w:r w:rsidR="004707A9" w:rsidRPr="009C16B1">
        <w:rPr>
          <w:rFonts w:cs="TimesNewRomanPSMT"/>
          <w:sz w:val="24"/>
          <w:szCs w:val="24"/>
        </w:rPr>
        <w:t>.</w:t>
      </w:r>
      <w:r w:rsidR="004707A9" w:rsidRPr="009C16B1">
        <w:rPr>
          <w:rStyle w:val="FootnoteReference"/>
          <w:rFonts w:cs="TimesNewRomanPSMT"/>
          <w:sz w:val="24"/>
          <w:szCs w:val="24"/>
        </w:rPr>
        <w:footnoteReference w:id="67"/>
      </w:r>
      <w:r w:rsidR="00D67EDA" w:rsidRPr="009C16B1">
        <w:rPr>
          <w:rFonts w:cs="TimesNewRomanPSMT"/>
          <w:sz w:val="24"/>
          <w:szCs w:val="24"/>
        </w:rPr>
        <w:t xml:space="preserve"> </w:t>
      </w:r>
      <w:r w:rsidR="000B2ED1" w:rsidRPr="009C16B1">
        <w:rPr>
          <w:rFonts w:cs="TimesNewRomanPSMT"/>
          <w:sz w:val="24"/>
          <w:szCs w:val="24"/>
        </w:rPr>
        <w:t xml:space="preserve">The Sunni approach relies mainly on an in-depth </w:t>
      </w:r>
      <w:r w:rsidR="00EC3612" w:rsidRPr="009C16B1">
        <w:rPr>
          <w:rFonts w:cs="TimesNewRomanPSMT"/>
          <w:sz w:val="24"/>
          <w:szCs w:val="24"/>
        </w:rPr>
        <w:t>study</w:t>
      </w:r>
      <w:r w:rsidR="000B2ED1" w:rsidRPr="009C16B1">
        <w:rPr>
          <w:rFonts w:cs="TimesNewRomanPSMT"/>
          <w:sz w:val="24"/>
          <w:szCs w:val="24"/>
        </w:rPr>
        <w:t xml:space="preserve"> of canonical </w:t>
      </w:r>
      <w:r w:rsidR="000B2ED1" w:rsidRPr="009C16B1">
        <w:rPr>
          <w:rFonts w:cs="TimesNewRomanPSMT"/>
          <w:i/>
          <w:iCs/>
          <w:sz w:val="24"/>
          <w:szCs w:val="24"/>
        </w:rPr>
        <w:t>ḥadīth</w:t>
      </w:r>
      <w:r w:rsidR="000B2ED1" w:rsidRPr="009C16B1">
        <w:rPr>
          <w:rFonts w:cs="TimesNewRomanPSMT"/>
          <w:sz w:val="24"/>
          <w:szCs w:val="24"/>
        </w:rPr>
        <w:t xml:space="preserve"> collections which have undergone rigorou</w:t>
      </w:r>
      <w:r w:rsidR="005902BD" w:rsidRPr="009C16B1">
        <w:rPr>
          <w:rFonts w:cs="TimesNewRomanPSMT"/>
          <w:sz w:val="24"/>
          <w:szCs w:val="24"/>
        </w:rPr>
        <w:t xml:space="preserve">s tests of authenticity that involve </w:t>
      </w:r>
      <w:r w:rsidR="000B2ED1" w:rsidRPr="009C16B1">
        <w:rPr>
          <w:rFonts w:cs="TimesNewRomanPSMT"/>
          <w:sz w:val="24"/>
          <w:szCs w:val="24"/>
        </w:rPr>
        <w:t>analysis of</w:t>
      </w:r>
      <w:r w:rsidR="005902BD" w:rsidRPr="009C16B1">
        <w:rPr>
          <w:rFonts w:cs="TimesNewRomanPSMT"/>
          <w:sz w:val="24"/>
          <w:szCs w:val="24"/>
        </w:rPr>
        <w:t xml:space="preserve"> </w:t>
      </w:r>
      <w:r w:rsidR="000B2ED1" w:rsidRPr="009C16B1">
        <w:rPr>
          <w:rFonts w:cs="TimesNewRomanPSMT"/>
          <w:sz w:val="24"/>
          <w:szCs w:val="24"/>
        </w:rPr>
        <w:t>their content (</w:t>
      </w:r>
      <w:r w:rsidR="000B2ED1" w:rsidRPr="009C16B1">
        <w:rPr>
          <w:rFonts w:cs="TimesNewRomanPSMT"/>
          <w:i/>
          <w:iCs/>
          <w:sz w:val="24"/>
          <w:szCs w:val="24"/>
        </w:rPr>
        <w:t>matn</w:t>
      </w:r>
      <w:r w:rsidR="000B2ED1" w:rsidRPr="009C16B1">
        <w:rPr>
          <w:rFonts w:cs="TimesNewRomanPSMT"/>
          <w:sz w:val="24"/>
          <w:szCs w:val="24"/>
        </w:rPr>
        <w:t>) and their chain of transmission (</w:t>
      </w:r>
      <w:r w:rsidR="000B2ED1" w:rsidRPr="009C16B1">
        <w:rPr>
          <w:rFonts w:cs="TimesNewRomanPSMT"/>
          <w:i/>
          <w:iCs/>
          <w:sz w:val="24"/>
          <w:szCs w:val="24"/>
        </w:rPr>
        <w:t>isnād</w:t>
      </w:r>
      <w:r w:rsidR="000B2ED1" w:rsidRPr="009C16B1">
        <w:rPr>
          <w:rFonts w:cs="TimesNewRomanPSMT"/>
          <w:sz w:val="24"/>
          <w:szCs w:val="24"/>
        </w:rPr>
        <w:t xml:space="preserve">). </w:t>
      </w:r>
      <w:r w:rsidR="00880DB2" w:rsidRPr="009C16B1">
        <w:rPr>
          <w:sz w:val="24"/>
          <w:szCs w:val="24"/>
        </w:rPr>
        <w:t>Since</w:t>
      </w:r>
      <w:r w:rsidR="00F608CD" w:rsidRPr="009C16B1">
        <w:rPr>
          <w:sz w:val="24"/>
          <w:szCs w:val="24"/>
        </w:rPr>
        <w:t xml:space="preserve"> the </w:t>
      </w:r>
      <w:r w:rsidRPr="009C16B1">
        <w:rPr>
          <w:sz w:val="24"/>
          <w:szCs w:val="24"/>
        </w:rPr>
        <w:t>investigation</w:t>
      </w:r>
      <w:r w:rsidR="00F608CD" w:rsidRPr="009C16B1">
        <w:rPr>
          <w:sz w:val="24"/>
          <w:szCs w:val="24"/>
        </w:rPr>
        <w:t xml:space="preserve"> of religious beliefs requires a 'polymethodic' approach</w:t>
      </w:r>
      <w:r w:rsidR="00880DB2" w:rsidRPr="009C16B1">
        <w:rPr>
          <w:sz w:val="24"/>
          <w:szCs w:val="24"/>
        </w:rPr>
        <w:t xml:space="preserve"> as Smart </w:t>
      </w:r>
      <w:r w:rsidR="00EC7D16" w:rsidRPr="009C16B1">
        <w:rPr>
          <w:sz w:val="24"/>
          <w:szCs w:val="24"/>
        </w:rPr>
        <w:t>recommended,</w:t>
      </w:r>
      <w:r w:rsidR="00880DB2" w:rsidRPr="009C16B1">
        <w:rPr>
          <w:sz w:val="24"/>
          <w:szCs w:val="24"/>
        </w:rPr>
        <w:t xml:space="preserve"> an interdisciplinary approach is employed drawing on relevant theories </w:t>
      </w:r>
      <w:r w:rsidR="00BB543B" w:rsidRPr="009C16B1">
        <w:rPr>
          <w:sz w:val="24"/>
          <w:szCs w:val="24"/>
        </w:rPr>
        <w:t>i</w:t>
      </w:r>
      <w:r w:rsidR="00880DB2" w:rsidRPr="009C16B1">
        <w:rPr>
          <w:sz w:val="24"/>
          <w:szCs w:val="24"/>
        </w:rPr>
        <w:t>n history,</w:t>
      </w:r>
      <w:r w:rsidRPr="009C16B1">
        <w:rPr>
          <w:sz w:val="24"/>
          <w:szCs w:val="24"/>
        </w:rPr>
        <w:t xml:space="preserve"> mythology</w:t>
      </w:r>
      <w:r w:rsidR="00880DB2" w:rsidRPr="009C16B1">
        <w:rPr>
          <w:sz w:val="24"/>
          <w:szCs w:val="24"/>
        </w:rPr>
        <w:t xml:space="preserve">, cosmology, sociology, </w:t>
      </w:r>
      <w:r w:rsidR="00880DB2" w:rsidRPr="009C16B1">
        <w:rPr>
          <w:sz w:val="24"/>
          <w:szCs w:val="24"/>
        </w:rPr>
        <w:lastRenderedPageBreak/>
        <w:t>politics, philosophy and theology.</w:t>
      </w:r>
      <w:r w:rsidR="00880DB2" w:rsidRPr="009C16B1">
        <w:rPr>
          <w:rStyle w:val="FootnoteReference"/>
          <w:sz w:val="24"/>
          <w:szCs w:val="24"/>
        </w:rPr>
        <w:footnoteReference w:id="68"/>
      </w:r>
      <w:r w:rsidR="00880DB2" w:rsidRPr="009C16B1">
        <w:rPr>
          <w:sz w:val="24"/>
          <w:szCs w:val="24"/>
        </w:rPr>
        <w:t xml:space="preserve"> </w:t>
      </w:r>
      <w:r w:rsidR="001545A4" w:rsidRPr="009C16B1">
        <w:rPr>
          <w:sz w:val="24"/>
          <w:szCs w:val="24"/>
        </w:rPr>
        <w:t>These theories, which were</w:t>
      </w:r>
      <w:r w:rsidR="00F608CD" w:rsidRPr="009C16B1">
        <w:rPr>
          <w:sz w:val="24"/>
          <w:szCs w:val="24"/>
        </w:rPr>
        <w:t xml:space="preserve"> discussed in detail i</w:t>
      </w:r>
      <w:r w:rsidRPr="009C16B1">
        <w:rPr>
          <w:sz w:val="24"/>
          <w:szCs w:val="24"/>
        </w:rPr>
        <w:t>n the literature review, are</w:t>
      </w:r>
      <w:r w:rsidR="00F608CD" w:rsidRPr="009C16B1">
        <w:rPr>
          <w:sz w:val="24"/>
          <w:szCs w:val="24"/>
        </w:rPr>
        <w:t xml:space="preserve"> used </w:t>
      </w:r>
      <w:r w:rsidR="0089518F" w:rsidRPr="009C16B1">
        <w:rPr>
          <w:sz w:val="24"/>
          <w:szCs w:val="24"/>
        </w:rPr>
        <w:t xml:space="preserve">at times </w:t>
      </w:r>
      <w:r w:rsidR="00F608CD" w:rsidRPr="009C16B1">
        <w:rPr>
          <w:sz w:val="24"/>
          <w:szCs w:val="24"/>
        </w:rPr>
        <w:t>as broad explanations to the topics addressed</w:t>
      </w:r>
      <w:r w:rsidR="0089518F" w:rsidRPr="009C16B1">
        <w:rPr>
          <w:sz w:val="24"/>
          <w:szCs w:val="24"/>
        </w:rPr>
        <w:t>,</w:t>
      </w:r>
      <w:r w:rsidR="00F608CD" w:rsidRPr="009C16B1">
        <w:rPr>
          <w:sz w:val="24"/>
          <w:szCs w:val="24"/>
        </w:rPr>
        <w:t xml:space="preserve"> and</w:t>
      </w:r>
      <w:r w:rsidR="0089518F" w:rsidRPr="009C16B1">
        <w:rPr>
          <w:sz w:val="24"/>
          <w:szCs w:val="24"/>
        </w:rPr>
        <w:t xml:space="preserve"> at others</w:t>
      </w:r>
      <w:r w:rsidR="00F608CD" w:rsidRPr="009C16B1">
        <w:rPr>
          <w:sz w:val="24"/>
          <w:szCs w:val="24"/>
        </w:rPr>
        <w:t xml:space="preserve"> to raise questions. </w:t>
      </w:r>
      <w:r w:rsidR="00D65412" w:rsidRPr="009C16B1">
        <w:rPr>
          <w:rFonts w:cs="TimesNewRomanPSMT"/>
          <w:sz w:val="24"/>
          <w:szCs w:val="24"/>
        </w:rPr>
        <w:t xml:space="preserve">To provide the </w:t>
      </w:r>
      <w:r w:rsidR="002B1C59" w:rsidRPr="009C16B1">
        <w:rPr>
          <w:rFonts w:cs="TimesNewRomanPSMT"/>
          <w:sz w:val="24"/>
          <w:szCs w:val="24"/>
        </w:rPr>
        <w:t>dissertation</w:t>
      </w:r>
      <w:r w:rsidR="00D65412" w:rsidRPr="009C16B1">
        <w:rPr>
          <w:rFonts w:cs="TimesNewRomanPSMT"/>
          <w:sz w:val="24"/>
          <w:szCs w:val="24"/>
        </w:rPr>
        <w:t xml:space="preserve"> with the requisit</w:t>
      </w:r>
      <w:r w:rsidR="00C123A8" w:rsidRPr="009C16B1">
        <w:rPr>
          <w:rFonts w:cs="TimesNewRomanPSMT"/>
          <w:sz w:val="24"/>
          <w:szCs w:val="24"/>
        </w:rPr>
        <w:t>e historical contextualis</w:t>
      </w:r>
      <w:r w:rsidR="00D65412" w:rsidRPr="009C16B1">
        <w:rPr>
          <w:rFonts w:cs="TimesNewRomanPSMT"/>
          <w:sz w:val="24"/>
          <w:szCs w:val="24"/>
        </w:rPr>
        <w:t xml:space="preserve">ation, </w:t>
      </w:r>
      <w:r w:rsidR="00D65412" w:rsidRPr="009C16B1">
        <w:rPr>
          <w:sz w:val="24"/>
          <w:szCs w:val="24"/>
        </w:rPr>
        <w:t>t</w:t>
      </w:r>
      <w:r w:rsidR="00EC3612" w:rsidRPr="009C16B1">
        <w:rPr>
          <w:rFonts w:cs="TimesNewRomanPSMT"/>
          <w:sz w:val="24"/>
          <w:szCs w:val="24"/>
        </w:rPr>
        <w:t>he intellectual and social characteristics specific to each age are also considered</w:t>
      </w:r>
      <w:r w:rsidR="00D65412" w:rsidRPr="009C16B1">
        <w:rPr>
          <w:rFonts w:cs="TimesNewRomanPSMT"/>
          <w:sz w:val="24"/>
          <w:szCs w:val="24"/>
        </w:rPr>
        <w:t>,</w:t>
      </w:r>
      <w:r w:rsidR="00EC3612" w:rsidRPr="009C16B1">
        <w:rPr>
          <w:rFonts w:cs="TimesNewRomanPSMT"/>
          <w:sz w:val="24"/>
          <w:szCs w:val="24"/>
        </w:rPr>
        <w:t xml:space="preserve"> </w:t>
      </w:r>
      <w:r w:rsidR="00800FCD" w:rsidRPr="009C16B1">
        <w:rPr>
          <w:rFonts w:cs="TimesNewRomanPSMT"/>
          <w:sz w:val="24"/>
          <w:szCs w:val="24"/>
        </w:rPr>
        <w:t xml:space="preserve">for as Krentz </w:t>
      </w:r>
      <w:r w:rsidR="00E51655" w:rsidRPr="009C16B1">
        <w:rPr>
          <w:rFonts w:cs="TimesNewRomanPSMT"/>
          <w:sz w:val="24"/>
          <w:szCs w:val="24"/>
        </w:rPr>
        <w:t>wrote</w:t>
      </w:r>
      <w:r w:rsidR="00800FCD" w:rsidRPr="009C16B1">
        <w:rPr>
          <w:rFonts w:cs="TimesNewRomanPSMT"/>
          <w:sz w:val="24"/>
          <w:szCs w:val="24"/>
        </w:rPr>
        <w:t xml:space="preserve">, </w:t>
      </w:r>
      <w:r w:rsidR="000157CB" w:rsidRPr="009C16B1">
        <w:rPr>
          <w:rFonts w:cs="TimesNewRomanPSMT"/>
          <w:sz w:val="24"/>
          <w:szCs w:val="24"/>
        </w:rPr>
        <w:t xml:space="preserve">a historical narrative devoid of contextualisation </w:t>
      </w:r>
      <w:r w:rsidR="00D65412" w:rsidRPr="009C16B1">
        <w:rPr>
          <w:rFonts w:cs="TimesNewRomanPSMT"/>
          <w:sz w:val="24"/>
          <w:szCs w:val="24"/>
        </w:rPr>
        <w:t>becomes</w:t>
      </w:r>
      <w:r w:rsidR="000157CB" w:rsidRPr="009C16B1">
        <w:rPr>
          <w:rFonts w:cs="TimesNewRomanPSMT"/>
          <w:sz w:val="24"/>
          <w:szCs w:val="24"/>
        </w:rPr>
        <w:t xml:space="preserve"> a study of 'abstract ideas.'</w:t>
      </w:r>
      <w:r w:rsidR="00800FCD" w:rsidRPr="009C16B1">
        <w:rPr>
          <w:rStyle w:val="FootnoteReference"/>
          <w:sz w:val="24"/>
          <w:szCs w:val="24"/>
        </w:rPr>
        <w:footnoteReference w:id="69"/>
      </w:r>
      <w:r w:rsidR="00800FCD" w:rsidRPr="009C16B1">
        <w:rPr>
          <w:sz w:val="24"/>
          <w:szCs w:val="24"/>
        </w:rPr>
        <w:t xml:space="preserve"> </w:t>
      </w:r>
    </w:p>
    <w:p w:rsidR="00E51655" w:rsidRPr="009C16B1" w:rsidRDefault="00E51655" w:rsidP="00E51655">
      <w:pPr>
        <w:jc w:val="lowKashida"/>
        <w:rPr>
          <w:sz w:val="24"/>
          <w:szCs w:val="24"/>
        </w:rPr>
      </w:pPr>
    </w:p>
    <w:p w:rsidR="00311D2E" w:rsidRPr="009C16B1" w:rsidRDefault="00BB543B" w:rsidP="00457389">
      <w:pPr>
        <w:jc w:val="lowKashida"/>
        <w:rPr>
          <w:sz w:val="24"/>
          <w:szCs w:val="24"/>
        </w:rPr>
      </w:pPr>
      <w:r w:rsidRPr="009C16B1">
        <w:rPr>
          <w:sz w:val="24"/>
          <w:szCs w:val="24"/>
        </w:rPr>
        <w:t xml:space="preserve">Throughout my </w:t>
      </w:r>
      <w:r w:rsidR="00457389" w:rsidRPr="009C16B1">
        <w:rPr>
          <w:sz w:val="24"/>
          <w:szCs w:val="24"/>
        </w:rPr>
        <w:t>research</w:t>
      </w:r>
      <w:r w:rsidRPr="009C16B1">
        <w:rPr>
          <w:sz w:val="24"/>
          <w:szCs w:val="24"/>
        </w:rPr>
        <w:t>, I have taken into account the</w:t>
      </w:r>
      <w:r w:rsidR="008F1087" w:rsidRPr="009C16B1">
        <w:rPr>
          <w:sz w:val="24"/>
          <w:szCs w:val="24"/>
        </w:rPr>
        <w:t xml:space="preserve"> linguistic challenge</w:t>
      </w:r>
      <w:r w:rsidR="00BE29A0" w:rsidRPr="009C16B1">
        <w:rPr>
          <w:sz w:val="24"/>
          <w:szCs w:val="24"/>
        </w:rPr>
        <w:t xml:space="preserve"> of</w:t>
      </w:r>
      <w:r w:rsidR="005C538C" w:rsidRPr="009C16B1">
        <w:rPr>
          <w:sz w:val="24"/>
          <w:szCs w:val="24"/>
        </w:rPr>
        <w:t xml:space="preserve"> translating the Qur'ān from Arabic into English as Abobaker Ali et al. noticed.</w:t>
      </w:r>
      <w:r w:rsidR="005C538C" w:rsidRPr="009C16B1">
        <w:rPr>
          <w:rStyle w:val="FootnoteReference"/>
          <w:sz w:val="24"/>
          <w:szCs w:val="24"/>
        </w:rPr>
        <w:footnoteReference w:id="70"/>
      </w:r>
      <w:r w:rsidR="007B1073" w:rsidRPr="009C16B1">
        <w:rPr>
          <w:sz w:val="24"/>
          <w:szCs w:val="24"/>
        </w:rPr>
        <w:t xml:space="preserve"> </w:t>
      </w:r>
      <w:r w:rsidR="00171342" w:rsidRPr="009C16B1">
        <w:rPr>
          <w:sz w:val="24"/>
          <w:szCs w:val="24"/>
        </w:rPr>
        <w:t>Ali et al. stated that t</w:t>
      </w:r>
      <w:r w:rsidR="007B1073" w:rsidRPr="009C16B1">
        <w:rPr>
          <w:sz w:val="24"/>
          <w:szCs w:val="24"/>
        </w:rPr>
        <w:t xml:space="preserve">he sublime style </w:t>
      </w:r>
      <w:r w:rsidR="00780434" w:rsidRPr="009C16B1">
        <w:rPr>
          <w:sz w:val="24"/>
          <w:szCs w:val="24"/>
        </w:rPr>
        <w:t xml:space="preserve">and rhetoric impact </w:t>
      </w:r>
      <w:r w:rsidR="00171342" w:rsidRPr="009C16B1">
        <w:rPr>
          <w:sz w:val="24"/>
          <w:szCs w:val="24"/>
        </w:rPr>
        <w:t>of the Qur'ān</w:t>
      </w:r>
      <w:r w:rsidR="00780434" w:rsidRPr="009C16B1">
        <w:rPr>
          <w:sz w:val="24"/>
          <w:szCs w:val="24"/>
        </w:rPr>
        <w:t xml:space="preserve"> </w:t>
      </w:r>
      <w:r w:rsidR="007B1073" w:rsidRPr="009C16B1">
        <w:rPr>
          <w:sz w:val="24"/>
          <w:szCs w:val="24"/>
        </w:rPr>
        <w:t>is resultant from the application of a variety of stylistic, linguistic and verbal features that are naturally lost in translation.</w:t>
      </w:r>
      <w:r w:rsidR="007B1073" w:rsidRPr="009C16B1">
        <w:rPr>
          <w:rStyle w:val="FootnoteReference"/>
          <w:sz w:val="24"/>
          <w:szCs w:val="24"/>
        </w:rPr>
        <w:footnoteReference w:id="71"/>
      </w:r>
      <w:r w:rsidR="000D00F0" w:rsidRPr="009C16B1">
        <w:rPr>
          <w:sz w:val="24"/>
          <w:szCs w:val="24"/>
        </w:rPr>
        <w:t xml:space="preserve"> </w:t>
      </w:r>
      <w:r w:rsidR="0071726B" w:rsidRPr="009C16B1">
        <w:rPr>
          <w:sz w:val="24"/>
          <w:szCs w:val="24"/>
        </w:rPr>
        <w:t>N</w:t>
      </w:r>
      <w:r w:rsidR="00516684" w:rsidRPr="009C16B1">
        <w:rPr>
          <w:sz w:val="24"/>
          <w:szCs w:val="24"/>
        </w:rPr>
        <w:t xml:space="preserve">evertheless, Richard Evans </w:t>
      </w:r>
      <w:r w:rsidR="00A56AC7" w:rsidRPr="009C16B1">
        <w:rPr>
          <w:sz w:val="24"/>
          <w:szCs w:val="24"/>
        </w:rPr>
        <w:t>opined</w:t>
      </w:r>
      <w:r w:rsidR="0071726B" w:rsidRPr="009C16B1">
        <w:rPr>
          <w:sz w:val="24"/>
          <w:szCs w:val="24"/>
        </w:rPr>
        <w:t xml:space="preserve"> that t</w:t>
      </w:r>
      <w:r w:rsidR="00780434" w:rsidRPr="009C16B1">
        <w:rPr>
          <w:sz w:val="24"/>
          <w:szCs w:val="24"/>
        </w:rPr>
        <w:t xml:space="preserve">he reconstruction of </w:t>
      </w:r>
      <w:r w:rsidR="0071726B" w:rsidRPr="009C16B1">
        <w:rPr>
          <w:sz w:val="24"/>
          <w:szCs w:val="24"/>
        </w:rPr>
        <w:t>meaning is possible through a process of lingui</w:t>
      </w:r>
      <w:r w:rsidR="008B57DD" w:rsidRPr="009C16B1">
        <w:rPr>
          <w:sz w:val="24"/>
          <w:szCs w:val="24"/>
        </w:rPr>
        <w:t>stic and conceptual contextualis</w:t>
      </w:r>
      <w:r w:rsidR="0071726B" w:rsidRPr="009C16B1">
        <w:rPr>
          <w:sz w:val="24"/>
          <w:szCs w:val="24"/>
        </w:rPr>
        <w:t>ation that involves the study of numerous sources.</w:t>
      </w:r>
      <w:r w:rsidR="00CA3649" w:rsidRPr="009C16B1">
        <w:rPr>
          <w:rStyle w:val="FootnoteReference"/>
          <w:sz w:val="24"/>
          <w:szCs w:val="24"/>
        </w:rPr>
        <w:footnoteReference w:id="72"/>
      </w:r>
      <w:r w:rsidR="00780434" w:rsidRPr="009C16B1">
        <w:rPr>
          <w:sz w:val="24"/>
          <w:szCs w:val="24"/>
        </w:rPr>
        <w:t xml:space="preserve"> Kretz also </w:t>
      </w:r>
      <w:r w:rsidR="00311D2E" w:rsidRPr="009C16B1">
        <w:rPr>
          <w:sz w:val="24"/>
          <w:szCs w:val="24"/>
        </w:rPr>
        <w:t>asserted the importance of engaging in a</w:t>
      </w:r>
      <w:r w:rsidR="00A96136" w:rsidRPr="009C16B1">
        <w:rPr>
          <w:sz w:val="24"/>
          <w:szCs w:val="24"/>
        </w:rPr>
        <w:t xml:space="preserve"> philological study of historical grammar and lexicography </w:t>
      </w:r>
      <w:r w:rsidR="00311D2E" w:rsidRPr="009C16B1">
        <w:rPr>
          <w:sz w:val="24"/>
          <w:szCs w:val="24"/>
        </w:rPr>
        <w:t>in order to isolate</w:t>
      </w:r>
      <w:r w:rsidR="00A96136" w:rsidRPr="009C16B1">
        <w:rPr>
          <w:sz w:val="24"/>
          <w:szCs w:val="24"/>
        </w:rPr>
        <w:t xml:space="preserve"> the int</w:t>
      </w:r>
      <w:r w:rsidR="00780434" w:rsidRPr="009C16B1">
        <w:rPr>
          <w:sz w:val="24"/>
          <w:szCs w:val="24"/>
        </w:rPr>
        <w:t>ended meaning</w:t>
      </w:r>
      <w:r w:rsidR="00A96136" w:rsidRPr="009C16B1">
        <w:rPr>
          <w:sz w:val="24"/>
          <w:szCs w:val="24"/>
        </w:rPr>
        <w:t>.</w:t>
      </w:r>
      <w:r w:rsidR="00A96136" w:rsidRPr="009C16B1">
        <w:rPr>
          <w:rStyle w:val="FootnoteReference"/>
          <w:sz w:val="24"/>
          <w:szCs w:val="24"/>
        </w:rPr>
        <w:footnoteReference w:id="73"/>
      </w:r>
      <w:r w:rsidR="00A96136" w:rsidRPr="009C16B1">
        <w:rPr>
          <w:sz w:val="24"/>
          <w:szCs w:val="24"/>
        </w:rPr>
        <w:t xml:space="preserve"> Thus, t</w:t>
      </w:r>
      <w:r w:rsidR="000D00F0" w:rsidRPr="009C16B1">
        <w:rPr>
          <w:sz w:val="24"/>
          <w:szCs w:val="24"/>
        </w:rPr>
        <w:t xml:space="preserve">o </w:t>
      </w:r>
      <w:r w:rsidR="00A96136" w:rsidRPr="009C16B1">
        <w:rPr>
          <w:sz w:val="24"/>
          <w:szCs w:val="24"/>
        </w:rPr>
        <w:t xml:space="preserve">overcome the problem of translation, </w:t>
      </w:r>
      <w:r w:rsidR="00EB45AC" w:rsidRPr="009C16B1">
        <w:rPr>
          <w:sz w:val="24"/>
          <w:szCs w:val="24"/>
        </w:rPr>
        <w:t>I have relied</w:t>
      </w:r>
      <w:r w:rsidR="00EB45AC" w:rsidRPr="009C16B1">
        <w:rPr>
          <w:rStyle w:val="CommentReference"/>
          <w:sz w:val="24"/>
          <w:szCs w:val="24"/>
        </w:rPr>
        <w:t xml:space="preserve"> </w:t>
      </w:r>
      <w:r w:rsidR="00EB45AC" w:rsidRPr="009C16B1">
        <w:rPr>
          <w:sz w:val="24"/>
          <w:szCs w:val="24"/>
        </w:rPr>
        <w:t>on</w:t>
      </w:r>
      <w:r w:rsidR="000D00F0" w:rsidRPr="009C16B1">
        <w:rPr>
          <w:sz w:val="24"/>
          <w:szCs w:val="24"/>
        </w:rPr>
        <w:t xml:space="preserve"> </w:t>
      </w:r>
      <w:r w:rsidR="002E4C0B" w:rsidRPr="009C16B1">
        <w:rPr>
          <w:sz w:val="24"/>
          <w:szCs w:val="24"/>
        </w:rPr>
        <w:t>several</w:t>
      </w:r>
      <w:r w:rsidR="00516684" w:rsidRPr="009C16B1">
        <w:rPr>
          <w:sz w:val="24"/>
          <w:szCs w:val="24"/>
        </w:rPr>
        <w:t xml:space="preserve"> </w:t>
      </w:r>
      <w:r w:rsidR="000D00F0" w:rsidRPr="009C16B1">
        <w:rPr>
          <w:sz w:val="24"/>
          <w:szCs w:val="24"/>
        </w:rPr>
        <w:t>English translations of the Qur'ān</w:t>
      </w:r>
      <w:r w:rsidR="002E4C0B" w:rsidRPr="009C16B1">
        <w:rPr>
          <w:sz w:val="24"/>
          <w:szCs w:val="24"/>
        </w:rPr>
        <w:t>.</w:t>
      </w:r>
      <w:r w:rsidR="002E4C0B" w:rsidRPr="009C16B1">
        <w:rPr>
          <w:rStyle w:val="FootnoteReference"/>
          <w:sz w:val="24"/>
          <w:szCs w:val="24"/>
        </w:rPr>
        <w:footnoteReference w:id="74"/>
      </w:r>
      <w:r w:rsidR="000D00F0" w:rsidRPr="009C16B1">
        <w:rPr>
          <w:sz w:val="24"/>
          <w:szCs w:val="24"/>
        </w:rPr>
        <w:t xml:space="preserve"> </w:t>
      </w:r>
      <w:r w:rsidR="002E4C0B" w:rsidRPr="009C16B1">
        <w:rPr>
          <w:sz w:val="24"/>
          <w:szCs w:val="24"/>
        </w:rPr>
        <w:t xml:space="preserve">Additionally, </w:t>
      </w:r>
      <w:r w:rsidR="00EB45AC" w:rsidRPr="009C16B1">
        <w:rPr>
          <w:sz w:val="24"/>
          <w:szCs w:val="24"/>
        </w:rPr>
        <w:t>I have also employed</w:t>
      </w:r>
      <w:r w:rsidR="00EB45AC" w:rsidRPr="009C16B1">
        <w:rPr>
          <w:rStyle w:val="CommentReference"/>
          <w:sz w:val="24"/>
          <w:szCs w:val="24"/>
        </w:rPr>
        <w:t xml:space="preserve"> </w:t>
      </w:r>
      <w:r w:rsidR="00EB45AC" w:rsidRPr="009C16B1">
        <w:rPr>
          <w:sz w:val="24"/>
          <w:szCs w:val="24"/>
        </w:rPr>
        <w:t>med</w:t>
      </w:r>
      <w:r w:rsidR="00516684" w:rsidRPr="009C16B1">
        <w:rPr>
          <w:sz w:val="24"/>
          <w:szCs w:val="24"/>
        </w:rPr>
        <w:t xml:space="preserve">ieval works on Arabic lexicography, philology and syntax </w:t>
      </w:r>
      <w:r w:rsidR="002E4C0B" w:rsidRPr="009C16B1">
        <w:rPr>
          <w:sz w:val="24"/>
          <w:szCs w:val="24"/>
        </w:rPr>
        <w:t>in order to properly convey his</w:t>
      </w:r>
      <w:r w:rsidR="00516684" w:rsidRPr="009C16B1">
        <w:rPr>
          <w:sz w:val="24"/>
          <w:szCs w:val="24"/>
        </w:rPr>
        <w:t>torical meaning</w:t>
      </w:r>
      <w:r w:rsidR="000D00F0" w:rsidRPr="009C16B1">
        <w:rPr>
          <w:sz w:val="24"/>
          <w:szCs w:val="24"/>
        </w:rPr>
        <w:t>.</w:t>
      </w:r>
      <w:r w:rsidR="002E4C0B" w:rsidRPr="009C16B1">
        <w:rPr>
          <w:rStyle w:val="FootnoteReference"/>
          <w:sz w:val="24"/>
          <w:szCs w:val="24"/>
        </w:rPr>
        <w:footnoteReference w:id="75"/>
      </w:r>
      <w:r w:rsidR="00516684" w:rsidRPr="009C16B1">
        <w:rPr>
          <w:sz w:val="24"/>
          <w:szCs w:val="24"/>
        </w:rPr>
        <w:t xml:space="preserve"> The other</w:t>
      </w:r>
      <w:r w:rsidR="00C54247" w:rsidRPr="009C16B1">
        <w:rPr>
          <w:sz w:val="24"/>
          <w:szCs w:val="24"/>
        </w:rPr>
        <w:t xml:space="preserve"> </w:t>
      </w:r>
      <w:r w:rsidR="0018544D" w:rsidRPr="009C16B1">
        <w:rPr>
          <w:sz w:val="24"/>
          <w:szCs w:val="24"/>
        </w:rPr>
        <w:t>challenge</w:t>
      </w:r>
      <w:r w:rsidR="00C54247" w:rsidRPr="009C16B1">
        <w:rPr>
          <w:sz w:val="24"/>
          <w:szCs w:val="24"/>
        </w:rPr>
        <w:t xml:space="preserve"> is </w:t>
      </w:r>
      <w:r w:rsidR="00516684" w:rsidRPr="009C16B1">
        <w:rPr>
          <w:sz w:val="24"/>
          <w:szCs w:val="24"/>
        </w:rPr>
        <w:t>related to the fragmentary and selective nature of any kind of historical inquiry as Krentz observed.</w:t>
      </w:r>
      <w:r w:rsidR="00C54247" w:rsidRPr="009C16B1">
        <w:rPr>
          <w:rStyle w:val="FootnoteReference"/>
          <w:sz w:val="24"/>
          <w:szCs w:val="24"/>
        </w:rPr>
        <w:footnoteReference w:id="76"/>
      </w:r>
      <w:r w:rsidR="00385B58" w:rsidRPr="009C16B1">
        <w:rPr>
          <w:sz w:val="24"/>
          <w:szCs w:val="24"/>
        </w:rPr>
        <w:t xml:space="preserve"> </w:t>
      </w:r>
      <w:r w:rsidR="00311D2E" w:rsidRPr="009C16B1">
        <w:rPr>
          <w:sz w:val="24"/>
          <w:szCs w:val="24"/>
        </w:rPr>
        <w:t>Evans nevertheless opined that through the application of appropriate methodology, the historian can still narrate true stories.</w:t>
      </w:r>
      <w:r w:rsidR="00311D2E" w:rsidRPr="009C16B1">
        <w:rPr>
          <w:rStyle w:val="FootnoteReference"/>
          <w:rFonts w:cs="TimesNRMT"/>
          <w:sz w:val="24"/>
          <w:szCs w:val="24"/>
        </w:rPr>
        <w:footnoteReference w:id="77"/>
      </w:r>
    </w:p>
    <w:p w:rsidR="00311D2E" w:rsidRPr="00264611" w:rsidRDefault="00311D2E" w:rsidP="00516684">
      <w:pPr>
        <w:jc w:val="lowKashida"/>
      </w:pPr>
    </w:p>
    <w:p w:rsidR="00FF0095" w:rsidRDefault="00FF0095" w:rsidP="007763A6">
      <w:pPr>
        <w:pStyle w:val="Heading2"/>
      </w:pPr>
      <w:bookmarkStart w:id="18" w:name="_Toc477317380"/>
      <w:r w:rsidRPr="00FF0095">
        <w:lastRenderedPageBreak/>
        <w:t>1.5</w:t>
      </w:r>
      <w:r w:rsidRPr="00FF0095">
        <w:rPr>
          <w:rStyle w:val="CommentReference"/>
          <w:sz w:val="26"/>
          <w:szCs w:val="26"/>
        </w:rPr>
        <w:t xml:space="preserve"> </w:t>
      </w:r>
      <w:r w:rsidRPr="00FF0095">
        <w:t>Key Concepts &amp; Emerging Issues</w:t>
      </w:r>
      <w:bookmarkEnd w:id="18"/>
      <w:r w:rsidRPr="00FF0095">
        <w:t xml:space="preserve"> </w:t>
      </w:r>
    </w:p>
    <w:p w:rsidR="00451314" w:rsidRPr="009C16B1" w:rsidRDefault="00653C16" w:rsidP="00637912">
      <w:pPr>
        <w:spacing w:before="240"/>
        <w:jc w:val="lowKashida"/>
        <w:rPr>
          <w:sz w:val="24"/>
          <w:szCs w:val="24"/>
        </w:rPr>
      </w:pPr>
      <w:r w:rsidRPr="009C16B1">
        <w:rPr>
          <w:sz w:val="24"/>
          <w:szCs w:val="24"/>
        </w:rPr>
        <w:t>The literature reviewed has suggested that</w:t>
      </w:r>
      <w:r w:rsidR="001B04FA" w:rsidRPr="009C16B1">
        <w:rPr>
          <w:sz w:val="24"/>
          <w:szCs w:val="24"/>
        </w:rPr>
        <w:t xml:space="preserve"> apocalyptic eschatology, and subsequently millennialism, is a firmly, albeit surreptitiously, established phenomenon in </w:t>
      </w:r>
      <w:r w:rsidR="00053306" w:rsidRPr="009C16B1">
        <w:rPr>
          <w:sz w:val="24"/>
          <w:szCs w:val="24"/>
        </w:rPr>
        <w:t>the</w:t>
      </w:r>
      <w:r w:rsidR="001B04FA" w:rsidRPr="009C16B1">
        <w:rPr>
          <w:sz w:val="24"/>
          <w:szCs w:val="24"/>
        </w:rPr>
        <w:t xml:space="preserve"> Abarahamic faiths. The effectiveness of </w:t>
      </w:r>
      <w:r w:rsidR="00053306" w:rsidRPr="009C16B1">
        <w:rPr>
          <w:sz w:val="24"/>
          <w:szCs w:val="24"/>
        </w:rPr>
        <w:t>the</w:t>
      </w:r>
      <w:r w:rsidR="00381CAC" w:rsidRPr="009C16B1">
        <w:rPr>
          <w:sz w:val="24"/>
          <w:szCs w:val="24"/>
        </w:rPr>
        <w:t xml:space="preserve"> </w:t>
      </w:r>
      <w:r w:rsidR="001B04FA" w:rsidRPr="009C16B1">
        <w:rPr>
          <w:sz w:val="24"/>
          <w:szCs w:val="24"/>
        </w:rPr>
        <w:t>apocalyptic</w:t>
      </w:r>
      <w:r w:rsidR="00053306" w:rsidRPr="009C16B1">
        <w:rPr>
          <w:sz w:val="24"/>
          <w:szCs w:val="24"/>
        </w:rPr>
        <w:t xml:space="preserve"> </w:t>
      </w:r>
      <w:r w:rsidR="00245180" w:rsidRPr="009C16B1">
        <w:rPr>
          <w:sz w:val="24"/>
          <w:szCs w:val="24"/>
        </w:rPr>
        <w:t>narratives</w:t>
      </w:r>
      <w:r w:rsidR="001B04FA" w:rsidRPr="009C16B1">
        <w:rPr>
          <w:sz w:val="24"/>
          <w:szCs w:val="24"/>
        </w:rPr>
        <w:t xml:space="preserve"> </w:t>
      </w:r>
      <w:r w:rsidR="004F0BBF" w:rsidRPr="009C16B1">
        <w:rPr>
          <w:sz w:val="24"/>
          <w:szCs w:val="24"/>
        </w:rPr>
        <w:t>evidently</w:t>
      </w:r>
      <w:r w:rsidR="001B04FA" w:rsidRPr="009C16B1">
        <w:rPr>
          <w:sz w:val="24"/>
          <w:szCs w:val="24"/>
        </w:rPr>
        <w:t xml:space="preserve"> </w:t>
      </w:r>
      <w:r w:rsidR="00827700" w:rsidRPr="009C16B1">
        <w:rPr>
          <w:sz w:val="24"/>
          <w:szCs w:val="24"/>
        </w:rPr>
        <w:t>lies in its ability as a cosmological mythology to delegitimise and question conventional authority. While apocalyptic eschatology may function as Eliade's psychological mechanism through which the hardships of history are tolerated, it often disr</w:t>
      </w:r>
      <w:r w:rsidR="00EC0636" w:rsidRPr="009C16B1">
        <w:rPr>
          <w:sz w:val="24"/>
          <w:szCs w:val="24"/>
        </w:rPr>
        <w:t>upts the sociopolitical norms via</w:t>
      </w:r>
      <w:r w:rsidR="00827700" w:rsidRPr="009C16B1">
        <w:rPr>
          <w:sz w:val="24"/>
          <w:szCs w:val="24"/>
        </w:rPr>
        <w:t xml:space="preserve"> </w:t>
      </w:r>
      <w:r w:rsidR="00EC0636" w:rsidRPr="009C16B1">
        <w:rPr>
          <w:sz w:val="24"/>
          <w:szCs w:val="24"/>
        </w:rPr>
        <w:t>Cohn'</w:t>
      </w:r>
      <w:r w:rsidR="00800183" w:rsidRPr="009C16B1">
        <w:rPr>
          <w:sz w:val="24"/>
          <w:szCs w:val="24"/>
        </w:rPr>
        <w:t>s</w:t>
      </w:r>
      <w:r w:rsidR="00EC0636" w:rsidRPr="009C16B1">
        <w:rPr>
          <w:sz w:val="24"/>
          <w:szCs w:val="24"/>
        </w:rPr>
        <w:t xml:space="preserve"> mystical anarchy</w:t>
      </w:r>
      <w:r w:rsidR="00800183" w:rsidRPr="009C16B1">
        <w:rPr>
          <w:sz w:val="24"/>
          <w:szCs w:val="24"/>
        </w:rPr>
        <w:t xml:space="preserve"> of revolutionary millenarianism,</w:t>
      </w:r>
      <w:r w:rsidR="00EC0636" w:rsidRPr="009C16B1">
        <w:rPr>
          <w:sz w:val="24"/>
          <w:szCs w:val="24"/>
        </w:rPr>
        <w:t xml:space="preserve"> or</w:t>
      </w:r>
      <w:r w:rsidR="00827700" w:rsidRPr="009C16B1">
        <w:rPr>
          <w:sz w:val="24"/>
          <w:szCs w:val="24"/>
        </w:rPr>
        <w:t xml:space="preserve"> Landes' egalitarian demotic millennialism. When apocalyptic fervour reaches its revolutionary climax, the public transcript of the metanarrative disintegrates and the secret transcript of apocalyptic eschatology prevails. In this latter instance, the archaic instincts drive the mythical person towards liberation through abolishing the profane time of history.</w:t>
      </w:r>
      <w:r w:rsidRPr="009C16B1">
        <w:rPr>
          <w:sz w:val="24"/>
          <w:szCs w:val="24"/>
        </w:rPr>
        <w:t xml:space="preserve"> </w:t>
      </w:r>
      <w:r w:rsidR="00245180" w:rsidRPr="009C16B1">
        <w:rPr>
          <w:sz w:val="24"/>
          <w:szCs w:val="24"/>
        </w:rPr>
        <w:t>Recent developments in the Middle East has shown that con</w:t>
      </w:r>
      <w:r w:rsidR="00E461F9" w:rsidRPr="009C16B1">
        <w:rPr>
          <w:sz w:val="24"/>
          <w:szCs w:val="24"/>
        </w:rPr>
        <w:t xml:space="preserve">flict, undoubtedly perceived as </w:t>
      </w:r>
      <w:r w:rsidR="00245180" w:rsidRPr="009C16B1">
        <w:rPr>
          <w:sz w:val="24"/>
          <w:szCs w:val="24"/>
        </w:rPr>
        <w:t xml:space="preserve">'holy anarchy' by </w:t>
      </w:r>
      <w:r w:rsidR="004D02F1" w:rsidRPr="009C16B1">
        <w:rPr>
          <w:sz w:val="24"/>
          <w:szCs w:val="24"/>
        </w:rPr>
        <w:t>fundamental</w:t>
      </w:r>
      <w:r w:rsidR="00245180" w:rsidRPr="009C16B1">
        <w:rPr>
          <w:sz w:val="24"/>
          <w:szCs w:val="24"/>
        </w:rPr>
        <w:t xml:space="preserve"> jihadists such as ISIS, do indeed serve as a fertile ground for propelling and perpetuating radical mille</w:t>
      </w:r>
      <w:r w:rsidR="00257D84" w:rsidRPr="009C16B1">
        <w:rPr>
          <w:sz w:val="24"/>
          <w:szCs w:val="24"/>
        </w:rPr>
        <w:t>narian</w:t>
      </w:r>
      <w:r w:rsidR="004D02F1" w:rsidRPr="009C16B1">
        <w:rPr>
          <w:sz w:val="24"/>
          <w:szCs w:val="24"/>
        </w:rPr>
        <w:t xml:space="preserve"> and</w:t>
      </w:r>
      <w:r w:rsidR="00257D84" w:rsidRPr="009C16B1">
        <w:rPr>
          <w:sz w:val="24"/>
          <w:szCs w:val="24"/>
        </w:rPr>
        <w:t xml:space="preserve"> apocalyptic ideologies. </w:t>
      </w:r>
      <w:r w:rsidR="00E461F9" w:rsidRPr="009C16B1">
        <w:rPr>
          <w:sz w:val="24"/>
          <w:szCs w:val="24"/>
        </w:rPr>
        <w:t xml:space="preserve">It </w:t>
      </w:r>
      <w:r w:rsidR="00451314" w:rsidRPr="009C16B1">
        <w:rPr>
          <w:sz w:val="24"/>
          <w:szCs w:val="24"/>
        </w:rPr>
        <w:t xml:space="preserve">hence </w:t>
      </w:r>
      <w:r w:rsidR="00E461F9" w:rsidRPr="009C16B1">
        <w:rPr>
          <w:sz w:val="24"/>
          <w:szCs w:val="24"/>
        </w:rPr>
        <w:t>becomes crucial</w:t>
      </w:r>
      <w:r w:rsidR="00451314" w:rsidRPr="009C16B1">
        <w:rPr>
          <w:sz w:val="24"/>
          <w:szCs w:val="24"/>
        </w:rPr>
        <w:t xml:space="preserve"> to understand the role of apocalyptic thought, together with its subversive ramifications,</w:t>
      </w:r>
      <w:r w:rsidR="00257D84" w:rsidRPr="009C16B1">
        <w:rPr>
          <w:sz w:val="24"/>
          <w:szCs w:val="24"/>
        </w:rPr>
        <w:t xml:space="preserve"> </w:t>
      </w:r>
      <w:r w:rsidR="00451314" w:rsidRPr="009C16B1">
        <w:rPr>
          <w:sz w:val="24"/>
          <w:szCs w:val="24"/>
        </w:rPr>
        <w:t>for as Cohn stated, it is during times of disasters that revolutionary apocalypticism arises and thrives.</w:t>
      </w:r>
      <w:r w:rsidR="00451314" w:rsidRPr="009C16B1">
        <w:rPr>
          <w:rStyle w:val="FootnoteReference"/>
          <w:sz w:val="24"/>
          <w:szCs w:val="24"/>
        </w:rPr>
        <w:footnoteReference w:id="78"/>
      </w:r>
    </w:p>
    <w:p w:rsidR="00F411E0" w:rsidRDefault="00F411E0" w:rsidP="003C3306">
      <w:pPr>
        <w:spacing w:before="240"/>
        <w:jc w:val="lowKashida"/>
        <w:sectPr w:rsidR="00F411E0" w:rsidSect="00B63B13">
          <w:headerReference w:type="default" r:id="rId29"/>
          <w:footerReference w:type="default" r:id="rId30"/>
          <w:headerReference w:type="first" r:id="rId31"/>
          <w:footerReference w:type="first" r:id="rId32"/>
          <w:pgSz w:w="11907" w:h="16839" w:code="9"/>
          <w:pgMar w:top="1440" w:right="1247" w:bottom="1440" w:left="2268" w:header="720" w:footer="720" w:gutter="0"/>
          <w:pgNumType w:start="1"/>
          <w:cols w:space="720"/>
          <w:titlePg/>
          <w:docGrid w:linePitch="360"/>
        </w:sectPr>
      </w:pPr>
    </w:p>
    <w:p w:rsidR="00F411E0" w:rsidRPr="00532CA8" w:rsidRDefault="00F411E0" w:rsidP="000D43E4">
      <w:pPr>
        <w:pStyle w:val="Heading1"/>
      </w:pPr>
      <w:bookmarkStart w:id="19" w:name="_Toc477317381"/>
      <w:r w:rsidRPr="00992471">
        <w:lastRenderedPageBreak/>
        <w:t>Chapter I</w:t>
      </w:r>
      <w:r>
        <w:t xml:space="preserve">I: Islamic Apocalyptica against the Historical, Sociopolitical </w:t>
      </w:r>
      <w:r w:rsidR="000D43E4">
        <w:t>and</w:t>
      </w:r>
      <w:r>
        <w:t xml:space="preserve"> Intellectual Backdrop</w:t>
      </w:r>
      <w:bookmarkEnd w:id="19"/>
      <w:r>
        <w:t xml:space="preserve"> </w:t>
      </w:r>
    </w:p>
    <w:p w:rsidR="00F411E0" w:rsidRDefault="00F411E0" w:rsidP="00F411E0">
      <w:pPr>
        <w:pStyle w:val="Heading2"/>
      </w:pPr>
      <w:bookmarkStart w:id="20" w:name="_Toc477317382"/>
      <w:r>
        <w:t>2.1 Historical and Sociopolitical Context</w:t>
      </w:r>
      <w:bookmarkEnd w:id="20"/>
      <w:r>
        <w:t xml:space="preserve"> </w:t>
      </w:r>
    </w:p>
    <w:p w:rsidR="00F411E0" w:rsidRDefault="00F411E0" w:rsidP="00264360">
      <w:pPr>
        <w:pStyle w:val="Heading3"/>
      </w:pPr>
      <w:bookmarkStart w:id="21" w:name="_Toc477317383"/>
      <w:r>
        <w:t>2.1.1</w:t>
      </w:r>
      <w:r>
        <w:tab/>
        <w:t>Mercantile Economy, Dissemination of Apocalyptic Ideas and Pagan Hierarchy in Pre-Islamic Arabia</w:t>
      </w:r>
      <w:bookmarkEnd w:id="21"/>
    </w:p>
    <w:p w:rsidR="00F411E0" w:rsidRPr="007821CC" w:rsidRDefault="00F411E0" w:rsidP="00F411E0">
      <w:pPr>
        <w:jc w:val="lowKashida"/>
        <w:rPr>
          <w:sz w:val="24"/>
          <w:szCs w:val="24"/>
          <w:lang w:bidi="ar-AE"/>
        </w:rPr>
      </w:pPr>
      <w:r w:rsidRPr="007821CC">
        <w:rPr>
          <w:sz w:val="24"/>
          <w:szCs w:val="24"/>
          <w:lang w:bidi="ar-AE"/>
        </w:rPr>
        <w:t>A number of historical studies suggested that the centuries preceding the Qur'ānic revelations in the Near East were characterised by the rise of a mercantile economy that facilitated the dissemination of religious ideas across the region.</w:t>
      </w:r>
      <w:r w:rsidRPr="007821CC">
        <w:rPr>
          <w:rStyle w:val="FootnoteReference"/>
          <w:sz w:val="24"/>
          <w:szCs w:val="24"/>
          <w:lang w:bidi="ar-AE"/>
        </w:rPr>
        <w:footnoteReference w:id="79"/>
      </w:r>
      <w:r w:rsidRPr="007821CC">
        <w:rPr>
          <w:sz w:val="24"/>
          <w:szCs w:val="24"/>
          <w:lang w:bidi="ar-AE"/>
        </w:rPr>
        <w:t xml:space="preserve"> In addition to polytheistic idolatry prevalent among the Arabian tribes, historians noted the existence of Christianity and Judaism in different localities in the pre-Islamic Arabian Peninsula, yet with a significant presence of Christians in northern Arabia, and strongly established Jewish territories in the southern region.</w:t>
      </w:r>
      <w:r w:rsidRPr="007821CC">
        <w:rPr>
          <w:rStyle w:val="FootnoteReference"/>
          <w:sz w:val="24"/>
          <w:szCs w:val="24"/>
          <w:lang w:bidi="ar-AE"/>
        </w:rPr>
        <w:footnoteReference w:id="80"/>
      </w:r>
      <w:r w:rsidRPr="007821CC">
        <w:rPr>
          <w:sz w:val="24"/>
          <w:szCs w:val="24"/>
          <w:lang w:bidi="ar-AE"/>
        </w:rPr>
        <w:t xml:space="preserve"> Strategically located on the Incense Route that linked South Arabia to the Mediterranean, Makkah was naturally exposed to a variety of religious currents, and chiefly, it may be deduced, to the aforementioned Abrahamic religions.</w:t>
      </w:r>
      <w:r w:rsidRPr="007821CC">
        <w:rPr>
          <w:rStyle w:val="FootnoteReference"/>
          <w:sz w:val="24"/>
          <w:szCs w:val="24"/>
          <w:lang w:bidi="ar-AE"/>
        </w:rPr>
        <w:footnoteReference w:id="81"/>
      </w:r>
      <w:r w:rsidRPr="007821CC">
        <w:rPr>
          <w:sz w:val="24"/>
          <w:szCs w:val="24"/>
          <w:lang w:bidi="ar-AE"/>
        </w:rPr>
        <w:t xml:space="preserve"> Such an assumption is supported by the </w:t>
      </w:r>
      <w:r w:rsidRPr="007821CC">
        <w:rPr>
          <w:sz w:val="24"/>
          <w:szCs w:val="24"/>
          <w:lang w:val="en-GB"/>
        </w:rPr>
        <w:t>ninth century historian al-Azruqī who reported that the Ka'ba, the holy shrine in Makkah, contained icons of Mary, Jesus and the biblical prophet Abraham and his son Ishmael.</w:t>
      </w:r>
      <w:r w:rsidRPr="007821CC">
        <w:rPr>
          <w:rStyle w:val="FootnoteReference"/>
          <w:sz w:val="24"/>
          <w:szCs w:val="24"/>
          <w:lang w:val="en-GB"/>
        </w:rPr>
        <w:footnoteReference w:id="82"/>
      </w:r>
      <w:r w:rsidRPr="007821CC">
        <w:rPr>
          <w:sz w:val="24"/>
          <w:szCs w:val="24"/>
          <w:lang w:val="en-GB"/>
        </w:rPr>
        <w:t xml:space="preserve"> This is further validated by the Qur'ānic </w:t>
      </w:r>
      <w:r w:rsidRPr="007821CC">
        <w:rPr>
          <w:i/>
          <w:iCs/>
          <w:sz w:val="24"/>
          <w:szCs w:val="24"/>
          <w:lang w:bidi="ar-AE"/>
        </w:rPr>
        <w:t xml:space="preserve">sūra </w:t>
      </w:r>
      <w:r w:rsidRPr="007821CC">
        <w:rPr>
          <w:sz w:val="24"/>
          <w:szCs w:val="24"/>
          <w:lang w:bidi="ar-AE"/>
        </w:rPr>
        <w:t xml:space="preserve">'Quraysh', which not only </w:t>
      </w:r>
      <w:r w:rsidRPr="007821CC">
        <w:rPr>
          <w:sz w:val="24"/>
          <w:szCs w:val="24"/>
          <w:lang w:bidi="ar-AE"/>
        </w:rPr>
        <w:lastRenderedPageBreak/>
        <w:t xml:space="preserve">documents the mercantile activities of the Prophet's tribe Quraysh, but most importantly admonishes </w:t>
      </w:r>
      <w:r w:rsidRPr="007821CC">
        <w:rPr>
          <w:sz w:val="24"/>
          <w:szCs w:val="24"/>
          <w:lang w:val="en-GB"/>
        </w:rPr>
        <w:t>the pagan polytheistic practices that adulterated the absolute monotheism epitomised by Prophet Abraham</w:t>
      </w:r>
      <w:r w:rsidRPr="007821CC">
        <w:rPr>
          <w:sz w:val="24"/>
          <w:szCs w:val="24"/>
          <w:lang w:bidi="ar-AE"/>
        </w:rPr>
        <w:t>:</w:t>
      </w:r>
    </w:p>
    <w:p w:rsidR="00F411E0" w:rsidRPr="007821CC" w:rsidRDefault="00F411E0" w:rsidP="00F411E0">
      <w:pPr>
        <w:ind w:left="720"/>
        <w:rPr>
          <w:sz w:val="24"/>
          <w:szCs w:val="24"/>
          <w:lang w:bidi="ar-AE"/>
        </w:rPr>
      </w:pPr>
    </w:p>
    <w:p w:rsidR="00F411E0" w:rsidRPr="007821CC" w:rsidRDefault="00F411E0" w:rsidP="007821CC">
      <w:pPr>
        <w:spacing w:line="240" w:lineRule="auto"/>
        <w:ind w:left="720"/>
        <w:rPr>
          <w:sz w:val="24"/>
          <w:szCs w:val="24"/>
          <w:lang w:bidi="ar-AE"/>
        </w:rPr>
      </w:pPr>
      <w:r w:rsidRPr="007821CC">
        <w:rPr>
          <w:sz w:val="24"/>
          <w:szCs w:val="24"/>
          <w:lang w:bidi="ar-AE"/>
        </w:rPr>
        <w:t>For the protection of Quraysh;</w:t>
      </w:r>
    </w:p>
    <w:p w:rsidR="00F411E0" w:rsidRPr="007821CC" w:rsidRDefault="00F411E0" w:rsidP="007821CC">
      <w:pPr>
        <w:spacing w:line="240" w:lineRule="auto"/>
        <w:ind w:left="720"/>
        <w:rPr>
          <w:sz w:val="24"/>
          <w:szCs w:val="24"/>
          <w:lang w:bidi="ar-AE"/>
        </w:rPr>
      </w:pPr>
      <w:proofErr w:type="gramStart"/>
      <w:r w:rsidRPr="007821CC">
        <w:rPr>
          <w:sz w:val="24"/>
          <w:szCs w:val="24"/>
          <w:lang w:bidi="ar-AE"/>
        </w:rPr>
        <w:t>For their protection during the winter and summer journeys.</w:t>
      </w:r>
      <w:proofErr w:type="gramEnd"/>
    </w:p>
    <w:p w:rsidR="00F411E0" w:rsidRPr="007821CC" w:rsidRDefault="00F411E0" w:rsidP="007821CC">
      <w:pPr>
        <w:spacing w:line="240" w:lineRule="auto"/>
        <w:ind w:left="720"/>
        <w:rPr>
          <w:sz w:val="24"/>
          <w:szCs w:val="24"/>
          <w:lang w:bidi="ar-AE"/>
        </w:rPr>
      </w:pPr>
      <w:r w:rsidRPr="007821CC">
        <w:rPr>
          <w:sz w:val="24"/>
          <w:szCs w:val="24"/>
          <w:lang w:bidi="ar-AE"/>
        </w:rPr>
        <w:t>So let them worship the Lord of this House,</w:t>
      </w:r>
    </w:p>
    <w:p w:rsidR="00F411E0" w:rsidRPr="007821CC" w:rsidRDefault="00F411E0" w:rsidP="007821CC">
      <w:pPr>
        <w:spacing w:line="240" w:lineRule="auto"/>
        <w:ind w:left="720"/>
        <w:rPr>
          <w:sz w:val="24"/>
          <w:szCs w:val="24"/>
          <w:lang w:bidi="ar-AE"/>
        </w:rPr>
      </w:pPr>
      <w:r w:rsidRPr="007821CC">
        <w:rPr>
          <w:sz w:val="24"/>
          <w:szCs w:val="24"/>
          <w:lang w:bidi="ar-AE"/>
        </w:rPr>
        <w:t>Who has fed them against hunger, and has made them safe from fear.</w:t>
      </w:r>
      <w:r w:rsidRPr="007821CC">
        <w:rPr>
          <w:rStyle w:val="FootnoteReference"/>
          <w:sz w:val="24"/>
          <w:szCs w:val="24"/>
          <w:lang w:bidi="ar-AE"/>
        </w:rPr>
        <w:footnoteReference w:id="83"/>
      </w:r>
    </w:p>
    <w:p w:rsidR="00F411E0" w:rsidRPr="007821CC" w:rsidRDefault="00F411E0" w:rsidP="00F411E0">
      <w:pPr>
        <w:jc w:val="lowKashida"/>
        <w:rPr>
          <w:sz w:val="24"/>
          <w:szCs w:val="24"/>
          <w:lang w:bidi="ar-AE"/>
        </w:rPr>
      </w:pPr>
    </w:p>
    <w:p w:rsidR="00F411E0" w:rsidRPr="007821CC" w:rsidRDefault="00F411E0" w:rsidP="00F411E0">
      <w:pPr>
        <w:jc w:val="lowKashida"/>
        <w:rPr>
          <w:rStyle w:val="tgc"/>
          <w:sz w:val="24"/>
          <w:szCs w:val="24"/>
        </w:rPr>
      </w:pPr>
      <w:r w:rsidRPr="007821CC">
        <w:rPr>
          <w:sz w:val="24"/>
          <w:szCs w:val="24"/>
          <w:lang w:bidi="ar-AE"/>
        </w:rPr>
        <w:t xml:space="preserve">According to several exegetical works, this </w:t>
      </w:r>
      <w:r w:rsidRPr="007821CC">
        <w:rPr>
          <w:i/>
          <w:iCs/>
          <w:sz w:val="24"/>
          <w:szCs w:val="24"/>
          <w:lang w:bidi="ar-AE"/>
        </w:rPr>
        <w:t>sūra</w:t>
      </w:r>
      <w:r w:rsidRPr="007821CC">
        <w:rPr>
          <w:sz w:val="24"/>
          <w:szCs w:val="24"/>
          <w:lang w:bidi="ar-AE"/>
        </w:rPr>
        <w:t xml:space="preserve"> prompts the Quraysh to worship Allah, the Lord of the Ka'ba in Makkah, and their sole protector during their mercantile journeys south towards Yemen during winters, and north towards the Levant during summers.</w:t>
      </w:r>
      <w:r w:rsidRPr="007821CC">
        <w:rPr>
          <w:rStyle w:val="FootnoteReference"/>
          <w:sz w:val="24"/>
          <w:szCs w:val="24"/>
          <w:lang w:bidi="ar-AE"/>
        </w:rPr>
        <w:footnoteReference w:id="84"/>
      </w:r>
      <w:r w:rsidRPr="007821CC">
        <w:rPr>
          <w:sz w:val="24"/>
          <w:szCs w:val="24"/>
          <w:lang w:bidi="ar-AE"/>
        </w:rPr>
        <w:t xml:space="preserve"> Such journeys would have probably exposed Arabian tribes, including the Quraysh, to the </w:t>
      </w:r>
      <w:r w:rsidRPr="007821CC">
        <w:rPr>
          <w:rStyle w:val="tgc"/>
          <w:sz w:val="24"/>
          <w:szCs w:val="24"/>
        </w:rPr>
        <w:t xml:space="preserve">Judeo-Christian cosmological and eschatological narratives. Confirming this possibility is a </w:t>
      </w:r>
      <w:r w:rsidRPr="007821CC">
        <w:rPr>
          <w:rStyle w:val="tgc"/>
          <w:i/>
          <w:iCs/>
          <w:sz w:val="24"/>
          <w:szCs w:val="24"/>
        </w:rPr>
        <w:t xml:space="preserve">ḥadīth </w:t>
      </w:r>
      <w:r w:rsidRPr="007821CC">
        <w:rPr>
          <w:rStyle w:val="tgc"/>
          <w:sz w:val="24"/>
          <w:szCs w:val="24"/>
        </w:rPr>
        <w:t xml:space="preserve">narrated by the Prophet's companion </w:t>
      </w:r>
      <w:r w:rsidRPr="007821CC">
        <w:rPr>
          <w:sz w:val="24"/>
          <w:szCs w:val="24"/>
        </w:rPr>
        <w:t xml:space="preserve">Salamah bin Salāmah bin Waqsh, from the tribe of </w:t>
      </w:r>
      <w:r w:rsidRPr="007821CC">
        <w:rPr>
          <w:sz w:val="24"/>
          <w:szCs w:val="24"/>
          <w:lang w:bidi="ar-AE"/>
        </w:rPr>
        <w:t xml:space="preserve">'abd al-Ashhal, and cited </w:t>
      </w:r>
      <w:r w:rsidRPr="007821CC">
        <w:rPr>
          <w:rStyle w:val="tgc"/>
          <w:sz w:val="24"/>
          <w:szCs w:val="24"/>
        </w:rPr>
        <w:t xml:space="preserve">in the </w:t>
      </w:r>
      <w:r w:rsidRPr="007821CC">
        <w:rPr>
          <w:rStyle w:val="tgc"/>
          <w:i/>
          <w:iCs/>
          <w:sz w:val="24"/>
          <w:szCs w:val="24"/>
        </w:rPr>
        <w:t>ḥadīth</w:t>
      </w:r>
      <w:r w:rsidRPr="007821CC">
        <w:rPr>
          <w:rStyle w:val="tgc"/>
          <w:sz w:val="24"/>
          <w:szCs w:val="24"/>
        </w:rPr>
        <w:t xml:space="preserve"> compilation of al-Ḥākim</w:t>
      </w:r>
      <w:r w:rsidRPr="007821CC">
        <w:rPr>
          <w:rStyle w:val="tgc"/>
          <w:rFonts w:hint="cs"/>
          <w:sz w:val="24"/>
          <w:szCs w:val="24"/>
          <w:rtl/>
        </w:rPr>
        <w:t xml:space="preserve"> </w:t>
      </w:r>
      <w:r w:rsidRPr="007821CC">
        <w:rPr>
          <w:rStyle w:val="tgc"/>
          <w:sz w:val="24"/>
          <w:szCs w:val="24"/>
        </w:rPr>
        <w:t xml:space="preserve">al-Naīsābūrī (933-1012 </w:t>
      </w:r>
      <w:r w:rsidRPr="00F14447">
        <w:rPr>
          <w:rStyle w:val="tgc"/>
        </w:rPr>
        <w:t>CE</w:t>
      </w:r>
      <w:r w:rsidRPr="007821CC">
        <w:rPr>
          <w:rStyle w:val="tgc"/>
          <w:sz w:val="24"/>
          <w:szCs w:val="24"/>
        </w:rPr>
        <w:t>):</w:t>
      </w:r>
    </w:p>
    <w:p w:rsidR="00F411E0" w:rsidRDefault="00F411E0" w:rsidP="00F411E0">
      <w:pPr>
        <w:jc w:val="lowKashida"/>
        <w:rPr>
          <w:rStyle w:val="tgc"/>
          <w:lang w:bidi="ar-AE"/>
        </w:rPr>
      </w:pPr>
    </w:p>
    <w:p w:rsidR="00F411E0" w:rsidRPr="007821CC" w:rsidRDefault="00F411E0" w:rsidP="007821CC">
      <w:pPr>
        <w:spacing w:line="240" w:lineRule="auto"/>
        <w:ind w:left="720"/>
        <w:jc w:val="lowKashida"/>
        <w:rPr>
          <w:sz w:val="24"/>
          <w:szCs w:val="24"/>
          <w:rtl/>
          <w:lang w:bidi="ar-AE"/>
        </w:rPr>
      </w:pPr>
      <w:r w:rsidRPr="007821CC">
        <w:rPr>
          <w:sz w:val="24"/>
          <w:szCs w:val="24"/>
          <w:lang w:bidi="ar-AE"/>
        </w:rPr>
        <w:t xml:space="preserve">We had a Jewish neighbour living amongst the sons of the tribe of 'abd al-Ashhal. One day he came out to us from his house and approached the people of 'abd al-Ashhal […] </w:t>
      </w:r>
      <w:proofErr w:type="gramStart"/>
      <w:r w:rsidRPr="007821CC">
        <w:rPr>
          <w:sz w:val="24"/>
          <w:szCs w:val="24"/>
          <w:lang w:bidi="ar-AE"/>
        </w:rPr>
        <w:t>So</w:t>
      </w:r>
      <w:proofErr w:type="gramEnd"/>
      <w:r w:rsidRPr="007821CC">
        <w:rPr>
          <w:sz w:val="24"/>
          <w:szCs w:val="24"/>
          <w:lang w:bidi="ar-AE"/>
        </w:rPr>
        <w:t xml:space="preserve"> he [the Jewish neighbor] mentioned the Dooms Day, the Resurrection, the Judgment, the Balance of Judgment, Paradise and Hellfire. And he mentioned these thing to the people of Yathrib (presently known as al-Madīna), and those people were then pagans who did not believe in resurrection after death.</w:t>
      </w:r>
      <w:r w:rsidRPr="007821CC">
        <w:rPr>
          <w:rStyle w:val="FootnoteReference"/>
          <w:sz w:val="24"/>
          <w:szCs w:val="24"/>
          <w:lang w:bidi="ar-AE"/>
        </w:rPr>
        <w:footnoteReference w:id="85"/>
      </w:r>
    </w:p>
    <w:p w:rsidR="00F411E0" w:rsidRDefault="00F411E0" w:rsidP="00F411E0">
      <w:pPr>
        <w:jc w:val="lowKashida"/>
        <w:rPr>
          <w:rStyle w:val="tgc"/>
          <w:rtl/>
          <w:lang w:bidi="ar-AE"/>
        </w:rPr>
      </w:pPr>
    </w:p>
    <w:p w:rsidR="00F411E0" w:rsidRPr="007821CC" w:rsidRDefault="00F411E0" w:rsidP="00F411E0">
      <w:pPr>
        <w:jc w:val="lowKashida"/>
        <w:rPr>
          <w:sz w:val="24"/>
          <w:szCs w:val="24"/>
          <w:lang w:bidi="ar-AE"/>
        </w:rPr>
      </w:pPr>
      <w:r w:rsidRPr="007821CC">
        <w:rPr>
          <w:sz w:val="24"/>
          <w:szCs w:val="24"/>
          <w:lang w:bidi="ar-AE"/>
        </w:rPr>
        <w:lastRenderedPageBreak/>
        <w:t xml:space="preserve">Despite their mercantile encounters with other cultures, it seems that the majority of Arabian tribes were resistant to the infiltration of Abrahamic eschatological ideas, for as observed by historian </w:t>
      </w:r>
      <w:r w:rsidRPr="007821CC">
        <w:rPr>
          <w:sz w:val="24"/>
          <w:szCs w:val="24"/>
        </w:rPr>
        <w:t xml:space="preserve">Maḥmūd Shukrī al-Ālūsī (1856-1924 </w:t>
      </w:r>
      <w:r w:rsidRPr="00F14447">
        <w:t>CE</w:t>
      </w:r>
      <w:r w:rsidRPr="007821CC">
        <w:rPr>
          <w:sz w:val="24"/>
          <w:szCs w:val="24"/>
        </w:rPr>
        <w:t>),</w:t>
      </w:r>
      <w:r w:rsidRPr="007821CC">
        <w:rPr>
          <w:sz w:val="24"/>
          <w:szCs w:val="24"/>
          <w:lang w:bidi="ar-AE"/>
        </w:rPr>
        <w:t xml:space="preserve"> most Arabs remained adamant adherents of polytheistic idolatry</w:t>
      </w:r>
      <w:r w:rsidRPr="007821CC">
        <w:rPr>
          <w:sz w:val="24"/>
          <w:szCs w:val="24"/>
        </w:rPr>
        <w:t>.</w:t>
      </w:r>
      <w:r w:rsidRPr="007821CC">
        <w:rPr>
          <w:rStyle w:val="FootnoteReference"/>
          <w:sz w:val="24"/>
          <w:szCs w:val="24"/>
          <w:lang w:bidi="ar-AE"/>
        </w:rPr>
        <w:footnoteReference w:id="86"/>
      </w:r>
      <w:r w:rsidRPr="007821CC">
        <w:rPr>
          <w:sz w:val="24"/>
          <w:szCs w:val="24"/>
        </w:rPr>
        <w:t xml:space="preserve"> </w:t>
      </w:r>
      <w:r w:rsidRPr="007821CC">
        <w:rPr>
          <w:sz w:val="24"/>
          <w:szCs w:val="24"/>
          <w:lang w:bidi="ar-AE"/>
        </w:rPr>
        <w:t xml:space="preserve">When </w:t>
      </w:r>
      <w:r w:rsidRPr="007821CC">
        <w:rPr>
          <w:sz w:val="24"/>
          <w:szCs w:val="24"/>
        </w:rPr>
        <w:t xml:space="preserve">the prophet Muḥammad ibn 'Abd Allah (c.570-632 </w:t>
      </w:r>
      <w:r w:rsidRPr="00F14447">
        <w:t>CE</w:t>
      </w:r>
      <w:r w:rsidRPr="007821CC">
        <w:rPr>
          <w:sz w:val="24"/>
          <w:szCs w:val="24"/>
        </w:rPr>
        <w:t xml:space="preserve">) preached Islam to his tribe Quraysh, he conveyed a revelation that confirmed and </w:t>
      </w:r>
      <w:r w:rsidRPr="007821CC">
        <w:rPr>
          <w:sz w:val="24"/>
          <w:szCs w:val="24"/>
          <w:lang w:bidi="ar-AE"/>
        </w:rPr>
        <w:t>completed the retributive, teleological and eschatological image depicted by the previous biblical scriptures:</w:t>
      </w:r>
    </w:p>
    <w:p w:rsidR="00F411E0" w:rsidRPr="007821CC" w:rsidRDefault="00F411E0" w:rsidP="00F411E0">
      <w:pPr>
        <w:jc w:val="lowKashida"/>
        <w:rPr>
          <w:sz w:val="24"/>
          <w:szCs w:val="24"/>
          <w:lang w:bidi="ar-AE"/>
        </w:rPr>
      </w:pPr>
    </w:p>
    <w:p w:rsidR="00F411E0" w:rsidRPr="007821CC" w:rsidRDefault="00F411E0" w:rsidP="007821CC">
      <w:pPr>
        <w:spacing w:line="240" w:lineRule="auto"/>
        <w:ind w:left="720"/>
        <w:jc w:val="lowKashida"/>
        <w:rPr>
          <w:color w:val="000000"/>
          <w:sz w:val="24"/>
          <w:szCs w:val="24"/>
        </w:rPr>
      </w:pPr>
      <w:r w:rsidRPr="007821CC">
        <w:rPr>
          <w:color w:val="000000"/>
          <w:sz w:val="24"/>
          <w:szCs w:val="24"/>
        </w:rPr>
        <w:t>The Unbelievers will be led to Hell in crowds; until, when they arrive there, its gates will be opened and its Keepers will say "Did not messengers come to you from among yourselves rehearsing to you the Signs of your Lord, and warning you of the meeting of this Day of yours?" The answer will be: "True: but the Decree of Punishment has been proved true against the Unbelievers!"</w:t>
      </w:r>
    </w:p>
    <w:p w:rsidR="00F411E0" w:rsidRPr="007821CC" w:rsidRDefault="00F411E0" w:rsidP="007821CC">
      <w:pPr>
        <w:spacing w:line="240" w:lineRule="auto"/>
        <w:ind w:left="720"/>
        <w:jc w:val="lowKashida"/>
        <w:rPr>
          <w:color w:val="000000"/>
          <w:sz w:val="24"/>
          <w:szCs w:val="24"/>
        </w:rPr>
      </w:pPr>
      <w:r w:rsidRPr="007821CC">
        <w:rPr>
          <w:color w:val="000000"/>
          <w:sz w:val="24"/>
          <w:szCs w:val="24"/>
        </w:rPr>
        <w:t xml:space="preserve">(To them) will be said: "Enter ye the gates of Hell, to dwell therein: and evil is (this) abode of the arrogant!" </w:t>
      </w:r>
    </w:p>
    <w:p w:rsidR="00F411E0" w:rsidRPr="007821CC" w:rsidRDefault="00F411E0" w:rsidP="007821CC">
      <w:pPr>
        <w:spacing w:line="240" w:lineRule="auto"/>
        <w:ind w:left="720"/>
        <w:jc w:val="lowKashida"/>
        <w:rPr>
          <w:color w:val="000000"/>
          <w:sz w:val="24"/>
          <w:szCs w:val="24"/>
        </w:rPr>
      </w:pPr>
      <w:r w:rsidRPr="007821CC">
        <w:rPr>
          <w:color w:val="000000"/>
          <w:sz w:val="24"/>
          <w:szCs w:val="24"/>
        </w:rPr>
        <w:t xml:space="preserve">And those who feared their Lord will be led to the Garden in crowds: until behold, they arrive there; its gates will be opened: and its Keepers will say: "Peace be upon you! Well have ye done! Enter </w:t>
      </w:r>
      <w:proofErr w:type="gramStart"/>
      <w:r w:rsidRPr="007821CC">
        <w:rPr>
          <w:color w:val="000000"/>
          <w:sz w:val="24"/>
          <w:szCs w:val="24"/>
        </w:rPr>
        <w:t>ye</w:t>
      </w:r>
      <w:proofErr w:type="gramEnd"/>
      <w:r w:rsidRPr="007821CC">
        <w:rPr>
          <w:color w:val="000000"/>
          <w:sz w:val="24"/>
          <w:szCs w:val="24"/>
        </w:rPr>
        <w:t xml:space="preserve"> here, to dwell therein."</w:t>
      </w:r>
      <w:r w:rsidRPr="007821CC">
        <w:rPr>
          <w:rStyle w:val="FootnoteReference"/>
          <w:color w:val="000000"/>
          <w:sz w:val="24"/>
          <w:szCs w:val="24"/>
        </w:rPr>
        <w:footnoteReference w:id="87"/>
      </w:r>
      <w:r w:rsidRPr="007821CC">
        <w:rPr>
          <w:color w:val="000000"/>
          <w:sz w:val="24"/>
          <w:szCs w:val="24"/>
        </w:rPr>
        <w:t xml:space="preserve"> </w:t>
      </w:r>
    </w:p>
    <w:p w:rsidR="00F411E0" w:rsidRPr="007821CC" w:rsidRDefault="00F411E0" w:rsidP="00F411E0">
      <w:pPr>
        <w:jc w:val="lowKashida"/>
        <w:rPr>
          <w:sz w:val="24"/>
          <w:szCs w:val="24"/>
        </w:rPr>
      </w:pPr>
    </w:p>
    <w:p w:rsidR="00F411E0" w:rsidRPr="007821CC" w:rsidRDefault="00F411E0" w:rsidP="00F411E0">
      <w:pPr>
        <w:jc w:val="lowKashida"/>
        <w:rPr>
          <w:sz w:val="24"/>
          <w:szCs w:val="24"/>
        </w:rPr>
      </w:pPr>
      <w:r w:rsidRPr="007821CC">
        <w:rPr>
          <w:sz w:val="24"/>
          <w:szCs w:val="24"/>
        </w:rPr>
        <w:t>The Quraysh</w:t>
      </w:r>
      <w:r w:rsidRPr="007821CC">
        <w:rPr>
          <w:sz w:val="24"/>
          <w:szCs w:val="24"/>
          <w:lang w:bidi="ar-AE"/>
        </w:rPr>
        <w:t xml:space="preserve"> instantly rejected his message saying, </w:t>
      </w:r>
      <w:r w:rsidR="008D2568">
        <w:rPr>
          <w:sz w:val="24"/>
          <w:szCs w:val="24"/>
        </w:rPr>
        <w:t>'We will follow t</w:t>
      </w:r>
      <w:r w:rsidRPr="007821CC">
        <w:rPr>
          <w:sz w:val="24"/>
          <w:szCs w:val="24"/>
        </w:rPr>
        <w:t>hat wherein we found our forefathers.'</w:t>
      </w:r>
      <w:r w:rsidRPr="007821CC">
        <w:rPr>
          <w:rStyle w:val="FootnoteReference"/>
          <w:sz w:val="24"/>
          <w:szCs w:val="24"/>
        </w:rPr>
        <w:footnoteReference w:id="88"/>
      </w:r>
      <w:r w:rsidRPr="007821CC">
        <w:rPr>
          <w:sz w:val="24"/>
          <w:szCs w:val="24"/>
        </w:rPr>
        <w:t xml:space="preserve"> </w:t>
      </w:r>
      <w:r w:rsidRPr="007821CC">
        <w:rPr>
          <w:sz w:val="24"/>
          <w:szCs w:val="24"/>
          <w:lang w:bidi="ar-AE"/>
        </w:rPr>
        <w:t>Such</w:t>
      </w:r>
      <w:r w:rsidRPr="007821CC">
        <w:rPr>
          <w:sz w:val="24"/>
          <w:szCs w:val="24"/>
        </w:rPr>
        <w:t xml:space="preserve"> rigid conformity to inherited religion does not merely demonstrate conservative respect for tradition, but rather, reflects a desire to protect and maintain the sociopolitical hierarchical system. This notion becomes especially valid when one realises that political authority in pre-Islamic Arabia was usually associated with the control of pagan cultic sites as Jonathan P. Berkey pointed out.</w:t>
      </w:r>
      <w:r w:rsidRPr="007821CC">
        <w:rPr>
          <w:rStyle w:val="FootnoteReference"/>
          <w:sz w:val="24"/>
          <w:szCs w:val="24"/>
          <w:lang w:bidi="ar-AE"/>
        </w:rPr>
        <w:footnoteReference w:id="89"/>
      </w:r>
      <w:r w:rsidRPr="007821CC">
        <w:rPr>
          <w:sz w:val="24"/>
          <w:szCs w:val="24"/>
        </w:rPr>
        <w:t xml:space="preserve"> Hence understandably so, the Quraysh were reluctant to give up the political power they were endowed with as the custodians of the holy shrine. Furthermore and most importantly, the Prophet's message was rejected primarily because preached a subversive egalitarian religion that appealed mostly to the socially disadvantaged, for 'The life of this world was made pleasing to the disbelievers and they deride the believers. Yet those that fear Allah will be above them on the Day of Judgement. Allah gives without measure whomsoever He will.'</w:t>
      </w:r>
      <w:r w:rsidRPr="007821CC">
        <w:rPr>
          <w:rStyle w:val="FootnoteReference"/>
          <w:sz w:val="24"/>
          <w:szCs w:val="24"/>
        </w:rPr>
        <w:footnoteReference w:id="90"/>
      </w:r>
      <w:r w:rsidRPr="007821CC">
        <w:rPr>
          <w:sz w:val="24"/>
          <w:szCs w:val="24"/>
        </w:rPr>
        <w:t xml:space="preserve"> A verse like this, undoubtedly, was perceived by the Quraysh elites as jeopardising the strongly established sociopolitical </w:t>
      </w:r>
      <w:r w:rsidRPr="007821CC">
        <w:rPr>
          <w:i/>
          <w:iCs/>
          <w:sz w:val="24"/>
          <w:szCs w:val="24"/>
        </w:rPr>
        <w:t>status quo</w:t>
      </w:r>
      <w:r w:rsidRPr="007821CC">
        <w:rPr>
          <w:sz w:val="24"/>
          <w:szCs w:val="24"/>
        </w:rPr>
        <w:t xml:space="preserve"> and breaching the agreed upon hegemonic public transcript of pagan Arabia. </w:t>
      </w:r>
    </w:p>
    <w:p w:rsidR="00F411E0" w:rsidRDefault="00F411E0" w:rsidP="00F411E0">
      <w:pPr>
        <w:jc w:val="lowKashida"/>
      </w:pPr>
    </w:p>
    <w:p w:rsidR="00F411E0" w:rsidRDefault="00F411E0" w:rsidP="00264360">
      <w:pPr>
        <w:pStyle w:val="Heading3"/>
      </w:pPr>
      <w:bookmarkStart w:id="22" w:name="_Toc477317384"/>
      <w:r>
        <w:lastRenderedPageBreak/>
        <w:t>2.1.2</w:t>
      </w:r>
      <w:r>
        <w:tab/>
        <w:t>Fitan and Tribulations</w:t>
      </w:r>
      <w:bookmarkEnd w:id="22"/>
    </w:p>
    <w:p w:rsidR="00F411E0" w:rsidRPr="007821CC" w:rsidRDefault="00F411E0" w:rsidP="00F411E0">
      <w:pPr>
        <w:jc w:val="lowKashida"/>
        <w:rPr>
          <w:sz w:val="24"/>
          <w:szCs w:val="24"/>
          <w:rtl/>
        </w:rPr>
      </w:pPr>
      <w:r w:rsidRPr="007821CC">
        <w:rPr>
          <w:sz w:val="24"/>
          <w:szCs w:val="24"/>
        </w:rPr>
        <w:t xml:space="preserve">Within a few years of the conquest of Makkah in 630 </w:t>
      </w:r>
      <w:r w:rsidRPr="00F14447">
        <w:t>CE</w:t>
      </w:r>
      <w:r w:rsidRPr="007821CC">
        <w:rPr>
          <w:sz w:val="24"/>
          <w:szCs w:val="24"/>
        </w:rPr>
        <w:t>, the Arabian tribes acknowledged the authority of the Prophet and were subsequently unified under a rule that emphasised religious devotion over tribal rivalries.</w:t>
      </w:r>
      <w:r w:rsidRPr="007821CC">
        <w:rPr>
          <w:rStyle w:val="FootnoteReference"/>
          <w:sz w:val="24"/>
          <w:szCs w:val="24"/>
        </w:rPr>
        <w:footnoteReference w:id="91"/>
      </w:r>
      <w:r w:rsidRPr="007821CC">
        <w:rPr>
          <w:sz w:val="24"/>
          <w:szCs w:val="24"/>
        </w:rPr>
        <w:t xml:space="preserve"> The Death of the Prophet, however, was followed by a series of succession wars between his Hāshimite relatives, who perceived themselves as his lawful successors, and the Umayyads, who were the wealthy traditional leaders of the Quraysh.</w:t>
      </w:r>
      <w:r w:rsidRPr="007821CC">
        <w:rPr>
          <w:rStyle w:val="FootnoteReference"/>
          <w:sz w:val="24"/>
          <w:szCs w:val="24"/>
        </w:rPr>
        <w:footnoteReference w:id="92"/>
      </w:r>
      <w:r w:rsidRPr="007821CC">
        <w:rPr>
          <w:sz w:val="24"/>
          <w:szCs w:val="24"/>
        </w:rPr>
        <w:t xml:space="preserve"> The first century of Islam was consequently disrupted by consecutive periods of political upheavals, assassinations and civil strife which became known as </w:t>
      </w:r>
      <w:r w:rsidRPr="007821CC">
        <w:rPr>
          <w:i/>
          <w:iCs/>
          <w:sz w:val="24"/>
          <w:szCs w:val="24"/>
        </w:rPr>
        <w:t>fitan</w:t>
      </w:r>
      <w:r w:rsidRPr="007821CC">
        <w:rPr>
          <w:sz w:val="24"/>
          <w:szCs w:val="24"/>
        </w:rPr>
        <w:t xml:space="preserve"> in Islamic historiography.</w:t>
      </w:r>
      <w:r w:rsidRPr="007821CC">
        <w:rPr>
          <w:rStyle w:val="FootnoteReference"/>
          <w:sz w:val="24"/>
          <w:szCs w:val="24"/>
        </w:rPr>
        <w:footnoteReference w:id="93"/>
      </w:r>
      <w:r w:rsidRPr="007821CC">
        <w:rPr>
          <w:sz w:val="24"/>
          <w:szCs w:val="24"/>
        </w:rPr>
        <w:t xml:space="preserve"> </w:t>
      </w:r>
      <w:r w:rsidRPr="007821CC">
        <w:rPr>
          <w:iCs/>
          <w:sz w:val="24"/>
          <w:szCs w:val="24"/>
        </w:rPr>
        <w:t>For</w:t>
      </w:r>
      <w:r w:rsidRPr="007821CC">
        <w:rPr>
          <w:sz w:val="24"/>
          <w:szCs w:val="24"/>
        </w:rPr>
        <w:t xml:space="preserve"> ibn Manẓūr, the word </w:t>
      </w:r>
      <w:r w:rsidRPr="007821CC">
        <w:rPr>
          <w:i/>
          <w:iCs/>
          <w:sz w:val="24"/>
          <w:szCs w:val="24"/>
        </w:rPr>
        <w:t>fitna</w:t>
      </w:r>
      <w:r w:rsidRPr="007821CC">
        <w:rPr>
          <w:sz w:val="24"/>
          <w:szCs w:val="24"/>
        </w:rPr>
        <w:t xml:space="preserve"> (singular form of </w:t>
      </w:r>
      <w:r w:rsidRPr="007821CC">
        <w:rPr>
          <w:i/>
          <w:iCs/>
          <w:sz w:val="24"/>
          <w:szCs w:val="24"/>
        </w:rPr>
        <w:t>fitan</w:t>
      </w:r>
      <w:r w:rsidRPr="007821CC">
        <w:rPr>
          <w:sz w:val="24"/>
          <w:szCs w:val="24"/>
        </w:rPr>
        <w:t>) implies afflictions and deviation from the 'right path,' and above all, indicates sectarian strife and bloodshed.</w:t>
      </w:r>
      <w:r w:rsidRPr="007821CC">
        <w:rPr>
          <w:rStyle w:val="FootnoteReference"/>
          <w:sz w:val="24"/>
          <w:szCs w:val="24"/>
        </w:rPr>
        <w:footnoteReference w:id="94"/>
      </w:r>
      <w:r w:rsidRPr="007821CC">
        <w:rPr>
          <w:sz w:val="24"/>
          <w:szCs w:val="24"/>
        </w:rPr>
        <w:t xml:space="preserve"> Describing an apocalyptic vision the Prophet once had, </w:t>
      </w:r>
      <w:r w:rsidRPr="007821CC">
        <w:rPr>
          <w:i/>
          <w:iCs/>
          <w:sz w:val="24"/>
          <w:szCs w:val="24"/>
        </w:rPr>
        <w:t>ḥadīth</w:t>
      </w:r>
      <w:r w:rsidRPr="007821CC">
        <w:rPr>
          <w:sz w:val="24"/>
          <w:szCs w:val="24"/>
        </w:rPr>
        <w:t xml:space="preserve"> compiler al-Bukhārī (810-870 </w:t>
      </w:r>
      <w:r w:rsidRPr="00F14447">
        <w:t>CE</w:t>
      </w:r>
      <w:r w:rsidRPr="007821CC">
        <w:rPr>
          <w:sz w:val="24"/>
          <w:szCs w:val="24"/>
        </w:rPr>
        <w:t xml:space="preserve">) narrated, 'Once the Prophet, peace be upon him, stood over one of the high buildings of al-Madīna, and then said (to the people), "Do you see what I see?" They replied, "No." So he said, "I see </w:t>
      </w:r>
      <w:r w:rsidRPr="007821CC">
        <w:rPr>
          <w:i/>
          <w:iCs/>
          <w:sz w:val="24"/>
          <w:szCs w:val="24"/>
        </w:rPr>
        <w:t>fitan</w:t>
      </w:r>
      <w:r w:rsidRPr="007821CC">
        <w:rPr>
          <w:sz w:val="24"/>
          <w:szCs w:val="24"/>
        </w:rPr>
        <w:t xml:space="preserve"> fall among your houses as rain drops fall."</w:t>
      </w:r>
      <w:r w:rsidRPr="007821CC">
        <w:rPr>
          <w:rStyle w:val="FootnoteReference"/>
          <w:sz w:val="24"/>
          <w:szCs w:val="24"/>
        </w:rPr>
        <w:footnoteReference w:id="95"/>
      </w:r>
      <w:r w:rsidRPr="007821CC">
        <w:rPr>
          <w:sz w:val="24"/>
          <w:szCs w:val="24"/>
        </w:rPr>
        <w:t xml:space="preserve"> Through this prophecy, the term </w:t>
      </w:r>
      <w:r w:rsidRPr="007821CC">
        <w:rPr>
          <w:i/>
          <w:iCs/>
          <w:sz w:val="24"/>
          <w:szCs w:val="24"/>
        </w:rPr>
        <w:t>fitan</w:t>
      </w:r>
      <w:r w:rsidRPr="007821CC">
        <w:rPr>
          <w:sz w:val="24"/>
          <w:szCs w:val="24"/>
        </w:rPr>
        <w:t xml:space="preserve"> acquired an essential apocalyptic connotation, for the state of progressive chaos it reflects, is nothing but a manifestation of the increasing wickedness of a decaying, and soon to end, profane time. </w:t>
      </w:r>
    </w:p>
    <w:p w:rsidR="00F411E0" w:rsidRPr="007821CC" w:rsidRDefault="00F411E0" w:rsidP="00F411E0">
      <w:pPr>
        <w:jc w:val="lowKashida"/>
        <w:rPr>
          <w:sz w:val="24"/>
          <w:szCs w:val="24"/>
        </w:rPr>
      </w:pPr>
    </w:p>
    <w:p w:rsidR="00F411E0" w:rsidRPr="007821CC" w:rsidRDefault="00F411E0" w:rsidP="00F411E0">
      <w:pPr>
        <w:jc w:val="lowKashida"/>
        <w:rPr>
          <w:sz w:val="24"/>
          <w:szCs w:val="24"/>
        </w:rPr>
      </w:pPr>
      <w:r w:rsidRPr="007821CC">
        <w:rPr>
          <w:sz w:val="24"/>
          <w:szCs w:val="24"/>
        </w:rPr>
        <w:lastRenderedPageBreak/>
        <w:t xml:space="preserve">The era of </w:t>
      </w:r>
      <w:r w:rsidRPr="007821CC">
        <w:rPr>
          <w:i/>
          <w:iCs/>
          <w:sz w:val="24"/>
          <w:szCs w:val="24"/>
        </w:rPr>
        <w:t>fitan</w:t>
      </w:r>
      <w:r w:rsidRPr="007821CC">
        <w:rPr>
          <w:sz w:val="24"/>
          <w:szCs w:val="24"/>
        </w:rPr>
        <w:t xml:space="preserve"> climaxed with the violent 'Abbāsid-Hāshimite insurrection (750-751 </w:t>
      </w:r>
      <w:r w:rsidRPr="00F14447">
        <w:t>CE</w:t>
      </w:r>
      <w:r w:rsidRPr="007821CC">
        <w:rPr>
          <w:sz w:val="24"/>
          <w:szCs w:val="24"/>
        </w:rPr>
        <w:t>) that finally toppled the contested Umayyad monarchy.</w:t>
      </w:r>
      <w:r w:rsidRPr="007821CC">
        <w:rPr>
          <w:rStyle w:val="FootnoteReference"/>
          <w:sz w:val="24"/>
          <w:szCs w:val="24"/>
        </w:rPr>
        <w:footnoteReference w:id="96"/>
      </w:r>
      <w:r w:rsidRPr="007821CC">
        <w:rPr>
          <w:sz w:val="24"/>
          <w:szCs w:val="24"/>
        </w:rPr>
        <w:t xml:space="preserve"> Moshe Sharon attributed the triumph of this revolution to the employment of a 'prolonged, persistent, sophisticated and, on the whole, clandestine propaganda.'</w:t>
      </w:r>
      <w:r w:rsidRPr="007821CC">
        <w:rPr>
          <w:rStyle w:val="FootnoteReference"/>
          <w:sz w:val="24"/>
          <w:szCs w:val="24"/>
        </w:rPr>
        <w:footnoteReference w:id="97"/>
      </w:r>
      <w:r w:rsidRPr="007821CC">
        <w:rPr>
          <w:sz w:val="24"/>
          <w:szCs w:val="24"/>
        </w:rPr>
        <w:t xml:space="preserve"> This propaganda employed unmistakably represents the secret, albeit potent, transcript of apocalyptic narratives, for when the 'Abbāsids finally unfurled their 'black banners' at the decisive battle of Great Zāb in 750 </w:t>
      </w:r>
      <w:r w:rsidRPr="00033700">
        <w:t>CE</w:t>
      </w:r>
      <w:r w:rsidRPr="007821CC">
        <w:rPr>
          <w:sz w:val="24"/>
          <w:szCs w:val="24"/>
        </w:rPr>
        <w:t xml:space="preserve">, their gesture exposed a </w:t>
      </w:r>
      <w:r w:rsidRPr="007821CC">
        <w:rPr>
          <w:sz w:val="24"/>
          <w:szCs w:val="24"/>
          <w:lang w:bidi="ar-AE"/>
        </w:rPr>
        <w:t>powerful</w:t>
      </w:r>
      <w:r w:rsidRPr="007821CC">
        <w:rPr>
          <w:sz w:val="24"/>
          <w:szCs w:val="24"/>
        </w:rPr>
        <w:t xml:space="preserve"> eschatological message, resuscitating the Prophetic apocalyptic </w:t>
      </w:r>
      <w:r w:rsidRPr="007821CC">
        <w:rPr>
          <w:i/>
          <w:iCs/>
          <w:sz w:val="24"/>
          <w:szCs w:val="24"/>
        </w:rPr>
        <w:t>ḥadīth</w:t>
      </w:r>
      <w:r w:rsidRPr="007821CC">
        <w:rPr>
          <w:sz w:val="24"/>
          <w:szCs w:val="24"/>
        </w:rPr>
        <w:t xml:space="preserve">: </w:t>
      </w:r>
    </w:p>
    <w:p w:rsidR="00F411E0" w:rsidRPr="007821CC" w:rsidRDefault="00F411E0" w:rsidP="00F411E0">
      <w:pPr>
        <w:jc w:val="lowKashida"/>
        <w:rPr>
          <w:sz w:val="24"/>
          <w:szCs w:val="24"/>
        </w:rPr>
      </w:pPr>
    </w:p>
    <w:p w:rsidR="00F411E0" w:rsidRPr="007821CC" w:rsidRDefault="00F411E0" w:rsidP="007821CC">
      <w:pPr>
        <w:autoSpaceDE/>
        <w:autoSpaceDN/>
        <w:adjustRightInd/>
        <w:spacing w:line="240" w:lineRule="auto"/>
        <w:ind w:left="720"/>
        <w:jc w:val="lowKashida"/>
        <w:rPr>
          <w:rFonts w:eastAsia="Times New Roman" w:cs="Times New Roman"/>
          <w:sz w:val="24"/>
          <w:szCs w:val="24"/>
        </w:rPr>
      </w:pPr>
      <w:r w:rsidRPr="007821CC">
        <w:rPr>
          <w:rFonts w:eastAsia="Times New Roman" w:cs="Times New Roman"/>
          <w:sz w:val="24"/>
          <w:szCs w:val="24"/>
        </w:rPr>
        <w:t>The black banners will come from the east, and they will kill you in an unprecedented manner…  When you see them, then pledge your allegiance to them even if you have to crawl over the snow, for that is the caliph of Allah, Mahdi.</w:t>
      </w:r>
      <w:r w:rsidRPr="007821CC">
        <w:rPr>
          <w:rStyle w:val="FootnoteReference"/>
          <w:sz w:val="24"/>
          <w:szCs w:val="24"/>
        </w:rPr>
        <w:footnoteReference w:id="98"/>
      </w:r>
      <w:r w:rsidRPr="007821CC">
        <w:rPr>
          <w:sz w:val="24"/>
          <w:szCs w:val="24"/>
        </w:rPr>
        <w:t xml:space="preserve"> </w:t>
      </w:r>
    </w:p>
    <w:p w:rsidR="00F411E0" w:rsidRPr="007821CC" w:rsidRDefault="00F411E0" w:rsidP="00F411E0">
      <w:pPr>
        <w:rPr>
          <w:sz w:val="24"/>
          <w:szCs w:val="24"/>
          <w:lang w:bidi="ar-AE"/>
        </w:rPr>
      </w:pPr>
    </w:p>
    <w:p w:rsidR="00F411E0" w:rsidRPr="007821CC" w:rsidRDefault="00F411E0" w:rsidP="00F411E0">
      <w:pPr>
        <w:jc w:val="lowKashida"/>
        <w:rPr>
          <w:rFonts w:cs="Arial"/>
          <w:color w:val="000000"/>
          <w:sz w:val="24"/>
          <w:szCs w:val="24"/>
        </w:rPr>
      </w:pPr>
      <w:r w:rsidRPr="007821CC">
        <w:rPr>
          <w:rFonts w:cs="Arial"/>
          <w:color w:val="000000"/>
          <w:sz w:val="24"/>
          <w:szCs w:val="24"/>
        </w:rPr>
        <w:t>The battle of the Great Zāb was clearly thus a successful enactment of a hidden millennial transcript, which according to Scott, is the counter-ideology that aspires for negative reciprocity and conveys the '</w:t>
      </w:r>
      <w:r w:rsidRPr="007821CC">
        <w:rPr>
          <w:rFonts w:cs="Times New Roman"/>
          <w:sz w:val="24"/>
          <w:szCs w:val="24"/>
        </w:rPr>
        <w:t>millennial theme of a world turned upside down, a world in which the last shall be first and the first last.'</w:t>
      </w:r>
      <w:r w:rsidRPr="007821CC">
        <w:rPr>
          <w:rStyle w:val="FootnoteReference"/>
          <w:rFonts w:cs="Times New Roman"/>
          <w:sz w:val="24"/>
          <w:szCs w:val="24"/>
        </w:rPr>
        <w:footnoteReference w:id="99"/>
      </w:r>
      <w:r w:rsidRPr="007821CC">
        <w:rPr>
          <w:rFonts w:cs="Arial"/>
          <w:color w:val="000000"/>
          <w:sz w:val="24"/>
          <w:szCs w:val="24"/>
        </w:rPr>
        <w:t xml:space="preserve"> The apocalyptic impulse gained momentum once again, as evident from the amount of apocalyptic literature produced, in the period extending from the eleventh to the fourteenth centuries, a period which witnessed a massive civil destabilisation resultant from the incessant foreign threats imposed by the Mongol and Crusade attacks against Muslim lands.</w:t>
      </w:r>
      <w:r w:rsidRPr="007821CC">
        <w:rPr>
          <w:rStyle w:val="FootnoteReference"/>
          <w:rFonts w:cs="Arial"/>
          <w:color w:val="000000"/>
          <w:sz w:val="24"/>
          <w:szCs w:val="24"/>
        </w:rPr>
        <w:footnoteReference w:id="100"/>
      </w:r>
      <w:r w:rsidRPr="007821CC">
        <w:rPr>
          <w:rFonts w:cs="Arial"/>
          <w:color w:val="000000"/>
          <w:sz w:val="24"/>
          <w:szCs w:val="24"/>
        </w:rPr>
        <w:t xml:space="preserve"> I</w:t>
      </w:r>
      <w:r w:rsidRPr="007821CC">
        <w:rPr>
          <w:sz w:val="24"/>
          <w:szCs w:val="24"/>
        </w:rPr>
        <w:t xml:space="preserve">n agreement with Cohn's view, millenarian anticipation as a worldview was </w:t>
      </w:r>
      <w:r w:rsidRPr="007821CC">
        <w:rPr>
          <w:sz w:val="24"/>
          <w:szCs w:val="24"/>
        </w:rPr>
        <w:lastRenderedPageBreak/>
        <w:t>amplified in eras and areas of destruction, chaos and disasters.</w:t>
      </w:r>
      <w:r w:rsidRPr="007821CC">
        <w:rPr>
          <w:rStyle w:val="FootnoteReference"/>
          <w:sz w:val="24"/>
          <w:szCs w:val="24"/>
        </w:rPr>
        <w:footnoteReference w:id="101"/>
      </w:r>
      <w:r w:rsidRPr="007821CC">
        <w:rPr>
          <w:sz w:val="24"/>
          <w:szCs w:val="24"/>
        </w:rPr>
        <w:t xml:space="preserve"> For as promised in the Qur'ān, only amidst conditions of utter despair and extreme tribulations, or eras of </w:t>
      </w:r>
      <w:r w:rsidRPr="007821CC">
        <w:rPr>
          <w:i/>
          <w:iCs/>
          <w:sz w:val="24"/>
          <w:szCs w:val="24"/>
        </w:rPr>
        <w:t>fitan</w:t>
      </w:r>
      <w:r w:rsidRPr="007821CC">
        <w:rPr>
          <w:sz w:val="24"/>
          <w:szCs w:val="24"/>
        </w:rPr>
        <w:t>, Divine intervention takes place:</w:t>
      </w:r>
    </w:p>
    <w:p w:rsidR="00F411E0" w:rsidRPr="007821CC" w:rsidRDefault="00F411E0" w:rsidP="00F411E0">
      <w:pPr>
        <w:jc w:val="lowKashida"/>
        <w:rPr>
          <w:rFonts w:cs="Arial"/>
          <w:color w:val="000000"/>
          <w:sz w:val="24"/>
          <w:szCs w:val="24"/>
        </w:rPr>
      </w:pPr>
    </w:p>
    <w:p w:rsidR="00F411E0" w:rsidRPr="007821CC" w:rsidRDefault="00F411E0" w:rsidP="007821CC">
      <w:pPr>
        <w:spacing w:line="240" w:lineRule="auto"/>
        <w:ind w:left="720"/>
        <w:jc w:val="lowKashida"/>
        <w:rPr>
          <w:rFonts w:cs="Arial"/>
          <w:color w:val="000000"/>
          <w:sz w:val="24"/>
          <w:szCs w:val="24"/>
        </w:rPr>
      </w:pPr>
      <w:r w:rsidRPr="007821CC">
        <w:rPr>
          <w:rFonts w:cs="Arial"/>
          <w:color w:val="000000"/>
          <w:sz w:val="24"/>
          <w:szCs w:val="24"/>
        </w:rPr>
        <w:t>Or do you think that you will enter the Garden while untouched by the like of [the suffering which was endured by] those who were before you? Affliction and adversity befell them, and they were shaken [as though with an earthquake], until the Messenger and those who believed along with him said: "When will the help of Allah come?" Assuredly, the help of Allah is near.</w:t>
      </w:r>
      <w:r w:rsidRPr="007821CC">
        <w:rPr>
          <w:rStyle w:val="FootnoteReference"/>
          <w:rFonts w:cs="Arial"/>
          <w:color w:val="000000"/>
          <w:sz w:val="24"/>
          <w:szCs w:val="24"/>
        </w:rPr>
        <w:footnoteReference w:id="102"/>
      </w:r>
    </w:p>
    <w:p w:rsidR="00F411E0" w:rsidRDefault="00F411E0" w:rsidP="00F411E0">
      <w:pPr>
        <w:ind w:left="720"/>
        <w:jc w:val="lowKashida"/>
        <w:rPr>
          <w:rFonts w:cs="Arial"/>
          <w:color w:val="000000"/>
        </w:rPr>
      </w:pPr>
    </w:p>
    <w:p w:rsidR="00F411E0" w:rsidRDefault="00F411E0" w:rsidP="00F411E0">
      <w:pPr>
        <w:pStyle w:val="Heading2"/>
      </w:pPr>
      <w:bookmarkStart w:id="23" w:name="_Toc477317385"/>
      <w:r>
        <w:t>2.2 Pre-Islamic and Islamic Cosmologies</w:t>
      </w:r>
      <w:bookmarkEnd w:id="23"/>
      <w:r>
        <w:t xml:space="preserve"> </w:t>
      </w:r>
    </w:p>
    <w:p w:rsidR="00F411E0" w:rsidRPr="007821CC" w:rsidRDefault="00F411E0" w:rsidP="007821CC">
      <w:pPr>
        <w:pStyle w:val="Heading3"/>
      </w:pPr>
      <w:bookmarkStart w:id="24" w:name="_Toc477317386"/>
      <w:r w:rsidRPr="007821CC">
        <w:t>2.2.1</w:t>
      </w:r>
      <w:r w:rsidRPr="007821CC">
        <w:tab/>
        <w:t>Pre-Islamic Arabic Cosmology</w:t>
      </w:r>
      <w:bookmarkEnd w:id="24"/>
      <w:r w:rsidRPr="007821CC">
        <w:t xml:space="preserve"> </w:t>
      </w:r>
    </w:p>
    <w:p w:rsidR="00F411E0" w:rsidRPr="007821CC" w:rsidRDefault="00F411E0" w:rsidP="00F411E0">
      <w:pPr>
        <w:jc w:val="lowKashida"/>
        <w:rPr>
          <w:sz w:val="24"/>
          <w:szCs w:val="24"/>
        </w:rPr>
      </w:pPr>
      <w:r w:rsidRPr="007821CC">
        <w:rPr>
          <w:sz w:val="24"/>
          <w:szCs w:val="24"/>
        </w:rPr>
        <w:t xml:space="preserve">Al-Shahrastānī (1086–1153 </w:t>
      </w:r>
      <w:r w:rsidRPr="00033700">
        <w:t>CE</w:t>
      </w:r>
      <w:r w:rsidRPr="007821CC">
        <w:rPr>
          <w:sz w:val="24"/>
          <w:szCs w:val="24"/>
        </w:rPr>
        <w:t xml:space="preserve">), the medieval historian, wrote that the majority of pagan Arabs were </w:t>
      </w:r>
      <w:r w:rsidRPr="007821CC">
        <w:rPr>
          <w:i/>
          <w:iCs/>
          <w:sz w:val="24"/>
          <w:szCs w:val="24"/>
        </w:rPr>
        <w:t>mu'aṭila</w:t>
      </w:r>
      <w:r w:rsidRPr="007821CC">
        <w:rPr>
          <w:sz w:val="24"/>
          <w:szCs w:val="24"/>
        </w:rPr>
        <w:t xml:space="preserve"> </w:t>
      </w:r>
      <w:r w:rsidRPr="007821CC">
        <w:rPr>
          <w:sz w:val="24"/>
          <w:szCs w:val="24"/>
          <w:lang w:bidi="ar-AE"/>
        </w:rPr>
        <w:t xml:space="preserve">(deniers) </w:t>
      </w:r>
      <w:r w:rsidRPr="007821CC">
        <w:rPr>
          <w:sz w:val="24"/>
          <w:szCs w:val="24"/>
        </w:rPr>
        <w:t>who either denied creation, resurrection, or both.</w:t>
      </w:r>
      <w:r w:rsidRPr="007821CC">
        <w:rPr>
          <w:rStyle w:val="FootnoteReference"/>
          <w:sz w:val="24"/>
          <w:szCs w:val="24"/>
        </w:rPr>
        <w:footnoteReference w:id="103"/>
      </w:r>
      <w:r w:rsidRPr="007821CC">
        <w:rPr>
          <w:sz w:val="24"/>
          <w:szCs w:val="24"/>
        </w:rPr>
        <w:t xml:space="preserve"> Most of the </w:t>
      </w:r>
      <w:r w:rsidRPr="007821CC">
        <w:rPr>
          <w:i/>
          <w:iCs/>
          <w:sz w:val="24"/>
          <w:szCs w:val="24"/>
        </w:rPr>
        <w:t>mu'aṭila</w:t>
      </w:r>
      <w:r w:rsidRPr="007821CC">
        <w:rPr>
          <w:sz w:val="24"/>
          <w:szCs w:val="24"/>
        </w:rPr>
        <w:t xml:space="preserve">, al-Sharastāni elaborated, claimed that whilst life arises from natural causes and properties, death and destruction results from the passage of eternal time or </w:t>
      </w:r>
      <w:r w:rsidRPr="007821CC">
        <w:rPr>
          <w:i/>
          <w:iCs/>
          <w:sz w:val="24"/>
          <w:szCs w:val="24"/>
        </w:rPr>
        <w:t>dahr</w:t>
      </w:r>
      <w:r w:rsidRPr="007821CC">
        <w:rPr>
          <w:sz w:val="24"/>
          <w:szCs w:val="24"/>
        </w:rPr>
        <w:t>.</w:t>
      </w:r>
      <w:r w:rsidRPr="007821CC">
        <w:rPr>
          <w:rStyle w:val="FootnoteReference"/>
          <w:sz w:val="24"/>
          <w:szCs w:val="24"/>
        </w:rPr>
        <w:footnoteReference w:id="104"/>
      </w:r>
      <w:r w:rsidRPr="007821CC">
        <w:rPr>
          <w:sz w:val="24"/>
          <w:szCs w:val="24"/>
        </w:rPr>
        <w:t xml:space="preserve"> This group, which is also known as </w:t>
      </w:r>
      <w:r w:rsidRPr="007821CC">
        <w:rPr>
          <w:i/>
          <w:iCs/>
          <w:sz w:val="24"/>
          <w:szCs w:val="24"/>
        </w:rPr>
        <w:t>dahrīya,</w:t>
      </w:r>
      <w:r w:rsidRPr="007821CC">
        <w:rPr>
          <w:sz w:val="24"/>
          <w:szCs w:val="24"/>
        </w:rPr>
        <w:t xml:space="preserve"> totally rejected the notion of resurrection and the afterlife.</w:t>
      </w:r>
      <w:r w:rsidRPr="007821CC">
        <w:rPr>
          <w:rStyle w:val="FootnoteReference"/>
          <w:sz w:val="24"/>
          <w:szCs w:val="24"/>
        </w:rPr>
        <w:footnoteReference w:id="105"/>
      </w:r>
      <w:r w:rsidRPr="007821CC">
        <w:rPr>
          <w:sz w:val="24"/>
          <w:szCs w:val="24"/>
        </w:rPr>
        <w:t xml:space="preserve"> Illustrating their worldview, the Qur'ān quotes them as saying, 'It is only this worldly life of ours. We shall die and live and nothing but time [dahr] destroys us.'</w:t>
      </w:r>
      <w:r w:rsidRPr="007821CC">
        <w:rPr>
          <w:rStyle w:val="FootnoteReference"/>
          <w:sz w:val="24"/>
          <w:szCs w:val="24"/>
        </w:rPr>
        <w:footnoteReference w:id="106"/>
      </w:r>
      <w:r w:rsidRPr="007821CC">
        <w:rPr>
          <w:sz w:val="24"/>
          <w:szCs w:val="24"/>
        </w:rPr>
        <w:t xml:space="preserve"> Vehemently opposing the eschatological concepts of resurrection of the dead and afterlife reward and retribution preached by the Prophet, the </w:t>
      </w:r>
      <w:r w:rsidRPr="007821CC">
        <w:rPr>
          <w:i/>
          <w:iCs/>
          <w:sz w:val="24"/>
          <w:szCs w:val="24"/>
        </w:rPr>
        <w:t xml:space="preserve">dahrīya </w:t>
      </w:r>
      <w:r w:rsidRPr="007821CC">
        <w:rPr>
          <w:sz w:val="24"/>
          <w:szCs w:val="24"/>
        </w:rPr>
        <w:t xml:space="preserve">of Quraysh said: </w:t>
      </w:r>
    </w:p>
    <w:p w:rsidR="00F411E0" w:rsidRDefault="00F411E0" w:rsidP="00F411E0">
      <w:pPr>
        <w:jc w:val="lowKashida"/>
      </w:pPr>
    </w:p>
    <w:p w:rsidR="00F411E0" w:rsidRPr="007821CC" w:rsidRDefault="00F411E0" w:rsidP="007821CC">
      <w:pPr>
        <w:spacing w:line="240" w:lineRule="auto"/>
        <w:ind w:left="720"/>
        <w:jc w:val="lowKashida"/>
        <w:rPr>
          <w:sz w:val="24"/>
          <w:szCs w:val="24"/>
        </w:rPr>
      </w:pPr>
      <w:r w:rsidRPr="007821CC">
        <w:rPr>
          <w:sz w:val="24"/>
          <w:szCs w:val="24"/>
        </w:rPr>
        <w:t>"Who will revive these bones when they have rotted away?</w:t>
      </w:r>
    </w:p>
    <w:p w:rsidR="00F411E0" w:rsidRPr="007821CC" w:rsidRDefault="00F411E0" w:rsidP="007821CC">
      <w:pPr>
        <w:spacing w:line="240" w:lineRule="auto"/>
        <w:ind w:left="720"/>
        <w:jc w:val="lowKashida"/>
        <w:rPr>
          <w:sz w:val="24"/>
          <w:szCs w:val="24"/>
        </w:rPr>
      </w:pPr>
      <w:r w:rsidRPr="007821CC">
        <w:rPr>
          <w:sz w:val="24"/>
          <w:szCs w:val="24"/>
        </w:rPr>
        <w:lastRenderedPageBreak/>
        <w:t xml:space="preserve">Say: "He will revive them </w:t>
      </w:r>
      <w:proofErr w:type="gramStart"/>
      <w:r w:rsidRPr="007821CC">
        <w:rPr>
          <w:sz w:val="24"/>
          <w:szCs w:val="24"/>
        </w:rPr>
        <w:t>Who</w:t>
      </w:r>
      <w:proofErr w:type="gramEnd"/>
      <w:r w:rsidRPr="007821CC">
        <w:rPr>
          <w:sz w:val="24"/>
          <w:szCs w:val="24"/>
        </w:rPr>
        <w:t xml:space="preserve"> produced them at the first, He who knows all creation.</w:t>
      </w:r>
      <w:r w:rsidRPr="007821CC">
        <w:rPr>
          <w:rStyle w:val="FootnoteReference"/>
          <w:sz w:val="24"/>
          <w:szCs w:val="24"/>
        </w:rPr>
        <w:footnoteReference w:id="107"/>
      </w:r>
    </w:p>
    <w:p w:rsidR="00F411E0" w:rsidRDefault="00F411E0" w:rsidP="00F411E0">
      <w:pPr>
        <w:jc w:val="lowKashida"/>
        <w:rPr>
          <w:lang w:bidi="ar-AE"/>
        </w:rPr>
      </w:pPr>
    </w:p>
    <w:p w:rsidR="00F411E0" w:rsidRPr="007821CC" w:rsidRDefault="00F411E0" w:rsidP="00F411E0">
      <w:pPr>
        <w:jc w:val="lowKashida"/>
        <w:rPr>
          <w:rFonts w:cs="AdvTT5843c571"/>
          <w:color w:val="231F20"/>
          <w:sz w:val="24"/>
          <w:szCs w:val="24"/>
        </w:rPr>
      </w:pPr>
      <w:r w:rsidRPr="007821CC">
        <w:rPr>
          <w:sz w:val="24"/>
          <w:szCs w:val="24"/>
        </w:rPr>
        <w:t xml:space="preserve">Ibn Kathīr reported that the above verses narrate the story of </w:t>
      </w:r>
      <w:r w:rsidRPr="007821CC">
        <w:rPr>
          <w:sz w:val="24"/>
          <w:szCs w:val="24"/>
          <w:lang w:bidi="ar-AE"/>
        </w:rPr>
        <w:t>Ubayy ibn Khalaf,</w:t>
      </w:r>
      <w:r w:rsidRPr="007821CC">
        <w:rPr>
          <w:sz w:val="24"/>
          <w:szCs w:val="24"/>
        </w:rPr>
        <w:t xml:space="preserve"> one of the pagans of </w:t>
      </w:r>
      <w:r w:rsidRPr="007821CC">
        <w:rPr>
          <w:sz w:val="24"/>
          <w:szCs w:val="24"/>
          <w:lang w:bidi="ar-AE"/>
        </w:rPr>
        <w:t>Quraysh, who while crushing a piece of decayed bone asked the Prophet, 'O Muḥammad, so you claim that God will resurrect this?'</w:t>
      </w:r>
      <w:r w:rsidRPr="007821CC">
        <w:rPr>
          <w:sz w:val="24"/>
          <w:szCs w:val="24"/>
        </w:rPr>
        <w:t xml:space="preserve"> The Prophet replied, 'Yes indeed! He will take your life, then raise you from your death, and then send you to the Hellfire.'</w:t>
      </w:r>
      <w:r w:rsidRPr="007821CC">
        <w:rPr>
          <w:rStyle w:val="FootnoteReference"/>
          <w:sz w:val="24"/>
          <w:szCs w:val="24"/>
        </w:rPr>
        <w:footnoteReference w:id="108"/>
      </w:r>
      <w:r w:rsidRPr="007821CC">
        <w:rPr>
          <w:sz w:val="24"/>
          <w:szCs w:val="24"/>
        </w:rPr>
        <w:t xml:space="preserve"> </w:t>
      </w:r>
      <w:r w:rsidRPr="007821CC">
        <w:rPr>
          <w:sz w:val="24"/>
          <w:szCs w:val="24"/>
          <w:lang w:bidi="ar-AE"/>
        </w:rPr>
        <w:t xml:space="preserve">The </w:t>
      </w:r>
      <w:r w:rsidRPr="007821CC">
        <w:rPr>
          <w:i/>
          <w:iCs/>
          <w:sz w:val="24"/>
          <w:szCs w:val="24"/>
          <w:lang w:bidi="ar-AE"/>
        </w:rPr>
        <w:t>dahrīyya</w:t>
      </w:r>
      <w:r w:rsidRPr="007821CC">
        <w:rPr>
          <w:sz w:val="24"/>
          <w:szCs w:val="24"/>
          <w:lang w:bidi="ar-AE"/>
        </w:rPr>
        <w:t xml:space="preserve"> of Ubayy and other pagans of Arabia </w:t>
      </w:r>
      <w:proofErr w:type="gramStart"/>
      <w:r w:rsidRPr="007821CC">
        <w:rPr>
          <w:sz w:val="24"/>
          <w:szCs w:val="24"/>
          <w:lang w:bidi="ar-AE"/>
        </w:rPr>
        <w:t>appears</w:t>
      </w:r>
      <w:proofErr w:type="gramEnd"/>
      <w:r w:rsidRPr="007821CC">
        <w:rPr>
          <w:sz w:val="24"/>
          <w:szCs w:val="24"/>
          <w:lang w:bidi="ar-AE"/>
        </w:rPr>
        <w:t xml:space="preserve"> to reflect an ancient form of a naturalistic materialistic worldview that denies abstract realities and rejects any metaphysical explanations of the world.</w:t>
      </w:r>
      <w:r w:rsidRPr="007821CC">
        <w:rPr>
          <w:rStyle w:val="FootnoteReference"/>
          <w:sz w:val="24"/>
          <w:szCs w:val="24"/>
          <w:lang w:bidi="ar-AE"/>
        </w:rPr>
        <w:footnoteReference w:id="109"/>
      </w:r>
      <w:r w:rsidRPr="007821CC">
        <w:rPr>
          <w:sz w:val="24"/>
          <w:szCs w:val="24"/>
          <w:lang w:bidi="ar-AE"/>
        </w:rPr>
        <w:t xml:space="preserve"> This worldview probably prompted the pagan dismissal of the idea of sacred revelations, for the 'pure Dahrī', as Patricia Crone summarised,  '</w:t>
      </w:r>
      <w:r w:rsidRPr="007821CC">
        <w:rPr>
          <w:rFonts w:cs="AdvTT5843c571"/>
          <w:color w:val="231F20"/>
          <w:sz w:val="24"/>
          <w:szCs w:val="24"/>
        </w:rPr>
        <w:t>insisted that there was no creator or providential ruler (</w:t>
      </w:r>
      <w:r w:rsidRPr="007821CC">
        <w:rPr>
          <w:rFonts w:cs="AdvTTf90d833a.I"/>
          <w:i/>
          <w:iCs/>
          <w:color w:val="231F20"/>
          <w:sz w:val="24"/>
          <w:szCs w:val="24"/>
        </w:rPr>
        <w:t>mudabbir</w:t>
      </w:r>
      <w:r w:rsidRPr="007821CC">
        <w:rPr>
          <w:rFonts w:cs="AdvTT5843c571"/>
          <w:color w:val="231F20"/>
          <w:sz w:val="24"/>
          <w:szCs w:val="24"/>
        </w:rPr>
        <w:t>), and no angels, spirits, messengers, prophets, revealed books, holy laws, requital after death or afterlife of any kind at all.'</w:t>
      </w:r>
      <w:r w:rsidRPr="007821CC">
        <w:rPr>
          <w:rStyle w:val="FootnoteReference"/>
          <w:rFonts w:cs="AdvTT5843c571"/>
          <w:color w:val="231F20"/>
          <w:sz w:val="24"/>
          <w:szCs w:val="24"/>
        </w:rPr>
        <w:footnoteReference w:id="110"/>
      </w:r>
      <w:r w:rsidRPr="007821CC">
        <w:rPr>
          <w:rFonts w:cs="AdvTT5843c571"/>
          <w:color w:val="231F20"/>
          <w:sz w:val="24"/>
          <w:szCs w:val="24"/>
        </w:rPr>
        <w:t xml:space="preserve"> In what seems to be a highly pessimistic, dysteleological apocalyptic imagery, pre-Islamic poet </w:t>
      </w:r>
      <w:r w:rsidRPr="007821CC">
        <w:rPr>
          <w:sz w:val="24"/>
          <w:szCs w:val="24"/>
        </w:rPr>
        <w:t>Imru' al-Qaīs (</w:t>
      </w:r>
      <w:r w:rsidRPr="007821CC">
        <w:rPr>
          <w:sz w:val="24"/>
          <w:szCs w:val="24"/>
          <w:lang w:bidi="ar-AE"/>
        </w:rPr>
        <w:t xml:space="preserve">520-565 </w:t>
      </w:r>
      <w:r w:rsidRPr="00033700">
        <w:rPr>
          <w:lang w:bidi="ar-AE"/>
        </w:rPr>
        <w:t>CE</w:t>
      </w:r>
      <w:r w:rsidRPr="007821CC">
        <w:rPr>
          <w:sz w:val="24"/>
          <w:szCs w:val="24"/>
          <w:lang w:bidi="ar-AE"/>
        </w:rPr>
        <w:t>)</w:t>
      </w:r>
      <w:r w:rsidRPr="007821CC">
        <w:rPr>
          <w:rFonts w:cs="AdvTT5843c571"/>
          <w:color w:val="231F20"/>
          <w:sz w:val="24"/>
          <w:szCs w:val="24"/>
        </w:rPr>
        <w:t xml:space="preserve"> depicted </w:t>
      </w:r>
      <w:r w:rsidRPr="007821CC">
        <w:rPr>
          <w:i/>
          <w:iCs/>
          <w:sz w:val="24"/>
          <w:szCs w:val="24"/>
          <w:lang w:bidi="ar-AE"/>
        </w:rPr>
        <w:t>dahr</w:t>
      </w:r>
      <w:r w:rsidRPr="007821CC">
        <w:rPr>
          <w:sz w:val="24"/>
          <w:szCs w:val="24"/>
          <w:lang w:bidi="ar-AE"/>
        </w:rPr>
        <w:t xml:space="preserve"> </w:t>
      </w:r>
      <w:r w:rsidRPr="007821CC">
        <w:rPr>
          <w:sz w:val="24"/>
          <w:szCs w:val="24"/>
        </w:rPr>
        <w:t xml:space="preserve">as the cause of calamities and misfortunes, for </w:t>
      </w:r>
      <w:r w:rsidRPr="007821CC">
        <w:rPr>
          <w:sz w:val="24"/>
          <w:szCs w:val="24"/>
          <w:lang w:bidi="ar-AE"/>
        </w:rPr>
        <w:t>'</w:t>
      </w:r>
      <w:r w:rsidRPr="007821CC">
        <w:rPr>
          <w:i/>
          <w:iCs/>
          <w:sz w:val="24"/>
          <w:szCs w:val="24"/>
          <w:lang w:bidi="ar-AE"/>
        </w:rPr>
        <w:t>dahr</w:t>
      </w:r>
      <w:r w:rsidRPr="007821CC">
        <w:rPr>
          <w:sz w:val="24"/>
          <w:szCs w:val="24"/>
          <w:lang w:bidi="ar-AE"/>
        </w:rPr>
        <w:t xml:space="preserve"> is a </w:t>
      </w:r>
      <w:r w:rsidRPr="007821CC">
        <w:rPr>
          <w:i/>
          <w:iCs/>
          <w:sz w:val="24"/>
          <w:szCs w:val="24"/>
          <w:lang w:bidi="ar-AE"/>
        </w:rPr>
        <w:t xml:space="preserve">ghūl </w:t>
      </w:r>
      <w:r w:rsidRPr="007821CC">
        <w:rPr>
          <w:sz w:val="24"/>
          <w:szCs w:val="24"/>
          <w:lang w:bidi="ar-AE"/>
        </w:rPr>
        <w:t>(monster), who betrays his oaths and eats up men.'</w:t>
      </w:r>
      <w:r w:rsidRPr="007821CC">
        <w:rPr>
          <w:rStyle w:val="FootnoteReference"/>
          <w:sz w:val="24"/>
          <w:szCs w:val="24"/>
          <w:lang w:bidi="ar-AE"/>
        </w:rPr>
        <w:footnoteReference w:id="111"/>
      </w:r>
      <w:r w:rsidRPr="007821CC">
        <w:rPr>
          <w:rFonts w:cs="AdvTT5843c571"/>
          <w:color w:val="231F20"/>
          <w:sz w:val="24"/>
          <w:szCs w:val="24"/>
        </w:rPr>
        <w:t xml:space="preserve"> </w:t>
      </w:r>
      <w:r w:rsidRPr="007821CC">
        <w:rPr>
          <w:sz w:val="24"/>
          <w:szCs w:val="24"/>
          <w:lang w:bidi="ar-AE"/>
        </w:rPr>
        <w:t xml:space="preserve">The </w:t>
      </w:r>
      <w:r w:rsidRPr="007821CC">
        <w:rPr>
          <w:i/>
          <w:iCs/>
          <w:sz w:val="24"/>
          <w:szCs w:val="24"/>
          <w:lang w:bidi="ar-AE"/>
        </w:rPr>
        <w:t>dahrīya</w:t>
      </w:r>
      <w:r w:rsidRPr="007821CC">
        <w:rPr>
          <w:sz w:val="24"/>
          <w:szCs w:val="24"/>
          <w:lang w:bidi="ar-AE"/>
        </w:rPr>
        <w:t xml:space="preserve"> may therefore be described as Hans Jonas' cosmophobes who viewed the cosmos, or Time personified, as an 'order with a vengeance.'</w:t>
      </w:r>
      <w:r w:rsidRPr="007821CC">
        <w:rPr>
          <w:rStyle w:val="FootnoteReference"/>
          <w:sz w:val="24"/>
          <w:szCs w:val="24"/>
          <w:lang w:bidi="ar-AE"/>
        </w:rPr>
        <w:footnoteReference w:id="112"/>
      </w:r>
      <w:r w:rsidRPr="007821CC">
        <w:rPr>
          <w:sz w:val="24"/>
          <w:szCs w:val="24"/>
          <w:lang w:bidi="ar-AE"/>
        </w:rPr>
        <w:t xml:space="preserve"> The deep-seated fear of </w:t>
      </w:r>
      <w:r w:rsidRPr="007821CC">
        <w:rPr>
          <w:i/>
          <w:iCs/>
          <w:sz w:val="24"/>
          <w:szCs w:val="24"/>
          <w:lang w:bidi="ar-AE"/>
        </w:rPr>
        <w:t xml:space="preserve">dahr </w:t>
      </w:r>
      <w:r w:rsidRPr="007821CC">
        <w:rPr>
          <w:sz w:val="24"/>
          <w:szCs w:val="24"/>
          <w:lang w:bidi="ar-AE"/>
        </w:rPr>
        <w:t>continued after Islam as evident from the prophet's advice to his companions, '</w:t>
      </w:r>
      <w:r w:rsidRPr="007821CC">
        <w:rPr>
          <w:sz w:val="24"/>
          <w:szCs w:val="24"/>
        </w:rPr>
        <w:t>Do not abuse Time [</w:t>
      </w:r>
      <w:r w:rsidRPr="007821CC">
        <w:rPr>
          <w:i/>
          <w:iCs/>
          <w:sz w:val="24"/>
          <w:szCs w:val="24"/>
        </w:rPr>
        <w:t>dahr</w:t>
      </w:r>
      <w:r w:rsidRPr="007821CC">
        <w:rPr>
          <w:sz w:val="24"/>
          <w:szCs w:val="24"/>
        </w:rPr>
        <w:t>], for it is Allah Who is the Time [dahr].'</w:t>
      </w:r>
      <w:r w:rsidRPr="007821CC">
        <w:rPr>
          <w:rStyle w:val="FootnoteReference"/>
          <w:sz w:val="24"/>
          <w:szCs w:val="24"/>
        </w:rPr>
        <w:footnoteReference w:id="113"/>
      </w:r>
      <w:r w:rsidRPr="007821CC">
        <w:rPr>
          <w:sz w:val="24"/>
          <w:szCs w:val="24"/>
        </w:rPr>
        <w:t xml:space="preserve"> When Allah became equated with the concept of </w:t>
      </w:r>
      <w:r w:rsidRPr="007821CC">
        <w:rPr>
          <w:i/>
          <w:iCs/>
          <w:sz w:val="24"/>
          <w:szCs w:val="24"/>
        </w:rPr>
        <w:t>dahr</w:t>
      </w:r>
      <w:r w:rsidRPr="007821CC">
        <w:rPr>
          <w:sz w:val="24"/>
          <w:szCs w:val="24"/>
        </w:rPr>
        <w:t xml:space="preserve">, the cosmophobia of pagan Arabia was eventually transformed through Islam to a state of what </w:t>
      </w:r>
      <w:r w:rsidRPr="007821CC">
        <w:rPr>
          <w:sz w:val="24"/>
          <w:szCs w:val="24"/>
          <w:lang w:bidi="ar-AE"/>
        </w:rPr>
        <w:t>Andr</w:t>
      </w:r>
      <w:r w:rsidRPr="007821CC">
        <w:rPr>
          <w:sz w:val="24"/>
          <w:szCs w:val="24"/>
        </w:rPr>
        <w:t>é-Jean Festugière, writing about the Greeks, described as a veneration of a cosmos ordered by God.</w:t>
      </w:r>
      <w:r w:rsidRPr="007821CC">
        <w:rPr>
          <w:rStyle w:val="FootnoteReference"/>
          <w:sz w:val="24"/>
          <w:szCs w:val="24"/>
        </w:rPr>
        <w:footnoteReference w:id="114"/>
      </w:r>
    </w:p>
    <w:p w:rsidR="00F411E0" w:rsidRPr="000E4EB8" w:rsidRDefault="00F411E0" w:rsidP="00F411E0">
      <w:pPr>
        <w:rPr>
          <w:rFonts w:asciiTheme="minorHAnsi" w:hAnsiTheme="minorHAnsi"/>
          <w:rtl/>
          <w:lang w:bidi="ar-AE"/>
        </w:rPr>
      </w:pPr>
    </w:p>
    <w:p w:rsidR="00F411E0" w:rsidRDefault="00F411E0" w:rsidP="007821CC">
      <w:pPr>
        <w:pStyle w:val="Heading3"/>
      </w:pPr>
      <w:bookmarkStart w:id="25" w:name="_Toc477317387"/>
      <w:r>
        <w:lastRenderedPageBreak/>
        <w:t>2.2.2</w:t>
      </w:r>
      <w:r>
        <w:tab/>
        <w:t>Islamic Orthodox Cosmology and the Influence of '</w:t>
      </w:r>
      <w:r w:rsidRPr="00436CF4">
        <w:rPr>
          <w:lang w:bidi="ar-AE"/>
        </w:rPr>
        <w:t>Isrā'īliyyāt</w:t>
      </w:r>
      <w:r>
        <w:rPr>
          <w:lang w:bidi="ar-AE"/>
        </w:rPr>
        <w:t>'</w:t>
      </w:r>
      <w:bookmarkEnd w:id="25"/>
      <w:r>
        <w:rPr>
          <w:lang w:bidi="ar-AE"/>
        </w:rPr>
        <w:t xml:space="preserve"> </w:t>
      </w:r>
    </w:p>
    <w:p w:rsidR="00F411E0" w:rsidRPr="007821CC" w:rsidRDefault="00F411E0" w:rsidP="00F411E0">
      <w:pPr>
        <w:jc w:val="lowKashida"/>
        <w:rPr>
          <w:sz w:val="24"/>
          <w:szCs w:val="24"/>
        </w:rPr>
      </w:pPr>
      <w:r w:rsidRPr="007821CC">
        <w:rPr>
          <w:sz w:val="24"/>
          <w:szCs w:val="24"/>
        </w:rPr>
        <w:t xml:space="preserve">Seyyed Hossein Nasr pointed out that the Islamic reality was perceived through lens of </w:t>
      </w:r>
      <w:r w:rsidRPr="007821CC">
        <w:rPr>
          <w:i/>
          <w:iCs/>
          <w:sz w:val="24"/>
          <w:szCs w:val="24"/>
        </w:rPr>
        <w:t xml:space="preserve">tawḥīḍ, </w:t>
      </w:r>
      <w:r w:rsidRPr="007821CC">
        <w:rPr>
          <w:sz w:val="24"/>
          <w:szCs w:val="24"/>
        </w:rPr>
        <w:t>the fundamental concept that affirms that ‘there is no reality outside the Absolute Reality, thereby negating that is other than Allah.’</w:t>
      </w:r>
      <w:r w:rsidRPr="007821CC">
        <w:rPr>
          <w:rStyle w:val="FootnoteReference"/>
          <w:sz w:val="24"/>
          <w:szCs w:val="24"/>
        </w:rPr>
        <w:footnoteReference w:id="115"/>
      </w:r>
      <w:r w:rsidRPr="007821CC">
        <w:rPr>
          <w:sz w:val="24"/>
          <w:szCs w:val="24"/>
        </w:rPr>
        <w:t xml:space="preserve"> As a result, the cosmology of the converts to Islam changed drastically, for as the Prophet said, 'Islam wipes out all that preceded it.'</w:t>
      </w:r>
      <w:r w:rsidRPr="007821CC">
        <w:rPr>
          <w:rStyle w:val="FootnoteReference"/>
          <w:sz w:val="24"/>
          <w:szCs w:val="24"/>
        </w:rPr>
        <w:footnoteReference w:id="116"/>
      </w:r>
      <w:r w:rsidRPr="007821CC">
        <w:rPr>
          <w:sz w:val="24"/>
          <w:szCs w:val="24"/>
        </w:rPr>
        <w:t xml:space="preserve"> Nasr noticed that the cosmos of Islam, perceived as the wondrous creation of an Almighty Creator, became the object of contemplation through which true </w:t>
      </w:r>
      <w:r w:rsidRPr="007821CC">
        <w:rPr>
          <w:i/>
          <w:iCs/>
          <w:sz w:val="24"/>
          <w:szCs w:val="24"/>
        </w:rPr>
        <w:t>tawḥīḍ</w:t>
      </w:r>
      <w:r w:rsidRPr="007821CC">
        <w:rPr>
          <w:sz w:val="24"/>
          <w:szCs w:val="24"/>
        </w:rPr>
        <w:t xml:space="preserve"> is attained.</w:t>
      </w:r>
      <w:r w:rsidRPr="007821CC">
        <w:rPr>
          <w:rStyle w:val="FootnoteReference"/>
          <w:sz w:val="24"/>
          <w:szCs w:val="24"/>
        </w:rPr>
        <w:footnoteReference w:id="117"/>
      </w:r>
      <w:r w:rsidRPr="007821CC">
        <w:rPr>
          <w:sz w:val="24"/>
          <w:szCs w:val="24"/>
        </w:rPr>
        <w:t xml:space="preserve"> For instance, one reads in the Qur'ān:</w:t>
      </w:r>
    </w:p>
    <w:p w:rsidR="00F411E0" w:rsidRPr="007821CC" w:rsidRDefault="00F411E0" w:rsidP="00F411E0">
      <w:pPr>
        <w:rPr>
          <w:sz w:val="24"/>
          <w:szCs w:val="24"/>
        </w:rPr>
      </w:pPr>
    </w:p>
    <w:p w:rsidR="00F411E0" w:rsidRPr="007821CC" w:rsidRDefault="00F411E0" w:rsidP="007821CC">
      <w:pPr>
        <w:spacing w:line="240" w:lineRule="auto"/>
        <w:ind w:left="720"/>
        <w:jc w:val="lowKashida"/>
        <w:rPr>
          <w:sz w:val="24"/>
          <w:szCs w:val="24"/>
        </w:rPr>
      </w:pPr>
      <w:r w:rsidRPr="007821CC">
        <w:rPr>
          <w:sz w:val="24"/>
          <w:szCs w:val="24"/>
        </w:rPr>
        <w:t>In the creation of the heavens and the earth, and on the alternation of night and day, there are signs for men of understanding</w:t>
      </w:r>
    </w:p>
    <w:p w:rsidR="00F411E0" w:rsidRPr="007821CC" w:rsidRDefault="00F411E0" w:rsidP="007821CC">
      <w:pPr>
        <w:spacing w:line="240" w:lineRule="auto"/>
        <w:ind w:left="720"/>
        <w:jc w:val="lowKashida"/>
        <w:rPr>
          <w:sz w:val="24"/>
          <w:szCs w:val="24"/>
        </w:rPr>
      </w:pPr>
      <w:proofErr w:type="gramStart"/>
      <w:r w:rsidRPr="007821CC">
        <w:rPr>
          <w:sz w:val="24"/>
          <w:szCs w:val="24"/>
        </w:rPr>
        <w:t>Those that remember Allah standing, sitting, and lying down, and meditate upon the creation of the heavens and earth.</w:t>
      </w:r>
      <w:proofErr w:type="gramEnd"/>
      <w:r w:rsidRPr="007821CC">
        <w:rPr>
          <w:sz w:val="24"/>
          <w:szCs w:val="24"/>
        </w:rPr>
        <w:t xml:space="preserve"> </w:t>
      </w:r>
      <w:proofErr w:type="gramStart"/>
      <w:r w:rsidRPr="007821CC">
        <w:rPr>
          <w:sz w:val="24"/>
          <w:szCs w:val="24"/>
        </w:rPr>
        <w:t>'Our Lord!</w:t>
      </w:r>
      <w:proofErr w:type="gramEnd"/>
      <w:r w:rsidRPr="007821CC">
        <w:rPr>
          <w:sz w:val="24"/>
          <w:szCs w:val="24"/>
        </w:rPr>
        <w:t xml:space="preserve"> You have not created this in vain. Transcendent are </w:t>
      </w:r>
      <w:proofErr w:type="gramStart"/>
      <w:r w:rsidRPr="007821CC">
        <w:rPr>
          <w:sz w:val="24"/>
          <w:szCs w:val="24"/>
        </w:rPr>
        <w:t>You</w:t>
      </w:r>
      <w:proofErr w:type="gramEnd"/>
      <w:r w:rsidRPr="007821CC">
        <w:rPr>
          <w:sz w:val="24"/>
          <w:szCs w:val="24"/>
        </w:rPr>
        <w:t xml:space="preserve">! </w:t>
      </w:r>
      <w:proofErr w:type="gramStart"/>
      <w:r w:rsidRPr="007821CC">
        <w:rPr>
          <w:sz w:val="24"/>
          <w:szCs w:val="24"/>
        </w:rPr>
        <w:t>So protected us from the torment of the Fire!'</w:t>
      </w:r>
      <w:proofErr w:type="gramEnd"/>
      <w:r w:rsidRPr="007821CC">
        <w:rPr>
          <w:rStyle w:val="FootnoteReference"/>
          <w:sz w:val="24"/>
          <w:szCs w:val="24"/>
        </w:rPr>
        <w:footnoteReference w:id="118"/>
      </w:r>
      <w:r w:rsidRPr="007821CC">
        <w:rPr>
          <w:rStyle w:val="FootnoteReference"/>
          <w:sz w:val="24"/>
          <w:szCs w:val="24"/>
        </w:rPr>
        <w:t xml:space="preserve"> </w:t>
      </w:r>
    </w:p>
    <w:p w:rsidR="00F411E0" w:rsidRPr="007821CC" w:rsidRDefault="00F411E0" w:rsidP="00F411E0">
      <w:pPr>
        <w:bidi/>
        <w:rPr>
          <w:sz w:val="24"/>
          <w:szCs w:val="24"/>
        </w:rPr>
      </w:pPr>
    </w:p>
    <w:p w:rsidR="00F411E0" w:rsidRPr="007821CC" w:rsidRDefault="00F411E0" w:rsidP="00F411E0">
      <w:pPr>
        <w:jc w:val="lowKashida"/>
        <w:rPr>
          <w:sz w:val="24"/>
          <w:szCs w:val="24"/>
          <w:lang w:bidi="ar-AE"/>
        </w:rPr>
      </w:pPr>
      <w:r w:rsidRPr="007821CC">
        <w:rPr>
          <w:sz w:val="24"/>
          <w:szCs w:val="24"/>
        </w:rPr>
        <w:t xml:space="preserve">Commenting on these verses, al-Ṭabarī (838-923 </w:t>
      </w:r>
      <w:r w:rsidRPr="00033700">
        <w:t>CE</w:t>
      </w:r>
      <w:r w:rsidRPr="007821CC">
        <w:rPr>
          <w:sz w:val="24"/>
          <w:szCs w:val="24"/>
        </w:rPr>
        <w:t xml:space="preserve">) wrote that contemplation of the wonders of creation brings one to a realisation that 'there is nothing like unto Him who had created that, for He is Owner of Sovereignty and he is the Provider, and he is the Creator and Arranger </w:t>
      </w:r>
      <w:r w:rsidRPr="007821CC">
        <w:rPr>
          <w:sz w:val="24"/>
          <w:szCs w:val="24"/>
          <w:lang w:bidi="ar-AE"/>
        </w:rPr>
        <w:t>of all things, and in His hand lies the ability to enrich and impoverish, to revive and deaden, and to bring forth misery and happiness.'</w:t>
      </w:r>
      <w:r w:rsidRPr="007821CC">
        <w:rPr>
          <w:rStyle w:val="FootnoteReference"/>
          <w:sz w:val="24"/>
          <w:szCs w:val="24"/>
          <w:lang w:bidi="ar-AE"/>
        </w:rPr>
        <w:footnoteReference w:id="119"/>
      </w:r>
      <w:r w:rsidRPr="007821CC">
        <w:rPr>
          <w:sz w:val="24"/>
          <w:szCs w:val="24"/>
          <w:lang w:bidi="ar-AE"/>
        </w:rPr>
        <w:t xml:space="preserve"> Contemplation of cosmic phenomena also serves as a reminder of the transient nature of the mundane world (</w:t>
      </w:r>
      <w:r w:rsidRPr="007821CC">
        <w:rPr>
          <w:i/>
          <w:iCs/>
          <w:sz w:val="24"/>
          <w:szCs w:val="24"/>
          <w:lang w:bidi="ar-AE"/>
        </w:rPr>
        <w:t>dunyā</w:t>
      </w:r>
      <w:r w:rsidRPr="007821CC">
        <w:rPr>
          <w:sz w:val="24"/>
          <w:szCs w:val="24"/>
          <w:lang w:bidi="ar-AE"/>
        </w:rPr>
        <w:t xml:space="preserve">) and of the upcoming Resurrection Day, for a God able to create this massive universe through the simple creative </w:t>
      </w:r>
      <w:proofErr w:type="gramStart"/>
      <w:r w:rsidRPr="007821CC">
        <w:rPr>
          <w:sz w:val="24"/>
          <w:szCs w:val="24"/>
          <w:lang w:bidi="ar-AE"/>
        </w:rPr>
        <w:t>command</w:t>
      </w:r>
      <w:proofErr w:type="gramEnd"/>
      <w:r w:rsidRPr="007821CC">
        <w:rPr>
          <w:sz w:val="24"/>
          <w:szCs w:val="24"/>
          <w:lang w:bidi="ar-AE"/>
        </w:rPr>
        <w:t xml:space="preserve"> </w:t>
      </w:r>
      <w:r w:rsidRPr="007821CC">
        <w:rPr>
          <w:i/>
          <w:iCs/>
          <w:sz w:val="24"/>
          <w:szCs w:val="24"/>
          <w:lang w:bidi="ar-AE"/>
        </w:rPr>
        <w:t xml:space="preserve">Kun </w:t>
      </w:r>
      <w:r w:rsidRPr="007821CC">
        <w:rPr>
          <w:sz w:val="24"/>
          <w:szCs w:val="24"/>
          <w:lang w:bidi="ar-AE"/>
        </w:rPr>
        <w:t>(Be!), is a God able to resurrect the dead:</w:t>
      </w:r>
    </w:p>
    <w:p w:rsidR="00F411E0" w:rsidRPr="007821CC" w:rsidRDefault="00F411E0" w:rsidP="00F411E0">
      <w:pPr>
        <w:jc w:val="lowKashida"/>
        <w:rPr>
          <w:sz w:val="24"/>
          <w:szCs w:val="24"/>
          <w:lang w:bidi="ar-AE"/>
        </w:rPr>
      </w:pPr>
    </w:p>
    <w:p w:rsidR="00F411E0" w:rsidRPr="007821CC" w:rsidRDefault="00F411E0" w:rsidP="007821CC">
      <w:pPr>
        <w:spacing w:line="240" w:lineRule="auto"/>
        <w:ind w:left="720"/>
        <w:jc w:val="lowKashida"/>
        <w:rPr>
          <w:sz w:val="24"/>
          <w:szCs w:val="24"/>
          <w:lang w:bidi="ar-AE"/>
        </w:rPr>
      </w:pPr>
      <w:r w:rsidRPr="007821CC">
        <w:rPr>
          <w:sz w:val="24"/>
          <w:szCs w:val="24"/>
          <w:lang w:bidi="ar-AE"/>
        </w:rPr>
        <w:t xml:space="preserve">Is not He Who created the heavens and the earth Able to create the like of them? Indeed! </w:t>
      </w:r>
      <w:proofErr w:type="gramStart"/>
      <w:r w:rsidRPr="007821CC">
        <w:rPr>
          <w:sz w:val="24"/>
          <w:szCs w:val="24"/>
          <w:lang w:bidi="ar-AE"/>
        </w:rPr>
        <w:t>for</w:t>
      </w:r>
      <w:proofErr w:type="gramEnd"/>
      <w:r w:rsidRPr="007821CC">
        <w:rPr>
          <w:sz w:val="24"/>
          <w:szCs w:val="24"/>
          <w:lang w:bidi="ar-AE"/>
        </w:rPr>
        <w:t xml:space="preserve"> He is the Knowing Creator.</w:t>
      </w:r>
    </w:p>
    <w:p w:rsidR="00F411E0" w:rsidRPr="007821CC" w:rsidRDefault="00F411E0" w:rsidP="007821CC">
      <w:pPr>
        <w:spacing w:line="240" w:lineRule="auto"/>
        <w:ind w:left="720"/>
        <w:jc w:val="lowKashida"/>
        <w:rPr>
          <w:sz w:val="24"/>
          <w:szCs w:val="24"/>
          <w:lang w:bidi="ar-AE"/>
        </w:rPr>
      </w:pPr>
      <w:r w:rsidRPr="007821CC">
        <w:rPr>
          <w:sz w:val="24"/>
          <w:szCs w:val="24"/>
          <w:lang w:bidi="ar-AE"/>
        </w:rPr>
        <w:t xml:space="preserve">His command when He intends a </w:t>
      </w:r>
      <w:proofErr w:type="gramStart"/>
      <w:r w:rsidRPr="007821CC">
        <w:rPr>
          <w:sz w:val="24"/>
          <w:szCs w:val="24"/>
          <w:lang w:bidi="ar-AE"/>
        </w:rPr>
        <w:t>thing,</w:t>
      </w:r>
      <w:proofErr w:type="gramEnd"/>
      <w:r w:rsidRPr="007821CC">
        <w:rPr>
          <w:sz w:val="24"/>
          <w:szCs w:val="24"/>
          <w:lang w:bidi="ar-AE"/>
        </w:rPr>
        <w:t xml:space="preserve"> is only that he says to it: "Be! [</w:t>
      </w:r>
      <w:r w:rsidRPr="007821CC">
        <w:rPr>
          <w:i/>
          <w:iCs/>
          <w:sz w:val="24"/>
          <w:szCs w:val="24"/>
          <w:lang w:bidi="ar-AE"/>
        </w:rPr>
        <w:t>Kun</w:t>
      </w:r>
      <w:r w:rsidRPr="007821CC">
        <w:rPr>
          <w:sz w:val="24"/>
          <w:szCs w:val="24"/>
          <w:lang w:bidi="ar-AE"/>
        </w:rPr>
        <w:t>]" and it is.</w:t>
      </w:r>
    </w:p>
    <w:p w:rsidR="00F411E0" w:rsidRPr="007821CC" w:rsidRDefault="00F411E0" w:rsidP="007821CC">
      <w:pPr>
        <w:spacing w:line="240" w:lineRule="auto"/>
        <w:ind w:left="720"/>
        <w:jc w:val="lowKashida"/>
        <w:rPr>
          <w:sz w:val="24"/>
          <w:szCs w:val="24"/>
          <w:lang w:bidi="ar-AE"/>
        </w:rPr>
      </w:pPr>
      <w:r w:rsidRPr="007821CC">
        <w:rPr>
          <w:sz w:val="24"/>
          <w:szCs w:val="24"/>
          <w:lang w:bidi="ar-AE"/>
        </w:rPr>
        <w:lastRenderedPageBreak/>
        <w:t xml:space="preserve">Transcendent is He in </w:t>
      </w:r>
      <w:proofErr w:type="gramStart"/>
      <w:r w:rsidRPr="007821CC">
        <w:rPr>
          <w:sz w:val="24"/>
          <w:szCs w:val="24"/>
          <w:lang w:bidi="ar-AE"/>
        </w:rPr>
        <w:t>Whose</w:t>
      </w:r>
      <w:proofErr w:type="gramEnd"/>
      <w:r w:rsidRPr="007821CC">
        <w:rPr>
          <w:sz w:val="24"/>
          <w:szCs w:val="24"/>
          <w:lang w:bidi="ar-AE"/>
        </w:rPr>
        <w:t xml:space="preserve"> hand is the dominion of all things! And to Him you will be returned!</w:t>
      </w:r>
      <w:r w:rsidRPr="007821CC">
        <w:rPr>
          <w:rStyle w:val="FootnoteReference"/>
          <w:sz w:val="24"/>
          <w:szCs w:val="24"/>
          <w:lang w:bidi="ar-AE"/>
        </w:rPr>
        <w:footnoteReference w:id="120"/>
      </w:r>
      <w:r w:rsidRPr="007821CC">
        <w:rPr>
          <w:sz w:val="24"/>
          <w:szCs w:val="24"/>
          <w:lang w:bidi="ar-AE"/>
        </w:rPr>
        <w:t xml:space="preserve"> </w:t>
      </w:r>
    </w:p>
    <w:p w:rsidR="00F411E0" w:rsidRPr="007821CC" w:rsidRDefault="00F411E0" w:rsidP="00F411E0">
      <w:pPr>
        <w:jc w:val="lowKashida"/>
        <w:rPr>
          <w:sz w:val="24"/>
          <w:szCs w:val="24"/>
          <w:rtl/>
          <w:lang w:bidi="ar-AE"/>
        </w:rPr>
      </w:pPr>
    </w:p>
    <w:p w:rsidR="00F411E0" w:rsidRPr="007821CC" w:rsidRDefault="00F411E0" w:rsidP="00F411E0">
      <w:pPr>
        <w:jc w:val="lowKashida"/>
        <w:rPr>
          <w:sz w:val="24"/>
          <w:szCs w:val="24"/>
          <w:lang w:bidi="ar-AE"/>
        </w:rPr>
      </w:pPr>
      <w:r w:rsidRPr="007821CC">
        <w:rPr>
          <w:rFonts w:cs="Arial"/>
          <w:color w:val="000000"/>
          <w:sz w:val="24"/>
          <w:szCs w:val="24"/>
        </w:rPr>
        <w:t>The same Judeo-Christian apocalyptic elements, which according to Cohn precipitated western revolutionary millenarianism, are conspicuously present, as noticed by a number of studies, in the orthodox apocalyptic discourse of the third Abrahamic faith, Islam.</w:t>
      </w:r>
      <w:r w:rsidRPr="007821CC">
        <w:rPr>
          <w:rStyle w:val="FootnoteReference"/>
          <w:sz w:val="24"/>
          <w:szCs w:val="24"/>
        </w:rPr>
        <w:footnoteReference w:id="121"/>
      </w:r>
      <w:r w:rsidRPr="007821CC">
        <w:rPr>
          <w:rFonts w:cs="Arial"/>
          <w:color w:val="000000"/>
          <w:sz w:val="24"/>
          <w:szCs w:val="24"/>
        </w:rPr>
        <w:t xml:space="preserve"> Elaborating on this presence, the medieval historiographer ibn Khaldūn (1332-1406 </w:t>
      </w:r>
      <w:r w:rsidRPr="00033700">
        <w:rPr>
          <w:rFonts w:cs="Arial"/>
          <w:color w:val="000000"/>
        </w:rPr>
        <w:t>CE</w:t>
      </w:r>
      <w:r w:rsidRPr="007821CC">
        <w:rPr>
          <w:rFonts w:cs="Arial"/>
          <w:color w:val="000000"/>
          <w:sz w:val="24"/>
          <w:szCs w:val="24"/>
        </w:rPr>
        <w:t>) wrote that Judeo-Christian accounts of converts concerning the 'secrets of existence' were allowed into commentaries in positions that had no impact whatsoever on religious legislative laws.</w:t>
      </w:r>
      <w:r w:rsidRPr="007821CC">
        <w:rPr>
          <w:rStyle w:val="FootnoteReference"/>
          <w:rFonts w:cs="Arial"/>
          <w:color w:val="000000"/>
          <w:sz w:val="24"/>
          <w:szCs w:val="24"/>
        </w:rPr>
        <w:footnoteReference w:id="122"/>
      </w:r>
      <w:r w:rsidRPr="007821CC">
        <w:rPr>
          <w:rFonts w:cs="Arial"/>
          <w:color w:val="000000"/>
          <w:sz w:val="24"/>
          <w:szCs w:val="24"/>
        </w:rPr>
        <w:t xml:space="preserve"> While such narratives were allowed to be incorporated into the </w:t>
      </w:r>
      <w:r w:rsidRPr="007821CC">
        <w:rPr>
          <w:sz w:val="24"/>
          <w:szCs w:val="24"/>
        </w:rPr>
        <w:t xml:space="preserve">genre of </w:t>
      </w:r>
      <w:r w:rsidRPr="007821CC">
        <w:rPr>
          <w:rFonts w:cs="TimesNewRomanPS-BoldMT"/>
          <w:i/>
          <w:iCs/>
          <w:sz w:val="24"/>
          <w:szCs w:val="24"/>
        </w:rPr>
        <w:t>Fitan</w:t>
      </w:r>
      <w:r w:rsidRPr="007821CC">
        <w:rPr>
          <w:rFonts w:cs="TimesNewRomanPS-BoldMT"/>
          <w:sz w:val="24"/>
          <w:szCs w:val="24"/>
        </w:rPr>
        <w:t xml:space="preserve"> and </w:t>
      </w:r>
      <w:r w:rsidRPr="007821CC">
        <w:rPr>
          <w:rFonts w:cs="TimesNewRomanPS-BoldMT"/>
          <w:i/>
          <w:iCs/>
          <w:sz w:val="24"/>
          <w:szCs w:val="24"/>
        </w:rPr>
        <w:t xml:space="preserve">Malāḥim </w:t>
      </w:r>
      <w:r w:rsidRPr="007821CC">
        <w:rPr>
          <w:rFonts w:cs="TimesNewRomanPS-BoldMT"/>
          <w:sz w:val="24"/>
          <w:szCs w:val="24"/>
        </w:rPr>
        <w:t>(Tribulations and Fierce Battles)</w:t>
      </w:r>
      <w:r w:rsidRPr="007821CC">
        <w:rPr>
          <w:rFonts w:cs="Arial"/>
          <w:color w:val="000000"/>
          <w:sz w:val="24"/>
          <w:szCs w:val="24"/>
        </w:rPr>
        <w:t>, early Muslims were aware and cautious of such an influence, for as mentioned by al-Bukhārī:</w:t>
      </w:r>
    </w:p>
    <w:p w:rsidR="00F411E0" w:rsidRPr="007821CC" w:rsidRDefault="00F411E0" w:rsidP="00F411E0">
      <w:pPr>
        <w:jc w:val="lowKashida"/>
        <w:rPr>
          <w:rFonts w:cs="Arial"/>
          <w:color w:val="000000"/>
          <w:sz w:val="24"/>
          <w:szCs w:val="24"/>
        </w:rPr>
      </w:pPr>
    </w:p>
    <w:p w:rsidR="00F411E0" w:rsidRPr="007821CC" w:rsidRDefault="00F411E0" w:rsidP="007821CC">
      <w:pPr>
        <w:spacing w:line="240" w:lineRule="auto"/>
        <w:ind w:left="720"/>
        <w:jc w:val="lowKashida"/>
        <w:rPr>
          <w:sz w:val="24"/>
          <w:szCs w:val="24"/>
        </w:rPr>
      </w:pPr>
      <w:r w:rsidRPr="007821CC">
        <w:rPr>
          <w:sz w:val="24"/>
          <w:szCs w:val="24"/>
        </w:rPr>
        <w:t>The people of the Scripture (Jews) used to recite the Torah in Hebrew and they used to explain it in Arabic to the Muslims. On that Allah's Messenger (peace be upon him) said, 'Do not believe the people of the Scripture or disbelieve them, but say: "We believe in Allah and what is revealed to us</w:t>
      </w:r>
      <w:r w:rsidR="005E3A21">
        <w:rPr>
          <w:sz w:val="24"/>
          <w:szCs w:val="24"/>
        </w:rPr>
        <w:t>, and whatever is revealed to you</w:t>
      </w:r>
      <w:r w:rsidRPr="007821CC">
        <w:rPr>
          <w:sz w:val="24"/>
          <w:szCs w:val="24"/>
        </w:rPr>
        <w:t>."'</w:t>
      </w:r>
      <w:r w:rsidRPr="007821CC">
        <w:rPr>
          <w:rStyle w:val="FootnoteReference"/>
          <w:sz w:val="24"/>
          <w:szCs w:val="24"/>
        </w:rPr>
        <w:footnoteReference w:id="123"/>
      </w:r>
    </w:p>
    <w:p w:rsidR="00F411E0" w:rsidRPr="007821CC" w:rsidRDefault="00F411E0" w:rsidP="00F411E0">
      <w:pPr>
        <w:jc w:val="lowKashida"/>
        <w:rPr>
          <w:sz w:val="24"/>
          <w:szCs w:val="24"/>
          <w:lang w:bidi="ar-AE"/>
        </w:rPr>
      </w:pPr>
    </w:p>
    <w:p w:rsidR="00F411E0" w:rsidRPr="007821CC" w:rsidRDefault="00F411E0" w:rsidP="00F411E0">
      <w:pPr>
        <w:jc w:val="lowKashida"/>
        <w:rPr>
          <w:sz w:val="24"/>
          <w:szCs w:val="24"/>
        </w:rPr>
      </w:pPr>
      <w:r w:rsidRPr="007821CC">
        <w:rPr>
          <w:sz w:val="24"/>
          <w:szCs w:val="24"/>
          <w:lang w:bidi="ar-AE"/>
        </w:rPr>
        <w:t xml:space="preserve">The biblical traditions which were integrated into Islamic literature eventually became known as </w:t>
      </w:r>
      <w:r w:rsidRPr="007821CC">
        <w:rPr>
          <w:i/>
          <w:iCs/>
          <w:sz w:val="24"/>
          <w:szCs w:val="24"/>
          <w:lang w:bidi="ar-AE"/>
        </w:rPr>
        <w:t>Isrā'īliyyāt</w:t>
      </w:r>
      <w:r w:rsidRPr="007821CC">
        <w:rPr>
          <w:sz w:val="24"/>
          <w:szCs w:val="24"/>
          <w:lang w:bidi="ar-AE"/>
        </w:rPr>
        <w:t>, a term which according to the professor of Qur'ānic sciences at al-Azhar University Hussaīn al-Thahabī, reflects the significant influence of Israelite Jewish traditions on the Islamic tradition due to the great intellectual interaction that existed between early Muslims and the Jews of Arabia.</w:t>
      </w:r>
      <w:r w:rsidRPr="007821CC">
        <w:rPr>
          <w:rStyle w:val="FootnoteReference"/>
          <w:sz w:val="24"/>
          <w:szCs w:val="24"/>
          <w:lang w:bidi="ar-AE"/>
        </w:rPr>
        <w:footnoteReference w:id="124"/>
      </w:r>
      <w:r w:rsidRPr="007821CC">
        <w:rPr>
          <w:sz w:val="24"/>
          <w:szCs w:val="24"/>
          <w:lang w:bidi="ar-AE"/>
        </w:rPr>
        <w:t xml:space="preserve"> The considerable similarities between classical Jewish eschatology and that of Islam seems to have rendered the narratives of former acceptable to the latter, and subsequently assimilated into the corpus of Islamic apocalyptica. Sharing with Islam the most fundamental eschatological principles, classical Judaism anticipates a </w:t>
      </w:r>
      <w:r w:rsidRPr="007821CC">
        <w:rPr>
          <w:sz w:val="24"/>
          <w:szCs w:val="24"/>
          <w:lang w:bidi="ar-AE"/>
        </w:rPr>
        <w:lastRenderedPageBreak/>
        <w:t>messianic figure at whose hands universal salvation is realised, a bodily resurrection of the dead, and last but not least, a utopian world to come.</w:t>
      </w:r>
      <w:r w:rsidRPr="007821CC">
        <w:rPr>
          <w:rStyle w:val="FootnoteReference"/>
          <w:sz w:val="24"/>
          <w:szCs w:val="24"/>
          <w:lang w:bidi="ar-AE"/>
        </w:rPr>
        <w:footnoteReference w:id="125"/>
      </w:r>
      <w:r w:rsidRPr="007821CC">
        <w:rPr>
          <w:sz w:val="24"/>
          <w:szCs w:val="24"/>
          <w:lang w:bidi="ar-AE"/>
        </w:rPr>
        <w:t xml:space="preserve"> Furthermore, just like Islam, classical Judaism possesses a retributive eschatological worldview that foresees an imminent and ultimate Divine intervention in mundane history in which God, as Cohn wrote, '</w:t>
      </w:r>
      <w:r w:rsidRPr="007821CC">
        <w:rPr>
          <w:sz w:val="24"/>
          <w:szCs w:val="24"/>
        </w:rPr>
        <w:t>will bring history to a close and inaugurate the final everlasting age of salvation.'</w:t>
      </w:r>
      <w:r w:rsidRPr="007821CC">
        <w:rPr>
          <w:rStyle w:val="FootnoteReference"/>
          <w:sz w:val="24"/>
          <w:szCs w:val="24"/>
        </w:rPr>
        <w:footnoteReference w:id="126"/>
      </w:r>
      <w:r w:rsidRPr="007821CC">
        <w:rPr>
          <w:sz w:val="24"/>
          <w:szCs w:val="24"/>
        </w:rPr>
        <w:t xml:space="preserve"> </w:t>
      </w:r>
    </w:p>
    <w:p w:rsidR="00F411E0" w:rsidRPr="007821CC" w:rsidRDefault="00F411E0" w:rsidP="00F411E0">
      <w:pPr>
        <w:jc w:val="lowKashida"/>
        <w:rPr>
          <w:sz w:val="24"/>
          <w:szCs w:val="24"/>
        </w:rPr>
      </w:pPr>
    </w:p>
    <w:p w:rsidR="00F411E0" w:rsidRPr="007821CC" w:rsidRDefault="00F411E0" w:rsidP="00F411E0">
      <w:pPr>
        <w:jc w:val="lowKashida"/>
        <w:rPr>
          <w:sz w:val="24"/>
          <w:szCs w:val="24"/>
          <w:lang w:bidi="ar-AE"/>
        </w:rPr>
      </w:pPr>
      <w:r w:rsidRPr="007821CC">
        <w:rPr>
          <w:sz w:val="24"/>
          <w:szCs w:val="24"/>
          <w:lang w:bidi="ar-AE"/>
        </w:rPr>
        <w:t xml:space="preserve">Therefore unlike the pagan </w:t>
      </w:r>
      <w:r w:rsidRPr="007821CC">
        <w:rPr>
          <w:i/>
          <w:iCs/>
          <w:sz w:val="24"/>
          <w:szCs w:val="24"/>
          <w:lang w:bidi="ar-AE"/>
        </w:rPr>
        <w:t>dahrīyya</w:t>
      </w:r>
      <w:r w:rsidRPr="007821CC">
        <w:rPr>
          <w:sz w:val="24"/>
          <w:szCs w:val="24"/>
          <w:lang w:bidi="ar-AE"/>
        </w:rPr>
        <w:t xml:space="preserve"> of Arabia who dismissed Jewish cosmological narratives, Muslim Arabs readily assimilated those narratives and incorporated them into their traditions. Ibn Kathīr pointed out that the Prophet's companion ibn 'Abbās (619-687 </w:t>
      </w:r>
      <w:r w:rsidRPr="00033700">
        <w:rPr>
          <w:lang w:bidi="ar-AE"/>
        </w:rPr>
        <w:t>CE</w:t>
      </w:r>
      <w:r w:rsidRPr="007821CC">
        <w:rPr>
          <w:sz w:val="24"/>
          <w:szCs w:val="24"/>
          <w:lang w:bidi="ar-AE"/>
        </w:rPr>
        <w:t xml:space="preserve">) was one of the most influential early exegetes who relied on </w:t>
      </w:r>
      <w:r w:rsidRPr="007821CC">
        <w:rPr>
          <w:i/>
          <w:iCs/>
          <w:sz w:val="24"/>
          <w:szCs w:val="24"/>
          <w:lang w:bidi="ar-AE"/>
        </w:rPr>
        <w:t>Isrā'īliyyāt</w:t>
      </w:r>
      <w:r w:rsidRPr="007821CC">
        <w:rPr>
          <w:sz w:val="24"/>
          <w:szCs w:val="24"/>
          <w:lang w:bidi="ar-AE"/>
        </w:rPr>
        <w:t>.</w:t>
      </w:r>
      <w:r w:rsidRPr="007821CC">
        <w:rPr>
          <w:rStyle w:val="FootnoteReference"/>
          <w:sz w:val="24"/>
          <w:szCs w:val="24"/>
          <w:lang w:bidi="ar-AE"/>
        </w:rPr>
        <w:footnoteReference w:id="127"/>
      </w:r>
      <w:r w:rsidRPr="007821CC">
        <w:rPr>
          <w:sz w:val="24"/>
          <w:szCs w:val="24"/>
          <w:lang w:bidi="ar-AE"/>
        </w:rPr>
        <w:t xml:space="preserve"> Interpreting one of the disjoined letters that form the opening verses of a number of </w:t>
      </w:r>
      <w:r w:rsidRPr="007821CC">
        <w:rPr>
          <w:i/>
          <w:iCs/>
          <w:sz w:val="24"/>
          <w:szCs w:val="24"/>
          <w:lang w:bidi="ar-AE"/>
        </w:rPr>
        <w:t xml:space="preserve">sūras, </w:t>
      </w:r>
      <w:r w:rsidRPr="007821CC">
        <w:rPr>
          <w:sz w:val="24"/>
          <w:szCs w:val="24"/>
          <w:lang w:bidi="ar-AE"/>
        </w:rPr>
        <w:t>it is narrated by a number of early exegetes that</w:t>
      </w:r>
      <w:r w:rsidRPr="007821CC">
        <w:rPr>
          <w:i/>
          <w:iCs/>
          <w:sz w:val="24"/>
          <w:szCs w:val="24"/>
          <w:lang w:bidi="ar-AE"/>
        </w:rPr>
        <w:t xml:space="preserve"> </w:t>
      </w:r>
      <w:r w:rsidRPr="007821CC">
        <w:rPr>
          <w:sz w:val="24"/>
          <w:szCs w:val="24"/>
          <w:lang w:bidi="ar-AE"/>
        </w:rPr>
        <w:t xml:space="preserve">ibn 'Abbās stated that </w:t>
      </w:r>
      <w:r w:rsidRPr="007821CC">
        <w:rPr>
          <w:i/>
          <w:iCs/>
          <w:sz w:val="24"/>
          <w:szCs w:val="24"/>
          <w:lang w:bidi="ar-AE"/>
        </w:rPr>
        <w:t>'Nūn'</w:t>
      </w:r>
      <w:r w:rsidRPr="007821CC">
        <w:rPr>
          <w:sz w:val="24"/>
          <w:szCs w:val="24"/>
          <w:lang w:bidi="ar-AE"/>
        </w:rPr>
        <w:t xml:space="preserve"> was a gigantic primordial whale that carried upon its back the seven earths.</w:t>
      </w:r>
      <w:r w:rsidRPr="007821CC">
        <w:rPr>
          <w:rStyle w:val="FootnoteReference"/>
          <w:sz w:val="24"/>
          <w:szCs w:val="24"/>
          <w:lang w:bidi="ar-AE"/>
        </w:rPr>
        <w:footnoteReference w:id="128"/>
      </w:r>
      <w:r w:rsidRPr="007821CC">
        <w:rPr>
          <w:sz w:val="24"/>
          <w:szCs w:val="24"/>
          <w:lang w:bidi="ar-AE"/>
        </w:rPr>
        <w:t xml:space="preserve"> Nūn the whale, the narrators elaborated, is said to be carrying a massive rock upon its back, and upon which stands an enormous bull which carries the earths, and whatever dwells in those earths.</w:t>
      </w:r>
      <w:r w:rsidRPr="007821CC">
        <w:rPr>
          <w:rStyle w:val="FootnoteReference"/>
          <w:sz w:val="24"/>
          <w:szCs w:val="24"/>
          <w:lang w:bidi="ar-AE"/>
        </w:rPr>
        <w:footnoteReference w:id="129"/>
      </w:r>
      <w:r w:rsidRPr="007821CC">
        <w:rPr>
          <w:sz w:val="24"/>
          <w:szCs w:val="24"/>
          <w:lang w:bidi="ar-AE"/>
        </w:rPr>
        <w:t xml:space="preserve"> The foreign influence is noticeable in the names those narrators assign to the whale, for it may be Lūthiā, Luyūtha, Lūthūthā, Balhūth, Balhamūtha or Bahamūt; names which are strikingly similar to those of the Biblical creatures, Behemoth, the ox-like beast, and Leviathan the sea-monster.</w:t>
      </w:r>
      <w:r w:rsidRPr="007821CC">
        <w:rPr>
          <w:rStyle w:val="FootnoteReference"/>
          <w:sz w:val="24"/>
          <w:szCs w:val="24"/>
          <w:lang w:bidi="ar-AE"/>
        </w:rPr>
        <w:footnoteReference w:id="130"/>
      </w:r>
      <w:r w:rsidRPr="007821CC">
        <w:rPr>
          <w:sz w:val="24"/>
          <w:szCs w:val="24"/>
          <w:lang w:bidi="ar-AE"/>
        </w:rPr>
        <w:t xml:space="preserve"> It becomes hence crucial to read Islamic cosmogonic and eschatological narratives as 'conversation' between members of Abrahamic faiths, as Campion proposed</w:t>
      </w:r>
      <w:r w:rsidRPr="007821CC">
        <w:rPr>
          <w:sz w:val="24"/>
          <w:szCs w:val="24"/>
        </w:rPr>
        <w:t>.</w:t>
      </w:r>
      <w:r w:rsidRPr="007821CC">
        <w:rPr>
          <w:rStyle w:val="FootnoteReference"/>
          <w:sz w:val="24"/>
          <w:szCs w:val="24"/>
        </w:rPr>
        <w:footnoteReference w:id="131"/>
      </w:r>
    </w:p>
    <w:p w:rsidR="00F411E0" w:rsidRDefault="00F411E0" w:rsidP="00F411E0">
      <w:pPr>
        <w:tabs>
          <w:tab w:val="left" w:pos="6810"/>
        </w:tabs>
        <w:bidi/>
        <w:rPr>
          <w:rtl/>
          <w:lang w:bidi="ar-AE"/>
        </w:rPr>
      </w:pPr>
      <w:r>
        <w:rPr>
          <w:rFonts w:cs="Arial"/>
          <w:rtl/>
          <w:lang w:bidi="ar-AE"/>
        </w:rPr>
        <w:tab/>
      </w:r>
    </w:p>
    <w:p w:rsidR="00264360" w:rsidRDefault="00264360">
      <w:pPr>
        <w:autoSpaceDE/>
        <w:autoSpaceDN/>
        <w:adjustRightInd/>
        <w:spacing w:after="200"/>
        <w:rPr>
          <w:rFonts w:asciiTheme="majorHAnsi" w:eastAsiaTheme="majorEastAsia" w:hAnsiTheme="majorHAnsi" w:cstheme="majorBidi"/>
          <w:b/>
          <w:bCs/>
          <w:sz w:val="24"/>
          <w:szCs w:val="24"/>
        </w:rPr>
      </w:pPr>
      <w:r>
        <w:br w:type="page"/>
      </w:r>
    </w:p>
    <w:p w:rsidR="00F411E0" w:rsidRDefault="00F411E0" w:rsidP="00264360">
      <w:pPr>
        <w:pStyle w:val="Heading3"/>
      </w:pPr>
      <w:bookmarkStart w:id="27" w:name="_Toc477317388"/>
      <w:r>
        <w:lastRenderedPageBreak/>
        <w:t>2.2.3</w:t>
      </w:r>
      <w:r>
        <w:tab/>
      </w:r>
      <w:r>
        <w:rPr>
          <w:lang w:bidi="ar-AE"/>
        </w:rPr>
        <w:t>Philosophical</w:t>
      </w:r>
      <w:r>
        <w:t xml:space="preserve"> Islamic Cosmology</w:t>
      </w:r>
      <w:bookmarkEnd w:id="27"/>
      <w:r>
        <w:t xml:space="preserve"> </w:t>
      </w:r>
    </w:p>
    <w:p w:rsidR="00F411E0" w:rsidRPr="003B60F7" w:rsidRDefault="00F411E0" w:rsidP="00DE48DF">
      <w:pPr>
        <w:jc w:val="lowKashida"/>
        <w:rPr>
          <w:sz w:val="24"/>
          <w:szCs w:val="24"/>
        </w:rPr>
      </w:pPr>
      <w:r w:rsidRPr="003B60F7">
        <w:rPr>
          <w:sz w:val="24"/>
          <w:szCs w:val="24"/>
          <w:lang w:bidi="ar-AE"/>
        </w:rPr>
        <w:t>In his attempt to define Islamic cosmology, Campion wondered whether it reflected Islamic beliefs, or if it was a syncretism of ancient cosmologies facilitated by the translation movement that took place during the 'Abbāsid Caliphate from the eighth to the thirteenth centuries.</w:t>
      </w:r>
      <w:r w:rsidRPr="003B60F7">
        <w:rPr>
          <w:rStyle w:val="FootnoteReference"/>
          <w:sz w:val="24"/>
          <w:szCs w:val="24"/>
          <w:lang w:bidi="ar-AE"/>
        </w:rPr>
        <w:footnoteReference w:id="132"/>
      </w:r>
      <w:r w:rsidRPr="003B60F7">
        <w:rPr>
          <w:sz w:val="24"/>
          <w:szCs w:val="24"/>
        </w:rPr>
        <w:t xml:space="preserve"> The cosmological model proposed by ibn Sīnā (980-1037 </w:t>
      </w:r>
      <w:r w:rsidRPr="00033700">
        <w:t>CE</w:t>
      </w:r>
      <w:r w:rsidRPr="003B60F7">
        <w:rPr>
          <w:sz w:val="24"/>
          <w:szCs w:val="24"/>
        </w:rPr>
        <w:t>) in particular, reveals strong Aristotelian and Neoplatonist influences.</w:t>
      </w:r>
      <w:r w:rsidRPr="003B60F7">
        <w:rPr>
          <w:rStyle w:val="FootnoteReference"/>
          <w:sz w:val="24"/>
          <w:szCs w:val="24"/>
        </w:rPr>
        <w:footnoteReference w:id="133"/>
      </w:r>
      <w:r w:rsidRPr="003B60F7">
        <w:rPr>
          <w:sz w:val="24"/>
          <w:szCs w:val="24"/>
        </w:rPr>
        <w:t xml:space="preserve"> His cosmos comprises an eternal universe that emanated out from God, the Cause of Causes (</w:t>
      </w:r>
      <w:r w:rsidRPr="003B60F7">
        <w:rPr>
          <w:i/>
          <w:iCs/>
          <w:sz w:val="24"/>
          <w:szCs w:val="24"/>
        </w:rPr>
        <w:t>'illat al-'illal</w:t>
      </w:r>
      <w:r w:rsidRPr="003B60F7">
        <w:rPr>
          <w:sz w:val="24"/>
          <w:szCs w:val="24"/>
        </w:rPr>
        <w:t>), into interdependent hierarchical layers of efficient causes.</w:t>
      </w:r>
      <w:r w:rsidRPr="003B60F7">
        <w:rPr>
          <w:rStyle w:val="FootnoteReference"/>
          <w:sz w:val="24"/>
          <w:szCs w:val="24"/>
          <w:lang w:bidi="ar-AE"/>
        </w:rPr>
        <w:footnoteReference w:id="134"/>
      </w:r>
      <w:r w:rsidRPr="003B60F7">
        <w:rPr>
          <w:sz w:val="24"/>
          <w:szCs w:val="24"/>
        </w:rPr>
        <w:t xml:space="preserve"> Campion noticed that ibn Sīnā's model was obviously a synthesis of Neoplatonic emanationism and the Aristotelian notion of secondary causes descending from the Primary Cause or God.</w:t>
      </w:r>
      <w:r w:rsidRPr="003B60F7">
        <w:rPr>
          <w:rStyle w:val="FootnoteReference"/>
          <w:sz w:val="24"/>
          <w:szCs w:val="24"/>
        </w:rPr>
        <w:footnoteReference w:id="135"/>
      </w:r>
      <w:r w:rsidRPr="003B60F7">
        <w:rPr>
          <w:sz w:val="24"/>
          <w:szCs w:val="24"/>
        </w:rPr>
        <w:t xml:space="preserve"> Campion further suggested that by adopting such a model, ibn Sīnā was able to assign planets the role of secondary agents which were subjugated to, and dependent upon, the supreme will of Allah.</w:t>
      </w:r>
      <w:r w:rsidRPr="003B60F7">
        <w:rPr>
          <w:rStyle w:val="FootnoteReference"/>
          <w:sz w:val="24"/>
          <w:szCs w:val="24"/>
        </w:rPr>
        <w:footnoteReference w:id="136"/>
      </w:r>
      <w:r w:rsidRPr="003B60F7">
        <w:rPr>
          <w:sz w:val="24"/>
          <w:szCs w:val="24"/>
        </w:rPr>
        <w:t xml:space="preserve"> By doing so, Campion opined, ibn Sīnā was able to </w:t>
      </w:r>
      <w:r w:rsidR="00DE48DF" w:rsidRPr="003B60F7">
        <w:rPr>
          <w:sz w:val="24"/>
          <w:szCs w:val="24"/>
        </w:rPr>
        <w:t>contain a pagan-inspired cosmological model in a hierarchical structure that did not challenge that Islamic worldview that asserts 'God's absolute sway over the entire cosmos.'</w:t>
      </w:r>
      <w:r w:rsidRPr="003B60F7">
        <w:rPr>
          <w:rStyle w:val="FootnoteReference"/>
          <w:sz w:val="24"/>
          <w:szCs w:val="24"/>
        </w:rPr>
        <w:footnoteReference w:id="137"/>
      </w:r>
      <w:r w:rsidR="00DE48DF" w:rsidRPr="003B60F7">
        <w:rPr>
          <w:sz w:val="24"/>
          <w:szCs w:val="24"/>
        </w:rPr>
        <w:t xml:space="preserve"> Nevertheless</w:t>
      </w:r>
      <w:r w:rsidRPr="003B60F7">
        <w:rPr>
          <w:sz w:val="24"/>
          <w:szCs w:val="24"/>
        </w:rPr>
        <w:t xml:space="preserve">, ibn Sīnā's model was vehemently contested and opposed by Muslim theologians. Contradicting the essential principle of absolute monotheism, or </w:t>
      </w:r>
      <w:r w:rsidRPr="003B60F7">
        <w:rPr>
          <w:i/>
          <w:iCs/>
          <w:sz w:val="24"/>
          <w:szCs w:val="24"/>
        </w:rPr>
        <w:t xml:space="preserve">tawhīd, </w:t>
      </w:r>
      <w:r w:rsidRPr="003B60F7">
        <w:rPr>
          <w:sz w:val="24"/>
          <w:szCs w:val="24"/>
        </w:rPr>
        <w:t xml:space="preserve">ibn Sīnā's cosmos implied multiplicity and divisibility of the Unicity of God, in addition to challenging the orthodox dogmas of </w:t>
      </w:r>
      <w:r w:rsidRPr="003B60F7">
        <w:rPr>
          <w:i/>
          <w:iCs/>
          <w:sz w:val="24"/>
          <w:szCs w:val="24"/>
        </w:rPr>
        <w:t xml:space="preserve">creatio ex nihilo </w:t>
      </w:r>
      <w:r w:rsidRPr="003B60F7">
        <w:rPr>
          <w:sz w:val="24"/>
          <w:szCs w:val="24"/>
        </w:rPr>
        <w:t>and bodily resurrection.</w:t>
      </w:r>
      <w:r w:rsidRPr="003B60F7">
        <w:rPr>
          <w:rStyle w:val="FootnoteReference"/>
          <w:sz w:val="24"/>
          <w:szCs w:val="24"/>
        </w:rPr>
        <w:footnoteReference w:id="138"/>
      </w:r>
      <w:r w:rsidRPr="003B60F7">
        <w:rPr>
          <w:sz w:val="24"/>
          <w:szCs w:val="24"/>
        </w:rPr>
        <w:t xml:space="preserve"> Consequently, philosophical works like those by ibn Sīnā underwent theological scrutiny to assess the presence of what was perceived as the heretical ideologies of the ancients. The most vehement polemics against Greco-Islamic philosophies came from the noted philosopher and theologian al-Ghazālī </w:t>
      </w:r>
      <w:r w:rsidRPr="003B60F7">
        <w:rPr>
          <w:sz w:val="24"/>
          <w:szCs w:val="24"/>
          <w:lang w:bidi="ar-AE"/>
        </w:rPr>
        <w:t xml:space="preserve">(1058-1111 </w:t>
      </w:r>
      <w:r w:rsidRPr="00033700">
        <w:rPr>
          <w:lang w:bidi="ar-AE"/>
        </w:rPr>
        <w:t>CE</w:t>
      </w:r>
      <w:r w:rsidRPr="003B60F7">
        <w:rPr>
          <w:sz w:val="24"/>
          <w:szCs w:val="24"/>
          <w:lang w:bidi="ar-AE"/>
        </w:rPr>
        <w:t>), who diligently worked towards eradicating Greek thought from Islamic philosophy.</w:t>
      </w:r>
      <w:r w:rsidRPr="003B60F7">
        <w:rPr>
          <w:rStyle w:val="FootnoteReference"/>
          <w:sz w:val="24"/>
          <w:szCs w:val="24"/>
          <w:lang w:bidi="ar-AE"/>
        </w:rPr>
        <w:footnoteReference w:id="139"/>
      </w:r>
      <w:r w:rsidRPr="003B60F7">
        <w:rPr>
          <w:sz w:val="24"/>
          <w:szCs w:val="24"/>
          <w:lang w:bidi="ar-AE"/>
        </w:rPr>
        <w:t xml:space="preserve"> Dismissing the concept of secondary causes and asserting God's absolute omnipotence, al-Ghazālī wrote:</w:t>
      </w:r>
    </w:p>
    <w:p w:rsidR="00F411E0" w:rsidRDefault="00F411E0" w:rsidP="00F411E0">
      <w:pPr>
        <w:jc w:val="lowKashida"/>
        <w:rPr>
          <w:lang w:bidi="ar-AE"/>
        </w:rPr>
      </w:pPr>
    </w:p>
    <w:p w:rsidR="00F411E0" w:rsidRPr="003B60F7" w:rsidRDefault="00F411E0" w:rsidP="003B60F7">
      <w:pPr>
        <w:spacing w:line="240" w:lineRule="auto"/>
        <w:ind w:left="720"/>
        <w:jc w:val="both"/>
        <w:rPr>
          <w:sz w:val="24"/>
          <w:szCs w:val="24"/>
          <w:lang w:bidi="ar-AE"/>
        </w:rPr>
      </w:pPr>
      <w:r w:rsidRPr="003B60F7">
        <w:rPr>
          <w:sz w:val="24"/>
          <w:szCs w:val="24"/>
          <w:lang w:bidi="ar-AE"/>
        </w:rPr>
        <w:t>In our view, the connection between what is usually believed to be a cause and what is believed to be an effect is not necessary so</w:t>
      </w:r>
      <w:r w:rsidR="009A7C27">
        <w:rPr>
          <w:sz w:val="24"/>
          <w:szCs w:val="24"/>
          <w:lang w:bidi="ar-AE"/>
        </w:rPr>
        <w:t xml:space="preserve"> [</w:t>
      </w:r>
      <w:r w:rsidRPr="003B60F7">
        <w:rPr>
          <w:sz w:val="24"/>
          <w:szCs w:val="24"/>
          <w:lang w:bidi="ar-AE"/>
        </w:rPr>
        <w:t>…</w:t>
      </w:r>
      <w:r w:rsidR="009A7C27">
        <w:rPr>
          <w:sz w:val="24"/>
          <w:szCs w:val="24"/>
          <w:lang w:bidi="ar-AE"/>
        </w:rPr>
        <w:t>]</w:t>
      </w:r>
      <w:r w:rsidRPr="003B60F7">
        <w:rPr>
          <w:sz w:val="24"/>
          <w:szCs w:val="24"/>
          <w:lang w:bidi="ar-AE"/>
        </w:rPr>
        <w:t xml:space="preserve"> For instance, quenching of thirst does not imply drinking, nor satiety eating, nor burning contact with fire</w:t>
      </w:r>
      <w:r w:rsidR="009A7C27">
        <w:rPr>
          <w:sz w:val="24"/>
          <w:szCs w:val="24"/>
          <w:lang w:bidi="ar-AE"/>
        </w:rPr>
        <w:t xml:space="preserve"> [</w:t>
      </w:r>
      <w:r w:rsidRPr="003B60F7">
        <w:rPr>
          <w:sz w:val="24"/>
          <w:szCs w:val="24"/>
          <w:lang w:bidi="ar-AE"/>
        </w:rPr>
        <w:t>…</w:t>
      </w:r>
      <w:r w:rsidR="009A7C27">
        <w:rPr>
          <w:sz w:val="24"/>
          <w:szCs w:val="24"/>
          <w:lang w:bidi="ar-AE"/>
        </w:rPr>
        <w:t>]</w:t>
      </w:r>
      <w:r w:rsidRPr="003B60F7">
        <w:rPr>
          <w:sz w:val="24"/>
          <w:szCs w:val="24"/>
          <w:lang w:bidi="ar-AE"/>
        </w:rPr>
        <w:t xml:space="preserve"> The connection is based on a prior ordainment by God the Glorious.</w:t>
      </w:r>
      <w:r w:rsidRPr="003B60F7">
        <w:rPr>
          <w:rStyle w:val="FootnoteReference"/>
          <w:sz w:val="24"/>
          <w:szCs w:val="24"/>
          <w:lang w:bidi="ar-AE"/>
        </w:rPr>
        <w:footnoteReference w:id="140"/>
      </w:r>
      <w:r w:rsidRPr="003B60F7">
        <w:rPr>
          <w:sz w:val="24"/>
          <w:szCs w:val="24"/>
          <w:lang w:bidi="ar-AE"/>
        </w:rPr>
        <w:t xml:space="preserve"> </w:t>
      </w:r>
    </w:p>
    <w:p w:rsidR="00F411E0" w:rsidRPr="003B60F7" w:rsidRDefault="00F411E0" w:rsidP="00F411E0">
      <w:pPr>
        <w:jc w:val="lowKashida"/>
        <w:rPr>
          <w:sz w:val="24"/>
          <w:szCs w:val="24"/>
          <w:lang w:bidi="ar-AE"/>
        </w:rPr>
      </w:pPr>
    </w:p>
    <w:p w:rsidR="00F411E0" w:rsidRPr="003B60F7" w:rsidRDefault="00F411E0" w:rsidP="00F411E0">
      <w:pPr>
        <w:jc w:val="lowKashida"/>
        <w:rPr>
          <w:sz w:val="24"/>
          <w:szCs w:val="24"/>
          <w:lang w:bidi="ar-AE"/>
        </w:rPr>
      </w:pPr>
      <w:r w:rsidRPr="003B60F7">
        <w:rPr>
          <w:sz w:val="24"/>
          <w:szCs w:val="24"/>
          <w:lang w:bidi="ar-AE"/>
        </w:rPr>
        <w:t xml:space="preserve">It becomes crucial therefore, al-Ghazālī asserted, to understand that the whole of nature is in subjection to the command of God, the only and direct Cause of all effects, and to assume otherwise, he added, is an aversion from true monotheism and leading to </w:t>
      </w:r>
      <w:r w:rsidRPr="003B60F7">
        <w:rPr>
          <w:i/>
          <w:iCs/>
          <w:sz w:val="24"/>
          <w:szCs w:val="24"/>
          <w:lang w:bidi="ar-AE"/>
        </w:rPr>
        <w:t>shirk</w:t>
      </w:r>
      <w:r w:rsidRPr="003B60F7">
        <w:rPr>
          <w:sz w:val="24"/>
          <w:szCs w:val="24"/>
          <w:lang w:bidi="ar-AE"/>
        </w:rPr>
        <w:t>; the unforgivable sin of associating partners with Allah</w:t>
      </w:r>
      <w:r w:rsidR="00522C3E" w:rsidRPr="003B60F7">
        <w:rPr>
          <w:sz w:val="24"/>
          <w:szCs w:val="24"/>
          <w:lang w:bidi="ar-AE"/>
        </w:rPr>
        <w:t>,</w:t>
      </w:r>
      <w:r w:rsidRPr="003B60F7">
        <w:rPr>
          <w:sz w:val="24"/>
          <w:szCs w:val="24"/>
          <w:lang w:bidi="ar-AE"/>
        </w:rPr>
        <w:t xml:space="preserve"> as defined by ibn Manẓūr.</w:t>
      </w:r>
      <w:r w:rsidRPr="003B60F7">
        <w:rPr>
          <w:rStyle w:val="FootnoteReference"/>
          <w:sz w:val="24"/>
          <w:szCs w:val="24"/>
          <w:lang w:bidi="ar-AE"/>
        </w:rPr>
        <w:footnoteReference w:id="141"/>
      </w:r>
      <w:r w:rsidRPr="003B60F7">
        <w:rPr>
          <w:sz w:val="24"/>
          <w:szCs w:val="24"/>
          <w:lang w:bidi="ar-AE"/>
        </w:rPr>
        <w:t xml:space="preserve"> According to al-Ghazālī, philosophers who were particularly influenced by Aristotle like ibn Sīnā had erred in many of their speculations, yet by affirming the eternity of the world and denying bodily resurrection, he argued, they have committed a serious theological transgression and should thus be regarded as infidels (</w:t>
      </w:r>
      <w:r w:rsidRPr="003B60F7">
        <w:rPr>
          <w:i/>
          <w:iCs/>
          <w:sz w:val="24"/>
          <w:szCs w:val="24"/>
          <w:lang w:bidi="ar-AE"/>
        </w:rPr>
        <w:t>kāfir</w:t>
      </w:r>
      <w:r w:rsidRPr="003B60F7">
        <w:rPr>
          <w:sz w:val="24"/>
          <w:szCs w:val="24"/>
          <w:lang w:bidi="ar-AE"/>
        </w:rPr>
        <w:t>).</w:t>
      </w:r>
      <w:r w:rsidRPr="003B60F7">
        <w:rPr>
          <w:rStyle w:val="FootnoteReference"/>
          <w:sz w:val="24"/>
          <w:szCs w:val="24"/>
          <w:lang w:bidi="ar-AE"/>
        </w:rPr>
        <w:footnoteReference w:id="142"/>
      </w:r>
      <w:r w:rsidRPr="003B60F7">
        <w:rPr>
          <w:sz w:val="24"/>
          <w:szCs w:val="24"/>
          <w:lang w:bidi="ar-AE"/>
        </w:rPr>
        <w:t xml:space="preserve"> The dissemination of the famous Ghazālian polemics hence marked the decline of the once widespread syncretic Greco-Islamic cosmology.</w:t>
      </w:r>
      <w:r w:rsidRPr="003B60F7">
        <w:rPr>
          <w:rStyle w:val="FootnoteReference"/>
          <w:sz w:val="24"/>
          <w:szCs w:val="24"/>
          <w:lang w:bidi="ar-AE"/>
        </w:rPr>
        <w:footnoteReference w:id="143"/>
      </w:r>
    </w:p>
    <w:p w:rsidR="00F411E0" w:rsidRDefault="00F411E0" w:rsidP="00F411E0">
      <w:pPr>
        <w:spacing w:line="240" w:lineRule="auto"/>
        <w:rPr>
          <w:rFonts w:ascii="Times New Roman" w:hAnsi="Times New Roman" w:cs="Times New Roman"/>
          <w:sz w:val="24"/>
          <w:szCs w:val="24"/>
        </w:rPr>
      </w:pPr>
    </w:p>
    <w:p w:rsidR="00804318" w:rsidRDefault="00804318" w:rsidP="00F411E0">
      <w:pPr>
        <w:spacing w:line="240" w:lineRule="auto"/>
        <w:rPr>
          <w:rFonts w:ascii="Times New Roman" w:hAnsi="Times New Roman" w:cs="Times New Roman"/>
          <w:sz w:val="24"/>
          <w:szCs w:val="24"/>
        </w:rPr>
        <w:sectPr w:rsidR="00804318" w:rsidSect="00103350">
          <w:headerReference w:type="default" r:id="rId33"/>
          <w:footerReference w:type="default" r:id="rId34"/>
          <w:pgSz w:w="11907" w:h="16839" w:code="9"/>
          <w:pgMar w:top="1440" w:right="1247" w:bottom="1440" w:left="2268" w:header="720" w:footer="720" w:gutter="0"/>
          <w:cols w:space="720"/>
          <w:titlePg/>
          <w:docGrid w:linePitch="360"/>
        </w:sectPr>
      </w:pPr>
    </w:p>
    <w:p w:rsidR="00804318" w:rsidRDefault="00804318" w:rsidP="00804318">
      <w:pPr>
        <w:pStyle w:val="Heading1"/>
      </w:pPr>
      <w:bookmarkStart w:id="28" w:name="_Toc477317389"/>
      <w:r w:rsidRPr="00992471">
        <w:lastRenderedPageBreak/>
        <w:t>Chapter I</w:t>
      </w:r>
      <w:r>
        <w:t>II: Classical Interpretations of the Cosmic Portents of the Last Day (800-1</w:t>
      </w:r>
      <w:r>
        <w:rPr>
          <w:rFonts w:hint="cs"/>
          <w:rtl/>
        </w:rPr>
        <w:t>6</w:t>
      </w:r>
      <w:r>
        <w:t xml:space="preserve">00 </w:t>
      </w:r>
      <w:r w:rsidRPr="00AB671A">
        <w:rPr>
          <w:sz w:val="24"/>
          <w:szCs w:val="24"/>
        </w:rPr>
        <w:t>CE</w:t>
      </w:r>
      <w:r>
        <w:t>)</w:t>
      </w:r>
      <w:bookmarkEnd w:id="28"/>
      <w:r w:rsidRPr="00992471">
        <w:t xml:space="preserve"> </w:t>
      </w:r>
    </w:p>
    <w:p w:rsidR="00804318" w:rsidRPr="00804DBB" w:rsidRDefault="00804318" w:rsidP="00804318">
      <w:pPr>
        <w:pStyle w:val="Heading2"/>
      </w:pPr>
      <w:bookmarkStart w:id="29" w:name="_Toc477317390"/>
      <w:r>
        <w:t>3.1 Cosmic Chaos in the Qur'</w:t>
      </w:r>
      <w:r>
        <w:rPr>
          <w:rFonts w:ascii="Calibri" w:hAnsi="Calibri"/>
        </w:rPr>
        <w:t>ā</w:t>
      </w:r>
      <w:r>
        <w:t>n</w:t>
      </w:r>
      <w:bookmarkEnd w:id="29"/>
      <w:r>
        <w:t xml:space="preserve"> </w:t>
      </w:r>
    </w:p>
    <w:p w:rsidR="00804318" w:rsidRDefault="00804318" w:rsidP="00420E77">
      <w:pPr>
        <w:pStyle w:val="Heading3"/>
        <w:rPr>
          <w:lang w:bidi="ar-AE"/>
        </w:rPr>
      </w:pPr>
      <w:bookmarkStart w:id="30" w:name="_Toc477317391"/>
      <w:r>
        <w:t>3.1.1</w:t>
      </w:r>
      <w:r>
        <w:tab/>
        <w:t>Revelation, Exegeses and Tribulations</w:t>
      </w:r>
      <w:bookmarkEnd w:id="30"/>
      <w:r>
        <w:t xml:space="preserve"> </w:t>
      </w:r>
    </w:p>
    <w:p w:rsidR="00FB0E19" w:rsidRPr="00420E77" w:rsidRDefault="00804318" w:rsidP="00F229AF">
      <w:pPr>
        <w:jc w:val="both"/>
        <w:rPr>
          <w:sz w:val="24"/>
          <w:szCs w:val="24"/>
        </w:rPr>
      </w:pPr>
      <w:r w:rsidRPr="00420E77">
        <w:rPr>
          <w:sz w:val="24"/>
          <w:szCs w:val="24"/>
        </w:rPr>
        <w:t xml:space="preserve">Before examining how the cosmic portents of the Last Day were understood by the different schools of Qur'ānic exegeses, it is necessary to first shed light on the Islamic view of the Qur'ān as a revealed scripture, and the various modes of interpreting it. </w:t>
      </w:r>
      <w:r w:rsidR="00FB0E19" w:rsidRPr="00420E77">
        <w:rPr>
          <w:sz w:val="24"/>
          <w:szCs w:val="24"/>
        </w:rPr>
        <w:t xml:space="preserve">The Qur'ān may be broadly defined, as Abdulla Saeed proposed, </w:t>
      </w:r>
      <w:r w:rsidR="00371F2A" w:rsidRPr="00420E77">
        <w:rPr>
          <w:sz w:val="24"/>
          <w:szCs w:val="24"/>
        </w:rPr>
        <w:t xml:space="preserve">as </w:t>
      </w:r>
      <w:r w:rsidRPr="00420E77">
        <w:rPr>
          <w:sz w:val="24"/>
          <w:szCs w:val="24"/>
        </w:rPr>
        <w:t xml:space="preserve">the revelation of God's word to his prophet Muḥammad through the angelic intermediary </w:t>
      </w:r>
      <w:proofErr w:type="gramStart"/>
      <w:r w:rsidRPr="00420E77">
        <w:rPr>
          <w:sz w:val="24"/>
          <w:szCs w:val="24"/>
        </w:rPr>
        <w:t>Jibrā'īl</w:t>
      </w:r>
      <w:proofErr w:type="gramEnd"/>
      <w:r w:rsidRPr="00420E77">
        <w:rPr>
          <w:sz w:val="24"/>
          <w:szCs w:val="24"/>
        </w:rPr>
        <w:t xml:space="preserve"> (Gabriel) in the Arabic language.</w:t>
      </w:r>
      <w:r w:rsidRPr="00420E77">
        <w:rPr>
          <w:rStyle w:val="FootnoteReference"/>
          <w:sz w:val="24"/>
          <w:szCs w:val="24"/>
        </w:rPr>
        <w:footnoteReference w:id="144"/>
      </w:r>
      <w:r w:rsidR="00FB0E19" w:rsidRPr="00420E77">
        <w:rPr>
          <w:sz w:val="24"/>
          <w:szCs w:val="24"/>
        </w:rPr>
        <w:t xml:space="preserve"> </w:t>
      </w:r>
      <w:r w:rsidR="00F229AF" w:rsidRPr="00420E77">
        <w:rPr>
          <w:sz w:val="24"/>
          <w:szCs w:val="24"/>
        </w:rPr>
        <w:t xml:space="preserve">The sacredness of the Qur'ān as Divine speech is particularly stressed in the definition provided by the medieval exegete al-Qurṭubī (c.1214-1273 </w:t>
      </w:r>
      <w:r w:rsidR="00F229AF" w:rsidRPr="00033700">
        <w:t>CE</w:t>
      </w:r>
      <w:r w:rsidR="00F229AF" w:rsidRPr="00420E77">
        <w:rPr>
          <w:sz w:val="24"/>
          <w:szCs w:val="24"/>
        </w:rPr>
        <w:t>), for it is:</w:t>
      </w:r>
      <w:r w:rsidR="00FB0E19" w:rsidRPr="00420E77">
        <w:rPr>
          <w:sz w:val="24"/>
          <w:szCs w:val="24"/>
        </w:rPr>
        <w:t xml:space="preserve"> </w:t>
      </w:r>
    </w:p>
    <w:p w:rsidR="008D5961" w:rsidRPr="00420E77" w:rsidRDefault="008D5961" w:rsidP="00DC723C">
      <w:pPr>
        <w:jc w:val="both"/>
        <w:rPr>
          <w:sz w:val="24"/>
          <w:szCs w:val="24"/>
        </w:rPr>
      </w:pPr>
    </w:p>
    <w:p w:rsidR="008D3AF3" w:rsidRPr="00420E77" w:rsidRDefault="00F229AF" w:rsidP="00420E77">
      <w:pPr>
        <w:spacing w:line="240" w:lineRule="auto"/>
        <w:ind w:left="720"/>
        <w:jc w:val="both"/>
        <w:rPr>
          <w:sz w:val="24"/>
          <w:szCs w:val="24"/>
          <w:rtl/>
          <w:lang w:bidi="ar-AE"/>
        </w:rPr>
      </w:pPr>
      <w:r w:rsidRPr="00420E77">
        <w:rPr>
          <w:sz w:val="24"/>
          <w:szCs w:val="24"/>
        </w:rPr>
        <w:t>T</w:t>
      </w:r>
      <w:r w:rsidR="008D3AF3" w:rsidRPr="00420E77">
        <w:rPr>
          <w:sz w:val="24"/>
          <w:szCs w:val="24"/>
        </w:rPr>
        <w:t xml:space="preserve">he </w:t>
      </w:r>
      <w:r w:rsidR="008D3AF3" w:rsidRPr="00420E77">
        <w:rPr>
          <w:sz w:val="24"/>
          <w:szCs w:val="24"/>
          <w:lang w:bidi="ar-AE"/>
        </w:rPr>
        <w:t>words of the Lord of all creations, uncreated, it is the speech of Him [God] who there is nothing like, and a</w:t>
      </w:r>
      <w:r w:rsidR="00FB6A18">
        <w:rPr>
          <w:sz w:val="24"/>
          <w:szCs w:val="24"/>
          <w:lang w:bidi="ar-AE"/>
        </w:rPr>
        <w:t xml:space="preserve">n attribute </w:t>
      </w:r>
      <w:proofErr w:type="gramStart"/>
      <w:r w:rsidR="00FB6A18">
        <w:rPr>
          <w:sz w:val="24"/>
          <w:szCs w:val="24"/>
          <w:lang w:bidi="ar-AE"/>
        </w:rPr>
        <w:t xml:space="preserve">of </w:t>
      </w:r>
      <w:r w:rsidR="008D3AF3" w:rsidRPr="00420E77">
        <w:rPr>
          <w:sz w:val="24"/>
          <w:szCs w:val="24"/>
          <w:lang w:bidi="ar-AE"/>
        </w:rPr>
        <w:t>Him</w:t>
      </w:r>
      <w:proofErr w:type="gramEnd"/>
      <w:r w:rsidR="008D3AF3" w:rsidRPr="00420E77">
        <w:rPr>
          <w:sz w:val="24"/>
          <w:szCs w:val="24"/>
          <w:lang w:bidi="ar-AE"/>
        </w:rPr>
        <w:t xml:space="preserve"> [God] who has no counterpart nor equal, for it emanates from His [God's] light, Glorified and Sublime be He.</w:t>
      </w:r>
      <w:r w:rsidR="008D3AF3" w:rsidRPr="00420E77">
        <w:rPr>
          <w:rStyle w:val="FootnoteReference"/>
          <w:sz w:val="24"/>
          <w:szCs w:val="24"/>
          <w:lang w:bidi="ar-AE"/>
        </w:rPr>
        <w:footnoteReference w:id="145"/>
      </w:r>
    </w:p>
    <w:p w:rsidR="008D5961" w:rsidRPr="00420E77" w:rsidRDefault="008D5961" w:rsidP="00DC723C">
      <w:pPr>
        <w:jc w:val="both"/>
        <w:rPr>
          <w:rFonts w:hint="cs"/>
          <w:sz w:val="24"/>
          <w:szCs w:val="24"/>
          <w:rtl/>
          <w:lang w:bidi="ar-AE"/>
        </w:rPr>
      </w:pPr>
    </w:p>
    <w:p w:rsidR="00804318" w:rsidRPr="00420E77" w:rsidRDefault="00804318" w:rsidP="00DC723C">
      <w:pPr>
        <w:jc w:val="both"/>
        <w:rPr>
          <w:sz w:val="24"/>
          <w:szCs w:val="24"/>
        </w:rPr>
      </w:pPr>
      <w:r w:rsidRPr="00420E77">
        <w:rPr>
          <w:sz w:val="24"/>
          <w:szCs w:val="24"/>
        </w:rPr>
        <w:t>Since the first recipients of the Qur'ān were familiar with the subtleties of the Makkan dialect and the broader context of the revealed verses, an in-depth interpretation of the Qur'ān was not required.</w:t>
      </w:r>
      <w:r w:rsidRPr="00420E77">
        <w:rPr>
          <w:rStyle w:val="FootnoteReference"/>
          <w:sz w:val="24"/>
          <w:szCs w:val="24"/>
        </w:rPr>
        <w:footnoteReference w:id="146"/>
      </w:r>
      <w:r w:rsidRPr="00420E77">
        <w:rPr>
          <w:sz w:val="24"/>
          <w:szCs w:val="24"/>
        </w:rPr>
        <w:t xml:space="preserve"> With the expansion of Islam, however, thorough multi-voluminous exegetical works became a theological necessity in order to facilitate a better understanding of the scripture in the new culturally diversified community.</w:t>
      </w:r>
      <w:r w:rsidRPr="00420E77">
        <w:rPr>
          <w:rStyle w:val="FootnoteReference"/>
          <w:sz w:val="24"/>
          <w:szCs w:val="24"/>
        </w:rPr>
        <w:footnoteReference w:id="147"/>
      </w:r>
      <w:r w:rsidRPr="00420E77">
        <w:rPr>
          <w:sz w:val="24"/>
          <w:szCs w:val="24"/>
        </w:rPr>
        <w:t xml:space="preserve"> Eventually, </w:t>
      </w:r>
      <w:r w:rsidRPr="00420E77">
        <w:rPr>
          <w:sz w:val="24"/>
          <w:szCs w:val="24"/>
          <w:lang w:bidi="ar-AE"/>
        </w:rPr>
        <w:t xml:space="preserve">two schools of Qur'ānic exegesis evolved, </w:t>
      </w:r>
      <w:r w:rsidRPr="00420E77">
        <w:rPr>
          <w:i/>
          <w:iCs/>
          <w:sz w:val="24"/>
          <w:szCs w:val="24"/>
          <w:lang w:bidi="ar-AE"/>
        </w:rPr>
        <w:t>tafsīr bil-ma'thūr</w:t>
      </w:r>
      <w:r w:rsidRPr="00420E77">
        <w:rPr>
          <w:sz w:val="24"/>
          <w:szCs w:val="24"/>
          <w:lang w:bidi="ar-AE"/>
        </w:rPr>
        <w:t xml:space="preserve"> or tradition-based exegesis, and </w:t>
      </w:r>
      <w:r w:rsidRPr="00420E77">
        <w:rPr>
          <w:i/>
          <w:iCs/>
          <w:sz w:val="24"/>
          <w:szCs w:val="24"/>
          <w:lang w:bidi="ar-AE"/>
        </w:rPr>
        <w:t>tafsīr bil-ra'y</w:t>
      </w:r>
      <w:r w:rsidRPr="00420E77">
        <w:rPr>
          <w:sz w:val="24"/>
          <w:szCs w:val="24"/>
          <w:lang w:bidi="ar-AE"/>
        </w:rPr>
        <w:t xml:space="preserve"> or reason-based exegesis.</w:t>
      </w:r>
      <w:r w:rsidRPr="00420E77">
        <w:rPr>
          <w:rStyle w:val="FootnoteReference"/>
          <w:sz w:val="24"/>
          <w:szCs w:val="24"/>
          <w:lang w:bidi="ar-AE"/>
        </w:rPr>
        <w:footnoteReference w:id="148"/>
      </w:r>
      <w:r w:rsidRPr="00420E77">
        <w:rPr>
          <w:sz w:val="24"/>
          <w:szCs w:val="24"/>
          <w:lang w:bidi="ar-AE"/>
        </w:rPr>
        <w:t xml:space="preserve"> Tradition-based exegesis as a methodology attempts to reflect the original sources of Islam through the literal interpretation of the Qur'ān by other verses of the Qur'ān, </w:t>
      </w:r>
      <w:r w:rsidRPr="00420E77">
        <w:rPr>
          <w:sz w:val="24"/>
          <w:szCs w:val="24"/>
          <w:lang w:bidi="ar-AE"/>
        </w:rPr>
        <w:lastRenderedPageBreak/>
        <w:t xml:space="preserve">Prophetic </w:t>
      </w:r>
      <w:r w:rsidRPr="00420E77">
        <w:rPr>
          <w:i/>
          <w:iCs/>
          <w:sz w:val="24"/>
          <w:szCs w:val="24"/>
          <w:lang w:bidi="ar-AE"/>
        </w:rPr>
        <w:t>ḥadīth</w:t>
      </w:r>
      <w:r w:rsidRPr="00420E77">
        <w:rPr>
          <w:sz w:val="24"/>
          <w:szCs w:val="24"/>
          <w:lang w:bidi="ar-AE"/>
        </w:rPr>
        <w:t xml:space="preserve"> and the reported opinions of the early Muslims.</w:t>
      </w:r>
      <w:r w:rsidRPr="00420E77">
        <w:rPr>
          <w:rStyle w:val="FootnoteReference"/>
          <w:sz w:val="24"/>
          <w:szCs w:val="24"/>
          <w:lang w:bidi="ar-AE"/>
        </w:rPr>
        <w:footnoteReference w:id="149"/>
      </w:r>
      <w:r w:rsidRPr="00420E77">
        <w:rPr>
          <w:sz w:val="24"/>
          <w:szCs w:val="24"/>
          <w:lang w:bidi="ar-AE"/>
        </w:rPr>
        <w:t xml:space="preserve"> Conversely, reason-based exegesis allows for a greater scope of independent reasoning and allegorical interpretation.</w:t>
      </w:r>
      <w:r w:rsidRPr="00420E77">
        <w:rPr>
          <w:rStyle w:val="FootnoteReference"/>
          <w:sz w:val="24"/>
          <w:szCs w:val="24"/>
          <w:lang w:bidi="ar-AE"/>
        </w:rPr>
        <w:footnoteReference w:id="150"/>
      </w:r>
    </w:p>
    <w:p w:rsidR="00804318" w:rsidRPr="00420E77" w:rsidRDefault="00804318" w:rsidP="00804318">
      <w:pPr>
        <w:jc w:val="both"/>
        <w:rPr>
          <w:sz w:val="24"/>
          <w:szCs w:val="24"/>
        </w:rPr>
      </w:pPr>
    </w:p>
    <w:p w:rsidR="00804318" w:rsidRPr="00420E77" w:rsidRDefault="00804318" w:rsidP="00A10523">
      <w:pPr>
        <w:jc w:val="lowKashida"/>
        <w:rPr>
          <w:sz w:val="24"/>
          <w:szCs w:val="24"/>
          <w:lang w:bidi="ar-AE"/>
        </w:rPr>
      </w:pPr>
      <w:r w:rsidRPr="00420E77">
        <w:rPr>
          <w:sz w:val="24"/>
          <w:szCs w:val="24"/>
        </w:rPr>
        <w:t xml:space="preserve">The section that follows investigates the classical interpretation of the cosmic portents of the Last day in the works of three noted Sunni Qur'ān commentators belonging to the aforementioned exegetical schools; Fakhr al-Dīn al-Rāzī (1149-1209 </w:t>
      </w:r>
      <w:r w:rsidRPr="008E7390">
        <w:t>CE</w:t>
      </w:r>
      <w:r w:rsidRPr="00420E77">
        <w:rPr>
          <w:sz w:val="24"/>
          <w:szCs w:val="24"/>
        </w:rPr>
        <w:t>), al-Qurṭubī and ibn Kathīr. A polymath with a particular interest in logic and philosophy, al-Razī's reason-based exegesis was primarily written to refute the once prevalent Greco-Islamic philosophies.</w:t>
      </w:r>
      <w:r w:rsidRPr="00420E77">
        <w:rPr>
          <w:rStyle w:val="FootnoteReference"/>
          <w:sz w:val="24"/>
          <w:szCs w:val="24"/>
        </w:rPr>
        <w:footnoteReference w:id="151"/>
      </w:r>
      <w:r w:rsidRPr="00420E77">
        <w:rPr>
          <w:sz w:val="24"/>
          <w:szCs w:val="24"/>
        </w:rPr>
        <w:t xml:space="preserve"> Ibn Kathīr's tradition-based exegesis conversely mirrors his inclination towards strict literalism that rejects any form of free interpretation and cautions against</w:t>
      </w:r>
      <w:r w:rsidRPr="00420E77">
        <w:rPr>
          <w:sz w:val="24"/>
          <w:szCs w:val="24"/>
          <w:lang w:bidi="ar-AE"/>
        </w:rPr>
        <w:t xml:space="preserve"> biblical narratives</w:t>
      </w:r>
      <w:r w:rsidRPr="00420E77">
        <w:rPr>
          <w:sz w:val="24"/>
          <w:szCs w:val="24"/>
        </w:rPr>
        <w:t>.</w:t>
      </w:r>
      <w:r w:rsidRPr="00420E77">
        <w:rPr>
          <w:rStyle w:val="FootnoteReference"/>
          <w:sz w:val="24"/>
          <w:szCs w:val="24"/>
        </w:rPr>
        <w:footnoteReference w:id="152"/>
      </w:r>
      <w:r w:rsidRPr="00420E77">
        <w:rPr>
          <w:sz w:val="24"/>
          <w:szCs w:val="24"/>
        </w:rPr>
        <w:t xml:space="preserve"> Although the exegetical work of al-Qurṭubī is clearly traditional, it is still reflective of his relatively balanced state as an Islamic jurist and scholar.</w:t>
      </w:r>
      <w:r w:rsidRPr="00420E77">
        <w:rPr>
          <w:rStyle w:val="FootnoteReference"/>
          <w:sz w:val="24"/>
          <w:szCs w:val="24"/>
        </w:rPr>
        <w:footnoteReference w:id="153"/>
      </w:r>
      <w:r w:rsidRPr="00420E77">
        <w:rPr>
          <w:sz w:val="24"/>
          <w:szCs w:val="24"/>
        </w:rPr>
        <w:t xml:space="preserve"> </w:t>
      </w:r>
      <w:r w:rsidRPr="00420E77">
        <w:rPr>
          <w:sz w:val="24"/>
          <w:szCs w:val="24"/>
          <w:lang w:bidi="ar-AE"/>
        </w:rPr>
        <w:t>Moreover, al-Qurṭubī and ibn Kathīr were chosen on account of their contribution to the corpus of Islamic eschatology.</w:t>
      </w:r>
      <w:r w:rsidRPr="00420E77">
        <w:rPr>
          <w:rStyle w:val="FootnoteReference"/>
          <w:sz w:val="24"/>
          <w:szCs w:val="24"/>
          <w:lang w:bidi="ar-AE"/>
        </w:rPr>
        <w:footnoteReference w:id="154"/>
      </w:r>
      <w:r w:rsidRPr="00420E77">
        <w:rPr>
          <w:sz w:val="24"/>
          <w:szCs w:val="24"/>
          <w:lang w:bidi="ar-AE"/>
        </w:rPr>
        <w:t xml:space="preserve"> Living in the turbulent thirteenth and fourteenth centuries, both exegetes were exposed dramatic events that disrupted, if not endangered, their lives. While al-Qurṭubī had to flee his native city, Cordoba, to Egypt after it had been captured by Ferdinand VII of Castille, ibn Kathīr was born in Bosrā, a town in southern Syria which was under constant threat of the much dreaded Mongol invasions.</w:t>
      </w:r>
      <w:r w:rsidRPr="00420E77">
        <w:rPr>
          <w:rStyle w:val="FootnoteReference"/>
          <w:sz w:val="24"/>
          <w:szCs w:val="24"/>
          <w:lang w:bidi="ar-AE"/>
        </w:rPr>
        <w:footnoteReference w:id="155"/>
      </w:r>
      <w:r w:rsidRPr="00420E77">
        <w:rPr>
          <w:sz w:val="24"/>
          <w:szCs w:val="24"/>
          <w:lang w:bidi="ar-AE"/>
        </w:rPr>
        <w:t xml:space="preserve"> Clearly moved by the aftermath of the Mongol capture and destruction of Baghdad in 1258 </w:t>
      </w:r>
      <w:r w:rsidRPr="00A10523">
        <w:rPr>
          <w:lang w:bidi="ar-AE"/>
        </w:rPr>
        <w:t>CE</w:t>
      </w:r>
      <w:r w:rsidRPr="00420E77">
        <w:rPr>
          <w:sz w:val="24"/>
          <w:szCs w:val="24"/>
          <w:lang w:bidi="ar-AE"/>
        </w:rPr>
        <w:t>, ibn Kathīr wrote:</w:t>
      </w:r>
    </w:p>
    <w:p w:rsidR="00804318" w:rsidRPr="00420E77" w:rsidRDefault="00804318" w:rsidP="00804318">
      <w:pPr>
        <w:jc w:val="lowKashida"/>
        <w:rPr>
          <w:sz w:val="24"/>
          <w:szCs w:val="24"/>
          <w:rtl/>
          <w:lang w:bidi="ar-AE"/>
        </w:rPr>
      </w:pPr>
    </w:p>
    <w:p w:rsidR="00804318" w:rsidRPr="00420E77" w:rsidRDefault="00804318" w:rsidP="00420E77">
      <w:pPr>
        <w:spacing w:line="240" w:lineRule="auto"/>
        <w:ind w:left="720"/>
        <w:jc w:val="lowKashida"/>
        <w:rPr>
          <w:sz w:val="24"/>
          <w:szCs w:val="24"/>
          <w:rtl/>
          <w:lang w:bidi="ar-AE"/>
        </w:rPr>
      </w:pPr>
      <w:r w:rsidRPr="00420E77">
        <w:rPr>
          <w:sz w:val="24"/>
          <w:szCs w:val="24"/>
          <w:lang w:bidi="ar-AE"/>
        </w:rPr>
        <w:lastRenderedPageBreak/>
        <w:t xml:space="preserve">And Baghdad fell into utter ruin, almost empty of people with the presence of any a rarity, and with the dead in piles on the roads, and rain had fallen on them, changing their appearances, and the country stank of their decayed corpses, and the air changed, and because of that a great epidemic ensued that spread and flew across the air to al-Shām [modern day Syria], so many people died due to the change of the atmosphere and the corruption of the air, and [consequently] people suffered from rise in prices, diseases, death, stabbings and epidemics, all accumulated at once. So, </w:t>
      </w:r>
      <w:r w:rsidRPr="00420E77">
        <w:rPr>
          <w:color w:val="000000"/>
          <w:sz w:val="24"/>
          <w:szCs w:val="24"/>
        </w:rPr>
        <w:t>to Allah we belong and to Him is our return.</w:t>
      </w:r>
      <w:r w:rsidRPr="00420E77">
        <w:rPr>
          <w:rStyle w:val="FootnoteReference"/>
          <w:color w:val="000000"/>
          <w:sz w:val="24"/>
          <w:szCs w:val="24"/>
        </w:rPr>
        <w:footnoteReference w:id="156"/>
      </w:r>
      <w:r w:rsidRPr="00420E77">
        <w:rPr>
          <w:sz w:val="24"/>
          <w:szCs w:val="24"/>
          <w:lang w:bidi="ar-AE"/>
        </w:rPr>
        <w:t xml:space="preserve">  </w:t>
      </w:r>
    </w:p>
    <w:p w:rsidR="00804318" w:rsidRPr="00420E77" w:rsidRDefault="00804318" w:rsidP="00804318">
      <w:pPr>
        <w:jc w:val="lowKashida"/>
        <w:rPr>
          <w:sz w:val="24"/>
          <w:szCs w:val="24"/>
          <w:rtl/>
          <w:lang w:bidi="ar-AE"/>
        </w:rPr>
      </w:pPr>
    </w:p>
    <w:p w:rsidR="00804318" w:rsidRPr="00420E77" w:rsidRDefault="00804318" w:rsidP="00804318">
      <w:pPr>
        <w:jc w:val="lowKashida"/>
        <w:rPr>
          <w:sz w:val="24"/>
          <w:szCs w:val="24"/>
          <w:rtl/>
          <w:lang w:bidi="ar-AE"/>
        </w:rPr>
      </w:pPr>
      <w:r w:rsidRPr="00420E77">
        <w:rPr>
          <w:sz w:val="24"/>
          <w:szCs w:val="24"/>
          <w:lang w:bidi="ar-AE"/>
        </w:rPr>
        <w:t>Cohn pointed out that millenarian excitement usually followed massive disasters like the one illustrated by ibn Kathīr.</w:t>
      </w:r>
      <w:r w:rsidRPr="00420E77">
        <w:rPr>
          <w:rStyle w:val="FootnoteReference"/>
          <w:sz w:val="24"/>
          <w:szCs w:val="24"/>
          <w:lang w:bidi="ar-AE"/>
        </w:rPr>
        <w:footnoteReference w:id="157"/>
      </w:r>
      <w:r w:rsidRPr="00420E77">
        <w:rPr>
          <w:sz w:val="24"/>
          <w:szCs w:val="24"/>
          <w:lang w:bidi="ar-AE"/>
        </w:rPr>
        <w:t xml:space="preserve"> And indeed, with such horrific tribulations lingering in their memories and triggering apocalyptic anticipation, al-Qurṭubī wrote his </w:t>
      </w:r>
      <w:r w:rsidRPr="00420E77">
        <w:rPr>
          <w:i/>
          <w:iCs/>
          <w:sz w:val="24"/>
          <w:szCs w:val="24"/>
          <w:lang w:bidi="ar-AE"/>
        </w:rPr>
        <w:t>The Reminder on the Affairs of the Dead and the Afterlife</w:t>
      </w:r>
      <w:r w:rsidRPr="00420E77">
        <w:rPr>
          <w:sz w:val="24"/>
          <w:szCs w:val="24"/>
          <w:lang w:bidi="ar-AE"/>
        </w:rPr>
        <w:t xml:space="preserve">, and ibn Kathīr authored </w:t>
      </w:r>
      <w:r w:rsidRPr="00420E77">
        <w:rPr>
          <w:i/>
          <w:iCs/>
          <w:sz w:val="24"/>
          <w:szCs w:val="24"/>
          <w:lang w:bidi="ar-AE"/>
        </w:rPr>
        <w:t xml:space="preserve">The Book of the End on Tribulations and Battles </w:t>
      </w:r>
      <w:r w:rsidRPr="00420E77">
        <w:rPr>
          <w:sz w:val="24"/>
          <w:szCs w:val="24"/>
          <w:lang w:bidi="ar-AE"/>
        </w:rPr>
        <w:t xml:space="preserve">in addition to a chapter titled 'The Book of Fierce Battles and Tribulations and the Great Things on the Day of Resurrection' in his multi-voluminous historical work </w:t>
      </w:r>
      <w:r w:rsidRPr="00420E77">
        <w:rPr>
          <w:i/>
          <w:iCs/>
          <w:sz w:val="24"/>
          <w:szCs w:val="24"/>
          <w:lang w:bidi="ar-AE"/>
        </w:rPr>
        <w:t>al-Bidāya wal-Nihāya</w:t>
      </w:r>
      <w:r w:rsidRPr="00420E77">
        <w:rPr>
          <w:sz w:val="24"/>
          <w:szCs w:val="24"/>
          <w:lang w:bidi="ar-AE"/>
        </w:rPr>
        <w:t xml:space="preserve"> or </w:t>
      </w:r>
      <w:r w:rsidRPr="00420E77">
        <w:rPr>
          <w:i/>
          <w:iCs/>
          <w:sz w:val="24"/>
          <w:szCs w:val="24"/>
          <w:lang w:bidi="ar-AE"/>
        </w:rPr>
        <w:t>The Beginning and the End</w:t>
      </w:r>
      <w:r w:rsidRPr="00420E77">
        <w:rPr>
          <w:sz w:val="24"/>
          <w:szCs w:val="24"/>
          <w:lang w:bidi="ar-AE"/>
        </w:rPr>
        <w:t>.</w:t>
      </w:r>
      <w:r w:rsidRPr="00420E77">
        <w:rPr>
          <w:noProof/>
          <w:sz w:val="24"/>
          <w:szCs w:val="24"/>
        </w:rPr>
        <w:t xml:space="preserve">  </w:t>
      </w:r>
    </w:p>
    <w:p w:rsidR="00804318" w:rsidRPr="00050299" w:rsidRDefault="00804318" w:rsidP="00804318">
      <w:pPr>
        <w:rPr>
          <w:rtl/>
          <w:lang w:bidi="ar-AE"/>
        </w:rPr>
      </w:pPr>
    </w:p>
    <w:p w:rsidR="00804318" w:rsidRDefault="00804318" w:rsidP="00060B46">
      <w:pPr>
        <w:pStyle w:val="Heading3"/>
        <w:rPr>
          <w:lang w:bidi="ar-AE"/>
        </w:rPr>
      </w:pPr>
      <w:bookmarkStart w:id="31" w:name="_Toc477317392"/>
      <w:r>
        <w:t>3.1.</w:t>
      </w:r>
      <w:r w:rsidR="00060B46">
        <w:t>2</w:t>
      </w:r>
      <w:r>
        <w:tab/>
        <w:t>Cosmic Apocalypse in the Qur'</w:t>
      </w:r>
      <w:r>
        <w:rPr>
          <w:rFonts w:ascii="Calibri" w:hAnsi="Calibri"/>
        </w:rPr>
        <w:t>ā</w:t>
      </w:r>
      <w:r>
        <w:t>n</w:t>
      </w:r>
      <w:bookmarkEnd w:id="31"/>
      <w:r>
        <w:t xml:space="preserve"> </w:t>
      </w:r>
    </w:p>
    <w:p w:rsidR="00804318" w:rsidRPr="00420E77" w:rsidRDefault="00804318" w:rsidP="005B1CD2">
      <w:pPr>
        <w:jc w:val="lowKashida"/>
        <w:rPr>
          <w:sz w:val="24"/>
          <w:szCs w:val="24"/>
        </w:rPr>
      </w:pPr>
      <w:r w:rsidRPr="00420E77">
        <w:rPr>
          <w:sz w:val="24"/>
          <w:szCs w:val="24"/>
          <w:lang w:bidi="ar-AE"/>
        </w:rPr>
        <w:t xml:space="preserve">As was pointed out in the introduction to this </w:t>
      </w:r>
      <w:r w:rsidR="005B1CD2" w:rsidRPr="00420E77">
        <w:rPr>
          <w:sz w:val="24"/>
          <w:szCs w:val="24"/>
          <w:lang w:bidi="ar-AE"/>
        </w:rPr>
        <w:t>dissertation</w:t>
      </w:r>
      <w:r w:rsidRPr="00420E77">
        <w:rPr>
          <w:sz w:val="24"/>
          <w:szCs w:val="24"/>
          <w:lang w:bidi="ar-AE"/>
        </w:rPr>
        <w:t xml:space="preserve">, the three </w:t>
      </w:r>
      <w:r w:rsidRPr="00420E77">
        <w:rPr>
          <w:i/>
          <w:iCs/>
          <w:sz w:val="24"/>
          <w:szCs w:val="24"/>
          <w:lang w:bidi="ar-AE"/>
        </w:rPr>
        <w:t>sūras</w:t>
      </w:r>
      <w:r w:rsidRPr="00420E77">
        <w:rPr>
          <w:sz w:val="24"/>
          <w:szCs w:val="24"/>
          <w:lang w:bidi="ar-AE"/>
        </w:rPr>
        <w:t xml:space="preserve"> that most vividly describe the annihilation of the world according to Prophetic </w:t>
      </w:r>
      <w:r w:rsidRPr="00420E77">
        <w:rPr>
          <w:i/>
          <w:iCs/>
          <w:sz w:val="24"/>
          <w:szCs w:val="24"/>
          <w:lang w:bidi="ar-AE"/>
        </w:rPr>
        <w:t>ḥadīth</w:t>
      </w:r>
      <w:r w:rsidRPr="00420E77">
        <w:rPr>
          <w:sz w:val="24"/>
          <w:szCs w:val="24"/>
          <w:lang w:bidi="ar-AE"/>
        </w:rPr>
        <w:t xml:space="preserve"> are </w:t>
      </w:r>
      <w:r w:rsidRPr="00420E77">
        <w:rPr>
          <w:i/>
          <w:iCs/>
          <w:sz w:val="24"/>
          <w:szCs w:val="24"/>
          <w:lang w:bidi="ar-AE"/>
        </w:rPr>
        <w:t>al-Takwīr</w:t>
      </w:r>
      <w:r w:rsidRPr="00420E77">
        <w:rPr>
          <w:sz w:val="24"/>
          <w:szCs w:val="24"/>
          <w:lang w:bidi="ar-AE"/>
        </w:rPr>
        <w:t xml:space="preserve"> or 'the Folding Up</w:t>
      </w:r>
      <w:r w:rsidRPr="00420E77">
        <w:rPr>
          <w:sz w:val="24"/>
          <w:szCs w:val="24"/>
        </w:rPr>
        <w:t>'</w:t>
      </w:r>
      <w:r w:rsidRPr="00420E77">
        <w:rPr>
          <w:sz w:val="24"/>
          <w:szCs w:val="24"/>
          <w:lang w:bidi="ar-AE"/>
        </w:rPr>
        <w:t xml:space="preserve">, </w:t>
      </w:r>
      <w:r w:rsidRPr="00420E77">
        <w:rPr>
          <w:i/>
          <w:iCs/>
          <w:sz w:val="24"/>
          <w:szCs w:val="24"/>
          <w:lang w:bidi="ar-AE"/>
        </w:rPr>
        <w:t>al-Infiṭār</w:t>
      </w:r>
      <w:r w:rsidRPr="00420E77">
        <w:rPr>
          <w:sz w:val="24"/>
          <w:szCs w:val="24"/>
          <w:lang w:bidi="ar-AE"/>
        </w:rPr>
        <w:t xml:space="preserve"> or '</w:t>
      </w:r>
      <w:r w:rsidRPr="00420E77">
        <w:rPr>
          <w:sz w:val="24"/>
          <w:szCs w:val="24"/>
        </w:rPr>
        <w:t>the Cleaving Asunder</w:t>
      </w:r>
      <w:r w:rsidRPr="00420E77">
        <w:rPr>
          <w:sz w:val="24"/>
          <w:szCs w:val="24"/>
          <w:lang w:bidi="ar-AE"/>
        </w:rPr>
        <w:t xml:space="preserve">' and </w:t>
      </w:r>
      <w:r w:rsidRPr="00420E77">
        <w:rPr>
          <w:i/>
          <w:iCs/>
          <w:sz w:val="24"/>
          <w:szCs w:val="24"/>
          <w:lang w:bidi="ar-AE"/>
        </w:rPr>
        <w:t>al-Inshiqāq</w:t>
      </w:r>
      <w:r w:rsidRPr="00420E77">
        <w:rPr>
          <w:sz w:val="24"/>
          <w:szCs w:val="24"/>
          <w:lang w:bidi="ar-AE"/>
        </w:rPr>
        <w:t xml:space="preserve"> or 'the </w:t>
      </w:r>
      <w:r w:rsidRPr="00420E77">
        <w:rPr>
          <w:sz w:val="24"/>
          <w:szCs w:val="24"/>
        </w:rPr>
        <w:t>Rending Asunder'</w:t>
      </w:r>
      <w:r w:rsidRPr="00420E77">
        <w:rPr>
          <w:sz w:val="24"/>
          <w:szCs w:val="24"/>
          <w:lang w:bidi="ar-AE"/>
        </w:rPr>
        <w:t>.</w:t>
      </w:r>
      <w:r w:rsidRPr="00420E77">
        <w:rPr>
          <w:rStyle w:val="FootnoteReference"/>
          <w:sz w:val="24"/>
          <w:szCs w:val="24"/>
        </w:rPr>
        <w:footnoteReference w:id="158"/>
      </w:r>
      <w:r w:rsidRPr="00420E77">
        <w:rPr>
          <w:sz w:val="24"/>
          <w:szCs w:val="24"/>
        </w:rPr>
        <w:t xml:space="preserve"> </w:t>
      </w:r>
    </w:p>
    <w:p w:rsidR="00804318" w:rsidRPr="00420E77" w:rsidRDefault="00804318" w:rsidP="00804318">
      <w:pPr>
        <w:jc w:val="lowKashida"/>
        <w:rPr>
          <w:sz w:val="24"/>
          <w:szCs w:val="24"/>
        </w:rPr>
      </w:pPr>
    </w:p>
    <w:p w:rsidR="00804318" w:rsidRPr="00420E77" w:rsidRDefault="00804318" w:rsidP="00804318">
      <w:pPr>
        <w:jc w:val="center"/>
        <w:rPr>
          <w:sz w:val="24"/>
          <w:szCs w:val="24"/>
        </w:rPr>
      </w:pPr>
      <w:bookmarkStart w:id="32" w:name="_Toc463008660"/>
      <w:r w:rsidRPr="00420E77">
        <w:rPr>
          <w:b/>
          <w:bCs/>
          <w:sz w:val="24"/>
          <w:szCs w:val="24"/>
        </w:rPr>
        <w:t>Sūrat al-Takwīr</w:t>
      </w:r>
      <w:r w:rsidRPr="00420E77">
        <w:rPr>
          <w:rStyle w:val="FootnoteReference"/>
          <w:color w:val="000000"/>
          <w:sz w:val="24"/>
          <w:szCs w:val="24"/>
        </w:rPr>
        <w:footnoteReference w:id="159"/>
      </w:r>
      <w:bookmarkEnd w:id="32"/>
    </w:p>
    <w:p w:rsidR="00804318" w:rsidRPr="00420E77" w:rsidRDefault="00804318" w:rsidP="00804318">
      <w:pPr>
        <w:spacing w:line="240" w:lineRule="auto"/>
        <w:jc w:val="center"/>
        <w:rPr>
          <w:sz w:val="24"/>
          <w:szCs w:val="24"/>
          <w:lang w:bidi="ar-AE"/>
        </w:rPr>
      </w:pPr>
      <w:r w:rsidRPr="00420E77">
        <w:rPr>
          <w:sz w:val="24"/>
          <w:szCs w:val="24"/>
          <w:lang w:bidi="ar-AE"/>
        </w:rPr>
        <w:t>Or 'the Folding Up'</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sun (with its spacious light) is folded up;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stars fall, losing their luster;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mountains vanish (like a mirage);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she-camels, ten months with young, are left untended;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wild beasts are herded together (in human habitations);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oceans boil over with a swell;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souls are sorted out, (being joined, like with like);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female (infant) buried alive, is questioned―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lastRenderedPageBreak/>
        <w:t xml:space="preserve">For what crime she was killed;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Scrolls are laid open;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World on High is unveiled: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When the Blazing Fire is kindled to fierce heat;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And when the Garden is brought near―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(Then) shall each soul know what it has put forward.</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So verily I call to witness the planets that recede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Go straight, or hide;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And the Night as it dissipates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And the Dawn as it breathes away the darkness</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Verily this is the word of a most honourable Messenger,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Endued with Power, with rank before the Lord of the Throne,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With authority there, (and) faithful of his trust.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And (O people!) your companion is not one possessed;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And without doubt he saw him in the clear horizon.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Neither doth he withhold grudgingly </w:t>
      </w:r>
      <w:proofErr w:type="gramStart"/>
      <w:r w:rsidRPr="00420E77">
        <w:rPr>
          <w:color w:val="000000"/>
          <w:sz w:val="24"/>
          <w:szCs w:val="24"/>
        </w:rPr>
        <w:t>a knowledge</w:t>
      </w:r>
      <w:proofErr w:type="gramEnd"/>
      <w:r w:rsidRPr="00420E77">
        <w:rPr>
          <w:color w:val="000000"/>
          <w:sz w:val="24"/>
          <w:szCs w:val="24"/>
        </w:rPr>
        <w:t xml:space="preserve"> of the Unseen.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Nor is it the word of an evil spirit accursed.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Then whither go </w:t>
      </w:r>
      <w:proofErr w:type="gramStart"/>
      <w:r w:rsidRPr="00420E77">
        <w:rPr>
          <w:color w:val="000000"/>
          <w:sz w:val="24"/>
          <w:szCs w:val="24"/>
        </w:rPr>
        <w:t>ye</w:t>
      </w:r>
      <w:proofErr w:type="gramEnd"/>
      <w:r w:rsidRPr="00420E77">
        <w:rPr>
          <w:color w:val="000000"/>
          <w:sz w:val="24"/>
          <w:szCs w:val="24"/>
        </w:rPr>
        <w:t xml:space="preserve">?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Verily this is no less than a Message to (all) the Worlds: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(With profit) to whoever among you wills to go straight. </w:t>
      </w:r>
    </w:p>
    <w:p w:rsidR="00804318" w:rsidRPr="00420E77" w:rsidRDefault="00804318" w:rsidP="00420E77">
      <w:pPr>
        <w:pStyle w:val="ListParagraph"/>
        <w:numPr>
          <w:ilvl w:val="0"/>
          <w:numId w:val="2"/>
        </w:numPr>
        <w:spacing w:line="240" w:lineRule="auto"/>
        <w:ind w:left="1134" w:hanging="774"/>
        <w:rPr>
          <w:rFonts w:ascii="Ehrhardt-Fraction" w:cs="Ehrhardt-Fraction"/>
          <w:sz w:val="24"/>
          <w:szCs w:val="24"/>
        </w:rPr>
      </w:pPr>
      <w:r w:rsidRPr="00420E77">
        <w:rPr>
          <w:color w:val="000000"/>
          <w:sz w:val="24"/>
          <w:szCs w:val="24"/>
        </w:rPr>
        <w:t xml:space="preserve">But ye </w:t>
      </w:r>
      <w:proofErr w:type="gramStart"/>
      <w:r w:rsidRPr="00420E77">
        <w:rPr>
          <w:color w:val="000000"/>
          <w:sz w:val="24"/>
          <w:szCs w:val="24"/>
        </w:rPr>
        <w:t>shall not will</w:t>
      </w:r>
      <w:proofErr w:type="gramEnd"/>
      <w:r w:rsidRPr="00420E77">
        <w:rPr>
          <w:color w:val="000000"/>
          <w:sz w:val="24"/>
          <w:szCs w:val="24"/>
        </w:rPr>
        <w:t xml:space="preserve"> except as Allah wills the Cherisher of the Worlds. </w:t>
      </w:r>
    </w:p>
    <w:p w:rsidR="00804318" w:rsidRPr="00420E77" w:rsidRDefault="00804318" w:rsidP="00804318">
      <w:pPr>
        <w:rPr>
          <w:sz w:val="24"/>
          <w:szCs w:val="24"/>
        </w:rPr>
      </w:pPr>
    </w:p>
    <w:p w:rsidR="00804318" w:rsidRPr="00420E77" w:rsidRDefault="00804318" w:rsidP="00804318">
      <w:pPr>
        <w:rPr>
          <w:sz w:val="24"/>
          <w:szCs w:val="24"/>
        </w:rPr>
      </w:pPr>
    </w:p>
    <w:p w:rsidR="00804318" w:rsidRPr="00420E77" w:rsidRDefault="00804318" w:rsidP="00804318">
      <w:pPr>
        <w:jc w:val="center"/>
        <w:rPr>
          <w:sz w:val="24"/>
          <w:szCs w:val="24"/>
        </w:rPr>
      </w:pPr>
      <w:bookmarkStart w:id="33" w:name="_Toc463008661"/>
      <w:r w:rsidRPr="00420E77">
        <w:rPr>
          <w:b/>
          <w:bCs/>
          <w:sz w:val="24"/>
          <w:szCs w:val="24"/>
        </w:rPr>
        <w:t>Sūrat al-Infi</w:t>
      </w:r>
      <w:r w:rsidRPr="00420E77">
        <w:rPr>
          <w:rFonts w:ascii="Arial" w:hAnsi="Arial" w:cs="Arial"/>
          <w:b/>
          <w:bCs/>
          <w:sz w:val="24"/>
          <w:szCs w:val="24"/>
        </w:rPr>
        <w:t>ṭ</w:t>
      </w:r>
      <w:r w:rsidRPr="00420E77">
        <w:rPr>
          <w:b/>
          <w:bCs/>
          <w:sz w:val="24"/>
          <w:szCs w:val="24"/>
        </w:rPr>
        <w:t>ār</w:t>
      </w:r>
      <w:r w:rsidRPr="00420E77">
        <w:rPr>
          <w:rStyle w:val="FootnoteReference"/>
          <w:color w:val="000000"/>
          <w:sz w:val="24"/>
          <w:szCs w:val="24"/>
        </w:rPr>
        <w:footnoteReference w:id="160"/>
      </w:r>
      <w:bookmarkEnd w:id="33"/>
    </w:p>
    <w:p w:rsidR="00804318" w:rsidRPr="00420E77" w:rsidRDefault="00804318" w:rsidP="00804318">
      <w:pPr>
        <w:spacing w:line="240" w:lineRule="auto"/>
        <w:jc w:val="center"/>
        <w:rPr>
          <w:sz w:val="24"/>
          <w:szCs w:val="24"/>
          <w:lang w:bidi="ar-AE"/>
        </w:rPr>
      </w:pPr>
      <w:r w:rsidRPr="00420E77">
        <w:rPr>
          <w:sz w:val="24"/>
          <w:szCs w:val="24"/>
          <w:lang w:bidi="ar-AE"/>
        </w:rPr>
        <w:t>Or 'the Cleaving Asunder'</w:t>
      </w:r>
    </w:p>
    <w:p w:rsidR="00804318" w:rsidRPr="00420E77" w:rsidRDefault="00804318" w:rsidP="00420E77">
      <w:pPr>
        <w:pStyle w:val="ListParagraph"/>
        <w:numPr>
          <w:ilvl w:val="0"/>
          <w:numId w:val="3"/>
        </w:numPr>
        <w:spacing w:line="240" w:lineRule="auto"/>
        <w:ind w:left="1134" w:hanging="774"/>
        <w:rPr>
          <w:rFonts w:ascii="Ehrhardt-Fraction" w:cs="Ehrhardt-Fraction"/>
          <w:sz w:val="24"/>
          <w:szCs w:val="24"/>
        </w:rPr>
      </w:pPr>
      <w:r w:rsidRPr="00420E77">
        <w:rPr>
          <w:color w:val="000000"/>
          <w:sz w:val="24"/>
          <w:szCs w:val="24"/>
        </w:rPr>
        <w:t xml:space="preserve">When the Sky is cleft asunder; </w:t>
      </w:r>
    </w:p>
    <w:p w:rsidR="00804318" w:rsidRPr="00420E77" w:rsidRDefault="00804318" w:rsidP="00420E77">
      <w:pPr>
        <w:pStyle w:val="ListParagraph"/>
        <w:numPr>
          <w:ilvl w:val="0"/>
          <w:numId w:val="3"/>
        </w:numPr>
        <w:spacing w:line="240" w:lineRule="auto"/>
        <w:ind w:left="1134" w:hanging="774"/>
        <w:rPr>
          <w:rFonts w:ascii="Ehrhardt-Fraction" w:cs="Ehrhardt-Fraction"/>
          <w:sz w:val="24"/>
          <w:szCs w:val="24"/>
        </w:rPr>
      </w:pPr>
      <w:r w:rsidRPr="00420E77">
        <w:rPr>
          <w:color w:val="000000"/>
          <w:sz w:val="24"/>
          <w:szCs w:val="24"/>
        </w:rPr>
        <w:t xml:space="preserve">When the Stars are scattered; </w:t>
      </w:r>
    </w:p>
    <w:p w:rsidR="00804318" w:rsidRPr="00420E77" w:rsidRDefault="00804318" w:rsidP="00420E77">
      <w:pPr>
        <w:pStyle w:val="ListParagraph"/>
        <w:numPr>
          <w:ilvl w:val="0"/>
          <w:numId w:val="3"/>
        </w:numPr>
        <w:spacing w:line="240" w:lineRule="auto"/>
        <w:ind w:left="1134" w:hanging="774"/>
        <w:rPr>
          <w:rFonts w:ascii="Ehrhardt-Fraction" w:cs="Ehrhardt-Fraction"/>
          <w:sz w:val="24"/>
          <w:szCs w:val="24"/>
        </w:rPr>
      </w:pPr>
      <w:r w:rsidRPr="00420E77">
        <w:rPr>
          <w:color w:val="000000"/>
          <w:sz w:val="24"/>
          <w:szCs w:val="24"/>
        </w:rPr>
        <w:t xml:space="preserve">When the Oceans are suffered to burst forth; </w:t>
      </w:r>
    </w:p>
    <w:p w:rsidR="00804318" w:rsidRPr="00420E77" w:rsidRDefault="00804318" w:rsidP="00420E77">
      <w:pPr>
        <w:pStyle w:val="ListParagraph"/>
        <w:numPr>
          <w:ilvl w:val="0"/>
          <w:numId w:val="3"/>
        </w:numPr>
        <w:spacing w:line="240" w:lineRule="auto"/>
        <w:ind w:left="1134" w:hanging="774"/>
        <w:rPr>
          <w:rFonts w:ascii="Ehrhardt-Fraction" w:cs="Ehrhardt-Fraction"/>
          <w:sz w:val="24"/>
          <w:szCs w:val="24"/>
        </w:rPr>
      </w:pPr>
      <w:r w:rsidRPr="00420E77">
        <w:rPr>
          <w:color w:val="000000"/>
          <w:sz w:val="24"/>
          <w:szCs w:val="24"/>
        </w:rPr>
        <w:t xml:space="preserve">And when the Graves are turned upside down― </w:t>
      </w:r>
    </w:p>
    <w:p w:rsidR="00804318" w:rsidRPr="00420E77" w:rsidRDefault="00804318" w:rsidP="00420E77">
      <w:pPr>
        <w:pStyle w:val="ListParagraph"/>
        <w:numPr>
          <w:ilvl w:val="0"/>
          <w:numId w:val="3"/>
        </w:numPr>
        <w:spacing w:line="240" w:lineRule="auto"/>
        <w:ind w:left="1134" w:hanging="774"/>
        <w:rPr>
          <w:rFonts w:ascii="Ehrhardt-Fraction" w:cs="Ehrhardt-Fraction"/>
          <w:sz w:val="24"/>
          <w:szCs w:val="24"/>
        </w:rPr>
      </w:pPr>
      <w:r w:rsidRPr="00420E77">
        <w:rPr>
          <w:color w:val="000000"/>
          <w:sz w:val="24"/>
          <w:szCs w:val="24"/>
        </w:rPr>
        <w:t>(Then) shall each soul know what it hath sent forward and (what it hath) kept back.</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O man! </w:t>
      </w:r>
      <w:proofErr w:type="gramStart"/>
      <w:r w:rsidRPr="00420E77">
        <w:rPr>
          <w:color w:val="000000"/>
          <w:sz w:val="24"/>
          <w:szCs w:val="24"/>
        </w:rPr>
        <w:t>what</w:t>
      </w:r>
      <w:proofErr w:type="gramEnd"/>
      <w:r w:rsidRPr="00420E77">
        <w:rPr>
          <w:color w:val="000000"/>
          <w:sz w:val="24"/>
          <w:szCs w:val="24"/>
        </w:rPr>
        <w:t xml:space="preserve"> has seduced thee from thy Lord Most Beneficent?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Him </w:t>
      </w:r>
      <w:proofErr w:type="gramStart"/>
      <w:r w:rsidRPr="00420E77">
        <w:rPr>
          <w:color w:val="000000"/>
          <w:sz w:val="24"/>
          <w:szCs w:val="24"/>
        </w:rPr>
        <w:t>Who</w:t>
      </w:r>
      <w:proofErr w:type="gramEnd"/>
      <w:r w:rsidRPr="00420E77">
        <w:rPr>
          <w:color w:val="000000"/>
          <w:sz w:val="24"/>
          <w:szCs w:val="24"/>
        </w:rPr>
        <w:t xml:space="preserve"> created thee. Fashioned thee in due proportion, and gave thee a just bias;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In whatever Form He wills, does He put thee </w:t>
      </w:r>
      <w:proofErr w:type="gramStart"/>
      <w:r w:rsidRPr="00420E77">
        <w:rPr>
          <w:color w:val="000000"/>
          <w:sz w:val="24"/>
          <w:szCs w:val="24"/>
        </w:rPr>
        <w:t>together.</w:t>
      </w:r>
      <w:proofErr w:type="gramEnd"/>
      <w:r w:rsidRPr="00420E77">
        <w:rPr>
          <w:color w:val="000000"/>
          <w:sz w:val="24"/>
          <w:szCs w:val="24"/>
        </w:rPr>
        <w:t xml:space="preserve"> </w:t>
      </w:r>
    </w:p>
    <w:p w:rsid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Nay! </w:t>
      </w:r>
      <w:proofErr w:type="gramStart"/>
      <w:r w:rsidRPr="00420E77">
        <w:rPr>
          <w:color w:val="000000"/>
          <w:sz w:val="24"/>
          <w:szCs w:val="24"/>
        </w:rPr>
        <w:t>but</w:t>
      </w:r>
      <w:proofErr w:type="gramEnd"/>
      <w:r w:rsidRPr="00420E77">
        <w:rPr>
          <w:color w:val="000000"/>
          <w:sz w:val="24"/>
          <w:szCs w:val="24"/>
        </w:rPr>
        <w:t xml:space="preserve"> ye do Reject Right and Judgment!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But verily over you (are appointed angels) to protect you―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Kind and honourable― writing down (your deeds):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They know (and understand) all that ye do.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As for the Righteous, they will be in Bliss;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And the Wicked― they will be in the Fire,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Which they will enter on the Day of Judgment.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And they will not be Able to keep away therefrom.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t xml:space="preserve">And what will explain to thee what the Day of Judgment is? </w:t>
      </w:r>
    </w:p>
    <w:p w:rsidR="00804318" w:rsidRPr="00420E77" w:rsidRDefault="00804318" w:rsidP="00420E77">
      <w:pPr>
        <w:pStyle w:val="ListParagraph"/>
        <w:numPr>
          <w:ilvl w:val="0"/>
          <w:numId w:val="3"/>
        </w:numPr>
        <w:spacing w:line="240" w:lineRule="auto"/>
        <w:ind w:left="1134" w:hanging="774"/>
        <w:rPr>
          <w:color w:val="000000"/>
          <w:sz w:val="24"/>
          <w:szCs w:val="24"/>
        </w:rPr>
      </w:pPr>
      <w:r w:rsidRPr="00420E77">
        <w:rPr>
          <w:color w:val="000000"/>
          <w:sz w:val="24"/>
          <w:szCs w:val="24"/>
        </w:rPr>
        <w:lastRenderedPageBreak/>
        <w:t xml:space="preserve">Again what will explain to thee what the Day of Judgment is? </w:t>
      </w:r>
    </w:p>
    <w:p w:rsidR="00804318" w:rsidRPr="00420E77" w:rsidRDefault="00804318" w:rsidP="00420E77">
      <w:pPr>
        <w:pStyle w:val="ListParagraph"/>
        <w:numPr>
          <w:ilvl w:val="0"/>
          <w:numId w:val="3"/>
        </w:numPr>
        <w:spacing w:line="240" w:lineRule="auto"/>
        <w:ind w:left="1134" w:hanging="774"/>
        <w:rPr>
          <w:rFonts w:ascii="Ehrhardt-Fraction" w:cs="Ehrhardt-Fraction"/>
          <w:sz w:val="24"/>
          <w:szCs w:val="24"/>
        </w:rPr>
      </w:pPr>
      <w:r w:rsidRPr="00420E77">
        <w:rPr>
          <w:color w:val="000000"/>
          <w:sz w:val="24"/>
          <w:szCs w:val="24"/>
        </w:rPr>
        <w:t xml:space="preserve">(It will be) the Day when no soul shall have power (to do) aught for another: for the </w:t>
      </w:r>
      <w:proofErr w:type="gramStart"/>
      <w:r w:rsidRPr="00420E77">
        <w:rPr>
          <w:color w:val="000000"/>
          <w:sz w:val="24"/>
          <w:szCs w:val="24"/>
        </w:rPr>
        <w:t>Command, that</w:t>
      </w:r>
      <w:proofErr w:type="gramEnd"/>
      <w:r w:rsidRPr="00420E77">
        <w:rPr>
          <w:color w:val="000000"/>
          <w:sz w:val="24"/>
          <w:szCs w:val="24"/>
        </w:rPr>
        <w:t xml:space="preserve"> Day, will be (wholly) with Allah.</w:t>
      </w:r>
    </w:p>
    <w:p w:rsidR="00804318" w:rsidRPr="00420E77" w:rsidRDefault="00804318" w:rsidP="00804318">
      <w:pPr>
        <w:rPr>
          <w:rFonts w:ascii="Ehrhardt-Fraction" w:cs="Ehrhardt-Fraction"/>
          <w:sz w:val="24"/>
          <w:szCs w:val="24"/>
        </w:rPr>
      </w:pPr>
    </w:p>
    <w:p w:rsidR="00804318" w:rsidRPr="00420E77" w:rsidRDefault="00804318" w:rsidP="00804318">
      <w:pPr>
        <w:rPr>
          <w:rFonts w:ascii="Ehrhardt-Fraction" w:cs="Ehrhardt-Fraction"/>
          <w:sz w:val="24"/>
          <w:szCs w:val="24"/>
        </w:rPr>
      </w:pPr>
    </w:p>
    <w:p w:rsidR="00804318" w:rsidRPr="00420E77" w:rsidRDefault="00804318" w:rsidP="00804318">
      <w:pPr>
        <w:jc w:val="center"/>
        <w:rPr>
          <w:sz w:val="24"/>
          <w:szCs w:val="24"/>
        </w:rPr>
      </w:pPr>
      <w:bookmarkStart w:id="34" w:name="_Toc463008662"/>
      <w:r w:rsidRPr="00420E77">
        <w:rPr>
          <w:b/>
          <w:bCs/>
          <w:sz w:val="24"/>
          <w:szCs w:val="24"/>
        </w:rPr>
        <w:t>Sūrat al-Inshiqāq</w:t>
      </w:r>
      <w:r w:rsidRPr="00420E77">
        <w:rPr>
          <w:rStyle w:val="FootnoteReference"/>
          <w:color w:val="000000"/>
          <w:sz w:val="24"/>
          <w:szCs w:val="24"/>
        </w:rPr>
        <w:footnoteReference w:id="161"/>
      </w:r>
      <w:bookmarkEnd w:id="34"/>
    </w:p>
    <w:p w:rsidR="00804318" w:rsidRPr="00420E77" w:rsidRDefault="00804318" w:rsidP="00804318">
      <w:pPr>
        <w:spacing w:line="240" w:lineRule="auto"/>
        <w:jc w:val="center"/>
        <w:rPr>
          <w:sz w:val="24"/>
          <w:szCs w:val="24"/>
          <w:lang w:bidi="ar-AE"/>
        </w:rPr>
      </w:pPr>
      <w:r w:rsidRPr="00420E77">
        <w:rPr>
          <w:sz w:val="24"/>
          <w:szCs w:val="24"/>
          <w:lang w:bidi="ar-AE"/>
        </w:rPr>
        <w:t>Or 'the Rending Asunder'</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When the Sky is rent asunder,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And hearkens to (the Command of) its Lord--and it must needs (do so)—</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And when the Earth is flattened out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And casts forth what is within it and becomes (clean) empty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And hearkens to (the Command of) </w:t>
      </w:r>
      <w:proofErr w:type="gramStart"/>
      <w:r w:rsidRPr="00420E77">
        <w:rPr>
          <w:color w:val="000000"/>
          <w:sz w:val="24"/>
          <w:szCs w:val="24"/>
        </w:rPr>
        <w:t>its</w:t>
      </w:r>
      <w:proofErr w:type="gramEnd"/>
      <w:r w:rsidRPr="00420E77">
        <w:rPr>
          <w:color w:val="000000"/>
          <w:sz w:val="24"/>
          <w:szCs w:val="24"/>
        </w:rPr>
        <w:t xml:space="preserve"> Lord--and it must needs (do so)--(then will come Home the full Reality).</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O thou man! </w:t>
      </w:r>
      <w:proofErr w:type="gramStart"/>
      <w:r w:rsidRPr="00420E77">
        <w:rPr>
          <w:color w:val="000000"/>
          <w:sz w:val="24"/>
          <w:szCs w:val="24"/>
        </w:rPr>
        <w:t>verily</w:t>
      </w:r>
      <w:proofErr w:type="gramEnd"/>
      <w:r w:rsidRPr="00420E77">
        <w:rPr>
          <w:color w:val="000000"/>
          <w:sz w:val="24"/>
          <w:szCs w:val="24"/>
        </w:rPr>
        <w:t xml:space="preserve"> thou art ever toiling on towards the Lord― painfully toiling but thou shalt meet Him.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Then he who is given his Record in his Right hand,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Soon will his account be taken by an easy reckoning,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And he will turn to his people, rejoicing!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But he who is given his Record behind his back―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Soon will he cry for Perdition,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And he will enter a Blazing Fire.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Truly, did he go about among his people, rejoicing!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Truly, did he think that he would not have to return (to </w:t>
      </w:r>
      <w:proofErr w:type="gramStart"/>
      <w:r w:rsidRPr="00420E77">
        <w:rPr>
          <w:color w:val="000000"/>
          <w:sz w:val="24"/>
          <w:szCs w:val="24"/>
        </w:rPr>
        <w:t>Us</w:t>
      </w:r>
      <w:proofErr w:type="gramEnd"/>
      <w:r w:rsidRPr="00420E77">
        <w:rPr>
          <w:color w:val="000000"/>
          <w:sz w:val="24"/>
          <w:szCs w:val="24"/>
        </w:rPr>
        <w:t xml:space="preserve">)!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Nay nay! For his Lord was (ever) watchful of him!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So I do call to witness the ruddy glow of Sunset;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The Night and its Homing;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And the Moon in her Fullness;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Ye shall surely travel from stage to stage.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What then is the matter with them, that they believe not</w:t>
      </w:r>
      <w:proofErr w:type="gramStart"/>
      <w:r w:rsidRPr="00420E77">
        <w:rPr>
          <w:color w:val="000000"/>
          <w:sz w:val="24"/>
          <w:szCs w:val="24"/>
        </w:rPr>
        <w:t>?―</w:t>
      </w:r>
      <w:proofErr w:type="gramEnd"/>
      <w:r w:rsidRPr="00420E77">
        <w:rPr>
          <w:color w:val="000000"/>
          <w:sz w:val="24"/>
          <w:szCs w:val="24"/>
        </w:rPr>
        <w:t xml:space="preserve">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And when the Qur'an is read to them, they fall not prostrate,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But on the contrary the Unbelievers reject (it).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But Allah has full Knowledge of what they secrete (in their breasts).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So announce to them a Penalty Grievous, </w:t>
      </w:r>
    </w:p>
    <w:p w:rsidR="00804318" w:rsidRPr="00420E77" w:rsidRDefault="00804318" w:rsidP="00420E77">
      <w:pPr>
        <w:pStyle w:val="ListParagraph"/>
        <w:numPr>
          <w:ilvl w:val="0"/>
          <w:numId w:val="4"/>
        </w:numPr>
        <w:spacing w:line="240" w:lineRule="auto"/>
        <w:ind w:left="1134" w:hanging="774"/>
        <w:rPr>
          <w:color w:val="000000"/>
          <w:sz w:val="24"/>
          <w:szCs w:val="24"/>
        </w:rPr>
      </w:pPr>
      <w:r w:rsidRPr="00420E77">
        <w:rPr>
          <w:color w:val="000000"/>
          <w:sz w:val="24"/>
          <w:szCs w:val="24"/>
        </w:rPr>
        <w:t xml:space="preserve">Except to those who believe and work righteous deeds: for them is a Reward that will never fail. </w:t>
      </w:r>
    </w:p>
    <w:p w:rsidR="00804318" w:rsidRPr="00420E77" w:rsidRDefault="00804318" w:rsidP="00804318">
      <w:pPr>
        <w:jc w:val="lowKashida"/>
        <w:rPr>
          <w:sz w:val="24"/>
          <w:szCs w:val="24"/>
        </w:rPr>
      </w:pPr>
    </w:p>
    <w:p w:rsidR="00804318" w:rsidRPr="00420E77" w:rsidRDefault="00804318" w:rsidP="00804318">
      <w:pPr>
        <w:jc w:val="lowKashida"/>
        <w:rPr>
          <w:sz w:val="24"/>
          <w:szCs w:val="24"/>
          <w:lang w:bidi="ar-AE"/>
        </w:rPr>
      </w:pPr>
      <w:r w:rsidRPr="00420E77">
        <w:rPr>
          <w:sz w:val="24"/>
          <w:szCs w:val="24"/>
        </w:rPr>
        <w:t xml:space="preserve">Revealed in Makkah and addressed to the disbelievers of Quraīsh, the aforementioned apocalyptic </w:t>
      </w:r>
      <w:r w:rsidRPr="00420E77">
        <w:rPr>
          <w:i/>
          <w:iCs/>
          <w:sz w:val="24"/>
          <w:szCs w:val="24"/>
        </w:rPr>
        <w:t>sūras</w:t>
      </w:r>
      <w:r w:rsidRPr="00420E77">
        <w:rPr>
          <w:sz w:val="24"/>
          <w:szCs w:val="24"/>
        </w:rPr>
        <w:t xml:space="preserve"> commence with concise, forceful and dynamic verses that prophesy a cataclysmic destruction of the universe:</w:t>
      </w:r>
    </w:p>
    <w:p w:rsidR="00804318" w:rsidRPr="00420E77" w:rsidRDefault="00804318" w:rsidP="00804318">
      <w:pPr>
        <w:jc w:val="lowKashida"/>
        <w:rPr>
          <w:sz w:val="24"/>
          <w:szCs w:val="24"/>
        </w:rPr>
      </w:pPr>
    </w:p>
    <w:p w:rsidR="00804318" w:rsidRPr="00420E77" w:rsidRDefault="00804318" w:rsidP="006B3B43">
      <w:pPr>
        <w:spacing w:line="240" w:lineRule="auto"/>
        <w:ind w:left="720"/>
        <w:jc w:val="lowKashida"/>
        <w:rPr>
          <w:i/>
          <w:iCs/>
          <w:sz w:val="24"/>
          <w:szCs w:val="24"/>
        </w:rPr>
      </w:pPr>
      <w:proofErr w:type="gramStart"/>
      <w:r w:rsidRPr="00420E77">
        <w:rPr>
          <w:i/>
          <w:iCs/>
          <w:sz w:val="24"/>
          <w:szCs w:val="24"/>
        </w:rPr>
        <w:t>itha-shamsu</w:t>
      </w:r>
      <w:proofErr w:type="gramEnd"/>
      <w:r w:rsidRPr="00420E77">
        <w:rPr>
          <w:i/>
          <w:iCs/>
          <w:sz w:val="24"/>
          <w:szCs w:val="24"/>
        </w:rPr>
        <w:t xml:space="preserve"> kūwwirat, wa itha-nujūmu inkadarat.</w:t>
      </w:r>
    </w:p>
    <w:p w:rsidR="00804318" w:rsidRPr="00420E77" w:rsidRDefault="00804318" w:rsidP="006B3B43">
      <w:pPr>
        <w:pStyle w:val="ListParagraph"/>
        <w:spacing w:line="240" w:lineRule="auto"/>
        <w:jc w:val="lowKashida"/>
        <w:rPr>
          <w:rFonts w:cs="TimesNewRomanPS-BoldMT"/>
          <w:sz w:val="24"/>
          <w:szCs w:val="24"/>
        </w:rPr>
      </w:pPr>
      <w:r w:rsidRPr="00420E77">
        <w:rPr>
          <w:rFonts w:cs="TimesNewRomanPS-BoldMT"/>
          <w:sz w:val="24"/>
          <w:szCs w:val="24"/>
        </w:rPr>
        <w:t>(</w:t>
      </w:r>
      <w:r w:rsidRPr="00420E77">
        <w:rPr>
          <w:color w:val="000000"/>
          <w:sz w:val="24"/>
          <w:szCs w:val="24"/>
        </w:rPr>
        <w:t xml:space="preserve">When the sun (with its spacious light) is folded up; </w:t>
      </w:r>
      <w:proofErr w:type="gramStart"/>
      <w:r w:rsidRPr="00420E77">
        <w:rPr>
          <w:color w:val="000000"/>
          <w:sz w:val="24"/>
          <w:szCs w:val="24"/>
        </w:rPr>
        <w:t>When</w:t>
      </w:r>
      <w:proofErr w:type="gramEnd"/>
      <w:r w:rsidRPr="00420E77">
        <w:rPr>
          <w:color w:val="000000"/>
          <w:sz w:val="24"/>
          <w:szCs w:val="24"/>
        </w:rPr>
        <w:t xml:space="preserve"> the stars fall, losing their luster</w:t>
      </w:r>
      <w:r w:rsidRPr="00420E77">
        <w:rPr>
          <w:rFonts w:cs="TimesNewRomanPS-BoldMT"/>
          <w:sz w:val="24"/>
          <w:szCs w:val="24"/>
        </w:rPr>
        <w:t>.)</w:t>
      </w:r>
      <w:r w:rsidRPr="00420E77">
        <w:rPr>
          <w:rStyle w:val="FootnoteReference"/>
          <w:rFonts w:cs="TimesNewRomanPS-BoldMT"/>
          <w:sz w:val="24"/>
          <w:szCs w:val="24"/>
        </w:rPr>
        <w:footnoteReference w:id="162"/>
      </w:r>
    </w:p>
    <w:p w:rsidR="00804318" w:rsidRPr="00420E77" w:rsidRDefault="00804318" w:rsidP="00804318">
      <w:pPr>
        <w:ind w:left="720"/>
        <w:jc w:val="lowKashida"/>
        <w:rPr>
          <w:i/>
          <w:iCs/>
          <w:sz w:val="24"/>
          <w:szCs w:val="24"/>
        </w:rPr>
      </w:pPr>
    </w:p>
    <w:p w:rsidR="00804318" w:rsidRPr="00420E77" w:rsidRDefault="00804318" w:rsidP="006B3B43">
      <w:pPr>
        <w:spacing w:line="240" w:lineRule="auto"/>
        <w:ind w:left="720"/>
        <w:jc w:val="lowKashida"/>
        <w:rPr>
          <w:i/>
          <w:iCs/>
          <w:sz w:val="24"/>
          <w:szCs w:val="24"/>
        </w:rPr>
      </w:pPr>
      <w:proofErr w:type="gramStart"/>
      <w:r w:rsidRPr="00420E77">
        <w:rPr>
          <w:i/>
          <w:iCs/>
          <w:sz w:val="24"/>
          <w:szCs w:val="24"/>
        </w:rPr>
        <w:t>itha-samā'u</w:t>
      </w:r>
      <w:proofErr w:type="gramEnd"/>
      <w:r w:rsidRPr="00420E77">
        <w:rPr>
          <w:i/>
          <w:iCs/>
          <w:sz w:val="24"/>
          <w:szCs w:val="24"/>
        </w:rPr>
        <w:t xml:space="preserve"> infaṭarat, wa itha-l-kawākibu intatharat.</w:t>
      </w:r>
    </w:p>
    <w:p w:rsidR="00804318" w:rsidRPr="00420E77" w:rsidRDefault="00804318" w:rsidP="006B3B43">
      <w:pPr>
        <w:pStyle w:val="ListParagraph"/>
        <w:spacing w:line="240" w:lineRule="auto"/>
        <w:rPr>
          <w:sz w:val="24"/>
          <w:szCs w:val="24"/>
        </w:rPr>
      </w:pPr>
      <w:r w:rsidRPr="00420E77">
        <w:rPr>
          <w:sz w:val="24"/>
          <w:szCs w:val="24"/>
        </w:rPr>
        <w:t>(</w:t>
      </w:r>
      <w:r w:rsidRPr="00420E77">
        <w:rPr>
          <w:color w:val="000000"/>
          <w:sz w:val="24"/>
          <w:szCs w:val="24"/>
        </w:rPr>
        <w:t>When the Sky is cleft asunder; When the Stars are scattered</w:t>
      </w:r>
      <w:r w:rsidRPr="00420E77">
        <w:rPr>
          <w:sz w:val="24"/>
          <w:szCs w:val="24"/>
        </w:rPr>
        <w:t>.)</w:t>
      </w:r>
      <w:r w:rsidRPr="00420E77">
        <w:rPr>
          <w:rStyle w:val="FootnoteReference"/>
          <w:sz w:val="24"/>
          <w:szCs w:val="24"/>
        </w:rPr>
        <w:footnoteReference w:id="163"/>
      </w:r>
    </w:p>
    <w:p w:rsidR="00804318" w:rsidRPr="00420E77" w:rsidRDefault="00804318" w:rsidP="00804318">
      <w:pPr>
        <w:ind w:left="720"/>
        <w:jc w:val="lowKashida"/>
        <w:rPr>
          <w:i/>
          <w:iCs/>
          <w:sz w:val="24"/>
          <w:szCs w:val="24"/>
        </w:rPr>
      </w:pPr>
    </w:p>
    <w:p w:rsidR="00804318" w:rsidRPr="00420E77" w:rsidRDefault="00804318" w:rsidP="006B3B43">
      <w:pPr>
        <w:spacing w:line="240" w:lineRule="auto"/>
        <w:ind w:left="720"/>
        <w:jc w:val="lowKashida"/>
        <w:rPr>
          <w:i/>
          <w:iCs/>
          <w:sz w:val="24"/>
          <w:szCs w:val="24"/>
        </w:rPr>
      </w:pPr>
      <w:proofErr w:type="gramStart"/>
      <w:r w:rsidRPr="00420E77">
        <w:rPr>
          <w:i/>
          <w:iCs/>
          <w:sz w:val="24"/>
          <w:szCs w:val="24"/>
        </w:rPr>
        <w:t>itha-samā'u</w:t>
      </w:r>
      <w:proofErr w:type="gramEnd"/>
      <w:r w:rsidRPr="00420E77">
        <w:rPr>
          <w:i/>
          <w:iCs/>
          <w:sz w:val="24"/>
          <w:szCs w:val="24"/>
        </w:rPr>
        <w:t xml:space="preserve"> inshaqqat, wa athinat li-rabbihā wa ḥaqqat.</w:t>
      </w:r>
    </w:p>
    <w:p w:rsidR="00804318" w:rsidRPr="00420E77" w:rsidRDefault="00804318" w:rsidP="006B3B43">
      <w:pPr>
        <w:pStyle w:val="ListParagraph"/>
        <w:spacing w:line="240" w:lineRule="auto"/>
        <w:rPr>
          <w:sz w:val="24"/>
          <w:szCs w:val="24"/>
        </w:rPr>
      </w:pPr>
      <w:r w:rsidRPr="00420E77">
        <w:rPr>
          <w:sz w:val="24"/>
          <w:szCs w:val="24"/>
        </w:rPr>
        <w:t>(</w:t>
      </w:r>
      <w:r w:rsidRPr="00420E77">
        <w:rPr>
          <w:color w:val="000000"/>
          <w:sz w:val="24"/>
          <w:szCs w:val="24"/>
        </w:rPr>
        <w:t xml:space="preserve">When the Sky is rent asunder, </w:t>
      </w:r>
      <w:proofErr w:type="gramStart"/>
      <w:r w:rsidRPr="00420E77">
        <w:rPr>
          <w:color w:val="000000"/>
          <w:sz w:val="24"/>
          <w:szCs w:val="24"/>
        </w:rPr>
        <w:t>And</w:t>
      </w:r>
      <w:proofErr w:type="gramEnd"/>
      <w:r w:rsidRPr="00420E77">
        <w:rPr>
          <w:color w:val="000000"/>
          <w:sz w:val="24"/>
          <w:szCs w:val="24"/>
        </w:rPr>
        <w:t xml:space="preserve"> hearkens to (the Command of) its Lord-and it must needs (do so)</w:t>
      </w:r>
      <w:r w:rsidRPr="00420E77">
        <w:rPr>
          <w:sz w:val="24"/>
          <w:szCs w:val="24"/>
        </w:rPr>
        <w:t>)</w:t>
      </w:r>
      <w:r w:rsidRPr="00420E77">
        <w:rPr>
          <w:rStyle w:val="FootnoteReference"/>
          <w:sz w:val="24"/>
          <w:szCs w:val="24"/>
        </w:rPr>
        <w:footnoteReference w:id="164"/>
      </w:r>
    </w:p>
    <w:p w:rsidR="00804318" w:rsidRPr="00420E77" w:rsidRDefault="00804318" w:rsidP="00804318">
      <w:pPr>
        <w:jc w:val="lowKashida"/>
        <w:rPr>
          <w:sz w:val="24"/>
          <w:szCs w:val="24"/>
        </w:rPr>
      </w:pPr>
    </w:p>
    <w:p w:rsidR="00804318" w:rsidRPr="00420E77" w:rsidRDefault="00804318" w:rsidP="00804318">
      <w:pPr>
        <w:jc w:val="lowKashida"/>
        <w:rPr>
          <w:sz w:val="24"/>
          <w:szCs w:val="24"/>
          <w:lang w:bidi="ar-AE"/>
        </w:rPr>
      </w:pPr>
      <w:r w:rsidRPr="00420E77">
        <w:rPr>
          <w:sz w:val="24"/>
          <w:szCs w:val="24"/>
        </w:rPr>
        <w:t xml:space="preserve">As is evident, these three </w:t>
      </w:r>
      <w:r w:rsidRPr="00420E77">
        <w:rPr>
          <w:i/>
          <w:iCs/>
          <w:sz w:val="24"/>
          <w:szCs w:val="24"/>
        </w:rPr>
        <w:t>sūras</w:t>
      </w:r>
      <w:r w:rsidRPr="00420E77">
        <w:rPr>
          <w:sz w:val="24"/>
          <w:szCs w:val="24"/>
        </w:rPr>
        <w:t xml:space="preserve"> are inaugurated with clusters of </w:t>
      </w:r>
      <w:r w:rsidRPr="00420E77">
        <w:rPr>
          <w:i/>
          <w:iCs/>
          <w:sz w:val="24"/>
          <w:szCs w:val="24"/>
        </w:rPr>
        <w:t xml:space="preserve">'ithā' </w:t>
      </w:r>
      <w:r w:rsidRPr="00420E77">
        <w:rPr>
          <w:sz w:val="24"/>
          <w:szCs w:val="24"/>
        </w:rPr>
        <w:t xml:space="preserve">or 'when,' which as oratorical tools were essential to add depth to the image being depicted; an ominous disintegration of the world that involves phenomena unknown to the medieval listener, such as the </w:t>
      </w:r>
      <w:r w:rsidRPr="00420E77">
        <w:rPr>
          <w:i/>
          <w:iCs/>
          <w:sz w:val="24"/>
          <w:szCs w:val="24"/>
        </w:rPr>
        <w:t>takwīr</w:t>
      </w:r>
      <w:r w:rsidRPr="00420E77">
        <w:rPr>
          <w:sz w:val="24"/>
          <w:szCs w:val="24"/>
        </w:rPr>
        <w:t xml:space="preserve"> of the Sun, </w:t>
      </w:r>
      <w:r w:rsidRPr="00420E77">
        <w:rPr>
          <w:i/>
          <w:iCs/>
          <w:sz w:val="24"/>
          <w:szCs w:val="24"/>
        </w:rPr>
        <w:t>inkidār</w:t>
      </w:r>
      <w:r w:rsidRPr="00420E77">
        <w:rPr>
          <w:sz w:val="24"/>
          <w:szCs w:val="24"/>
        </w:rPr>
        <w:t xml:space="preserve"> of the stars, </w:t>
      </w:r>
      <w:r w:rsidRPr="00420E77">
        <w:rPr>
          <w:i/>
          <w:iCs/>
          <w:sz w:val="24"/>
          <w:szCs w:val="24"/>
        </w:rPr>
        <w:t>intithār</w:t>
      </w:r>
      <w:r w:rsidRPr="00420E77">
        <w:rPr>
          <w:sz w:val="24"/>
          <w:szCs w:val="24"/>
        </w:rPr>
        <w:t xml:space="preserve"> of the planets, and </w:t>
      </w:r>
      <w:r w:rsidRPr="00420E77">
        <w:rPr>
          <w:i/>
          <w:iCs/>
          <w:sz w:val="24"/>
          <w:szCs w:val="24"/>
        </w:rPr>
        <w:t>inshiqāq</w:t>
      </w:r>
      <w:r w:rsidRPr="00420E77">
        <w:rPr>
          <w:sz w:val="24"/>
          <w:szCs w:val="24"/>
        </w:rPr>
        <w:t xml:space="preserve"> or </w:t>
      </w:r>
      <w:r w:rsidRPr="00420E77">
        <w:rPr>
          <w:i/>
          <w:iCs/>
          <w:sz w:val="24"/>
          <w:szCs w:val="24"/>
        </w:rPr>
        <w:t>infitār</w:t>
      </w:r>
      <w:r w:rsidRPr="00420E77">
        <w:rPr>
          <w:sz w:val="24"/>
          <w:szCs w:val="24"/>
        </w:rPr>
        <w:t xml:space="preserve"> of the sky. Referring to previous literature, ibn Manẓūr demonstrated that the term </w:t>
      </w:r>
      <w:r w:rsidRPr="00420E77">
        <w:rPr>
          <w:i/>
          <w:iCs/>
          <w:sz w:val="24"/>
          <w:szCs w:val="24"/>
        </w:rPr>
        <w:t xml:space="preserve">takwīr, </w:t>
      </w:r>
      <w:r w:rsidRPr="00420E77">
        <w:rPr>
          <w:sz w:val="24"/>
          <w:szCs w:val="24"/>
        </w:rPr>
        <w:t xml:space="preserve">from which the passive verb </w:t>
      </w:r>
      <w:r w:rsidRPr="00420E77">
        <w:rPr>
          <w:i/>
          <w:iCs/>
          <w:sz w:val="24"/>
          <w:szCs w:val="24"/>
        </w:rPr>
        <w:t>kuwwirat</w:t>
      </w:r>
      <w:r w:rsidRPr="00420E77">
        <w:rPr>
          <w:sz w:val="24"/>
          <w:szCs w:val="24"/>
        </w:rPr>
        <w:t xml:space="preserve"> is derived, was used to indicate the act of wrapping a turban around the head.</w:t>
      </w:r>
      <w:r w:rsidRPr="00420E77">
        <w:rPr>
          <w:rStyle w:val="FootnoteReference"/>
          <w:sz w:val="24"/>
          <w:szCs w:val="24"/>
        </w:rPr>
        <w:footnoteReference w:id="165"/>
      </w:r>
      <w:r w:rsidRPr="00420E77">
        <w:rPr>
          <w:sz w:val="24"/>
          <w:szCs w:val="24"/>
        </w:rPr>
        <w:t xml:space="preserve"> Within the Qur'ānic context of 'the Folding Up' in particular, ibn Manẓūr defined the term as the wrapping around, diminishing and withdrawal of the Sun's light; a definition unanimously favoured by ibn Kathīr, al-Qurṭubī and al-Rāzī.</w:t>
      </w:r>
      <w:r w:rsidRPr="00420E77">
        <w:rPr>
          <w:rStyle w:val="FootnoteReference"/>
          <w:sz w:val="24"/>
          <w:szCs w:val="24"/>
        </w:rPr>
        <w:footnoteReference w:id="166"/>
      </w:r>
      <w:r w:rsidRPr="00420E77">
        <w:rPr>
          <w:sz w:val="24"/>
          <w:szCs w:val="24"/>
        </w:rPr>
        <w:t xml:space="preserve"> Supplementing his interpretation of the verse with the traditional methodology of </w:t>
      </w:r>
      <w:r w:rsidRPr="00420E77">
        <w:rPr>
          <w:i/>
          <w:iCs/>
          <w:sz w:val="24"/>
          <w:szCs w:val="24"/>
        </w:rPr>
        <w:t>riwāyah</w:t>
      </w:r>
      <w:r w:rsidRPr="00420E77">
        <w:rPr>
          <w:sz w:val="24"/>
          <w:szCs w:val="24"/>
        </w:rPr>
        <w:t xml:space="preserve"> (narration)</w:t>
      </w:r>
      <w:r w:rsidRPr="00420E77">
        <w:rPr>
          <w:i/>
          <w:iCs/>
          <w:sz w:val="24"/>
          <w:szCs w:val="24"/>
        </w:rPr>
        <w:t>,</w:t>
      </w:r>
      <w:r w:rsidRPr="00420E77">
        <w:rPr>
          <w:sz w:val="24"/>
          <w:szCs w:val="24"/>
        </w:rPr>
        <w:t xml:space="preserve"> </w:t>
      </w:r>
      <w:r w:rsidRPr="00420E77">
        <w:rPr>
          <w:sz w:val="24"/>
          <w:szCs w:val="24"/>
          <w:lang w:bidi="ar-AE"/>
        </w:rPr>
        <w:t xml:space="preserve">ibn Kathīr referred to the Prophetic </w:t>
      </w:r>
      <w:r w:rsidRPr="00420E77">
        <w:rPr>
          <w:i/>
          <w:iCs/>
          <w:sz w:val="24"/>
          <w:szCs w:val="24"/>
          <w:lang w:bidi="ar-AE"/>
        </w:rPr>
        <w:t>ḥadīth</w:t>
      </w:r>
      <w:r w:rsidRPr="00420E77">
        <w:rPr>
          <w:sz w:val="24"/>
          <w:szCs w:val="24"/>
          <w:lang w:bidi="ar-AE"/>
        </w:rPr>
        <w:t xml:space="preserve"> mentioned by </w:t>
      </w:r>
      <w:r w:rsidRPr="00420E77">
        <w:rPr>
          <w:rFonts w:cs="Arial"/>
          <w:color w:val="000000"/>
          <w:sz w:val="24"/>
          <w:szCs w:val="24"/>
        </w:rPr>
        <w:t>al-Bukhārī,</w:t>
      </w:r>
      <w:r w:rsidRPr="00420E77">
        <w:rPr>
          <w:sz w:val="24"/>
          <w:szCs w:val="24"/>
        </w:rPr>
        <w:t xml:space="preserve"> </w:t>
      </w:r>
      <w:r w:rsidRPr="00420E77">
        <w:rPr>
          <w:rFonts w:cs="Arial"/>
          <w:color w:val="000000"/>
          <w:sz w:val="24"/>
          <w:szCs w:val="24"/>
        </w:rPr>
        <w:t>'</w:t>
      </w:r>
      <w:r w:rsidRPr="00420E77">
        <w:rPr>
          <w:sz w:val="24"/>
          <w:szCs w:val="24"/>
        </w:rPr>
        <w:t>The sun and the moon will be [mukawwarān] folded up (deprived of their light) on the Day of Resurrection.'</w:t>
      </w:r>
      <w:r w:rsidRPr="00420E77">
        <w:rPr>
          <w:rStyle w:val="FootnoteReference"/>
          <w:sz w:val="24"/>
          <w:szCs w:val="24"/>
        </w:rPr>
        <w:footnoteReference w:id="167"/>
      </w:r>
      <w:r w:rsidRPr="00420E77">
        <w:rPr>
          <w:rFonts w:hint="cs"/>
          <w:sz w:val="24"/>
          <w:szCs w:val="24"/>
          <w:rtl/>
        </w:rPr>
        <w:t xml:space="preserve"> </w:t>
      </w:r>
      <w:r w:rsidRPr="00420E77">
        <w:rPr>
          <w:sz w:val="24"/>
          <w:szCs w:val="24"/>
        </w:rPr>
        <w:t xml:space="preserve">A more elaborate version of the same </w:t>
      </w:r>
      <w:r w:rsidRPr="00420E77">
        <w:rPr>
          <w:i/>
          <w:iCs/>
          <w:sz w:val="24"/>
          <w:szCs w:val="24"/>
        </w:rPr>
        <w:t xml:space="preserve">ḥadīth </w:t>
      </w:r>
      <w:r w:rsidRPr="00420E77">
        <w:rPr>
          <w:sz w:val="24"/>
          <w:szCs w:val="24"/>
        </w:rPr>
        <w:t>is narrated by al-Rāzī, 'The sun and the moon are two bulls [mukawwarān] folded up (deprived of their light) in Hellfire on the Day of Resurrection.'</w:t>
      </w:r>
      <w:r w:rsidRPr="00420E77">
        <w:rPr>
          <w:rStyle w:val="FootnoteReference"/>
          <w:sz w:val="24"/>
          <w:szCs w:val="24"/>
        </w:rPr>
        <w:footnoteReference w:id="168"/>
      </w:r>
      <w:r w:rsidRPr="00420E77">
        <w:rPr>
          <w:sz w:val="24"/>
          <w:szCs w:val="24"/>
        </w:rPr>
        <w:t xml:space="preserve"> </w:t>
      </w:r>
      <w:r w:rsidRPr="00420E77">
        <w:rPr>
          <w:sz w:val="24"/>
          <w:szCs w:val="24"/>
          <w:lang w:bidi="ar-AE"/>
        </w:rPr>
        <w:t>Reasoning why inanimate objects like the sun and the moon would be cast into Hellfire, al-Rāzī stated that they might simply be used as sources of energy.</w:t>
      </w:r>
      <w:r w:rsidRPr="00420E77">
        <w:rPr>
          <w:rStyle w:val="FootnoteReference"/>
          <w:sz w:val="24"/>
          <w:szCs w:val="24"/>
          <w:lang w:bidi="ar-AE"/>
        </w:rPr>
        <w:footnoteReference w:id="169"/>
      </w:r>
      <w:r w:rsidRPr="00420E77">
        <w:rPr>
          <w:sz w:val="24"/>
          <w:szCs w:val="24"/>
          <w:lang w:bidi="ar-AE"/>
        </w:rPr>
        <w:t xml:space="preserve"> Al-Qurṭubī alternatively wrote in his eschatological compilation </w:t>
      </w:r>
      <w:r w:rsidRPr="00420E77">
        <w:rPr>
          <w:i/>
          <w:iCs/>
          <w:sz w:val="24"/>
          <w:szCs w:val="24"/>
        </w:rPr>
        <w:t>The</w:t>
      </w:r>
      <w:r w:rsidRPr="00420E77">
        <w:rPr>
          <w:sz w:val="24"/>
          <w:szCs w:val="24"/>
        </w:rPr>
        <w:t xml:space="preserve"> </w:t>
      </w:r>
      <w:r w:rsidRPr="00420E77">
        <w:rPr>
          <w:i/>
          <w:iCs/>
          <w:sz w:val="24"/>
          <w:szCs w:val="24"/>
        </w:rPr>
        <w:t>Reminder on the Affairs of the Dead and</w:t>
      </w:r>
      <w:r w:rsidRPr="00420E77">
        <w:rPr>
          <w:i/>
          <w:iCs/>
          <w:sz w:val="24"/>
          <w:szCs w:val="24"/>
          <w:lang w:bidi="ar-AE"/>
        </w:rPr>
        <w:t xml:space="preserve"> Afterlife</w:t>
      </w:r>
      <w:r w:rsidRPr="00420E77">
        <w:rPr>
          <w:sz w:val="24"/>
          <w:szCs w:val="24"/>
          <w:lang w:bidi="ar-AE"/>
        </w:rPr>
        <w:t xml:space="preserve"> that the two luminaries are tossed into Hellfire to intensify the anguish of those who worshipped them instead of the righteous and only God, Allah.</w:t>
      </w:r>
      <w:r w:rsidRPr="00420E77">
        <w:rPr>
          <w:rStyle w:val="FootnoteReference"/>
          <w:sz w:val="24"/>
          <w:szCs w:val="24"/>
          <w:lang w:bidi="ar-AE"/>
        </w:rPr>
        <w:footnoteReference w:id="170"/>
      </w:r>
    </w:p>
    <w:p w:rsidR="00804318" w:rsidRPr="00420E77" w:rsidRDefault="00804318" w:rsidP="00804318">
      <w:pPr>
        <w:jc w:val="lowKashida"/>
        <w:rPr>
          <w:sz w:val="24"/>
          <w:szCs w:val="24"/>
          <w:lang w:bidi="ar-AE"/>
        </w:rPr>
      </w:pPr>
    </w:p>
    <w:p w:rsidR="00804318" w:rsidRPr="00420E77" w:rsidRDefault="00804318" w:rsidP="00804318">
      <w:pPr>
        <w:jc w:val="lowKashida"/>
        <w:rPr>
          <w:sz w:val="24"/>
          <w:szCs w:val="24"/>
          <w:lang w:bidi="ar-AE"/>
        </w:rPr>
      </w:pPr>
      <w:r w:rsidRPr="00420E77">
        <w:rPr>
          <w:sz w:val="24"/>
          <w:szCs w:val="24"/>
          <w:lang w:bidi="ar-AE"/>
        </w:rPr>
        <w:lastRenderedPageBreak/>
        <w:t xml:space="preserve">Although the three commentators agreed that the terms </w:t>
      </w:r>
      <w:r w:rsidRPr="00420E77">
        <w:rPr>
          <w:i/>
          <w:iCs/>
          <w:sz w:val="24"/>
          <w:szCs w:val="24"/>
        </w:rPr>
        <w:t>inkidār</w:t>
      </w:r>
      <w:r w:rsidRPr="00420E77">
        <w:rPr>
          <w:sz w:val="24"/>
          <w:szCs w:val="24"/>
        </w:rPr>
        <w:t xml:space="preserve"> and </w:t>
      </w:r>
      <w:r w:rsidRPr="00420E77">
        <w:rPr>
          <w:i/>
          <w:iCs/>
          <w:sz w:val="24"/>
          <w:szCs w:val="24"/>
        </w:rPr>
        <w:t xml:space="preserve">intithār </w:t>
      </w:r>
      <w:r w:rsidRPr="00420E77">
        <w:rPr>
          <w:sz w:val="24"/>
          <w:szCs w:val="24"/>
        </w:rPr>
        <w:t xml:space="preserve">are synonymous words that denote the scattering away and dispersing of stars, ibn Manẓūr opined that </w:t>
      </w:r>
      <w:r w:rsidRPr="00420E77">
        <w:rPr>
          <w:i/>
          <w:iCs/>
          <w:sz w:val="24"/>
          <w:szCs w:val="24"/>
        </w:rPr>
        <w:t xml:space="preserve">inkidār </w:t>
      </w:r>
      <w:r w:rsidRPr="00420E77">
        <w:rPr>
          <w:sz w:val="24"/>
          <w:szCs w:val="24"/>
        </w:rPr>
        <w:t>in particular</w:t>
      </w:r>
      <w:r w:rsidRPr="00420E77">
        <w:rPr>
          <w:i/>
          <w:iCs/>
          <w:sz w:val="24"/>
          <w:szCs w:val="24"/>
        </w:rPr>
        <w:t xml:space="preserve"> </w:t>
      </w:r>
      <w:r w:rsidRPr="00420E77">
        <w:rPr>
          <w:sz w:val="24"/>
          <w:szCs w:val="24"/>
        </w:rPr>
        <w:t>indicates darkness and loss of luster.</w:t>
      </w:r>
      <w:r w:rsidRPr="00420E77">
        <w:rPr>
          <w:rStyle w:val="FootnoteReference"/>
          <w:sz w:val="24"/>
          <w:szCs w:val="24"/>
        </w:rPr>
        <w:footnoteReference w:id="171"/>
      </w:r>
      <w:r w:rsidRPr="00420E77">
        <w:rPr>
          <w:sz w:val="24"/>
          <w:szCs w:val="24"/>
          <w:lang w:bidi="ar-AE"/>
        </w:rPr>
        <w:t xml:space="preserve"> In his analysis of the verse </w:t>
      </w:r>
      <w:r w:rsidRPr="00420E77">
        <w:rPr>
          <w:sz w:val="24"/>
          <w:szCs w:val="24"/>
        </w:rPr>
        <w:t>'</w:t>
      </w:r>
      <w:r w:rsidRPr="00420E77">
        <w:rPr>
          <w:i/>
          <w:iCs/>
          <w:sz w:val="24"/>
          <w:szCs w:val="24"/>
        </w:rPr>
        <w:t>itha-nujūmu inkadarat,'</w:t>
      </w:r>
      <w:r w:rsidRPr="00420E77">
        <w:rPr>
          <w:sz w:val="24"/>
          <w:szCs w:val="24"/>
        </w:rPr>
        <w:t xml:space="preserve"> ibn Kathīr employs the Prophetic interpretation that affirmed the scattering of the stars, and anything worshipped other than Allah, into Hellfire</w:t>
      </w:r>
      <w:r w:rsidRPr="00420E77">
        <w:rPr>
          <w:sz w:val="24"/>
          <w:szCs w:val="24"/>
          <w:lang w:bidi="ar-AE"/>
        </w:rPr>
        <w:t>.</w:t>
      </w:r>
      <w:r w:rsidRPr="00420E77">
        <w:rPr>
          <w:rStyle w:val="FootnoteReference"/>
          <w:sz w:val="24"/>
          <w:szCs w:val="24"/>
          <w:lang w:bidi="ar-AE"/>
        </w:rPr>
        <w:footnoteReference w:id="172"/>
      </w:r>
      <w:r w:rsidRPr="00420E77">
        <w:rPr>
          <w:sz w:val="24"/>
          <w:szCs w:val="24"/>
          <w:lang w:bidi="ar-AE"/>
        </w:rPr>
        <w:t xml:space="preserve"> Relying on a narration by ibn 'Abbās, al-Qurṭubī in contrast suggested that stars, which are in actuality lanterns held in position by angelic entities, will scatter and collapse when the trumpet is blown causing the death of everything including angels.</w:t>
      </w:r>
      <w:r w:rsidRPr="00420E77">
        <w:rPr>
          <w:rStyle w:val="FootnoteReference"/>
          <w:sz w:val="24"/>
          <w:szCs w:val="24"/>
          <w:lang w:bidi="ar-AE"/>
        </w:rPr>
        <w:footnoteReference w:id="173"/>
      </w:r>
      <w:r w:rsidRPr="00420E77">
        <w:rPr>
          <w:sz w:val="24"/>
          <w:szCs w:val="24"/>
          <w:lang w:bidi="ar-AE"/>
        </w:rPr>
        <w:t xml:space="preserve"> The terms </w:t>
      </w:r>
      <w:r w:rsidRPr="00420E77">
        <w:rPr>
          <w:i/>
          <w:iCs/>
          <w:sz w:val="24"/>
          <w:szCs w:val="24"/>
          <w:lang w:bidi="ar-AE"/>
        </w:rPr>
        <w:t>infiṭār</w:t>
      </w:r>
      <w:r w:rsidRPr="00420E77">
        <w:rPr>
          <w:sz w:val="24"/>
          <w:szCs w:val="24"/>
          <w:lang w:bidi="ar-AE"/>
        </w:rPr>
        <w:t xml:space="preserve"> and </w:t>
      </w:r>
      <w:r w:rsidRPr="00420E77">
        <w:rPr>
          <w:i/>
          <w:iCs/>
          <w:sz w:val="24"/>
          <w:szCs w:val="24"/>
          <w:lang w:bidi="ar-AE"/>
        </w:rPr>
        <w:t>inshiqāq</w:t>
      </w:r>
      <w:r w:rsidRPr="00420E77">
        <w:rPr>
          <w:sz w:val="24"/>
          <w:szCs w:val="24"/>
          <w:lang w:bidi="ar-AE"/>
        </w:rPr>
        <w:t xml:space="preserve"> on the other hand, synonymously indicate the splitting or cracking of the sky, as all three commentators and ibn Manẓūr opined.</w:t>
      </w:r>
      <w:r w:rsidRPr="00420E77">
        <w:rPr>
          <w:rStyle w:val="FootnoteReference"/>
          <w:sz w:val="24"/>
          <w:szCs w:val="24"/>
          <w:lang w:bidi="ar-AE"/>
        </w:rPr>
        <w:footnoteReference w:id="174"/>
      </w:r>
      <w:r w:rsidRPr="00420E77">
        <w:rPr>
          <w:sz w:val="24"/>
          <w:szCs w:val="24"/>
          <w:lang w:bidi="ar-AE"/>
        </w:rPr>
        <w:t xml:space="preserve"> Interpreting the Qur'ān by the Qur'ān, al-Qurṭubī wrote that the sky will crack in submission to God's command enabling the promised descent of the angels as described in the verse, '</w:t>
      </w:r>
      <w:r w:rsidRPr="00420E77">
        <w:rPr>
          <w:color w:val="000000"/>
          <w:sz w:val="24"/>
          <w:szCs w:val="24"/>
        </w:rPr>
        <w:t>The Day the heaven shall be rent asunder with clouds, and angels shall be sent down descending.'</w:t>
      </w:r>
      <w:r w:rsidRPr="00420E77">
        <w:rPr>
          <w:rStyle w:val="FootnoteReference"/>
          <w:color w:val="000000"/>
          <w:sz w:val="24"/>
          <w:szCs w:val="24"/>
        </w:rPr>
        <w:footnoteReference w:id="175"/>
      </w:r>
      <w:r w:rsidRPr="00420E77">
        <w:rPr>
          <w:color w:val="000000"/>
          <w:sz w:val="24"/>
          <w:szCs w:val="24"/>
        </w:rPr>
        <w:t xml:space="preserve"> Al-Rāzī alternatively utilises the </w:t>
      </w:r>
      <w:r w:rsidRPr="00420E77">
        <w:rPr>
          <w:i/>
          <w:iCs/>
          <w:sz w:val="24"/>
          <w:szCs w:val="24"/>
          <w:lang w:bidi="ar-AE"/>
        </w:rPr>
        <w:t>infiṭār</w:t>
      </w:r>
      <w:r w:rsidRPr="00420E77">
        <w:rPr>
          <w:sz w:val="24"/>
          <w:szCs w:val="24"/>
          <w:lang w:bidi="ar-AE"/>
        </w:rPr>
        <w:t xml:space="preserve"> and </w:t>
      </w:r>
      <w:r w:rsidRPr="00420E77">
        <w:rPr>
          <w:i/>
          <w:iCs/>
          <w:sz w:val="24"/>
          <w:szCs w:val="24"/>
          <w:lang w:bidi="ar-AE"/>
        </w:rPr>
        <w:t xml:space="preserve">inshiqāq </w:t>
      </w:r>
      <w:r w:rsidRPr="00420E77">
        <w:rPr>
          <w:sz w:val="24"/>
          <w:szCs w:val="24"/>
          <w:lang w:bidi="ar-AE"/>
        </w:rPr>
        <w:t>phenomenon</w:t>
      </w:r>
      <w:r w:rsidRPr="00420E77">
        <w:rPr>
          <w:color w:val="000000"/>
          <w:sz w:val="24"/>
          <w:szCs w:val="24"/>
        </w:rPr>
        <w:t xml:space="preserve"> to refute the concept of the eternity of the universe proposed by the Greco-influenced philosophers:</w:t>
      </w:r>
    </w:p>
    <w:p w:rsidR="00804318" w:rsidRPr="00420E77" w:rsidRDefault="00804318" w:rsidP="00804318">
      <w:pPr>
        <w:jc w:val="lowKashida"/>
        <w:rPr>
          <w:color w:val="000000"/>
          <w:sz w:val="24"/>
          <w:szCs w:val="24"/>
        </w:rPr>
      </w:pPr>
    </w:p>
    <w:p w:rsidR="00804318" w:rsidRPr="00420E77" w:rsidRDefault="00804318" w:rsidP="006B3B43">
      <w:pPr>
        <w:pStyle w:val="ListParagraph"/>
        <w:spacing w:line="240" w:lineRule="auto"/>
        <w:jc w:val="lowKashida"/>
        <w:rPr>
          <w:sz w:val="24"/>
          <w:szCs w:val="24"/>
        </w:rPr>
      </w:pPr>
      <w:r w:rsidRPr="00420E77">
        <w:rPr>
          <w:sz w:val="24"/>
          <w:szCs w:val="24"/>
          <w:lang w:bidi="ar-AE"/>
        </w:rPr>
        <w:t xml:space="preserve">The intended meaning of these verses is to announce the destruction of the world, the annihilation of the </w:t>
      </w:r>
      <w:r w:rsidRPr="00420E77">
        <w:rPr>
          <w:i/>
          <w:iCs/>
          <w:sz w:val="24"/>
          <w:szCs w:val="24"/>
          <w:lang w:bidi="ar-AE"/>
        </w:rPr>
        <w:t xml:space="preserve">dunyā </w:t>
      </w:r>
      <w:r w:rsidRPr="00420E77">
        <w:rPr>
          <w:sz w:val="24"/>
          <w:szCs w:val="24"/>
          <w:lang w:bidi="ar-AE"/>
        </w:rPr>
        <w:t>(mundane world), and the termination of religious obligations, for the sky is akin to a ceiling, whilst the earth is akin to its building, and if a particular building is to be destroyed, the ceiling should be first demolished, and this is '</w:t>
      </w:r>
      <w:r w:rsidRPr="00420E77">
        <w:rPr>
          <w:sz w:val="24"/>
          <w:szCs w:val="24"/>
        </w:rPr>
        <w:t xml:space="preserve"> When the sky is torn apart.'</w:t>
      </w:r>
      <w:r w:rsidRPr="00420E77">
        <w:rPr>
          <w:sz w:val="24"/>
          <w:szCs w:val="24"/>
          <w:lang w:bidi="ar-AE"/>
        </w:rPr>
        <w:t xml:space="preserve"> And naturally, the destruction of the sky results in the scattering of the stars, as reflected in '</w:t>
      </w:r>
      <w:r w:rsidRPr="00420E77">
        <w:rPr>
          <w:sz w:val="24"/>
          <w:szCs w:val="24"/>
        </w:rPr>
        <w:t>when the stars are scattered.' And when the sky and the stars are obliterated by God, what follows is the eradication of all that is on earth.</w:t>
      </w:r>
      <w:r w:rsidRPr="00420E77">
        <w:rPr>
          <w:rStyle w:val="FootnoteReference"/>
          <w:sz w:val="24"/>
          <w:szCs w:val="24"/>
        </w:rPr>
        <w:footnoteReference w:id="176"/>
      </w:r>
    </w:p>
    <w:p w:rsidR="00804318" w:rsidRPr="00420E77" w:rsidRDefault="00804318" w:rsidP="00804318">
      <w:pPr>
        <w:jc w:val="lowKashida"/>
        <w:rPr>
          <w:sz w:val="24"/>
          <w:szCs w:val="24"/>
          <w:rtl/>
          <w:lang w:bidi="ar-AE"/>
        </w:rPr>
      </w:pPr>
    </w:p>
    <w:p w:rsidR="00804318" w:rsidRPr="00420E77" w:rsidRDefault="00804318" w:rsidP="00804318">
      <w:pPr>
        <w:jc w:val="lowKashida"/>
        <w:rPr>
          <w:sz w:val="24"/>
          <w:szCs w:val="24"/>
          <w:rtl/>
          <w:lang w:bidi="ar-AE"/>
        </w:rPr>
      </w:pPr>
      <w:r w:rsidRPr="00420E77">
        <w:rPr>
          <w:sz w:val="24"/>
          <w:szCs w:val="24"/>
        </w:rPr>
        <w:t xml:space="preserve">Engaging in a Ghazālian polemic against the prevalent pagan philosophies of his time, al-Rāzī was not only asserting the eschatological annihilation of the world, but was also proving the contingency of the cosmos, for as Jürgen Moltmann proposed, the </w:t>
      </w:r>
      <w:r w:rsidRPr="00420E77">
        <w:rPr>
          <w:sz w:val="24"/>
          <w:szCs w:val="24"/>
        </w:rPr>
        <w:lastRenderedPageBreak/>
        <w:t xml:space="preserve">concept of </w:t>
      </w:r>
      <w:r w:rsidRPr="00420E77">
        <w:rPr>
          <w:i/>
          <w:iCs/>
          <w:sz w:val="24"/>
          <w:szCs w:val="24"/>
        </w:rPr>
        <w:t>reductio ad nihilum</w:t>
      </w:r>
      <w:r w:rsidRPr="00420E77">
        <w:rPr>
          <w:sz w:val="24"/>
          <w:szCs w:val="24"/>
        </w:rPr>
        <w:t xml:space="preserve"> (reduction into nothing) is simply a reversal of </w:t>
      </w:r>
      <w:r w:rsidRPr="00420E77">
        <w:rPr>
          <w:i/>
          <w:iCs/>
          <w:sz w:val="24"/>
          <w:szCs w:val="24"/>
        </w:rPr>
        <w:t>creatio ex nihilo</w:t>
      </w:r>
      <w:r w:rsidRPr="00420E77">
        <w:rPr>
          <w:sz w:val="24"/>
          <w:szCs w:val="24"/>
        </w:rPr>
        <w:t xml:space="preserve"> (creation out of nothing).</w:t>
      </w:r>
      <w:r w:rsidRPr="00420E77">
        <w:rPr>
          <w:rStyle w:val="FootnoteReference"/>
          <w:sz w:val="24"/>
          <w:szCs w:val="24"/>
        </w:rPr>
        <w:footnoteReference w:id="177"/>
      </w:r>
      <w:r w:rsidRPr="00420E77">
        <w:rPr>
          <w:sz w:val="24"/>
          <w:szCs w:val="24"/>
        </w:rPr>
        <w:t xml:space="preserve"> An orthodox Islamic cosmology is also evidently espoused by al-Qurṭubī and ibn Kathīr who stressed through their interpretations that the sky and celestial bodies are merely signs of Allah's wondrous creation, and to assume otherwise contradicts the crucial principle of </w:t>
      </w:r>
      <w:r w:rsidRPr="00420E77">
        <w:rPr>
          <w:i/>
          <w:iCs/>
          <w:sz w:val="24"/>
          <w:szCs w:val="24"/>
        </w:rPr>
        <w:t>tawhīd</w:t>
      </w:r>
      <w:r w:rsidRPr="00420E77">
        <w:rPr>
          <w:sz w:val="24"/>
          <w:szCs w:val="24"/>
        </w:rPr>
        <w:t xml:space="preserve"> or absolute monotheism.</w:t>
      </w:r>
      <w:r w:rsidRPr="00420E77">
        <w:rPr>
          <w:sz w:val="24"/>
          <w:szCs w:val="24"/>
          <w:lang w:bidi="ar-AE"/>
        </w:rPr>
        <w:t xml:space="preserve"> Such a worldview, clearly Qur'ānic, is strongly asserted in the verse which condemns the worship of celestial bodies:  </w:t>
      </w:r>
    </w:p>
    <w:p w:rsidR="00804318" w:rsidRPr="00420E77" w:rsidRDefault="00804318" w:rsidP="00804318">
      <w:pPr>
        <w:jc w:val="lowKashida"/>
        <w:rPr>
          <w:sz w:val="24"/>
          <w:szCs w:val="24"/>
        </w:rPr>
      </w:pPr>
    </w:p>
    <w:p w:rsidR="00804318" w:rsidRPr="00420E77" w:rsidRDefault="00804318" w:rsidP="00EF5ADF">
      <w:pPr>
        <w:spacing w:line="240" w:lineRule="auto"/>
        <w:ind w:left="720"/>
        <w:jc w:val="lowKashida"/>
        <w:rPr>
          <w:rFonts w:cs="EhrhardtMT"/>
          <w:sz w:val="24"/>
          <w:szCs w:val="24"/>
          <w:rtl/>
        </w:rPr>
      </w:pPr>
      <w:r w:rsidRPr="00420E77">
        <w:rPr>
          <w:rFonts w:cs="EhrhardtMT"/>
          <w:sz w:val="24"/>
          <w:szCs w:val="24"/>
        </w:rPr>
        <w:t xml:space="preserve">The night, the day, the </w:t>
      </w:r>
      <w:proofErr w:type="gramStart"/>
      <w:r w:rsidRPr="00420E77">
        <w:rPr>
          <w:rFonts w:cs="EhrhardtMT"/>
          <w:sz w:val="24"/>
          <w:szCs w:val="24"/>
        </w:rPr>
        <w:t>sun, the moon, are</w:t>
      </w:r>
      <w:proofErr w:type="gramEnd"/>
      <w:r w:rsidRPr="00420E77">
        <w:rPr>
          <w:rFonts w:cs="EhrhardtMT"/>
          <w:sz w:val="24"/>
          <w:szCs w:val="24"/>
        </w:rPr>
        <w:t xml:space="preserve"> only a few of His signs. Do not bow down in worship (</w:t>
      </w:r>
      <w:r w:rsidRPr="00420E77">
        <w:rPr>
          <w:rFonts w:cs="EhrhardtMT"/>
          <w:i/>
          <w:iCs/>
          <w:sz w:val="24"/>
          <w:szCs w:val="24"/>
        </w:rPr>
        <w:t>tasjidū</w:t>
      </w:r>
      <w:r w:rsidRPr="00420E77">
        <w:rPr>
          <w:rFonts w:cs="EhrhardtMT"/>
          <w:sz w:val="24"/>
          <w:szCs w:val="24"/>
        </w:rPr>
        <w:t>) to the sun or the moon, but bow down (</w:t>
      </w:r>
      <w:r w:rsidRPr="00420E77">
        <w:rPr>
          <w:rFonts w:cs="EhrhardtMT"/>
          <w:i/>
          <w:iCs/>
          <w:sz w:val="24"/>
          <w:szCs w:val="24"/>
        </w:rPr>
        <w:t>isjidū</w:t>
      </w:r>
      <w:r w:rsidRPr="00420E77">
        <w:rPr>
          <w:rFonts w:cs="EhrhardtMT"/>
          <w:sz w:val="24"/>
          <w:szCs w:val="24"/>
        </w:rPr>
        <w:t>) to God who created them, if it is truly Him that you worship.</w:t>
      </w:r>
      <w:r w:rsidRPr="00420E77">
        <w:rPr>
          <w:rStyle w:val="FootnoteReference"/>
          <w:rFonts w:cs="EhrhardtMT"/>
          <w:sz w:val="24"/>
          <w:szCs w:val="24"/>
        </w:rPr>
        <w:footnoteReference w:id="178"/>
      </w:r>
    </w:p>
    <w:p w:rsidR="00804318" w:rsidRPr="00420E77" w:rsidRDefault="00804318" w:rsidP="00804318">
      <w:pPr>
        <w:jc w:val="lowKashida"/>
        <w:rPr>
          <w:sz w:val="24"/>
          <w:szCs w:val="24"/>
        </w:rPr>
      </w:pPr>
    </w:p>
    <w:p w:rsidR="00804318" w:rsidRPr="00420E77" w:rsidRDefault="00804318" w:rsidP="00804318">
      <w:pPr>
        <w:jc w:val="lowKashida"/>
        <w:rPr>
          <w:sz w:val="24"/>
          <w:szCs w:val="24"/>
        </w:rPr>
      </w:pPr>
      <w:r w:rsidRPr="00420E77">
        <w:rPr>
          <w:sz w:val="24"/>
          <w:szCs w:val="24"/>
        </w:rPr>
        <w:t xml:space="preserve">The key Islamic concept of </w:t>
      </w:r>
      <w:r w:rsidRPr="00420E77">
        <w:rPr>
          <w:i/>
          <w:iCs/>
          <w:sz w:val="24"/>
          <w:szCs w:val="24"/>
        </w:rPr>
        <w:t>sujūd</w:t>
      </w:r>
      <w:r w:rsidRPr="00420E77">
        <w:rPr>
          <w:sz w:val="24"/>
          <w:szCs w:val="24"/>
        </w:rPr>
        <w:t xml:space="preserve">, from which the verbs </w:t>
      </w:r>
      <w:r w:rsidRPr="00420E77">
        <w:rPr>
          <w:i/>
          <w:iCs/>
          <w:sz w:val="24"/>
          <w:szCs w:val="24"/>
        </w:rPr>
        <w:t>tasjidū</w:t>
      </w:r>
      <w:r w:rsidRPr="00420E77">
        <w:rPr>
          <w:sz w:val="24"/>
          <w:szCs w:val="24"/>
        </w:rPr>
        <w:t xml:space="preserve"> and </w:t>
      </w:r>
      <w:r w:rsidRPr="00420E77">
        <w:rPr>
          <w:i/>
          <w:iCs/>
          <w:sz w:val="24"/>
          <w:szCs w:val="24"/>
        </w:rPr>
        <w:t>isjidū</w:t>
      </w:r>
      <w:r w:rsidRPr="00420E77">
        <w:rPr>
          <w:sz w:val="24"/>
          <w:szCs w:val="24"/>
        </w:rPr>
        <w:t xml:space="preserve"> are derived, linguistically denotes the act of bowing down and placing one's forehead on the ground in worship.</w:t>
      </w:r>
      <w:r w:rsidRPr="00420E77">
        <w:rPr>
          <w:rStyle w:val="FootnoteReference"/>
          <w:sz w:val="24"/>
          <w:szCs w:val="24"/>
        </w:rPr>
        <w:footnoteReference w:id="179"/>
      </w:r>
      <w:r w:rsidRPr="00420E77">
        <w:rPr>
          <w:sz w:val="24"/>
          <w:szCs w:val="24"/>
        </w:rPr>
        <w:t xml:space="preserve"> Through humbling and lowering oneself before an entity, </w:t>
      </w:r>
      <w:r w:rsidRPr="00420E77">
        <w:rPr>
          <w:i/>
          <w:iCs/>
          <w:sz w:val="24"/>
          <w:szCs w:val="24"/>
        </w:rPr>
        <w:t xml:space="preserve">sujūd </w:t>
      </w:r>
      <w:r w:rsidRPr="00420E77">
        <w:rPr>
          <w:sz w:val="24"/>
          <w:szCs w:val="24"/>
        </w:rPr>
        <w:t xml:space="preserve">is obviously an expression, both physical and metaphorical, of total submission to that entity. Hence this verse prohibits </w:t>
      </w:r>
      <w:r w:rsidRPr="00420E77">
        <w:rPr>
          <w:i/>
          <w:iCs/>
          <w:sz w:val="24"/>
          <w:szCs w:val="24"/>
        </w:rPr>
        <w:t>sujūd</w:t>
      </w:r>
      <w:r w:rsidRPr="00420E77">
        <w:rPr>
          <w:sz w:val="24"/>
          <w:szCs w:val="24"/>
        </w:rPr>
        <w:t xml:space="preserve">, or bowing down in submission, to anything except Allah, since </w:t>
      </w:r>
      <w:r w:rsidRPr="00420E77">
        <w:rPr>
          <w:i/>
          <w:iCs/>
          <w:sz w:val="24"/>
          <w:szCs w:val="24"/>
        </w:rPr>
        <w:t>sujūd</w:t>
      </w:r>
      <w:r w:rsidRPr="00420E77">
        <w:rPr>
          <w:sz w:val="24"/>
          <w:szCs w:val="24"/>
        </w:rPr>
        <w:t>, according to al-Rāzī, is demonstrative of the utmost degree of glorification and veneration which only befits the Creator of the universe, Allah.</w:t>
      </w:r>
      <w:r w:rsidRPr="00420E77">
        <w:rPr>
          <w:rStyle w:val="FootnoteReference"/>
          <w:sz w:val="24"/>
          <w:szCs w:val="24"/>
        </w:rPr>
        <w:footnoteReference w:id="180"/>
      </w:r>
      <w:r w:rsidRPr="00420E77">
        <w:rPr>
          <w:sz w:val="24"/>
          <w:szCs w:val="24"/>
        </w:rPr>
        <w:t xml:space="preserve"> In agreement with this, ibn Kathīr exemplified how the creations of Allah, the sun and the moon, are merely inanimate bodies subjugated to His supreme will and serving their assigned roles:</w:t>
      </w:r>
    </w:p>
    <w:p w:rsidR="00804318" w:rsidRPr="00420E77" w:rsidRDefault="00804318" w:rsidP="00804318">
      <w:pPr>
        <w:jc w:val="lowKashida"/>
        <w:rPr>
          <w:sz w:val="24"/>
          <w:szCs w:val="24"/>
        </w:rPr>
      </w:pPr>
      <w:r w:rsidRPr="00420E77">
        <w:rPr>
          <w:sz w:val="24"/>
          <w:szCs w:val="24"/>
        </w:rPr>
        <w:t xml:space="preserve"> </w:t>
      </w:r>
    </w:p>
    <w:p w:rsidR="00804318" w:rsidRPr="00420E77" w:rsidRDefault="00804318" w:rsidP="00EF5ADF">
      <w:pPr>
        <w:spacing w:line="240" w:lineRule="auto"/>
        <w:ind w:left="720"/>
        <w:jc w:val="lowKashida"/>
        <w:rPr>
          <w:sz w:val="24"/>
          <w:szCs w:val="24"/>
          <w:lang w:bidi="ar-AE"/>
        </w:rPr>
      </w:pPr>
      <w:r w:rsidRPr="00420E77">
        <w:rPr>
          <w:sz w:val="24"/>
          <w:szCs w:val="24"/>
          <w:lang w:bidi="ar-AE"/>
        </w:rPr>
        <w:t>And among His signs […] is the sun with its light and brilliance, and the moon with its luminosity, and the reckoning of its [the moon's] phases through its orbital motion, and its orbit, which is distinct from the sun's, [all of this] serves to make recognisable the portions of the night and the day, and the weeks, the months and the years. And from this is discerned the advent of legal times, and the times of worship and transactions. Since</w:t>
      </w:r>
      <w:r w:rsidRPr="00420E77">
        <w:rPr>
          <w:sz w:val="24"/>
          <w:szCs w:val="24"/>
        </w:rPr>
        <w:t xml:space="preserve"> the sun and the moon are </w:t>
      </w:r>
      <w:r w:rsidRPr="00420E77">
        <w:rPr>
          <w:sz w:val="24"/>
          <w:szCs w:val="24"/>
          <w:lang w:bidi="ar-AE"/>
        </w:rPr>
        <w:t>the most splendid among the visible celestial bodies in both the upper and lower realms, God Almighty brought to our attention that they are merely two</w:t>
      </w:r>
      <w:r w:rsidRPr="00420E77">
        <w:rPr>
          <w:rFonts w:hint="cs"/>
          <w:sz w:val="24"/>
          <w:szCs w:val="24"/>
          <w:rtl/>
          <w:lang w:bidi="ar-AE"/>
        </w:rPr>
        <w:t xml:space="preserve"> </w:t>
      </w:r>
      <w:r w:rsidRPr="00420E77">
        <w:rPr>
          <w:sz w:val="24"/>
          <w:szCs w:val="24"/>
          <w:lang w:bidi="ar-AE"/>
        </w:rPr>
        <w:t>of his created servants,</w:t>
      </w:r>
      <w:r w:rsidRPr="00420E77">
        <w:rPr>
          <w:rFonts w:hint="cs"/>
          <w:sz w:val="24"/>
          <w:szCs w:val="24"/>
          <w:rtl/>
          <w:lang w:bidi="ar-AE"/>
        </w:rPr>
        <w:t xml:space="preserve"> </w:t>
      </w:r>
      <w:r w:rsidRPr="00420E77">
        <w:rPr>
          <w:sz w:val="24"/>
          <w:szCs w:val="24"/>
          <w:lang w:bidi="ar-AE"/>
        </w:rPr>
        <w:t>overpowered by Him and subjugated to Him.</w:t>
      </w:r>
      <w:r w:rsidRPr="00420E77">
        <w:rPr>
          <w:rStyle w:val="FootnoteReference"/>
          <w:sz w:val="24"/>
          <w:szCs w:val="24"/>
          <w:lang w:bidi="ar-AE"/>
        </w:rPr>
        <w:footnoteReference w:id="181"/>
      </w:r>
    </w:p>
    <w:p w:rsidR="00804318" w:rsidRPr="00420E77" w:rsidRDefault="00804318" w:rsidP="00804318">
      <w:pPr>
        <w:jc w:val="lowKashida"/>
        <w:rPr>
          <w:sz w:val="24"/>
          <w:szCs w:val="24"/>
        </w:rPr>
      </w:pPr>
    </w:p>
    <w:p w:rsidR="00804318" w:rsidRPr="00420E77" w:rsidRDefault="00804318" w:rsidP="00804318">
      <w:pPr>
        <w:jc w:val="lowKashida"/>
        <w:rPr>
          <w:sz w:val="24"/>
          <w:szCs w:val="24"/>
        </w:rPr>
      </w:pPr>
      <w:r w:rsidRPr="00420E77">
        <w:rPr>
          <w:sz w:val="24"/>
          <w:szCs w:val="24"/>
        </w:rPr>
        <w:t xml:space="preserve">The views of the studied exegetes reveal once again a visible resemblance to the orthodox worldview of al-Ghazālī. After pointing out in his in his </w:t>
      </w:r>
      <w:r w:rsidRPr="00420E77">
        <w:rPr>
          <w:i/>
          <w:iCs/>
          <w:sz w:val="24"/>
          <w:szCs w:val="24"/>
        </w:rPr>
        <w:t>Revival of the Religious Sciences</w:t>
      </w:r>
      <w:r w:rsidRPr="00420E77">
        <w:rPr>
          <w:sz w:val="24"/>
          <w:szCs w:val="24"/>
        </w:rPr>
        <w:t xml:space="preserve"> that the 'mathematical' aspect of astronomy, which is referred to in numerous verse in the Qur'ān is harmless, al-Ghazālī strongly cautioned against its judicial application, astrology, since it could easily lead its acquirer astray.</w:t>
      </w:r>
      <w:r w:rsidRPr="00420E77">
        <w:rPr>
          <w:rStyle w:val="FootnoteReference"/>
          <w:sz w:val="24"/>
          <w:szCs w:val="24"/>
        </w:rPr>
        <w:footnoteReference w:id="182"/>
      </w:r>
      <w:r w:rsidRPr="00420E77">
        <w:rPr>
          <w:sz w:val="24"/>
          <w:szCs w:val="24"/>
        </w:rPr>
        <w:t xml:space="preserve"> Illustrating how astrology could dangerously distort the worldview of most people, al-Ghazālī wrote: </w:t>
      </w:r>
    </w:p>
    <w:p w:rsidR="00804318" w:rsidRPr="00420E77" w:rsidRDefault="00804318" w:rsidP="00804318">
      <w:pPr>
        <w:bidi/>
        <w:jc w:val="lowKashida"/>
        <w:rPr>
          <w:sz w:val="24"/>
          <w:szCs w:val="24"/>
        </w:rPr>
      </w:pPr>
    </w:p>
    <w:p w:rsidR="00804318" w:rsidRPr="00420E77" w:rsidRDefault="00804318" w:rsidP="00EF5ADF">
      <w:pPr>
        <w:spacing w:line="240" w:lineRule="auto"/>
        <w:ind w:left="720"/>
        <w:jc w:val="lowKashida"/>
        <w:rPr>
          <w:sz w:val="24"/>
          <w:szCs w:val="24"/>
          <w:rtl/>
        </w:rPr>
      </w:pPr>
      <w:r w:rsidRPr="00420E77">
        <w:rPr>
          <w:sz w:val="24"/>
          <w:szCs w:val="24"/>
          <w:lang w:bidi="ar-AE"/>
        </w:rPr>
        <w:t>When they [people] hear that certain effects follow the motion of planets, it occurs to them that it is the planets that influence and effect [the course of events], and that they are the organising deities […] As a result, they [the planets] become venerated [by people], and their [the people's] hearts become attached to them [the planets], believing that good and evil are be either sought or feared from them [the planets]. As such, the remembrance of Allah disappears from the heart […] Well-founded scholars only can see that the sun, the moon and the stars are subjugated to the commands of the Almighty.</w:t>
      </w:r>
      <w:r w:rsidRPr="00420E77">
        <w:rPr>
          <w:rStyle w:val="FootnoteReference"/>
          <w:sz w:val="24"/>
          <w:szCs w:val="24"/>
          <w:lang w:bidi="ar-AE"/>
        </w:rPr>
        <w:footnoteReference w:id="183"/>
      </w:r>
      <w:r w:rsidRPr="00420E77">
        <w:rPr>
          <w:sz w:val="24"/>
          <w:szCs w:val="24"/>
          <w:lang w:bidi="ar-AE"/>
        </w:rPr>
        <w:t xml:space="preserve">  </w:t>
      </w:r>
      <w:r w:rsidRPr="00420E77">
        <w:rPr>
          <w:rFonts w:hint="cs"/>
          <w:sz w:val="24"/>
          <w:szCs w:val="24"/>
          <w:rtl/>
          <w:lang w:bidi="ar-AE"/>
        </w:rPr>
        <w:t xml:space="preserve"> </w:t>
      </w:r>
    </w:p>
    <w:p w:rsidR="00804318" w:rsidRPr="00420E77" w:rsidRDefault="00804318" w:rsidP="00804318">
      <w:pPr>
        <w:jc w:val="lowKashida"/>
        <w:rPr>
          <w:sz w:val="24"/>
          <w:szCs w:val="24"/>
        </w:rPr>
      </w:pPr>
    </w:p>
    <w:p w:rsidR="00804318" w:rsidRPr="00420E77" w:rsidRDefault="00804318" w:rsidP="00804318">
      <w:pPr>
        <w:jc w:val="lowKashida"/>
        <w:rPr>
          <w:sz w:val="24"/>
          <w:szCs w:val="24"/>
          <w:rtl/>
          <w:lang w:bidi="ar-AE"/>
        </w:rPr>
      </w:pPr>
      <w:r w:rsidRPr="00420E77">
        <w:rPr>
          <w:sz w:val="24"/>
          <w:szCs w:val="24"/>
          <w:lang w:bidi="ar-AE"/>
        </w:rPr>
        <w:t>It is also worth noting that the eschatological image depicted in all three exegetical works is conspicuously enriched with biblical details, as evident from the prevalence of the narratives of ibn 'Abbās.</w:t>
      </w:r>
      <w:r w:rsidRPr="00420E77">
        <w:rPr>
          <w:rStyle w:val="FootnoteReference"/>
          <w:sz w:val="24"/>
          <w:szCs w:val="24"/>
          <w:lang w:bidi="ar-AE"/>
        </w:rPr>
        <w:footnoteReference w:id="184"/>
      </w:r>
      <w:r w:rsidRPr="00420E77">
        <w:rPr>
          <w:sz w:val="24"/>
          <w:szCs w:val="24"/>
          <w:lang w:bidi="ar-AE"/>
        </w:rPr>
        <w:t xml:space="preserve"> The angelic beings keeping the stars in their assigned courses, as described by al-Qurṭubī, are highly comparable to the legion of angels created by God to safeguard the stability of the Jewish cosmos in the books of</w:t>
      </w:r>
      <w:r w:rsidRPr="00420E77">
        <w:rPr>
          <w:i/>
          <w:iCs/>
          <w:sz w:val="24"/>
          <w:szCs w:val="24"/>
          <w:lang w:bidi="ar-AE"/>
        </w:rPr>
        <w:t xml:space="preserve"> Jubilees </w:t>
      </w:r>
      <w:r w:rsidRPr="00420E77">
        <w:rPr>
          <w:sz w:val="24"/>
          <w:szCs w:val="24"/>
          <w:lang w:bidi="ar-AE"/>
        </w:rPr>
        <w:t xml:space="preserve">and </w:t>
      </w:r>
      <w:r w:rsidRPr="00420E77">
        <w:rPr>
          <w:i/>
          <w:iCs/>
          <w:sz w:val="24"/>
          <w:szCs w:val="24"/>
          <w:lang w:bidi="ar-AE"/>
        </w:rPr>
        <w:t>I</w:t>
      </w:r>
      <w:r w:rsidRPr="00420E77">
        <w:rPr>
          <w:sz w:val="24"/>
          <w:szCs w:val="24"/>
          <w:lang w:bidi="ar-AE"/>
        </w:rPr>
        <w:t xml:space="preserve"> </w:t>
      </w:r>
      <w:r w:rsidRPr="00420E77">
        <w:rPr>
          <w:i/>
          <w:iCs/>
          <w:sz w:val="24"/>
          <w:szCs w:val="24"/>
          <w:lang w:bidi="ar-AE"/>
        </w:rPr>
        <w:t>Enoch</w:t>
      </w:r>
      <w:r w:rsidRPr="00420E77">
        <w:rPr>
          <w:sz w:val="24"/>
          <w:szCs w:val="24"/>
          <w:lang w:bidi="ar-AE"/>
        </w:rPr>
        <w:t>.</w:t>
      </w:r>
      <w:r w:rsidRPr="00420E77">
        <w:rPr>
          <w:rStyle w:val="FootnoteReference"/>
          <w:sz w:val="24"/>
          <w:szCs w:val="24"/>
          <w:lang w:bidi="ar-AE"/>
        </w:rPr>
        <w:footnoteReference w:id="185"/>
      </w:r>
      <w:r w:rsidRPr="00420E77">
        <w:rPr>
          <w:sz w:val="24"/>
          <w:szCs w:val="24"/>
          <w:lang w:bidi="ar-AE"/>
        </w:rPr>
        <w:t xml:space="preserve"> Creatures which rebel against the established cosmic laws, on the other hand, will inevitably be punished and tossed into the Hellfire, including celestial bodies which 'transgressed the commandment of the Lord.'</w:t>
      </w:r>
      <w:r w:rsidRPr="00420E77">
        <w:rPr>
          <w:rStyle w:val="FootnoteReference"/>
          <w:sz w:val="24"/>
          <w:szCs w:val="24"/>
          <w:lang w:bidi="ar-AE"/>
        </w:rPr>
        <w:footnoteReference w:id="186"/>
      </w:r>
      <w:r w:rsidRPr="00420E77">
        <w:rPr>
          <w:sz w:val="24"/>
          <w:szCs w:val="24"/>
          <w:lang w:bidi="ar-AE"/>
        </w:rPr>
        <w:t xml:space="preserve"> In Jewish and Islamic cosmology therefore, submission to the Will of the Creator, or Laws of Nature, is essential to sustain the order and stability of the upper, and subsequently, lower realms. Cohn observed that in such a worldview cosmic order is perceived as essentially originating from obedience for 'Human beings, plants, winds and stars all creature of God, and as such, in duty bound to obey him.'</w:t>
      </w:r>
      <w:r w:rsidRPr="00420E77">
        <w:rPr>
          <w:rStyle w:val="FootnoteReference"/>
          <w:sz w:val="24"/>
          <w:szCs w:val="24"/>
          <w:lang w:bidi="ar-AE"/>
        </w:rPr>
        <w:footnoteReference w:id="187"/>
      </w:r>
      <w:r w:rsidRPr="00420E77">
        <w:rPr>
          <w:sz w:val="24"/>
          <w:szCs w:val="24"/>
          <w:lang w:bidi="ar-AE"/>
        </w:rPr>
        <w:t xml:space="preserve"> </w:t>
      </w:r>
    </w:p>
    <w:p w:rsidR="00804318" w:rsidRPr="00420E77" w:rsidRDefault="00804318" w:rsidP="00804318">
      <w:pPr>
        <w:jc w:val="lowKashida"/>
        <w:rPr>
          <w:sz w:val="24"/>
          <w:szCs w:val="24"/>
          <w:lang w:bidi="ar-AE"/>
        </w:rPr>
      </w:pPr>
    </w:p>
    <w:p w:rsidR="00804318" w:rsidRPr="00420E77" w:rsidRDefault="00804318" w:rsidP="00804318">
      <w:pPr>
        <w:jc w:val="lowKashida"/>
        <w:rPr>
          <w:sz w:val="24"/>
          <w:szCs w:val="24"/>
          <w:lang w:bidi="ar-AE"/>
        </w:rPr>
      </w:pPr>
      <w:r w:rsidRPr="00420E77">
        <w:rPr>
          <w:sz w:val="24"/>
          <w:szCs w:val="24"/>
        </w:rPr>
        <w:t xml:space="preserve">Yet this orderly cosmos will surely disintegrate, </w:t>
      </w:r>
      <w:r w:rsidRPr="00420E77">
        <w:rPr>
          <w:sz w:val="24"/>
          <w:szCs w:val="24"/>
          <w:lang w:bidi="ar-AE"/>
        </w:rPr>
        <w:t xml:space="preserve">on the assigned time, when the Hour strikes ending the profanity of mundane history. The descriptive accounts of the imminent cataclysmic apocalypse depicted in the apocalyptic </w:t>
      </w:r>
      <w:r w:rsidRPr="00420E77">
        <w:rPr>
          <w:i/>
          <w:iCs/>
          <w:sz w:val="24"/>
          <w:szCs w:val="24"/>
          <w:lang w:bidi="ar-AE"/>
        </w:rPr>
        <w:t xml:space="preserve">sūras </w:t>
      </w:r>
      <w:r w:rsidRPr="00420E77">
        <w:rPr>
          <w:sz w:val="24"/>
          <w:szCs w:val="24"/>
          <w:lang w:bidi="ar-AE"/>
        </w:rPr>
        <w:t xml:space="preserve">are followed by oath cluster which affirm the eschatological fate that awaits humanity. In </w:t>
      </w:r>
      <w:r w:rsidRPr="00420E77">
        <w:rPr>
          <w:sz w:val="24"/>
          <w:szCs w:val="24"/>
        </w:rPr>
        <w:t>in 'the Rending Asunder', for instance, one reads:</w:t>
      </w:r>
    </w:p>
    <w:p w:rsidR="00804318" w:rsidRPr="00420E77" w:rsidRDefault="00804318" w:rsidP="00804318">
      <w:pPr>
        <w:jc w:val="lowKashida"/>
        <w:rPr>
          <w:sz w:val="24"/>
          <w:szCs w:val="24"/>
          <w:lang w:bidi="ar-AE"/>
        </w:rPr>
      </w:pPr>
      <w:r w:rsidRPr="00420E77">
        <w:rPr>
          <w:sz w:val="24"/>
          <w:szCs w:val="24"/>
          <w:lang w:bidi="ar-AE"/>
        </w:rPr>
        <w:t xml:space="preserve"> </w:t>
      </w:r>
    </w:p>
    <w:p w:rsidR="00804318" w:rsidRPr="00420E77" w:rsidRDefault="00804318" w:rsidP="00EF5ADF">
      <w:pPr>
        <w:spacing w:line="240" w:lineRule="auto"/>
        <w:ind w:left="720"/>
        <w:rPr>
          <w:color w:val="000000"/>
          <w:sz w:val="24"/>
          <w:szCs w:val="24"/>
        </w:rPr>
      </w:pPr>
      <w:r w:rsidRPr="00420E77">
        <w:rPr>
          <w:color w:val="000000"/>
          <w:sz w:val="24"/>
          <w:szCs w:val="24"/>
        </w:rPr>
        <w:t xml:space="preserve">So I do call to witness the ruddy glow of Sunset; </w:t>
      </w:r>
    </w:p>
    <w:p w:rsidR="00804318" w:rsidRPr="00420E77" w:rsidRDefault="00804318" w:rsidP="00EF5ADF">
      <w:pPr>
        <w:spacing w:line="240" w:lineRule="auto"/>
        <w:ind w:left="720"/>
        <w:rPr>
          <w:color w:val="000000"/>
          <w:sz w:val="24"/>
          <w:szCs w:val="24"/>
        </w:rPr>
      </w:pPr>
      <w:r w:rsidRPr="00420E77">
        <w:rPr>
          <w:color w:val="000000"/>
          <w:sz w:val="24"/>
          <w:szCs w:val="24"/>
        </w:rPr>
        <w:t xml:space="preserve">The Night and its Homing; </w:t>
      </w:r>
    </w:p>
    <w:p w:rsidR="00804318" w:rsidRPr="00420E77" w:rsidRDefault="00804318" w:rsidP="00EF5ADF">
      <w:pPr>
        <w:spacing w:line="240" w:lineRule="auto"/>
        <w:ind w:left="720"/>
        <w:rPr>
          <w:color w:val="000000"/>
          <w:sz w:val="24"/>
          <w:szCs w:val="24"/>
        </w:rPr>
      </w:pPr>
      <w:r w:rsidRPr="00420E77">
        <w:rPr>
          <w:color w:val="000000"/>
          <w:sz w:val="24"/>
          <w:szCs w:val="24"/>
        </w:rPr>
        <w:t xml:space="preserve">And the Moon in her Fullness; </w:t>
      </w:r>
    </w:p>
    <w:p w:rsidR="00804318" w:rsidRPr="00420E77" w:rsidRDefault="00804318" w:rsidP="00EF5ADF">
      <w:pPr>
        <w:spacing w:line="240" w:lineRule="auto"/>
        <w:ind w:left="720"/>
        <w:rPr>
          <w:color w:val="000000"/>
          <w:sz w:val="24"/>
          <w:szCs w:val="24"/>
        </w:rPr>
      </w:pPr>
      <w:r w:rsidRPr="00420E77">
        <w:rPr>
          <w:color w:val="000000"/>
          <w:sz w:val="24"/>
          <w:szCs w:val="24"/>
        </w:rPr>
        <w:t>Ye shall surely travel from stage to stage.</w:t>
      </w:r>
      <w:r w:rsidRPr="00420E77">
        <w:rPr>
          <w:rStyle w:val="FootnoteReference"/>
          <w:color w:val="000000"/>
          <w:sz w:val="24"/>
          <w:szCs w:val="24"/>
        </w:rPr>
        <w:footnoteReference w:id="188"/>
      </w:r>
      <w:r w:rsidRPr="00420E77">
        <w:rPr>
          <w:color w:val="000000"/>
          <w:sz w:val="24"/>
          <w:szCs w:val="24"/>
        </w:rPr>
        <w:t xml:space="preserve"> </w:t>
      </w:r>
    </w:p>
    <w:p w:rsidR="00804318" w:rsidRPr="00420E77" w:rsidRDefault="00804318" w:rsidP="00804318">
      <w:pPr>
        <w:jc w:val="both"/>
        <w:rPr>
          <w:color w:val="000000"/>
          <w:sz w:val="24"/>
          <w:szCs w:val="24"/>
        </w:rPr>
      </w:pPr>
    </w:p>
    <w:p w:rsidR="00804318" w:rsidRPr="00420E77" w:rsidRDefault="00804318" w:rsidP="00804318">
      <w:pPr>
        <w:jc w:val="both"/>
        <w:rPr>
          <w:color w:val="000000"/>
          <w:sz w:val="24"/>
          <w:szCs w:val="24"/>
          <w:lang w:bidi="ar-AE"/>
        </w:rPr>
      </w:pPr>
      <w:r w:rsidRPr="00420E77">
        <w:rPr>
          <w:color w:val="000000"/>
          <w:sz w:val="24"/>
          <w:szCs w:val="24"/>
        </w:rPr>
        <w:t xml:space="preserve">To al-Rāzī, the above natural phenomena are to be perceived as signs to be contemplated by the believers, for when these phenomena are assessed rationally they reveal the changeability and transience of </w:t>
      </w:r>
      <w:r w:rsidRPr="00420E77">
        <w:rPr>
          <w:i/>
          <w:iCs/>
          <w:color w:val="000000"/>
          <w:sz w:val="24"/>
          <w:szCs w:val="24"/>
        </w:rPr>
        <w:t>dunyā</w:t>
      </w:r>
      <w:r w:rsidRPr="00420E77">
        <w:rPr>
          <w:color w:val="000000"/>
          <w:sz w:val="24"/>
          <w:szCs w:val="24"/>
        </w:rPr>
        <w:t xml:space="preserve"> (mundane world).</w:t>
      </w:r>
      <w:r w:rsidRPr="00420E77">
        <w:rPr>
          <w:rStyle w:val="FootnoteReference"/>
          <w:color w:val="000000"/>
          <w:sz w:val="24"/>
          <w:szCs w:val="24"/>
        </w:rPr>
        <w:footnoteReference w:id="189"/>
      </w:r>
      <w:r w:rsidRPr="00420E77">
        <w:rPr>
          <w:color w:val="000000"/>
          <w:sz w:val="24"/>
          <w:szCs w:val="24"/>
        </w:rPr>
        <w:t xml:space="preserve"> The 'ruddy glow of Sunset' for instance, al-Rāzī elaborated, is a significant moment of liminality between day and night that signals the transition from alertness to idleness.</w:t>
      </w:r>
      <w:r w:rsidRPr="00420E77">
        <w:rPr>
          <w:rStyle w:val="FootnoteReference"/>
          <w:color w:val="000000"/>
          <w:sz w:val="24"/>
          <w:szCs w:val="24"/>
        </w:rPr>
        <w:footnoteReference w:id="190"/>
      </w:r>
      <w:r w:rsidRPr="00420E77">
        <w:rPr>
          <w:color w:val="000000"/>
          <w:sz w:val="24"/>
          <w:szCs w:val="24"/>
        </w:rPr>
        <w:t xml:space="preserve"> The phases of the Moon similarly denote the impermanency of the world, he added.</w:t>
      </w:r>
      <w:r w:rsidRPr="00420E77">
        <w:rPr>
          <w:rStyle w:val="FootnoteReference"/>
          <w:color w:val="000000"/>
          <w:sz w:val="24"/>
          <w:szCs w:val="24"/>
        </w:rPr>
        <w:footnoteReference w:id="191"/>
      </w:r>
      <w:r w:rsidRPr="00420E77">
        <w:rPr>
          <w:color w:val="000000"/>
          <w:sz w:val="24"/>
          <w:szCs w:val="24"/>
        </w:rPr>
        <w:t xml:space="preserve"> In his argument, al-Rāzī was clearly </w:t>
      </w:r>
      <w:r w:rsidRPr="00420E77">
        <w:rPr>
          <w:color w:val="000000"/>
          <w:sz w:val="24"/>
          <w:szCs w:val="24"/>
          <w:lang w:bidi="ar-AE"/>
        </w:rPr>
        <w:t xml:space="preserve">emulating the rational methodology of Islamic rationalism. As described by Nasr Abu Zayd, this branch of Islamic theology relied predominantly on the procedure of </w:t>
      </w:r>
      <w:r w:rsidRPr="00420E77">
        <w:rPr>
          <w:i/>
          <w:iCs/>
          <w:color w:val="000000"/>
          <w:sz w:val="24"/>
          <w:szCs w:val="24"/>
          <w:lang w:bidi="ar-AE"/>
        </w:rPr>
        <w:t>qiyās manṭiqī</w:t>
      </w:r>
      <w:r w:rsidRPr="00420E77">
        <w:rPr>
          <w:color w:val="000000"/>
          <w:sz w:val="24"/>
          <w:szCs w:val="24"/>
          <w:lang w:bidi="ar-AE"/>
        </w:rPr>
        <w:t>, or rational syllogism.</w:t>
      </w:r>
      <w:r w:rsidRPr="00420E77">
        <w:rPr>
          <w:rStyle w:val="FootnoteReference"/>
          <w:color w:val="000000"/>
          <w:sz w:val="24"/>
          <w:szCs w:val="24"/>
          <w:lang w:bidi="ar-AE"/>
        </w:rPr>
        <w:footnoteReference w:id="192"/>
      </w:r>
      <w:r w:rsidRPr="00420E77">
        <w:rPr>
          <w:color w:val="000000"/>
          <w:sz w:val="24"/>
          <w:szCs w:val="24"/>
          <w:lang w:bidi="ar-AE"/>
        </w:rPr>
        <w:t xml:space="preserve"> The rational debater employing the process of </w:t>
      </w:r>
      <w:r w:rsidRPr="00420E77">
        <w:rPr>
          <w:i/>
          <w:iCs/>
          <w:color w:val="000000"/>
          <w:sz w:val="24"/>
          <w:szCs w:val="24"/>
          <w:lang w:bidi="ar-AE"/>
        </w:rPr>
        <w:t xml:space="preserve">qiyās, </w:t>
      </w:r>
      <w:r w:rsidRPr="00420E77">
        <w:rPr>
          <w:color w:val="000000"/>
          <w:sz w:val="24"/>
          <w:szCs w:val="24"/>
          <w:lang w:bidi="ar-AE"/>
        </w:rPr>
        <w:t xml:space="preserve">Abu Zayd continued, will gradually progress through </w:t>
      </w:r>
      <w:r w:rsidRPr="00420E77">
        <w:rPr>
          <w:i/>
          <w:iCs/>
          <w:color w:val="000000"/>
          <w:sz w:val="24"/>
          <w:szCs w:val="24"/>
          <w:lang w:bidi="ar-AE"/>
        </w:rPr>
        <w:t xml:space="preserve"> </w:t>
      </w:r>
      <w:r w:rsidRPr="00420E77">
        <w:rPr>
          <w:color w:val="000000"/>
          <w:sz w:val="24"/>
          <w:szCs w:val="24"/>
          <w:lang w:bidi="ar-AE"/>
        </w:rPr>
        <w:t xml:space="preserve"> a sequence of three main logical postulations, 'Every created action refers to an actor who created it […] The perfect action refers to a wise knowledgeable actor […] The perfect structure of this seen physical world refers to a wise, knowledgeable actor.'</w:t>
      </w:r>
      <w:r w:rsidRPr="00420E77">
        <w:rPr>
          <w:rStyle w:val="FootnoteReference"/>
          <w:color w:val="000000"/>
          <w:sz w:val="24"/>
          <w:szCs w:val="24"/>
          <w:lang w:bidi="ar-AE"/>
        </w:rPr>
        <w:footnoteReference w:id="193"/>
      </w:r>
      <w:r w:rsidRPr="00420E77">
        <w:rPr>
          <w:color w:val="000000"/>
          <w:sz w:val="24"/>
          <w:szCs w:val="24"/>
          <w:lang w:bidi="ar-AE"/>
        </w:rPr>
        <w:t xml:space="preserve"> Similarly, al-Rāzī was rationally establishing that the diurnal motion of the sun, the phases of the moon, and the alternation between day and night are phenomena, or signs, that reveal to thoughtful and alert minds the presence of a universal regularity so meticulous that is impossible to be deemed random. These perfect cycles hence certainly refer to the presence of a masterful, wise and knowledgeable Creator. Employing then what Aby Zayd described as </w:t>
      </w:r>
      <w:r w:rsidRPr="00420E77">
        <w:rPr>
          <w:i/>
          <w:iCs/>
          <w:color w:val="000000"/>
          <w:sz w:val="24"/>
          <w:szCs w:val="24"/>
          <w:lang w:bidi="ar-AE"/>
        </w:rPr>
        <w:t>qiyās al-ghā'ib 'alā al-shāhid</w:t>
      </w:r>
      <w:r w:rsidRPr="00420E77">
        <w:rPr>
          <w:color w:val="000000"/>
          <w:sz w:val="24"/>
          <w:szCs w:val="24"/>
          <w:lang w:bidi="ar-AE"/>
        </w:rPr>
        <w:t xml:space="preserve">, or the analogy between the visible and invisible, al-Rāzī skillfully reaches the logical deduction that confirm the certainty </w:t>
      </w:r>
      <w:r w:rsidRPr="00420E77">
        <w:rPr>
          <w:color w:val="000000"/>
          <w:sz w:val="24"/>
          <w:szCs w:val="24"/>
        </w:rPr>
        <w:t>of the promised resurrection:</w:t>
      </w:r>
    </w:p>
    <w:p w:rsidR="00804318" w:rsidRPr="00420E77" w:rsidRDefault="00804318" w:rsidP="00804318">
      <w:pPr>
        <w:jc w:val="both"/>
        <w:rPr>
          <w:color w:val="000000"/>
          <w:sz w:val="24"/>
          <w:szCs w:val="24"/>
          <w:lang w:bidi="ar-AE"/>
        </w:rPr>
      </w:pPr>
    </w:p>
    <w:p w:rsidR="00804318" w:rsidRPr="00420E77" w:rsidRDefault="00804318" w:rsidP="00EF5ADF">
      <w:pPr>
        <w:spacing w:line="240" w:lineRule="auto"/>
        <w:ind w:left="720"/>
        <w:jc w:val="lowKashida"/>
        <w:rPr>
          <w:color w:val="000000"/>
          <w:sz w:val="24"/>
          <w:szCs w:val="24"/>
          <w:lang w:bidi="ar-AE"/>
        </w:rPr>
      </w:pPr>
      <w:r w:rsidRPr="00420E77">
        <w:rPr>
          <w:color w:val="000000"/>
          <w:sz w:val="24"/>
          <w:szCs w:val="24"/>
        </w:rPr>
        <w:t xml:space="preserve">For He who is able to affect change in the superior and inferior celestial bodies, from a </w:t>
      </w:r>
      <w:r w:rsidRPr="00420E77">
        <w:rPr>
          <w:color w:val="000000"/>
          <w:sz w:val="24"/>
          <w:szCs w:val="24"/>
          <w:lang w:bidi="ar-AE"/>
        </w:rPr>
        <w:t>moment to another, and from a quality to another, must be in His own essence able to affect all that is possible and knowing of all there is, and Who possesses such attributes is undoubtedly capable of resurrecting the dead.</w:t>
      </w:r>
      <w:r w:rsidRPr="00420E77">
        <w:rPr>
          <w:rStyle w:val="FootnoteReference"/>
          <w:color w:val="000000"/>
          <w:sz w:val="24"/>
          <w:szCs w:val="24"/>
          <w:lang w:bidi="ar-AE"/>
        </w:rPr>
        <w:footnoteReference w:id="194"/>
      </w:r>
    </w:p>
    <w:p w:rsidR="00804318" w:rsidRPr="00420E77" w:rsidRDefault="00804318" w:rsidP="00804318">
      <w:pPr>
        <w:jc w:val="both"/>
        <w:rPr>
          <w:color w:val="000000"/>
          <w:sz w:val="24"/>
          <w:szCs w:val="24"/>
          <w:lang w:bidi="ar-AE"/>
        </w:rPr>
      </w:pPr>
    </w:p>
    <w:p w:rsidR="00804318" w:rsidRPr="00420E77" w:rsidRDefault="00804318" w:rsidP="00804318">
      <w:pPr>
        <w:jc w:val="both"/>
        <w:rPr>
          <w:sz w:val="24"/>
          <w:szCs w:val="24"/>
        </w:rPr>
      </w:pPr>
      <w:r w:rsidRPr="00420E77">
        <w:rPr>
          <w:color w:val="000000"/>
          <w:sz w:val="24"/>
          <w:szCs w:val="24"/>
          <w:lang w:bidi="ar-AE"/>
        </w:rPr>
        <w:t>Focusing on the conclusive verse of the aforementioned oath cluster, '</w:t>
      </w:r>
      <w:r w:rsidRPr="00420E77">
        <w:rPr>
          <w:rFonts w:cs="EhrhardtMT"/>
          <w:sz w:val="24"/>
          <w:szCs w:val="24"/>
        </w:rPr>
        <w:t>You will progress from stage to stage,'</w:t>
      </w:r>
      <w:r w:rsidRPr="00420E77">
        <w:rPr>
          <w:color w:val="000000"/>
          <w:sz w:val="24"/>
          <w:szCs w:val="24"/>
          <w:lang w:bidi="ar-AE"/>
        </w:rPr>
        <w:t xml:space="preserve"> ibn Kathīr likewise opined that the stages mentioned are symbolic of the states of existence from birth, death, resurrection to reward and retribution.</w:t>
      </w:r>
      <w:r w:rsidRPr="00420E77">
        <w:rPr>
          <w:rStyle w:val="FootnoteReference"/>
          <w:color w:val="000000"/>
          <w:sz w:val="24"/>
          <w:szCs w:val="24"/>
          <w:lang w:bidi="ar-AE"/>
        </w:rPr>
        <w:footnoteReference w:id="195"/>
      </w:r>
      <w:r w:rsidRPr="00420E77">
        <w:rPr>
          <w:sz w:val="24"/>
          <w:szCs w:val="24"/>
        </w:rPr>
        <w:t xml:space="preserve"> </w:t>
      </w:r>
      <w:r w:rsidRPr="00420E77">
        <w:rPr>
          <w:color w:val="000000"/>
          <w:sz w:val="24"/>
          <w:szCs w:val="24"/>
          <w:lang w:bidi="ar-AE"/>
        </w:rPr>
        <w:t xml:space="preserve">Apparently, both </w:t>
      </w:r>
      <w:r w:rsidRPr="00420E77">
        <w:rPr>
          <w:sz w:val="24"/>
          <w:szCs w:val="24"/>
        </w:rPr>
        <w:t xml:space="preserve">the rational </w:t>
      </w:r>
      <w:r w:rsidRPr="00420E77">
        <w:rPr>
          <w:i/>
          <w:iCs/>
          <w:sz w:val="24"/>
          <w:szCs w:val="24"/>
        </w:rPr>
        <w:t>qiyās</w:t>
      </w:r>
      <w:r w:rsidRPr="00420E77">
        <w:rPr>
          <w:sz w:val="24"/>
          <w:szCs w:val="24"/>
        </w:rPr>
        <w:t xml:space="preserve"> of al-Rāzī and the traditional </w:t>
      </w:r>
      <w:r w:rsidRPr="00420E77">
        <w:rPr>
          <w:i/>
          <w:iCs/>
          <w:sz w:val="24"/>
          <w:szCs w:val="24"/>
        </w:rPr>
        <w:t>tafsīr</w:t>
      </w:r>
      <w:r w:rsidRPr="00420E77">
        <w:rPr>
          <w:sz w:val="24"/>
          <w:szCs w:val="24"/>
        </w:rPr>
        <w:t xml:space="preserve"> of ibn Kathīr agree on the eschatological connotations of the above verses, for to both exegetes, these verses refer to the Islamic principle of </w:t>
      </w:r>
      <w:r w:rsidRPr="00420E77">
        <w:rPr>
          <w:i/>
          <w:iCs/>
          <w:sz w:val="24"/>
          <w:szCs w:val="24"/>
        </w:rPr>
        <w:t xml:space="preserve">ma'ād </w:t>
      </w:r>
      <w:r w:rsidRPr="00420E77">
        <w:rPr>
          <w:sz w:val="24"/>
          <w:szCs w:val="24"/>
        </w:rPr>
        <w:t>or return, which as defined by Chittick, encompasses both the 'realms of becoming wherein the events of the eschaton take place and the modus operandi of the soul's journey to its final home.'</w:t>
      </w:r>
      <w:r w:rsidRPr="00420E77">
        <w:rPr>
          <w:rStyle w:val="FootnoteReference"/>
          <w:sz w:val="24"/>
          <w:szCs w:val="24"/>
        </w:rPr>
        <w:footnoteReference w:id="196"/>
      </w:r>
      <w:r w:rsidRPr="00420E77">
        <w:rPr>
          <w:sz w:val="24"/>
          <w:szCs w:val="24"/>
        </w:rPr>
        <w:t xml:space="preserve"> I</w:t>
      </w:r>
      <w:r w:rsidRPr="00420E77">
        <w:rPr>
          <w:color w:val="000000"/>
          <w:sz w:val="24"/>
          <w:szCs w:val="24"/>
          <w:lang w:bidi="ar-AE"/>
        </w:rPr>
        <w:t xml:space="preserve">bn Kathīr nonetheless proposed an alternative reading of this eschatological journey, which also denotes according to the Prophet, a state of moral corruption that will continuously deteriorate till the Last Day; a view undoubtedly influenced by the highly precarious and volatile social, political and military circumstance that </w:t>
      </w:r>
      <w:r w:rsidRPr="00420E77">
        <w:rPr>
          <w:sz w:val="24"/>
          <w:szCs w:val="24"/>
        </w:rPr>
        <w:t>i</w:t>
      </w:r>
      <w:r w:rsidRPr="00420E77">
        <w:rPr>
          <w:color w:val="000000"/>
          <w:sz w:val="24"/>
          <w:szCs w:val="24"/>
          <w:lang w:bidi="ar-AE"/>
        </w:rPr>
        <w:t>bn Kathīr witnessed.</w:t>
      </w:r>
      <w:r w:rsidRPr="00420E77">
        <w:rPr>
          <w:rStyle w:val="FootnoteReference"/>
          <w:sz w:val="24"/>
          <w:szCs w:val="24"/>
        </w:rPr>
        <w:footnoteReference w:id="197"/>
      </w:r>
      <w:r w:rsidRPr="00420E77">
        <w:rPr>
          <w:color w:val="000000"/>
          <w:sz w:val="24"/>
          <w:szCs w:val="24"/>
          <w:lang w:bidi="ar-AE"/>
        </w:rPr>
        <w:t xml:space="preserve"> </w:t>
      </w:r>
      <w:r w:rsidRPr="00420E77">
        <w:rPr>
          <w:sz w:val="24"/>
          <w:szCs w:val="24"/>
        </w:rPr>
        <w:t xml:space="preserve">Demonstrating hence the antihistorical qualities of Eliade's primitive man, ibn Kathīr pessimistically viewed the tribulations of his era as an intensification of the profanity of mundane history, and subsequently, implicitly expressing a desire for </w:t>
      </w:r>
      <w:r w:rsidRPr="00420E77">
        <w:rPr>
          <w:i/>
          <w:iCs/>
          <w:sz w:val="24"/>
          <w:szCs w:val="24"/>
        </w:rPr>
        <w:t>ma'ad</w:t>
      </w:r>
      <w:r w:rsidRPr="00420E77">
        <w:rPr>
          <w:sz w:val="24"/>
          <w:szCs w:val="24"/>
        </w:rPr>
        <w:t>, or the return to the original purity of sacred history.</w:t>
      </w:r>
      <w:r w:rsidRPr="00420E77">
        <w:rPr>
          <w:rStyle w:val="FootnoteReference"/>
          <w:sz w:val="24"/>
          <w:szCs w:val="24"/>
        </w:rPr>
        <w:footnoteReference w:id="198"/>
      </w:r>
      <w:r w:rsidRPr="00420E77">
        <w:rPr>
          <w:sz w:val="24"/>
          <w:szCs w:val="24"/>
        </w:rPr>
        <w:t xml:space="preserve"> Fortunately however, the moral and cataclysmic chaos is simply a prologue to the anticipated ultimate Judgment:</w:t>
      </w:r>
    </w:p>
    <w:p w:rsidR="00804318" w:rsidRPr="00420E77" w:rsidRDefault="00804318" w:rsidP="00804318">
      <w:pPr>
        <w:jc w:val="lowKashida"/>
        <w:rPr>
          <w:sz w:val="24"/>
          <w:szCs w:val="24"/>
        </w:rPr>
      </w:pPr>
    </w:p>
    <w:p w:rsidR="00804318" w:rsidRPr="00420E77" w:rsidRDefault="00804318" w:rsidP="00EF5ADF">
      <w:pPr>
        <w:spacing w:line="240" w:lineRule="auto"/>
        <w:ind w:left="720"/>
        <w:rPr>
          <w:color w:val="000000"/>
          <w:sz w:val="24"/>
          <w:szCs w:val="24"/>
        </w:rPr>
      </w:pPr>
      <w:r w:rsidRPr="00420E77">
        <w:rPr>
          <w:color w:val="000000"/>
          <w:sz w:val="24"/>
          <w:szCs w:val="24"/>
        </w:rPr>
        <w:t xml:space="preserve">As for the Righteous, they will be in Bliss; </w:t>
      </w:r>
    </w:p>
    <w:p w:rsidR="00804318" w:rsidRPr="00420E77" w:rsidRDefault="00804318" w:rsidP="00EF5ADF">
      <w:pPr>
        <w:spacing w:line="240" w:lineRule="auto"/>
        <w:ind w:left="720"/>
        <w:rPr>
          <w:color w:val="000000"/>
          <w:sz w:val="24"/>
          <w:szCs w:val="24"/>
        </w:rPr>
      </w:pPr>
      <w:r w:rsidRPr="00420E77">
        <w:rPr>
          <w:color w:val="000000"/>
          <w:sz w:val="24"/>
          <w:szCs w:val="24"/>
        </w:rPr>
        <w:t xml:space="preserve">And the Wicked― they will be in the Fire, </w:t>
      </w:r>
    </w:p>
    <w:p w:rsidR="00804318" w:rsidRPr="00420E77" w:rsidRDefault="00804318" w:rsidP="00EF5ADF">
      <w:pPr>
        <w:spacing w:line="240" w:lineRule="auto"/>
        <w:ind w:left="720"/>
        <w:rPr>
          <w:color w:val="000000"/>
          <w:sz w:val="24"/>
          <w:szCs w:val="24"/>
        </w:rPr>
      </w:pPr>
      <w:proofErr w:type="gramStart"/>
      <w:r w:rsidRPr="00420E77">
        <w:rPr>
          <w:color w:val="000000"/>
          <w:sz w:val="24"/>
          <w:szCs w:val="24"/>
        </w:rPr>
        <w:t>Which they will enter on the Day of Judgment.</w:t>
      </w:r>
      <w:proofErr w:type="gramEnd"/>
      <w:r w:rsidRPr="00420E77">
        <w:rPr>
          <w:color w:val="000000"/>
          <w:sz w:val="24"/>
          <w:szCs w:val="24"/>
        </w:rPr>
        <w:t xml:space="preserve"> </w:t>
      </w:r>
    </w:p>
    <w:p w:rsidR="00804318" w:rsidRPr="00420E77" w:rsidRDefault="00804318" w:rsidP="00EF5ADF">
      <w:pPr>
        <w:spacing w:line="240" w:lineRule="auto"/>
        <w:ind w:left="720"/>
        <w:rPr>
          <w:color w:val="000000"/>
          <w:sz w:val="24"/>
          <w:szCs w:val="24"/>
        </w:rPr>
      </w:pPr>
      <w:r w:rsidRPr="00420E77">
        <w:rPr>
          <w:color w:val="000000"/>
          <w:sz w:val="24"/>
          <w:szCs w:val="24"/>
        </w:rPr>
        <w:t xml:space="preserve">And they will not be Able to keep away therefrom. </w:t>
      </w:r>
    </w:p>
    <w:p w:rsidR="00804318" w:rsidRPr="00420E77" w:rsidRDefault="00804318" w:rsidP="00EF5ADF">
      <w:pPr>
        <w:spacing w:line="240" w:lineRule="auto"/>
        <w:ind w:left="720"/>
        <w:rPr>
          <w:color w:val="000000"/>
          <w:sz w:val="24"/>
          <w:szCs w:val="24"/>
        </w:rPr>
      </w:pPr>
      <w:r w:rsidRPr="00420E77">
        <w:rPr>
          <w:color w:val="000000"/>
          <w:sz w:val="24"/>
          <w:szCs w:val="24"/>
        </w:rPr>
        <w:t xml:space="preserve">And what will explain to thee what the Day of Judgment is? </w:t>
      </w:r>
    </w:p>
    <w:p w:rsidR="00804318" w:rsidRPr="00420E77" w:rsidRDefault="00804318" w:rsidP="00EF5ADF">
      <w:pPr>
        <w:spacing w:line="240" w:lineRule="auto"/>
        <w:ind w:left="720"/>
        <w:rPr>
          <w:color w:val="000000"/>
          <w:sz w:val="24"/>
          <w:szCs w:val="24"/>
        </w:rPr>
      </w:pPr>
      <w:r w:rsidRPr="00420E77">
        <w:rPr>
          <w:color w:val="000000"/>
          <w:sz w:val="24"/>
          <w:szCs w:val="24"/>
        </w:rPr>
        <w:t xml:space="preserve">Again what will explain to thee what the Day of Judgment is? </w:t>
      </w:r>
    </w:p>
    <w:p w:rsidR="00804318" w:rsidRPr="00420E77" w:rsidRDefault="00804318" w:rsidP="00EF5ADF">
      <w:pPr>
        <w:spacing w:line="240" w:lineRule="auto"/>
        <w:ind w:left="720"/>
        <w:rPr>
          <w:color w:val="000000"/>
          <w:sz w:val="24"/>
          <w:szCs w:val="24"/>
        </w:rPr>
      </w:pPr>
      <w:r w:rsidRPr="00420E77">
        <w:rPr>
          <w:color w:val="000000"/>
          <w:sz w:val="24"/>
          <w:szCs w:val="24"/>
        </w:rPr>
        <w:lastRenderedPageBreak/>
        <w:t xml:space="preserve">(It will be) the Day when no soul shall have power (to do) aught for another: for the </w:t>
      </w:r>
      <w:proofErr w:type="gramStart"/>
      <w:r w:rsidRPr="00420E77">
        <w:rPr>
          <w:color w:val="000000"/>
          <w:sz w:val="24"/>
          <w:szCs w:val="24"/>
        </w:rPr>
        <w:t>Command, that</w:t>
      </w:r>
      <w:proofErr w:type="gramEnd"/>
      <w:r w:rsidRPr="00420E77">
        <w:rPr>
          <w:color w:val="000000"/>
          <w:sz w:val="24"/>
          <w:szCs w:val="24"/>
        </w:rPr>
        <w:t xml:space="preserve"> Day, will be (wholly) with Allah.</w:t>
      </w:r>
      <w:r w:rsidRPr="00420E77">
        <w:rPr>
          <w:rStyle w:val="FootnoteReference"/>
          <w:color w:val="000000"/>
          <w:sz w:val="24"/>
          <w:szCs w:val="24"/>
        </w:rPr>
        <w:footnoteReference w:id="199"/>
      </w:r>
      <w:r w:rsidRPr="00420E77">
        <w:rPr>
          <w:color w:val="000000"/>
          <w:sz w:val="24"/>
          <w:szCs w:val="24"/>
        </w:rPr>
        <w:t xml:space="preserve"> </w:t>
      </w:r>
    </w:p>
    <w:p w:rsidR="00804318" w:rsidRPr="00420E77" w:rsidRDefault="00804318" w:rsidP="00804318">
      <w:pPr>
        <w:jc w:val="lowKashida"/>
        <w:rPr>
          <w:sz w:val="24"/>
          <w:szCs w:val="24"/>
        </w:rPr>
      </w:pPr>
    </w:p>
    <w:p w:rsidR="00804318" w:rsidRPr="00420E77" w:rsidRDefault="00804318" w:rsidP="00804318">
      <w:pPr>
        <w:jc w:val="lowKashida"/>
        <w:rPr>
          <w:sz w:val="24"/>
          <w:szCs w:val="24"/>
          <w:lang w:bidi="ar-AE"/>
        </w:rPr>
      </w:pPr>
      <w:r w:rsidRPr="00420E77">
        <w:rPr>
          <w:sz w:val="24"/>
          <w:szCs w:val="24"/>
        </w:rPr>
        <w:t xml:space="preserve">The theological, sociological and psychological </w:t>
      </w:r>
      <w:proofErr w:type="gramStart"/>
      <w:r w:rsidRPr="00420E77">
        <w:rPr>
          <w:sz w:val="24"/>
          <w:szCs w:val="24"/>
        </w:rPr>
        <w:t>impact</w:t>
      </w:r>
      <w:proofErr w:type="gramEnd"/>
      <w:r w:rsidRPr="00420E77">
        <w:rPr>
          <w:sz w:val="24"/>
          <w:szCs w:val="24"/>
        </w:rPr>
        <w:t xml:space="preserve"> of the apocalyptic </w:t>
      </w:r>
      <w:r w:rsidRPr="00420E77">
        <w:rPr>
          <w:i/>
          <w:iCs/>
          <w:sz w:val="24"/>
          <w:szCs w:val="24"/>
        </w:rPr>
        <w:t xml:space="preserve">sūras, </w:t>
      </w:r>
      <w:r w:rsidRPr="00420E77">
        <w:rPr>
          <w:sz w:val="24"/>
          <w:szCs w:val="24"/>
        </w:rPr>
        <w:t>which lucidly describe the passage towards sacred history, were documented by al-Qurṭubī and ibn Kathīr.</w:t>
      </w:r>
      <w:r w:rsidRPr="00420E77">
        <w:rPr>
          <w:rStyle w:val="FootnoteReference"/>
          <w:sz w:val="24"/>
          <w:szCs w:val="24"/>
        </w:rPr>
        <w:footnoteReference w:id="200"/>
      </w:r>
      <w:r w:rsidRPr="00420E77">
        <w:rPr>
          <w:sz w:val="24"/>
          <w:szCs w:val="24"/>
        </w:rPr>
        <w:t xml:space="preserve"> A well-known incident occurred, as mentioned by the two exegetes, when the Prophet </w:t>
      </w:r>
      <w:r w:rsidRPr="00420E77">
        <w:rPr>
          <w:sz w:val="24"/>
          <w:szCs w:val="24"/>
          <w:lang w:bidi="ar-AE"/>
        </w:rPr>
        <w:t xml:space="preserve">publicly announced one of these ominous revelations, </w:t>
      </w:r>
      <w:proofErr w:type="gramStart"/>
      <w:r w:rsidRPr="00420E77">
        <w:rPr>
          <w:i/>
          <w:iCs/>
          <w:sz w:val="24"/>
          <w:szCs w:val="24"/>
          <w:lang w:bidi="ar-AE"/>
        </w:rPr>
        <w:t>sūrat</w:t>
      </w:r>
      <w:proofErr w:type="gramEnd"/>
      <w:r w:rsidRPr="00420E77">
        <w:rPr>
          <w:i/>
          <w:iCs/>
          <w:sz w:val="24"/>
          <w:szCs w:val="24"/>
          <w:lang w:bidi="ar-AE"/>
        </w:rPr>
        <w:t xml:space="preserve"> al-Najm</w:t>
      </w:r>
      <w:r w:rsidRPr="00420E77">
        <w:rPr>
          <w:sz w:val="24"/>
          <w:szCs w:val="24"/>
          <w:lang w:bidi="ar-AE"/>
        </w:rPr>
        <w:t xml:space="preserve"> (the Star):   </w:t>
      </w:r>
    </w:p>
    <w:p w:rsidR="00804318" w:rsidRPr="00420E77" w:rsidRDefault="00804318" w:rsidP="00804318">
      <w:pPr>
        <w:jc w:val="lowKashida"/>
        <w:rPr>
          <w:sz w:val="24"/>
          <w:szCs w:val="24"/>
          <w:lang w:bidi="ar-AE"/>
        </w:rPr>
      </w:pPr>
    </w:p>
    <w:p w:rsidR="00804318" w:rsidRPr="00420E77" w:rsidRDefault="00804318" w:rsidP="00EF5ADF">
      <w:pPr>
        <w:spacing w:line="240" w:lineRule="auto"/>
        <w:ind w:left="720"/>
        <w:jc w:val="lowKashida"/>
        <w:rPr>
          <w:color w:val="000000"/>
          <w:sz w:val="24"/>
          <w:szCs w:val="24"/>
        </w:rPr>
      </w:pPr>
      <w:r w:rsidRPr="00420E77">
        <w:rPr>
          <w:color w:val="000000"/>
          <w:sz w:val="24"/>
          <w:szCs w:val="24"/>
        </w:rPr>
        <w:t>This is a Warner of the (series of) Warners of old!</w:t>
      </w:r>
    </w:p>
    <w:p w:rsidR="00804318" w:rsidRPr="00420E77" w:rsidRDefault="00804318" w:rsidP="00EF5ADF">
      <w:pPr>
        <w:spacing w:line="240" w:lineRule="auto"/>
        <w:ind w:left="720"/>
        <w:jc w:val="lowKashida"/>
        <w:rPr>
          <w:color w:val="000000"/>
          <w:sz w:val="24"/>
          <w:szCs w:val="24"/>
        </w:rPr>
      </w:pPr>
      <w:r w:rsidRPr="00420E77">
        <w:rPr>
          <w:color w:val="000000"/>
          <w:sz w:val="24"/>
          <w:szCs w:val="24"/>
        </w:rPr>
        <w:t xml:space="preserve">The (Judgment) ever approaching draws nigh: </w:t>
      </w:r>
    </w:p>
    <w:p w:rsidR="00804318" w:rsidRPr="00420E77" w:rsidRDefault="00804318" w:rsidP="00EF5ADF">
      <w:pPr>
        <w:spacing w:line="240" w:lineRule="auto"/>
        <w:ind w:left="720"/>
        <w:jc w:val="lowKashida"/>
        <w:rPr>
          <w:color w:val="000000"/>
          <w:sz w:val="24"/>
          <w:szCs w:val="24"/>
        </w:rPr>
      </w:pPr>
      <w:r w:rsidRPr="00420E77">
        <w:rPr>
          <w:color w:val="000000"/>
          <w:sz w:val="24"/>
          <w:szCs w:val="24"/>
        </w:rPr>
        <w:t xml:space="preserve">No (soul) but Allah can lay it bare. </w:t>
      </w:r>
    </w:p>
    <w:p w:rsidR="00804318" w:rsidRPr="00420E77" w:rsidRDefault="00804318" w:rsidP="00EF5ADF">
      <w:pPr>
        <w:spacing w:line="240" w:lineRule="auto"/>
        <w:ind w:left="720"/>
        <w:jc w:val="lowKashida"/>
        <w:rPr>
          <w:color w:val="000000"/>
          <w:sz w:val="24"/>
          <w:szCs w:val="24"/>
        </w:rPr>
      </w:pPr>
      <w:r w:rsidRPr="00420E77">
        <w:rPr>
          <w:color w:val="000000"/>
          <w:sz w:val="24"/>
          <w:szCs w:val="24"/>
        </w:rPr>
        <w:t xml:space="preserve">Do ye then wonder at this recital? </w:t>
      </w:r>
    </w:p>
    <w:p w:rsidR="00804318" w:rsidRPr="00420E77" w:rsidRDefault="00804318" w:rsidP="00EF5ADF">
      <w:pPr>
        <w:spacing w:line="240" w:lineRule="auto"/>
        <w:ind w:left="720"/>
        <w:jc w:val="lowKashida"/>
        <w:rPr>
          <w:color w:val="000000"/>
          <w:sz w:val="24"/>
          <w:szCs w:val="24"/>
        </w:rPr>
      </w:pPr>
      <w:r w:rsidRPr="00420E77">
        <w:rPr>
          <w:color w:val="000000"/>
          <w:sz w:val="24"/>
          <w:szCs w:val="24"/>
        </w:rPr>
        <w:t xml:space="preserve">And will ye laugh and not weep― </w:t>
      </w:r>
    </w:p>
    <w:p w:rsidR="00804318" w:rsidRPr="00420E77" w:rsidRDefault="00804318" w:rsidP="00EF5ADF">
      <w:pPr>
        <w:spacing w:line="240" w:lineRule="auto"/>
        <w:ind w:left="720"/>
        <w:jc w:val="lowKashida"/>
        <w:rPr>
          <w:color w:val="000000"/>
          <w:sz w:val="24"/>
          <w:szCs w:val="24"/>
        </w:rPr>
      </w:pPr>
      <w:r w:rsidRPr="00420E77">
        <w:rPr>
          <w:color w:val="000000"/>
          <w:sz w:val="24"/>
          <w:szCs w:val="24"/>
        </w:rPr>
        <w:t xml:space="preserve">Wasting your time in vanities? </w:t>
      </w:r>
    </w:p>
    <w:p w:rsidR="00804318" w:rsidRPr="00420E77" w:rsidRDefault="00804318" w:rsidP="00EF5ADF">
      <w:pPr>
        <w:spacing w:line="240" w:lineRule="auto"/>
        <w:ind w:left="720"/>
        <w:jc w:val="lowKashida"/>
        <w:rPr>
          <w:sz w:val="24"/>
          <w:szCs w:val="24"/>
        </w:rPr>
      </w:pPr>
      <w:r w:rsidRPr="00420E77">
        <w:rPr>
          <w:color w:val="000000"/>
          <w:sz w:val="24"/>
          <w:szCs w:val="24"/>
        </w:rPr>
        <w:t>But fall ye down in prostration to Allah and adore (Him)!</w:t>
      </w:r>
      <w:r w:rsidRPr="00420E77">
        <w:rPr>
          <w:rStyle w:val="FootnoteReference"/>
          <w:color w:val="000000"/>
          <w:sz w:val="24"/>
          <w:szCs w:val="24"/>
        </w:rPr>
        <w:footnoteReference w:id="201"/>
      </w:r>
    </w:p>
    <w:p w:rsidR="00804318" w:rsidRPr="00420E77" w:rsidRDefault="00804318" w:rsidP="00804318">
      <w:pPr>
        <w:bidi/>
        <w:rPr>
          <w:sz w:val="24"/>
          <w:szCs w:val="24"/>
        </w:rPr>
      </w:pPr>
    </w:p>
    <w:p w:rsidR="00804318" w:rsidRPr="00420E77" w:rsidRDefault="00804318" w:rsidP="00804318">
      <w:pPr>
        <w:jc w:val="lowKashida"/>
        <w:rPr>
          <w:color w:val="000000"/>
          <w:sz w:val="24"/>
          <w:szCs w:val="24"/>
        </w:rPr>
      </w:pPr>
      <w:r w:rsidRPr="00420E77">
        <w:rPr>
          <w:sz w:val="24"/>
          <w:szCs w:val="24"/>
        </w:rPr>
        <w:t xml:space="preserve">Basing their interpretation on a number of authentic </w:t>
      </w:r>
      <w:r w:rsidRPr="00420E77">
        <w:rPr>
          <w:i/>
          <w:iCs/>
          <w:sz w:val="24"/>
          <w:szCs w:val="24"/>
        </w:rPr>
        <w:t>ḥadīths</w:t>
      </w:r>
      <w:r w:rsidRPr="00420E77">
        <w:rPr>
          <w:sz w:val="24"/>
          <w:szCs w:val="24"/>
        </w:rPr>
        <w:t>, al-Qurṭubī and ibn Kathīr asserted that all those who were present at the recital of the above verses prostrated in fear and submission to Allah, including the pagans.</w:t>
      </w:r>
      <w:r w:rsidRPr="00420E77">
        <w:rPr>
          <w:rStyle w:val="FootnoteReference"/>
          <w:sz w:val="24"/>
          <w:szCs w:val="24"/>
        </w:rPr>
        <w:footnoteReference w:id="202"/>
      </w:r>
      <w:r w:rsidRPr="00420E77">
        <w:rPr>
          <w:rFonts w:hint="cs"/>
          <w:sz w:val="24"/>
          <w:szCs w:val="24"/>
          <w:rtl/>
        </w:rPr>
        <w:t xml:space="preserve"> </w:t>
      </w:r>
      <w:r w:rsidRPr="00420E77">
        <w:rPr>
          <w:sz w:val="24"/>
          <w:szCs w:val="24"/>
        </w:rPr>
        <w:t xml:space="preserve">The urgency of the apocalyptic message is further stressed in the first verse of the subsequent </w:t>
      </w:r>
      <w:proofErr w:type="gramStart"/>
      <w:r w:rsidRPr="00420E77">
        <w:rPr>
          <w:i/>
          <w:iCs/>
          <w:sz w:val="24"/>
          <w:szCs w:val="24"/>
        </w:rPr>
        <w:t>sūrat</w:t>
      </w:r>
      <w:proofErr w:type="gramEnd"/>
      <w:r w:rsidRPr="00420E77">
        <w:rPr>
          <w:i/>
          <w:iCs/>
          <w:sz w:val="24"/>
          <w:szCs w:val="24"/>
        </w:rPr>
        <w:t xml:space="preserve"> al-Qamar </w:t>
      </w:r>
      <w:r w:rsidRPr="00420E77">
        <w:rPr>
          <w:sz w:val="24"/>
          <w:szCs w:val="24"/>
        </w:rPr>
        <w:t>(the Moon), which affirms that '</w:t>
      </w:r>
      <w:r w:rsidRPr="00420E77">
        <w:rPr>
          <w:color w:val="000000"/>
          <w:sz w:val="24"/>
          <w:szCs w:val="24"/>
        </w:rPr>
        <w:t>The hour (of Judgment) is nigh, and the moon is cleft asunder.'</w:t>
      </w:r>
      <w:r w:rsidRPr="00420E77">
        <w:rPr>
          <w:rStyle w:val="FootnoteReference"/>
          <w:color w:val="000000"/>
          <w:sz w:val="24"/>
          <w:szCs w:val="24"/>
        </w:rPr>
        <w:footnoteReference w:id="203"/>
      </w:r>
      <w:r w:rsidRPr="00420E77">
        <w:rPr>
          <w:rFonts w:hint="cs"/>
          <w:color w:val="000000"/>
          <w:sz w:val="24"/>
          <w:szCs w:val="24"/>
          <w:rtl/>
        </w:rPr>
        <w:t xml:space="preserve"> </w:t>
      </w:r>
      <w:r w:rsidRPr="00420E77">
        <w:rPr>
          <w:color w:val="000000"/>
          <w:sz w:val="24"/>
          <w:szCs w:val="24"/>
        </w:rPr>
        <w:t>Although a number of exegetical works suggested that this verse predicts a future event, all three commentators confirmed that the moon did actually split into two halves in the life of the Prophet as a sign of the imminence of the Last day.</w:t>
      </w:r>
      <w:r w:rsidRPr="00420E77">
        <w:rPr>
          <w:rStyle w:val="FootnoteReference"/>
          <w:color w:val="000000"/>
          <w:sz w:val="24"/>
          <w:szCs w:val="24"/>
        </w:rPr>
        <w:footnoteReference w:id="204"/>
      </w:r>
      <w:r w:rsidRPr="00420E77">
        <w:rPr>
          <w:color w:val="000000"/>
          <w:sz w:val="24"/>
          <w:szCs w:val="24"/>
        </w:rPr>
        <w:t xml:space="preserve"> Al-Tirmiḍhī documents the incident as witnessed by one of the Prophet's companions:</w:t>
      </w:r>
    </w:p>
    <w:p w:rsidR="00804318" w:rsidRPr="00420E77" w:rsidRDefault="00804318" w:rsidP="00804318">
      <w:pPr>
        <w:rPr>
          <w:sz w:val="24"/>
          <w:szCs w:val="24"/>
          <w:rtl/>
        </w:rPr>
      </w:pPr>
    </w:p>
    <w:p w:rsidR="00804318" w:rsidRPr="00420E77" w:rsidRDefault="00804318" w:rsidP="00EF5ADF">
      <w:pPr>
        <w:spacing w:line="240" w:lineRule="auto"/>
        <w:ind w:left="720"/>
        <w:jc w:val="lowKashida"/>
        <w:rPr>
          <w:sz w:val="24"/>
          <w:szCs w:val="24"/>
        </w:rPr>
      </w:pPr>
      <w:r w:rsidRPr="00420E77">
        <w:rPr>
          <w:sz w:val="24"/>
          <w:szCs w:val="24"/>
        </w:rPr>
        <w:t xml:space="preserve">We were with the Messenger of Allah (peace by upon him) in Mina, when the moon was cleft asunder into two parts. Part of it was behind the mountain, and part of it before it. The Messenger of Allah (peace be upon him) said to </w:t>
      </w:r>
      <w:r w:rsidRPr="00420E77">
        <w:rPr>
          <w:sz w:val="24"/>
          <w:szCs w:val="24"/>
        </w:rPr>
        <w:lastRenderedPageBreak/>
        <w:t>us: 'Bear witness' meaning: '</w:t>
      </w:r>
      <w:proofErr w:type="gramStart"/>
      <w:r w:rsidRPr="00420E77">
        <w:rPr>
          <w:color w:val="000000"/>
          <w:sz w:val="24"/>
          <w:szCs w:val="24"/>
        </w:rPr>
        <w:t>The</w:t>
      </w:r>
      <w:proofErr w:type="gramEnd"/>
      <w:r w:rsidRPr="00420E77">
        <w:rPr>
          <w:color w:val="000000"/>
          <w:sz w:val="24"/>
          <w:szCs w:val="24"/>
        </w:rPr>
        <w:t xml:space="preserve"> hour (of Judgment) is nigh, and the moon is cleft asunder.'</w:t>
      </w:r>
      <w:r w:rsidRPr="00420E77">
        <w:rPr>
          <w:rStyle w:val="FootnoteReference"/>
          <w:sz w:val="24"/>
          <w:szCs w:val="24"/>
        </w:rPr>
        <w:footnoteReference w:id="205"/>
      </w:r>
    </w:p>
    <w:p w:rsidR="00804318" w:rsidRPr="00420E77" w:rsidRDefault="00804318" w:rsidP="00804318">
      <w:pPr>
        <w:jc w:val="lowKashida"/>
        <w:rPr>
          <w:sz w:val="24"/>
          <w:szCs w:val="24"/>
        </w:rPr>
      </w:pPr>
    </w:p>
    <w:p w:rsidR="00804318" w:rsidRPr="00420E77" w:rsidRDefault="00804318" w:rsidP="00804318">
      <w:pPr>
        <w:jc w:val="lowKashida"/>
        <w:rPr>
          <w:sz w:val="24"/>
          <w:szCs w:val="24"/>
        </w:rPr>
      </w:pPr>
      <w:r w:rsidRPr="00420E77">
        <w:rPr>
          <w:sz w:val="24"/>
          <w:szCs w:val="24"/>
        </w:rPr>
        <w:t xml:space="preserve">Yet </w:t>
      </w:r>
      <w:r w:rsidRPr="00420E77">
        <w:rPr>
          <w:color w:val="000000"/>
          <w:sz w:val="24"/>
          <w:szCs w:val="24"/>
        </w:rPr>
        <w:t>in a manner comparable to the 'conservative owls' of Landes, the Makkan pagans demonstrated fervent hostility towards the subversive demotic ideology that endangered the established tribal hierarchy.</w:t>
      </w:r>
      <w:r w:rsidRPr="00420E77">
        <w:rPr>
          <w:rStyle w:val="FootnoteReference"/>
          <w:color w:val="000000"/>
          <w:sz w:val="24"/>
          <w:szCs w:val="24"/>
        </w:rPr>
        <w:footnoteReference w:id="206"/>
      </w:r>
      <w:r w:rsidRPr="00420E77">
        <w:rPr>
          <w:color w:val="000000"/>
          <w:sz w:val="24"/>
          <w:szCs w:val="24"/>
        </w:rPr>
        <w:t xml:space="preserve"> </w:t>
      </w:r>
      <w:r w:rsidRPr="00420E77">
        <w:rPr>
          <w:sz w:val="24"/>
          <w:szCs w:val="24"/>
        </w:rPr>
        <w:t xml:space="preserve">Despite the linguistic sublimity of the preached redemptive eschatological verses, and the looming Hour of the cataclysmic apocalypse they depict, they were obstinately opposed by the Makkan elitists, who as </w:t>
      </w:r>
      <w:r w:rsidRPr="00420E77">
        <w:rPr>
          <w:i/>
          <w:iCs/>
          <w:sz w:val="24"/>
          <w:szCs w:val="24"/>
          <w:lang w:bidi="ar-AE"/>
        </w:rPr>
        <w:t>dahrīya</w:t>
      </w:r>
      <w:r w:rsidRPr="00420E77">
        <w:rPr>
          <w:sz w:val="24"/>
          <w:szCs w:val="24"/>
          <w:lang w:bidi="ar-AE"/>
        </w:rPr>
        <w:t xml:space="preserve"> defiantly dismissed the revelations as witchcraft, hallucinations, poetry and even fabrications as documented in the Qur'ān, </w:t>
      </w:r>
      <w:r w:rsidRPr="00420E77">
        <w:rPr>
          <w:color w:val="000000"/>
          <w:sz w:val="24"/>
          <w:szCs w:val="24"/>
        </w:rPr>
        <w:t>'"Nay" they say "(these are) medleys of dreams! Nay, he forged it! Nay, he is (but) a poet!"'</w:t>
      </w:r>
      <w:r w:rsidRPr="00420E77">
        <w:rPr>
          <w:rStyle w:val="FootnoteReference"/>
          <w:color w:val="000000"/>
          <w:sz w:val="24"/>
          <w:szCs w:val="24"/>
        </w:rPr>
        <w:footnoteReference w:id="207"/>
      </w:r>
    </w:p>
    <w:p w:rsidR="00804318" w:rsidRPr="00C908EF" w:rsidRDefault="00804318" w:rsidP="00804318">
      <w:pPr>
        <w:jc w:val="lowKashida"/>
        <w:rPr>
          <w:rtl/>
        </w:rPr>
      </w:pPr>
    </w:p>
    <w:p w:rsidR="00804318" w:rsidRDefault="00804318" w:rsidP="00804318">
      <w:pPr>
        <w:pStyle w:val="Heading2"/>
      </w:pPr>
      <w:bookmarkStart w:id="36" w:name="_Toc477317393"/>
      <w:r>
        <w:t xml:space="preserve">3.2 Cosmic Chaos in Prophetic </w:t>
      </w:r>
      <w:r>
        <w:rPr>
          <w:rFonts w:ascii="Calibri" w:hAnsi="Calibri"/>
        </w:rPr>
        <w:t>Ḥ</w:t>
      </w:r>
      <w:r>
        <w:t>ad</w:t>
      </w:r>
      <w:r>
        <w:rPr>
          <w:rFonts w:ascii="Calibri" w:hAnsi="Calibri"/>
        </w:rPr>
        <w:t>ī</w:t>
      </w:r>
      <w:r>
        <w:t>th</w:t>
      </w:r>
      <w:bookmarkEnd w:id="36"/>
      <w:r>
        <w:t xml:space="preserve"> </w:t>
      </w:r>
    </w:p>
    <w:p w:rsidR="00804318" w:rsidRDefault="00804318" w:rsidP="007821CC">
      <w:pPr>
        <w:pStyle w:val="Heading3"/>
      </w:pPr>
      <w:bookmarkStart w:id="37" w:name="_Toc477317394"/>
      <w:r>
        <w:t>3.2.1</w:t>
      </w:r>
      <w:r>
        <w:tab/>
        <w:t xml:space="preserve">The </w:t>
      </w:r>
      <w:r>
        <w:rPr>
          <w:rFonts w:ascii="Calibri" w:hAnsi="Calibri"/>
        </w:rPr>
        <w:t>Ḥ</w:t>
      </w:r>
      <w:r>
        <w:t>ad</w:t>
      </w:r>
      <w:r>
        <w:rPr>
          <w:rFonts w:ascii="Calibri" w:hAnsi="Calibri"/>
        </w:rPr>
        <w:t>ī</w:t>
      </w:r>
      <w:r>
        <w:t>th of a Historical Propheta, Mu</w:t>
      </w:r>
      <w:r>
        <w:rPr>
          <w:rFonts w:ascii="Calibri" w:hAnsi="Calibri"/>
        </w:rPr>
        <w:t>ḥ</w:t>
      </w:r>
      <w:r>
        <w:t>ammad</w:t>
      </w:r>
      <w:bookmarkEnd w:id="37"/>
      <w:r>
        <w:t xml:space="preserve"> </w:t>
      </w:r>
    </w:p>
    <w:p w:rsidR="00804318" w:rsidRPr="00021BF0" w:rsidRDefault="00804318" w:rsidP="00E46455">
      <w:pPr>
        <w:jc w:val="lowKashida"/>
        <w:rPr>
          <w:sz w:val="24"/>
          <w:szCs w:val="24"/>
          <w:lang w:bidi="ar-AE"/>
        </w:rPr>
      </w:pPr>
      <w:r w:rsidRPr="00021BF0">
        <w:rPr>
          <w:sz w:val="24"/>
          <w:szCs w:val="24"/>
        </w:rPr>
        <w:t>In contrast to the aforementioned Makkan period of demotic apocalypticism, the Medinian phase inaugurated what Landes termed as hierarchical, imperial or iconic millennialism.</w:t>
      </w:r>
      <w:r w:rsidRPr="00021BF0">
        <w:rPr>
          <w:rStyle w:val="FootnoteReference"/>
          <w:sz w:val="24"/>
          <w:szCs w:val="24"/>
        </w:rPr>
        <w:footnoteReference w:id="208"/>
      </w:r>
      <w:r w:rsidRPr="00021BF0">
        <w:rPr>
          <w:sz w:val="24"/>
          <w:szCs w:val="24"/>
        </w:rPr>
        <w:t xml:space="preserve"> With the establishment of the Islamic state in al-Madīna, the Prophet Muḥammad was finally able to establish </w:t>
      </w:r>
      <w:r w:rsidRPr="00021BF0">
        <w:rPr>
          <w:sz w:val="24"/>
          <w:szCs w:val="24"/>
          <w:lang w:bidi="ar-AE"/>
        </w:rPr>
        <w:t>the egalitarian society he sought, thus transforming the city into Eliade's 'cosmicized' space; a terrestrial replica of the heavenly celestial order.</w:t>
      </w:r>
      <w:r w:rsidRPr="00021BF0">
        <w:rPr>
          <w:rStyle w:val="FootnoteReference"/>
          <w:sz w:val="24"/>
          <w:szCs w:val="24"/>
          <w:lang w:bidi="ar-AE"/>
        </w:rPr>
        <w:footnoteReference w:id="209"/>
      </w:r>
      <w:r w:rsidRPr="00021BF0">
        <w:rPr>
          <w:sz w:val="24"/>
          <w:szCs w:val="24"/>
          <w:lang w:bidi="ar-AE"/>
        </w:rPr>
        <w:t xml:space="preserve"> In this utopian society, and among his loyal followers, </w:t>
      </w:r>
      <w:r w:rsidRPr="00021BF0">
        <w:rPr>
          <w:sz w:val="24"/>
          <w:szCs w:val="24"/>
        </w:rPr>
        <w:t xml:space="preserve">the Prophet came to represent the iconic image </w:t>
      </w:r>
      <w:r w:rsidRPr="00021BF0">
        <w:rPr>
          <w:sz w:val="24"/>
          <w:szCs w:val="24"/>
          <w:lang w:bidi="ar-AE"/>
        </w:rPr>
        <w:t xml:space="preserve">of an inerrant religio-political leader sent by God to </w:t>
      </w:r>
      <w:r w:rsidR="00E46455" w:rsidRPr="00021BF0">
        <w:rPr>
          <w:sz w:val="24"/>
          <w:szCs w:val="24"/>
          <w:lang w:bidi="ar-AE"/>
        </w:rPr>
        <w:t xml:space="preserve">warn humanity of the impending Judgment, and in doing so, </w:t>
      </w:r>
      <w:r w:rsidRPr="00021BF0">
        <w:rPr>
          <w:sz w:val="24"/>
          <w:szCs w:val="24"/>
          <w:lang w:bidi="ar-AE"/>
        </w:rPr>
        <w:t>bring salvation to the entire world,</w:t>
      </w:r>
      <w:r w:rsidR="00BC1D3C">
        <w:rPr>
          <w:sz w:val="24"/>
          <w:szCs w:val="24"/>
          <w:lang w:bidi="ar-AE"/>
        </w:rPr>
        <w:t xml:space="preserve"> </w:t>
      </w:r>
      <w:r w:rsidR="00E46455" w:rsidRPr="00021BF0">
        <w:rPr>
          <w:sz w:val="24"/>
          <w:szCs w:val="24"/>
          <w:lang w:bidi="ar-AE"/>
        </w:rPr>
        <w:t>'</w:t>
      </w:r>
      <w:r w:rsidR="00E46455" w:rsidRPr="00021BF0">
        <w:rPr>
          <w:color w:val="000000"/>
          <w:sz w:val="24"/>
          <w:szCs w:val="24"/>
        </w:rPr>
        <w:t>Verily We have sent thee in truth as a bearer of glad tidings and a warner.'</w:t>
      </w:r>
      <w:r w:rsidR="00E46455" w:rsidRPr="00021BF0">
        <w:rPr>
          <w:rStyle w:val="FootnoteReference"/>
          <w:color w:val="000000"/>
          <w:sz w:val="24"/>
          <w:szCs w:val="24"/>
        </w:rPr>
        <w:footnoteReference w:id="210"/>
      </w:r>
      <w:r w:rsidR="00E46455" w:rsidRPr="00021BF0">
        <w:rPr>
          <w:sz w:val="24"/>
          <w:szCs w:val="24"/>
          <w:lang w:bidi="ar-AE"/>
        </w:rPr>
        <w:t xml:space="preserve"> </w:t>
      </w:r>
      <w:r w:rsidRPr="00021BF0">
        <w:rPr>
          <w:sz w:val="24"/>
          <w:szCs w:val="24"/>
        </w:rPr>
        <w:t xml:space="preserve">Muḥammad, as a prophet, and undoubtedly as a messianic leader, possessed qualities of both Hegel's historical man and Cohn's </w:t>
      </w:r>
      <w:r w:rsidRPr="00021BF0">
        <w:rPr>
          <w:i/>
          <w:iCs/>
          <w:sz w:val="24"/>
          <w:szCs w:val="24"/>
        </w:rPr>
        <w:t>propheta</w:t>
      </w:r>
      <w:r w:rsidRPr="00021BF0">
        <w:rPr>
          <w:sz w:val="24"/>
          <w:szCs w:val="24"/>
        </w:rPr>
        <w:t>.</w:t>
      </w:r>
      <w:r w:rsidRPr="00021BF0">
        <w:rPr>
          <w:rStyle w:val="FootnoteReference"/>
          <w:sz w:val="24"/>
          <w:szCs w:val="24"/>
        </w:rPr>
        <w:footnoteReference w:id="211"/>
      </w:r>
      <w:r w:rsidRPr="00021BF0">
        <w:rPr>
          <w:sz w:val="24"/>
          <w:szCs w:val="24"/>
        </w:rPr>
        <w:t xml:space="preserve"> Identifying them as the 'Heroes of an epoch' and the 'clear-sighted ones,' Hegel described historical men as figures which operated as living active agents compelled, by forces larger than them, to uncover the providential plan of the 'World-Spirit.'</w:t>
      </w:r>
      <w:r w:rsidRPr="00021BF0">
        <w:rPr>
          <w:rStyle w:val="FootnoteReference"/>
          <w:sz w:val="24"/>
          <w:szCs w:val="24"/>
        </w:rPr>
        <w:footnoteReference w:id="212"/>
      </w:r>
      <w:r w:rsidRPr="00021BF0">
        <w:rPr>
          <w:sz w:val="24"/>
          <w:szCs w:val="24"/>
        </w:rPr>
        <w:t xml:space="preserve"> Illustrating the qualities of the messianic </w:t>
      </w:r>
      <w:r w:rsidRPr="00021BF0">
        <w:rPr>
          <w:i/>
          <w:iCs/>
          <w:sz w:val="24"/>
          <w:szCs w:val="24"/>
        </w:rPr>
        <w:t>propheta,</w:t>
      </w:r>
      <w:r w:rsidRPr="00021BF0">
        <w:rPr>
          <w:sz w:val="24"/>
          <w:szCs w:val="24"/>
        </w:rPr>
        <w:t xml:space="preserve"> on the other hand, Cohn wrote:</w:t>
      </w:r>
    </w:p>
    <w:p w:rsidR="00804318" w:rsidRDefault="00804318" w:rsidP="00804318">
      <w:pPr>
        <w:jc w:val="lowKashida"/>
      </w:pPr>
    </w:p>
    <w:p w:rsidR="00804318" w:rsidRPr="00021BF0" w:rsidRDefault="00804318" w:rsidP="00021BF0">
      <w:pPr>
        <w:spacing w:line="240" w:lineRule="auto"/>
        <w:ind w:left="720"/>
        <w:jc w:val="lowKashida"/>
        <w:rPr>
          <w:sz w:val="24"/>
          <w:szCs w:val="24"/>
          <w:lang w:bidi="ar-AE"/>
        </w:rPr>
      </w:pPr>
      <w:r w:rsidRPr="00021BF0">
        <w:rPr>
          <w:sz w:val="24"/>
          <w:szCs w:val="24"/>
        </w:rPr>
        <w:t xml:space="preserve">[The </w:t>
      </w:r>
      <w:r w:rsidRPr="00021BF0">
        <w:rPr>
          <w:i/>
          <w:iCs/>
          <w:sz w:val="24"/>
          <w:szCs w:val="24"/>
        </w:rPr>
        <w:t>propheta</w:t>
      </w:r>
      <w:r w:rsidRPr="00021BF0">
        <w:rPr>
          <w:sz w:val="24"/>
          <w:szCs w:val="24"/>
        </w:rPr>
        <w:t xml:space="preserve"> possessed] a personal magnetism which enabled him to claim, with some show of plausibility, a special role in bringing history to its appointed consummation. And this claim on the part of the </w:t>
      </w:r>
      <w:r w:rsidRPr="00021BF0">
        <w:rPr>
          <w:i/>
          <w:iCs/>
          <w:sz w:val="24"/>
          <w:szCs w:val="24"/>
        </w:rPr>
        <w:t>propheta</w:t>
      </w:r>
      <w:r w:rsidRPr="00021BF0">
        <w:rPr>
          <w:sz w:val="24"/>
          <w:szCs w:val="24"/>
        </w:rPr>
        <w:t xml:space="preserve"> deeply influenced the group that formed around him. For what the </w:t>
      </w:r>
      <w:r w:rsidRPr="00021BF0">
        <w:rPr>
          <w:i/>
          <w:iCs/>
          <w:sz w:val="24"/>
          <w:szCs w:val="24"/>
        </w:rPr>
        <w:t>propheta</w:t>
      </w:r>
      <w:r w:rsidRPr="00021BF0">
        <w:rPr>
          <w:sz w:val="24"/>
          <w:szCs w:val="24"/>
        </w:rPr>
        <w:t xml:space="preserve"> offered his followers was not simply a chance to improve their lot and to escape from pressing anxieties – it was also, and above all, the prospect of carrying out a divinely ordained mission of stupendous, unique importance…</w:t>
      </w:r>
      <w:r w:rsidRPr="00021BF0">
        <w:rPr>
          <w:rStyle w:val="FootnoteReference"/>
          <w:sz w:val="24"/>
          <w:szCs w:val="24"/>
        </w:rPr>
        <w:footnoteReference w:id="213"/>
      </w:r>
      <w:r w:rsidRPr="00021BF0">
        <w:rPr>
          <w:sz w:val="24"/>
          <w:szCs w:val="24"/>
        </w:rPr>
        <w:t xml:space="preserve">  </w:t>
      </w:r>
    </w:p>
    <w:p w:rsidR="00804318" w:rsidRDefault="00804318" w:rsidP="00804318">
      <w:pPr>
        <w:jc w:val="lowKashida"/>
        <w:rPr>
          <w:sz w:val="24"/>
          <w:szCs w:val="24"/>
          <w:lang w:bidi="ar-AE"/>
        </w:rPr>
      </w:pPr>
    </w:p>
    <w:p w:rsidR="00804318" w:rsidRPr="00021BF0" w:rsidRDefault="00804318" w:rsidP="00804318">
      <w:pPr>
        <w:jc w:val="lowKashida"/>
        <w:rPr>
          <w:sz w:val="24"/>
          <w:szCs w:val="24"/>
          <w:rtl/>
          <w:lang w:bidi="ar-AE"/>
        </w:rPr>
      </w:pPr>
      <w:r w:rsidRPr="00021BF0">
        <w:rPr>
          <w:sz w:val="24"/>
          <w:szCs w:val="24"/>
        </w:rPr>
        <w:t xml:space="preserve">And like the biblical prophets that preceded him, Muḥammad demonstrated the conventional prophetic behavior, described by Michael Barkun as the claim to be merely a vehicle for the </w:t>
      </w:r>
      <w:r w:rsidRPr="00021BF0">
        <w:rPr>
          <w:sz w:val="24"/>
          <w:szCs w:val="24"/>
          <w:lang w:bidi="ar-AE"/>
        </w:rPr>
        <w:t>transmission of God's message to humanity.</w:t>
      </w:r>
      <w:r w:rsidRPr="00021BF0">
        <w:rPr>
          <w:rStyle w:val="FootnoteReference"/>
          <w:sz w:val="24"/>
          <w:szCs w:val="24"/>
        </w:rPr>
        <w:footnoteReference w:id="214"/>
      </w:r>
      <w:r w:rsidRPr="00021BF0">
        <w:rPr>
          <w:sz w:val="24"/>
          <w:szCs w:val="24"/>
          <w:lang w:bidi="ar-AE"/>
        </w:rPr>
        <w:t xml:space="preserve"> Consequently </w:t>
      </w:r>
      <w:r w:rsidRPr="00021BF0">
        <w:rPr>
          <w:sz w:val="24"/>
          <w:szCs w:val="24"/>
        </w:rPr>
        <w:t xml:space="preserve">to his companions and followers, Muḥammad's </w:t>
      </w:r>
      <w:r w:rsidRPr="00021BF0">
        <w:rPr>
          <w:i/>
          <w:iCs/>
          <w:sz w:val="24"/>
          <w:szCs w:val="24"/>
        </w:rPr>
        <w:t>ḥadīth</w:t>
      </w:r>
      <w:r w:rsidRPr="00021BF0">
        <w:rPr>
          <w:sz w:val="24"/>
          <w:szCs w:val="24"/>
        </w:rPr>
        <w:t xml:space="preserve"> (sayings) and </w:t>
      </w:r>
      <w:proofErr w:type="gramStart"/>
      <w:r w:rsidRPr="00021BF0">
        <w:rPr>
          <w:i/>
          <w:iCs/>
          <w:sz w:val="24"/>
          <w:szCs w:val="24"/>
        </w:rPr>
        <w:t>sunnah</w:t>
      </w:r>
      <w:proofErr w:type="gramEnd"/>
      <w:r w:rsidRPr="00021BF0">
        <w:rPr>
          <w:sz w:val="24"/>
          <w:szCs w:val="24"/>
        </w:rPr>
        <w:t xml:space="preserve"> (deeds) were perceived to be indisputably divine</w:t>
      </w:r>
      <w:r w:rsidRPr="00021BF0">
        <w:rPr>
          <w:rFonts w:hint="cs"/>
          <w:sz w:val="24"/>
          <w:szCs w:val="24"/>
          <w:rtl/>
        </w:rPr>
        <w:t xml:space="preserve"> </w:t>
      </w:r>
      <w:r w:rsidRPr="00021BF0">
        <w:rPr>
          <w:sz w:val="24"/>
          <w:szCs w:val="24"/>
        </w:rPr>
        <w:t>as asserted in the Qur'ān</w:t>
      </w:r>
      <w:r w:rsidRPr="00021BF0">
        <w:rPr>
          <w:rFonts w:hint="cs"/>
          <w:sz w:val="24"/>
          <w:szCs w:val="24"/>
          <w:rtl/>
          <w:lang w:bidi="ar-AE"/>
        </w:rPr>
        <w:t>:</w:t>
      </w:r>
    </w:p>
    <w:p w:rsidR="00804318" w:rsidRPr="00021BF0" w:rsidRDefault="00804318" w:rsidP="00804318">
      <w:pPr>
        <w:jc w:val="lowKashida"/>
        <w:rPr>
          <w:sz w:val="24"/>
          <w:szCs w:val="24"/>
          <w:lang w:bidi="ar-AE"/>
        </w:rPr>
      </w:pPr>
    </w:p>
    <w:p w:rsidR="00804318" w:rsidRPr="00021BF0" w:rsidRDefault="00804318" w:rsidP="00021BF0">
      <w:pPr>
        <w:spacing w:line="240" w:lineRule="auto"/>
        <w:ind w:left="720"/>
        <w:jc w:val="lowKashida"/>
        <w:rPr>
          <w:color w:val="000000"/>
          <w:sz w:val="24"/>
          <w:szCs w:val="24"/>
        </w:rPr>
      </w:pPr>
      <w:r w:rsidRPr="00021BF0">
        <w:rPr>
          <w:color w:val="000000"/>
          <w:sz w:val="24"/>
          <w:szCs w:val="24"/>
        </w:rPr>
        <w:t xml:space="preserve">Your Companion is neither astray nor being misled, </w:t>
      </w:r>
    </w:p>
    <w:p w:rsidR="00804318" w:rsidRPr="00021BF0" w:rsidRDefault="00804318" w:rsidP="00021BF0">
      <w:pPr>
        <w:spacing w:line="240" w:lineRule="auto"/>
        <w:ind w:left="720"/>
        <w:jc w:val="lowKashida"/>
        <w:rPr>
          <w:color w:val="000000"/>
          <w:sz w:val="24"/>
          <w:szCs w:val="24"/>
        </w:rPr>
      </w:pPr>
      <w:r w:rsidRPr="00021BF0">
        <w:rPr>
          <w:color w:val="000000"/>
          <w:sz w:val="24"/>
          <w:szCs w:val="24"/>
        </w:rPr>
        <w:t xml:space="preserve">Nor does he say (aught) of (his own) Desire. </w:t>
      </w:r>
    </w:p>
    <w:p w:rsidR="00804318" w:rsidRPr="00021BF0" w:rsidRDefault="00804318" w:rsidP="00021BF0">
      <w:pPr>
        <w:spacing w:line="240" w:lineRule="auto"/>
        <w:ind w:left="720"/>
        <w:jc w:val="lowKashida"/>
        <w:rPr>
          <w:color w:val="000000"/>
          <w:sz w:val="24"/>
          <w:szCs w:val="24"/>
        </w:rPr>
      </w:pPr>
      <w:r w:rsidRPr="00021BF0">
        <w:rPr>
          <w:color w:val="000000"/>
          <w:sz w:val="24"/>
          <w:szCs w:val="24"/>
        </w:rPr>
        <w:t xml:space="preserve">It is no less than inspiration sent down to him: </w:t>
      </w:r>
    </w:p>
    <w:p w:rsidR="00804318" w:rsidRPr="00021BF0" w:rsidRDefault="00804318" w:rsidP="00021BF0">
      <w:pPr>
        <w:spacing w:line="240" w:lineRule="auto"/>
        <w:ind w:left="720"/>
        <w:jc w:val="lowKashida"/>
        <w:rPr>
          <w:sz w:val="24"/>
          <w:szCs w:val="24"/>
          <w:rtl/>
          <w:lang w:bidi="ar-AE"/>
        </w:rPr>
      </w:pPr>
      <w:r w:rsidRPr="00021BF0">
        <w:rPr>
          <w:color w:val="000000"/>
          <w:sz w:val="24"/>
          <w:szCs w:val="24"/>
        </w:rPr>
        <w:t>He was taught by one mighty in Power.</w:t>
      </w:r>
      <w:r w:rsidRPr="00021BF0">
        <w:rPr>
          <w:rStyle w:val="FootnoteReference"/>
          <w:color w:val="000000"/>
          <w:sz w:val="24"/>
          <w:szCs w:val="24"/>
        </w:rPr>
        <w:footnoteReference w:id="215"/>
      </w:r>
    </w:p>
    <w:p w:rsidR="00804318" w:rsidRPr="00021BF0" w:rsidRDefault="00804318" w:rsidP="00804318">
      <w:pPr>
        <w:jc w:val="lowKashida"/>
        <w:rPr>
          <w:rFonts w:hint="cs"/>
          <w:sz w:val="24"/>
          <w:szCs w:val="24"/>
          <w:rtl/>
          <w:lang w:bidi="ar-AE"/>
        </w:rPr>
      </w:pPr>
    </w:p>
    <w:p w:rsidR="00804318" w:rsidRPr="00021BF0" w:rsidRDefault="00804318" w:rsidP="007A0CB9">
      <w:pPr>
        <w:jc w:val="lowKashida"/>
        <w:rPr>
          <w:sz w:val="24"/>
          <w:szCs w:val="24"/>
          <w:lang w:bidi="ar-AE"/>
        </w:rPr>
      </w:pPr>
      <w:r w:rsidRPr="00021BF0">
        <w:rPr>
          <w:sz w:val="24"/>
          <w:szCs w:val="24"/>
          <w:lang w:bidi="ar-AE"/>
        </w:rPr>
        <w:t xml:space="preserve">In order to illustrate what is regarded to be a credible representation of Islamic eschatology by mainstream Islam, this section primarily relies upon what are viewed by Muslims as the most authentic or </w:t>
      </w:r>
      <w:r w:rsidRPr="00021BF0">
        <w:rPr>
          <w:i/>
          <w:iCs/>
          <w:sz w:val="24"/>
          <w:szCs w:val="24"/>
          <w:lang w:bidi="ar-AE"/>
        </w:rPr>
        <w:t>ṣaḥīḥ</w:t>
      </w:r>
      <w:r w:rsidRPr="00021BF0">
        <w:rPr>
          <w:sz w:val="24"/>
          <w:szCs w:val="24"/>
          <w:lang w:bidi="ar-AE"/>
        </w:rPr>
        <w:t xml:space="preserve"> compilations of Prophetic </w:t>
      </w:r>
      <w:r w:rsidRPr="00021BF0">
        <w:rPr>
          <w:i/>
          <w:iCs/>
          <w:sz w:val="24"/>
          <w:szCs w:val="24"/>
          <w:lang w:bidi="ar-AE"/>
        </w:rPr>
        <w:t>ḥadīths</w:t>
      </w:r>
      <w:r w:rsidRPr="00021BF0">
        <w:rPr>
          <w:sz w:val="24"/>
          <w:szCs w:val="24"/>
          <w:lang w:bidi="ar-AE"/>
        </w:rPr>
        <w:t xml:space="preserve"> that had undergone rigorous tests of validity of both </w:t>
      </w:r>
      <w:r w:rsidRPr="00021BF0">
        <w:rPr>
          <w:i/>
          <w:iCs/>
          <w:sz w:val="24"/>
          <w:szCs w:val="24"/>
          <w:lang w:bidi="ar-AE"/>
        </w:rPr>
        <w:t xml:space="preserve">sanad </w:t>
      </w:r>
      <w:r w:rsidRPr="00021BF0">
        <w:rPr>
          <w:sz w:val="24"/>
          <w:szCs w:val="24"/>
          <w:lang w:bidi="ar-AE"/>
        </w:rPr>
        <w:t xml:space="preserve">or chain of narrators, and </w:t>
      </w:r>
      <w:r w:rsidRPr="00021BF0">
        <w:rPr>
          <w:i/>
          <w:iCs/>
          <w:sz w:val="24"/>
          <w:szCs w:val="24"/>
          <w:lang w:bidi="ar-AE"/>
        </w:rPr>
        <w:t xml:space="preserve">matn </w:t>
      </w:r>
      <w:r w:rsidRPr="00021BF0">
        <w:rPr>
          <w:sz w:val="24"/>
          <w:szCs w:val="24"/>
          <w:lang w:bidi="ar-AE"/>
        </w:rPr>
        <w:t xml:space="preserve">or the actual wording of </w:t>
      </w:r>
      <w:r w:rsidRPr="00021BF0">
        <w:rPr>
          <w:i/>
          <w:iCs/>
          <w:sz w:val="24"/>
          <w:szCs w:val="24"/>
        </w:rPr>
        <w:t>ḥadīth,</w:t>
      </w:r>
      <w:r w:rsidRPr="00021BF0">
        <w:rPr>
          <w:i/>
          <w:iCs/>
          <w:sz w:val="24"/>
          <w:szCs w:val="24"/>
          <w:lang w:bidi="ar-AE"/>
        </w:rPr>
        <w:t xml:space="preserve"> </w:t>
      </w:r>
      <w:r w:rsidRPr="00021BF0">
        <w:rPr>
          <w:sz w:val="24"/>
          <w:szCs w:val="24"/>
          <w:lang w:bidi="ar-AE"/>
        </w:rPr>
        <w:t>by al-Bukhārī and Muslim</w:t>
      </w:r>
      <w:r w:rsidR="007A0CB9">
        <w:rPr>
          <w:sz w:val="24"/>
          <w:szCs w:val="24"/>
          <w:lang w:bidi="ar-AE"/>
        </w:rPr>
        <w:t xml:space="preserve"> (821-875 </w:t>
      </w:r>
      <w:r w:rsidR="007A0CB9" w:rsidRPr="007A0CB9">
        <w:rPr>
          <w:lang w:bidi="ar-AE"/>
        </w:rPr>
        <w:t>CE</w:t>
      </w:r>
      <w:r w:rsidR="007A0CB9">
        <w:rPr>
          <w:sz w:val="24"/>
          <w:szCs w:val="24"/>
          <w:lang w:bidi="ar-AE"/>
        </w:rPr>
        <w:t>)</w:t>
      </w:r>
      <w:r w:rsidRPr="00021BF0">
        <w:rPr>
          <w:sz w:val="24"/>
          <w:szCs w:val="24"/>
          <w:lang w:bidi="ar-AE"/>
        </w:rPr>
        <w:t>.</w:t>
      </w:r>
      <w:r w:rsidRPr="00021BF0">
        <w:rPr>
          <w:rStyle w:val="FootnoteReference"/>
          <w:sz w:val="24"/>
          <w:szCs w:val="24"/>
          <w:lang w:bidi="ar-AE"/>
        </w:rPr>
        <w:footnoteReference w:id="216"/>
      </w:r>
      <w:r w:rsidRPr="00021BF0">
        <w:rPr>
          <w:sz w:val="24"/>
          <w:szCs w:val="24"/>
          <w:lang w:bidi="ar-AE"/>
        </w:rPr>
        <w:t xml:space="preserve"> The </w:t>
      </w:r>
      <w:r w:rsidR="005B1CD2" w:rsidRPr="00021BF0">
        <w:rPr>
          <w:sz w:val="24"/>
          <w:szCs w:val="24"/>
          <w:lang w:bidi="ar-AE"/>
        </w:rPr>
        <w:t>dissertation</w:t>
      </w:r>
      <w:r w:rsidRPr="00021BF0">
        <w:rPr>
          <w:sz w:val="24"/>
          <w:szCs w:val="24"/>
          <w:lang w:bidi="ar-AE"/>
        </w:rPr>
        <w:t xml:space="preserve"> also draws from other canonical compilations of 'sound' </w:t>
      </w:r>
      <w:r w:rsidRPr="00021BF0">
        <w:rPr>
          <w:i/>
          <w:iCs/>
          <w:sz w:val="24"/>
          <w:szCs w:val="24"/>
          <w:lang w:bidi="ar-AE"/>
        </w:rPr>
        <w:t>ḥadīths</w:t>
      </w:r>
      <w:r w:rsidRPr="00021BF0">
        <w:rPr>
          <w:sz w:val="24"/>
          <w:szCs w:val="24"/>
          <w:lang w:bidi="ar-AE"/>
        </w:rPr>
        <w:t xml:space="preserve">, particularly the works of al-Trimiḍhi, Abū Dāwūd (817-889 </w:t>
      </w:r>
      <w:r w:rsidRPr="007A0CB9">
        <w:rPr>
          <w:lang w:bidi="ar-AE"/>
        </w:rPr>
        <w:t>CE</w:t>
      </w:r>
      <w:r w:rsidRPr="00021BF0">
        <w:rPr>
          <w:sz w:val="24"/>
          <w:szCs w:val="24"/>
          <w:lang w:bidi="ar-AE"/>
        </w:rPr>
        <w:t xml:space="preserve">) and ibn Mājah (824-887 </w:t>
      </w:r>
      <w:r w:rsidRPr="00F14447">
        <w:rPr>
          <w:lang w:bidi="ar-AE"/>
        </w:rPr>
        <w:t>CE</w:t>
      </w:r>
      <w:r w:rsidRPr="00021BF0">
        <w:rPr>
          <w:sz w:val="24"/>
          <w:szCs w:val="24"/>
          <w:lang w:bidi="ar-AE"/>
        </w:rPr>
        <w:t>).</w:t>
      </w:r>
      <w:r w:rsidRPr="00021BF0">
        <w:rPr>
          <w:rStyle w:val="FootnoteReference"/>
          <w:sz w:val="24"/>
          <w:szCs w:val="24"/>
          <w:lang w:bidi="ar-AE"/>
        </w:rPr>
        <w:footnoteReference w:id="217"/>
      </w:r>
      <w:r w:rsidRPr="00021BF0">
        <w:rPr>
          <w:sz w:val="24"/>
          <w:szCs w:val="24"/>
          <w:lang w:bidi="ar-AE"/>
        </w:rPr>
        <w:t xml:space="preserve"> It will be noticed that just as Prophetic </w:t>
      </w:r>
      <w:r w:rsidRPr="00021BF0">
        <w:rPr>
          <w:i/>
          <w:iCs/>
          <w:sz w:val="24"/>
          <w:szCs w:val="24"/>
          <w:lang w:bidi="ar-AE"/>
        </w:rPr>
        <w:t>ḥadīth</w:t>
      </w:r>
      <w:r w:rsidRPr="00021BF0">
        <w:rPr>
          <w:sz w:val="24"/>
          <w:szCs w:val="24"/>
          <w:lang w:bidi="ar-AE"/>
        </w:rPr>
        <w:t xml:space="preserve"> was heavily relied upon in </w:t>
      </w:r>
      <w:r w:rsidRPr="00021BF0">
        <w:rPr>
          <w:sz w:val="24"/>
          <w:szCs w:val="24"/>
          <w:lang w:bidi="ar-AE"/>
        </w:rPr>
        <w:lastRenderedPageBreak/>
        <w:t xml:space="preserve">exegetical works, Qur'ānic verses were equally drawn from in </w:t>
      </w:r>
      <w:r w:rsidRPr="00021BF0">
        <w:rPr>
          <w:i/>
          <w:iCs/>
          <w:sz w:val="24"/>
          <w:szCs w:val="24"/>
          <w:lang w:bidi="ar-AE"/>
        </w:rPr>
        <w:t xml:space="preserve">ḥadīth </w:t>
      </w:r>
      <w:r w:rsidRPr="00021BF0">
        <w:rPr>
          <w:sz w:val="24"/>
          <w:szCs w:val="24"/>
          <w:lang w:bidi="ar-AE"/>
        </w:rPr>
        <w:t xml:space="preserve">interpretation, thus revealing the interconnectedness of the two modes of Islamic revelation. The aim here is to explore the cautious apocalyptic discourse of mainstream religious authorities, as opposed to what is deemed to be, by the same authorities, as the injudicious, radical and highly fabricated narratives found in the genre of </w:t>
      </w:r>
      <w:r w:rsidRPr="00021BF0">
        <w:rPr>
          <w:rFonts w:cs="Times New Roman"/>
          <w:sz w:val="24"/>
          <w:szCs w:val="24"/>
        </w:rPr>
        <w:t xml:space="preserve">genre of </w:t>
      </w:r>
      <w:r w:rsidRPr="00021BF0">
        <w:rPr>
          <w:rFonts w:cs="Times New Roman"/>
          <w:i/>
          <w:iCs/>
          <w:sz w:val="24"/>
          <w:szCs w:val="24"/>
        </w:rPr>
        <w:t>al-Fitan wal-Malāhim</w:t>
      </w:r>
      <w:r w:rsidRPr="00021BF0">
        <w:rPr>
          <w:rFonts w:cs="TimesNewRomanPS-BoldMT"/>
          <w:sz w:val="24"/>
          <w:szCs w:val="24"/>
        </w:rPr>
        <w:t xml:space="preserve"> (Tribulations and Fierce Battles).</w:t>
      </w:r>
    </w:p>
    <w:p w:rsidR="00804318" w:rsidRPr="002E78D8" w:rsidRDefault="00804318" w:rsidP="00804318">
      <w:pPr>
        <w:rPr>
          <w:b/>
          <w:bCs/>
          <w:rtl/>
          <w:lang w:bidi="ar-AE"/>
        </w:rPr>
      </w:pPr>
    </w:p>
    <w:p w:rsidR="00804318" w:rsidRDefault="00804318" w:rsidP="007821CC">
      <w:pPr>
        <w:pStyle w:val="Heading3"/>
      </w:pPr>
      <w:bookmarkStart w:id="38" w:name="_Toc477317395"/>
      <w:r>
        <w:t>3.2.2</w:t>
      </w:r>
      <w:r>
        <w:tab/>
        <w:t xml:space="preserve">Cosmic Portents of the Last Day in Prophetic </w:t>
      </w:r>
      <w:r w:rsidRPr="009E71FB">
        <w:rPr>
          <w:rFonts w:ascii="Calibri" w:hAnsi="Calibri"/>
        </w:rPr>
        <w:t>Ḥ</w:t>
      </w:r>
      <w:r w:rsidRPr="009E71FB">
        <w:t>ad</w:t>
      </w:r>
      <w:r w:rsidRPr="009E71FB">
        <w:rPr>
          <w:rFonts w:ascii="Calibri" w:hAnsi="Calibri"/>
        </w:rPr>
        <w:t>ī</w:t>
      </w:r>
      <w:r w:rsidRPr="009E71FB">
        <w:t>th</w:t>
      </w:r>
      <w:bookmarkEnd w:id="38"/>
      <w:r>
        <w:t xml:space="preserve"> </w:t>
      </w:r>
    </w:p>
    <w:p w:rsidR="00804318" w:rsidRPr="00021BF0" w:rsidRDefault="00804318" w:rsidP="00804318">
      <w:pPr>
        <w:autoSpaceDE/>
        <w:autoSpaceDN/>
        <w:adjustRightInd/>
        <w:jc w:val="lowKashida"/>
        <w:rPr>
          <w:rFonts w:eastAsia="Times New Roman" w:cs="Times New Roman"/>
          <w:sz w:val="24"/>
          <w:szCs w:val="24"/>
        </w:rPr>
      </w:pPr>
      <w:r w:rsidRPr="00021BF0">
        <w:rPr>
          <w:sz w:val="24"/>
          <w:szCs w:val="24"/>
        </w:rPr>
        <w:t xml:space="preserve">According to a </w:t>
      </w:r>
      <w:r w:rsidRPr="00021BF0">
        <w:rPr>
          <w:i/>
          <w:iCs/>
          <w:sz w:val="24"/>
          <w:szCs w:val="24"/>
        </w:rPr>
        <w:t>ḥadīth</w:t>
      </w:r>
      <w:r w:rsidRPr="00021BF0">
        <w:rPr>
          <w:sz w:val="24"/>
          <w:szCs w:val="24"/>
        </w:rPr>
        <w:t xml:space="preserve"> reported by al-Tirmiḍhī, the Prophet once spoke in a prolonged sermon about the portents of the Hour after the afternoon prayer (</w:t>
      </w:r>
      <w:r w:rsidRPr="00021BF0">
        <w:rPr>
          <w:i/>
          <w:iCs/>
          <w:sz w:val="24"/>
          <w:szCs w:val="24"/>
        </w:rPr>
        <w:t>ṣalāt al-Aṣr</w:t>
      </w:r>
      <w:r w:rsidRPr="00021BF0">
        <w:rPr>
          <w:sz w:val="24"/>
          <w:szCs w:val="24"/>
        </w:rPr>
        <w:t>) till shortly before sunset.</w:t>
      </w:r>
      <w:r w:rsidRPr="00021BF0">
        <w:rPr>
          <w:rStyle w:val="FootnoteReference"/>
          <w:sz w:val="24"/>
          <w:szCs w:val="24"/>
        </w:rPr>
        <w:footnoteReference w:id="218"/>
      </w:r>
      <w:r w:rsidRPr="00021BF0">
        <w:rPr>
          <w:sz w:val="24"/>
          <w:szCs w:val="24"/>
        </w:rPr>
        <w:t xml:space="preserve"> Noticing that his companions started looking towards the west in anticipation of the shortly due sunset prayer (</w:t>
      </w:r>
      <w:r w:rsidRPr="00021BF0">
        <w:rPr>
          <w:i/>
          <w:iCs/>
          <w:sz w:val="24"/>
          <w:szCs w:val="24"/>
        </w:rPr>
        <w:t>ṣalāt al-Maghrib</w:t>
      </w:r>
      <w:r w:rsidRPr="00021BF0">
        <w:rPr>
          <w:sz w:val="24"/>
          <w:szCs w:val="24"/>
        </w:rPr>
        <w:t>), the Prophet concluded his sermon by stressing the imminence of the Last Day, '</w:t>
      </w:r>
      <w:r w:rsidRPr="00021BF0">
        <w:rPr>
          <w:rFonts w:eastAsia="Times New Roman" w:cs="Times New Roman"/>
          <w:sz w:val="24"/>
          <w:szCs w:val="24"/>
        </w:rPr>
        <w:t>Behold! The world, in relation to what has passed of it, shall not remain except as what remains of this day of yours, in relation to what has passed of it.'</w:t>
      </w:r>
      <w:r w:rsidRPr="00021BF0">
        <w:rPr>
          <w:rStyle w:val="FootnoteReference"/>
          <w:rFonts w:eastAsia="Times New Roman" w:cs="Times New Roman"/>
          <w:sz w:val="24"/>
          <w:szCs w:val="24"/>
        </w:rPr>
        <w:footnoteReference w:id="219"/>
      </w:r>
      <w:r w:rsidRPr="00021BF0">
        <w:rPr>
          <w:rFonts w:eastAsia="Times New Roman" w:cs="Times New Roman"/>
          <w:sz w:val="24"/>
          <w:szCs w:val="24"/>
        </w:rPr>
        <w:t xml:space="preserve"> This section examines the most mentioned cosmic portent in </w:t>
      </w:r>
      <w:r w:rsidRPr="00021BF0">
        <w:rPr>
          <w:rFonts w:eastAsia="Times New Roman" w:cs="Times New Roman"/>
          <w:sz w:val="24"/>
          <w:szCs w:val="24"/>
          <w:lang w:bidi="ar-AE"/>
        </w:rPr>
        <w:t xml:space="preserve">authentic </w:t>
      </w:r>
      <w:r w:rsidRPr="00021BF0">
        <w:rPr>
          <w:rFonts w:eastAsia="Times New Roman" w:cs="Times New Roman"/>
          <w:i/>
          <w:iCs/>
          <w:sz w:val="24"/>
          <w:szCs w:val="24"/>
          <w:lang w:bidi="ar-AE"/>
        </w:rPr>
        <w:t xml:space="preserve">ḥadīth </w:t>
      </w:r>
      <w:r w:rsidRPr="00021BF0">
        <w:rPr>
          <w:rFonts w:eastAsia="Times New Roman" w:cs="Times New Roman"/>
          <w:sz w:val="24"/>
          <w:szCs w:val="24"/>
          <w:lang w:bidi="ar-AE"/>
        </w:rPr>
        <w:t>compilations; the rising of the sun from the west.</w:t>
      </w:r>
    </w:p>
    <w:p w:rsidR="00804318" w:rsidRPr="00021BF0" w:rsidRDefault="00804318" w:rsidP="00804318">
      <w:pPr>
        <w:autoSpaceDE/>
        <w:autoSpaceDN/>
        <w:adjustRightInd/>
        <w:jc w:val="lowKashida"/>
        <w:rPr>
          <w:rFonts w:eastAsia="Times New Roman" w:cs="Times New Roman"/>
          <w:sz w:val="24"/>
          <w:szCs w:val="24"/>
          <w:lang w:bidi="ar-AE"/>
        </w:rPr>
      </w:pPr>
    </w:p>
    <w:p w:rsidR="00804318" w:rsidRPr="00021BF0" w:rsidRDefault="00804318" w:rsidP="00804318">
      <w:pPr>
        <w:autoSpaceDE/>
        <w:autoSpaceDN/>
        <w:adjustRightInd/>
        <w:jc w:val="lowKashida"/>
        <w:rPr>
          <w:rFonts w:eastAsia="Times New Roman" w:cs="Times New Roman"/>
          <w:sz w:val="24"/>
          <w:szCs w:val="24"/>
          <w:lang w:bidi="ar-AE"/>
        </w:rPr>
      </w:pPr>
      <w:r w:rsidRPr="00021BF0">
        <w:rPr>
          <w:rFonts w:eastAsia="Times New Roman" w:cs="Times New Roman"/>
          <w:sz w:val="24"/>
          <w:szCs w:val="24"/>
          <w:lang w:bidi="ar-AE"/>
        </w:rPr>
        <w:t>Explaining the esoteric meaning of the Qur'ānic verse, '</w:t>
      </w:r>
      <w:r w:rsidRPr="00021BF0">
        <w:rPr>
          <w:color w:val="000000"/>
          <w:sz w:val="24"/>
          <w:szCs w:val="24"/>
        </w:rPr>
        <w:t>The day that certain of the signs of thy Lord do come, no good will it do to a soul to believe in them then,' the Prophet warned his companions of one of the major signs of the Last Day after which penitence is rejected:</w:t>
      </w:r>
    </w:p>
    <w:p w:rsidR="00804318" w:rsidRPr="00021BF0" w:rsidRDefault="00804318" w:rsidP="00804318">
      <w:pPr>
        <w:autoSpaceDE/>
        <w:autoSpaceDN/>
        <w:adjustRightInd/>
        <w:jc w:val="lowKashida"/>
        <w:rPr>
          <w:rFonts w:eastAsia="Times New Roman" w:cs="Times New Roman"/>
          <w:sz w:val="24"/>
          <w:szCs w:val="24"/>
          <w:lang w:bidi="ar-AE"/>
        </w:rPr>
      </w:pPr>
    </w:p>
    <w:p w:rsidR="00804318" w:rsidRPr="00021BF0" w:rsidRDefault="00804318" w:rsidP="00021BF0">
      <w:pPr>
        <w:autoSpaceDE/>
        <w:autoSpaceDN/>
        <w:adjustRightInd/>
        <w:spacing w:line="240" w:lineRule="auto"/>
        <w:ind w:left="720"/>
        <w:jc w:val="lowKashida"/>
        <w:rPr>
          <w:sz w:val="24"/>
          <w:szCs w:val="24"/>
        </w:rPr>
      </w:pPr>
      <w:r w:rsidRPr="00021BF0">
        <w:rPr>
          <w:sz w:val="24"/>
          <w:szCs w:val="24"/>
        </w:rPr>
        <w:t>The hour will not strike till the sun rises from the west; and when it rises (from the west) and the people see it, they all will believe. And that is (the time) when no good will it do to a soul to believe then.</w:t>
      </w:r>
      <w:r w:rsidRPr="00021BF0">
        <w:rPr>
          <w:rStyle w:val="FootnoteReference"/>
          <w:sz w:val="24"/>
          <w:szCs w:val="24"/>
        </w:rPr>
        <w:footnoteReference w:id="220"/>
      </w:r>
    </w:p>
    <w:p w:rsidR="00804318" w:rsidRPr="00021BF0" w:rsidRDefault="00804318" w:rsidP="00804318">
      <w:pPr>
        <w:autoSpaceDE/>
        <w:autoSpaceDN/>
        <w:adjustRightInd/>
        <w:jc w:val="lowKashida"/>
        <w:rPr>
          <w:sz w:val="24"/>
          <w:szCs w:val="24"/>
        </w:rPr>
      </w:pPr>
    </w:p>
    <w:p w:rsidR="00804318" w:rsidRPr="00021BF0" w:rsidRDefault="00804318" w:rsidP="00804318">
      <w:pPr>
        <w:autoSpaceDE/>
        <w:autoSpaceDN/>
        <w:adjustRightInd/>
        <w:jc w:val="lowKashida"/>
        <w:rPr>
          <w:rFonts w:eastAsia="Times New Roman" w:cs="Times New Roman"/>
          <w:sz w:val="24"/>
          <w:szCs w:val="24"/>
          <w:lang w:bidi="ar-AE"/>
        </w:rPr>
      </w:pPr>
      <w:r w:rsidRPr="00021BF0">
        <w:rPr>
          <w:rFonts w:eastAsia="Times New Roman" w:cs="Times New Roman"/>
          <w:sz w:val="24"/>
          <w:szCs w:val="24"/>
          <w:lang w:bidi="ar-AE"/>
        </w:rPr>
        <w:t xml:space="preserve">The recurrence of this </w:t>
      </w:r>
      <w:r w:rsidRPr="00021BF0">
        <w:rPr>
          <w:rFonts w:eastAsia="Times New Roman" w:cs="Times New Roman"/>
          <w:i/>
          <w:iCs/>
          <w:sz w:val="24"/>
          <w:szCs w:val="24"/>
          <w:lang w:bidi="ar-AE"/>
        </w:rPr>
        <w:t>ḥadīth</w:t>
      </w:r>
      <w:r w:rsidRPr="00021BF0">
        <w:rPr>
          <w:rFonts w:eastAsia="Times New Roman" w:cs="Times New Roman"/>
          <w:sz w:val="24"/>
          <w:szCs w:val="24"/>
          <w:lang w:bidi="ar-AE"/>
        </w:rPr>
        <w:t xml:space="preserve"> in the compilations of Muslim, Abū Dawūd, al-Tirmiḍhī and ibn Mājah conveys its eschatological significance.</w:t>
      </w:r>
      <w:r w:rsidRPr="00021BF0">
        <w:rPr>
          <w:rStyle w:val="FootnoteReference"/>
          <w:rFonts w:eastAsia="Times New Roman" w:cs="Times New Roman"/>
          <w:sz w:val="24"/>
          <w:szCs w:val="24"/>
          <w:lang w:bidi="ar-AE"/>
        </w:rPr>
        <w:footnoteReference w:id="221"/>
      </w:r>
      <w:r w:rsidRPr="00021BF0">
        <w:rPr>
          <w:rFonts w:eastAsia="Times New Roman" w:cs="Times New Roman"/>
          <w:sz w:val="24"/>
          <w:szCs w:val="24"/>
          <w:lang w:bidi="ar-AE"/>
        </w:rPr>
        <w:t xml:space="preserve"> When asked about the </w:t>
      </w:r>
      <w:r w:rsidRPr="00021BF0">
        <w:rPr>
          <w:rFonts w:eastAsia="Times New Roman" w:cs="Times New Roman"/>
          <w:sz w:val="24"/>
          <w:szCs w:val="24"/>
          <w:lang w:bidi="ar-AE"/>
        </w:rPr>
        <w:lastRenderedPageBreak/>
        <w:t>meaning of another verse, '</w:t>
      </w:r>
      <w:r w:rsidRPr="00021BF0">
        <w:rPr>
          <w:color w:val="000000"/>
          <w:sz w:val="24"/>
          <w:szCs w:val="24"/>
        </w:rPr>
        <w:t xml:space="preserve">And the Sun runs his course for a period determined for him,' the Prophet further elaborated on </w:t>
      </w:r>
      <w:r w:rsidRPr="00021BF0">
        <w:rPr>
          <w:rFonts w:eastAsia="Times New Roman" w:cs="Times New Roman"/>
          <w:sz w:val="24"/>
          <w:szCs w:val="24"/>
          <w:lang w:bidi="ar-AE"/>
        </w:rPr>
        <w:t>the drastic reversal of the diurnal motion of the sun:</w:t>
      </w:r>
    </w:p>
    <w:p w:rsidR="00804318" w:rsidRPr="00021BF0" w:rsidRDefault="00804318" w:rsidP="00804318">
      <w:pPr>
        <w:autoSpaceDE/>
        <w:autoSpaceDN/>
        <w:adjustRightInd/>
        <w:jc w:val="lowKashida"/>
        <w:rPr>
          <w:rFonts w:eastAsia="Times New Roman" w:cs="Times New Roman"/>
          <w:sz w:val="24"/>
          <w:szCs w:val="24"/>
          <w:lang w:bidi="ar-AE"/>
        </w:rPr>
      </w:pPr>
    </w:p>
    <w:p w:rsidR="00804318" w:rsidRPr="00021BF0" w:rsidRDefault="00804318" w:rsidP="00021BF0">
      <w:pPr>
        <w:autoSpaceDE/>
        <w:autoSpaceDN/>
        <w:adjustRightInd/>
        <w:spacing w:line="240" w:lineRule="auto"/>
        <w:ind w:left="720"/>
        <w:jc w:val="lowKashida"/>
        <w:rPr>
          <w:rFonts w:eastAsia="Times New Roman" w:cs="Times New Roman"/>
          <w:sz w:val="24"/>
          <w:szCs w:val="24"/>
          <w:lang w:bidi="ar-AE"/>
        </w:rPr>
      </w:pPr>
      <w:r w:rsidRPr="00021BF0">
        <w:rPr>
          <w:sz w:val="24"/>
          <w:szCs w:val="24"/>
        </w:rPr>
        <w:t>It travels till it prostrates itself underneath the Throne and takes the permission to rise again, and it is permitted, and then (a time will come when) it will be about to prostrate itself but its prostration will not be accepted, and it will ask permission to go on its course but it will not be permitted, but it will be ordered to return whence it has come and so it will rise in the west.</w:t>
      </w:r>
      <w:r w:rsidRPr="00021BF0">
        <w:rPr>
          <w:rStyle w:val="FootnoteReference"/>
          <w:sz w:val="24"/>
          <w:szCs w:val="24"/>
        </w:rPr>
        <w:footnoteReference w:id="222"/>
      </w:r>
    </w:p>
    <w:p w:rsidR="00804318" w:rsidRPr="00021BF0" w:rsidRDefault="00804318" w:rsidP="00804318">
      <w:pPr>
        <w:autoSpaceDE/>
        <w:autoSpaceDN/>
        <w:adjustRightInd/>
        <w:jc w:val="lowKashida"/>
        <w:rPr>
          <w:rFonts w:eastAsia="Times New Roman" w:cs="Times New Roman"/>
          <w:sz w:val="24"/>
          <w:szCs w:val="24"/>
          <w:lang w:bidi="ar-AE"/>
        </w:rPr>
      </w:pPr>
    </w:p>
    <w:p w:rsidR="00804318" w:rsidRPr="00021BF0" w:rsidRDefault="00804318" w:rsidP="00804318">
      <w:pPr>
        <w:autoSpaceDE/>
        <w:autoSpaceDN/>
        <w:adjustRightInd/>
        <w:jc w:val="lowKashida"/>
        <w:rPr>
          <w:sz w:val="24"/>
          <w:szCs w:val="24"/>
        </w:rPr>
      </w:pPr>
      <w:r w:rsidRPr="00021BF0">
        <w:rPr>
          <w:sz w:val="24"/>
          <w:szCs w:val="24"/>
        </w:rPr>
        <w:t>The prostration (</w:t>
      </w:r>
      <w:r w:rsidRPr="00021BF0">
        <w:rPr>
          <w:i/>
          <w:iCs/>
          <w:sz w:val="24"/>
          <w:szCs w:val="24"/>
        </w:rPr>
        <w:t>sujūd</w:t>
      </w:r>
      <w:r w:rsidRPr="00021BF0">
        <w:rPr>
          <w:sz w:val="24"/>
          <w:szCs w:val="24"/>
        </w:rPr>
        <w:t xml:space="preserve">) of the sun, moon and other created things is similarly stressed in the Qur'ān, </w:t>
      </w:r>
      <w:r w:rsidRPr="00021BF0">
        <w:rPr>
          <w:color w:val="000000"/>
          <w:sz w:val="24"/>
          <w:szCs w:val="24"/>
        </w:rPr>
        <w:t>'Seest thou not that to Allah bow down in worship all things that are in the heavens and on earth― the sun, the moon, the stars; the hills, the trees the animals; and a great number among mankind?'</w:t>
      </w:r>
      <w:r w:rsidRPr="00021BF0">
        <w:rPr>
          <w:rStyle w:val="FootnoteReference"/>
          <w:color w:val="000000"/>
          <w:sz w:val="24"/>
          <w:szCs w:val="24"/>
        </w:rPr>
        <w:footnoteReference w:id="223"/>
      </w:r>
      <w:r w:rsidRPr="00021BF0">
        <w:rPr>
          <w:color w:val="000000"/>
          <w:sz w:val="24"/>
          <w:szCs w:val="24"/>
        </w:rPr>
        <w:t xml:space="preserve"> </w:t>
      </w:r>
      <w:r w:rsidRPr="00021BF0">
        <w:rPr>
          <w:color w:val="000000"/>
          <w:sz w:val="24"/>
          <w:szCs w:val="24"/>
          <w:lang w:bidi="ar-AE"/>
        </w:rPr>
        <w:t xml:space="preserve">Theologian ibn Qayyim al-Jawzīyyah (1292-1350 </w:t>
      </w:r>
      <w:r w:rsidRPr="00F14447">
        <w:rPr>
          <w:color w:val="000000"/>
          <w:lang w:bidi="ar-AE"/>
        </w:rPr>
        <w:t>CE</w:t>
      </w:r>
      <w:r w:rsidRPr="00021BF0">
        <w:rPr>
          <w:color w:val="000000"/>
          <w:sz w:val="24"/>
          <w:szCs w:val="24"/>
          <w:lang w:bidi="ar-AE"/>
        </w:rPr>
        <w:t xml:space="preserve">) wrote that </w:t>
      </w:r>
      <w:r w:rsidRPr="00021BF0">
        <w:rPr>
          <w:i/>
          <w:iCs/>
          <w:color w:val="000000"/>
          <w:sz w:val="24"/>
          <w:szCs w:val="24"/>
          <w:lang w:bidi="ar-AE"/>
        </w:rPr>
        <w:t>sujūd</w:t>
      </w:r>
      <w:r w:rsidRPr="00021BF0">
        <w:rPr>
          <w:color w:val="000000"/>
          <w:sz w:val="24"/>
          <w:szCs w:val="24"/>
          <w:lang w:bidi="ar-AE"/>
        </w:rPr>
        <w:t xml:space="preserve"> in this context represents the metaphorical prostration to God's will, since all creation 'is submissive to His Lordship, humbled by His Glory and subdued by His Authority.'</w:t>
      </w:r>
      <w:r w:rsidRPr="00021BF0">
        <w:rPr>
          <w:rStyle w:val="FootnoteReference"/>
          <w:color w:val="000000"/>
          <w:sz w:val="24"/>
          <w:szCs w:val="24"/>
          <w:lang w:bidi="ar-AE"/>
        </w:rPr>
        <w:footnoteReference w:id="224"/>
      </w:r>
      <w:r w:rsidRPr="00021BF0">
        <w:rPr>
          <w:color w:val="000000"/>
          <w:sz w:val="24"/>
          <w:szCs w:val="24"/>
          <w:lang w:bidi="ar-AE"/>
        </w:rPr>
        <w:t xml:space="preserve"> The recurrent concept of </w:t>
      </w:r>
      <w:r w:rsidRPr="00021BF0">
        <w:rPr>
          <w:i/>
          <w:iCs/>
          <w:color w:val="000000"/>
          <w:sz w:val="24"/>
          <w:szCs w:val="24"/>
          <w:lang w:bidi="ar-AE"/>
        </w:rPr>
        <w:t>sujūd</w:t>
      </w:r>
      <w:r w:rsidRPr="00021BF0">
        <w:rPr>
          <w:color w:val="000000"/>
          <w:sz w:val="24"/>
          <w:szCs w:val="24"/>
          <w:lang w:bidi="ar-AE"/>
        </w:rPr>
        <w:t xml:space="preserve"> as it pertains to all creation therefore is indicative of total subjugation to   the laws and commands of Allah as pointed out by al</w:t>
      </w:r>
      <w:r w:rsidRPr="00021BF0">
        <w:rPr>
          <w:sz w:val="24"/>
          <w:szCs w:val="24"/>
        </w:rPr>
        <w:t xml:space="preserve">-Ghazālī: </w:t>
      </w:r>
    </w:p>
    <w:p w:rsidR="00804318" w:rsidRPr="00021BF0" w:rsidRDefault="00804318" w:rsidP="00804318">
      <w:pPr>
        <w:ind w:left="720"/>
        <w:rPr>
          <w:sz w:val="24"/>
          <w:szCs w:val="24"/>
        </w:rPr>
      </w:pPr>
    </w:p>
    <w:p w:rsidR="00804318" w:rsidRPr="00021BF0" w:rsidRDefault="00804318" w:rsidP="00021BF0">
      <w:pPr>
        <w:spacing w:line="240" w:lineRule="auto"/>
        <w:ind w:left="720"/>
        <w:jc w:val="lowKashida"/>
        <w:rPr>
          <w:sz w:val="24"/>
          <w:szCs w:val="24"/>
        </w:rPr>
      </w:pPr>
      <w:r w:rsidRPr="00021BF0">
        <w:rPr>
          <w:sz w:val="24"/>
          <w:szCs w:val="24"/>
        </w:rPr>
        <w:t>Nature is in subjection to God the most exalted, not acting of itself, but serving as an instrument in the hands of its Creator. The sun, moon, stars and elements are also in subjection to His command, for none of them act in accordance to their own essence.</w:t>
      </w:r>
      <w:r w:rsidRPr="00021BF0">
        <w:rPr>
          <w:rStyle w:val="FootnoteReference"/>
          <w:sz w:val="24"/>
          <w:szCs w:val="24"/>
        </w:rPr>
        <w:footnoteReference w:id="225"/>
      </w:r>
      <w:r w:rsidRPr="00021BF0">
        <w:rPr>
          <w:sz w:val="24"/>
          <w:szCs w:val="24"/>
        </w:rPr>
        <w:t xml:space="preserve">  </w:t>
      </w:r>
    </w:p>
    <w:p w:rsidR="00804318" w:rsidRPr="00021BF0" w:rsidRDefault="00804318" w:rsidP="00804318">
      <w:pPr>
        <w:spacing w:line="240" w:lineRule="auto"/>
        <w:rPr>
          <w:sz w:val="24"/>
          <w:szCs w:val="24"/>
          <w:rtl/>
          <w:lang w:bidi="ar-AE"/>
        </w:rPr>
      </w:pPr>
    </w:p>
    <w:p w:rsidR="00804318" w:rsidRPr="00021BF0" w:rsidRDefault="00804318" w:rsidP="00804318">
      <w:pPr>
        <w:autoSpaceDE/>
        <w:autoSpaceDN/>
        <w:adjustRightInd/>
        <w:jc w:val="lowKashida"/>
        <w:rPr>
          <w:color w:val="000000"/>
          <w:sz w:val="24"/>
          <w:szCs w:val="24"/>
        </w:rPr>
      </w:pPr>
      <w:r w:rsidRPr="00021BF0">
        <w:rPr>
          <w:sz w:val="24"/>
          <w:szCs w:val="24"/>
        </w:rPr>
        <w:t xml:space="preserve">Surrendering to the commands of the Creator hence signifies the triumph of order over chaos that enables 'the establishment of a stable community within a </w:t>
      </w:r>
      <w:r w:rsidRPr="00021BF0">
        <w:rPr>
          <w:sz w:val="24"/>
          <w:szCs w:val="24"/>
        </w:rPr>
        <w:lastRenderedPageBreak/>
        <w:t xml:space="preserve">benevolent and life-sustaining cosmic order,' as </w:t>
      </w:r>
      <w:r w:rsidRPr="00021BF0">
        <w:rPr>
          <w:rFonts w:cs="Arial"/>
          <w:color w:val="000000"/>
          <w:sz w:val="24"/>
          <w:szCs w:val="24"/>
        </w:rPr>
        <w:t xml:space="preserve">Job Y. </w:t>
      </w:r>
      <w:r w:rsidRPr="00021BF0">
        <w:rPr>
          <w:sz w:val="24"/>
          <w:szCs w:val="24"/>
        </w:rPr>
        <w:t>Jindo noted.</w:t>
      </w:r>
      <w:r w:rsidRPr="00021BF0">
        <w:rPr>
          <w:rStyle w:val="FootnoteReference"/>
          <w:sz w:val="24"/>
          <w:szCs w:val="24"/>
        </w:rPr>
        <w:footnoteReference w:id="226"/>
      </w:r>
      <w:r w:rsidRPr="00021BF0">
        <w:rPr>
          <w:sz w:val="24"/>
          <w:szCs w:val="24"/>
        </w:rPr>
        <w:t xml:space="preserve"> The reverse however is instigated by the arrogant refusal of humanity to submit to divine laws which subsequently leads to social degeneracy. The impending disruption of the cosmic order is finally heralded by unusual celestial signs, the most significant of which is the rising of the sun from the west which marks the repudiation of  penitence, for as the Prophet said</w:t>
      </w:r>
      <w:r w:rsidRPr="00021BF0">
        <w:rPr>
          <w:rFonts w:eastAsia="Times New Roman" w:cs="Times New Roman"/>
          <w:sz w:val="24"/>
          <w:szCs w:val="24"/>
        </w:rPr>
        <w:t>, in the west lies the 'Gate of Repentance' which remains unlocked till the sun rises through it.</w:t>
      </w:r>
      <w:r w:rsidRPr="00021BF0">
        <w:rPr>
          <w:rStyle w:val="FootnoteReference"/>
          <w:rFonts w:eastAsia="Times New Roman" w:cs="Times New Roman"/>
          <w:sz w:val="24"/>
          <w:szCs w:val="24"/>
        </w:rPr>
        <w:footnoteReference w:id="227"/>
      </w:r>
      <w:r w:rsidRPr="00021BF0">
        <w:rPr>
          <w:sz w:val="24"/>
          <w:szCs w:val="24"/>
        </w:rPr>
        <w:t xml:space="preserve"> </w:t>
      </w:r>
      <w:r w:rsidRPr="00021BF0">
        <w:rPr>
          <w:rFonts w:eastAsia="Times New Roman" w:cs="Times New Roman"/>
          <w:sz w:val="24"/>
          <w:szCs w:val="24"/>
        </w:rPr>
        <w:t xml:space="preserve">Elaborating on this 'major portent' of the Last Day, Qur'ān exegete al-Tha'labī (d. 1035 </w:t>
      </w:r>
      <w:r w:rsidRPr="00F14447">
        <w:rPr>
          <w:rFonts w:eastAsia="Times New Roman" w:cs="Times New Roman"/>
        </w:rPr>
        <w:t>CE</w:t>
      </w:r>
      <w:r w:rsidRPr="00021BF0">
        <w:rPr>
          <w:rFonts w:eastAsia="Times New Roman" w:cs="Times New Roman"/>
          <w:sz w:val="24"/>
          <w:szCs w:val="24"/>
        </w:rPr>
        <w:t>) wrote that due to the sins of humanity</w:t>
      </w:r>
      <w:r w:rsidRPr="00021BF0">
        <w:rPr>
          <w:rFonts w:eastAsia="Times New Roman" w:cs="Times New Roman"/>
          <w:sz w:val="24"/>
          <w:szCs w:val="24"/>
          <w:lang w:bidi="ar-AE"/>
        </w:rPr>
        <w:t>, the sun and the moon get confined for a number of days after which they are permitted to rise from the west, yet eclipsed and devoid of their light just as described in the Qur'ānic verses, '</w:t>
      </w:r>
      <w:r w:rsidRPr="00021BF0">
        <w:rPr>
          <w:color w:val="000000"/>
          <w:sz w:val="24"/>
          <w:szCs w:val="24"/>
        </w:rPr>
        <w:t>When the sun (with its spacious light) is folded up,' and 'And the sun and moon are joined together.'</w:t>
      </w:r>
      <w:r w:rsidRPr="00021BF0">
        <w:rPr>
          <w:rStyle w:val="FootnoteReference"/>
          <w:color w:val="000000"/>
          <w:sz w:val="24"/>
          <w:szCs w:val="24"/>
        </w:rPr>
        <w:footnoteReference w:id="228"/>
      </w:r>
      <w:r w:rsidRPr="00021BF0">
        <w:rPr>
          <w:color w:val="000000"/>
          <w:sz w:val="24"/>
          <w:szCs w:val="24"/>
        </w:rPr>
        <w:t xml:space="preserve"> When the luminaries reach the midheaven, their motion is reversed back to normal allowing them to set in the 'Gate of Repentance' in the west, locking it up once and for all till the Hour.</w:t>
      </w:r>
      <w:r w:rsidRPr="00021BF0">
        <w:rPr>
          <w:rStyle w:val="FootnoteReference"/>
          <w:color w:val="000000"/>
          <w:sz w:val="24"/>
          <w:szCs w:val="24"/>
        </w:rPr>
        <w:footnoteReference w:id="229"/>
      </w:r>
      <w:r w:rsidRPr="00021BF0">
        <w:rPr>
          <w:color w:val="000000"/>
          <w:sz w:val="24"/>
          <w:szCs w:val="24"/>
        </w:rPr>
        <w:t xml:space="preserve"> The mythic language that describes the apocalyptic celestial portents is evidently employed to assert, as Collins observed, the insignificance of humanity in the predestined course of events, intensifying the terror of history through 'negative theophanies' which according to Eliade, ominously declare the looming retribution that awaits the wrongdoers.</w:t>
      </w:r>
      <w:r w:rsidRPr="00021BF0">
        <w:rPr>
          <w:rStyle w:val="FootnoteReference"/>
          <w:sz w:val="24"/>
          <w:szCs w:val="24"/>
          <w:lang w:bidi="ar-AE"/>
        </w:rPr>
        <w:footnoteReference w:id="230"/>
      </w:r>
    </w:p>
    <w:p w:rsidR="00804318" w:rsidRPr="00021BF0" w:rsidRDefault="00804318" w:rsidP="00804318">
      <w:pPr>
        <w:jc w:val="lowKashida"/>
        <w:rPr>
          <w:color w:val="000000"/>
          <w:sz w:val="24"/>
          <w:szCs w:val="24"/>
        </w:rPr>
      </w:pPr>
    </w:p>
    <w:p w:rsidR="00804318" w:rsidRDefault="00804318" w:rsidP="00804318">
      <w:pPr>
        <w:pStyle w:val="Heading2"/>
      </w:pPr>
      <w:bookmarkStart w:id="40" w:name="_Toc477317396"/>
      <w:r>
        <w:t>3.3 Portents of the Last Day in the 'Tribulations and Fierce Battles' Genre</w:t>
      </w:r>
      <w:bookmarkEnd w:id="40"/>
    </w:p>
    <w:p w:rsidR="00804318" w:rsidRPr="00A358D1" w:rsidRDefault="00804318" w:rsidP="00021BF0">
      <w:pPr>
        <w:pStyle w:val="Heading3"/>
      </w:pPr>
      <w:bookmarkStart w:id="41" w:name="_Toc477317397"/>
      <w:r>
        <w:t>3.3.1</w:t>
      </w:r>
      <w:r>
        <w:tab/>
      </w:r>
      <w:r>
        <w:rPr>
          <w:lang w:bidi="ar-AE"/>
        </w:rPr>
        <w:t>The Genre of Islamic Apocalyptica</w:t>
      </w:r>
      <w:bookmarkEnd w:id="41"/>
      <w:r>
        <w:t xml:space="preserve"> </w:t>
      </w:r>
    </w:p>
    <w:p w:rsidR="00804318" w:rsidRPr="00021BF0" w:rsidRDefault="00804318" w:rsidP="00F229AF">
      <w:pPr>
        <w:jc w:val="lowKashida"/>
        <w:rPr>
          <w:rFonts w:cs="Arial"/>
          <w:color w:val="000000"/>
          <w:sz w:val="24"/>
          <w:szCs w:val="24"/>
        </w:rPr>
      </w:pPr>
      <w:r w:rsidRPr="00021BF0">
        <w:rPr>
          <w:rFonts w:cs="Arial"/>
          <w:color w:val="000000"/>
          <w:sz w:val="24"/>
          <w:szCs w:val="24"/>
        </w:rPr>
        <w:t xml:space="preserve">Unlike the cautious methodology employed by the compilers of the canonical </w:t>
      </w:r>
      <w:r w:rsidRPr="00021BF0">
        <w:rPr>
          <w:rFonts w:cs="Arial"/>
          <w:i/>
          <w:iCs/>
          <w:color w:val="000000"/>
          <w:sz w:val="24"/>
          <w:szCs w:val="24"/>
        </w:rPr>
        <w:t>ḥadīth</w:t>
      </w:r>
      <w:r w:rsidRPr="00021BF0">
        <w:rPr>
          <w:rFonts w:cs="Arial"/>
          <w:color w:val="000000"/>
          <w:sz w:val="24"/>
          <w:szCs w:val="24"/>
        </w:rPr>
        <w:t xml:space="preserve"> collections, the large body of a highly speculative Islamic apocalyptica, popularly known as </w:t>
      </w:r>
      <w:r w:rsidRPr="00021BF0">
        <w:rPr>
          <w:rFonts w:cs="Arial"/>
          <w:i/>
          <w:iCs/>
          <w:color w:val="000000"/>
          <w:sz w:val="24"/>
          <w:szCs w:val="24"/>
        </w:rPr>
        <w:t>al-Fitan wa-l-Malāḥim,</w:t>
      </w:r>
      <w:r w:rsidRPr="00021BF0">
        <w:rPr>
          <w:rFonts w:cs="Arial"/>
          <w:color w:val="000000"/>
          <w:sz w:val="24"/>
          <w:szCs w:val="24"/>
        </w:rPr>
        <w:t xml:space="preserve"> employed little, if any, tests of authenticity.</w:t>
      </w:r>
      <w:r w:rsidRPr="00021BF0">
        <w:rPr>
          <w:rStyle w:val="FootnoteReference"/>
          <w:rFonts w:cs="Arial"/>
          <w:color w:val="000000"/>
          <w:sz w:val="24"/>
          <w:szCs w:val="24"/>
        </w:rPr>
        <w:footnoteReference w:id="231"/>
      </w:r>
      <w:r w:rsidRPr="00021BF0">
        <w:rPr>
          <w:rFonts w:cs="Arial"/>
          <w:color w:val="000000"/>
          <w:sz w:val="24"/>
          <w:szCs w:val="24"/>
        </w:rPr>
        <w:t xml:space="preserve"> While the term </w:t>
      </w:r>
      <w:r w:rsidRPr="00021BF0">
        <w:rPr>
          <w:rFonts w:cs="Arial"/>
          <w:i/>
          <w:iCs/>
          <w:color w:val="000000"/>
          <w:sz w:val="24"/>
          <w:szCs w:val="24"/>
        </w:rPr>
        <w:t>fitan</w:t>
      </w:r>
      <w:r w:rsidRPr="00021BF0">
        <w:rPr>
          <w:rFonts w:cs="Arial"/>
          <w:color w:val="000000"/>
          <w:sz w:val="24"/>
          <w:szCs w:val="24"/>
        </w:rPr>
        <w:t xml:space="preserve"> denotes political tribulations as discussed earlier, </w:t>
      </w:r>
      <w:r w:rsidRPr="00021BF0">
        <w:rPr>
          <w:rFonts w:cs="Arial"/>
          <w:i/>
          <w:iCs/>
          <w:color w:val="000000"/>
          <w:sz w:val="24"/>
          <w:szCs w:val="24"/>
        </w:rPr>
        <w:t>malhama</w:t>
      </w:r>
      <w:r w:rsidRPr="00021BF0">
        <w:rPr>
          <w:rFonts w:cs="Arial"/>
          <w:color w:val="000000"/>
          <w:sz w:val="24"/>
          <w:szCs w:val="24"/>
        </w:rPr>
        <w:t xml:space="preserve"> (singular form of </w:t>
      </w:r>
      <w:r w:rsidRPr="00021BF0">
        <w:rPr>
          <w:rFonts w:cs="Arial"/>
          <w:i/>
          <w:iCs/>
          <w:color w:val="000000"/>
          <w:sz w:val="24"/>
          <w:szCs w:val="24"/>
        </w:rPr>
        <w:t>malāhim</w:t>
      </w:r>
      <w:r w:rsidRPr="00021BF0">
        <w:rPr>
          <w:rFonts w:cs="Arial"/>
          <w:color w:val="000000"/>
          <w:sz w:val="24"/>
          <w:szCs w:val="24"/>
        </w:rPr>
        <w:t xml:space="preserve">) indicates the anticipated 'great battle in the </w:t>
      </w:r>
      <w:r w:rsidRPr="00021BF0">
        <w:rPr>
          <w:rFonts w:cs="Arial"/>
          <w:i/>
          <w:iCs/>
          <w:color w:val="000000"/>
          <w:sz w:val="24"/>
          <w:szCs w:val="24"/>
        </w:rPr>
        <w:t>fitna'</w:t>
      </w:r>
      <w:r w:rsidRPr="00021BF0">
        <w:rPr>
          <w:rFonts w:cs="Arial"/>
          <w:color w:val="000000"/>
          <w:sz w:val="24"/>
          <w:szCs w:val="24"/>
        </w:rPr>
        <w:t xml:space="preserve"> as ibn Manẓūr </w:t>
      </w:r>
      <w:r w:rsidRPr="00021BF0">
        <w:rPr>
          <w:rFonts w:cs="Arial"/>
          <w:color w:val="000000"/>
          <w:sz w:val="24"/>
          <w:szCs w:val="24"/>
        </w:rPr>
        <w:lastRenderedPageBreak/>
        <w:t>suggested.</w:t>
      </w:r>
      <w:r w:rsidRPr="00021BF0">
        <w:rPr>
          <w:rStyle w:val="FootnoteReference"/>
          <w:rFonts w:cs="Arial"/>
          <w:color w:val="000000"/>
          <w:sz w:val="24"/>
          <w:szCs w:val="24"/>
        </w:rPr>
        <w:footnoteReference w:id="232"/>
      </w:r>
      <w:r w:rsidRPr="00021BF0">
        <w:rPr>
          <w:rFonts w:cs="Arial"/>
          <w:color w:val="000000"/>
          <w:sz w:val="24"/>
          <w:szCs w:val="24"/>
        </w:rPr>
        <w:t xml:space="preserve"> In ibn Khaldūn's view, this genre, which is also commonly known as </w:t>
      </w:r>
      <w:r w:rsidRPr="00021BF0">
        <w:rPr>
          <w:rFonts w:cs="Arial"/>
          <w:i/>
          <w:iCs/>
          <w:color w:val="000000"/>
          <w:sz w:val="24"/>
          <w:szCs w:val="24"/>
        </w:rPr>
        <w:t>al-Ḥidthān</w:t>
      </w:r>
      <w:r w:rsidRPr="00021BF0">
        <w:rPr>
          <w:rFonts w:cs="Arial"/>
          <w:color w:val="000000"/>
          <w:sz w:val="24"/>
          <w:szCs w:val="24"/>
        </w:rPr>
        <w:t xml:space="preserve"> (the Events), reflects an innate human desire to learn about the future of matters of great importance, such as the duration of dynasties and the world.</w:t>
      </w:r>
      <w:r w:rsidRPr="00021BF0">
        <w:rPr>
          <w:rStyle w:val="FootnoteReference"/>
          <w:rFonts w:cs="Arial"/>
          <w:color w:val="000000"/>
          <w:sz w:val="24"/>
          <w:szCs w:val="24"/>
        </w:rPr>
        <w:footnoteReference w:id="233"/>
      </w:r>
      <w:r w:rsidRPr="00021BF0">
        <w:rPr>
          <w:rFonts w:cs="Arial"/>
          <w:color w:val="000000"/>
          <w:sz w:val="24"/>
          <w:szCs w:val="24"/>
        </w:rPr>
        <w:t xml:space="preserve"> The validity of the corpus of Islamic apocalyptica had always been disputed by mainstream Islamic scholars, such as ibn Ḥajar al-'Asqalānī (1372-1449 </w:t>
      </w:r>
      <w:r w:rsidRPr="00F14447">
        <w:rPr>
          <w:rFonts w:cs="Arial"/>
          <w:color w:val="000000"/>
        </w:rPr>
        <w:t>CE</w:t>
      </w:r>
      <w:r w:rsidRPr="00021BF0">
        <w:rPr>
          <w:rFonts w:cs="Arial"/>
          <w:color w:val="000000"/>
          <w:sz w:val="24"/>
          <w:szCs w:val="24"/>
        </w:rPr>
        <w:t xml:space="preserve">) who wrote that the books of </w:t>
      </w:r>
      <w:r w:rsidRPr="00021BF0">
        <w:rPr>
          <w:rFonts w:cs="Arial"/>
          <w:i/>
          <w:iCs/>
          <w:color w:val="000000"/>
          <w:sz w:val="24"/>
          <w:szCs w:val="24"/>
        </w:rPr>
        <w:t>al-Fitan wa-l-Malāḥim</w:t>
      </w:r>
      <w:r w:rsidRPr="00021BF0">
        <w:rPr>
          <w:rFonts w:cs="Arial"/>
          <w:color w:val="000000"/>
          <w:sz w:val="24"/>
          <w:szCs w:val="24"/>
        </w:rPr>
        <w:t xml:space="preserve"> lacked </w:t>
      </w:r>
      <w:r w:rsidRPr="00021BF0">
        <w:rPr>
          <w:rFonts w:cs="Arial"/>
          <w:color w:val="000000"/>
          <w:sz w:val="24"/>
          <w:szCs w:val="24"/>
          <w:lang w:bidi="ar-AE"/>
        </w:rPr>
        <w:t>the requisite Islamic fundamental rules of documentation</w:t>
      </w:r>
      <w:r w:rsidRPr="00021BF0">
        <w:rPr>
          <w:rFonts w:cs="Arial"/>
          <w:i/>
          <w:iCs/>
          <w:color w:val="000000"/>
          <w:sz w:val="24"/>
          <w:szCs w:val="24"/>
        </w:rPr>
        <w:t>.</w:t>
      </w:r>
      <w:r w:rsidRPr="00021BF0">
        <w:rPr>
          <w:rStyle w:val="FootnoteReference"/>
          <w:rFonts w:cs="Arial"/>
          <w:color w:val="000000"/>
          <w:sz w:val="24"/>
          <w:szCs w:val="24"/>
        </w:rPr>
        <w:footnoteReference w:id="234"/>
      </w:r>
      <w:r w:rsidRPr="00021BF0">
        <w:rPr>
          <w:rFonts w:cs="Arial"/>
          <w:color w:val="000000"/>
          <w:sz w:val="24"/>
          <w:szCs w:val="24"/>
        </w:rPr>
        <w:t xml:space="preserve"> </w:t>
      </w:r>
      <w:r w:rsidRPr="00021BF0">
        <w:rPr>
          <w:rFonts w:cs="Arial"/>
          <w:color w:val="000000"/>
          <w:sz w:val="24"/>
          <w:szCs w:val="24"/>
          <w:lang w:bidi="ar-AE"/>
        </w:rPr>
        <w:t xml:space="preserve">The </w:t>
      </w:r>
      <w:proofErr w:type="gramStart"/>
      <w:r w:rsidRPr="00021BF0">
        <w:rPr>
          <w:rFonts w:cs="Arial"/>
          <w:color w:val="000000"/>
          <w:sz w:val="24"/>
          <w:szCs w:val="24"/>
          <w:lang w:bidi="ar-AE"/>
        </w:rPr>
        <w:t>apocalyptist</w:t>
      </w:r>
      <w:proofErr w:type="gramEnd"/>
      <w:r w:rsidRPr="00021BF0">
        <w:rPr>
          <w:rFonts w:cs="Arial"/>
          <w:color w:val="000000"/>
          <w:sz w:val="24"/>
          <w:szCs w:val="24"/>
          <w:lang w:bidi="ar-AE"/>
        </w:rPr>
        <w:t xml:space="preserve"> who possessed the traits of Landes' radical 'rooster,' </w:t>
      </w:r>
      <w:r w:rsidRPr="00021BF0">
        <w:rPr>
          <w:rFonts w:cs="Arial"/>
          <w:color w:val="000000"/>
          <w:sz w:val="24"/>
          <w:szCs w:val="24"/>
        </w:rPr>
        <w:t xml:space="preserve">hyperactively announced the imminent Doomsday, threatening </w:t>
      </w:r>
      <w:r w:rsidRPr="00021BF0">
        <w:rPr>
          <w:rFonts w:cs="Arial"/>
          <w:color w:val="000000"/>
          <w:sz w:val="24"/>
          <w:szCs w:val="24"/>
          <w:lang w:bidi="ar-AE"/>
        </w:rPr>
        <w:t>established theological doctrines and societal public transcripts in the process</w:t>
      </w:r>
      <w:r w:rsidRPr="00021BF0">
        <w:rPr>
          <w:rFonts w:cs="Arial"/>
          <w:color w:val="000000"/>
          <w:sz w:val="24"/>
          <w:szCs w:val="24"/>
        </w:rPr>
        <w:t>.</w:t>
      </w:r>
      <w:r w:rsidRPr="00021BF0">
        <w:rPr>
          <w:rStyle w:val="FootnoteReference"/>
          <w:rFonts w:cs="Arial"/>
          <w:color w:val="000000"/>
          <w:sz w:val="24"/>
          <w:szCs w:val="24"/>
        </w:rPr>
        <w:footnoteReference w:id="235"/>
      </w:r>
      <w:r w:rsidRPr="00021BF0">
        <w:rPr>
          <w:rFonts w:cs="Arial"/>
          <w:color w:val="000000"/>
          <w:sz w:val="24"/>
          <w:szCs w:val="24"/>
        </w:rPr>
        <w:t xml:space="preserve"> The most notorious of these is Na'īm ibn Ḥammad (d. 843 </w:t>
      </w:r>
      <w:r w:rsidRPr="00F14447">
        <w:rPr>
          <w:rFonts w:cs="Arial"/>
          <w:color w:val="000000"/>
        </w:rPr>
        <w:t>CE</w:t>
      </w:r>
      <w:r w:rsidRPr="00021BF0">
        <w:rPr>
          <w:rFonts w:cs="Arial"/>
          <w:color w:val="000000"/>
          <w:sz w:val="24"/>
          <w:szCs w:val="24"/>
        </w:rPr>
        <w:t xml:space="preserve">), whose apocalyptic book </w:t>
      </w:r>
      <w:r w:rsidRPr="00021BF0">
        <w:rPr>
          <w:rFonts w:cs="Arial"/>
          <w:i/>
          <w:iCs/>
          <w:color w:val="000000"/>
          <w:sz w:val="24"/>
          <w:szCs w:val="24"/>
        </w:rPr>
        <w:t>Kitāb al-Fitan</w:t>
      </w:r>
      <w:r w:rsidRPr="00021BF0">
        <w:rPr>
          <w:rFonts w:cs="Arial"/>
          <w:color w:val="000000"/>
          <w:sz w:val="24"/>
          <w:szCs w:val="24"/>
        </w:rPr>
        <w:t xml:space="preserve"> (Book of Tribulations) was described by the </w:t>
      </w:r>
      <w:r w:rsidRPr="00021BF0">
        <w:rPr>
          <w:rFonts w:cs="Arial"/>
          <w:i/>
          <w:iCs/>
          <w:color w:val="000000"/>
          <w:sz w:val="24"/>
          <w:szCs w:val="24"/>
        </w:rPr>
        <w:t>ḥadīth</w:t>
      </w:r>
      <w:r w:rsidRPr="00021BF0">
        <w:rPr>
          <w:rFonts w:cs="Arial"/>
          <w:color w:val="000000"/>
          <w:sz w:val="24"/>
          <w:szCs w:val="24"/>
        </w:rPr>
        <w:t xml:space="preserve"> scholar Shams al-Dīn al-Thahabī (1274-1348 </w:t>
      </w:r>
      <w:r w:rsidRPr="00F14447">
        <w:rPr>
          <w:rFonts w:cs="Arial"/>
          <w:color w:val="000000"/>
        </w:rPr>
        <w:t>CE</w:t>
      </w:r>
      <w:r w:rsidRPr="00021BF0">
        <w:rPr>
          <w:rFonts w:cs="Arial"/>
          <w:color w:val="000000"/>
          <w:sz w:val="24"/>
          <w:szCs w:val="24"/>
        </w:rPr>
        <w:t xml:space="preserve">) as full of bizarre and fabricated </w:t>
      </w:r>
      <w:r w:rsidRPr="00021BF0">
        <w:rPr>
          <w:rFonts w:cs="Arial"/>
          <w:i/>
          <w:iCs/>
          <w:color w:val="000000"/>
          <w:sz w:val="24"/>
          <w:szCs w:val="24"/>
        </w:rPr>
        <w:t>ḥadīths</w:t>
      </w:r>
      <w:r w:rsidRPr="00021BF0">
        <w:rPr>
          <w:rFonts w:cs="Arial"/>
          <w:color w:val="000000"/>
          <w:sz w:val="24"/>
          <w:szCs w:val="24"/>
        </w:rPr>
        <w:t>.</w:t>
      </w:r>
      <w:r w:rsidRPr="00021BF0">
        <w:rPr>
          <w:rStyle w:val="FootnoteReference"/>
          <w:rFonts w:cs="Arial"/>
          <w:color w:val="000000"/>
          <w:sz w:val="24"/>
          <w:szCs w:val="24"/>
        </w:rPr>
        <w:footnoteReference w:id="236"/>
      </w:r>
      <w:r w:rsidRPr="00021BF0">
        <w:rPr>
          <w:rFonts w:cs="Arial"/>
          <w:color w:val="000000"/>
          <w:sz w:val="24"/>
          <w:szCs w:val="24"/>
        </w:rPr>
        <w:t xml:space="preserve"> This </w:t>
      </w:r>
      <w:r w:rsidR="005B1CD2" w:rsidRPr="00021BF0">
        <w:rPr>
          <w:rFonts w:cs="Arial"/>
          <w:color w:val="000000"/>
          <w:sz w:val="24"/>
          <w:szCs w:val="24"/>
        </w:rPr>
        <w:t xml:space="preserve">dissertation </w:t>
      </w:r>
      <w:r w:rsidRPr="00021BF0">
        <w:rPr>
          <w:rFonts w:cs="Arial"/>
          <w:color w:val="000000"/>
          <w:sz w:val="24"/>
          <w:szCs w:val="24"/>
        </w:rPr>
        <w:t xml:space="preserve">nevertheless relies primarily on </w:t>
      </w:r>
      <w:r w:rsidRPr="00021BF0">
        <w:rPr>
          <w:rFonts w:cs="Arial"/>
          <w:i/>
          <w:iCs/>
          <w:color w:val="000000"/>
          <w:sz w:val="24"/>
          <w:szCs w:val="24"/>
        </w:rPr>
        <w:t xml:space="preserve">Kitāb al-Fitan </w:t>
      </w:r>
      <w:r w:rsidRPr="00021BF0">
        <w:rPr>
          <w:rFonts w:cs="Arial"/>
          <w:color w:val="000000"/>
          <w:sz w:val="24"/>
          <w:szCs w:val="24"/>
        </w:rPr>
        <w:t xml:space="preserve">in order to assess the sociopolitical impact of the era of </w:t>
      </w:r>
      <w:r w:rsidRPr="00021BF0">
        <w:rPr>
          <w:rFonts w:cs="Arial"/>
          <w:i/>
          <w:iCs/>
          <w:color w:val="000000"/>
          <w:sz w:val="24"/>
          <w:szCs w:val="24"/>
        </w:rPr>
        <w:t>fitan</w:t>
      </w:r>
      <w:r w:rsidRPr="00021BF0">
        <w:rPr>
          <w:rFonts w:cs="Arial"/>
          <w:color w:val="000000"/>
          <w:sz w:val="24"/>
          <w:szCs w:val="24"/>
        </w:rPr>
        <w:t xml:space="preserve"> on the Islamic eschatological tradition. This study also draws from </w:t>
      </w:r>
      <w:r w:rsidRPr="00021BF0">
        <w:rPr>
          <w:rFonts w:cs="Arial"/>
          <w:i/>
          <w:iCs/>
          <w:color w:val="000000"/>
          <w:sz w:val="24"/>
          <w:szCs w:val="24"/>
        </w:rPr>
        <w:t>Kitāb al-Ishā'ah fī Ashrāṭ al-Sā'ah</w:t>
      </w:r>
      <w:r w:rsidRPr="00021BF0">
        <w:rPr>
          <w:rFonts w:cs="Arial"/>
          <w:color w:val="000000"/>
          <w:sz w:val="24"/>
          <w:szCs w:val="24"/>
        </w:rPr>
        <w:t xml:space="preserve"> (The Book of the Word on Last Day Portents) by the seventeenth century legislator al-Barzinjī (1630-1691 </w:t>
      </w:r>
      <w:r w:rsidRPr="00F14447">
        <w:rPr>
          <w:rFonts w:cs="Arial"/>
          <w:color w:val="000000"/>
        </w:rPr>
        <w:t>CE</w:t>
      </w:r>
      <w:r w:rsidRPr="00021BF0">
        <w:rPr>
          <w:rFonts w:cs="Arial"/>
          <w:color w:val="000000"/>
          <w:sz w:val="24"/>
          <w:szCs w:val="24"/>
        </w:rPr>
        <w:t>).</w:t>
      </w:r>
      <w:r w:rsidRPr="00021BF0">
        <w:rPr>
          <w:rStyle w:val="FootnoteReference"/>
          <w:rFonts w:cs="Arial"/>
          <w:color w:val="000000"/>
          <w:sz w:val="24"/>
          <w:szCs w:val="24"/>
        </w:rPr>
        <w:footnoteReference w:id="237"/>
      </w:r>
    </w:p>
    <w:p w:rsidR="00804318" w:rsidRPr="00B64313" w:rsidRDefault="00804318" w:rsidP="00804318">
      <w:pPr>
        <w:jc w:val="lowKashida"/>
        <w:rPr>
          <w:rFonts w:cs="Arial"/>
          <w:color w:val="000000"/>
        </w:rPr>
      </w:pPr>
    </w:p>
    <w:p w:rsidR="00804318" w:rsidRDefault="00804318" w:rsidP="00021BF0">
      <w:pPr>
        <w:pStyle w:val="Heading3"/>
        <w:rPr>
          <w:lang w:bidi="ar-AE"/>
        </w:rPr>
      </w:pPr>
      <w:bookmarkStart w:id="42" w:name="_Toc477317398"/>
      <w:r>
        <w:t>3.3.2</w:t>
      </w:r>
      <w:r>
        <w:tab/>
        <w:t>Cosmic Portents of the Last Day in the Genre of Islamic Apocalyptica</w:t>
      </w:r>
      <w:bookmarkEnd w:id="42"/>
    </w:p>
    <w:p w:rsidR="00804318" w:rsidRPr="00021BF0" w:rsidRDefault="00804318" w:rsidP="009F72D9">
      <w:pPr>
        <w:jc w:val="lowKashida"/>
        <w:rPr>
          <w:sz w:val="24"/>
          <w:szCs w:val="24"/>
          <w:lang w:bidi="ar-AE"/>
        </w:rPr>
      </w:pPr>
      <w:r w:rsidRPr="00021BF0">
        <w:rPr>
          <w:sz w:val="24"/>
          <w:szCs w:val="24"/>
        </w:rPr>
        <w:t xml:space="preserve">The apocalyptic discourse once employed by the 'Abbāsids in their armed revolution against the Umayyads was likewise utilised by their adversaries. A revolutionary who vehemently opposed the 'Abbāsid state-imposed theology, ibn Ḥammād wrote a lengthy chapter titled 'On the Celestial Portents that Foretell the </w:t>
      </w:r>
      <w:r w:rsidRPr="00021BF0">
        <w:rPr>
          <w:rStyle w:val="litefont"/>
          <w:sz w:val="24"/>
          <w:szCs w:val="24"/>
        </w:rPr>
        <w:t>Cessation of the Reign of the 'Abbāsids,' anticipating their impending fall.</w:t>
      </w:r>
      <w:r w:rsidRPr="00021BF0">
        <w:rPr>
          <w:rStyle w:val="FootnoteReference"/>
          <w:sz w:val="24"/>
          <w:szCs w:val="24"/>
        </w:rPr>
        <w:footnoteReference w:id="238"/>
      </w:r>
      <w:r w:rsidRPr="00021BF0">
        <w:rPr>
          <w:rStyle w:val="litefont"/>
          <w:sz w:val="24"/>
          <w:szCs w:val="24"/>
        </w:rPr>
        <w:t xml:space="preserve"> </w:t>
      </w:r>
      <w:r w:rsidRPr="00021BF0">
        <w:rPr>
          <w:sz w:val="24"/>
          <w:szCs w:val="24"/>
        </w:rPr>
        <w:t xml:space="preserve">One of these portents, according to the numerous </w:t>
      </w:r>
      <w:r w:rsidRPr="00021BF0">
        <w:rPr>
          <w:i/>
          <w:iCs/>
          <w:sz w:val="24"/>
          <w:szCs w:val="24"/>
        </w:rPr>
        <w:t>ḥadīths</w:t>
      </w:r>
      <w:r w:rsidRPr="00021BF0">
        <w:rPr>
          <w:sz w:val="24"/>
          <w:szCs w:val="24"/>
        </w:rPr>
        <w:t xml:space="preserve"> cited by ibn Ḥammād, is the appearance of a star in the eastern horizon, known as </w:t>
      </w:r>
      <w:r w:rsidRPr="00021BF0">
        <w:rPr>
          <w:i/>
          <w:iCs/>
          <w:sz w:val="24"/>
          <w:szCs w:val="24"/>
          <w:lang w:bidi="ar-AE"/>
        </w:rPr>
        <w:t>al-Qarn thul-Sh</w:t>
      </w:r>
      <w:r w:rsidR="009F72D9" w:rsidRPr="00021BF0">
        <w:rPr>
          <w:i/>
          <w:iCs/>
          <w:sz w:val="24"/>
          <w:szCs w:val="24"/>
          <w:lang w:bidi="ar-AE"/>
        </w:rPr>
        <w:t>a</w:t>
      </w:r>
      <w:r w:rsidRPr="00021BF0">
        <w:rPr>
          <w:i/>
          <w:iCs/>
          <w:sz w:val="24"/>
          <w:szCs w:val="24"/>
          <w:lang w:bidi="ar-AE"/>
        </w:rPr>
        <w:t>fā</w:t>
      </w:r>
      <w:r w:rsidRPr="00021BF0">
        <w:rPr>
          <w:sz w:val="24"/>
          <w:szCs w:val="24"/>
          <w:lang w:bidi="ar-AE"/>
        </w:rPr>
        <w:t xml:space="preserve"> (the Horned Star),</w:t>
      </w:r>
      <w:r w:rsidRPr="00021BF0">
        <w:rPr>
          <w:sz w:val="24"/>
          <w:szCs w:val="24"/>
        </w:rPr>
        <w:t xml:space="preserve"> that radiates </w:t>
      </w:r>
      <w:r w:rsidRPr="00021BF0">
        <w:rPr>
          <w:sz w:val="24"/>
          <w:szCs w:val="24"/>
        </w:rPr>
        <w:lastRenderedPageBreak/>
        <w:t>like a full moon, and twists like a snake, before bending up like a hook.</w:t>
      </w:r>
      <w:r w:rsidRPr="00021BF0">
        <w:rPr>
          <w:rStyle w:val="FootnoteReference"/>
          <w:sz w:val="24"/>
          <w:szCs w:val="24"/>
        </w:rPr>
        <w:footnoteReference w:id="239"/>
      </w:r>
      <w:r w:rsidRPr="00021BF0">
        <w:rPr>
          <w:sz w:val="24"/>
          <w:szCs w:val="24"/>
        </w:rPr>
        <w:t xml:space="preserve"> Citing a narrator by the name of al-Walīd, ibn Ḥammād wrote:</w:t>
      </w:r>
    </w:p>
    <w:p w:rsidR="00804318" w:rsidRPr="00021BF0" w:rsidRDefault="00804318" w:rsidP="00804318">
      <w:pPr>
        <w:rPr>
          <w:sz w:val="24"/>
          <w:szCs w:val="24"/>
        </w:rPr>
      </w:pPr>
    </w:p>
    <w:p w:rsidR="00804318" w:rsidRPr="00021BF0" w:rsidRDefault="00804318" w:rsidP="00021BF0">
      <w:pPr>
        <w:spacing w:line="240" w:lineRule="auto"/>
        <w:ind w:left="709"/>
        <w:jc w:val="lowKashida"/>
        <w:rPr>
          <w:sz w:val="24"/>
          <w:szCs w:val="24"/>
        </w:rPr>
      </w:pPr>
      <w:r w:rsidRPr="00021BF0">
        <w:rPr>
          <w:sz w:val="24"/>
          <w:szCs w:val="24"/>
        </w:rPr>
        <w:t xml:space="preserve">I saw a star with a tail that appeared at dawn in the eastern horizon in the month of </w:t>
      </w:r>
      <w:r w:rsidRPr="00021BF0">
        <w:rPr>
          <w:i/>
          <w:iCs/>
          <w:sz w:val="24"/>
          <w:szCs w:val="24"/>
        </w:rPr>
        <w:t>Muḥarram</w:t>
      </w:r>
      <w:r w:rsidRPr="00021BF0">
        <w:rPr>
          <w:sz w:val="24"/>
          <w:szCs w:val="24"/>
        </w:rPr>
        <w:t xml:space="preserve"> in the year 145 </w:t>
      </w:r>
      <w:r w:rsidRPr="00021BF0">
        <w:rPr>
          <w:i/>
          <w:iCs/>
          <w:sz w:val="24"/>
          <w:szCs w:val="24"/>
        </w:rPr>
        <w:t>hijrī</w:t>
      </w:r>
      <w:r w:rsidRPr="00021BF0">
        <w:rPr>
          <w:sz w:val="24"/>
          <w:szCs w:val="24"/>
        </w:rPr>
        <w:t xml:space="preserve"> [circa April 762 </w:t>
      </w:r>
      <w:r w:rsidRPr="00F14447">
        <w:t>CE</w:t>
      </w:r>
      <w:r w:rsidRPr="00021BF0">
        <w:rPr>
          <w:sz w:val="24"/>
          <w:szCs w:val="24"/>
        </w:rPr>
        <w:t xml:space="preserve">]. We continued to see it every morning before sunrise for the rest of </w:t>
      </w:r>
      <w:r w:rsidRPr="00021BF0">
        <w:rPr>
          <w:i/>
          <w:iCs/>
          <w:sz w:val="24"/>
          <w:szCs w:val="24"/>
        </w:rPr>
        <w:t xml:space="preserve">Muḥarram, </w:t>
      </w:r>
      <w:r w:rsidRPr="00021BF0">
        <w:rPr>
          <w:sz w:val="24"/>
          <w:szCs w:val="24"/>
        </w:rPr>
        <w:t xml:space="preserve">then it disappeared, then we noticed it in the twilight that follows sunset… Then it disappeared for two or three months. Then we saw a dim star with a flame a cubit long [44 cm] near Polaris and rotating around it in the two Jumādas and Rajab [from July to October], then it disappeared. Then we saw a star which was not bright… I mentioned that to an old sheikh from </w:t>
      </w:r>
      <w:r w:rsidRPr="00021BF0">
        <w:rPr>
          <w:sz w:val="24"/>
          <w:szCs w:val="24"/>
          <w:lang w:bidi="ar-AE"/>
        </w:rPr>
        <w:t>al-Sakāsik tribe, but he said, 'this is not the Awaited Star.'</w:t>
      </w:r>
      <w:r w:rsidRPr="00021BF0">
        <w:rPr>
          <w:rStyle w:val="FootnoteReference"/>
          <w:sz w:val="24"/>
          <w:szCs w:val="24"/>
          <w:lang w:bidi="ar-AE"/>
        </w:rPr>
        <w:footnoteReference w:id="240"/>
      </w:r>
      <w:r w:rsidRPr="00021BF0">
        <w:rPr>
          <w:sz w:val="24"/>
          <w:szCs w:val="24"/>
        </w:rPr>
        <w:t xml:space="preserve"> </w:t>
      </w:r>
    </w:p>
    <w:p w:rsidR="00804318" w:rsidRPr="00021BF0" w:rsidRDefault="00804318" w:rsidP="00804318">
      <w:pPr>
        <w:ind w:left="360"/>
        <w:jc w:val="lowKashida"/>
        <w:rPr>
          <w:sz w:val="24"/>
          <w:szCs w:val="24"/>
        </w:rPr>
      </w:pPr>
    </w:p>
    <w:p w:rsidR="00804318" w:rsidRPr="00021BF0" w:rsidRDefault="00804318" w:rsidP="00804318">
      <w:pPr>
        <w:jc w:val="lowKashida"/>
        <w:rPr>
          <w:sz w:val="24"/>
          <w:szCs w:val="24"/>
          <w:lang w:bidi="ar-AE"/>
        </w:rPr>
      </w:pPr>
      <w:r w:rsidRPr="00021BF0">
        <w:rPr>
          <w:sz w:val="24"/>
          <w:szCs w:val="24"/>
        </w:rPr>
        <w:t xml:space="preserve">When the Awaited Star appears, ibn Ḥammād claimed, it is soon followed by the emergence </w:t>
      </w:r>
      <w:r w:rsidRPr="00021BF0">
        <w:rPr>
          <w:sz w:val="24"/>
          <w:szCs w:val="24"/>
          <w:lang w:bidi="ar-AE"/>
        </w:rPr>
        <w:t xml:space="preserve">of al-Mahdī, the prophesised redeemer of Islam mentioned in the Prophetic </w:t>
      </w:r>
      <w:r w:rsidRPr="00021BF0">
        <w:rPr>
          <w:i/>
          <w:iCs/>
          <w:sz w:val="24"/>
          <w:szCs w:val="24"/>
          <w:lang w:bidi="ar-AE"/>
        </w:rPr>
        <w:t>ḥadīth</w:t>
      </w:r>
      <w:r w:rsidRPr="00021BF0">
        <w:rPr>
          <w:sz w:val="24"/>
          <w:szCs w:val="24"/>
          <w:lang w:bidi="ar-AE"/>
        </w:rPr>
        <w:t>:</w:t>
      </w:r>
    </w:p>
    <w:p w:rsidR="00804318" w:rsidRPr="00021BF0" w:rsidRDefault="00804318" w:rsidP="00804318">
      <w:pPr>
        <w:jc w:val="lowKashida"/>
        <w:rPr>
          <w:sz w:val="24"/>
          <w:szCs w:val="24"/>
          <w:lang w:bidi="ar-AE"/>
        </w:rPr>
      </w:pPr>
    </w:p>
    <w:p w:rsidR="00804318" w:rsidRPr="00021BF0" w:rsidRDefault="00804318" w:rsidP="00021BF0">
      <w:pPr>
        <w:autoSpaceDE/>
        <w:autoSpaceDN/>
        <w:adjustRightInd/>
        <w:spacing w:line="240" w:lineRule="auto"/>
        <w:ind w:left="720"/>
        <w:jc w:val="lowKashida"/>
        <w:rPr>
          <w:rFonts w:eastAsia="Times New Roman" w:cs="Times New Roman"/>
          <w:sz w:val="24"/>
          <w:szCs w:val="24"/>
        </w:rPr>
      </w:pPr>
      <w:r w:rsidRPr="00021BF0">
        <w:rPr>
          <w:rFonts w:eastAsia="Times New Roman" w:cs="Times New Roman"/>
          <w:sz w:val="24"/>
          <w:szCs w:val="24"/>
        </w:rPr>
        <w:t>If only one day of this world remained, Allah would lengthen that day, till He raises up in it a man who belongs to me or to my family, whose name is identical to mine, and his father's name is identical to my father's, who will fill the earth with equity and justice as it has been filled with oppression and tyranny.</w:t>
      </w:r>
      <w:r w:rsidRPr="00021BF0">
        <w:rPr>
          <w:rStyle w:val="FootnoteReference"/>
          <w:rFonts w:eastAsia="Times New Roman" w:cs="Times New Roman"/>
          <w:sz w:val="24"/>
          <w:szCs w:val="24"/>
        </w:rPr>
        <w:footnoteReference w:id="241"/>
      </w:r>
      <w:r w:rsidRPr="00021BF0">
        <w:rPr>
          <w:rFonts w:eastAsia="Times New Roman" w:cs="Times New Roman"/>
          <w:sz w:val="24"/>
          <w:szCs w:val="24"/>
        </w:rPr>
        <w:t xml:space="preserve"> </w:t>
      </w:r>
    </w:p>
    <w:p w:rsidR="00804318" w:rsidRPr="00021BF0" w:rsidRDefault="00804318" w:rsidP="00804318">
      <w:pPr>
        <w:jc w:val="lowKashida"/>
        <w:rPr>
          <w:sz w:val="24"/>
          <w:szCs w:val="24"/>
          <w:lang w:bidi="ar-AE"/>
        </w:rPr>
      </w:pPr>
    </w:p>
    <w:p w:rsidR="00804318" w:rsidRPr="00021BF0" w:rsidRDefault="00804318" w:rsidP="00804318">
      <w:pPr>
        <w:jc w:val="lowKashida"/>
        <w:rPr>
          <w:rFonts w:cs="Arial"/>
          <w:color w:val="000000"/>
          <w:sz w:val="24"/>
          <w:szCs w:val="24"/>
        </w:rPr>
      </w:pPr>
      <w:r w:rsidRPr="00021BF0">
        <w:rPr>
          <w:sz w:val="24"/>
          <w:szCs w:val="24"/>
          <w:lang w:bidi="ar-AE"/>
        </w:rPr>
        <w:t xml:space="preserve">In line with Cohn's 'revolutionary eschatology,' </w:t>
      </w:r>
      <w:r w:rsidRPr="00021BF0">
        <w:rPr>
          <w:i/>
          <w:iCs/>
          <w:sz w:val="24"/>
          <w:szCs w:val="24"/>
          <w:lang w:bidi="ar-AE"/>
        </w:rPr>
        <w:t>Kitāb al-Fitan</w:t>
      </w:r>
      <w:r w:rsidRPr="00021BF0">
        <w:rPr>
          <w:sz w:val="24"/>
          <w:szCs w:val="24"/>
          <w:lang w:bidi="ar-AE"/>
        </w:rPr>
        <w:t xml:space="preserve"> reveals an aspiration for a reversal of history through the rise of the saintly figure of al-Mahdī who will save humanity from the oppression of the 'Abbāsids, and Islam from their aberrant ideology.</w:t>
      </w:r>
      <w:r w:rsidRPr="00021BF0">
        <w:rPr>
          <w:rStyle w:val="FootnoteReference"/>
          <w:sz w:val="24"/>
          <w:szCs w:val="24"/>
          <w:lang w:bidi="ar-AE"/>
        </w:rPr>
        <w:footnoteReference w:id="242"/>
      </w:r>
      <w:r w:rsidRPr="00021BF0">
        <w:rPr>
          <w:sz w:val="24"/>
          <w:szCs w:val="24"/>
          <w:lang w:bidi="ar-AE"/>
        </w:rPr>
        <w:t xml:space="preserve"> The apocalyptic narrative of ibn Ḥammād evidently conveys what Appleby described as the '</w:t>
      </w:r>
      <w:r w:rsidRPr="00021BF0">
        <w:rPr>
          <w:rFonts w:cs="Arial"/>
          <w:color w:val="000000"/>
          <w:sz w:val="24"/>
          <w:szCs w:val="24"/>
        </w:rPr>
        <w:t>expectation of a dramatic reversal of history at the hands of God or the messiah, in which the faithful or "holy remnant" are vindicated and their enemies brutally punished.'</w:t>
      </w:r>
      <w:r w:rsidRPr="00021BF0">
        <w:rPr>
          <w:rStyle w:val="FootnoteReference"/>
          <w:rFonts w:cs="Arial"/>
          <w:color w:val="000000"/>
          <w:sz w:val="24"/>
          <w:szCs w:val="24"/>
        </w:rPr>
        <w:footnoteReference w:id="243"/>
      </w:r>
      <w:r w:rsidRPr="00021BF0">
        <w:rPr>
          <w:rFonts w:cs="Arial"/>
          <w:color w:val="000000"/>
          <w:sz w:val="24"/>
          <w:szCs w:val="24"/>
        </w:rPr>
        <w:t xml:space="preserve"> It also combines elements of both active and passive apocalypticism described by Landes, for although redemption is placed in the </w:t>
      </w:r>
      <w:r w:rsidRPr="00021BF0">
        <w:rPr>
          <w:rFonts w:cs="Arial"/>
          <w:color w:val="000000"/>
          <w:sz w:val="24"/>
          <w:szCs w:val="24"/>
        </w:rPr>
        <w:lastRenderedPageBreak/>
        <w:t>human hand of al-Mahdī, it is still absolutely reliable on the permission of Allah.</w:t>
      </w:r>
      <w:r w:rsidRPr="00021BF0">
        <w:rPr>
          <w:rStyle w:val="FootnoteReference"/>
          <w:rFonts w:cs="Arial"/>
          <w:color w:val="000000"/>
          <w:sz w:val="24"/>
          <w:szCs w:val="24"/>
        </w:rPr>
        <w:footnoteReference w:id="244"/>
      </w:r>
      <w:r w:rsidRPr="00021BF0">
        <w:rPr>
          <w:rFonts w:cs="Arial"/>
          <w:color w:val="000000"/>
          <w:sz w:val="24"/>
          <w:szCs w:val="24"/>
        </w:rPr>
        <w:t xml:space="preserve"> In contrast, the appearance of the 'Tailed Star' seems to hold moral connotations to al-Barzinjī who relying on a </w:t>
      </w:r>
      <w:r w:rsidRPr="00021BF0">
        <w:rPr>
          <w:sz w:val="24"/>
          <w:szCs w:val="24"/>
          <w:lang w:bidi="ar-AE"/>
        </w:rPr>
        <w:t>Prophetic ḥadīth wrote, 'When pilgrimage becomes an excursion for the kings, and a form of commerce for the wealthy, and an occasion to beg for the poor, and an ostentation for reciters of the Qur'ān, a star with a tail will then appear.'</w:t>
      </w:r>
      <w:r w:rsidRPr="00021BF0">
        <w:rPr>
          <w:rStyle w:val="FootnoteReference"/>
          <w:sz w:val="24"/>
          <w:szCs w:val="24"/>
          <w:lang w:bidi="ar-AE"/>
        </w:rPr>
        <w:footnoteReference w:id="245"/>
      </w:r>
      <w:r w:rsidRPr="00021BF0">
        <w:rPr>
          <w:rFonts w:cs="Arial"/>
          <w:color w:val="000000"/>
          <w:sz w:val="24"/>
          <w:szCs w:val="24"/>
        </w:rPr>
        <w:t xml:space="preserve"> </w:t>
      </w:r>
      <w:r w:rsidRPr="00021BF0">
        <w:rPr>
          <w:sz w:val="24"/>
          <w:szCs w:val="24"/>
          <w:lang w:bidi="ar-AE"/>
        </w:rPr>
        <w:t xml:space="preserve">Elaborating on the subject, al-Barzinjī added that such a star was seen in the month of </w:t>
      </w:r>
      <w:r w:rsidRPr="00021BF0">
        <w:rPr>
          <w:i/>
          <w:iCs/>
          <w:sz w:val="24"/>
          <w:szCs w:val="24"/>
          <w:lang w:bidi="ar-AE"/>
        </w:rPr>
        <w:t>Jumādā al-Ākhira</w:t>
      </w:r>
      <w:r w:rsidRPr="00021BF0">
        <w:rPr>
          <w:sz w:val="24"/>
          <w:szCs w:val="24"/>
          <w:lang w:bidi="ar-AE"/>
        </w:rPr>
        <w:t xml:space="preserve"> in the year 1075 </w:t>
      </w:r>
      <w:r w:rsidRPr="00021BF0">
        <w:rPr>
          <w:i/>
          <w:iCs/>
          <w:sz w:val="24"/>
          <w:szCs w:val="24"/>
          <w:lang w:bidi="ar-AE"/>
        </w:rPr>
        <w:t xml:space="preserve">hijrī </w:t>
      </w:r>
      <w:r w:rsidRPr="00021BF0">
        <w:rPr>
          <w:sz w:val="24"/>
          <w:szCs w:val="24"/>
          <w:lang w:bidi="ar-AE"/>
        </w:rPr>
        <w:t>(December 1664) and remained visible for more than a month, moving at a speed faster than the moon.</w:t>
      </w:r>
      <w:r w:rsidRPr="00021BF0">
        <w:rPr>
          <w:rStyle w:val="FootnoteReference"/>
          <w:sz w:val="24"/>
          <w:szCs w:val="24"/>
          <w:lang w:bidi="ar-AE"/>
        </w:rPr>
        <w:footnoteReference w:id="246"/>
      </w:r>
      <w:r w:rsidRPr="00021BF0">
        <w:rPr>
          <w:sz w:val="24"/>
          <w:szCs w:val="24"/>
          <w:lang w:bidi="ar-AE"/>
        </w:rPr>
        <w:t xml:space="preserve"> This 'Tailed Star' which was also observable in the 'Lands of the Christians,' al-Barzinjī continued, coincided with the appearance of a monstrous creature in the 'Mountains of the Franks' that killed thousands of people.</w:t>
      </w:r>
      <w:r w:rsidRPr="00021BF0">
        <w:rPr>
          <w:rStyle w:val="FootnoteReference"/>
          <w:sz w:val="24"/>
          <w:szCs w:val="24"/>
          <w:lang w:bidi="ar-AE"/>
        </w:rPr>
        <w:footnoteReference w:id="247"/>
      </w:r>
      <w:r w:rsidRPr="00021BF0">
        <w:rPr>
          <w:sz w:val="24"/>
          <w:szCs w:val="24"/>
          <w:lang w:bidi="ar-AE"/>
        </w:rPr>
        <w:t xml:space="preserve"> Depicted in a book that al-Barzanjī acquired, this huge creature possessed 'a body of a fish and four limbs, the forelimbs had lion-like five-fingered paws, whereas the rear legs had horse-like hooves, its head was that of a bull with four horns, two black ones between its eyes, and two yellow ones between its ears, each pair curving inwards towards the other.'</w:t>
      </w:r>
      <w:r w:rsidRPr="00021BF0">
        <w:rPr>
          <w:rStyle w:val="FootnoteReference"/>
          <w:sz w:val="24"/>
          <w:szCs w:val="24"/>
          <w:lang w:bidi="ar-AE"/>
        </w:rPr>
        <w:footnoteReference w:id="248"/>
      </w:r>
      <w:r w:rsidRPr="00021BF0">
        <w:rPr>
          <w:sz w:val="24"/>
          <w:szCs w:val="24"/>
          <w:lang w:bidi="ar-AE"/>
        </w:rPr>
        <w:t xml:space="preserve"> A mark very similar to the 'Tailed Star' even appeared on the beast's body, al-Barzinjī wrote, and although projectiles were thrown at it using mangonels, he added, it remained unaffected till the star disappeared and after which it was easily killed.</w:t>
      </w:r>
      <w:r w:rsidRPr="00021BF0">
        <w:rPr>
          <w:rStyle w:val="FootnoteReference"/>
          <w:sz w:val="24"/>
          <w:szCs w:val="24"/>
          <w:lang w:bidi="ar-AE"/>
        </w:rPr>
        <w:footnoteReference w:id="249"/>
      </w:r>
      <w:r w:rsidRPr="00021BF0">
        <w:rPr>
          <w:sz w:val="24"/>
          <w:szCs w:val="24"/>
          <w:lang w:bidi="ar-AE"/>
        </w:rPr>
        <w:t xml:space="preserve"> It is most probable that the 'Tailed Star' referred to here is the comet of 1664 that was associated by the English poet John Dryden in his poem </w:t>
      </w:r>
      <w:r w:rsidRPr="00021BF0">
        <w:rPr>
          <w:i/>
          <w:iCs/>
          <w:sz w:val="24"/>
          <w:szCs w:val="24"/>
          <w:lang w:bidi="ar-AE"/>
        </w:rPr>
        <w:t>Annus Mirabilis</w:t>
      </w:r>
      <w:r w:rsidRPr="00021BF0">
        <w:rPr>
          <w:sz w:val="24"/>
          <w:szCs w:val="24"/>
          <w:lang w:bidi="ar-AE"/>
        </w:rPr>
        <w:t xml:space="preserve"> (The Year of Wonders) with the Great Plague in 1665 and the Great Fire of London in 1666</w:t>
      </w:r>
      <w:r w:rsidRPr="00021BF0">
        <w:rPr>
          <w:rFonts w:eastAsia="Times New Roman" w:cs="Times New Roman"/>
          <w:sz w:val="24"/>
          <w:szCs w:val="24"/>
        </w:rPr>
        <w:t>.</w:t>
      </w:r>
      <w:r w:rsidRPr="00021BF0">
        <w:rPr>
          <w:rStyle w:val="FootnoteReference"/>
          <w:rFonts w:eastAsia="Times New Roman" w:cs="Times New Roman"/>
          <w:sz w:val="24"/>
          <w:szCs w:val="24"/>
        </w:rPr>
        <w:footnoteReference w:id="250"/>
      </w:r>
    </w:p>
    <w:p w:rsidR="00804318" w:rsidRPr="00021BF0" w:rsidRDefault="00804318" w:rsidP="00804318">
      <w:pPr>
        <w:rPr>
          <w:sz w:val="24"/>
          <w:szCs w:val="24"/>
          <w:lang w:bidi="ar-AE"/>
        </w:rPr>
      </w:pPr>
    </w:p>
    <w:p w:rsidR="00804318" w:rsidRPr="00021BF0" w:rsidRDefault="00804318" w:rsidP="00804318">
      <w:pPr>
        <w:jc w:val="lowKashida"/>
        <w:rPr>
          <w:sz w:val="24"/>
          <w:szCs w:val="24"/>
        </w:rPr>
      </w:pPr>
      <w:r w:rsidRPr="00021BF0">
        <w:rPr>
          <w:sz w:val="24"/>
          <w:szCs w:val="24"/>
          <w:lang w:bidi="ar-AE"/>
        </w:rPr>
        <w:t>The beast of the 'Tailed Comet,' or chaos personified, could therefore be an apocalyptic mythical depiction of the disastrous cataclysmic portents that awaits humanity and prophesy the approaching termination of mundane history. Among these celestial portents is what ibn Ḥammād described as the 'planet-meteor that swoops down from the sky with a great sound till it hits a place in the east, and from it people suffer greatly.'</w:t>
      </w:r>
      <w:r w:rsidRPr="00021BF0">
        <w:rPr>
          <w:rStyle w:val="FootnoteReference"/>
          <w:sz w:val="24"/>
          <w:szCs w:val="24"/>
          <w:lang w:bidi="ar-AE"/>
        </w:rPr>
        <w:footnoteReference w:id="251"/>
      </w:r>
      <w:r w:rsidRPr="00021BF0">
        <w:rPr>
          <w:sz w:val="24"/>
          <w:szCs w:val="24"/>
          <w:lang w:bidi="ar-AE"/>
        </w:rPr>
        <w:t xml:space="preserve"> Another </w:t>
      </w:r>
      <w:r w:rsidRPr="00021BF0">
        <w:rPr>
          <w:i/>
          <w:iCs/>
          <w:sz w:val="24"/>
          <w:szCs w:val="24"/>
          <w:lang w:bidi="ar-AE"/>
        </w:rPr>
        <w:t>ḥadīth</w:t>
      </w:r>
      <w:r w:rsidRPr="00021BF0">
        <w:rPr>
          <w:sz w:val="24"/>
          <w:szCs w:val="24"/>
          <w:lang w:bidi="ar-AE"/>
        </w:rPr>
        <w:t xml:space="preserve"> mentioned by al-Barzinjī describes how 'The Hour will not strike until the heads of people are smashed by planets descending </w:t>
      </w:r>
      <w:r w:rsidRPr="00021BF0">
        <w:rPr>
          <w:sz w:val="24"/>
          <w:szCs w:val="24"/>
          <w:lang w:bidi="ar-AE"/>
        </w:rPr>
        <w:lastRenderedPageBreak/>
        <w:t>from the sky due to their legitimisation of sodomy.'</w:t>
      </w:r>
      <w:r w:rsidRPr="00021BF0">
        <w:rPr>
          <w:rStyle w:val="FootnoteReference"/>
          <w:sz w:val="24"/>
          <w:szCs w:val="24"/>
          <w:lang w:bidi="ar-AE"/>
        </w:rPr>
        <w:footnoteReference w:id="252"/>
      </w:r>
      <w:r w:rsidRPr="00021BF0">
        <w:rPr>
          <w:sz w:val="24"/>
          <w:szCs w:val="24"/>
          <w:lang w:bidi="ar-AE"/>
        </w:rPr>
        <w:t xml:space="preserve"> According to al-Barzinjī this incident had already occurred many times, the last of which happened in the year  593/1197, when a huge 'planet' speedily descended with a massive sound that shook the buildings and scared people, who fearing that it was the promised Doomsday, begged God for mercy and forgiveness.</w:t>
      </w:r>
      <w:r w:rsidRPr="00021BF0">
        <w:rPr>
          <w:rStyle w:val="FootnoteReference"/>
          <w:sz w:val="24"/>
          <w:szCs w:val="24"/>
          <w:lang w:bidi="ar-AE"/>
        </w:rPr>
        <w:footnoteReference w:id="253"/>
      </w:r>
      <w:r w:rsidRPr="00021BF0">
        <w:rPr>
          <w:sz w:val="24"/>
          <w:szCs w:val="24"/>
          <w:lang w:bidi="ar-AE"/>
        </w:rPr>
        <w:t xml:space="preserve"> As contingent celestial phenomena that disrupted the recognised cosmic order, comets and falling meteors were perceived as Eliade's threatening celestial theophanies that not only conveyed the wrath of the Creator against the widespread impiety, but also signalled a return to a state of destructive chaos, greatly resembling the cataclysmic apocalyptic scenario depicted by Landes.</w:t>
      </w:r>
      <w:r w:rsidRPr="00021BF0">
        <w:rPr>
          <w:rStyle w:val="FootnoteReference"/>
          <w:sz w:val="24"/>
          <w:szCs w:val="24"/>
          <w:lang w:bidi="ar-AE"/>
        </w:rPr>
        <w:footnoteReference w:id="254"/>
      </w:r>
      <w:r w:rsidRPr="00021BF0">
        <w:rPr>
          <w:sz w:val="24"/>
          <w:szCs w:val="24"/>
          <w:lang w:bidi="ar-AE"/>
        </w:rPr>
        <w:t xml:space="preserve"> </w:t>
      </w:r>
      <w:r w:rsidRPr="00021BF0">
        <w:rPr>
          <w:sz w:val="24"/>
          <w:szCs w:val="24"/>
        </w:rPr>
        <w:t xml:space="preserve">Written in the turbulent years of early Islam, ibn Ḥammād's </w:t>
      </w:r>
      <w:r w:rsidRPr="00021BF0">
        <w:rPr>
          <w:i/>
          <w:iCs/>
          <w:sz w:val="24"/>
          <w:szCs w:val="24"/>
        </w:rPr>
        <w:t xml:space="preserve">Kitāb al-Fitan </w:t>
      </w:r>
      <w:r w:rsidRPr="00021BF0">
        <w:rPr>
          <w:sz w:val="24"/>
          <w:szCs w:val="24"/>
        </w:rPr>
        <w:t>clearly</w:t>
      </w:r>
      <w:r w:rsidRPr="00021BF0">
        <w:rPr>
          <w:i/>
          <w:iCs/>
          <w:sz w:val="24"/>
          <w:szCs w:val="24"/>
        </w:rPr>
        <w:t xml:space="preserve"> </w:t>
      </w:r>
      <w:r w:rsidRPr="00021BF0">
        <w:rPr>
          <w:sz w:val="24"/>
          <w:szCs w:val="24"/>
        </w:rPr>
        <w:t>reveals the interwoven relationship of history and apocalyptic eschatology observed by Arjomand.</w:t>
      </w:r>
      <w:r w:rsidRPr="00021BF0">
        <w:rPr>
          <w:rStyle w:val="FootnoteReference"/>
          <w:sz w:val="24"/>
          <w:szCs w:val="24"/>
        </w:rPr>
        <w:footnoteReference w:id="255"/>
      </w:r>
      <w:r w:rsidRPr="00021BF0">
        <w:rPr>
          <w:sz w:val="24"/>
          <w:szCs w:val="24"/>
        </w:rPr>
        <w:t xml:space="preserve"> The mythic language here mirrors a pessimistic subversive worldview which, as Lorenzo DiTommaso noted, is antagonistic to history and political authority.</w:t>
      </w:r>
      <w:r w:rsidRPr="00021BF0">
        <w:rPr>
          <w:rStyle w:val="FootnoteReference"/>
          <w:sz w:val="24"/>
          <w:szCs w:val="24"/>
        </w:rPr>
        <w:footnoteReference w:id="256"/>
      </w:r>
      <w:bookmarkStart w:id="43" w:name="aldromons"/>
      <w:bookmarkEnd w:id="43"/>
    </w:p>
    <w:p w:rsidR="00804318" w:rsidRPr="00021BF0" w:rsidRDefault="00804318" w:rsidP="00804318">
      <w:pPr>
        <w:spacing w:line="240" w:lineRule="auto"/>
        <w:rPr>
          <w:sz w:val="24"/>
          <w:szCs w:val="24"/>
        </w:rPr>
      </w:pPr>
    </w:p>
    <w:p w:rsidR="00804318" w:rsidRDefault="00804318" w:rsidP="00804318">
      <w:pPr>
        <w:spacing w:line="240" w:lineRule="auto"/>
      </w:pPr>
    </w:p>
    <w:p w:rsidR="00804318" w:rsidRPr="00CC71B9" w:rsidRDefault="00804318" w:rsidP="00804318">
      <w:pPr>
        <w:spacing w:line="240" w:lineRule="auto"/>
        <w:rPr>
          <w:rtl/>
        </w:rPr>
      </w:pPr>
    </w:p>
    <w:p w:rsidR="00B91B05" w:rsidRDefault="00B91B05" w:rsidP="00F411E0">
      <w:pPr>
        <w:spacing w:line="240" w:lineRule="auto"/>
        <w:rPr>
          <w:rFonts w:ascii="Times New Roman" w:hAnsi="Times New Roman" w:cs="Times New Roman"/>
          <w:sz w:val="24"/>
          <w:szCs w:val="24"/>
        </w:rPr>
        <w:sectPr w:rsidR="00B91B05" w:rsidSect="00103350">
          <w:pgSz w:w="11907" w:h="16839" w:code="9"/>
          <w:pgMar w:top="1440" w:right="1247" w:bottom="1440" w:left="2268" w:header="720" w:footer="720" w:gutter="0"/>
          <w:cols w:space="720"/>
          <w:titlePg/>
          <w:docGrid w:linePitch="360"/>
        </w:sectPr>
      </w:pPr>
    </w:p>
    <w:p w:rsidR="00B91B05" w:rsidRDefault="00B91B05" w:rsidP="00B91B05">
      <w:pPr>
        <w:pStyle w:val="Heading1"/>
      </w:pPr>
      <w:bookmarkStart w:id="44" w:name="_Toc477317399"/>
      <w:r>
        <w:lastRenderedPageBreak/>
        <w:t>IV. Conclusion</w:t>
      </w:r>
      <w:bookmarkEnd w:id="44"/>
      <w:r>
        <w:t xml:space="preserve"> </w:t>
      </w:r>
    </w:p>
    <w:p w:rsidR="00B91B05" w:rsidRDefault="00B91B05" w:rsidP="00B91B05">
      <w:pPr>
        <w:rPr>
          <w:rFonts w:eastAsia="AdvTimes" w:cs="AdvTimes"/>
        </w:rPr>
      </w:pPr>
    </w:p>
    <w:p w:rsidR="00B91B05" w:rsidRPr="00021BF0" w:rsidRDefault="00CD25E3" w:rsidP="005B1CD2">
      <w:pPr>
        <w:jc w:val="lowKashida"/>
        <w:rPr>
          <w:rFonts w:cs="TimesNewRomanPS-BoldMT"/>
          <w:sz w:val="24"/>
          <w:szCs w:val="24"/>
        </w:rPr>
      </w:pPr>
      <w:r w:rsidRPr="00021BF0">
        <w:rPr>
          <w:sz w:val="24"/>
          <w:szCs w:val="24"/>
        </w:rPr>
        <w:t>My research</w:t>
      </w:r>
      <w:r w:rsidR="00B91B05" w:rsidRPr="00021BF0">
        <w:rPr>
          <w:sz w:val="24"/>
          <w:szCs w:val="24"/>
        </w:rPr>
        <w:t xml:space="preserve"> was undertaken </w:t>
      </w:r>
      <w:r w:rsidRPr="00021BF0">
        <w:rPr>
          <w:sz w:val="24"/>
          <w:szCs w:val="24"/>
        </w:rPr>
        <w:t xml:space="preserve">in order </w:t>
      </w:r>
      <w:r w:rsidR="00B91B05" w:rsidRPr="00021BF0">
        <w:rPr>
          <w:sz w:val="24"/>
          <w:szCs w:val="24"/>
        </w:rPr>
        <w:t>to evaluate the historical significance of Islamic apocalyptic eschatology through assessing how the cosmic portents of the Hour,</w:t>
      </w:r>
      <w:r w:rsidR="00B91B05" w:rsidRPr="00021BF0">
        <w:rPr>
          <w:rFonts w:cs="TimesNewRomanPS-BoldMT"/>
          <w:sz w:val="24"/>
          <w:szCs w:val="24"/>
        </w:rPr>
        <w:t xml:space="preserve"> described in Islamic scriptures, were conceptualised and understood in the period extending from the eighth to the seventeenth centuries </w:t>
      </w:r>
      <w:r w:rsidR="00B91B05" w:rsidRPr="00F14447">
        <w:rPr>
          <w:rFonts w:cs="TimesNewRomanPS-BoldMT"/>
        </w:rPr>
        <w:t>CE</w:t>
      </w:r>
      <w:r w:rsidR="00B91B05" w:rsidRPr="00021BF0">
        <w:rPr>
          <w:rFonts w:cs="TimesNewRomanPS-BoldMT"/>
          <w:sz w:val="24"/>
          <w:szCs w:val="24"/>
        </w:rPr>
        <w:t xml:space="preserve">, and the extent to which this reflects Islamic cosmological beliefs. The central assumption of this </w:t>
      </w:r>
      <w:r w:rsidR="005B1CD2" w:rsidRPr="00021BF0">
        <w:rPr>
          <w:rFonts w:cs="TimesNewRomanPS-BoldMT"/>
          <w:sz w:val="24"/>
          <w:szCs w:val="24"/>
        </w:rPr>
        <w:t>dissertation</w:t>
      </w:r>
      <w:r w:rsidR="00B91B05" w:rsidRPr="00021BF0">
        <w:rPr>
          <w:rFonts w:cs="TimesNewRomanPS-BoldMT"/>
          <w:sz w:val="24"/>
          <w:szCs w:val="24"/>
        </w:rPr>
        <w:t xml:space="preserve"> is that by bringing light to the hitherto neglected field of Islamic apocalyptic eschatology, which provides an essential cosmological lens through which mundane history is interpreted and understood, can lead to a holistic comprehension of Islam as a religion.</w:t>
      </w:r>
    </w:p>
    <w:p w:rsidR="00B91B05" w:rsidRPr="00021BF0" w:rsidRDefault="00B91B05" w:rsidP="00B91B05">
      <w:pPr>
        <w:jc w:val="lowKashida"/>
        <w:rPr>
          <w:sz w:val="24"/>
          <w:szCs w:val="24"/>
        </w:rPr>
      </w:pPr>
    </w:p>
    <w:p w:rsidR="00B91B05" w:rsidRPr="00021BF0" w:rsidRDefault="00B91B05" w:rsidP="00B91B05">
      <w:pPr>
        <w:jc w:val="lowKashida"/>
        <w:rPr>
          <w:sz w:val="24"/>
          <w:szCs w:val="24"/>
        </w:rPr>
      </w:pPr>
      <w:r w:rsidRPr="00021BF0">
        <w:rPr>
          <w:rFonts w:cs="Times New Roman"/>
          <w:sz w:val="24"/>
          <w:szCs w:val="24"/>
        </w:rPr>
        <w:t>Most of the resonant Qur'ānic eschatological verses that depict an imminent cataclysmic apocalypse were revealed to a tribal community of pagans in Makkah, who as</w:t>
      </w:r>
      <w:r w:rsidRPr="00021BF0">
        <w:rPr>
          <w:sz w:val="24"/>
          <w:szCs w:val="24"/>
        </w:rPr>
        <w:t xml:space="preserve"> </w:t>
      </w:r>
      <w:r w:rsidRPr="00021BF0">
        <w:rPr>
          <w:i/>
          <w:iCs/>
          <w:sz w:val="24"/>
          <w:szCs w:val="24"/>
        </w:rPr>
        <w:t>mu'aṭila</w:t>
      </w:r>
      <w:r w:rsidRPr="00021BF0">
        <w:rPr>
          <w:sz w:val="24"/>
          <w:szCs w:val="24"/>
        </w:rPr>
        <w:t xml:space="preserve"> </w:t>
      </w:r>
      <w:r w:rsidRPr="00021BF0">
        <w:rPr>
          <w:i/>
          <w:iCs/>
          <w:sz w:val="24"/>
          <w:szCs w:val="24"/>
        </w:rPr>
        <w:t>dahrīya,</w:t>
      </w:r>
      <w:r w:rsidRPr="00021BF0">
        <w:rPr>
          <w:sz w:val="24"/>
          <w:szCs w:val="24"/>
        </w:rPr>
        <w:t xml:space="preserve"> denied the concepts of bodily resurrection and afterlife reward and retribution, and attributed all kinds of worldly afflictions to </w:t>
      </w:r>
      <w:r w:rsidRPr="00021BF0">
        <w:rPr>
          <w:i/>
          <w:iCs/>
          <w:sz w:val="24"/>
          <w:szCs w:val="24"/>
        </w:rPr>
        <w:t>dahr</w:t>
      </w:r>
      <w:r w:rsidRPr="00021BF0">
        <w:rPr>
          <w:sz w:val="24"/>
          <w:szCs w:val="24"/>
        </w:rPr>
        <w:t xml:space="preserve">, or Eternal Time personified. This 'cosmophobic' worldview of the pagan </w:t>
      </w:r>
      <w:r w:rsidRPr="00021BF0">
        <w:rPr>
          <w:i/>
          <w:iCs/>
          <w:sz w:val="24"/>
          <w:szCs w:val="24"/>
        </w:rPr>
        <w:t>dahrīya</w:t>
      </w:r>
      <w:r w:rsidRPr="00021BF0">
        <w:rPr>
          <w:sz w:val="24"/>
          <w:szCs w:val="24"/>
        </w:rPr>
        <w:t xml:space="preserve"> of Arabia was radically altered through Islam to an appreciation of a cosmos perceived as the wondrous handiwork of the Almighty Creator Allah, and a rational path through which one attains true </w:t>
      </w:r>
      <w:r w:rsidRPr="00021BF0">
        <w:rPr>
          <w:i/>
          <w:iCs/>
          <w:sz w:val="24"/>
          <w:szCs w:val="24"/>
        </w:rPr>
        <w:t xml:space="preserve">tawḥīḍ </w:t>
      </w:r>
      <w:r w:rsidRPr="00021BF0">
        <w:rPr>
          <w:sz w:val="24"/>
          <w:szCs w:val="24"/>
        </w:rPr>
        <w:t xml:space="preserve">or absolute monotheism. Most importantly, contemplation of the cyclical nature of cosmic phenomena became an activity that rationally confirmed the most fundamental eschatological principles of Islam, namely the ephemeral nature of mundane history or </w:t>
      </w:r>
      <w:r w:rsidRPr="00021BF0">
        <w:rPr>
          <w:i/>
          <w:iCs/>
          <w:sz w:val="24"/>
          <w:szCs w:val="24"/>
        </w:rPr>
        <w:t>dunyā</w:t>
      </w:r>
      <w:r w:rsidRPr="00021BF0">
        <w:rPr>
          <w:sz w:val="24"/>
          <w:szCs w:val="24"/>
        </w:rPr>
        <w:t xml:space="preserve"> and its inevitable future annihilation, followed by a transformation and resurrection of all creation through the engendering Divine command </w:t>
      </w:r>
      <w:r w:rsidRPr="00021BF0">
        <w:rPr>
          <w:i/>
          <w:iCs/>
          <w:sz w:val="24"/>
          <w:szCs w:val="24"/>
        </w:rPr>
        <w:t>Kun</w:t>
      </w:r>
      <w:r w:rsidRPr="00021BF0">
        <w:rPr>
          <w:sz w:val="24"/>
          <w:szCs w:val="24"/>
        </w:rPr>
        <w:t xml:space="preserve"> (Be!). Through asserting that humanity should strive towards the </w:t>
      </w:r>
      <w:r w:rsidRPr="00021BF0">
        <w:rPr>
          <w:i/>
          <w:iCs/>
          <w:sz w:val="24"/>
          <w:szCs w:val="24"/>
        </w:rPr>
        <w:t>ākhira</w:t>
      </w:r>
      <w:r w:rsidRPr="00021BF0">
        <w:rPr>
          <w:sz w:val="24"/>
          <w:szCs w:val="24"/>
        </w:rPr>
        <w:t>, the abode of ultimate theodicy and eternal life, Islamic eschatology replaced the dysteleology of the cosmos of pagan Arabia with requisite hope, purpose and meaning. It becomes hence evident that the transformation of the religious views of the Makkans and their tribal neighbours did lead to a total and thorough transformation of their cosmological views, thus validating Campion's view of the interwoven relationship of cosmologies and religious beliefs.</w:t>
      </w:r>
      <w:r w:rsidRPr="00021BF0">
        <w:rPr>
          <w:rStyle w:val="FootnoteReference"/>
          <w:sz w:val="24"/>
          <w:szCs w:val="24"/>
        </w:rPr>
        <w:footnoteReference w:id="257"/>
      </w:r>
    </w:p>
    <w:p w:rsidR="00B91B05" w:rsidRPr="00021BF0" w:rsidRDefault="00B91B05" w:rsidP="00B91B05">
      <w:pPr>
        <w:jc w:val="lowKashida"/>
        <w:rPr>
          <w:sz w:val="24"/>
          <w:szCs w:val="24"/>
        </w:rPr>
      </w:pPr>
    </w:p>
    <w:p w:rsidR="00B91B05" w:rsidRPr="00021BF0" w:rsidRDefault="00B91B05" w:rsidP="00B91B05">
      <w:pPr>
        <w:jc w:val="lowKashida"/>
        <w:rPr>
          <w:sz w:val="24"/>
          <w:szCs w:val="24"/>
        </w:rPr>
      </w:pPr>
      <w:r w:rsidRPr="00021BF0">
        <w:rPr>
          <w:sz w:val="24"/>
          <w:szCs w:val="24"/>
        </w:rPr>
        <w:t xml:space="preserve">Post-Islamic cosmologies that contradicted the aforementioned fundamental eschatological principles of Islam, such as the Greco-inspired philosophical cosmologies, were perceived as heretical and as a result were short-lived and inconsequential. In contrast, biblical cosmological narratives that did not challenge the central principle of </w:t>
      </w:r>
      <w:r w:rsidRPr="00021BF0">
        <w:rPr>
          <w:i/>
          <w:iCs/>
          <w:sz w:val="24"/>
          <w:szCs w:val="24"/>
        </w:rPr>
        <w:t xml:space="preserve">tawḥīd, </w:t>
      </w:r>
      <w:r w:rsidRPr="00021BF0">
        <w:rPr>
          <w:sz w:val="24"/>
          <w:szCs w:val="24"/>
        </w:rPr>
        <w:t xml:space="preserve">or disrupt religious legislative laws, were readily assimilated into the studied classical exegeses. Jewish apocalyptic lore lucidly fed into </w:t>
      </w:r>
      <w:r w:rsidRPr="00021BF0">
        <w:rPr>
          <w:sz w:val="24"/>
          <w:szCs w:val="24"/>
        </w:rPr>
        <w:lastRenderedPageBreak/>
        <w:t xml:space="preserve">Islamic eschatology, primarily through the </w:t>
      </w:r>
      <w:r w:rsidRPr="00021BF0">
        <w:rPr>
          <w:i/>
          <w:iCs/>
          <w:sz w:val="24"/>
          <w:szCs w:val="24"/>
          <w:lang w:bidi="ar-AE"/>
        </w:rPr>
        <w:t xml:space="preserve">Isrā'īliyyāt </w:t>
      </w:r>
      <w:r w:rsidRPr="00021BF0">
        <w:rPr>
          <w:sz w:val="24"/>
          <w:szCs w:val="24"/>
          <w:lang w:bidi="ar-AE"/>
        </w:rPr>
        <w:t xml:space="preserve">of the </w:t>
      </w:r>
      <w:r w:rsidRPr="00021BF0">
        <w:rPr>
          <w:sz w:val="24"/>
          <w:szCs w:val="24"/>
        </w:rPr>
        <w:t xml:space="preserve">Prophet's companion and cousin </w:t>
      </w:r>
      <w:r w:rsidRPr="00021BF0">
        <w:rPr>
          <w:sz w:val="24"/>
          <w:szCs w:val="24"/>
          <w:lang w:bidi="ar-AE"/>
        </w:rPr>
        <w:t>ibn 'Abbās, thus becoming an essential component of the Islamic apocalyptic scene.</w:t>
      </w:r>
      <w:r w:rsidRPr="00021BF0">
        <w:rPr>
          <w:sz w:val="24"/>
          <w:szCs w:val="24"/>
        </w:rPr>
        <w:t xml:space="preserve"> The Islamic cosmos depicted by the classical exegete, rational and traditional alike, looked remarkably similar to the cosmos portrayed in the books of </w:t>
      </w:r>
      <w:r w:rsidRPr="00021BF0">
        <w:rPr>
          <w:i/>
          <w:iCs/>
          <w:sz w:val="24"/>
          <w:szCs w:val="24"/>
        </w:rPr>
        <w:t>I Enoch</w:t>
      </w:r>
      <w:r w:rsidRPr="00021BF0">
        <w:rPr>
          <w:sz w:val="24"/>
          <w:szCs w:val="24"/>
        </w:rPr>
        <w:t xml:space="preserve"> and </w:t>
      </w:r>
      <w:r w:rsidRPr="00021BF0">
        <w:rPr>
          <w:i/>
          <w:iCs/>
          <w:sz w:val="24"/>
          <w:szCs w:val="24"/>
        </w:rPr>
        <w:t xml:space="preserve">Jubilees; </w:t>
      </w:r>
      <w:r w:rsidRPr="00021BF0">
        <w:rPr>
          <w:sz w:val="24"/>
          <w:szCs w:val="24"/>
        </w:rPr>
        <w:t xml:space="preserve">highly enchanted, animated and enriched with magical entities and angelic beings that submitted to the Will of Allah and maintained the order of His creation. Therefore as Campion noticed, Islamic cosmology is indeed better comprehended when read as </w:t>
      </w:r>
      <w:r w:rsidRPr="00021BF0">
        <w:rPr>
          <w:sz w:val="24"/>
          <w:szCs w:val="24"/>
          <w:lang w:bidi="ar-AE"/>
        </w:rPr>
        <w:t>an integral part of a broader Abrahamic cosmological discourse</w:t>
      </w:r>
      <w:r w:rsidRPr="00021BF0">
        <w:rPr>
          <w:sz w:val="24"/>
          <w:szCs w:val="24"/>
        </w:rPr>
        <w:t>.</w:t>
      </w:r>
      <w:r w:rsidRPr="00021BF0">
        <w:rPr>
          <w:rStyle w:val="FootnoteReference"/>
          <w:sz w:val="24"/>
          <w:szCs w:val="24"/>
        </w:rPr>
        <w:footnoteReference w:id="258"/>
      </w:r>
      <w:r w:rsidRPr="00021BF0">
        <w:rPr>
          <w:sz w:val="24"/>
          <w:szCs w:val="24"/>
        </w:rPr>
        <w:t xml:space="preserve"> </w:t>
      </w:r>
    </w:p>
    <w:p w:rsidR="00B91B05" w:rsidRPr="00021BF0" w:rsidRDefault="00B91B05" w:rsidP="00B91B05">
      <w:pPr>
        <w:jc w:val="lowKashida"/>
        <w:rPr>
          <w:sz w:val="24"/>
          <w:szCs w:val="24"/>
        </w:rPr>
      </w:pPr>
    </w:p>
    <w:p w:rsidR="00B91B05" w:rsidRPr="00021BF0" w:rsidRDefault="00B91B05" w:rsidP="00B91B05">
      <w:pPr>
        <w:jc w:val="lowKashida"/>
        <w:rPr>
          <w:sz w:val="24"/>
          <w:szCs w:val="24"/>
        </w:rPr>
      </w:pPr>
      <w:r w:rsidRPr="00021BF0">
        <w:rPr>
          <w:sz w:val="24"/>
          <w:szCs w:val="24"/>
        </w:rPr>
        <w:t xml:space="preserve">One of the most significant findings of this dissertation reveals the unrivalled impact of the orthodox ontology of al-Ghazālī, a vehement opponent of syncretistic Islamic philosophies, on the studied reason-based and tradition-based exegeses. To all three classical exegetes, al-Rāzī, al-Qurṭubī and ibn Kathīr, there was no doubt that the sky will crack, the stars will scatter and lose their luster, and the luminaries will darken, or will be ejected from their orbit, or perhaps cast into Hellfire. The ordered cosmos will disintegrate and collapse in subjection to the command of the Irresistible Creator, Allah, marking the end of an illusory </w:t>
      </w:r>
      <w:r w:rsidRPr="00021BF0">
        <w:rPr>
          <w:i/>
          <w:iCs/>
          <w:sz w:val="24"/>
          <w:szCs w:val="24"/>
        </w:rPr>
        <w:t>dunyā</w:t>
      </w:r>
      <w:r w:rsidRPr="00021BF0">
        <w:rPr>
          <w:sz w:val="24"/>
          <w:szCs w:val="24"/>
        </w:rPr>
        <w:t xml:space="preserve">. Through asserting the preordained obliteration of the cosmos, or in other words the principle of </w:t>
      </w:r>
      <w:r w:rsidRPr="00021BF0">
        <w:rPr>
          <w:i/>
          <w:iCs/>
          <w:sz w:val="24"/>
          <w:szCs w:val="24"/>
        </w:rPr>
        <w:t>reductio ad nihilum,</w:t>
      </w:r>
      <w:r w:rsidRPr="00021BF0">
        <w:rPr>
          <w:sz w:val="24"/>
          <w:szCs w:val="24"/>
        </w:rPr>
        <w:t xml:space="preserve"> all three exegetes were, above all, confirming the contingency of the universe, or </w:t>
      </w:r>
      <w:r w:rsidR="00FF7957">
        <w:rPr>
          <w:i/>
          <w:iCs/>
          <w:sz w:val="24"/>
          <w:szCs w:val="24"/>
        </w:rPr>
        <w:t>creatio ex nihil</w:t>
      </w:r>
      <w:r w:rsidRPr="00021BF0">
        <w:rPr>
          <w:i/>
          <w:iCs/>
          <w:sz w:val="24"/>
          <w:szCs w:val="24"/>
        </w:rPr>
        <w:t>o,</w:t>
      </w:r>
      <w:r w:rsidRPr="00021BF0">
        <w:rPr>
          <w:sz w:val="24"/>
          <w:szCs w:val="24"/>
        </w:rPr>
        <w:t xml:space="preserve"> and in doing so, explicitly challenged what were perceived as heretical Greco-influenced notions about the eternity of the world. Through embracing such a worldview, the classical exegete and thinker retained the religious, retributive and theistic essence of Islamic eschatology, and subsequently, their cosmological outlook continued to serve the crucial mythological role that tells us, as stated by Mathews, 'what we are, where we came from and where we are going.'</w:t>
      </w:r>
      <w:r w:rsidRPr="00021BF0">
        <w:rPr>
          <w:rStyle w:val="FootnoteReference"/>
          <w:rFonts w:cs="Arial"/>
          <w:color w:val="000000"/>
          <w:sz w:val="24"/>
          <w:szCs w:val="24"/>
        </w:rPr>
        <w:footnoteReference w:id="259"/>
      </w:r>
    </w:p>
    <w:p w:rsidR="00B91B05" w:rsidRPr="00021BF0" w:rsidRDefault="00B91B05" w:rsidP="00B91B05">
      <w:pPr>
        <w:jc w:val="lowKashida"/>
        <w:rPr>
          <w:sz w:val="24"/>
          <w:szCs w:val="24"/>
        </w:rPr>
      </w:pPr>
    </w:p>
    <w:p w:rsidR="00B91B05" w:rsidRPr="00021BF0" w:rsidRDefault="00A25D83" w:rsidP="00B91B05">
      <w:pPr>
        <w:jc w:val="lowKashida"/>
        <w:rPr>
          <w:rFonts w:eastAsia="Times New Roman" w:cs="Times New Roman"/>
          <w:sz w:val="24"/>
          <w:szCs w:val="24"/>
        </w:rPr>
      </w:pPr>
      <w:r w:rsidRPr="00021BF0">
        <w:rPr>
          <w:sz w:val="24"/>
          <w:szCs w:val="24"/>
        </w:rPr>
        <w:t>The evidence also suggests</w:t>
      </w:r>
      <w:r w:rsidR="00B91B05" w:rsidRPr="00021BF0">
        <w:rPr>
          <w:sz w:val="24"/>
          <w:szCs w:val="24"/>
        </w:rPr>
        <w:t xml:space="preserve"> that the mythical language employed by the classical apocalyptist conveys a strong belief in the interconnectedness of the celestial and terrestrial realms, in which life-sustaining order in the heavens above is perceived as a reflection of earthly peace and harmony, the latter being the natural consequence of submitting to the commands of the Creator; metaphorically compared to </w:t>
      </w:r>
      <w:r w:rsidR="00B91B05" w:rsidRPr="00021BF0">
        <w:rPr>
          <w:i/>
          <w:iCs/>
          <w:sz w:val="24"/>
          <w:szCs w:val="24"/>
        </w:rPr>
        <w:t>sujūd</w:t>
      </w:r>
      <w:r w:rsidR="00B91B05" w:rsidRPr="00021BF0">
        <w:rPr>
          <w:sz w:val="24"/>
          <w:szCs w:val="24"/>
        </w:rPr>
        <w:t xml:space="preserve">, the physical act of humbling and lowering and oneself before the Laws of Allah, perceived as the utmost gesture of subjugation. The arrogant refusal of man to comply with these Divine laws, on the other hand, leads to the predominance of the chaotic forces of evil on earth, which in its turn, triggers unusual celestial phenomena such as the westward-rising of the sun, the splitting of the moon, the appearance of comets and the falling of meteors. As Eliade's 'negative theophanies', these terrifying celestial events conveyed the wrath of Allah and heralded the approach of the Hour </w:t>
      </w:r>
      <w:r w:rsidR="00B91B05" w:rsidRPr="00021BF0">
        <w:rPr>
          <w:sz w:val="24"/>
          <w:szCs w:val="24"/>
        </w:rPr>
        <w:lastRenderedPageBreak/>
        <w:t>and the ensuing Divine retribution.</w:t>
      </w:r>
      <w:r w:rsidR="00B91B05" w:rsidRPr="00021BF0">
        <w:rPr>
          <w:rStyle w:val="FootnoteReference"/>
          <w:sz w:val="24"/>
          <w:szCs w:val="24"/>
        </w:rPr>
        <w:footnoteReference w:id="260"/>
      </w:r>
      <w:r w:rsidR="00B91B05" w:rsidRPr="00021BF0">
        <w:rPr>
          <w:sz w:val="24"/>
          <w:szCs w:val="24"/>
        </w:rPr>
        <w:t xml:space="preserve"> This pessimistic worldview is chiefly noticed in the works of authors who witnessed the </w:t>
      </w:r>
      <w:r w:rsidR="00B91B05" w:rsidRPr="00021BF0">
        <w:rPr>
          <w:i/>
          <w:iCs/>
          <w:sz w:val="24"/>
          <w:szCs w:val="24"/>
        </w:rPr>
        <w:t xml:space="preserve">fitan </w:t>
      </w:r>
      <w:r w:rsidR="00B91B05" w:rsidRPr="00021BF0">
        <w:rPr>
          <w:sz w:val="24"/>
          <w:szCs w:val="24"/>
        </w:rPr>
        <w:t>of civil strife, political upheavals and military threats. During such times, the apocalyptic discourse acquires a noticeably active, subversive and revolutionary messianic tone which principally comprises, as Cohn wrote, '</w:t>
      </w:r>
      <w:r w:rsidR="00B91B05" w:rsidRPr="00021BF0">
        <w:rPr>
          <w:rFonts w:eastAsia="Times New Roman" w:cs="Times New Roman"/>
          <w:sz w:val="24"/>
          <w:szCs w:val="24"/>
        </w:rPr>
        <w:t>a boundless, millennial promise made with boundless prophet-like conviction to a number of rootless and desperate men in the midst of a society where traditional norms and relationships are disintegrating.'</w:t>
      </w:r>
      <w:r w:rsidR="00B91B05" w:rsidRPr="00021BF0">
        <w:rPr>
          <w:rStyle w:val="FootnoteReference"/>
          <w:rFonts w:eastAsia="Times New Roman" w:cs="Times New Roman"/>
          <w:sz w:val="24"/>
          <w:szCs w:val="24"/>
        </w:rPr>
        <w:footnoteReference w:id="261"/>
      </w:r>
      <w:r w:rsidR="00B91B05" w:rsidRPr="00021BF0">
        <w:rPr>
          <w:rFonts w:eastAsia="Times New Roman" w:cs="Times New Roman"/>
          <w:sz w:val="24"/>
          <w:szCs w:val="24"/>
        </w:rPr>
        <w:t xml:space="preserve"> The rather violent millennial imagery in such circumstances operates as Scott's infra-political subterranean counter-ideology which </w:t>
      </w:r>
      <w:r w:rsidR="00B91B05" w:rsidRPr="00021BF0">
        <w:rPr>
          <w:sz w:val="24"/>
          <w:szCs w:val="24"/>
        </w:rPr>
        <w:t>aspires for poetic justice in which '</w:t>
      </w:r>
      <w:r w:rsidR="00B91B05" w:rsidRPr="00021BF0">
        <w:rPr>
          <w:rFonts w:cs="Times New Roman"/>
          <w:sz w:val="24"/>
          <w:szCs w:val="24"/>
        </w:rPr>
        <w:t>the high shall be brought low and the last shall be first.'</w:t>
      </w:r>
      <w:r w:rsidR="00B91B05" w:rsidRPr="00021BF0">
        <w:rPr>
          <w:rStyle w:val="FootnoteReference"/>
          <w:rFonts w:cs="Arial"/>
          <w:color w:val="000000"/>
          <w:sz w:val="24"/>
          <w:szCs w:val="24"/>
        </w:rPr>
        <w:footnoteReference w:id="262"/>
      </w:r>
      <w:r w:rsidR="00B91B05" w:rsidRPr="00021BF0">
        <w:rPr>
          <w:rFonts w:cs="Arial"/>
          <w:color w:val="000000"/>
          <w:sz w:val="24"/>
          <w:szCs w:val="24"/>
        </w:rPr>
        <w:t xml:space="preserve"> The pressing need for Divine intervention in mundane history during periods of </w:t>
      </w:r>
      <w:r w:rsidR="00B91B05" w:rsidRPr="00021BF0">
        <w:rPr>
          <w:rFonts w:cs="Arial"/>
          <w:i/>
          <w:iCs/>
          <w:color w:val="000000"/>
          <w:sz w:val="24"/>
          <w:szCs w:val="24"/>
        </w:rPr>
        <w:t>fitan</w:t>
      </w:r>
      <w:r w:rsidR="00B91B05" w:rsidRPr="00021BF0">
        <w:rPr>
          <w:rFonts w:cs="Arial"/>
          <w:color w:val="000000"/>
          <w:sz w:val="24"/>
          <w:szCs w:val="24"/>
        </w:rPr>
        <w:t xml:space="preserve"> is quite evident in the apocalyptic prophecies of </w:t>
      </w:r>
      <w:r w:rsidR="00B91B05" w:rsidRPr="00021BF0">
        <w:rPr>
          <w:sz w:val="24"/>
          <w:szCs w:val="24"/>
        </w:rPr>
        <w:t>ibn Ḥammād, where celestial portents acquire the assuring role of foretelling the imminent advent of the awaited</w:t>
      </w:r>
      <w:r w:rsidR="00B91B05" w:rsidRPr="00021BF0">
        <w:rPr>
          <w:rFonts w:cs="Arial"/>
          <w:color w:val="000000"/>
          <w:sz w:val="24"/>
          <w:szCs w:val="24"/>
        </w:rPr>
        <w:t xml:space="preserve"> al-Mahdī</w:t>
      </w:r>
      <w:r w:rsidR="00B91B05" w:rsidRPr="00021BF0">
        <w:rPr>
          <w:sz w:val="24"/>
          <w:szCs w:val="24"/>
        </w:rPr>
        <w:t xml:space="preserve"> at whose hands peace and justice will prevail. </w:t>
      </w:r>
    </w:p>
    <w:p w:rsidR="00B91B05" w:rsidRPr="00021BF0" w:rsidRDefault="00B91B05" w:rsidP="00B91B05">
      <w:pPr>
        <w:jc w:val="lowKashida"/>
        <w:rPr>
          <w:sz w:val="24"/>
          <w:szCs w:val="24"/>
        </w:rPr>
      </w:pPr>
    </w:p>
    <w:p w:rsidR="009D794A" w:rsidRPr="00021BF0" w:rsidRDefault="00B91B05" w:rsidP="00021BF0">
      <w:pPr>
        <w:jc w:val="lowKashida"/>
        <w:rPr>
          <w:sz w:val="24"/>
          <w:szCs w:val="24"/>
        </w:rPr>
      </w:pPr>
      <w:r w:rsidRPr="00021BF0">
        <w:rPr>
          <w:sz w:val="24"/>
          <w:szCs w:val="24"/>
        </w:rPr>
        <w:t xml:space="preserve">As stated earlier in the introduction, the topic of eschatological apocalypticism and millennialism, from a cosmological perspective, has been investigated by few western </w:t>
      </w:r>
      <w:proofErr w:type="gramStart"/>
      <w:r w:rsidRPr="00021BF0">
        <w:rPr>
          <w:sz w:val="24"/>
          <w:szCs w:val="24"/>
        </w:rPr>
        <w:t>studies,</w:t>
      </w:r>
      <w:proofErr w:type="gramEnd"/>
      <w:r w:rsidRPr="00021BF0">
        <w:rPr>
          <w:sz w:val="24"/>
          <w:szCs w:val="24"/>
        </w:rPr>
        <w:t xml:space="preserve"> examples of such include Eliade's </w:t>
      </w:r>
      <w:r w:rsidRPr="00021BF0">
        <w:rPr>
          <w:i/>
          <w:sz w:val="24"/>
          <w:szCs w:val="24"/>
        </w:rPr>
        <w:t xml:space="preserve">Cosmos and History: The Myth of the Eternal Return </w:t>
      </w:r>
      <w:r w:rsidRPr="00021BF0">
        <w:rPr>
          <w:sz w:val="24"/>
          <w:szCs w:val="24"/>
        </w:rPr>
        <w:t xml:space="preserve">and Campion's </w:t>
      </w:r>
      <w:r w:rsidRPr="00021BF0">
        <w:rPr>
          <w:i/>
          <w:iCs/>
          <w:sz w:val="24"/>
          <w:szCs w:val="24"/>
        </w:rPr>
        <w:t>The Great Year</w:t>
      </w:r>
      <w:r w:rsidRPr="00021BF0">
        <w:rPr>
          <w:sz w:val="24"/>
          <w:szCs w:val="24"/>
        </w:rPr>
        <w:t>. What distinguishes this dissertation is its exploration of the underpinning cosmological views that shape Islamic apocalypticism and millennialism exclusively, thus filling the gap in the study of the Islamic mythological, teleological and philosophical perception of history. In Islamic apocalyptic eschatology, the cataclysmic annihilation of profane time inaugurates an awaited sacred time where the pious are promised with eternal rewards; a cosmological view with remarkably contrasting societal implications. It may be speculated that to the moderate Muslim on the one hand, such an outlook may fulfill the essential therapeutic role that enables man to tolerate the hardships of mundane history as discussed by Eliade, Appleby and Harvey and Newcombe.</w:t>
      </w:r>
      <w:r w:rsidRPr="00021BF0">
        <w:rPr>
          <w:rStyle w:val="FootnoteReference"/>
          <w:sz w:val="24"/>
          <w:szCs w:val="24"/>
        </w:rPr>
        <w:footnoteReference w:id="263"/>
      </w:r>
      <w:r w:rsidRPr="00021BF0">
        <w:rPr>
          <w:sz w:val="24"/>
          <w:szCs w:val="24"/>
        </w:rPr>
        <w:t xml:space="preserve"> Yet to the radical extremist, it is quite evident that apocalyptic faith is actively employed in innovative millennialist ideologies that seek to manifest the providential plan of Allah through accelerating the prophesised sequence of events that lead to the termination of profane time. The particular significance of the concept of </w:t>
      </w:r>
      <w:r w:rsidRPr="00021BF0">
        <w:rPr>
          <w:i/>
          <w:iCs/>
          <w:sz w:val="24"/>
          <w:szCs w:val="24"/>
        </w:rPr>
        <w:t>fitan</w:t>
      </w:r>
      <w:r w:rsidRPr="00021BF0">
        <w:rPr>
          <w:sz w:val="24"/>
          <w:szCs w:val="24"/>
        </w:rPr>
        <w:t xml:space="preserve">, perceived as the 'holy anarchy' that pave the way to the imminent apocalypse, clearly explains the pervasiveness of apocalypticism in areas of conflict. </w:t>
      </w:r>
    </w:p>
    <w:p w:rsidR="00372340" w:rsidRPr="00781306" w:rsidRDefault="00372340" w:rsidP="00372340">
      <w:pPr>
        <w:jc w:val="center"/>
        <w:rPr>
          <w:rFonts w:ascii="Arabic Typesetting" w:hAnsi="Arabic Typesetting" w:cs="Arabic Typesetting"/>
          <w:sz w:val="36"/>
          <w:szCs w:val="36"/>
          <w:rtl/>
          <w:lang w:bidi="ar-AE"/>
        </w:rPr>
      </w:pPr>
      <w:r w:rsidRPr="00781306">
        <w:rPr>
          <w:rFonts w:ascii="Arabic Typesetting" w:hAnsi="Arabic Typesetting" w:cs="Arabic Typesetting"/>
          <w:sz w:val="36"/>
          <w:szCs w:val="36"/>
          <w:rtl/>
          <w:lang w:bidi="ar-AE"/>
        </w:rPr>
        <w:t>والله أعلم</w:t>
      </w:r>
    </w:p>
    <w:p w:rsidR="00372340" w:rsidRPr="00021BF0" w:rsidRDefault="00372340" w:rsidP="00372340">
      <w:pPr>
        <w:spacing w:line="240" w:lineRule="auto"/>
        <w:jc w:val="center"/>
        <w:rPr>
          <w:rFonts w:ascii="Monotype Corsiva" w:hAnsi="Monotype Corsiva"/>
          <w:sz w:val="24"/>
          <w:szCs w:val="24"/>
          <w:lang w:bidi="ar-AE"/>
        </w:rPr>
      </w:pPr>
      <w:r w:rsidRPr="00021BF0">
        <w:rPr>
          <w:rFonts w:ascii="Monotype Corsiva" w:hAnsi="Monotype Corsiva"/>
          <w:sz w:val="24"/>
          <w:szCs w:val="24"/>
          <w:lang w:bidi="ar-AE"/>
        </w:rPr>
        <w:t>And Allah is the Best-Knower, the All-Knower</w:t>
      </w:r>
    </w:p>
    <w:p w:rsidR="00372340" w:rsidRDefault="00372340" w:rsidP="00FF1BA2">
      <w:pPr>
        <w:jc w:val="lowKashida"/>
        <w:sectPr w:rsidR="00372340" w:rsidSect="00103350">
          <w:pgSz w:w="11907" w:h="16839" w:code="9"/>
          <w:pgMar w:top="1440" w:right="1247" w:bottom="1440" w:left="2268" w:header="720" w:footer="720" w:gutter="0"/>
          <w:cols w:space="720"/>
          <w:titlePg/>
          <w:docGrid w:linePitch="360"/>
        </w:sectPr>
      </w:pPr>
    </w:p>
    <w:p w:rsidR="00781306" w:rsidRPr="003E1899" w:rsidRDefault="00781306" w:rsidP="00781306">
      <w:pPr>
        <w:pStyle w:val="Heading1"/>
      </w:pPr>
      <w:bookmarkStart w:id="45" w:name="_Toc462173746"/>
      <w:bookmarkStart w:id="46" w:name="_Toc463008684"/>
      <w:bookmarkStart w:id="47" w:name="_Toc477317400"/>
      <w:r>
        <w:lastRenderedPageBreak/>
        <w:t>Bibliography</w:t>
      </w:r>
      <w:bookmarkEnd w:id="45"/>
      <w:bookmarkEnd w:id="46"/>
      <w:bookmarkEnd w:id="47"/>
    </w:p>
    <w:p w:rsidR="00781306" w:rsidRPr="0079177C" w:rsidRDefault="00781306" w:rsidP="00781306">
      <w:pPr>
        <w:pStyle w:val="Heading2"/>
        <w:rPr>
          <w:lang w:bidi="ar-AE"/>
        </w:rPr>
      </w:pPr>
      <w:bookmarkStart w:id="48" w:name="_Toc463008685"/>
      <w:bookmarkStart w:id="49" w:name="_Toc477317401"/>
      <w:r>
        <w:t>Arabic Sources</w:t>
      </w:r>
      <w:bookmarkEnd w:id="48"/>
      <w:bookmarkEnd w:id="49"/>
    </w:p>
    <w:p w:rsidR="00781306" w:rsidRPr="00ED6991" w:rsidRDefault="00781306" w:rsidP="00781306">
      <w:pPr>
        <w:pStyle w:val="FootnoteText"/>
        <w:bidi/>
        <w:ind w:left="454" w:hanging="454"/>
        <w:rPr>
          <w:rFonts w:ascii="Simplified Arabic" w:hAnsi="Simplified Arabic" w:cs="Simplified Arabic"/>
          <w:sz w:val="22"/>
          <w:szCs w:val="22"/>
          <w:rtl/>
          <w:lang w:bidi="ar-AE"/>
        </w:rPr>
      </w:pPr>
      <w:r w:rsidRPr="00ED6991">
        <w:rPr>
          <w:rFonts w:ascii="Simplified Arabic" w:hAnsi="Simplified Arabic" w:cs="Simplified Arabic"/>
          <w:sz w:val="22"/>
          <w:szCs w:val="22"/>
          <w:rtl/>
          <w:lang w:bidi="ar-AE"/>
        </w:rPr>
        <w:t xml:space="preserve">الألوسي، محمود شكري، </w:t>
      </w:r>
      <w:r w:rsidRPr="00ED6991">
        <w:rPr>
          <w:rFonts w:ascii="Simplified Arabic" w:hAnsi="Simplified Arabic" w:cs="Simplified Arabic"/>
          <w:b/>
          <w:bCs/>
          <w:sz w:val="22"/>
          <w:szCs w:val="22"/>
          <w:rtl/>
          <w:lang w:bidi="ar-AE"/>
        </w:rPr>
        <w:t>بلوغ الأرب في معرفة أحوال العرب</w:t>
      </w:r>
      <w:r w:rsidRPr="00ED6991">
        <w:rPr>
          <w:rFonts w:ascii="Simplified Arabic" w:hAnsi="Simplified Arabic" w:cs="Simplified Arabic"/>
          <w:sz w:val="22"/>
          <w:szCs w:val="22"/>
          <w:rtl/>
          <w:lang w:bidi="ar-AE"/>
        </w:rPr>
        <w:t>، تحقيق يوسف إبراهيم سلوم (بيروت: المكتبة العصرية، 2009)</w:t>
      </w:r>
    </w:p>
    <w:p w:rsidR="00781306" w:rsidRPr="00E27AEA" w:rsidRDefault="00781306" w:rsidP="00781306">
      <w:pPr>
        <w:pStyle w:val="NormalWeb"/>
        <w:spacing w:before="0" w:beforeAutospacing="0" w:line="276" w:lineRule="auto"/>
        <w:ind w:left="450" w:hanging="450"/>
        <w:rPr>
          <w:rStyle w:val="script-arabic"/>
          <w:rFonts w:ascii="Calibri" w:hAnsi="Calibri"/>
          <w:sz w:val="22"/>
          <w:szCs w:val="22"/>
        </w:rPr>
      </w:pPr>
      <w:proofErr w:type="gramStart"/>
      <w:r w:rsidRPr="00AA193E">
        <w:rPr>
          <w:rFonts w:ascii="Calibri" w:hAnsi="Calibri"/>
          <w:sz w:val="22"/>
          <w:szCs w:val="22"/>
        </w:rPr>
        <w:t>al-Alūsī</w:t>
      </w:r>
      <w:proofErr w:type="gramEnd"/>
      <w:r w:rsidRPr="00AA193E">
        <w:rPr>
          <w:rFonts w:ascii="Calibri" w:hAnsi="Calibri"/>
          <w:sz w:val="22"/>
          <w:szCs w:val="22"/>
        </w:rPr>
        <w:t xml:space="preserve">, Maḥmūd S., </w:t>
      </w:r>
      <w:r w:rsidRPr="00AA193E">
        <w:rPr>
          <w:rFonts w:ascii="Calibri" w:hAnsi="Calibri"/>
          <w:i/>
          <w:iCs/>
          <w:sz w:val="22"/>
          <w:szCs w:val="22"/>
        </w:rPr>
        <w:t>Bulūgh Al-Arab fī Ma'Rifat Aḥwāl Al-'Arab Or the Fulfillment of Desire on Knowledge of the Affairs of Pagan Arabs</w:t>
      </w:r>
      <w:r w:rsidRPr="00AA193E">
        <w:rPr>
          <w:rFonts w:ascii="Calibri" w:hAnsi="Calibri"/>
          <w:sz w:val="22"/>
          <w:szCs w:val="22"/>
        </w:rPr>
        <w:t xml:space="preserve"> (Beirut:</w:t>
      </w:r>
      <w:r>
        <w:rPr>
          <w:rFonts w:ascii="Calibri" w:hAnsi="Calibri"/>
          <w:sz w:val="22"/>
          <w:szCs w:val="22"/>
        </w:rPr>
        <w:t xml:space="preserve"> al-Maktaba al-'Aṣrīyah, 2009) </w:t>
      </w:r>
    </w:p>
    <w:p w:rsidR="00781306" w:rsidRPr="003A413D" w:rsidRDefault="00781306" w:rsidP="00781306">
      <w:pPr>
        <w:pStyle w:val="FootnoteText"/>
        <w:bidi/>
        <w:ind w:left="454" w:hanging="454"/>
        <w:rPr>
          <w:rStyle w:val="script-arabic"/>
          <w:rFonts w:ascii="Simplified Arabic" w:hAnsi="Simplified Arabic" w:cs="Simplified Arabic"/>
          <w:sz w:val="22"/>
          <w:szCs w:val="22"/>
          <w:rtl/>
        </w:rPr>
      </w:pPr>
      <w:r w:rsidRPr="003A413D">
        <w:rPr>
          <w:rStyle w:val="script-arabic"/>
          <w:rFonts w:ascii="Simplified Arabic" w:hAnsi="Simplified Arabic" w:cs="Simplified Arabic"/>
          <w:sz w:val="22"/>
          <w:szCs w:val="22"/>
          <w:rtl/>
          <w:lang w:bidi="ar-AE"/>
        </w:rPr>
        <w:t xml:space="preserve">العسقلاني، </w:t>
      </w:r>
      <w:r w:rsidRPr="003A413D">
        <w:rPr>
          <w:rStyle w:val="script-arabic"/>
          <w:rFonts w:ascii="Simplified Arabic" w:hAnsi="Simplified Arabic" w:cs="Simplified Arabic"/>
          <w:sz w:val="22"/>
          <w:szCs w:val="22"/>
          <w:rtl/>
        </w:rPr>
        <w:t>أبو الفضل أحمد بن علي بن حجر</w:t>
      </w:r>
      <w:r w:rsidRPr="003A413D">
        <w:rPr>
          <w:rStyle w:val="script-arabic"/>
          <w:rFonts w:ascii="Simplified Arabic" w:hAnsi="Simplified Arabic" w:cs="Simplified Arabic"/>
          <w:b/>
          <w:bCs/>
          <w:sz w:val="22"/>
          <w:szCs w:val="22"/>
          <w:rtl/>
        </w:rPr>
        <w:t>، لسان الميزان</w:t>
      </w:r>
      <w:r w:rsidRPr="003A413D">
        <w:rPr>
          <w:rStyle w:val="script-arabic"/>
          <w:rFonts w:ascii="Simplified Arabic" w:hAnsi="Simplified Arabic" w:cs="Simplified Arabic"/>
          <w:sz w:val="22"/>
          <w:szCs w:val="22"/>
          <w:rtl/>
        </w:rPr>
        <w:t>، تحقيق دائرة المعارف النظامية في الهند (بيروت: مؤسسة الأعلمي للمطبوعات</w:t>
      </w:r>
      <w:r w:rsidRPr="003A413D">
        <w:rPr>
          <w:rStyle w:val="script-arabic"/>
          <w:rFonts w:ascii="Simplified Arabic" w:hAnsi="Simplified Arabic" w:cs="Simplified Arabic"/>
          <w:sz w:val="22"/>
          <w:szCs w:val="22"/>
          <w:rtl/>
          <w:lang w:bidi="ar-AE"/>
        </w:rPr>
        <w:t>، 1971</w:t>
      </w:r>
      <w:r w:rsidRPr="003A413D">
        <w:rPr>
          <w:rStyle w:val="script-arabic"/>
          <w:rFonts w:ascii="Simplified Arabic" w:hAnsi="Simplified Arabic" w:cs="Simplified Arabic"/>
          <w:sz w:val="22"/>
          <w:szCs w:val="22"/>
          <w:rtl/>
        </w:rPr>
        <w:t>)</w:t>
      </w:r>
    </w:p>
    <w:p w:rsidR="00781306" w:rsidRDefault="00781306" w:rsidP="00781306">
      <w:pPr>
        <w:pStyle w:val="NormalWeb"/>
        <w:spacing w:before="0" w:beforeAutospacing="0" w:line="276" w:lineRule="auto"/>
        <w:ind w:left="450" w:hanging="450"/>
        <w:rPr>
          <w:rStyle w:val="script-arabic"/>
          <w:rFonts w:ascii="Calibri" w:hAnsi="Calibri"/>
          <w:sz w:val="22"/>
          <w:szCs w:val="22"/>
          <w:lang w:bidi="ar-AE"/>
        </w:rPr>
      </w:pPr>
      <w:proofErr w:type="gramStart"/>
      <w:r w:rsidRPr="0047384E">
        <w:rPr>
          <w:rFonts w:ascii="Calibri" w:hAnsi="Calibri"/>
          <w:sz w:val="22"/>
          <w:szCs w:val="22"/>
        </w:rPr>
        <w:t>al-‘Asqalānī</w:t>
      </w:r>
      <w:proofErr w:type="gramEnd"/>
      <w:r w:rsidRPr="0047384E">
        <w:rPr>
          <w:rFonts w:ascii="Calibri" w:hAnsi="Calibri"/>
          <w:sz w:val="22"/>
          <w:szCs w:val="22"/>
        </w:rPr>
        <w:t xml:space="preserve">, Aḥmad b. ‘Alī b. Ḥajar, </w:t>
      </w:r>
      <w:r w:rsidRPr="0047384E">
        <w:rPr>
          <w:rStyle w:val="script-arabic"/>
          <w:rFonts w:ascii="Calibri" w:hAnsi="Calibri"/>
          <w:i/>
          <w:iCs/>
          <w:sz w:val="22"/>
          <w:szCs w:val="22"/>
        </w:rPr>
        <w:t>Lisān al-Mīzān</w:t>
      </w:r>
      <w:r w:rsidRPr="0047384E">
        <w:rPr>
          <w:rStyle w:val="script-arabic"/>
          <w:rFonts w:ascii="Calibri" w:hAnsi="Calibri"/>
          <w:sz w:val="22"/>
          <w:szCs w:val="22"/>
        </w:rPr>
        <w:t xml:space="preserve"> </w:t>
      </w:r>
      <w:r>
        <w:rPr>
          <w:rStyle w:val="script-arabic"/>
          <w:rFonts w:ascii="Calibri" w:hAnsi="Calibri"/>
          <w:i/>
          <w:iCs/>
          <w:sz w:val="22"/>
          <w:szCs w:val="22"/>
          <w:lang w:bidi="ar-AE"/>
        </w:rPr>
        <w:t>Or</w:t>
      </w:r>
      <w:r w:rsidRPr="0047384E">
        <w:rPr>
          <w:rStyle w:val="script-arabic"/>
          <w:rFonts w:ascii="Calibri" w:hAnsi="Calibri"/>
          <w:sz w:val="22"/>
          <w:szCs w:val="22"/>
          <w:lang w:bidi="ar-AE"/>
        </w:rPr>
        <w:t xml:space="preserve"> </w:t>
      </w:r>
      <w:r w:rsidRPr="0047384E">
        <w:rPr>
          <w:rStyle w:val="script-arabic"/>
          <w:rFonts w:ascii="Calibri" w:hAnsi="Calibri"/>
          <w:i/>
          <w:iCs/>
          <w:sz w:val="22"/>
          <w:szCs w:val="22"/>
          <w:lang w:bidi="ar-AE"/>
        </w:rPr>
        <w:t>On Weak Narrators</w:t>
      </w:r>
      <w:r w:rsidRPr="0047384E">
        <w:rPr>
          <w:rStyle w:val="script-arabic"/>
          <w:rFonts w:ascii="Calibri" w:hAnsi="Calibri"/>
          <w:sz w:val="22"/>
          <w:szCs w:val="22"/>
        </w:rPr>
        <w:t xml:space="preserve">, ed. by </w:t>
      </w:r>
      <w:r w:rsidRPr="0047384E">
        <w:rPr>
          <w:rStyle w:val="script-arabic"/>
          <w:rFonts w:ascii="Calibri" w:hAnsi="Calibri"/>
          <w:sz w:val="22"/>
          <w:szCs w:val="22"/>
          <w:lang w:bidi="ar-AE"/>
        </w:rPr>
        <w:t>Nizami Encylopaedia of Islam (Beirut: Mu'asasat al-</w:t>
      </w:r>
      <w:r>
        <w:rPr>
          <w:rStyle w:val="script-arabic"/>
          <w:rFonts w:ascii="Calibri" w:hAnsi="Calibri"/>
          <w:sz w:val="22"/>
          <w:szCs w:val="22"/>
          <w:lang w:bidi="ar-AE"/>
        </w:rPr>
        <w:t>A'lamī lil-Maṭbū'āṭ, 1971)</w:t>
      </w:r>
    </w:p>
    <w:p w:rsidR="00DF2AA0" w:rsidRDefault="00DF2AA0" w:rsidP="00187D16">
      <w:pPr>
        <w:pStyle w:val="NormalWeb"/>
        <w:bidi/>
        <w:spacing w:before="0" w:beforeAutospacing="0" w:after="0" w:afterAutospacing="0" w:line="276" w:lineRule="auto"/>
        <w:ind w:left="450" w:hanging="450"/>
        <w:rPr>
          <w:rStyle w:val="script-arabic"/>
          <w:rFonts w:ascii="Simplified Arabic" w:hAnsi="Simplified Arabic" w:cs="Simplified Arabic" w:hint="cs"/>
          <w:sz w:val="22"/>
          <w:szCs w:val="22"/>
          <w:rtl/>
          <w:lang w:bidi="ar-AE"/>
        </w:rPr>
      </w:pPr>
      <w:r>
        <w:rPr>
          <w:rStyle w:val="script-arabic"/>
          <w:rFonts w:ascii="Simplified Arabic" w:hAnsi="Simplified Arabic" w:cs="Simplified Arabic" w:hint="cs"/>
          <w:sz w:val="22"/>
          <w:szCs w:val="22"/>
          <w:rtl/>
          <w:lang w:bidi="ar-AE"/>
        </w:rPr>
        <w:t xml:space="preserve">الأزرقي، محمد بن عبدالله، </w:t>
      </w:r>
      <w:r w:rsidRPr="00DF2AA0">
        <w:rPr>
          <w:rStyle w:val="script-arabic"/>
          <w:rFonts w:ascii="Simplified Arabic" w:hAnsi="Simplified Arabic" w:cs="Simplified Arabic" w:hint="cs"/>
          <w:b/>
          <w:bCs/>
          <w:sz w:val="22"/>
          <w:szCs w:val="22"/>
          <w:rtl/>
          <w:lang w:bidi="ar-AE"/>
        </w:rPr>
        <w:t>أخبار مكة و ما جاء فيها من الآثار</w:t>
      </w:r>
      <w:r>
        <w:rPr>
          <w:rStyle w:val="script-arabic"/>
          <w:rFonts w:ascii="Simplified Arabic" w:hAnsi="Simplified Arabic" w:cs="Simplified Arabic" w:hint="cs"/>
          <w:sz w:val="22"/>
          <w:szCs w:val="22"/>
          <w:rtl/>
          <w:lang w:bidi="ar-AE"/>
        </w:rPr>
        <w:t xml:space="preserve"> (بيروت: دار الأندلس، 1983)</w:t>
      </w:r>
    </w:p>
    <w:p w:rsidR="00187D16" w:rsidRPr="00187D16" w:rsidRDefault="00187D16" w:rsidP="00187D16">
      <w:pPr>
        <w:pStyle w:val="NormalWeb"/>
        <w:spacing w:before="0" w:beforeAutospacing="0" w:line="276" w:lineRule="auto"/>
        <w:ind w:left="450" w:hanging="450"/>
        <w:rPr>
          <w:rFonts w:ascii="Calibri" w:hAnsi="Calibri" w:cs="Simplified Arabic"/>
          <w:sz w:val="20"/>
          <w:szCs w:val="20"/>
          <w:lang w:bidi="ar-AE"/>
        </w:rPr>
      </w:pPr>
      <w:proofErr w:type="gramStart"/>
      <w:r w:rsidRPr="00187D16">
        <w:rPr>
          <w:rFonts w:ascii="Calibri" w:hAnsi="Calibri"/>
          <w:sz w:val="22"/>
          <w:szCs w:val="22"/>
        </w:rPr>
        <w:t>al-Azruqī</w:t>
      </w:r>
      <w:proofErr w:type="gramEnd"/>
      <w:r>
        <w:rPr>
          <w:rFonts w:ascii="Calibri" w:hAnsi="Calibri"/>
          <w:sz w:val="22"/>
          <w:szCs w:val="22"/>
        </w:rPr>
        <w:t>,</w:t>
      </w:r>
      <w:r w:rsidRPr="00187D16">
        <w:rPr>
          <w:rFonts w:ascii="Calibri" w:hAnsi="Calibri"/>
          <w:sz w:val="22"/>
          <w:szCs w:val="22"/>
        </w:rPr>
        <w:t xml:space="preserve"> Muḥammad bin ‘Abdulla, </w:t>
      </w:r>
      <w:r w:rsidRPr="00187D16">
        <w:rPr>
          <w:rFonts w:ascii="Calibri" w:hAnsi="Calibri"/>
          <w:i/>
          <w:iCs/>
          <w:sz w:val="22"/>
          <w:szCs w:val="22"/>
        </w:rPr>
        <w:t>Akhbār Makkah W Ma Jā’ Fīha Min Al-Āthār Or the History of Makkah</w:t>
      </w:r>
      <w:r w:rsidRPr="00187D16">
        <w:rPr>
          <w:rFonts w:ascii="Calibri" w:hAnsi="Calibri"/>
          <w:sz w:val="22"/>
          <w:szCs w:val="22"/>
        </w:rPr>
        <w:t xml:space="preserve"> (Beirut: Dār al-Andalus, 1983</w:t>
      </w:r>
      <w:r>
        <w:rPr>
          <w:rFonts w:ascii="Calibri" w:hAnsi="Calibri"/>
          <w:sz w:val="22"/>
          <w:szCs w:val="22"/>
        </w:rPr>
        <w:t>)</w:t>
      </w:r>
    </w:p>
    <w:p w:rsidR="00781306" w:rsidRPr="00BE0393" w:rsidRDefault="00781306" w:rsidP="00781306">
      <w:pPr>
        <w:pStyle w:val="NormalWeb"/>
        <w:bidi/>
        <w:spacing w:before="0" w:beforeAutospacing="0" w:after="0" w:afterAutospacing="0"/>
        <w:ind w:left="454" w:hanging="454"/>
        <w:rPr>
          <w:rFonts w:ascii="Simplified Arabic" w:hAnsi="Simplified Arabic" w:cs="Simplified Arabic"/>
          <w:rtl/>
          <w:lang w:bidi="ar-AE"/>
        </w:rPr>
      </w:pPr>
      <w:r>
        <w:rPr>
          <w:rFonts w:ascii="Simplified Arabic" w:hAnsi="Simplified Arabic" w:cs="Simplified Arabic" w:hint="cs"/>
          <w:sz w:val="22"/>
          <w:szCs w:val="22"/>
          <w:rtl/>
          <w:lang w:bidi="ar-AE"/>
        </w:rPr>
        <w:t xml:space="preserve">البرزنجي، </w:t>
      </w:r>
      <w:r w:rsidRPr="00BE0393">
        <w:rPr>
          <w:rFonts w:ascii="Simplified Arabic" w:hAnsi="Simplified Arabic" w:cs="Simplified Arabic"/>
          <w:sz w:val="22"/>
          <w:szCs w:val="22"/>
          <w:rtl/>
          <w:lang w:bidi="ar-AE"/>
        </w:rPr>
        <w:t>مح</w:t>
      </w:r>
      <w:r>
        <w:rPr>
          <w:rFonts w:ascii="Simplified Arabic" w:hAnsi="Simplified Arabic" w:cs="Simplified Arabic"/>
          <w:sz w:val="22"/>
          <w:szCs w:val="22"/>
          <w:rtl/>
          <w:lang w:bidi="ar-AE"/>
        </w:rPr>
        <w:t>مد بن عبدالرسول الحسيني</w:t>
      </w:r>
      <w:r w:rsidRPr="00BE0393">
        <w:rPr>
          <w:rFonts w:ascii="Simplified Arabic" w:hAnsi="Simplified Arabic" w:cs="Simplified Arabic"/>
          <w:sz w:val="22"/>
          <w:szCs w:val="22"/>
          <w:rtl/>
          <w:lang w:bidi="ar-AE"/>
        </w:rPr>
        <w:t xml:space="preserve">، </w:t>
      </w:r>
      <w:r w:rsidRPr="00BE0393">
        <w:rPr>
          <w:rFonts w:ascii="Simplified Arabic" w:hAnsi="Simplified Arabic" w:cs="Simplified Arabic"/>
          <w:b/>
          <w:bCs/>
          <w:sz w:val="22"/>
          <w:szCs w:val="22"/>
          <w:rtl/>
          <w:lang w:bidi="ar-AE"/>
        </w:rPr>
        <w:t>كتاب</w:t>
      </w:r>
      <w:r w:rsidRPr="00BE0393">
        <w:rPr>
          <w:rFonts w:ascii="Simplified Arabic" w:hAnsi="Simplified Arabic" w:cs="Simplified Arabic"/>
          <w:sz w:val="22"/>
          <w:szCs w:val="22"/>
          <w:rtl/>
          <w:lang w:bidi="ar-AE"/>
        </w:rPr>
        <w:t xml:space="preserve"> </w:t>
      </w:r>
      <w:r w:rsidRPr="00BE0393">
        <w:rPr>
          <w:rFonts w:ascii="Simplified Arabic" w:hAnsi="Simplified Arabic" w:cs="Simplified Arabic"/>
          <w:b/>
          <w:bCs/>
          <w:sz w:val="22"/>
          <w:szCs w:val="22"/>
          <w:rtl/>
          <w:lang w:bidi="ar-AE"/>
        </w:rPr>
        <w:t xml:space="preserve">الإشاعة لأشراط الساعة، </w:t>
      </w:r>
      <w:r w:rsidRPr="00BE0393">
        <w:rPr>
          <w:rFonts w:ascii="Simplified Arabic" w:hAnsi="Simplified Arabic" w:cs="Simplified Arabic"/>
          <w:sz w:val="22"/>
          <w:szCs w:val="22"/>
          <w:rtl/>
          <w:lang w:bidi="ar-AE"/>
        </w:rPr>
        <w:t xml:space="preserve">تحقيق موفق فوزي الجبر (دمشق: دار النمير للطباعة والنشر والتوزيع، 1995) </w:t>
      </w:r>
    </w:p>
    <w:p w:rsidR="00781306" w:rsidRDefault="00781306" w:rsidP="00921358">
      <w:pPr>
        <w:pStyle w:val="NormalWeb"/>
        <w:spacing w:before="0" w:beforeAutospacing="0" w:line="276" w:lineRule="auto"/>
        <w:ind w:left="450" w:hanging="450"/>
        <w:rPr>
          <w:rFonts w:ascii="Calibri" w:hAnsi="Calibri" w:hint="cs"/>
          <w:sz w:val="22"/>
          <w:szCs w:val="22"/>
          <w:rtl/>
        </w:rPr>
      </w:pPr>
      <w:proofErr w:type="gramStart"/>
      <w:r w:rsidRPr="00AA193E">
        <w:rPr>
          <w:rFonts w:ascii="Calibri" w:hAnsi="Calibri"/>
          <w:sz w:val="22"/>
          <w:szCs w:val="22"/>
        </w:rPr>
        <w:t>al-Barzinjī</w:t>
      </w:r>
      <w:proofErr w:type="gramEnd"/>
      <w:r w:rsidRPr="00AA193E">
        <w:rPr>
          <w:rFonts w:ascii="Calibri" w:hAnsi="Calibri"/>
          <w:sz w:val="22"/>
          <w:szCs w:val="22"/>
        </w:rPr>
        <w:t xml:space="preserve">, Muḥammad b. ‘Abd al-Rasūl al-Ḥussaīnī, </w:t>
      </w:r>
      <w:r w:rsidRPr="00AA193E">
        <w:rPr>
          <w:rFonts w:ascii="Calibri" w:hAnsi="Calibri"/>
          <w:i/>
          <w:iCs/>
          <w:sz w:val="22"/>
          <w:szCs w:val="22"/>
        </w:rPr>
        <w:t>The Book of the Word on Last Day Portents</w:t>
      </w:r>
      <w:r>
        <w:rPr>
          <w:rFonts w:ascii="Calibri" w:hAnsi="Calibri"/>
          <w:i/>
          <w:iCs/>
          <w:sz w:val="22"/>
          <w:szCs w:val="22"/>
        </w:rPr>
        <w:t xml:space="preserve">, </w:t>
      </w:r>
      <w:r w:rsidRPr="00BE0393">
        <w:rPr>
          <w:rFonts w:ascii="Calibri" w:hAnsi="Calibri"/>
          <w:sz w:val="22"/>
          <w:szCs w:val="22"/>
          <w:lang w:bidi="ar-AE"/>
        </w:rPr>
        <w:t>ed. by Muwafaq Fawzī al-Jaber</w:t>
      </w:r>
      <w:r w:rsidRPr="00BE0393">
        <w:rPr>
          <w:rFonts w:ascii="Calibri" w:hAnsi="Calibri"/>
        </w:rPr>
        <w:t xml:space="preserve"> </w:t>
      </w:r>
      <w:r w:rsidRPr="00AA193E">
        <w:rPr>
          <w:rFonts w:ascii="Calibri" w:hAnsi="Calibri"/>
          <w:sz w:val="22"/>
          <w:szCs w:val="22"/>
        </w:rPr>
        <w:t xml:space="preserve">(Damascus: Dār al-Numaīr lil-Tibā’ah wal-Nashr wal-Tawzī’, 1995) </w:t>
      </w:r>
    </w:p>
    <w:p w:rsidR="00F91BAF" w:rsidRPr="00F91BAF" w:rsidRDefault="00F91BAF" w:rsidP="00F91BAF">
      <w:pPr>
        <w:pStyle w:val="FootnoteText"/>
        <w:bidi/>
        <w:ind w:left="454" w:hanging="454"/>
        <w:rPr>
          <w:rFonts w:ascii="Simplified Arabic" w:hAnsi="Simplified Arabic" w:cs="Simplified Arabic"/>
          <w:sz w:val="22"/>
          <w:szCs w:val="22"/>
          <w:rtl/>
          <w:lang w:bidi="ar-AE"/>
        </w:rPr>
      </w:pPr>
      <w:r>
        <w:rPr>
          <w:rFonts w:ascii="Simplified Arabic" w:hAnsi="Simplified Arabic" w:cs="Simplified Arabic" w:hint="cs"/>
          <w:sz w:val="22"/>
          <w:szCs w:val="22"/>
          <w:rtl/>
          <w:lang w:bidi="ar-AE"/>
        </w:rPr>
        <w:t xml:space="preserve">البغوي، </w:t>
      </w:r>
      <w:r w:rsidRPr="00F91BAF">
        <w:rPr>
          <w:rFonts w:ascii="Simplified Arabic" w:hAnsi="Simplified Arabic" w:cs="Simplified Arabic"/>
          <w:sz w:val="22"/>
          <w:szCs w:val="22"/>
          <w:rtl/>
          <w:lang w:bidi="ar-AE"/>
        </w:rPr>
        <w:t xml:space="preserve">الحسين بن مسعود بن محمد بن الفراء، </w:t>
      </w:r>
      <w:r w:rsidRPr="00F91BAF">
        <w:rPr>
          <w:rFonts w:ascii="Simplified Arabic" w:hAnsi="Simplified Arabic" w:cs="Simplified Arabic"/>
          <w:b/>
          <w:bCs/>
          <w:sz w:val="22"/>
          <w:szCs w:val="22"/>
          <w:rtl/>
          <w:lang w:bidi="ar-AE"/>
        </w:rPr>
        <w:t>معالم التنزيل في تفسير القرآن أو تفسير البغوي</w:t>
      </w:r>
      <w:r w:rsidRPr="00F91BAF">
        <w:rPr>
          <w:rFonts w:ascii="Simplified Arabic" w:hAnsi="Simplified Arabic" w:cs="Simplified Arabic"/>
          <w:sz w:val="22"/>
          <w:szCs w:val="22"/>
          <w:rtl/>
          <w:lang w:bidi="ar-AE"/>
        </w:rPr>
        <w:t>، تحقيق عبدالرازق المهدي (بيروت: دا</w:t>
      </w:r>
      <w:r>
        <w:rPr>
          <w:rFonts w:ascii="Simplified Arabic" w:hAnsi="Simplified Arabic" w:cs="Simplified Arabic"/>
          <w:sz w:val="22"/>
          <w:szCs w:val="22"/>
          <w:rtl/>
          <w:lang w:bidi="ar-AE"/>
        </w:rPr>
        <w:t>ر إحياء التراث العربي، 1420 هـ)</w:t>
      </w:r>
    </w:p>
    <w:p w:rsidR="00F91BAF" w:rsidRPr="00F91BAF" w:rsidRDefault="00F91BAF" w:rsidP="00F91BAF">
      <w:pPr>
        <w:pStyle w:val="NormalWeb"/>
        <w:spacing w:before="0" w:beforeAutospacing="0" w:line="276" w:lineRule="auto"/>
        <w:ind w:left="450" w:hanging="450"/>
        <w:rPr>
          <w:rFonts w:ascii="Calibri" w:hAnsi="Calibri"/>
          <w:sz w:val="20"/>
          <w:szCs w:val="20"/>
          <w:rtl/>
        </w:rPr>
      </w:pPr>
      <w:proofErr w:type="gramStart"/>
      <w:r w:rsidRPr="00F91BAF">
        <w:rPr>
          <w:rFonts w:ascii="Calibri" w:hAnsi="Calibri"/>
          <w:sz w:val="22"/>
          <w:szCs w:val="22"/>
        </w:rPr>
        <w:t>al-Baghawī</w:t>
      </w:r>
      <w:proofErr w:type="gramEnd"/>
      <w:r w:rsidRPr="00F91BAF">
        <w:rPr>
          <w:rFonts w:ascii="Calibri" w:hAnsi="Calibri"/>
          <w:sz w:val="22"/>
          <w:szCs w:val="22"/>
        </w:rPr>
        <w:t>, al-Ḥussaīn b. Mas'ūd b. Muḥammad b.</w:t>
      </w:r>
      <w:r w:rsidRPr="00F91BAF">
        <w:rPr>
          <w:rFonts w:ascii="Calibri" w:hAnsi="Calibri"/>
          <w:sz w:val="22"/>
          <w:szCs w:val="22"/>
          <w:rtl/>
        </w:rPr>
        <w:t xml:space="preserve"> </w:t>
      </w:r>
      <w:r w:rsidRPr="00F91BAF">
        <w:rPr>
          <w:rFonts w:ascii="Calibri" w:hAnsi="Calibri"/>
          <w:sz w:val="22"/>
          <w:szCs w:val="22"/>
        </w:rPr>
        <w:t>al-Farrā'</w:t>
      </w:r>
      <w:r>
        <w:rPr>
          <w:rFonts w:ascii="Calibri" w:hAnsi="Calibri"/>
          <w:sz w:val="22"/>
          <w:szCs w:val="22"/>
        </w:rPr>
        <w:t>,</w:t>
      </w:r>
      <w:r w:rsidRPr="00F91BAF">
        <w:rPr>
          <w:rFonts w:ascii="Calibri" w:hAnsi="Calibri"/>
          <w:sz w:val="22"/>
          <w:szCs w:val="22"/>
        </w:rPr>
        <w:t xml:space="preserve"> </w:t>
      </w:r>
      <w:r w:rsidRPr="00F91BAF">
        <w:rPr>
          <w:rFonts w:ascii="Calibri" w:hAnsi="Calibri"/>
          <w:i/>
          <w:iCs/>
          <w:sz w:val="22"/>
          <w:szCs w:val="22"/>
        </w:rPr>
        <w:t xml:space="preserve">Ma'ālim al-Tanzīl fi Tafsīr al-Qur'ān or </w:t>
      </w:r>
      <w:r w:rsidRPr="00F91BAF">
        <w:rPr>
          <w:rFonts w:ascii="Calibri" w:hAnsi="Calibri"/>
          <w:i/>
          <w:iCs/>
          <w:sz w:val="22"/>
          <w:szCs w:val="22"/>
          <w:lang w:bidi="ar-AE"/>
        </w:rPr>
        <w:t>Signs of the Revelation in Qurānic Interpretation or The Commentary of al-Baghawī</w:t>
      </w:r>
      <w:r w:rsidRPr="00F91BAF">
        <w:rPr>
          <w:rFonts w:ascii="Calibri" w:hAnsi="Calibri"/>
          <w:sz w:val="22"/>
          <w:szCs w:val="22"/>
          <w:lang w:bidi="ar-AE"/>
        </w:rPr>
        <w:t>, ed. by Abdulrāziq al-Mahdī (Beirut: Dār Iḥyā' al-Turāth al-'Arabī, 1420 AH)</w:t>
      </w:r>
    </w:p>
    <w:p w:rsidR="00781306" w:rsidRPr="003F0913" w:rsidRDefault="00781306" w:rsidP="00781306">
      <w:pPr>
        <w:autoSpaceDE/>
        <w:autoSpaceDN/>
        <w:bidi/>
        <w:adjustRightInd/>
        <w:spacing w:line="240" w:lineRule="auto"/>
        <w:rPr>
          <w:rFonts w:ascii="Simplified Arabic" w:hAnsi="Simplified Arabic" w:cs="Simplified Arabic"/>
          <w:rtl/>
          <w:lang w:bidi="ar-AE"/>
        </w:rPr>
      </w:pPr>
      <w:r w:rsidRPr="003F0913">
        <w:rPr>
          <w:rFonts w:ascii="Simplified Arabic" w:hAnsi="Simplified Arabic" w:cs="Simplified Arabic"/>
          <w:rtl/>
        </w:rPr>
        <w:t>الداوودي، شمس الدين محمد بن علي</w:t>
      </w:r>
      <w:r>
        <w:rPr>
          <w:rFonts w:ascii="Simplified Arabic" w:hAnsi="Simplified Arabic" w:cs="Simplified Arabic" w:hint="cs"/>
          <w:rtl/>
          <w:lang w:bidi="ar-AE"/>
        </w:rPr>
        <w:t>،</w:t>
      </w:r>
      <w:r w:rsidRPr="003F0913">
        <w:rPr>
          <w:rFonts w:ascii="Simplified Arabic" w:hAnsi="Simplified Arabic" w:cs="Simplified Arabic"/>
          <w:rtl/>
        </w:rPr>
        <w:t xml:space="preserve"> </w:t>
      </w:r>
      <w:r w:rsidRPr="003F0913">
        <w:rPr>
          <w:rFonts w:ascii="Simplified Arabic" w:hAnsi="Simplified Arabic" w:cs="Simplified Arabic"/>
          <w:b/>
          <w:bCs/>
          <w:rtl/>
        </w:rPr>
        <w:t xml:space="preserve">طبقات المفسرين للداوودي </w:t>
      </w:r>
      <w:r w:rsidRPr="003F0913">
        <w:rPr>
          <w:rFonts w:ascii="Simplified Arabic" w:hAnsi="Simplified Arabic" w:cs="Simplified Arabic"/>
          <w:rtl/>
        </w:rPr>
        <w:t>(بيروت: دار الكتب العلمية ، 1983)</w:t>
      </w:r>
    </w:p>
    <w:p w:rsidR="00781306" w:rsidRPr="003F0913" w:rsidRDefault="00781306" w:rsidP="00781306">
      <w:pPr>
        <w:tabs>
          <w:tab w:val="left" w:pos="8640"/>
        </w:tabs>
        <w:ind w:left="426" w:right="630" w:hanging="426"/>
      </w:pPr>
      <w:proofErr w:type="gramStart"/>
      <w:r w:rsidRPr="003F0913">
        <w:t>al-Dāwūdī</w:t>
      </w:r>
      <w:proofErr w:type="gramEnd"/>
      <w:r w:rsidRPr="003F0913">
        <w:t>, Shams al-Dīn Muḥammad b. 'Alī</w:t>
      </w:r>
      <w:r>
        <w:t>,</w:t>
      </w:r>
      <w:r w:rsidRPr="003F0913">
        <w:t xml:space="preserve"> </w:t>
      </w:r>
      <w:r w:rsidRPr="003F0913">
        <w:rPr>
          <w:i/>
          <w:iCs/>
        </w:rPr>
        <w:t>Ṭabaqāt al-Mufassirīn lil-Dāwūdī Or The Ranks of Commentators by al-Dāwūdī</w:t>
      </w:r>
      <w:r w:rsidRPr="003F0913">
        <w:t xml:space="preserve"> (Beirūt: Dā</w:t>
      </w:r>
      <w:r>
        <w:t>r al-Kotob al-'Ilmīyyah, 1983)</w:t>
      </w:r>
    </w:p>
    <w:p w:rsidR="00781306" w:rsidRPr="003F0913" w:rsidRDefault="00781306" w:rsidP="00781306">
      <w:pPr>
        <w:tabs>
          <w:tab w:val="left" w:pos="8640"/>
        </w:tabs>
        <w:spacing w:line="240" w:lineRule="auto"/>
        <w:ind w:right="630"/>
        <w:rPr>
          <w:sz w:val="20"/>
          <w:szCs w:val="20"/>
        </w:rPr>
      </w:pPr>
    </w:p>
    <w:p w:rsidR="00781306" w:rsidRPr="006D1C01" w:rsidRDefault="00781306" w:rsidP="00781306">
      <w:pPr>
        <w:pStyle w:val="FootnoteText"/>
        <w:bidi/>
        <w:rPr>
          <w:rFonts w:ascii="Simplified Arabic" w:hAnsi="Simplified Arabic" w:cs="Simplified Arabic"/>
          <w:sz w:val="22"/>
          <w:szCs w:val="22"/>
        </w:rPr>
      </w:pPr>
      <w:r>
        <w:rPr>
          <w:rFonts w:ascii="Simplified Arabic" w:hAnsi="Simplified Arabic" w:cs="Simplified Arabic" w:hint="cs"/>
          <w:sz w:val="22"/>
          <w:szCs w:val="22"/>
          <w:rtl/>
          <w:lang w:bidi="ar-AE"/>
        </w:rPr>
        <w:t xml:space="preserve">الغزالي، </w:t>
      </w:r>
      <w:r>
        <w:rPr>
          <w:rFonts w:ascii="Simplified Arabic" w:hAnsi="Simplified Arabic" w:cs="Simplified Arabic"/>
          <w:sz w:val="22"/>
          <w:szCs w:val="22"/>
          <w:rtl/>
          <w:lang w:bidi="ar-AE"/>
        </w:rPr>
        <w:t>أبوحامد</w:t>
      </w:r>
      <w:r w:rsidRPr="006D1C01">
        <w:rPr>
          <w:rFonts w:ascii="Simplified Arabic" w:hAnsi="Simplified Arabic" w:cs="Simplified Arabic"/>
          <w:sz w:val="22"/>
          <w:szCs w:val="22"/>
          <w:rtl/>
          <w:lang w:bidi="ar-AE"/>
        </w:rPr>
        <w:t xml:space="preserve">، </w:t>
      </w:r>
      <w:r w:rsidRPr="006D1C01">
        <w:rPr>
          <w:rFonts w:ascii="Simplified Arabic" w:hAnsi="Simplified Arabic" w:cs="Simplified Arabic"/>
          <w:b/>
          <w:bCs/>
          <w:sz w:val="22"/>
          <w:szCs w:val="22"/>
          <w:rtl/>
          <w:lang w:bidi="ar-AE"/>
        </w:rPr>
        <w:t>المنقذ من الضلال</w:t>
      </w:r>
      <w:r w:rsidRPr="006D1C01">
        <w:rPr>
          <w:rFonts w:ascii="Simplified Arabic" w:hAnsi="Simplified Arabic" w:cs="Simplified Arabic"/>
          <w:sz w:val="22"/>
          <w:szCs w:val="22"/>
          <w:rtl/>
          <w:lang w:bidi="ar-AE"/>
        </w:rPr>
        <w:t xml:space="preserve">، تحقيق جميل صليبا و كمال عياد (بيروت: دار الأندلس، 1967) </w:t>
      </w:r>
    </w:p>
    <w:p w:rsidR="00781306" w:rsidRPr="00664106" w:rsidRDefault="00781306" w:rsidP="00781306">
      <w:pPr>
        <w:pStyle w:val="FootnoteText"/>
        <w:ind w:left="426" w:hanging="426"/>
        <w:rPr>
          <w:sz w:val="22"/>
          <w:szCs w:val="22"/>
        </w:rPr>
      </w:pPr>
      <w:r w:rsidRPr="00664106">
        <w:rPr>
          <w:sz w:val="22"/>
          <w:szCs w:val="22"/>
        </w:rPr>
        <w:t xml:space="preserve">al-Ghazālī, Abū </w:t>
      </w:r>
      <w:r w:rsidRPr="00664106">
        <w:rPr>
          <w:rFonts w:cs="Arial"/>
          <w:sz w:val="22"/>
          <w:szCs w:val="22"/>
        </w:rPr>
        <w:t>Ḥ</w:t>
      </w:r>
      <w:r w:rsidRPr="00664106">
        <w:rPr>
          <w:sz w:val="22"/>
          <w:szCs w:val="22"/>
        </w:rPr>
        <w:t xml:space="preserve">āmid, </w:t>
      </w:r>
      <w:r w:rsidRPr="00664106">
        <w:rPr>
          <w:i/>
          <w:sz w:val="22"/>
          <w:szCs w:val="22"/>
        </w:rPr>
        <w:t>Al-Munqith Min Al-</w:t>
      </w:r>
      <w:r w:rsidRPr="00664106">
        <w:rPr>
          <w:rFonts w:cs="Arial"/>
          <w:i/>
          <w:sz w:val="22"/>
          <w:szCs w:val="22"/>
        </w:rPr>
        <w:t>Ḍ</w:t>
      </w:r>
      <w:r w:rsidRPr="00664106">
        <w:rPr>
          <w:i/>
          <w:sz w:val="22"/>
          <w:szCs w:val="22"/>
        </w:rPr>
        <w:t>alāl Or Deliverance from Error</w:t>
      </w:r>
      <w:r w:rsidRPr="00664106">
        <w:rPr>
          <w:sz w:val="22"/>
          <w:szCs w:val="22"/>
        </w:rPr>
        <w:t>, ed. by Jamil Saliba and Kamil Ayyad (Beirut: Dār al-Andalus, 1967)</w:t>
      </w:r>
    </w:p>
    <w:p w:rsidR="00781306" w:rsidRDefault="00781306" w:rsidP="00781306">
      <w:pPr>
        <w:pStyle w:val="FootnoteText"/>
        <w:ind w:left="426" w:hanging="426"/>
        <w:rPr>
          <w:rtl/>
        </w:rPr>
      </w:pPr>
    </w:p>
    <w:p w:rsidR="00781306" w:rsidRPr="006D1C01" w:rsidRDefault="00781306" w:rsidP="00781306">
      <w:pPr>
        <w:pStyle w:val="FootnoteText"/>
        <w:bidi/>
        <w:rPr>
          <w:rFonts w:ascii="Simplified Arabic" w:hAnsi="Simplified Arabic" w:cs="Simplified Arabic"/>
          <w:sz w:val="22"/>
          <w:szCs w:val="22"/>
          <w:rtl/>
          <w:lang w:bidi="ar-AE"/>
        </w:rPr>
      </w:pPr>
      <w:r>
        <w:rPr>
          <w:rFonts w:ascii="Simplified Arabic" w:hAnsi="Simplified Arabic" w:cs="Simplified Arabic" w:hint="cs"/>
          <w:sz w:val="22"/>
          <w:szCs w:val="22"/>
          <w:rtl/>
        </w:rPr>
        <w:t xml:space="preserve">--- </w:t>
      </w:r>
      <w:r w:rsidRPr="006D1C01">
        <w:rPr>
          <w:rFonts w:ascii="Simplified Arabic" w:hAnsi="Simplified Arabic" w:cs="Simplified Arabic"/>
          <w:b/>
          <w:bCs/>
          <w:sz w:val="22"/>
          <w:szCs w:val="22"/>
          <w:rtl/>
          <w:lang w:bidi="ar-AE"/>
        </w:rPr>
        <w:t>إحياء علوم الدين</w:t>
      </w:r>
      <w:r w:rsidRPr="006D1C01">
        <w:rPr>
          <w:rFonts w:ascii="Simplified Arabic" w:hAnsi="Simplified Arabic" w:cs="Simplified Arabic"/>
          <w:sz w:val="22"/>
          <w:szCs w:val="22"/>
          <w:rtl/>
          <w:lang w:bidi="ar-AE"/>
        </w:rPr>
        <w:t xml:space="preserve">، تحقيق محمد الدالي بلطة (بيروت: المكتبة العصرية، 2015) </w:t>
      </w:r>
    </w:p>
    <w:p w:rsidR="00781306" w:rsidRDefault="00781306" w:rsidP="00781306">
      <w:pPr>
        <w:pStyle w:val="FootnoteText"/>
        <w:ind w:left="426" w:hanging="426"/>
        <w:rPr>
          <w:sz w:val="22"/>
          <w:szCs w:val="22"/>
        </w:rPr>
      </w:pPr>
      <w:r w:rsidRPr="006D1C01">
        <w:rPr>
          <w:sz w:val="22"/>
          <w:szCs w:val="22"/>
        </w:rPr>
        <w:t>---</w:t>
      </w:r>
      <w:r w:rsidRPr="006D1C01">
        <w:rPr>
          <w:i/>
          <w:sz w:val="22"/>
          <w:szCs w:val="22"/>
        </w:rPr>
        <w:t xml:space="preserve">'Iḥyā' 'Ulūm al-Dīn </w:t>
      </w:r>
      <w:proofErr w:type="gramStart"/>
      <w:r w:rsidRPr="006D1C01">
        <w:rPr>
          <w:i/>
          <w:sz w:val="22"/>
          <w:szCs w:val="22"/>
        </w:rPr>
        <w:t>Or</w:t>
      </w:r>
      <w:proofErr w:type="gramEnd"/>
      <w:r w:rsidRPr="006D1C01">
        <w:rPr>
          <w:i/>
          <w:sz w:val="22"/>
          <w:szCs w:val="22"/>
        </w:rPr>
        <w:t xml:space="preserve"> Revival of the Religious Science</w:t>
      </w:r>
      <w:r w:rsidRPr="006D1C01">
        <w:rPr>
          <w:sz w:val="22"/>
          <w:szCs w:val="22"/>
        </w:rPr>
        <w:t>, ed. by Muhammad al-Dali Balta (Beirut: al-Maktaba al-'Aṣrīyya</w:t>
      </w:r>
      <w:r>
        <w:rPr>
          <w:sz w:val="22"/>
          <w:szCs w:val="22"/>
        </w:rPr>
        <w:t>, 2015)</w:t>
      </w:r>
    </w:p>
    <w:p w:rsidR="00781306" w:rsidRDefault="00781306" w:rsidP="00781306">
      <w:pPr>
        <w:pStyle w:val="FootnoteText"/>
        <w:ind w:left="426" w:hanging="426"/>
        <w:rPr>
          <w:sz w:val="22"/>
          <w:szCs w:val="22"/>
        </w:rPr>
      </w:pPr>
    </w:p>
    <w:p w:rsidR="00781306" w:rsidRPr="006D1C01" w:rsidRDefault="00781306" w:rsidP="00781306">
      <w:pPr>
        <w:pStyle w:val="FootnoteText"/>
        <w:bidi/>
        <w:rPr>
          <w:rFonts w:ascii="Simplified Arabic" w:hAnsi="Simplified Arabic" w:cs="Simplified Arabic"/>
          <w:sz w:val="22"/>
          <w:szCs w:val="22"/>
          <w:rtl/>
          <w:lang w:bidi="ar-AE"/>
        </w:rPr>
      </w:pPr>
      <w:r>
        <w:rPr>
          <w:rFonts w:ascii="Simplified Arabic" w:hAnsi="Simplified Arabic" w:cs="Simplified Arabic" w:hint="cs"/>
          <w:sz w:val="22"/>
          <w:szCs w:val="22"/>
          <w:rtl/>
          <w:lang w:bidi="ar-AE"/>
        </w:rPr>
        <w:lastRenderedPageBreak/>
        <w:t>---</w:t>
      </w:r>
      <w:r w:rsidRPr="006D1C01">
        <w:rPr>
          <w:rFonts w:ascii="Simplified Arabic" w:hAnsi="Simplified Arabic" w:cs="Simplified Arabic"/>
          <w:sz w:val="22"/>
          <w:szCs w:val="22"/>
          <w:rtl/>
          <w:lang w:bidi="ar-AE"/>
        </w:rPr>
        <w:t xml:space="preserve"> </w:t>
      </w:r>
      <w:r w:rsidRPr="006D1C01">
        <w:rPr>
          <w:rFonts w:ascii="Simplified Arabic" w:hAnsi="Simplified Arabic" w:cs="Simplified Arabic"/>
          <w:b/>
          <w:bCs/>
          <w:sz w:val="22"/>
          <w:szCs w:val="22"/>
          <w:rtl/>
          <w:lang w:bidi="ar-AE"/>
        </w:rPr>
        <w:t>تهافت الفلاسفة</w:t>
      </w:r>
      <w:r w:rsidRPr="006D1C01">
        <w:rPr>
          <w:rFonts w:ascii="Simplified Arabic" w:hAnsi="Simplified Arabic" w:cs="Simplified Arabic"/>
          <w:sz w:val="22"/>
          <w:szCs w:val="22"/>
          <w:rtl/>
          <w:lang w:bidi="ar-AE"/>
        </w:rPr>
        <w:t xml:space="preserve">، تحقيق سليمان دنيا (القاهرة: دار المعارف، 1972) </w:t>
      </w:r>
    </w:p>
    <w:p w:rsidR="00781306" w:rsidRDefault="00781306" w:rsidP="00781306">
      <w:pPr>
        <w:pStyle w:val="FootnoteText"/>
        <w:ind w:left="426" w:hanging="426"/>
        <w:rPr>
          <w:sz w:val="22"/>
          <w:szCs w:val="22"/>
          <w:rtl/>
        </w:rPr>
      </w:pPr>
      <w:proofErr w:type="gramStart"/>
      <w:r w:rsidRPr="00664106">
        <w:rPr>
          <w:iCs/>
          <w:sz w:val="22"/>
          <w:szCs w:val="22"/>
        </w:rPr>
        <w:t>---</w:t>
      </w:r>
      <w:r w:rsidRPr="00664106">
        <w:rPr>
          <w:i/>
          <w:sz w:val="22"/>
          <w:szCs w:val="22"/>
        </w:rPr>
        <w:t>Tahāfut Al-Falāsifah Or The Incoherence</w:t>
      </w:r>
      <w:proofErr w:type="gramEnd"/>
      <w:r w:rsidRPr="00664106">
        <w:rPr>
          <w:i/>
          <w:sz w:val="22"/>
          <w:szCs w:val="22"/>
        </w:rPr>
        <w:t xml:space="preserve"> of the Philosophers</w:t>
      </w:r>
      <w:r w:rsidRPr="00664106">
        <w:rPr>
          <w:sz w:val="22"/>
          <w:szCs w:val="22"/>
        </w:rPr>
        <w:t>, ed. by Sulayman Dunya (Cairo: Dār al-Ma’ārif, 1972)</w:t>
      </w:r>
    </w:p>
    <w:p w:rsidR="00781306" w:rsidRDefault="00781306" w:rsidP="00781306">
      <w:pPr>
        <w:pStyle w:val="FootnoteText"/>
        <w:rPr>
          <w:sz w:val="22"/>
          <w:szCs w:val="22"/>
        </w:rPr>
      </w:pPr>
    </w:p>
    <w:p w:rsidR="00781306" w:rsidRPr="006950C1" w:rsidRDefault="00781306" w:rsidP="00781306">
      <w:pPr>
        <w:pStyle w:val="FootnoteText"/>
        <w:bidi/>
        <w:rPr>
          <w:rFonts w:ascii="Simplified Arabic" w:hAnsi="Simplified Arabic" w:cs="Simplified Arabic"/>
          <w:sz w:val="22"/>
          <w:szCs w:val="22"/>
        </w:rPr>
      </w:pPr>
      <w:r w:rsidRPr="006950C1">
        <w:rPr>
          <w:rFonts w:ascii="Simplified Arabic" w:hAnsi="Simplified Arabic" w:cs="Simplified Arabic"/>
          <w:sz w:val="22"/>
          <w:szCs w:val="22"/>
          <w:rtl/>
          <w:lang w:bidi="ar-AE"/>
        </w:rPr>
        <w:t xml:space="preserve">المروزي، </w:t>
      </w:r>
      <w:r w:rsidRPr="006950C1">
        <w:rPr>
          <w:rFonts w:ascii="Simplified Arabic" w:hAnsi="Simplified Arabic" w:cs="Simplified Arabic"/>
          <w:sz w:val="22"/>
          <w:szCs w:val="22"/>
          <w:rtl/>
        </w:rPr>
        <w:t xml:space="preserve">نعيم بن حماد، </w:t>
      </w:r>
      <w:r w:rsidRPr="006950C1">
        <w:rPr>
          <w:rFonts w:ascii="Simplified Arabic" w:hAnsi="Simplified Arabic" w:cs="Simplified Arabic"/>
          <w:b/>
          <w:bCs/>
          <w:sz w:val="22"/>
          <w:szCs w:val="22"/>
          <w:rtl/>
        </w:rPr>
        <w:t>كتاب الفتن</w:t>
      </w:r>
      <w:r w:rsidRPr="006950C1">
        <w:rPr>
          <w:rFonts w:ascii="Simplified Arabic" w:hAnsi="Simplified Arabic" w:cs="Simplified Arabic"/>
          <w:sz w:val="22"/>
          <w:szCs w:val="22"/>
          <w:rtl/>
        </w:rPr>
        <w:t>، تحقيق سمير أمين الزهيري (القاهرة: مكتبة التوحيد، 1412 هجرية)</w:t>
      </w:r>
    </w:p>
    <w:p w:rsidR="00781306" w:rsidRDefault="00781306" w:rsidP="00781306">
      <w:pPr>
        <w:pStyle w:val="FootnoteText"/>
        <w:spacing w:line="276" w:lineRule="auto"/>
        <w:ind w:left="426" w:hanging="426"/>
        <w:rPr>
          <w:sz w:val="22"/>
          <w:szCs w:val="22"/>
          <w:lang w:bidi="ar-AE"/>
        </w:rPr>
      </w:pPr>
      <w:proofErr w:type="gramStart"/>
      <w:r w:rsidRPr="006950C1">
        <w:rPr>
          <w:sz w:val="22"/>
          <w:szCs w:val="22"/>
          <w:lang w:bidi="ar-AE"/>
        </w:rPr>
        <w:t>al-Marwazī</w:t>
      </w:r>
      <w:proofErr w:type="gramEnd"/>
      <w:r w:rsidRPr="006950C1">
        <w:rPr>
          <w:i/>
          <w:iCs/>
          <w:sz w:val="22"/>
          <w:szCs w:val="22"/>
          <w:lang w:bidi="ar-AE"/>
        </w:rPr>
        <w:t xml:space="preserve">, </w:t>
      </w:r>
      <w:r w:rsidRPr="006950C1">
        <w:rPr>
          <w:sz w:val="22"/>
          <w:szCs w:val="22"/>
          <w:lang w:bidi="ar-AE"/>
        </w:rPr>
        <w:t>Na'īm b. Ḥammad</w:t>
      </w:r>
      <w:r>
        <w:rPr>
          <w:sz w:val="22"/>
          <w:szCs w:val="22"/>
          <w:lang w:bidi="ar-AE"/>
        </w:rPr>
        <w:t>,</w:t>
      </w:r>
      <w:r w:rsidRPr="006950C1">
        <w:rPr>
          <w:sz w:val="22"/>
          <w:szCs w:val="22"/>
          <w:lang w:bidi="ar-AE"/>
        </w:rPr>
        <w:t xml:space="preserve"> </w:t>
      </w:r>
      <w:r w:rsidRPr="006950C1">
        <w:rPr>
          <w:i/>
          <w:iCs/>
          <w:sz w:val="22"/>
          <w:szCs w:val="22"/>
          <w:lang w:bidi="ar-AE"/>
        </w:rPr>
        <w:t>Kitāb al-Fitan or Book of Tribulations</w:t>
      </w:r>
      <w:r w:rsidRPr="006950C1">
        <w:rPr>
          <w:sz w:val="22"/>
          <w:szCs w:val="22"/>
          <w:lang w:bidi="ar-AE"/>
        </w:rPr>
        <w:t>, ed. by Samir Amin al-Zuhairi (Cairo: Maktabat al-Tawḥ</w:t>
      </w:r>
      <w:r>
        <w:rPr>
          <w:sz w:val="22"/>
          <w:szCs w:val="22"/>
          <w:lang w:bidi="ar-AE"/>
        </w:rPr>
        <w:t>īd, 1412 hijrī)</w:t>
      </w:r>
    </w:p>
    <w:p w:rsidR="001A40D1" w:rsidRDefault="001A40D1" w:rsidP="001A40D1">
      <w:pPr>
        <w:pStyle w:val="FootnoteText"/>
        <w:bidi/>
        <w:spacing w:line="276" w:lineRule="auto"/>
        <w:ind w:left="426" w:hanging="426"/>
        <w:rPr>
          <w:rFonts w:ascii="Simplified Arabic" w:hAnsi="Simplified Arabic" w:cs="Simplified Arabic" w:hint="cs"/>
          <w:sz w:val="22"/>
          <w:szCs w:val="22"/>
          <w:rtl/>
          <w:lang w:bidi="ar-AE"/>
        </w:rPr>
      </w:pPr>
      <w:r>
        <w:rPr>
          <w:rFonts w:ascii="Simplified Arabic" w:hAnsi="Simplified Arabic" w:cs="Simplified Arabic" w:hint="cs"/>
          <w:sz w:val="22"/>
          <w:szCs w:val="22"/>
          <w:rtl/>
          <w:lang w:bidi="ar-AE"/>
        </w:rPr>
        <w:t>النيسابوري، أبو عبدالله الحاكم،</w:t>
      </w:r>
      <w:r w:rsidRPr="001A40D1">
        <w:rPr>
          <w:rFonts w:ascii="Simplified Arabic" w:hAnsi="Simplified Arabic" w:cs="Simplified Arabic" w:hint="cs"/>
          <w:b/>
          <w:bCs/>
          <w:sz w:val="22"/>
          <w:szCs w:val="22"/>
          <w:rtl/>
          <w:lang w:bidi="ar-AE"/>
        </w:rPr>
        <w:t xml:space="preserve"> المستدرك على الصحيحين</w:t>
      </w:r>
      <w:r>
        <w:rPr>
          <w:rFonts w:ascii="Simplified Arabic" w:hAnsi="Simplified Arabic" w:cs="Simplified Arabic" w:hint="cs"/>
          <w:sz w:val="22"/>
          <w:szCs w:val="22"/>
          <w:rtl/>
          <w:lang w:bidi="ar-AE"/>
        </w:rPr>
        <w:t xml:space="preserve"> (القاهرة: دار الحرمين للطباعة والنشر والتوزيع، 1997)</w:t>
      </w:r>
    </w:p>
    <w:p w:rsidR="001A40D1" w:rsidRPr="001A40D1" w:rsidRDefault="001A40D1" w:rsidP="001A40D1">
      <w:pPr>
        <w:pStyle w:val="FootnoteText"/>
        <w:spacing w:line="276" w:lineRule="auto"/>
        <w:ind w:left="426" w:hanging="426"/>
        <w:rPr>
          <w:rFonts w:cs="Simplified Arabic"/>
          <w:sz w:val="22"/>
          <w:szCs w:val="22"/>
          <w:lang w:bidi="ar-AE"/>
        </w:rPr>
      </w:pPr>
      <w:proofErr w:type="gramStart"/>
      <w:r>
        <w:rPr>
          <w:rFonts w:cs="Simplified Arabic"/>
          <w:sz w:val="22"/>
          <w:szCs w:val="22"/>
          <w:lang w:bidi="ar-AE"/>
        </w:rPr>
        <w:t>al-Naīsabūrī</w:t>
      </w:r>
      <w:proofErr w:type="gramEnd"/>
      <w:r>
        <w:rPr>
          <w:rFonts w:cs="Simplified Arabic"/>
          <w:sz w:val="22"/>
          <w:szCs w:val="22"/>
          <w:lang w:bidi="ar-AE"/>
        </w:rPr>
        <w:t xml:space="preserve">, Abū 'Abdulla al-Ḥākim, </w:t>
      </w:r>
      <w:r w:rsidRPr="00B71563">
        <w:rPr>
          <w:rFonts w:cs="Simplified Arabic"/>
          <w:i/>
          <w:iCs/>
          <w:sz w:val="22"/>
          <w:szCs w:val="22"/>
          <w:lang w:bidi="ar-AE"/>
        </w:rPr>
        <w:t>al-Mustadrak 'alā al-Ṣaḥīḥaīn or the Compilation of al-Ḥākim</w:t>
      </w:r>
      <w:r>
        <w:rPr>
          <w:rFonts w:cs="Simplified Arabic"/>
          <w:sz w:val="22"/>
          <w:szCs w:val="22"/>
          <w:lang w:bidi="ar-AE"/>
        </w:rPr>
        <w:t xml:space="preserve"> (Cairo: Dār al-Ḥaramaīn lil-Ṭibā'ah </w:t>
      </w:r>
      <w:r w:rsidR="00B71563">
        <w:rPr>
          <w:rFonts w:cs="Simplified Arabic"/>
          <w:sz w:val="22"/>
          <w:szCs w:val="22"/>
          <w:lang w:bidi="ar-AE"/>
        </w:rPr>
        <w:t>wal-Nashr wal-Tawzī', 1997)</w:t>
      </w:r>
      <w:r>
        <w:rPr>
          <w:rFonts w:cs="Simplified Arabic"/>
          <w:sz w:val="22"/>
          <w:szCs w:val="22"/>
          <w:lang w:bidi="ar-AE"/>
        </w:rPr>
        <w:t xml:space="preserve"> </w:t>
      </w:r>
    </w:p>
    <w:p w:rsidR="00781306" w:rsidRPr="002D0228" w:rsidRDefault="00781306" w:rsidP="00921358">
      <w:pPr>
        <w:pStyle w:val="FootnoteText"/>
        <w:spacing w:line="276" w:lineRule="auto"/>
        <w:rPr>
          <w:sz w:val="22"/>
          <w:szCs w:val="22"/>
          <w:lang w:bidi="ar-AE"/>
        </w:rPr>
      </w:pPr>
    </w:p>
    <w:p w:rsidR="00781306" w:rsidRPr="002D0228" w:rsidRDefault="00781306" w:rsidP="00781306">
      <w:pPr>
        <w:pStyle w:val="FootnoteText"/>
        <w:bidi/>
        <w:ind w:left="426" w:hanging="426"/>
        <w:rPr>
          <w:rFonts w:ascii="Simplified Arabic" w:hAnsi="Simplified Arabic" w:cs="Simplified Arabic"/>
          <w:iCs/>
          <w:sz w:val="24"/>
          <w:szCs w:val="24"/>
          <w:rtl/>
          <w:lang w:bidi="ar-AE"/>
        </w:rPr>
      </w:pPr>
      <w:r>
        <w:rPr>
          <w:rFonts w:ascii="Simplified Arabic" w:eastAsia="Times New Roman" w:hAnsi="Simplified Arabic" w:cs="Simplified Arabic" w:hint="cs"/>
          <w:sz w:val="22"/>
          <w:szCs w:val="22"/>
          <w:rtl/>
          <w:lang w:bidi="ar-AE"/>
        </w:rPr>
        <w:t xml:space="preserve">النووي، </w:t>
      </w:r>
      <w:r>
        <w:rPr>
          <w:rFonts w:ascii="Simplified Arabic" w:eastAsia="Times New Roman" w:hAnsi="Simplified Arabic" w:cs="Simplified Arabic"/>
          <w:sz w:val="22"/>
          <w:szCs w:val="22"/>
          <w:rtl/>
        </w:rPr>
        <w:t>أبو زكريا محي الدين يحيى</w:t>
      </w:r>
      <w:r w:rsidRPr="002D0228">
        <w:rPr>
          <w:rFonts w:ascii="Simplified Arabic" w:eastAsia="Times New Roman" w:hAnsi="Simplified Arabic" w:cs="Simplified Arabic"/>
          <w:sz w:val="22"/>
          <w:szCs w:val="22"/>
          <w:rtl/>
        </w:rPr>
        <w:t xml:space="preserve">، </w:t>
      </w:r>
      <w:r w:rsidRPr="002D0228">
        <w:rPr>
          <w:rFonts w:ascii="Simplified Arabic" w:eastAsia="Times New Roman" w:hAnsi="Simplified Arabic" w:cs="Simplified Arabic"/>
          <w:b/>
          <w:bCs/>
          <w:sz w:val="22"/>
          <w:szCs w:val="22"/>
          <w:rtl/>
        </w:rPr>
        <w:t>المنهاج شرح صحيح مسلم بن الحجاج</w:t>
      </w:r>
      <w:r w:rsidRPr="002D0228">
        <w:rPr>
          <w:rFonts w:ascii="Simplified Arabic" w:eastAsia="Times New Roman" w:hAnsi="Simplified Arabic" w:cs="Simplified Arabic"/>
          <w:sz w:val="22"/>
          <w:szCs w:val="22"/>
          <w:rtl/>
        </w:rPr>
        <w:t xml:space="preserve"> (بيروت: دار إحياء التراث العربي، 1392 هجرية)</w:t>
      </w:r>
    </w:p>
    <w:p w:rsidR="00781306" w:rsidRDefault="00781306" w:rsidP="00781306">
      <w:pPr>
        <w:pStyle w:val="NormalWeb"/>
        <w:spacing w:before="0" w:beforeAutospacing="0" w:line="276" w:lineRule="auto"/>
        <w:ind w:left="450" w:hanging="450"/>
        <w:rPr>
          <w:rFonts w:ascii="Calibri" w:hAnsi="Calibri"/>
          <w:sz w:val="22"/>
          <w:szCs w:val="22"/>
        </w:rPr>
      </w:pPr>
      <w:proofErr w:type="gramStart"/>
      <w:r w:rsidRPr="0047384E">
        <w:rPr>
          <w:rFonts w:ascii="Calibri" w:hAnsi="Calibri"/>
          <w:sz w:val="22"/>
          <w:szCs w:val="22"/>
        </w:rPr>
        <w:t>al-Nawawī</w:t>
      </w:r>
      <w:proofErr w:type="gramEnd"/>
      <w:r w:rsidRPr="0047384E">
        <w:rPr>
          <w:rFonts w:ascii="Calibri" w:hAnsi="Calibri"/>
          <w:sz w:val="22"/>
          <w:szCs w:val="22"/>
        </w:rPr>
        <w:t xml:space="preserve">, abū Zakarīya Muhīye al-Dīn Yaḥyā, </w:t>
      </w:r>
      <w:r>
        <w:rPr>
          <w:rFonts w:ascii="Calibri" w:hAnsi="Calibri"/>
          <w:i/>
          <w:iCs/>
          <w:sz w:val="22"/>
          <w:szCs w:val="22"/>
        </w:rPr>
        <w:t>al-Minhāj Sharḥ Ṣaḥīh</w:t>
      </w:r>
      <w:r w:rsidRPr="0047384E">
        <w:rPr>
          <w:rFonts w:ascii="Calibri" w:hAnsi="Calibri"/>
          <w:i/>
          <w:iCs/>
          <w:sz w:val="22"/>
          <w:szCs w:val="22"/>
        </w:rPr>
        <w:t xml:space="preserve"> Muslim</w:t>
      </w:r>
      <w:r>
        <w:rPr>
          <w:rFonts w:ascii="Calibri" w:hAnsi="Calibri"/>
          <w:i/>
          <w:iCs/>
          <w:sz w:val="22"/>
          <w:szCs w:val="22"/>
        </w:rPr>
        <w:t xml:space="preserve"> bin  al-Ḥajjāj Or a</w:t>
      </w:r>
      <w:r w:rsidRPr="0047384E">
        <w:rPr>
          <w:rFonts w:ascii="Calibri" w:hAnsi="Calibri"/>
          <w:i/>
          <w:iCs/>
          <w:sz w:val="22"/>
          <w:szCs w:val="22"/>
        </w:rPr>
        <w:t>l-Nawawī Commentary on Muslim</w:t>
      </w:r>
      <w:r w:rsidRPr="0047384E">
        <w:rPr>
          <w:rFonts w:ascii="Calibri" w:hAnsi="Calibri"/>
          <w:sz w:val="22"/>
          <w:szCs w:val="22"/>
        </w:rPr>
        <w:t xml:space="preserve"> </w:t>
      </w:r>
      <w:r w:rsidRPr="002D0228">
        <w:rPr>
          <w:rFonts w:ascii="Calibri" w:hAnsi="Calibri"/>
          <w:sz w:val="22"/>
          <w:szCs w:val="22"/>
        </w:rPr>
        <w:t>(Beirut: Dār Ihiā’ al-Turāth al-‘A</w:t>
      </w:r>
      <w:r>
        <w:rPr>
          <w:rFonts w:ascii="Calibri" w:hAnsi="Calibri"/>
          <w:sz w:val="22"/>
          <w:szCs w:val="22"/>
        </w:rPr>
        <w:t>rabī, 1392 hijrī)</w:t>
      </w:r>
    </w:p>
    <w:p w:rsidR="00781306" w:rsidRPr="00CE6F48" w:rsidRDefault="00781306" w:rsidP="00781306">
      <w:pPr>
        <w:pStyle w:val="FootnoteText"/>
        <w:bidi/>
        <w:rPr>
          <w:rFonts w:ascii="Simplified Arabic" w:hAnsi="Simplified Arabic" w:cs="Simplified Arabic"/>
          <w:sz w:val="22"/>
          <w:szCs w:val="22"/>
          <w:rtl/>
          <w:lang w:bidi="ar-AE"/>
        </w:rPr>
      </w:pPr>
      <w:r w:rsidRPr="00CE6F48">
        <w:rPr>
          <w:rFonts w:ascii="Simplified Arabic" w:hAnsi="Simplified Arabic" w:cs="Simplified Arabic"/>
          <w:sz w:val="22"/>
          <w:szCs w:val="22"/>
          <w:rtl/>
          <w:lang w:bidi="ar-AE"/>
        </w:rPr>
        <w:t>القيس، امرؤ،</w:t>
      </w:r>
      <w:r w:rsidRPr="00CE6F48">
        <w:rPr>
          <w:rFonts w:ascii="Simplified Arabic" w:hAnsi="Simplified Arabic" w:cs="Simplified Arabic"/>
          <w:b/>
          <w:bCs/>
          <w:sz w:val="22"/>
          <w:szCs w:val="22"/>
          <w:rtl/>
          <w:lang w:bidi="ar-AE"/>
        </w:rPr>
        <w:t xml:space="preserve"> ديوان امرئ القيس</w:t>
      </w:r>
      <w:r w:rsidRPr="00CE6F48">
        <w:rPr>
          <w:rFonts w:ascii="Simplified Arabic" w:hAnsi="Simplified Arabic" w:cs="Simplified Arabic"/>
          <w:sz w:val="22"/>
          <w:szCs w:val="22"/>
          <w:rtl/>
          <w:lang w:bidi="ar-AE"/>
        </w:rPr>
        <w:t>، تحقيق مصطفى عبدالشافي (بير</w:t>
      </w:r>
      <w:r>
        <w:rPr>
          <w:rFonts w:ascii="Simplified Arabic" w:hAnsi="Simplified Arabic" w:cs="Simplified Arabic"/>
          <w:sz w:val="22"/>
          <w:szCs w:val="22"/>
          <w:rtl/>
          <w:lang w:bidi="ar-AE"/>
        </w:rPr>
        <w:t>وت: دار الكتب العلمية، 2004)</w:t>
      </w:r>
    </w:p>
    <w:p w:rsidR="00781306" w:rsidRDefault="00781306" w:rsidP="00781306">
      <w:pPr>
        <w:pStyle w:val="FootnoteText"/>
        <w:ind w:left="426" w:hanging="426"/>
        <w:rPr>
          <w:sz w:val="22"/>
          <w:szCs w:val="22"/>
          <w:rtl/>
          <w:lang w:bidi="ar-AE"/>
        </w:rPr>
      </w:pPr>
      <w:proofErr w:type="gramStart"/>
      <w:r w:rsidRPr="00CE6F48">
        <w:rPr>
          <w:sz w:val="22"/>
          <w:szCs w:val="22"/>
          <w:lang w:bidi="ar-AE"/>
        </w:rPr>
        <w:t>al-Qaīs</w:t>
      </w:r>
      <w:proofErr w:type="gramEnd"/>
      <w:r w:rsidRPr="00CE6F48">
        <w:rPr>
          <w:sz w:val="22"/>
          <w:szCs w:val="22"/>
          <w:lang w:bidi="ar-AE"/>
        </w:rPr>
        <w:t xml:space="preserve">, Imru', </w:t>
      </w:r>
      <w:r w:rsidRPr="00CE6F48">
        <w:rPr>
          <w:i/>
          <w:iCs/>
          <w:sz w:val="22"/>
          <w:szCs w:val="22"/>
          <w:lang w:bidi="ar-AE"/>
        </w:rPr>
        <w:t xml:space="preserve">The Dīwān of Imru' al-Qaīs, </w:t>
      </w:r>
      <w:r w:rsidRPr="00CE6F48">
        <w:rPr>
          <w:sz w:val="22"/>
          <w:szCs w:val="22"/>
          <w:lang w:bidi="ar-AE"/>
        </w:rPr>
        <w:t>ed. by Mustafa Abdul-Shafi (Beirut: Dār al-Kotob al-'Ilmīya, 2004)</w:t>
      </w:r>
    </w:p>
    <w:p w:rsidR="00781306" w:rsidRDefault="00781306" w:rsidP="00781306">
      <w:pPr>
        <w:pStyle w:val="FootnoteText"/>
        <w:ind w:left="426" w:hanging="426"/>
        <w:rPr>
          <w:sz w:val="22"/>
          <w:szCs w:val="22"/>
          <w:rtl/>
          <w:lang w:bidi="ar-AE"/>
        </w:rPr>
      </w:pPr>
    </w:p>
    <w:p w:rsidR="00781306" w:rsidRPr="0097745A" w:rsidRDefault="00781306" w:rsidP="00781306">
      <w:pPr>
        <w:pStyle w:val="FootnoteText"/>
        <w:bidi/>
        <w:ind w:left="426" w:hanging="426"/>
        <w:rPr>
          <w:rFonts w:ascii="Simplified Arabic" w:hAnsi="Simplified Arabic" w:cs="Simplified Arabic"/>
          <w:sz w:val="22"/>
          <w:szCs w:val="22"/>
          <w:lang w:bidi="ar-AE"/>
        </w:rPr>
      </w:pPr>
      <w:r w:rsidRPr="0097745A">
        <w:rPr>
          <w:rFonts w:ascii="Simplified Arabic" w:hAnsi="Simplified Arabic" w:cs="Simplified Arabic"/>
          <w:sz w:val="22"/>
          <w:szCs w:val="22"/>
          <w:rtl/>
          <w:lang w:bidi="ar-AE"/>
        </w:rPr>
        <w:t xml:space="preserve">القرطبي، أبو عبدالله  محمد بن أحمد، </w:t>
      </w:r>
      <w:r w:rsidRPr="0097745A">
        <w:rPr>
          <w:rFonts w:ascii="Simplified Arabic" w:hAnsi="Simplified Arabic" w:cs="Simplified Arabic"/>
          <w:b/>
          <w:bCs/>
          <w:sz w:val="22"/>
          <w:szCs w:val="22"/>
          <w:rtl/>
          <w:lang w:bidi="ar-AE"/>
        </w:rPr>
        <w:t>كتاب</w:t>
      </w:r>
      <w:r w:rsidRPr="0097745A">
        <w:rPr>
          <w:rFonts w:ascii="Simplified Arabic" w:hAnsi="Simplified Arabic" w:cs="Simplified Arabic"/>
          <w:sz w:val="22"/>
          <w:szCs w:val="22"/>
          <w:rtl/>
          <w:lang w:bidi="ar-AE"/>
        </w:rPr>
        <w:t xml:space="preserve"> </w:t>
      </w:r>
      <w:r w:rsidRPr="0097745A">
        <w:rPr>
          <w:rFonts w:ascii="Simplified Arabic" w:hAnsi="Simplified Arabic" w:cs="Simplified Arabic"/>
          <w:b/>
          <w:bCs/>
          <w:sz w:val="22"/>
          <w:szCs w:val="22"/>
          <w:rtl/>
          <w:lang w:bidi="ar-AE"/>
        </w:rPr>
        <w:t xml:space="preserve">التذكرة في أحوال الموتى وأمور الآخرة، </w:t>
      </w:r>
      <w:r w:rsidRPr="0097745A">
        <w:rPr>
          <w:rFonts w:ascii="Simplified Arabic" w:hAnsi="Simplified Arabic" w:cs="Simplified Arabic"/>
          <w:sz w:val="22"/>
          <w:szCs w:val="22"/>
          <w:rtl/>
          <w:lang w:bidi="ar-AE"/>
        </w:rPr>
        <w:t>تحقيق الصادق بن محمد بن إبراهيم (الرياض: مكتبة دار المنهاج للنشر والتوزيع، 1425 هـ)</w:t>
      </w:r>
    </w:p>
    <w:p w:rsidR="00781306" w:rsidRDefault="00781306" w:rsidP="00781306">
      <w:pPr>
        <w:pStyle w:val="NormalWeb"/>
        <w:spacing w:before="0" w:beforeAutospacing="0" w:line="276" w:lineRule="auto"/>
        <w:ind w:left="450" w:hanging="450"/>
        <w:rPr>
          <w:rFonts w:ascii="Calibri" w:hAnsi="Calibri"/>
          <w:sz w:val="22"/>
          <w:szCs w:val="22"/>
        </w:rPr>
      </w:pPr>
      <w:proofErr w:type="gramStart"/>
      <w:r w:rsidRPr="0047384E">
        <w:rPr>
          <w:rFonts w:ascii="Calibri" w:hAnsi="Calibri"/>
          <w:sz w:val="22"/>
          <w:szCs w:val="22"/>
        </w:rPr>
        <w:t>al-Qurṭubī</w:t>
      </w:r>
      <w:proofErr w:type="gramEnd"/>
      <w:r w:rsidRPr="0047384E">
        <w:rPr>
          <w:rFonts w:ascii="Calibri" w:hAnsi="Calibri"/>
          <w:sz w:val="22"/>
          <w:szCs w:val="22"/>
        </w:rPr>
        <w:t xml:space="preserve">, abū ‘Abdullah b. Muḥammad b. Aḥmad, </w:t>
      </w:r>
      <w:r w:rsidRPr="0047384E">
        <w:rPr>
          <w:rFonts w:ascii="Calibri" w:hAnsi="Calibri"/>
          <w:i/>
          <w:iCs/>
          <w:sz w:val="22"/>
          <w:szCs w:val="22"/>
        </w:rPr>
        <w:t>The Reminder on the Affairs of the Dead and Afterlife</w:t>
      </w:r>
      <w:r w:rsidRPr="0047384E">
        <w:rPr>
          <w:rFonts w:ascii="Calibri" w:hAnsi="Calibri"/>
          <w:sz w:val="22"/>
          <w:szCs w:val="22"/>
        </w:rPr>
        <w:t xml:space="preserve"> (Riyadh: Matabat Dār al-Minhāj lil-Nashr wal-Tawzī’, 1425 Hijrī)</w:t>
      </w:r>
      <w:r w:rsidRPr="00AA193E">
        <w:rPr>
          <w:rFonts w:ascii="Calibri" w:hAnsi="Calibri"/>
          <w:sz w:val="22"/>
          <w:szCs w:val="22"/>
        </w:rPr>
        <w:t xml:space="preserve"> </w:t>
      </w:r>
    </w:p>
    <w:p w:rsidR="00781306" w:rsidRPr="0097745A" w:rsidRDefault="00781306" w:rsidP="00781306">
      <w:pPr>
        <w:pStyle w:val="NormalWeb"/>
        <w:bidi/>
        <w:spacing w:after="0" w:afterAutospacing="0" w:line="276" w:lineRule="auto"/>
        <w:ind w:left="450" w:hanging="450"/>
        <w:rPr>
          <w:rFonts w:ascii="Calibri" w:hAnsi="Calibri"/>
          <w:sz w:val="22"/>
          <w:szCs w:val="22"/>
        </w:rPr>
      </w:pPr>
      <w:r w:rsidRPr="0097745A">
        <w:rPr>
          <w:rFonts w:ascii="Simplified Arabic" w:hAnsi="Simplified Arabic" w:cs="Simplified Arabic"/>
          <w:sz w:val="22"/>
          <w:szCs w:val="22"/>
        </w:rPr>
        <w:t xml:space="preserve"> </w:t>
      </w:r>
      <w:r>
        <w:rPr>
          <w:rFonts w:ascii="Simplified Arabic" w:hAnsi="Simplified Arabic" w:cs="Simplified Arabic" w:hint="cs"/>
          <w:sz w:val="22"/>
          <w:szCs w:val="22"/>
          <w:rtl/>
          <w:lang w:bidi="ar-AE"/>
        </w:rPr>
        <w:t>---</w:t>
      </w:r>
      <w:r w:rsidRPr="0097745A">
        <w:rPr>
          <w:rFonts w:ascii="Simplified Arabic" w:hAnsi="Simplified Arabic" w:cs="Simplified Arabic"/>
          <w:sz w:val="22"/>
          <w:szCs w:val="22"/>
          <w:rtl/>
          <w:lang w:bidi="ar-AE"/>
        </w:rPr>
        <w:t xml:space="preserve"> </w:t>
      </w:r>
      <w:r w:rsidRPr="0097745A">
        <w:rPr>
          <w:rFonts w:ascii="Simplified Arabic" w:hAnsi="Simplified Arabic" w:cs="Simplified Arabic"/>
          <w:b/>
          <w:bCs/>
          <w:sz w:val="22"/>
          <w:szCs w:val="22"/>
          <w:rtl/>
          <w:lang w:bidi="ar-AE"/>
        </w:rPr>
        <w:t>الجامع لأحكام القرآن</w:t>
      </w:r>
      <w:r w:rsidRPr="0097745A">
        <w:rPr>
          <w:rFonts w:ascii="Simplified Arabic" w:hAnsi="Simplified Arabic" w:cs="Simplified Arabic"/>
          <w:sz w:val="22"/>
          <w:szCs w:val="22"/>
          <w:rtl/>
          <w:lang w:bidi="ar-AE"/>
        </w:rPr>
        <w:t xml:space="preserve"> (القاهرة: دار الكتب المصرية، 1964)</w:t>
      </w:r>
    </w:p>
    <w:p w:rsidR="00781306" w:rsidRDefault="00781306" w:rsidP="00781306">
      <w:pPr>
        <w:pStyle w:val="NormalWeb"/>
        <w:spacing w:before="0" w:beforeAutospacing="0" w:line="276" w:lineRule="auto"/>
        <w:ind w:left="450" w:hanging="450"/>
        <w:rPr>
          <w:rFonts w:ascii="Calibri" w:hAnsi="Calibri"/>
          <w:sz w:val="22"/>
          <w:szCs w:val="22"/>
          <w:rtl/>
        </w:rPr>
      </w:pPr>
      <w:r>
        <w:rPr>
          <w:rFonts w:ascii="Calibri" w:hAnsi="Calibri"/>
          <w:sz w:val="22"/>
          <w:szCs w:val="22"/>
        </w:rPr>
        <w:t>---</w:t>
      </w:r>
      <w:r w:rsidRPr="00AA193E">
        <w:rPr>
          <w:rFonts w:ascii="Calibri" w:hAnsi="Calibri"/>
          <w:sz w:val="22"/>
          <w:szCs w:val="22"/>
        </w:rPr>
        <w:t xml:space="preserve"> </w:t>
      </w:r>
      <w:r>
        <w:rPr>
          <w:rFonts w:ascii="Calibri" w:hAnsi="Calibri"/>
          <w:i/>
          <w:iCs/>
          <w:sz w:val="22"/>
          <w:szCs w:val="22"/>
        </w:rPr>
        <w:t>Al-Jāme' Li-Aḥkām a</w:t>
      </w:r>
      <w:r w:rsidRPr="00AA193E">
        <w:rPr>
          <w:rFonts w:ascii="Calibri" w:hAnsi="Calibri"/>
          <w:i/>
          <w:iCs/>
          <w:sz w:val="22"/>
          <w:szCs w:val="22"/>
        </w:rPr>
        <w:t>l-Qur'</w:t>
      </w:r>
      <w:r>
        <w:rPr>
          <w:rFonts w:ascii="Calibri" w:hAnsi="Calibri"/>
          <w:i/>
          <w:iCs/>
          <w:sz w:val="22"/>
          <w:szCs w:val="22"/>
        </w:rPr>
        <w:t>ā</w:t>
      </w:r>
      <w:r w:rsidRPr="00AA193E">
        <w:rPr>
          <w:rFonts w:ascii="Calibri" w:hAnsi="Calibri"/>
          <w:i/>
          <w:iCs/>
          <w:sz w:val="22"/>
          <w:szCs w:val="22"/>
        </w:rPr>
        <w:t xml:space="preserve">n </w:t>
      </w:r>
      <w:proofErr w:type="gramStart"/>
      <w:r w:rsidRPr="00AA193E">
        <w:rPr>
          <w:rFonts w:ascii="Calibri" w:hAnsi="Calibri"/>
          <w:i/>
          <w:iCs/>
          <w:sz w:val="22"/>
          <w:szCs w:val="22"/>
        </w:rPr>
        <w:t>Or</w:t>
      </w:r>
      <w:proofErr w:type="gramEnd"/>
      <w:r w:rsidRPr="00AA193E">
        <w:rPr>
          <w:rFonts w:ascii="Calibri" w:hAnsi="Calibri"/>
          <w:i/>
          <w:iCs/>
          <w:sz w:val="22"/>
          <w:szCs w:val="22"/>
        </w:rPr>
        <w:t xml:space="preserve"> the Exegesis of Al-Qurṭubī</w:t>
      </w:r>
      <w:r w:rsidRPr="00AA193E">
        <w:rPr>
          <w:rFonts w:ascii="Calibri" w:hAnsi="Calibri"/>
          <w:sz w:val="22"/>
          <w:szCs w:val="22"/>
        </w:rPr>
        <w:t xml:space="preserve"> (Cairo: Dār al-Kutub al-Maṣrīya, 1964) </w:t>
      </w:r>
    </w:p>
    <w:p w:rsidR="00781306" w:rsidRPr="003F0913" w:rsidRDefault="00781306" w:rsidP="00781306">
      <w:pPr>
        <w:pStyle w:val="NormalWeb"/>
        <w:bidi/>
        <w:spacing w:after="0" w:afterAutospacing="0" w:line="276" w:lineRule="auto"/>
        <w:ind w:left="450" w:hanging="450"/>
        <w:rPr>
          <w:rFonts w:ascii="Simplified Arabic" w:hAnsi="Simplified Arabic" w:cs="Simplified Arabic"/>
        </w:rPr>
      </w:pPr>
      <w:r w:rsidRPr="003F0913">
        <w:rPr>
          <w:rFonts w:ascii="Simplified Arabic" w:hAnsi="Simplified Arabic" w:cs="Simplified Arabic"/>
          <w:sz w:val="22"/>
          <w:szCs w:val="22"/>
          <w:rtl/>
          <w:lang w:bidi="ar-AE"/>
        </w:rPr>
        <w:t xml:space="preserve">الرازي، أبو عبدالله محمد بن عمر، </w:t>
      </w:r>
      <w:r w:rsidRPr="003F0913">
        <w:rPr>
          <w:rFonts w:ascii="Simplified Arabic" w:hAnsi="Simplified Arabic" w:cs="Simplified Arabic"/>
          <w:b/>
          <w:bCs/>
          <w:sz w:val="22"/>
          <w:szCs w:val="22"/>
          <w:rtl/>
          <w:lang w:bidi="ar-AE"/>
        </w:rPr>
        <w:t>التفسير الكبير</w:t>
      </w:r>
      <w:r w:rsidRPr="003F0913">
        <w:rPr>
          <w:rFonts w:ascii="Simplified Arabic" w:hAnsi="Simplified Arabic" w:cs="Simplified Arabic"/>
          <w:sz w:val="22"/>
          <w:szCs w:val="22"/>
          <w:rtl/>
          <w:lang w:bidi="ar-AE"/>
        </w:rPr>
        <w:t xml:space="preserve"> (بيروت: دار إحياء التراث العربي، 1999)</w:t>
      </w:r>
    </w:p>
    <w:p w:rsidR="00781306" w:rsidRDefault="00781306" w:rsidP="00781306">
      <w:pPr>
        <w:pStyle w:val="NormalWeb"/>
        <w:spacing w:before="0" w:beforeAutospacing="0" w:line="276" w:lineRule="auto"/>
        <w:ind w:left="450" w:hanging="450"/>
        <w:rPr>
          <w:rFonts w:ascii="Calibri" w:hAnsi="Calibri" w:hint="cs"/>
          <w:sz w:val="22"/>
          <w:szCs w:val="22"/>
          <w:rtl/>
        </w:rPr>
      </w:pPr>
      <w:proofErr w:type="gramStart"/>
      <w:r>
        <w:rPr>
          <w:rFonts w:ascii="Calibri" w:hAnsi="Calibri"/>
          <w:sz w:val="22"/>
          <w:szCs w:val="22"/>
        </w:rPr>
        <w:t>al-Rāzī</w:t>
      </w:r>
      <w:proofErr w:type="gramEnd"/>
      <w:r>
        <w:rPr>
          <w:rFonts w:ascii="Calibri" w:hAnsi="Calibri"/>
          <w:sz w:val="22"/>
          <w:szCs w:val="22"/>
        </w:rPr>
        <w:t>, Fakhr al-Dīn</w:t>
      </w:r>
      <w:r w:rsidRPr="00AA193E">
        <w:rPr>
          <w:rFonts w:ascii="Calibri" w:hAnsi="Calibri"/>
          <w:sz w:val="22"/>
          <w:szCs w:val="22"/>
        </w:rPr>
        <w:t xml:space="preserve">, </w:t>
      </w:r>
      <w:r>
        <w:rPr>
          <w:rFonts w:ascii="Calibri" w:hAnsi="Calibri"/>
          <w:i/>
          <w:iCs/>
          <w:sz w:val="22"/>
          <w:szCs w:val="22"/>
        </w:rPr>
        <w:t>al-Tafsīr a</w:t>
      </w:r>
      <w:r w:rsidRPr="00AA193E">
        <w:rPr>
          <w:rFonts w:ascii="Calibri" w:hAnsi="Calibri"/>
          <w:i/>
          <w:iCs/>
          <w:sz w:val="22"/>
          <w:szCs w:val="22"/>
        </w:rPr>
        <w:t>l-Kabīr Or the Great Commentary</w:t>
      </w:r>
      <w:r w:rsidRPr="00AA193E">
        <w:rPr>
          <w:rFonts w:ascii="Calibri" w:hAnsi="Calibri"/>
          <w:sz w:val="22"/>
          <w:szCs w:val="22"/>
        </w:rPr>
        <w:t xml:space="preserve"> (Beirut: Dār Ihiā’ al-Turāth al-‘Arabī, 1999) </w:t>
      </w:r>
    </w:p>
    <w:p w:rsidR="004F4718" w:rsidRDefault="004F4718" w:rsidP="004F4718">
      <w:pPr>
        <w:autoSpaceDE/>
        <w:autoSpaceDN/>
        <w:bidi/>
        <w:adjustRightInd/>
        <w:ind w:left="454" w:hanging="454"/>
        <w:rPr>
          <w:rFonts w:ascii="Simplified Arabic" w:hAnsi="Simplified Arabic" w:cs="Simplified Arabic"/>
          <w:lang w:bidi="ar-AE"/>
        </w:rPr>
      </w:pPr>
      <w:r w:rsidRPr="004F4718">
        <w:rPr>
          <w:rFonts w:ascii="Simplified Arabic" w:hAnsi="Simplified Arabic" w:cs="Simplified Arabic"/>
          <w:rtl/>
          <w:lang w:bidi="ar-AE"/>
        </w:rPr>
        <w:t xml:space="preserve">الشافعي، يوسف بن يحيى بن علي المقدسي، </w:t>
      </w:r>
      <w:r w:rsidRPr="004F4718">
        <w:rPr>
          <w:rFonts w:ascii="Simplified Arabic" w:hAnsi="Simplified Arabic" w:cs="Simplified Arabic"/>
          <w:b/>
          <w:bCs/>
          <w:rtl/>
          <w:lang w:bidi="ar-AE"/>
        </w:rPr>
        <w:t xml:space="preserve">عقد الدرر في أخبار المنتظر، </w:t>
      </w:r>
      <w:r w:rsidRPr="004F4718">
        <w:rPr>
          <w:rFonts w:ascii="Simplified Arabic" w:hAnsi="Simplified Arabic" w:cs="Simplified Arabic"/>
          <w:rtl/>
          <w:lang w:bidi="ar-AE"/>
        </w:rPr>
        <w:t>تحقيق مهيب بن صالح بن عبدالرحمن البوريني (الزرقاء: مكتبة المنار، 1989)</w:t>
      </w:r>
    </w:p>
    <w:p w:rsidR="004F4718" w:rsidRDefault="004F4718" w:rsidP="004F4718">
      <w:pPr>
        <w:pStyle w:val="NormalWeb"/>
        <w:spacing w:before="0" w:beforeAutospacing="0" w:after="240" w:afterAutospacing="0"/>
        <w:ind w:left="450" w:hanging="450"/>
        <w:rPr>
          <w:rFonts w:ascii="Calibri" w:hAnsi="Calibri"/>
          <w:sz w:val="22"/>
          <w:szCs w:val="22"/>
          <w:lang w:bidi="ar-AE"/>
        </w:rPr>
      </w:pPr>
      <w:proofErr w:type="gramStart"/>
      <w:r w:rsidRPr="004F4718">
        <w:rPr>
          <w:rFonts w:ascii="Calibri" w:hAnsi="Calibri"/>
          <w:sz w:val="22"/>
          <w:szCs w:val="22"/>
        </w:rPr>
        <w:t>al-Shāfi’ī</w:t>
      </w:r>
      <w:proofErr w:type="gramEnd"/>
      <w:r w:rsidRPr="004F4718">
        <w:rPr>
          <w:rFonts w:ascii="Calibri" w:hAnsi="Calibri"/>
          <w:sz w:val="22"/>
          <w:szCs w:val="22"/>
        </w:rPr>
        <w:t xml:space="preserve">, Yūsuf b. Yaḥyā b. ‘Alī al-Maqdisī, </w:t>
      </w:r>
      <w:r w:rsidRPr="004F4718">
        <w:rPr>
          <w:rFonts w:ascii="Calibri" w:hAnsi="Calibri"/>
          <w:i/>
          <w:iCs/>
          <w:sz w:val="22"/>
          <w:szCs w:val="22"/>
        </w:rPr>
        <w:t xml:space="preserve">The Necklace of Pearls on the </w:t>
      </w:r>
      <w:r w:rsidRPr="004F4718">
        <w:rPr>
          <w:rFonts w:ascii="Calibri" w:hAnsi="Calibri"/>
          <w:i/>
          <w:iCs/>
          <w:sz w:val="22"/>
          <w:szCs w:val="22"/>
          <w:lang w:bidi="ar-AE"/>
        </w:rPr>
        <w:t>Messiah</w:t>
      </w:r>
      <w:r w:rsidRPr="004F4718">
        <w:rPr>
          <w:rFonts w:ascii="Calibri" w:hAnsi="Calibri"/>
          <w:sz w:val="22"/>
          <w:szCs w:val="22"/>
          <w:lang w:bidi="ar-AE"/>
        </w:rPr>
        <w:t>, ed. by Muhīb b. Ṣāleḥ b. ‘Abd al-Raḥmān al-Būrīnī (al-Zarqa: Maktabat al-Manār, 1989)</w:t>
      </w:r>
    </w:p>
    <w:p w:rsidR="00781306" w:rsidRPr="007B5B9D" w:rsidRDefault="00781306" w:rsidP="004F4718">
      <w:pPr>
        <w:pStyle w:val="FootnoteText"/>
        <w:bidi/>
        <w:spacing w:before="240"/>
        <w:rPr>
          <w:rFonts w:ascii="Simplified Arabic" w:hAnsi="Simplified Arabic" w:cs="Simplified Arabic"/>
          <w:sz w:val="22"/>
          <w:szCs w:val="22"/>
          <w:rtl/>
          <w:lang w:bidi="ar-AE"/>
        </w:rPr>
      </w:pPr>
      <w:r w:rsidRPr="007B5B9D">
        <w:rPr>
          <w:rFonts w:ascii="Simplified Arabic" w:hAnsi="Simplified Arabic" w:cs="Simplified Arabic"/>
          <w:sz w:val="22"/>
          <w:szCs w:val="22"/>
          <w:rtl/>
        </w:rPr>
        <w:t xml:space="preserve">الشهرستاني، </w:t>
      </w:r>
      <w:r w:rsidRPr="007B5B9D">
        <w:rPr>
          <w:rFonts w:ascii="Simplified Arabic" w:hAnsi="Simplified Arabic" w:cs="Simplified Arabic"/>
          <w:sz w:val="22"/>
          <w:szCs w:val="22"/>
          <w:rtl/>
          <w:lang w:bidi="ar-AE"/>
        </w:rPr>
        <w:t xml:space="preserve">أبو الفتح محمد بن عبدالكريم، </w:t>
      </w:r>
      <w:r w:rsidRPr="007B5B9D">
        <w:rPr>
          <w:rFonts w:ascii="Simplified Arabic" w:hAnsi="Simplified Arabic" w:cs="Simplified Arabic"/>
          <w:b/>
          <w:bCs/>
          <w:sz w:val="22"/>
          <w:szCs w:val="22"/>
          <w:rtl/>
          <w:lang w:bidi="ar-AE"/>
        </w:rPr>
        <w:t xml:space="preserve">الملل والنحل </w:t>
      </w:r>
      <w:r w:rsidRPr="007B5B9D">
        <w:rPr>
          <w:rFonts w:ascii="Simplified Arabic" w:hAnsi="Simplified Arabic" w:cs="Simplified Arabic"/>
          <w:sz w:val="22"/>
          <w:szCs w:val="22"/>
          <w:rtl/>
          <w:lang w:bidi="ar-AE"/>
        </w:rPr>
        <w:t>(</w:t>
      </w:r>
      <w:r>
        <w:rPr>
          <w:rFonts w:ascii="Simplified Arabic" w:hAnsi="Simplified Arabic" w:cs="Simplified Arabic"/>
          <w:sz w:val="22"/>
          <w:szCs w:val="22"/>
          <w:rtl/>
          <w:lang w:bidi="ar-AE"/>
        </w:rPr>
        <w:t>بيروت: دار الكتب العلمية، 1992)</w:t>
      </w:r>
    </w:p>
    <w:p w:rsidR="00781306" w:rsidRDefault="00781306" w:rsidP="00781306">
      <w:pPr>
        <w:pStyle w:val="NormalWeb"/>
        <w:spacing w:before="0" w:beforeAutospacing="0" w:line="276" w:lineRule="auto"/>
        <w:ind w:left="450" w:hanging="450"/>
        <w:rPr>
          <w:rFonts w:ascii="Calibri" w:hAnsi="Calibri"/>
          <w:sz w:val="22"/>
          <w:szCs w:val="22"/>
        </w:rPr>
      </w:pPr>
      <w:proofErr w:type="gramStart"/>
      <w:r w:rsidRPr="007B5B9D">
        <w:rPr>
          <w:rFonts w:ascii="Calibri" w:hAnsi="Calibri"/>
          <w:sz w:val="22"/>
          <w:szCs w:val="22"/>
        </w:rPr>
        <w:t>al-Shahrastānī</w:t>
      </w:r>
      <w:proofErr w:type="gramEnd"/>
      <w:r w:rsidRPr="007B5B9D">
        <w:rPr>
          <w:rFonts w:ascii="Calibri" w:hAnsi="Calibri"/>
          <w:sz w:val="22"/>
          <w:szCs w:val="22"/>
        </w:rPr>
        <w:t>, abū al-Fath Mu</w:t>
      </w:r>
      <w:r w:rsidRPr="007B5B9D">
        <w:rPr>
          <w:rFonts w:ascii="Calibri" w:hAnsi="Calibri" w:cs="Arial"/>
          <w:sz w:val="22"/>
          <w:szCs w:val="22"/>
        </w:rPr>
        <w:t>ḥ</w:t>
      </w:r>
      <w:r w:rsidRPr="007B5B9D">
        <w:rPr>
          <w:rFonts w:ascii="Calibri" w:hAnsi="Calibri"/>
          <w:sz w:val="22"/>
          <w:szCs w:val="22"/>
        </w:rPr>
        <w:t>ammad ibn `abd al-Karīm</w:t>
      </w:r>
      <w:r>
        <w:rPr>
          <w:rFonts w:ascii="Calibri" w:hAnsi="Calibri"/>
          <w:sz w:val="22"/>
          <w:szCs w:val="22"/>
        </w:rPr>
        <w:t>,</w:t>
      </w:r>
      <w:r w:rsidRPr="007B5B9D">
        <w:rPr>
          <w:rFonts w:ascii="Calibri" w:hAnsi="Calibri"/>
          <w:sz w:val="22"/>
          <w:szCs w:val="22"/>
        </w:rPr>
        <w:t xml:space="preserve"> </w:t>
      </w:r>
      <w:r>
        <w:rPr>
          <w:rFonts w:ascii="Calibri" w:hAnsi="Calibri"/>
          <w:i/>
          <w:sz w:val="22"/>
          <w:szCs w:val="22"/>
        </w:rPr>
        <w:t>al-Milal a</w:t>
      </w:r>
      <w:r w:rsidRPr="007B5B9D">
        <w:rPr>
          <w:rFonts w:ascii="Calibri" w:hAnsi="Calibri"/>
          <w:i/>
          <w:sz w:val="22"/>
          <w:szCs w:val="22"/>
        </w:rPr>
        <w:t>al-Ni</w:t>
      </w:r>
      <w:r w:rsidRPr="007B5B9D">
        <w:rPr>
          <w:rFonts w:ascii="Calibri" w:hAnsi="Calibri" w:cs="Arial"/>
          <w:i/>
          <w:sz w:val="22"/>
          <w:szCs w:val="22"/>
        </w:rPr>
        <w:t>ḥ</w:t>
      </w:r>
      <w:r w:rsidRPr="007B5B9D">
        <w:rPr>
          <w:rFonts w:ascii="Calibri" w:hAnsi="Calibri"/>
          <w:i/>
          <w:sz w:val="22"/>
          <w:szCs w:val="22"/>
        </w:rPr>
        <w:t>al Or Book of Sects and Creeds</w:t>
      </w:r>
      <w:r w:rsidRPr="007B5B9D">
        <w:rPr>
          <w:rFonts w:ascii="Calibri" w:hAnsi="Calibri"/>
          <w:sz w:val="22"/>
          <w:szCs w:val="22"/>
        </w:rPr>
        <w:t xml:space="preserve"> (Beirut: Dār al-Kotob al-Ilmīya, 1992)</w:t>
      </w:r>
    </w:p>
    <w:p w:rsidR="00781306" w:rsidRPr="00780426" w:rsidRDefault="00781306" w:rsidP="00781306">
      <w:pPr>
        <w:pStyle w:val="NormalWeb"/>
        <w:bidi/>
        <w:spacing w:before="0" w:beforeAutospacing="0" w:after="0" w:afterAutospacing="0" w:line="276" w:lineRule="auto"/>
        <w:ind w:left="450" w:hanging="450"/>
        <w:rPr>
          <w:rFonts w:ascii="Simplified Arabic" w:hAnsi="Simplified Arabic" w:cs="Simplified Arabic"/>
          <w:sz w:val="22"/>
          <w:szCs w:val="22"/>
          <w:lang w:bidi="ar-AE"/>
        </w:rPr>
      </w:pPr>
      <w:r w:rsidRPr="00780426">
        <w:rPr>
          <w:rFonts w:ascii="Simplified Arabic" w:hAnsi="Simplified Arabic" w:cs="Simplified Arabic"/>
          <w:sz w:val="22"/>
          <w:szCs w:val="22"/>
          <w:rtl/>
          <w:lang w:bidi="ar-AE"/>
        </w:rPr>
        <w:t xml:space="preserve">السجستاني، أبو داود سليمان بن الأشعث، </w:t>
      </w:r>
      <w:r w:rsidRPr="00780426">
        <w:rPr>
          <w:rFonts w:ascii="Simplified Arabic" w:hAnsi="Simplified Arabic" w:cs="Simplified Arabic"/>
          <w:b/>
          <w:bCs/>
          <w:sz w:val="22"/>
          <w:szCs w:val="22"/>
          <w:rtl/>
          <w:lang w:bidi="ar-AE"/>
        </w:rPr>
        <w:t>سنن أبي داود</w:t>
      </w:r>
      <w:r w:rsidRPr="00780426">
        <w:rPr>
          <w:rFonts w:ascii="Simplified Arabic" w:hAnsi="Simplified Arabic" w:cs="Simplified Arabic"/>
          <w:sz w:val="22"/>
          <w:szCs w:val="22"/>
          <w:rtl/>
          <w:lang w:bidi="ar-AE"/>
        </w:rPr>
        <w:t xml:space="preserve"> (بيروت: المكتبة العصرية، ب.ت.)</w:t>
      </w:r>
    </w:p>
    <w:p w:rsidR="00163A4F" w:rsidRPr="00163A4F" w:rsidRDefault="00781306" w:rsidP="00163A4F">
      <w:pPr>
        <w:pStyle w:val="NormalWeb"/>
        <w:spacing w:before="0" w:beforeAutospacing="0" w:after="240" w:afterAutospacing="0" w:line="276" w:lineRule="auto"/>
        <w:ind w:left="450" w:hanging="450"/>
        <w:rPr>
          <w:rFonts w:ascii="Calibri" w:hAnsi="Calibri"/>
          <w:sz w:val="22"/>
          <w:szCs w:val="22"/>
        </w:rPr>
      </w:pPr>
      <w:proofErr w:type="gramStart"/>
      <w:r w:rsidRPr="0047384E">
        <w:rPr>
          <w:rFonts w:ascii="Calibri" w:hAnsi="Calibri"/>
          <w:sz w:val="22"/>
          <w:szCs w:val="22"/>
        </w:rPr>
        <w:lastRenderedPageBreak/>
        <w:t>al-Sijistānī</w:t>
      </w:r>
      <w:proofErr w:type="gramEnd"/>
      <w:r w:rsidRPr="0047384E">
        <w:rPr>
          <w:rFonts w:ascii="Calibri" w:hAnsi="Calibri"/>
          <w:sz w:val="22"/>
          <w:szCs w:val="22"/>
        </w:rPr>
        <w:t xml:space="preserve">, Abu Dawūd Sulaīmān ibn al-Ash'ath, </w:t>
      </w:r>
      <w:r w:rsidRPr="0047384E">
        <w:rPr>
          <w:rFonts w:ascii="Calibri" w:hAnsi="Calibri"/>
          <w:i/>
          <w:iCs/>
          <w:sz w:val="22"/>
          <w:szCs w:val="22"/>
        </w:rPr>
        <w:t>Sunan Abī Dawūd</w:t>
      </w:r>
      <w:r>
        <w:rPr>
          <w:rFonts w:ascii="Calibri" w:hAnsi="Calibri"/>
          <w:sz w:val="22"/>
          <w:szCs w:val="22"/>
        </w:rPr>
        <w:t xml:space="preserve"> </w:t>
      </w:r>
      <w:r w:rsidRPr="00AD746B">
        <w:rPr>
          <w:rFonts w:ascii="Calibri" w:hAnsi="Calibri"/>
          <w:i/>
          <w:iCs/>
          <w:sz w:val="22"/>
          <w:szCs w:val="22"/>
        </w:rPr>
        <w:t>Or The Canonical Collection of Abū Dawūd</w:t>
      </w:r>
      <w:r>
        <w:rPr>
          <w:rFonts w:ascii="Calibri" w:hAnsi="Calibri"/>
          <w:sz w:val="22"/>
          <w:szCs w:val="22"/>
        </w:rPr>
        <w:t xml:space="preserve"> </w:t>
      </w:r>
      <w:r w:rsidRPr="0047384E">
        <w:rPr>
          <w:rFonts w:ascii="Calibri" w:hAnsi="Calibri"/>
          <w:sz w:val="22"/>
          <w:szCs w:val="22"/>
        </w:rPr>
        <w:t>(Beirut: al-Maktabah al-‘Asrīyah,</w:t>
      </w:r>
      <w:r>
        <w:rPr>
          <w:rFonts w:ascii="Calibri" w:hAnsi="Calibri"/>
          <w:sz w:val="22"/>
          <w:szCs w:val="22"/>
        </w:rPr>
        <w:t xml:space="preserve"> n.d.</w:t>
      </w:r>
      <w:r w:rsidRPr="0047384E">
        <w:rPr>
          <w:rFonts w:ascii="Calibri" w:hAnsi="Calibri"/>
          <w:sz w:val="22"/>
          <w:szCs w:val="22"/>
        </w:rPr>
        <w:t>)</w:t>
      </w:r>
      <w:r w:rsidRPr="00AA193E">
        <w:rPr>
          <w:rFonts w:ascii="Calibri" w:hAnsi="Calibri"/>
          <w:sz w:val="22"/>
          <w:szCs w:val="22"/>
        </w:rPr>
        <w:t xml:space="preserve"> </w:t>
      </w:r>
    </w:p>
    <w:p w:rsidR="00781306" w:rsidRPr="00065638" w:rsidRDefault="00781306" w:rsidP="00163A4F">
      <w:pPr>
        <w:pStyle w:val="FootnoteText"/>
        <w:bidi/>
        <w:spacing w:before="240"/>
        <w:ind w:left="454" w:hanging="454"/>
        <w:rPr>
          <w:sz w:val="22"/>
          <w:szCs w:val="22"/>
        </w:rPr>
      </w:pPr>
      <w:r w:rsidRPr="00065638">
        <w:rPr>
          <w:rFonts w:hint="cs"/>
          <w:sz w:val="22"/>
          <w:szCs w:val="22"/>
          <w:rtl/>
        </w:rPr>
        <w:t xml:space="preserve">الطبري، </w:t>
      </w:r>
      <w:r w:rsidRPr="00065638">
        <w:rPr>
          <w:rFonts w:eastAsia="Times New Roman"/>
          <w:sz w:val="22"/>
          <w:szCs w:val="22"/>
          <w:rtl/>
          <w:lang w:bidi="ar-AE"/>
        </w:rPr>
        <w:t>أبو جعف</w:t>
      </w:r>
      <w:r w:rsidRPr="00065638">
        <w:rPr>
          <w:rFonts w:eastAsia="Times New Roman" w:hint="cs"/>
          <w:sz w:val="22"/>
          <w:szCs w:val="22"/>
          <w:rtl/>
          <w:lang w:bidi="ar-AE"/>
        </w:rPr>
        <w:t>ر محمد بن جرير</w:t>
      </w:r>
      <w:r w:rsidRPr="00065638">
        <w:rPr>
          <w:rFonts w:eastAsia="Times New Roman"/>
          <w:sz w:val="22"/>
          <w:szCs w:val="22"/>
          <w:rtl/>
          <w:lang w:bidi="ar-AE"/>
        </w:rPr>
        <w:t>،</w:t>
      </w:r>
      <w:r w:rsidRPr="00065638">
        <w:rPr>
          <w:rFonts w:eastAsia="Times New Roman"/>
          <w:b/>
          <w:bCs/>
          <w:sz w:val="22"/>
          <w:szCs w:val="22"/>
          <w:rtl/>
          <w:lang w:bidi="ar-AE"/>
        </w:rPr>
        <w:t xml:space="preserve"> تفسير الطبري: جامع البيان عن تأويل آي القرآن</w:t>
      </w:r>
      <w:r w:rsidRPr="00065638">
        <w:rPr>
          <w:rFonts w:eastAsia="Times New Roman"/>
          <w:sz w:val="22"/>
          <w:szCs w:val="22"/>
          <w:rtl/>
          <w:lang w:bidi="ar-AE"/>
        </w:rPr>
        <w:t xml:space="preserve"> (القاهرة: دار هجر للطباعة والنشر والتوزيع، 2001)</w:t>
      </w:r>
    </w:p>
    <w:p w:rsidR="00781306" w:rsidRDefault="00781306" w:rsidP="00781306">
      <w:pPr>
        <w:pStyle w:val="NormalWeb"/>
        <w:spacing w:before="0" w:beforeAutospacing="0" w:line="276" w:lineRule="auto"/>
        <w:ind w:left="450" w:hanging="450"/>
        <w:rPr>
          <w:rFonts w:ascii="Calibri" w:hAnsi="Calibri"/>
          <w:sz w:val="22"/>
          <w:szCs w:val="22"/>
        </w:rPr>
      </w:pPr>
      <w:r w:rsidRPr="0047384E">
        <w:rPr>
          <w:rFonts w:ascii="Calibri" w:hAnsi="Calibri"/>
          <w:sz w:val="22"/>
          <w:szCs w:val="22"/>
        </w:rPr>
        <w:t xml:space="preserve">al-Tabarī, abū Ja’far Muḥammad b. Jarīr, </w:t>
      </w:r>
      <w:r w:rsidRPr="0047384E">
        <w:rPr>
          <w:rFonts w:ascii="Calibri" w:hAnsi="Calibri"/>
          <w:i/>
          <w:iCs/>
          <w:sz w:val="22"/>
          <w:szCs w:val="22"/>
        </w:rPr>
        <w:t xml:space="preserve">Tafsīr Al-Tabarī: Jāme’ </w:t>
      </w:r>
      <w:r>
        <w:rPr>
          <w:rFonts w:ascii="Calibri" w:hAnsi="Calibri"/>
          <w:i/>
          <w:iCs/>
          <w:sz w:val="22"/>
          <w:szCs w:val="22"/>
        </w:rPr>
        <w:t>a</w:t>
      </w:r>
      <w:r w:rsidRPr="0047384E">
        <w:rPr>
          <w:rFonts w:ascii="Calibri" w:hAnsi="Calibri"/>
          <w:i/>
          <w:iCs/>
          <w:sz w:val="22"/>
          <w:szCs w:val="22"/>
        </w:rPr>
        <w:t xml:space="preserve">l-Bayān ‘an Ta’wīl Āy </w:t>
      </w:r>
      <w:r>
        <w:rPr>
          <w:rFonts w:ascii="Calibri" w:hAnsi="Calibri"/>
          <w:i/>
          <w:iCs/>
          <w:sz w:val="22"/>
          <w:szCs w:val="22"/>
        </w:rPr>
        <w:t>a</w:t>
      </w:r>
      <w:r w:rsidRPr="0047384E">
        <w:rPr>
          <w:rFonts w:ascii="Calibri" w:hAnsi="Calibri"/>
          <w:i/>
          <w:iCs/>
          <w:sz w:val="22"/>
          <w:szCs w:val="22"/>
        </w:rPr>
        <w:t xml:space="preserve">l-Qur’ān </w:t>
      </w:r>
      <w:proofErr w:type="gramStart"/>
      <w:r w:rsidRPr="0047384E">
        <w:rPr>
          <w:rFonts w:ascii="Calibri" w:hAnsi="Calibri"/>
          <w:i/>
          <w:iCs/>
          <w:sz w:val="22"/>
          <w:szCs w:val="22"/>
        </w:rPr>
        <w:t>Or</w:t>
      </w:r>
      <w:proofErr w:type="gramEnd"/>
      <w:r w:rsidRPr="0047384E">
        <w:rPr>
          <w:rFonts w:ascii="Calibri" w:hAnsi="Calibri"/>
          <w:i/>
          <w:iCs/>
          <w:sz w:val="22"/>
          <w:szCs w:val="22"/>
        </w:rPr>
        <w:t xml:space="preserve"> Al-Tabarī Qur’ān Commentary: The Complete Elucidation about the Interpretation of the Verses of the Qur’ān </w:t>
      </w:r>
      <w:r>
        <w:rPr>
          <w:rFonts w:ascii="Calibri" w:hAnsi="Calibri"/>
          <w:sz w:val="22"/>
          <w:szCs w:val="22"/>
        </w:rPr>
        <w:t>(Cairo: Dār Hajr l'a</w:t>
      </w:r>
      <w:r w:rsidRPr="0047384E">
        <w:rPr>
          <w:rFonts w:ascii="Calibri" w:hAnsi="Calibri"/>
          <w:sz w:val="22"/>
          <w:szCs w:val="22"/>
        </w:rPr>
        <w:t>l-Tibā’a wa’l-Nahsr wa’l-Tawzī’, 2001)</w:t>
      </w:r>
      <w:r w:rsidRPr="00AA193E">
        <w:rPr>
          <w:rFonts w:ascii="Calibri" w:hAnsi="Calibri"/>
          <w:sz w:val="22"/>
          <w:szCs w:val="22"/>
        </w:rPr>
        <w:t xml:space="preserve"> </w:t>
      </w:r>
    </w:p>
    <w:p w:rsidR="00781306" w:rsidRPr="007B5B9D" w:rsidRDefault="00781306" w:rsidP="00781306">
      <w:pPr>
        <w:pStyle w:val="NormalWeb"/>
        <w:bidi/>
        <w:spacing w:after="0" w:afterAutospacing="0" w:line="276" w:lineRule="auto"/>
        <w:ind w:left="450" w:hanging="450"/>
        <w:rPr>
          <w:rFonts w:ascii="Simplified Arabic" w:hAnsi="Simplified Arabic" w:cs="Simplified Arabic"/>
          <w:sz w:val="20"/>
          <w:szCs w:val="20"/>
        </w:rPr>
      </w:pPr>
      <w:r>
        <w:rPr>
          <w:rFonts w:ascii="Simplified Arabic" w:hAnsi="Simplified Arabic" w:cs="Simplified Arabic" w:hint="cs"/>
          <w:sz w:val="22"/>
          <w:szCs w:val="22"/>
          <w:rtl/>
          <w:lang w:bidi="ar-AE"/>
        </w:rPr>
        <w:t>---</w:t>
      </w:r>
      <w:r w:rsidRPr="007B5B9D">
        <w:rPr>
          <w:rFonts w:ascii="Simplified Arabic" w:hAnsi="Simplified Arabic" w:cs="Simplified Arabic"/>
          <w:sz w:val="22"/>
          <w:szCs w:val="22"/>
          <w:rtl/>
          <w:lang w:bidi="ar-AE"/>
        </w:rPr>
        <w:t xml:space="preserve"> </w:t>
      </w:r>
      <w:r w:rsidRPr="007B5B9D">
        <w:rPr>
          <w:rFonts w:ascii="Simplified Arabic" w:hAnsi="Simplified Arabic" w:cs="Simplified Arabic"/>
          <w:b/>
          <w:bCs/>
          <w:sz w:val="22"/>
          <w:szCs w:val="22"/>
          <w:rtl/>
          <w:lang w:bidi="ar-AE"/>
        </w:rPr>
        <w:t>تاريخ الرسل والملوك</w:t>
      </w:r>
      <w:r w:rsidRPr="007B5B9D">
        <w:rPr>
          <w:rFonts w:ascii="Simplified Arabic" w:hAnsi="Simplified Arabic" w:cs="Simplified Arabic"/>
          <w:sz w:val="22"/>
          <w:szCs w:val="22"/>
          <w:rtl/>
          <w:lang w:bidi="ar-AE"/>
        </w:rPr>
        <w:t xml:space="preserve"> (بيروت: دار التراث، 1387 هـ)</w:t>
      </w:r>
    </w:p>
    <w:p w:rsidR="00781306" w:rsidRDefault="00781306" w:rsidP="00781306">
      <w:pPr>
        <w:pStyle w:val="NormalWeb"/>
        <w:spacing w:before="0" w:beforeAutospacing="0" w:line="276" w:lineRule="auto"/>
        <w:ind w:left="450" w:hanging="450"/>
        <w:rPr>
          <w:rFonts w:ascii="Calibri" w:hAnsi="Calibri"/>
          <w:iCs/>
          <w:sz w:val="22"/>
          <w:szCs w:val="22"/>
        </w:rPr>
      </w:pPr>
      <w:r w:rsidRPr="007B5B9D">
        <w:rPr>
          <w:rFonts w:ascii="Calibri" w:hAnsi="Calibri"/>
          <w:iCs/>
          <w:sz w:val="22"/>
          <w:szCs w:val="22"/>
        </w:rPr>
        <w:t xml:space="preserve">--- </w:t>
      </w:r>
      <w:r w:rsidRPr="007B5B9D">
        <w:rPr>
          <w:rFonts w:ascii="Calibri" w:hAnsi="Calibri"/>
          <w:i/>
          <w:sz w:val="22"/>
          <w:szCs w:val="22"/>
        </w:rPr>
        <w:t>Tārīkh al-Rusul w-al-Mulūk or History of Prophets and</w:t>
      </w:r>
      <w:r w:rsidRPr="007B5B9D">
        <w:rPr>
          <w:rFonts w:ascii="Calibri" w:hAnsi="Calibri"/>
          <w:iCs/>
          <w:sz w:val="22"/>
          <w:szCs w:val="22"/>
        </w:rPr>
        <w:t xml:space="preserve"> </w:t>
      </w:r>
      <w:r w:rsidRPr="00D041EF">
        <w:rPr>
          <w:rFonts w:ascii="Calibri" w:hAnsi="Calibri"/>
          <w:i/>
          <w:sz w:val="22"/>
          <w:szCs w:val="22"/>
        </w:rPr>
        <w:t>Kings</w:t>
      </w:r>
      <w:r w:rsidRPr="007B5B9D">
        <w:rPr>
          <w:rFonts w:ascii="Calibri" w:hAnsi="Calibri"/>
          <w:iCs/>
          <w:sz w:val="22"/>
          <w:szCs w:val="22"/>
        </w:rPr>
        <w:t xml:space="preserve"> (Beir</w:t>
      </w:r>
      <w:r>
        <w:rPr>
          <w:rFonts w:ascii="Calibri" w:hAnsi="Calibri"/>
          <w:iCs/>
          <w:sz w:val="22"/>
          <w:szCs w:val="22"/>
        </w:rPr>
        <w:t>ut: Dār al-Turāth, 1387 hijri)</w:t>
      </w:r>
    </w:p>
    <w:p w:rsidR="00781306" w:rsidRPr="00176386" w:rsidRDefault="00781306" w:rsidP="00781306">
      <w:pPr>
        <w:pStyle w:val="NormalWeb"/>
        <w:bidi/>
        <w:spacing w:before="0" w:beforeAutospacing="0" w:after="0" w:afterAutospacing="0" w:line="276" w:lineRule="auto"/>
        <w:ind w:left="450" w:hanging="450"/>
        <w:rPr>
          <w:rFonts w:ascii="Simplified Arabic" w:hAnsi="Simplified Arabic" w:cs="Simplified Arabic"/>
        </w:rPr>
      </w:pPr>
      <w:r>
        <w:rPr>
          <w:rFonts w:ascii="Simplified Arabic" w:hAnsi="Simplified Arabic" w:cs="Simplified Arabic" w:hint="cs"/>
          <w:sz w:val="22"/>
          <w:szCs w:val="22"/>
          <w:rtl/>
          <w:lang w:bidi="ar-AE"/>
        </w:rPr>
        <w:t xml:space="preserve">الطحان، </w:t>
      </w:r>
      <w:r>
        <w:rPr>
          <w:rFonts w:ascii="Simplified Arabic" w:hAnsi="Simplified Arabic" w:cs="Simplified Arabic"/>
          <w:sz w:val="22"/>
          <w:szCs w:val="22"/>
          <w:rtl/>
          <w:lang w:bidi="ar-AE"/>
        </w:rPr>
        <w:t>محمود</w:t>
      </w:r>
      <w:r w:rsidRPr="00176386">
        <w:rPr>
          <w:rFonts w:ascii="Simplified Arabic" w:hAnsi="Simplified Arabic" w:cs="Simplified Arabic"/>
          <w:sz w:val="22"/>
          <w:szCs w:val="22"/>
          <w:rtl/>
          <w:lang w:bidi="ar-AE"/>
        </w:rPr>
        <w:t>،</w:t>
      </w:r>
      <w:r w:rsidRPr="00176386">
        <w:rPr>
          <w:rFonts w:ascii="Simplified Arabic" w:hAnsi="Simplified Arabic" w:cs="Simplified Arabic"/>
          <w:b/>
          <w:bCs/>
          <w:sz w:val="22"/>
          <w:szCs w:val="22"/>
          <w:rtl/>
          <w:lang w:bidi="ar-AE"/>
        </w:rPr>
        <w:t xml:space="preserve"> أصول التخريج ودراسة الأسانيد</w:t>
      </w:r>
      <w:r w:rsidRPr="00176386">
        <w:rPr>
          <w:rFonts w:ascii="Simplified Arabic" w:hAnsi="Simplified Arabic" w:cs="Simplified Arabic"/>
          <w:sz w:val="22"/>
          <w:szCs w:val="22"/>
          <w:rtl/>
          <w:lang w:bidi="ar-AE"/>
        </w:rPr>
        <w:t xml:space="preserve"> (الرياض: مكتبة المعارف للنشر والتوزيع، 1996</w:t>
      </w:r>
      <w:r>
        <w:rPr>
          <w:rFonts w:ascii="Simplified Arabic" w:hAnsi="Simplified Arabic" w:cs="Simplified Arabic" w:hint="cs"/>
          <w:sz w:val="22"/>
          <w:szCs w:val="22"/>
          <w:rtl/>
          <w:lang w:bidi="ar-AE"/>
        </w:rPr>
        <w:t>)</w:t>
      </w:r>
    </w:p>
    <w:p w:rsidR="00781306" w:rsidRDefault="00781306" w:rsidP="00781306">
      <w:pPr>
        <w:pStyle w:val="NormalWeb"/>
        <w:spacing w:before="0" w:beforeAutospacing="0" w:line="276" w:lineRule="auto"/>
        <w:ind w:left="450" w:hanging="450"/>
        <w:rPr>
          <w:rFonts w:ascii="Calibri" w:hAnsi="Calibri"/>
          <w:sz w:val="22"/>
          <w:szCs w:val="22"/>
        </w:rPr>
      </w:pPr>
      <w:proofErr w:type="gramStart"/>
      <w:r w:rsidRPr="00AA193E">
        <w:rPr>
          <w:rFonts w:ascii="Calibri" w:hAnsi="Calibri"/>
          <w:sz w:val="22"/>
          <w:szCs w:val="22"/>
        </w:rPr>
        <w:t>al-Ṭaḥḥān</w:t>
      </w:r>
      <w:proofErr w:type="gramEnd"/>
      <w:r w:rsidRPr="00AA193E">
        <w:rPr>
          <w:rFonts w:ascii="Calibri" w:hAnsi="Calibri"/>
          <w:sz w:val="22"/>
          <w:szCs w:val="22"/>
        </w:rPr>
        <w:t xml:space="preserve">, Maḥmūd, </w:t>
      </w:r>
      <w:r w:rsidRPr="00AA193E">
        <w:rPr>
          <w:rFonts w:ascii="Calibri" w:hAnsi="Calibri"/>
          <w:i/>
          <w:iCs/>
          <w:sz w:val="22"/>
          <w:szCs w:val="22"/>
        </w:rPr>
        <w:t>Usūl Al-Takhrīj Or the Fundamentals of Ḥadīth Tracking</w:t>
      </w:r>
      <w:r w:rsidRPr="00AA193E">
        <w:rPr>
          <w:rFonts w:ascii="Calibri" w:hAnsi="Calibri"/>
          <w:sz w:val="22"/>
          <w:szCs w:val="22"/>
        </w:rPr>
        <w:t xml:space="preserve"> (Riyadh: Maktabat al-Ma'ārif lil-Nashr wal-Tawzī', 1996) </w:t>
      </w:r>
    </w:p>
    <w:p w:rsidR="00781306" w:rsidRPr="00657894" w:rsidRDefault="00781306" w:rsidP="00781306">
      <w:pPr>
        <w:pStyle w:val="FootnoteText"/>
        <w:bidi/>
        <w:ind w:left="454" w:hanging="454"/>
        <w:rPr>
          <w:rFonts w:ascii="Simplified Arabic" w:hAnsi="Simplified Arabic" w:cs="Simplified Arabic"/>
          <w:sz w:val="22"/>
          <w:szCs w:val="22"/>
          <w:rtl/>
          <w:lang w:bidi="ar-AE"/>
        </w:rPr>
      </w:pPr>
      <w:r w:rsidRPr="00657894">
        <w:rPr>
          <w:rFonts w:ascii="Simplified Arabic" w:hAnsi="Simplified Arabic" w:cs="Simplified Arabic"/>
          <w:sz w:val="22"/>
          <w:szCs w:val="22"/>
          <w:rtl/>
          <w:lang w:bidi="ar-AE"/>
        </w:rPr>
        <w:t>الثعلبي، أحمد بن محمد بن إبراهيم،</w:t>
      </w:r>
      <w:r w:rsidRPr="00657894">
        <w:rPr>
          <w:rFonts w:ascii="Simplified Arabic" w:hAnsi="Simplified Arabic" w:cs="Simplified Arabic"/>
          <w:b/>
          <w:bCs/>
          <w:sz w:val="22"/>
          <w:szCs w:val="22"/>
          <w:rtl/>
          <w:lang w:bidi="ar-AE"/>
        </w:rPr>
        <w:t xml:space="preserve"> الكشف والبيان عن تفسير القرآن</w:t>
      </w:r>
      <w:r w:rsidRPr="00657894">
        <w:rPr>
          <w:rFonts w:ascii="Simplified Arabic" w:hAnsi="Simplified Arabic" w:cs="Simplified Arabic"/>
          <w:sz w:val="22"/>
          <w:szCs w:val="22"/>
          <w:rtl/>
          <w:lang w:bidi="ar-AE"/>
        </w:rPr>
        <w:t>، تحقيق الإمام أبي محمد بن عاشور (بيروت: دار إحياء التراث العربي، 2002)</w:t>
      </w:r>
    </w:p>
    <w:p w:rsidR="00781306" w:rsidRDefault="00781306" w:rsidP="00781306">
      <w:pPr>
        <w:pStyle w:val="FootnoteText"/>
        <w:spacing w:line="276" w:lineRule="auto"/>
        <w:ind w:left="426" w:hanging="426"/>
        <w:rPr>
          <w:rFonts w:eastAsia="Times New Roman" w:cs="Times New Roman"/>
          <w:sz w:val="22"/>
          <w:szCs w:val="22"/>
          <w:lang w:bidi="ar-AE"/>
        </w:rPr>
      </w:pPr>
      <w:proofErr w:type="gramStart"/>
      <w:r w:rsidRPr="00657894">
        <w:rPr>
          <w:rFonts w:eastAsia="Times New Roman" w:cs="Times New Roman"/>
          <w:sz w:val="22"/>
          <w:szCs w:val="22"/>
        </w:rPr>
        <w:t>al-Tha'labī</w:t>
      </w:r>
      <w:proofErr w:type="gramEnd"/>
      <w:r w:rsidRPr="00657894">
        <w:rPr>
          <w:rFonts w:eastAsia="Times New Roman" w:cs="Times New Roman"/>
          <w:sz w:val="22"/>
          <w:szCs w:val="22"/>
        </w:rPr>
        <w:t>, Aḥmad b. Muḥammad b. Ibrāhīm</w:t>
      </w:r>
      <w:r>
        <w:rPr>
          <w:rFonts w:eastAsia="Times New Roman" w:cs="Times New Roman"/>
          <w:sz w:val="22"/>
          <w:szCs w:val="22"/>
        </w:rPr>
        <w:t>,</w:t>
      </w:r>
      <w:r w:rsidRPr="00657894">
        <w:rPr>
          <w:rFonts w:eastAsia="Times New Roman" w:cs="Times New Roman"/>
          <w:sz w:val="22"/>
          <w:szCs w:val="22"/>
        </w:rPr>
        <w:t xml:space="preserve"> </w:t>
      </w:r>
      <w:r w:rsidRPr="00657894">
        <w:rPr>
          <w:rFonts w:eastAsia="Times New Roman" w:cs="Times New Roman"/>
          <w:i/>
          <w:iCs/>
          <w:sz w:val="22"/>
          <w:szCs w:val="22"/>
        </w:rPr>
        <w:t>al-Kashf wa'l-Bayān 'an Taf</w:t>
      </w:r>
      <w:r>
        <w:rPr>
          <w:rFonts w:eastAsia="Times New Roman" w:cs="Times New Roman"/>
          <w:i/>
          <w:iCs/>
          <w:sz w:val="22"/>
          <w:szCs w:val="22"/>
        </w:rPr>
        <w:t>s</w:t>
      </w:r>
      <w:r w:rsidRPr="00657894">
        <w:rPr>
          <w:rFonts w:eastAsia="Times New Roman" w:cs="Times New Roman"/>
          <w:i/>
          <w:iCs/>
          <w:sz w:val="22"/>
          <w:szCs w:val="22"/>
        </w:rPr>
        <w:t xml:space="preserve">īr al-Qur'ān Or </w:t>
      </w:r>
      <w:r w:rsidRPr="00657894">
        <w:rPr>
          <w:rFonts w:eastAsia="Times New Roman" w:cs="Times New Roman"/>
          <w:i/>
          <w:iCs/>
          <w:sz w:val="22"/>
          <w:szCs w:val="22"/>
          <w:lang w:bidi="ar-AE"/>
        </w:rPr>
        <w:t>The Unveiling and Clarification on Qur'ānic Exegesis</w:t>
      </w:r>
      <w:r w:rsidRPr="00657894">
        <w:rPr>
          <w:rFonts w:eastAsia="Times New Roman" w:cs="Times New Roman"/>
          <w:sz w:val="22"/>
          <w:szCs w:val="22"/>
          <w:lang w:bidi="ar-AE"/>
        </w:rPr>
        <w:t>, ed. by Imām Abū Muḥammad b. 'Āshūr (Beirut: Dār Iḥyā' al-Turāth al-'Arabi, 2002)</w:t>
      </w:r>
    </w:p>
    <w:p w:rsidR="00781306" w:rsidRDefault="00781306" w:rsidP="00781306">
      <w:pPr>
        <w:pStyle w:val="FootnoteText"/>
        <w:spacing w:line="276" w:lineRule="auto"/>
        <w:ind w:left="426" w:hanging="426"/>
        <w:rPr>
          <w:rFonts w:eastAsia="Times New Roman" w:cs="Times New Roman"/>
          <w:sz w:val="22"/>
          <w:szCs w:val="22"/>
          <w:lang w:bidi="ar-AE"/>
        </w:rPr>
      </w:pPr>
    </w:p>
    <w:p w:rsidR="00781306" w:rsidRPr="00FC7EBE" w:rsidRDefault="00781306" w:rsidP="00781306">
      <w:pPr>
        <w:pStyle w:val="FootnoteText"/>
        <w:bidi/>
        <w:rPr>
          <w:rFonts w:ascii="Simplified Arabic" w:hAnsi="Simplified Arabic" w:cs="Simplified Arabic"/>
          <w:sz w:val="22"/>
          <w:szCs w:val="22"/>
          <w:rtl/>
          <w:lang w:bidi="ar-AE"/>
        </w:rPr>
      </w:pPr>
      <w:r w:rsidRPr="00FC7EBE">
        <w:rPr>
          <w:rFonts w:ascii="Simplified Arabic" w:hAnsi="Simplified Arabic" w:cs="Simplified Arabic"/>
          <w:sz w:val="22"/>
          <w:szCs w:val="22"/>
          <w:rtl/>
          <w:lang w:bidi="ar-AE"/>
        </w:rPr>
        <w:t>الذهبي، شمس الدين أبو عبدالله محمد بن أحمد،</w:t>
      </w:r>
      <w:r w:rsidRPr="00FC7EBE">
        <w:rPr>
          <w:rFonts w:ascii="Simplified Arabic" w:hAnsi="Simplified Arabic" w:cs="Simplified Arabic"/>
          <w:b/>
          <w:bCs/>
          <w:sz w:val="22"/>
          <w:szCs w:val="22"/>
          <w:rtl/>
          <w:lang w:bidi="ar-AE"/>
        </w:rPr>
        <w:t xml:space="preserve"> سير أعلام النبلاء</w:t>
      </w:r>
      <w:r w:rsidRPr="00FC7EBE">
        <w:rPr>
          <w:rFonts w:ascii="Simplified Arabic" w:hAnsi="Simplified Arabic" w:cs="Simplified Arabic"/>
          <w:sz w:val="22"/>
          <w:szCs w:val="22"/>
          <w:rtl/>
          <w:lang w:bidi="ar-AE"/>
        </w:rPr>
        <w:t xml:space="preserve"> (دمشق: </w:t>
      </w:r>
      <w:r>
        <w:rPr>
          <w:rFonts w:ascii="Simplified Arabic" w:hAnsi="Simplified Arabic" w:cs="Simplified Arabic"/>
          <w:sz w:val="22"/>
          <w:szCs w:val="22"/>
          <w:rtl/>
          <w:lang w:bidi="ar-AE"/>
        </w:rPr>
        <w:t>مؤسسة الرسالة، 1985)</w:t>
      </w:r>
    </w:p>
    <w:p w:rsidR="00781306" w:rsidRPr="00657894" w:rsidRDefault="00781306" w:rsidP="00781306">
      <w:pPr>
        <w:pStyle w:val="FootnoteText"/>
        <w:ind w:left="426" w:hanging="426"/>
        <w:rPr>
          <w:sz w:val="22"/>
          <w:szCs w:val="22"/>
          <w:lang w:bidi="ar-AE"/>
        </w:rPr>
      </w:pPr>
      <w:proofErr w:type="gramStart"/>
      <w:r w:rsidRPr="00FC7EBE">
        <w:rPr>
          <w:sz w:val="22"/>
          <w:szCs w:val="22"/>
          <w:lang w:bidi="ar-AE"/>
        </w:rPr>
        <w:t>al-Thahabī</w:t>
      </w:r>
      <w:proofErr w:type="gramEnd"/>
      <w:r w:rsidRPr="00FC7EBE">
        <w:rPr>
          <w:sz w:val="22"/>
          <w:szCs w:val="22"/>
          <w:lang w:bidi="ar-AE"/>
        </w:rPr>
        <w:t>,</w:t>
      </w:r>
      <w:r w:rsidRPr="00FC7EBE">
        <w:rPr>
          <w:i/>
          <w:iCs/>
          <w:sz w:val="22"/>
          <w:szCs w:val="22"/>
          <w:lang w:bidi="ar-AE"/>
        </w:rPr>
        <w:t xml:space="preserve"> </w:t>
      </w:r>
      <w:r w:rsidRPr="00FC7EBE">
        <w:rPr>
          <w:sz w:val="22"/>
          <w:szCs w:val="22"/>
          <w:lang w:bidi="ar-AE"/>
        </w:rPr>
        <w:t>Shams al-Dīn abū 'Abdulla Muḥammad b. Aḥmad,</w:t>
      </w:r>
      <w:r w:rsidRPr="00FC7EBE">
        <w:rPr>
          <w:i/>
          <w:iCs/>
          <w:sz w:val="22"/>
          <w:szCs w:val="22"/>
          <w:lang w:bidi="ar-AE"/>
        </w:rPr>
        <w:t xml:space="preserve"> Sīyar 'Alām al-Nubalā' Or The Lives of Noble Figures</w:t>
      </w:r>
      <w:r w:rsidRPr="00FC7EBE">
        <w:rPr>
          <w:sz w:val="22"/>
          <w:szCs w:val="22"/>
          <w:lang w:bidi="ar-AE"/>
        </w:rPr>
        <w:t xml:space="preserve"> (Damascus</w:t>
      </w:r>
      <w:r>
        <w:rPr>
          <w:sz w:val="22"/>
          <w:szCs w:val="22"/>
          <w:lang w:bidi="ar-AE"/>
        </w:rPr>
        <w:t>: Mu'asassat al-Risālah, 1985)</w:t>
      </w:r>
    </w:p>
    <w:p w:rsidR="00781306" w:rsidRPr="00F20630" w:rsidRDefault="00781306" w:rsidP="00781306">
      <w:pPr>
        <w:pStyle w:val="NormalWeb"/>
        <w:bidi/>
        <w:spacing w:after="0" w:afterAutospacing="0" w:line="276" w:lineRule="auto"/>
        <w:ind w:left="450" w:hanging="450"/>
        <w:rPr>
          <w:rFonts w:ascii="Simplified Arabic" w:hAnsi="Simplified Arabic" w:cs="Simplified Arabic"/>
          <w:sz w:val="22"/>
          <w:szCs w:val="22"/>
          <w:rtl/>
        </w:rPr>
      </w:pPr>
      <w:r w:rsidRPr="00F20630">
        <w:rPr>
          <w:rFonts w:ascii="Simplified Arabic" w:hAnsi="Simplified Arabic" w:cs="Simplified Arabic"/>
          <w:sz w:val="22"/>
          <w:szCs w:val="22"/>
          <w:rtl/>
          <w:lang w:bidi="ar-AE"/>
        </w:rPr>
        <w:t xml:space="preserve">الذهبي، محمد حسين، </w:t>
      </w:r>
      <w:r w:rsidRPr="00F20630">
        <w:rPr>
          <w:rFonts w:ascii="Simplified Arabic" w:hAnsi="Simplified Arabic" w:cs="Simplified Arabic"/>
          <w:b/>
          <w:bCs/>
          <w:sz w:val="22"/>
          <w:szCs w:val="22"/>
          <w:rtl/>
          <w:lang w:bidi="ar-AE"/>
        </w:rPr>
        <w:t xml:space="preserve">التفسير والمفسرون </w:t>
      </w:r>
      <w:r w:rsidRPr="00F20630">
        <w:rPr>
          <w:rFonts w:ascii="Simplified Arabic" w:hAnsi="Simplified Arabic" w:cs="Simplified Arabic"/>
          <w:sz w:val="22"/>
          <w:szCs w:val="22"/>
          <w:rtl/>
          <w:lang w:bidi="ar-AE"/>
        </w:rPr>
        <w:t>(القاهرة: مكتبة وهبة، ب.ت)</w:t>
      </w:r>
    </w:p>
    <w:p w:rsidR="00781306" w:rsidRPr="00AA193E" w:rsidRDefault="00781306" w:rsidP="00781306">
      <w:pPr>
        <w:pStyle w:val="FootnoteText"/>
        <w:ind w:left="426" w:hanging="426"/>
        <w:rPr>
          <w:sz w:val="22"/>
          <w:szCs w:val="22"/>
        </w:rPr>
      </w:pPr>
      <w:proofErr w:type="gramStart"/>
      <w:r w:rsidRPr="003901C2">
        <w:rPr>
          <w:sz w:val="22"/>
          <w:szCs w:val="22"/>
        </w:rPr>
        <w:t>al-Thahabī</w:t>
      </w:r>
      <w:proofErr w:type="gramEnd"/>
      <w:r w:rsidRPr="003901C2">
        <w:rPr>
          <w:sz w:val="22"/>
          <w:szCs w:val="22"/>
        </w:rPr>
        <w:t>, Muḥammad Ḥussaīn</w:t>
      </w:r>
      <w:r>
        <w:rPr>
          <w:sz w:val="22"/>
          <w:szCs w:val="22"/>
        </w:rPr>
        <w:t>,</w:t>
      </w:r>
      <w:r w:rsidRPr="003901C2">
        <w:rPr>
          <w:sz w:val="22"/>
          <w:szCs w:val="22"/>
        </w:rPr>
        <w:t xml:space="preserve"> </w:t>
      </w:r>
      <w:r w:rsidRPr="003901C2">
        <w:rPr>
          <w:i/>
          <w:iCs/>
          <w:sz w:val="22"/>
          <w:szCs w:val="22"/>
        </w:rPr>
        <w:t>al-Tafsīr w'al-Mufassirūn</w:t>
      </w:r>
      <w:r w:rsidRPr="003901C2">
        <w:rPr>
          <w:sz w:val="22"/>
          <w:szCs w:val="22"/>
        </w:rPr>
        <w:t xml:space="preserve"> </w:t>
      </w:r>
      <w:r w:rsidRPr="003901C2">
        <w:rPr>
          <w:i/>
          <w:iCs/>
          <w:sz w:val="22"/>
          <w:szCs w:val="22"/>
        </w:rPr>
        <w:t xml:space="preserve">Or Exegesis and Exegetes </w:t>
      </w:r>
      <w:r>
        <w:rPr>
          <w:sz w:val="22"/>
          <w:szCs w:val="22"/>
        </w:rPr>
        <w:t>(Cairo: Maktabat Wahbah, n.d.)</w:t>
      </w:r>
    </w:p>
    <w:p w:rsidR="00781306" w:rsidRPr="00ED6991" w:rsidRDefault="00781306" w:rsidP="00781306">
      <w:pPr>
        <w:pStyle w:val="NormalWeb"/>
        <w:bidi/>
        <w:spacing w:after="0" w:afterAutospacing="0" w:line="276" w:lineRule="auto"/>
        <w:ind w:left="450" w:hanging="450"/>
        <w:rPr>
          <w:rFonts w:ascii="Simplified Arabic" w:hAnsi="Simplified Arabic" w:cs="Simplified Arabic"/>
          <w:rtl/>
        </w:rPr>
      </w:pPr>
      <w:r w:rsidRPr="00ED6991">
        <w:rPr>
          <w:rFonts w:ascii="Simplified Arabic" w:hAnsi="Simplified Arabic" w:cs="Simplified Arabic"/>
          <w:sz w:val="22"/>
          <w:szCs w:val="22"/>
          <w:rtl/>
          <w:lang w:bidi="ar-AE"/>
        </w:rPr>
        <w:t xml:space="preserve">الترمذي، محمد بن عيسى الضحاك، </w:t>
      </w:r>
      <w:r w:rsidRPr="00ED6991">
        <w:rPr>
          <w:rFonts w:ascii="Simplified Arabic" w:hAnsi="Simplified Arabic" w:cs="Simplified Arabic"/>
          <w:b/>
          <w:bCs/>
          <w:sz w:val="22"/>
          <w:szCs w:val="22"/>
          <w:rtl/>
          <w:lang w:bidi="ar-AE"/>
        </w:rPr>
        <w:t>جامع الترمذي</w:t>
      </w:r>
      <w:r w:rsidRPr="00ED6991">
        <w:rPr>
          <w:rFonts w:ascii="Simplified Arabic" w:hAnsi="Simplified Arabic" w:cs="Simplified Arabic"/>
          <w:sz w:val="22"/>
          <w:szCs w:val="22"/>
          <w:rtl/>
          <w:lang w:bidi="ar-AE"/>
        </w:rPr>
        <w:t xml:space="preserve"> (بيروت: دار الغرب الإسلامي، 1998)</w:t>
      </w:r>
    </w:p>
    <w:p w:rsidR="00781306" w:rsidRDefault="00781306" w:rsidP="00781306">
      <w:pPr>
        <w:pStyle w:val="NormalWeb"/>
        <w:spacing w:before="0" w:beforeAutospacing="0" w:line="276" w:lineRule="auto"/>
        <w:ind w:left="450" w:hanging="450"/>
        <w:rPr>
          <w:rFonts w:ascii="Calibri" w:hAnsi="Calibri"/>
          <w:sz w:val="22"/>
          <w:szCs w:val="22"/>
        </w:rPr>
      </w:pPr>
      <w:proofErr w:type="gramStart"/>
      <w:r w:rsidRPr="00AA193E">
        <w:rPr>
          <w:rFonts w:ascii="Calibri" w:hAnsi="Calibri"/>
          <w:sz w:val="22"/>
          <w:szCs w:val="22"/>
        </w:rPr>
        <w:t>al-Tirmidhī</w:t>
      </w:r>
      <w:proofErr w:type="gramEnd"/>
      <w:r w:rsidRPr="00AA193E">
        <w:rPr>
          <w:rFonts w:ascii="Calibri" w:hAnsi="Calibri"/>
          <w:sz w:val="22"/>
          <w:szCs w:val="22"/>
        </w:rPr>
        <w:t xml:space="preserve">, Muḥammad b. ‘Issā b. al-Dhaḥāk, </w:t>
      </w:r>
      <w:r w:rsidRPr="00AA193E">
        <w:rPr>
          <w:rFonts w:ascii="Calibri" w:hAnsi="Calibri"/>
          <w:i/>
          <w:iCs/>
          <w:sz w:val="22"/>
          <w:szCs w:val="22"/>
        </w:rPr>
        <w:t>the Great Compilation</w:t>
      </w:r>
      <w:r w:rsidRPr="00AA193E">
        <w:rPr>
          <w:rFonts w:ascii="Calibri" w:hAnsi="Calibri"/>
          <w:sz w:val="22"/>
          <w:szCs w:val="22"/>
        </w:rPr>
        <w:t xml:space="preserve"> (Beirut: Dār al-Gharb al-Islāmī, 1998) </w:t>
      </w:r>
    </w:p>
    <w:p w:rsidR="00781306" w:rsidRPr="00F847E9" w:rsidRDefault="00781306" w:rsidP="00781306">
      <w:pPr>
        <w:pStyle w:val="FootnoteText"/>
        <w:bidi/>
        <w:ind w:left="454" w:hanging="454"/>
        <w:rPr>
          <w:rFonts w:ascii="Simplified Arabic" w:hAnsi="Simplified Arabic" w:cs="Simplified Arabic"/>
          <w:sz w:val="22"/>
          <w:szCs w:val="22"/>
          <w:rtl/>
          <w:lang w:bidi="ar-AE"/>
        </w:rPr>
      </w:pPr>
      <w:r>
        <w:rPr>
          <w:rFonts w:ascii="Simplified Arabic" w:hAnsi="Simplified Arabic" w:cs="Simplified Arabic" w:hint="cs"/>
          <w:sz w:val="22"/>
          <w:szCs w:val="22"/>
          <w:rtl/>
          <w:lang w:bidi="ar-AE"/>
        </w:rPr>
        <w:t xml:space="preserve">ابن الأثير، </w:t>
      </w:r>
      <w:r w:rsidRPr="00F847E9">
        <w:rPr>
          <w:rFonts w:ascii="Simplified Arabic" w:hAnsi="Simplified Arabic" w:cs="Simplified Arabic"/>
          <w:sz w:val="22"/>
          <w:szCs w:val="22"/>
          <w:rtl/>
          <w:lang w:bidi="ar-AE"/>
        </w:rPr>
        <w:t xml:space="preserve">أبو </w:t>
      </w:r>
      <w:r>
        <w:rPr>
          <w:rFonts w:ascii="Simplified Arabic" w:hAnsi="Simplified Arabic" w:cs="Simplified Arabic"/>
          <w:sz w:val="22"/>
          <w:szCs w:val="22"/>
          <w:rtl/>
          <w:lang w:bidi="ar-AE"/>
        </w:rPr>
        <w:t>الحسن علي بن أبي الكرم</w:t>
      </w:r>
      <w:r w:rsidRPr="00F847E9">
        <w:rPr>
          <w:rFonts w:ascii="Simplified Arabic" w:hAnsi="Simplified Arabic" w:cs="Simplified Arabic"/>
          <w:sz w:val="22"/>
          <w:szCs w:val="22"/>
          <w:rtl/>
          <w:lang w:bidi="ar-AE"/>
        </w:rPr>
        <w:t xml:space="preserve">، </w:t>
      </w:r>
      <w:r w:rsidRPr="00F847E9">
        <w:rPr>
          <w:rFonts w:ascii="Simplified Arabic" w:hAnsi="Simplified Arabic" w:cs="Simplified Arabic"/>
          <w:b/>
          <w:bCs/>
          <w:sz w:val="22"/>
          <w:szCs w:val="22"/>
          <w:rtl/>
          <w:lang w:bidi="ar-AE"/>
        </w:rPr>
        <w:t>الكامل في التاريخ</w:t>
      </w:r>
      <w:r w:rsidRPr="00F847E9">
        <w:rPr>
          <w:rFonts w:ascii="Simplified Arabic" w:hAnsi="Simplified Arabic" w:cs="Simplified Arabic"/>
          <w:sz w:val="22"/>
          <w:szCs w:val="22"/>
          <w:rtl/>
          <w:lang w:bidi="ar-AE"/>
        </w:rPr>
        <w:t>، تحقيق عمر عبدالسلام تدمري (بيروت: دار الكتاب العربي، 1997)</w:t>
      </w:r>
    </w:p>
    <w:p w:rsidR="00781306" w:rsidRPr="00F847E9" w:rsidRDefault="00781306" w:rsidP="00781306">
      <w:pPr>
        <w:pStyle w:val="FootnoteText"/>
        <w:ind w:left="426" w:hanging="426"/>
        <w:rPr>
          <w:iCs/>
          <w:sz w:val="22"/>
          <w:szCs w:val="22"/>
        </w:rPr>
      </w:pPr>
      <w:proofErr w:type="gramStart"/>
      <w:r w:rsidRPr="00F847E9">
        <w:rPr>
          <w:iCs/>
          <w:sz w:val="22"/>
          <w:szCs w:val="22"/>
        </w:rPr>
        <w:t>ibn</w:t>
      </w:r>
      <w:proofErr w:type="gramEnd"/>
      <w:r w:rsidRPr="00F847E9">
        <w:rPr>
          <w:iCs/>
          <w:sz w:val="22"/>
          <w:szCs w:val="22"/>
        </w:rPr>
        <w:t xml:space="preserve"> al-Athīr Abū al-</w:t>
      </w:r>
      <w:r w:rsidRPr="00F847E9">
        <w:rPr>
          <w:rFonts w:cs="Arial"/>
          <w:iCs/>
          <w:sz w:val="22"/>
          <w:szCs w:val="22"/>
        </w:rPr>
        <w:t>Ḥ</w:t>
      </w:r>
      <w:r w:rsidRPr="00F847E9">
        <w:rPr>
          <w:iCs/>
          <w:sz w:val="22"/>
          <w:szCs w:val="22"/>
        </w:rPr>
        <w:t xml:space="preserve">asan 'Alī b. Abī al-Karam, </w:t>
      </w:r>
      <w:r w:rsidRPr="002A019B">
        <w:rPr>
          <w:i/>
          <w:sz w:val="22"/>
          <w:szCs w:val="22"/>
        </w:rPr>
        <w:t xml:space="preserve">al-Kāmil fī'l-Tārīkh </w:t>
      </w:r>
      <w:r>
        <w:rPr>
          <w:i/>
          <w:sz w:val="22"/>
          <w:szCs w:val="22"/>
        </w:rPr>
        <w:t>O</w:t>
      </w:r>
      <w:r w:rsidRPr="002A019B">
        <w:rPr>
          <w:i/>
          <w:sz w:val="22"/>
          <w:szCs w:val="22"/>
        </w:rPr>
        <w:t>r</w:t>
      </w:r>
      <w:r w:rsidRPr="00F847E9">
        <w:rPr>
          <w:iCs/>
          <w:sz w:val="22"/>
          <w:szCs w:val="22"/>
        </w:rPr>
        <w:t xml:space="preserve"> </w:t>
      </w:r>
      <w:r w:rsidRPr="00F847E9">
        <w:rPr>
          <w:i/>
          <w:sz w:val="22"/>
          <w:szCs w:val="22"/>
        </w:rPr>
        <w:t>The Complete History</w:t>
      </w:r>
      <w:r w:rsidRPr="00F847E9">
        <w:rPr>
          <w:iCs/>
          <w:sz w:val="22"/>
          <w:szCs w:val="22"/>
        </w:rPr>
        <w:t xml:space="preserve"> (Beirut: Dār al-Kitāb al-'Arabī, 1997)</w:t>
      </w:r>
    </w:p>
    <w:p w:rsidR="00781306" w:rsidRPr="00910E54" w:rsidRDefault="00781306" w:rsidP="00781306">
      <w:pPr>
        <w:pStyle w:val="NormalWeb"/>
        <w:bidi/>
        <w:spacing w:after="0" w:afterAutospacing="0" w:line="276" w:lineRule="auto"/>
        <w:ind w:left="450" w:hanging="450"/>
        <w:rPr>
          <w:rFonts w:ascii="Simplified Arabic" w:hAnsi="Simplified Arabic" w:cs="Simplified Arabic"/>
          <w:sz w:val="20"/>
          <w:szCs w:val="20"/>
        </w:rPr>
      </w:pPr>
      <w:r>
        <w:rPr>
          <w:rFonts w:ascii="Simplified Arabic" w:hAnsi="Simplified Arabic" w:cs="Simplified Arabic" w:hint="cs"/>
          <w:sz w:val="22"/>
          <w:szCs w:val="22"/>
          <w:rtl/>
          <w:lang w:bidi="ar-AE"/>
        </w:rPr>
        <w:t xml:space="preserve">--- </w:t>
      </w:r>
      <w:r w:rsidRPr="00910E54">
        <w:rPr>
          <w:rFonts w:ascii="Simplified Arabic" w:hAnsi="Simplified Arabic" w:cs="Simplified Arabic"/>
          <w:b/>
          <w:bCs/>
          <w:sz w:val="22"/>
          <w:szCs w:val="22"/>
          <w:rtl/>
          <w:lang w:bidi="ar-AE"/>
        </w:rPr>
        <w:t>البداية والنهاية</w:t>
      </w:r>
      <w:r w:rsidRPr="00910E54">
        <w:rPr>
          <w:rFonts w:ascii="Simplified Arabic" w:hAnsi="Simplified Arabic" w:cs="Simplified Arabic"/>
          <w:sz w:val="22"/>
          <w:szCs w:val="22"/>
          <w:rtl/>
          <w:lang w:bidi="ar-AE"/>
        </w:rPr>
        <w:t>، تحقيق عبدالله بن عبدالمحسن التركي (القاهرة: دار هجر للطباعة والنشر والتوزيع، 1997)</w:t>
      </w:r>
    </w:p>
    <w:p w:rsidR="00781306" w:rsidRDefault="00781306" w:rsidP="00781306">
      <w:pPr>
        <w:pStyle w:val="NormalWeb"/>
        <w:spacing w:before="0" w:beforeAutospacing="0" w:line="276" w:lineRule="auto"/>
        <w:ind w:left="450" w:hanging="450"/>
        <w:rPr>
          <w:rFonts w:ascii="Calibri" w:hAnsi="Calibri"/>
          <w:sz w:val="22"/>
          <w:szCs w:val="22"/>
          <w:rtl/>
        </w:rPr>
      </w:pPr>
      <w:r>
        <w:rPr>
          <w:rFonts w:ascii="Calibri" w:hAnsi="Calibri"/>
          <w:sz w:val="22"/>
          <w:szCs w:val="22"/>
        </w:rPr>
        <w:t>---</w:t>
      </w:r>
      <w:r w:rsidRPr="00AA193E">
        <w:rPr>
          <w:rFonts w:ascii="Calibri" w:hAnsi="Calibri"/>
          <w:sz w:val="22"/>
          <w:szCs w:val="22"/>
        </w:rPr>
        <w:t xml:space="preserve"> </w:t>
      </w:r>
      <w:r w:rsidRPr="00AA193E">
        <w:rPr>
          <w:rFonts w:ascii="Calibri" w:hAnsi="Calibri"/>
          <w:i/>
          <w:iCs/>
          <w:sz w:val="22"/>
          <w:szCs w:val="22"/>
        </w:rPr>
        <w:t xml:space="preserve">Al-Bidāya Wal-Nihāya </w:t>
      </w:r>
      <w:proofErr w:type="gramStart"/>
      <w:r w:rsidRPr="00AA193E">
        <w:rPr>
          <w:rFonts w:ascii="Calibri" w:hAnsi="Calibri"/>
          <w:i/>
          <w:iCs/>
          <w:sz w:val="22"/>
          <w:szCs w:val="22"/>
        </w:rPr>
        <w:t>Or</w:t>
      </w:r>
      <w:proofErr w:type="gramEnd"/>
      <w:r w:rsidRPr="00AA193E">
        <w:rPr>
          <w:rFonts w:ascii="Calibri" w:hAnsi="Calibri"/>
          <w:i/>
          <w:iCs/>
          <w:sz w:val="22"/>
          <w:szCs w:val="22"/>
        </w:rPr>
        <w:t xml:space="preserve"> the Beginning and the End</w:t>
      </w:r>
      <w:r w:rsidRPr="00AA193E">
        <w:rPr>
          <w:rFonts w:ascii="Calibri" w:hAnsi="Calibri"/>
          <w:sz w:val="22"/>
          <w:szCs w:val="22"/>
        </w:rPr>
        <w:t xml:space="preserve"> (Cairo: Dār Hajar lil-Ṭibā'a wal-Nashr wal-Tawzī', 1997) </w:t>
      </w:r>
    </w:p>
    <w:p w:rsidR="00781306" w:rsidRDefault="00781306" w:rsidP="00781306">
      <w:pPr>
        <w:pStyle w:val="NormalWeb"/>
        <w:bidi/>
        <w:spacing w:before="0" w:beforeAutospacing="0" w:after="0" w:afterAutospacing="0"/>
        <w:ind w:left="450" w:hanging="450"/>
        <w:rPr>
          <w:rFonts w:ascii="Calibri" w:hAnsi="Calibri"/>
          <w:sz w:val="22"/>
          <w:szCs w:val="22"/>
        </w:rPr>
      </w:pPr>
      <w:r>
        <w:rPr>
          <w:rFonts w:hint="cs"/>
          <w:sz w:val="20"/>
          <w:szCs w:val="20"/>
          <w:rtl/>
          <w:lang w:bidi="ar-AE"/>
        </w:rPr>
        <w:lastRenderedPageBreak/>
        <w:t>---</w:t>
      </w:r>
      <w:r w:rsidRPr="00221610">
        <w:rPr>
          <w:rFonts w:hint="cs"/>
          <w:sz w:val="20"/>
          <w:szCs w:val="20"/>
          <w:rtl/>
          <w:lang w:bidi="ar-AE"/>
        </w:rPr>
        <w:t xml:space="preserve"> </w:t>
      </w:r>
      <w:r w:rsidRPr="005B648F">
        <w:rPr>
          <w:rFonts w:ascii="Simplified Arabic" w:hAnsi="Simplified Arabic" w:cs="Simplified Arabic"/>
          <w:b/>
          <w:bCs/>
          <w:sz w:val="22"/>
          <w:szCs w:val="22"/>
          <w:rtl/>
          <w:lang w:bidi="ar-AE"/>
        </w:rPr>
        <w:t xml:space="preserve">النهاية في الفتن والملاحم، </w:t>
      </w:r>
      <w:r w:rsidRPr="005B648F">
        <w:rPr>
          <w:rFonts w:ascii="Simplified Arabic" w:hAnsi="Simplified Arabic" w:cs="Simplified Arabic"/>
          <w:sz w:val="22"/>
          <w:szCs w:val="22"/>
          <w:rtl/>
          <w:lang w:bidi="ar-AE"/>
        </w:rPr>
        <w:t xml:space="preserve">تحقيق محمد أحمد عبدالعزيز (بيروت: دار الجبل، 1988)؛ أبو الفداء إسماعيل بن عمر بن كثير، "كتاب الفتن والملاحم وأشراط الساعة والأمور العظام يوم القيامة"،  في </w:t>
      </w:r>
      <w:r w:rsidRPr="005B648F">
        <w:rPr>
          <w:rFonts w:ascii="Simplified Arabic" w:hAnsi="Simplified Arabic" w:cs="Simplified Arabic"/>
          <w:b/>
          <w:bCs/>
          <w:sz w:val="22"/>
          <w:szCs w:val="22"/>
          <w:rtl/>
          <w:lang w:bidi="ar-AE"/>
        </w:rPr>
        <w:t xml:space="preserve">البداية والنهاية، </w:t>
      </w:r>
      <w:r w:rsidRPr="005B648F">
        <w:rPr>
          <w:rFonts w:ascii="Simplified Arabic" w:hAnsi="Simplified Arabic" w:cs="Simplified Arabic"/>
          <w:sz w:val="22"/>
          <w:szCs w:val="22"/>
          <w:rtl/>
          <w:lang w:bidi="ar-AE"/>
        </w:rPr>
        <w:t>تحقيق عبدالله بن عبدالمحسن التركي، مجلد 19 (القاهرة: دار هجر للطباعة والنشر والتوزيع والإعلان، 1997)، ص. 3-444</w:t>
      </w:r>
    </w:p>
    <w:p w:rsidR="00781306" w:rsidRDefault="00781306" w:rsidP="00781306">
      <w:pPr>
        <w:pStyle w:val="NormalWeb"/>
        <w:spacing w:before="0" w:beforeAutospacing="0" w:line="276" w:lineRule="auto"/>
        <w:ind w:left="450" w:hanging="450"/>
        <w:rPr>
          <w:rFonts w:ascii="Calibri" w:hAnsi="Calibri"/>
          <w:sz w:val="22"/>
          <w:szCs w:val="22"/>
          <w:rtl/>
        </w:rPr>
      </w:pPr>
      <w:r w:rsidRPr="00AA193E">
        <w:rPr>
          <w:rFonts w:ascii="Calibri" w:hAnsi="Calibri"/>
          <w:sz w:val="22"/>
          <w:szCs w:val="22"/>
        </w:rPr>
        <w:t>---</w:t>
      </w:r>
      <w:r>
        <w:rPr>
          <w:rFonts w:ascii="Calibri" w:hAnsi="Calibri"/>
          <w:sz w:val="22"/>
          <w:szCs w:val="22"/>
        </w:rPr>
        <w:t xml:space="preserve">'al-Nihāyah fi-l-Fitan w-al-Malāḥim </w:t>
      </w:r>
      <w:proofErr w:type="gramStart"/>
      <w:r>
        <w:rPr>
          <w:rFonts w:ascii="Calibri" w:hAnsi="Calibri"/>
          <w:sz w:val="22"/>
          <w:szCs w:val="22"/>
        </w:rPr>
        <w:t>Or</w:t>
      </w:r>
      <w:proofErr w:type="gramEnd"/>
      <w:r>
        <w:rPr>
          <w:rFonts w:ascii="Calibri" w:hAnsi="Calibri"/>
          <w:sz w:val="22"/>
          <w:szCs w:val="22"/>
        </w:rPr>
        <w:t xml:space="preserve"> </w:t>
      </w:r>
      <w:r w:rsidRPr="00A47133">
        <w:rPr>
          <w:rFonts w:ascii="Calibri" w:hAnsi="Calibri"/>
          <w:sz w:val="22"/>
          <w:szCs w:val="22"/>
        </w:rPr>
        <w:t>The Book of the End on Tribulations and Battles</w:t>
      </w:r>
      <w:r>
        <w:rPr>
          <w:rFonts w:ascii="Calibri" w:hAnsi="Calibri"/>
          <w:sz w:val="22"/>
          <w:szCs w:val="22"/>
        </w:rPr>
        <w:t xml:space="preserve">', </w:t>
      </w:r>
      <w:r w:rsidRPr="00AA193E">
        <w:rPr>
          <w:rFonts w:ascii="Calibri" w:hAnsi="Calibri"/>
          <w:sz w:val="22"/>
          <w:szCs w:val="22"/>
        </w:rPr>
        <w:t xml:space="preserve">in </w:t>
      </w:r>
      <w:r w:rsidRPr="00AA193E">
        <w:rPr>
          <w:rFonts w:ascii="Calibri" w:hAnsi="Calibri"/>
          <w:i/>
          <w:iCs/>
          <w:sz w:val="22"/>
          <w:szCs w:val="22"/>
        </w:rPr>
        <w:t>Al-Bidāya Wal-Nihāya Or the Beginning and the End</w:t>
      </w:r>
      <w:r w:rsidRPr="00AA193E">
        <w:rPr>
          <w:rFonts w:ascii="Calibri" w:hAnsi="Calibri"/>
          <w:sz w:val="22"/>
          <w:szCs w:val="22"/>
        </w:rPr>
        <w:t xml:space="preserve">, ed. by 'Abdulla b. 'Abd al-Muḥsin al-Tirkī, 19 vols (Cairo: Dār Hajar lil-Ṭibā'a wal-Nashr wal-Tawzī', 1997), pp. 3-444 </w:t>
      </w:r>
    </w:p>
    <w:p w:rsidR="00781306" w:rsidRPr="00ED6991" w:rsidRDefault="00781306" w:rsidP="00781306">
      <w:pPr>
        <w:pStyle w:val="NormalWeb"/>
        <w:bidi/>
        <w:spacing w:after="0" w:afterAutospacing="0" w:line="276" w:lineRule="auto"/>
        <w:ind w:left="450" w:hanging="450"/>
        <w:rPr>
          <w:rFonts w:ascii="Simplified Arabic" w:hAnsi="Simplified Arabic" w:cs="Simplified Arabic"/>
          <w:sz w:val="20"/>
          <w:szCs w:val="20"/>
          <w:rtl/>
          <w:lang w:bidi="ar-AE"/>
        </w:rPr>
      </w:pPr>
      <w:r>
        <w:rPr>
          <w:rFonts w:ascii="Simplified Arabic" w:hAnsi="Simplified Arabic" w:cs="Simplified Arabic" w:hint="cs"/>
          <w:sz w:val="22"/>
          <w:szCs w:val="22"/>
          <w:rtl/>
          <w:lang w:bidi="ar-AE"/>
        </w:rPr>
        <w:t>---</w:t>
      </w:r>
      <w:r w:rsidRPr="00ED6991">
        <w:rPr>
          <w:rFonts w:ascii="Simplified Arabic" w:hAnsi="Simplified Arabic" w:cs="Simplified Arabic"/>
          <w:sz w:val="22"/>
          <w:szCs w:val="22"/>
          <w:rtl/>
          <w:lang w:bidi="ar-AE"/>
        </w:rPr>
        <w:t xml:space="preserve"> </w:t>
      </w:r>
      <w:r w:rsidRPr="00ED6991">
        <w:rPr>
          <w:rFonts w:ascii="Simplified Arabic" w:hAnsi="Simplified Arabic" w:cs="Simplified Arabic"/>
          <w:b/>
          <w:bCs/>
          <w:sz w:val="22"/>
          <w:szCs w:val="22"/>
          <w:rtl/>
          <w:lang w:bidi="ar-AE"/>
        </w:rPr>
        <w:t>تفسير القرآن العظيم</w:t>
      </w:r>
      <w:r w:rsidRPr="00ED6991">
        <w:rPr>
          <w:rFonts w:ascii="Simplified Arabic" w:hAnsi="Simplified Arabic" w:cs="Simplified Arabic"/>
          <w:sz w:val="22"/>
          <w:szCs w:val="22"/>
          <w:rtl/>
          <w:lang w:bidi="ar-AE"/>
        </w:rPr>
        <w:t>، مجلد 1 (بيروت دار الكتب العلمية، 1998)</w:t>
      </w:r>
    </w:p>
    <w:p w:rsidR="00781306" w:rsidRPr="00AA193E" w:rsidRDefault="00781306" w:rsidP="00781306">
      <w:pPr>
        <w:pStyle w:val="NormalWeb"/>
        <w:spacing w:before="0" w:beforeAutospacing="0" w:line="276" w:lineRule="auto"/>
        <w:ind w:left="450" w:hanging="450"/>
        <w:rPr>
          <w:rFonts w:ascii="Calibri" w:hAnsi="Calibri"/>
          <w:sz w:val="22"/>
          <w:szCs w:val="22"/>
        </w:rPr>
      </w:pPr>
      <w:r w:rsidRPr="00AA193E">
        <w:rPr>
          <w:rFonts w:ascii="Calibri" w:hAnsi="Calibri"/>
          <w:sz w:val="22"/>
          <w:szCs w:val="22"/>
        </w:rPr>
        <w:t>---</w:t>
      </w:r>
      <w:r w:rsidRPr="00AA193E">
        <w:rPr>
          <w:rFonts w:ascii="Calibri" w:hAnsi="Calibri"/>
          <w:i/>
          <w:iCs/>
          <w:sz w:val="22"/>
          <w:szCs w:val="22"/>
        </w:rPr>
        <w:t>Tafsīr Al-Qur'</w:t>
      </w:r>
      <w:r>
        <w:rPr>
          <w:rFonts w:ascii="Calibri" w:hAnsi="Calibri"/>
          <w:i/>
          <w:iCs/>
          <w:sz w:val="22"/>
          <w:szCs w:val="22"/>
        </w:rPr>
        <w:t>ā</w:t>
      </w:r>
      <w:r w:rsidRPr="00AA193E">
        <w:rPr>
          <w:rFonts w:ascii="Calibri" w:hAnsi="Calibri"/>
          <w:i/>
          <w:iCs/>
          <w:sz w:val="22"/>
          <w:szCs w:val="22"/>
        </w:rPr>
        <w:t xml:space="preserve">n Al-'Aẓīm </w:t>
      </w:r>
      <w:proofErr w:type="gramStart"/>
      <w:r w:rsidRPr="00AA193E">
        <w:rPr>
          <w:rFonts w:ascii="Calibri" w:hAnsi="Calibri"/>
          <w:i/>
          <w:iCs/>
          <w:sz w:val="22"/>
          <w:szCs w:val="22"/>
        </w:rPr>
        <w:t>Or</w:t>
      </w:r>
      <w:proofErr w:type="gramEnd"/>
      <w:r w:rsidRPr="00AA193E">
        <w:rPr>
          <w:rFonts w:ascii="Calibri" w:hAnsi="Calibri"/>
          <w:i/>
          <w:iCs/>
          <w:sz w:val="22"/>
          <w:szCs w:val="22"/>
        </w:rPr>
        <w:t xml:space="preserve"> the Great Commentary</w:t>
      </w:r>
      <w:r w:rsidRPr="00AA193E">
        <w:rPr>
          <w:rFonts w:ascii="Calibri" w:hAnsi="Calibri"/>
          <w:sz w:val="22"/>
          <w:szCs w:val="22"/>
        </w:rPr>
        <w:t xml:space="preserve"> (Beirut: Dār al-Kutub al-'Ilmīya, 1419 Hijrī) </w:t>
      </w:r>
    </w:p>
    <w:p w:rsidR="00781306" w:rsidRPr="003F0913" w:rsidRDefault="00781306" w:rsidP="00781306">
      <w:pPr>
        <w:tabs>
          <w:tab w:val="left" w:pos="8640"/>
        </w:tabs>
        <w:bidi/>
        <w:spacing w:line="240" w:lineRule="auto"/>
        <w:ind w:left="454" w:right="630" w:hanging="454"/>
        <w:rPr>
          <w:rFonts w:ascii="Simplified Arabic" w:hAnsi="Simplified Arabic" w:cs="Simplified Arabic"/>
        </w:rPr>
      </w:pPr>
      <w:r w:rsidRPr="003F0913">
        <w:rPr>
          <w:rFonts w:ascii="Simplified Arabic" w:hAnsi="Simplified Arabic" w:cs="Simplified Arabic"/>
          <w:rtl/>
          <w:lang w:bidi="ar-AE"/>
        </w:rPr>
        <w:t xml:space="preserve">ابن خلكان، </w:t>
      </w:r>
      <w:r w:rsidRPr="003F0913">
        <w:rPr>
          <w:rFonts w:ascii="Simplified Arabic" w:hAnsi="Simplified Arabic" w:cs="Simplified Arabic"/>
          <w:rtl/>
        </w:rPr>
        <w:t xml:space="preserve">أبو العباس شمس الدين أحمد بن محمد، </w:t>
      </w:r>
      <w:r w:rsidRPr="003F0913">
        <w:rPr>
          <w:rFonts w:ascii="Simplified Arabic" w:hAnsi="Simplified Arabic" w:cs="Simplified Arabic"/>
          <w:b/>
          <w:bCs/>
          <w:rtl/>
        </w:rPr>
        <w:t>وفيات الأعيان وأنباء أبناء الزمان</w:t>
      </w:r>
      <w:r w:rsidRPr="003F0913">
        <w:rPr>
          <w:rFonts w:ascii="Simplified Arabic" w:hAnsi="Simplified Arabic" w:cs="Simplified Arabic"/>
          <w:rtl/>
        </w:rPr>
        <w:t xml:space="preserve"> (بيروت: دار صادر، 1971)</w:t>
      </w:r>
    </w:p>
    <w:p w:rsidR="00781306" w:rsidRPr="003F0913" w:rsidRDefault="00781306" w:rsidP="00781306">
      <w:pPr>
        <w:tabs>
          <w:tab w:val="left" w:pos="8640"/>
        </w:tabs>
        <w:ind w:left="426" w:right="630" w:hanging="426"/>
      </w:pPr>
      <w:r w:rsidRPr="003F0913">
        <w:t>ibn Khal</w:t>
      </w:r>
      <w:r w:rsidRPr="003F0913">
        <w:rPr>
          <w:lang w:bidi="ar-AE"/>
        </w:rPr>
        <w:t>l</w:t>
      </w:r>
      <w:r w:rsidRPr="003F0913">
        <w:t xml:space="preserve">ikān, Abū al-'Abbās Shams al-Dīn Aḥmad b. Muḥammad, </w:t>
      </w:r>
      <w:r w:rsidRPr="003F0913">
        <w:rPr>
          <w:i/>
          <w:iCs/>
        </w:rPr>
        <w:t>Wafīyāt al-'Ayān w Anbā' Abnā' al-Zamān Or Deaths of Eminent Men and History of the Sons of the Epoch</w:t>
      </w:r>
      <w:r w:rsidRPr="003F0913">
        <w:t xml:space="preserve"> (Beirut: Dār Ṣāder, 1971)</w:t>
      </w:r>
    </w:p>
    <w:p w:rsidR="00781306" w:rsidRPr="003F0913" w:rsidRDefault="00781306" w:rsidP="00781306">
      <w:pPr>
        <w:tabs>
          <w:tab w:val="left" w:pos="8640"/>
        </w:tabs>
        <w:spacing w:line="240" w:lineRule="auto"/>
        <w:ind w:right="630"/>
        <w:rPr>
          <w:sz w:val="20"/>
          <w:szCs w:val="20"/>
        </w:rPr>
      </w:pPr>
    </w:p>
    <w:p w:rsidR="00781306" w:rsidRPr="00ED6991" w:rsidRDefault="00781306" w:rsidP="00781306">
      <w:pPr>
        <w:pStyle w:val="FootnoteText"/>
        <w:bidi/>
        <w:ind w:left="454" w:hanging="454"/>
        <w:rPr>
          <w:rFonts w:ascii="Simplified Arabic" w:hAnsi="Simplified Arabic" w:cs="Simplified Arabic"/>
          <w:sz w:val="22"/>
          <w:szCs w:val="22"/>
          <w:rtl/>
          <w:lang w:bidi="ar-AE"/>
        </w:rPr>
      </w:pPr>
      <w:r w:rsidRPr="00ED6991">
        <w:rPr>
          <w:rFonts w:ascii="Simplified Arabic" w:hAnsi="Simplified Arabic" w:cs="Simplified Arabic"/>
          <w:sz w:val="22"/>
          <w:szCs w:val="22"/>
          <w:rtl/>
        </w:rPr>
        <w:t xml:space="preserve">ابن خلدون، </w:t>
      </w:r>
      <w:r w:rsidRPr="00ED6991">
        <w:rPr>
          <w:rFonts w:ascii="Simplified Arabic" w:hAnsi="Simplified Arabic" w:cs="Simplified Arabic"/>
          <w:sz w:val="22"/>
          <w:szCs w:val="22"/>
          <w:rtl/>
          <w:lang w:bidi="ar-AE"/>
        </w:rPr>
        <w:t xml:space="preserve">أبو زيد  ولي الدين عبدالرحمن  بن محمد، </w:t>
      </w:r>
      <w:r w:rsidRPr="00ED6991">
        <w:rPr>
          <w:rFonts w:ascii="Simplified Arabic" w:hAnsi="Simplified Arabic" w:cs="Simplified Arabic"/>
          <w:b/>
          <w:bCs/>
          <w:sz w:val="22"/>
          <w:szCs w:val="22"/>
          <w:rtl/>
          <w:lang w:bidi="ar-AE"/>
        </w:rPr>
        <w:t>تاريخ ابن خلدون</w:t>
      </w:r>
      <w:r w:rsidRPr="00ED6991">
        <w:rPr>
          <w:rFonts w:ascii="Simplified Arabic" w:hAnsi="Simplified Arabic" w:cs="Simplified Arabic"/>
          <w:sz w:val="22"/>
          <w:szCs w:val="22"/>
          <w:rtl/>
          <w:lang w:bidi="ar-AE"/>
        </w:rPr>
        <w:t>، تحقيق أبو صهيب الكرمي (الرياض: بيت الأفكار الدولية، ب.ت.)</w:t>
      </w:r>
      <w:r w:rsidRPr="00ED6991">
        <w:rPr>
          <w:rFonts w:ascii="Simplified Arabic" w:hAnsi="Simplified Arabic" w:cs="Simplified Arabic"/>
          <w:sz w:val="22"/>
          <w:szCs w:val="22"/>
          <w:lang w:bidi="ar-AE"/>
        </w:rPr>
        <w:t xml:space="preserve"> </w:t>
      </w:r>
      <w:r w:rsidRPr="00ED6991">
        <w:rPr>
          <w:rFonts w:ascii="Simplified Arabic" w:hAnsi="Simplified Arabic" w:cs="Simplified Arabic"/>
          <w:sz w:val="22"/>
          <w:szCs w:val="22"/>
        </w:rPr>
        <w:t xml:space="preserve"> </w:t>
      </w:r>
    </w:p>
    <w:p w:rsidR="00781306" w:rsidRDefault="00781306" w:rsidP="00781306">
      <w:pPr>
        <w:pStyle w:val="NormalWeb"/>
        <w:spacing w:before="0" w:beforeAutospacing="0" w:line="276" w:lineRule="auto"/>
        <w:ind w:left="450" w:hanging="450"/>
        <w:rPr>
          <w:rFonts w:ascii="Calibri" w:hAnsi="Calibri"/>
          <w:sz w:val="22"/>
          <w:szCs w:val="22"/>
        </w:rPr>
      </w:pPr>
      <w:proofErr w:type="gramStart"/>
      <w:r w:rsidRPr="00AA193E">
        <w:rPr>
          <w:rFonts w:ascii="Calibri" w:hAnsi="Calibri"/>
          <w:sz w:val="22"/>
          <w:szCs w:val="22"/>
        </w:rPr>
        <w:t>ibn</w:t>
      </w:r>
      <w:proofErr w:type="gramEnd"/>
      <w:r w:rsidRPr="00AA193E">
        <w:rPr>
          <w:rFonts w:ascii="Calibri" w:hAnsi="Calibri"/>
          <w:sz w:val="22"/>
          <w:szCs w:val="22"/>
        </w:rPr>
        <w:t xml:space="preserve"> Khaldūn, abū Zaīd Walī al-Dīn 'Abd al-Raḥmān b. Muḥammad, </w:t>
      </w:r>
      <w:r w:rsidRPr="00AA193E">
        <w:rPr>
          <w:rFonts w:ascii="Calibri" w:hAnsi="Calibri"/>
          <w:i/>
          <w:iCs/>
          <w:sz w:val="22"/>
          <w:szCs w:val="22"/>
        </w:rPr>
        <w:t>Tarīkh Ibn Khaldūn Or the History of Ibn Khaldūn</w:t>
      </w:r>
      <w:r w:rsidRPr="00AA193E">
        <w:rPr>
          <w:rFonts w:ascii="Calibri" w:hAnsi="Calibri"/>
          <w:sz w:val="22"/>
          <w:szCs w:val="22"/>
        </w:rPr>
        <w:t xml:space="preserve"> (Riyadh: Baīt al-Afkār al-Dawlīya, n.d.) </w:t>
      </w:r>
    </w:p>
    <w:p w:rsidR="00781306" w:rsidRPr="00702687" w:rsidRDefault="00781306" w:rsidP="00F7423D">
      <w:pPr>
        <w:pStyle w:val="NormalWeb"/>
        <w:bidi/>
        <w:spacing w:before="0" w:beforeAutospacing="0" w:after="0" w:afterAutospacing="0"/>
        <w:ind w:left="454" w:hanging="454"/>
        <w:rPr>
          <w:rFonts w:ascii="Simplified Arabic" w:hAnsi="Simplified Arabic" w:cs="Simplified Arabic"/>
          <w:sz w:val="22"/>
          <w:szCs w:val="22"/>
        </w:rPr>
      </w:pPr>
      <w:r w:rsidRPr="00702687">
        <w:rPr>
          <w:rFonts w:ascii="Simplified Arabic" w:hAnsi="Simplified Arabic" w:cs="Simplified Arabic"/>
          <w:sz w:val="22"/>
          <w:szCs w:val="22"/>
          <w:rtl/>
          <w:lang w:bidi="ar-AE"/>
        </w:rPr>
        <w:t xml:space="preserve">ابن ماجه، أبو عبدالله محمد بن يزيد القزويني، </w:t>
      </w:r>
      <w:r w:rsidRPr="00702687">
        <w:rPr>
          <w:rFonts w:ascii="Simplified Arabic" w:hAnsi="Simplified Arabic" w:cs="Simplified Arabic"/>
          <w:b/>
          <w:bCs/>
          <w:sz w:val="22"/>
          <w:szCs w:val="22"/>
          <w:rtl/>
          <w:lang w:bidi="ar-AE"/>
        </w:rPr>
        <w:t>سنن ابن ماجه</w:t>
      </w:r>
      <w:r w:rsidRPr="00702687">
        <w:rPr>
          <w:rFonts w:ascii="Simplified Arabic" w:hAnsi="Simplified Arabic" w:cs="Simplified Arabic"/>
          <w:sz w:val="22"/>
          <w:szCs w:val="22"/>
          <w:rtl/>
          <w:lang w:bidi="ar-AE"/>
        </w:rPr>
        <w:t>، تحقيق شعب الأرناؤوط وآخرين (ب. م.: دار الرسالة العالمية، 2009)</w:t>
      </w:r>
      <w:r w:rsidRPr="00702687">
        <w:rPr>
          <w:rFonts w:ascii="Simplified Arabic" w:hAnsi="Simplified Arabic" w:cs="Simplified Arabic"/>
          <w:sz w:val="22"/>
          <w:szCs w:val="22"/>
        </w:rPr>
        <w:t xml:space="preserve"> </w:t>
      </w:r>
    </w:p>
    <w:p w:rsidR="00781306" w:rsidRPr="00702687" w:rsidRDefault="00781306" w:rsidP="00F7423D">
      <w:pPr>
        <w:pStyle w:val="NormalWeb"/>
        <w:spacing w:before="0" w:beforeAutospacing="0" w:after="0" w:afterAutospacing="0"/>
        <w:ind w:left="426" w:hanging="426"/>
        <w:rPr>
          <w:rFonts w:ascii="Calibri" w:hAnsi="Calibri"/>
          <w:sz w:val="22"/>
          <w:szCs w:val="22"/>
          <w:lang w:bidi="ar-AE"/>
        </w:rPr>
      </w:pPr>
      <w:proofErr w:type="gramStart"/>
      <w:r w:rsidRPr="00702687">
        <w:rPr>
          <w:rFonts w:ascii="Calibri" w:hAnsi="Calibri"/>
          <w:sz w:val="22"/>
          <w:szCs w:val="22"/>
        </w:rPr>
        <w:t>ibn</w:t>
      </w:r>
      <w:proofErr w:type="gramEnd"/>
      <w:r w:rsidRPr="00702687">
        <w:rPr>
          <w:rFonts w:ascii="Calibri" w:hAnsi="Calibri"/>
          <w:sz w:val="22"/>
          <w:szCs w:val="22"/>
        </w:rPr>
        <w:t xml:space="preserve"> M</w:t>
      </w:r>
      <w:r w:rsidRPr="00702687">
        <w:rPr>
          <w:rFonts w:ascii="Calibri" w:hAnsi="Calibri" w:cs="Candara"/>
          <w:sz w:val="22"/>
          <w:szCs w:val="22"/>
        </w:rPr>
        <w:t>ā</w:t>
      </w:r>
      <w:r w:rsidRPr="00702687">
        <w:rPr>
          <w:rFonts w:ascii="Calibri" w:hAnsi="Calibri"/>
          <w:sz w:val="22"/>
          <w:szCs w:val="22"/>
        </w:rPr>
        <w:t>jah, Abū 'Abdulla Mu</w:t>
      </w:r>
      <w:r w:rsidRPr="00702687">
        <w:rPr>
          <w:rFonts w:ascii="Calibri" w:hAnsi="Calibri" w:cs="Arial"/>
          <w:sz w:val="22"/>
          <w:szCs w:val="22"/>
        </w:rPr>
        <w:t>ḥ</w:t>
      </w:r>
      <w:r w:rsidRPr="00702687">
        <w:rPr>
          <w:rFonts w:ascii="Calibri" w:hAnsi="Calibri"/>
          <w:sz w:val="22"/>
          <w:szCs w:val="22"/>
        </w:rPr>
        <w:t>ammad b. Yaz</w:t>
      </w:r>
      <w:r w:rsidRPr="00702687">
        <w:rPr>
          <w:rFonts w:ascii="Calibri" w:hAnsi="Calibri" w:cs="Candara"/>
          <w:sz w:val="22"/>
          <w:szCs w:val="22"/>
        </w:rPr>
        <w:t>ī</w:t>
      </w:r>
      <w:r w:rsidRPr="00702687">
        <w:rPr>
          <w:rFonts w:ascii="Calibri" w:hAnsi="Calibri"/>
          <w:sz w:val="22"/>
          <w:szCs w:val="22"/>
        </w:rPr>
        <w:t>d al-Qazw</w:t>
      </w:r>
      <w:r w:rsidRPr="00702687">
        <w:rPr>
          <w:rFonts w:ascii="Calibri" w:hAnsi="Calibri" w:cs="Candara"/>
          <w:sz w:val="22"/>
          <w:szCs w:val="22"/>
        </w:rPr>
        <w:t>ī</w:t>
      </w:r>
      <w:r w:rsidRPr="00702687">
        <w:rPr>
          <w:rFonts w:ascii="Calibri" w:hAnsi="Calibri"/>
          <w:sz w:val="22"/>
          <w:szCs w:val="22"/>
        </w:rPr>
        <w:t>n</w:t>
      </w:r>
      <w:r w:rsidRPr="00702687">
        <w:rPr>
          <w:rFonts w:ascii="Calibri" w:hAnsi="Calibri" w:cs="Candara"/>
          <w:sz w:val="22"/>
          <w:szCs w:val="22"/>
        </w:rPr>
        <w:t>ī</w:t>
      </w:r>
      <w:r w:rsidRPr="00702687">
        <w:rPr>
          <w:rFonts w:ascii="Calibri" w:hAnsi="Calibri"/>
          <w:sz w:val="22"/>
          <w:szCs w:val="22"/>
        </w:rPr>
        <w:t xml:space="preserve">, </w:t>
      </w:r>
      <w:r w:rsidRPr="00702687">
        <w:rPr>
          <w:rFonts w:ascii="Calibri" w:hAnsi="Calibri"/>
          <w:i/>
          <w:iCs/>
          <w:sz w:val="22"/>
          <w:szCs w:val="22"/>
        </w:rPr>
        <w:t>Sunan ibn Mājah</w:t>
      </w:r>
      <w:r w:rsidRPr="00702687">
        <w:rPr>
          <w:rFonts w:ascii="Calibri" w:hAnsi="Calibri"/>
          <w:sz w:val="22"/>
          <w:szCs w:val="22"/>
        </w:rPr>
        <w:t xml:space="preserve"> or </w:t>
      </w:r>
      <w:r w:rsidRPr="00702687">
        <w:rPr>
          <w:rFonts w:ascii="Calibri" w:hAnsi="Calibri"/>
          <w:i/>
          <w:iCs/>
          <w:sz w:val="22"/>
          <w:szCs w:val="22"/>
          <w:lang w:bidi="ar-AE"/>
        </w:rPr>
        <w:t xml:space="preserve">The Compilation of ibn Mājah </w:t>
      </w:r>
      <w:r w:rsidRPr="00702687">
        <w:rPr>
          <w:rFonts w:ascii="Calibri" w:hAnsi="Calibri"/>
          <w:sz w:val="22"/>
          <w:szCs w:val="22"/>
          <w:lang w:bidi="ar-AE"/>
        </w:rPr>
        <w:t>(Beirut: Dār al-Risālah al-‘Ālamīyah, 2009)</w:t>
      </w:r>
    </w:p>
    <w:p w:rsidR="00781306" w:rsidRPr="00702687" w:rsidRDefault="00781306" w:rsidP="00781306">
      <w:pPr>
        <w:pStyle w:val="NormalWeb"/>
        <w:bidi/>
        <w:spacing w:after="0" w:afterAutospacing="0" w:line="276" w:lineRule="auto"/>
        <w:ind w:left="450" w:hanging="450"/>
        <w:rPr>
          <w:rFonts w:ascii="Simplified Arabic" w:hAnsi="Simplified Arabic" w:cs="Simplified Arabic"/>
          <w:sz w:val="20"/>
          <w:szCs w:val="20"/>
        </w:rPr>
      </w:pPr>
      <w:r w:rsidRPr="00702687">
        <w:rPr>
          <w:rFonts w:ascii="Simplified Arabic" w:hAnsi="Simplified Arabic" w:cs="Simplified Arabic"/>
          <w:sz w:val="22"/>
          <w:szCs w:val="22"/>
          <w:rtl/>
          <w:lang w:bidi="ar-AE"/>
        </w:rPr>
        <w:t xml:space="preserve">ابن منظور، أبو الفضل جمال الدين محمد بن مكرم، </w:t>
      </w:r>
      <w:r w:rsidRPr="00702687">
        <w:rPr>
          <w:rFonts w:ascii="Simplified Arabic" w:hAnsi="Simplified Arabic" w:cs="Simplified Arabic"/>
          <w:b/>
          <w:bCs/>
          <w:sz w:val="22"/>
          <w:szCs w:val="22"/>
          <w:rtl/>
          <w:lang w:bidi="ar-AE"/>
        </w:rPr>
        <w:t>لسان العرب</w:t>
      </w:r>
      <w:r w:rsidRPr="00702687">
        <w:rPr>
          <w:rFonts w:ascii="Simplified Arabic" w:hAnsi="Simplified Arabic" w:cs="Simplified Arabic"/>
          <w:sz w:val="22"/>
          <w:szCs w:val="22"/>
          <w:rtl/>
          <w:lang w:bidi="ar-AE"/>
        </w:rPr>
        <w:t xml:space="preserve"> (بيروت: دار صادر، 1994)</w:t>
      </w:r>
    </w:p>
    <w:p w:rsidR="00781306" w:rsidRDefault="00781306" w:rsidP="00781306">
      <w:pPr>
        <w:pStyle w:val="NormalWeb"/>
        <w:spacing w:before="0" w:beforeAutospacing="0" w:line="276" w:lineRule="auto"/>
        <w:ind w:left="450" w:hanging="450"/>
        <w:rPr>
          <w:rFonts w:ascii="Calibri" w:hAnsi="Calibri"/>
          <w:sz w:val="22"/>
          <w:szCs w:val="22"/>
        </w:rPr>
      </w:pPr>
      <w:proofErr w:type="gramStart"/>
      <w:r>
        <w:rPr>
          <w:rFonts w:ascii="Calibri" w:hAnsi="Calibri"/>
          <w:sz w:val="22"/>
          <w:szCs w:val="22"/>
        </w:rPr>
        <w:t>i</w:t>
      </w:r>
      <w:r w:rsidRPr="00AA193E">
        <w:rPr>
          <w:rFonts w:ascii="Calibri" w:hAnsi="Calibri"/>
          <w:sz w:val="22"/>
          <w:szCs w:val="22"/>
        </w:rPr>
        <w:t>bn</w:t>
      </w:r>
      <w:proofErr w:type="gramEnd"/>
      <w:r w:rsidRPr="00AA193E">
        <w:rPr>
          <w:rFonts w:ascii="Calibri" w:hAnsi="Calibri"/>
          <w:sz w:val="22"/>
          <w:szCs w:val="22"/>
        </w:rPr>
        <w:t xml:space="preserve"> Manẓūr, Abū al-Fadl Jam</w:t>
      </w:r>
      <w:r>
        <w:rPr>
          <w:rFonts w:ascii="Calibri" w:hAnsi="Calibri"/>
          <w:sz w:val="22"/>
          <w:szCs w:val="22"/>
        </w:rPr>
        <w:t>āl al-Dīn Muhammad ibn Mukarram</w:t>
      </w:r>
      <w:r w:rsidRPr="00AA193E">
        <w:rPr>
          <w:rFonts w:ascii="Calibri" w:hAnsi="Calibri"/>
          <w:sz w:val="22"/>
          <w:szCs w:val="22"/>
        </w:rPr>
        <w:t xml:space="preserve">, </w:t>
      </w:r>
      <w:r w:rsidRPr="00AA193E">
        <w:rPr>
          <w:rFonts w:ascii="Calibri" w:hAnsi="Calibri"/>
          <w:i/>
          <w:iCs/>
          <w:sz w:val="22"/>
          <w:szCs w:val="22"/>
        </w:rPr>
        <w:t>Lisān Al-‘Arab Or the Arabic Tongue</w:t>
      </w:r>
      <w:r w:rsidRPr="00AA193E">
        <w:rPr>
          <w:rFonts w:ascii="Calibri" w:hAnsi="Calibri"/>
          <w:sz w:val="22"/>
          <w:szCs w:val="22"/>
        </w:rPr>
        <w:t xml:space="preserve"> (Beirut: Dār Sāder, 1994) </w:t>
      </w:r>
    </w:p>
    <w:p w:rsidR="00C305C9" w:rsidRPr="00C305C9" w:rsidRDefault="00C305C9" w:rsidP="00C305C9">
      <w:pPr>
        <w:pStyle w:val="NormalWeb"/>
        <w:bidi/>
        <w:spacing w:before="0" w:beforeAutospacing="0" w:after="0" w:afterAutospacing="0"/>
        <w:rPr>
          <w:rFonts w:ascii="Simplified Arabic" w:hAnsi="Simplified Arabic" w:cs="Simplified Arabic"/>
          <w:sz w:val="22"/>
          <w:szCs w:val="22"/>
          <w:rtl/>
          <w:lang w:bidi="ar-AE"/>
        </w:rPr>
      </w:pPr>
      <w:r w:rsidRPr="00C305C9">
        <w:rPr>
          <w:rFonts w:ascii="Simplified Arabic" w:hAnsi="Simplified Arabic" w:cs="Simplified Arabic"/>
          <w:sz w:val="22"/>
          <w:szCs w:val="22"/>
          <w:rtl/>
          <w:lang w:bidi="ar-AE"/>
        </w:rPr>
        <w:t xml:space="preserve">ابن سيده، أبو الحسن علي بن إسماعيل، </w:t>
      </w:r>
      <w:r w:rsidRPr="00C305C9">
        <w:rPr>
          <w:rFonts w:ascii="Simplified Arabic" w:hAnsi="Simplified Arabic" w:cs="Simplified Arabic"/>
          <w:b/>
          <w:bCs/>
          <w:sz w:val="22"/>
          <w:szCs w:val="22"/>
          <w:rtl/>
          <w:lang w:bidi="ar-AE"/>
        </w:rPr>
        <w:t>ا</w:t>
      </w:r>
      <w:r>
        <w:rPr>
          <w:rFonts w:ascii="Simplified Arabic" w:hAnsi="Simplified Arabic" w:cs="Simplified Arabic" w:hint="cs"/>
          <w:b/>
          <w:bCs/>
          <w:sz w:val="22"/>
          <w:szCs w:val="22"/>
          <w:rtl/>
          <w:lang w:bidi="ar-AE"/>
        </w:rPr>
        <w:t>لمحكم والمحيط الأعظم</w:t>
      </w:r>
      <w:r w:rsidRPr="00C305C9">
        <w:rPr>
          <w:rFonts w:ascii="Simplified Arabic" w:hAnsi="Simplified Arabic" w:cs="Simplified Arabic"/>
          <w:sz w:val="22"/>
          <w:szCs w:val="22"/>
          <w:rtl/>
          <w:lang w:bidi="ar-AE"/>
        </w:rPr>
        <w:t xml:space="preserve"> (بيروت: دار </w:t>
      </w:r>
      <w:r>
        <w:rPr>
          <w:rFonts w:ascii="Simplified Arabic" w:hAnsi="Simplified Arabic" w:cs="Simplified Arabic" w:hint="cs"/>
          <w:sz w:val="22"/>
          <w:szCs w:val="22"/>
          <w:rtl/>
          <w:lang w:bidi="ar-AE"/>
        </w:rPr>
        <w:t>الكتب العلمية</w:t>
      </w:r>
      <w:r w:rsidRPr="00C305C9">
        <w:rPr>
          <w:rFonts w:ascii="Simplified Arabic" w:hAnsi="Simplified Arabic" w:cs="Simplified Arabic"/>
          <w:sz w:val="22"/>
          <w:szCs w:val="22"/>
          <w:rtl/>
          <w:lang w:bidi="ar-AE"/>
        </w:rPr>
        <w:t xml:space="preserve">، </w:t>
      </w:r>
      <w:r>
        <w:rPr>
          <w:rFonts w:ascii="Simplified Arabic" w:hAnsi="Simplified Arabic" w:cs="Simplified Arabic" w:hint="cs"/>
          <w:sz w:val="22"/>
          <w:szCs w:val="22"/>
          <w:rtl/>
          <w:lang w:bidi="ar-AE"/>
        </w:rPr>
        <w:t>2000</w:t>
      </w:r>
      <w:r w:rsidRPr="00C305C9">
        <w:rPr>
          <w:rFonts w:ascii="Simplified Arabic" w:hAnsi="Simplified Arabic" w:cs="Simplified Arabic"/>
          <w:sz w:val="22"/>
          <w:szCs w:val="22"/>
          <w:rtl/>
          <w:lang w:bidi="ar-AE"/>
        </w:rPr>
        <w:t>)</w:t>
      </w:r>
    </w:p>
    <w:p w:rsidR="00C305C9" w:rsidRDefault="00C305C9" w:rsidP="00C305C9">
      <w:pPr>
        <w:pStyle w:val="NormalWeb"/>
        <w:spacing w:before="0" w:beforeAutospacing="0" w:after="240" w:afterAutospacing="0"/>
        <w:ind w:left="450" w:hanging="450"/>
        <w:rPr>
          <w:rFonts w:ascii="Calibri" w:hAnsi="Calibri"/>
          <w:sz w:val="22"/>
          <w:szCs w:val="22"/>
          <w:lang w:bidi="ar-AE"/>
        </w:rPr>
      </w:pPr>
      <w:proofErr w:type="gramStart"/>
      <w:r w:rsidRPr="00C305C9">
        <w:rPr>
          <w:rFonts w:ascii="Calibri" w:hAnsi="Calibri"/>
          <w:sz w:val="22"/>
          <w:szCs w:val="22"/>
          <w:lang w:bidi="ar-AE"/>
        </w:rPr>
        <w:t>ibn</w:t>
      </w:r>
      <w:proofErr w:type="gramEnd"/>
      <w:r w:rsidRPr="00C305C9">
        <w:rPr>
          <w:rFonts w:ascii="Calibri" w:hAnsi="Calibri"/>
          <w:sz w:val="22"/>
          <w:szCs w:val="22"/>
          <w:lang w:bidi="ar-AE"/>
        </w:rPr>
        <w:t xml:space="preserve"> Sīdah, abū al-Hasan ‘Alī b. ‘Ismā’īl, </w:t>
      </w:r>
      <w:r w:rsidRPr="00C305C9">
        <w:rPr>
          <w:rFonts w:ascii="Calibri" w:hAnsi="Calibri"/>
          <w:i/>
          <w:iCs/>
          <w:sz w:val="22"/>
          <w:szCs w:val="22"/>
          <w:lang w:bidi="ar-AE"/>
        </w:rPr>
        <w:t>al-</w:t>
      </w:r>
      <w:r>
        <w:rPr>
          <w:rFonts w:ascii="Calibri" w:hAnsi="Calibri"/>
          <w:i/>
          <w:iCs/>
          <w:sz w:val="22"/>
          <w:szCs w:val="22"/>
          <w:lang w:bidi="ar-AE"/>
        </w:rPr>
        <w:t>Muḥkam wal-Muḥīṭ al-A'tham or The Precise Book on Arabic Philology</w:t>
      </w:r>
      <w:r w:rsidRPr="00C305C9">
        <w:rPr>
          <w:rFonts w:ascii="Calibri" w:hAnsi="Calibri"/>
          <w:sz w:val="22"/>
          <w:szCs w:val="22"/>
          <w:rtl/>
          <w:lang w:bidi="ar-AE"/>
        </w:rPr>
        <w:t xml:space="preserve"> </w:t>
      </w:r>
      <w:r w:rsidRPr="00C305C9">
        <w:rPr>
          <w:rFonts w:ascii="Calibri" w:hAnsi="Calibri"/>
          <w:sz w:val="22"/>
          <w:szCs w:val="22"/>
          <w:lang w:bidi="ar-AE"/>
        </w:rPr>
        <w:t>(Beirut: Dār</w:t>
      </w:r>
      <w:r>
        <w:rPr>
          <w:rFonts w:ascii="Calibri" w:hAnsi="Calibri"/>
          <w:sz w:val="22"/>
          <w:szCs w:val="22"/>
          <w:lang w:bidi="ar-AE"/>
        </w:rPr>
        <w:t xml:space="preserve"> Ihyā’ al-Kutub al-'Ilmīya, 2000</w:t>
      </w:r>
      <w:r w:rsidRPr="00C305C9">
        <w:rPr>
          <w:rFonts w:ascii="Calibri" w:hAnsi="Calibri"/>
          <w:sz w:val="22"/>
          <w:szCs w:val="22"/>
          <w:lang w:bidi="ar-AE"/>
        </w:rPr>
        <w:t>)</w:t>
      </w:r>
    </w:p>
    <w:p w:rsidR="00781306" w:rsidRPr="00713056" w:rsidRDefault="00781306" w:rsidP="00C305C9">
      <w:pPr>
        <w:pStyle w:val="FootnoteText"/>
        <w:bidi/>
        <w:spacing w:before="240"/>
        <w:ind w:left="454" w:hanging="454"/>
        <w:rPr>
          <w:rFonts w:ascii="Simplified Arabic" w:hAnsi="Simplified Arabic" w:cs="Simplified Arabic"/>
          <w:sz w:val="22"/>
          <w:szCs w:val="22"/>
          <w:rtl/>
          <w:lang w:bidi="ar-AE"/>
        </w:rPr>
      </w:pPr>
      <w:r>
        <w:rPr>
          <w:rFonts w:ascii="Simplified Arabic" w:hAnsi="Simplified Arabic" w:cs="Simplified Arabic" w:hint="cs"/>
          <w:sz w:val="22"/>
          <w:szCs w:val="22"/>
          <w:rtl/>
          <w:lang w:bidi="ar-AE"/>
        </w:rPr>
        <w:t xml:space="preserve">ابن سينا، </w:t>
      </w:r>
      <w:r>
        <w:rPr>
          <w:rFonts w:ascii="Simplified Arabic" w:hAnsi="Simplified Arabic" w:cs="Simplified Arabic"/>
          <w:sz w:val="22"/>
          <w:szCs w:val="22"/>
          <w:rtl/>
          <w:lang w:bidi="ar-AE"/>
        </w:rPr>
        <w:t>الحسين بن علي</w:t>
      </w:r>
      <w:r w:rsidRPr="00713056">
        <w:rPr>
          <w:rFonts w:ascii="Simplified Arabic" w:hAnsi="Simplified Arabic" w:cs="Simplified Arabic"/>
          <w:sz w:val="22"/>
          <w:szCs w:val="22"/>
          <w:rtl/>
          <w:lang w:bidi="ar-AE"/>
        </w:rPr>
        <w:t xml:space="preserve">، </w:t>
      </w:r>
      <w:r w:rsidRPr="00713056">
        <w:rPr>
          <w:rFonts w:ascii="Simplified Arabic" w:hAnsi="Simplified Arabic" w:cs="Simplified Arabic"/>
          <w:b/>
          <w:bCs/>
          <w:sz w:val="22"/>
          <w:szCs w:val="22"/>
          <w:rtl/>
          <w:lang w:bidi="ar-AE"/>
        </w:rPr>
        <w:t>كتاب النجاة في الحكمة المنطقية والطبيعية والإلهية</w:t>
      </w:r>
      <w:r w:rsidRPr="00713056">
        <w:rPr>
          <w:rFonts w:ascii="Simplified Arabic" w:hAnsi="Simplified Arabic" w:cs="Simplified Arabic"/>
          <w:sz w:val="22"/>
          <w:szCs w:val="22"/>
          <w:rtl/>
          <w:lang w:bidi="ar-AE"/>
        </w:rPr>
        <w:t>، تحقيق ماجد فخري (بيروت: منش</w:t>
      </w:r>
      <w:r>
        <w:rPr>
          <w:rFonts w:ascii="Simplified Arabic" w:hAnsi="Simplified Arabic" w:cs="Simplified Arabic"/>
          <w:sz w:val="22"/>
          <w:szCs w:val="22"/>
          <w:rtl/>
          <w:lang w:bidi="ar-AE"/>
        </w:rPr>
        <w:t>ورات دار الآفاق الجديدة، 1982)</w:t>
      </w:r>
    </w:p>
    <w:p w:rsidR="00781306" w:rsidRDefault="00781306" w:rsidP="00781306">
      <w:pPr>
        <w:pStyle w:val="FootnoteText"/>
        <w:ind w:left="426" w:hanging="426"/>
        <w:rPr>
          <w:sz w:val="22"/>
          <w:szCs w:val="22"/>
        </w:rPr>
      </w:pPr>
      <w:proofErr w:type="gramStart"/>
      <w:r w:rsidRPr="00713056">
        <w:rPr>
          <w:sz w:val="22"/>
          <w:szCs w:val="22"/>
        </w:rPr>
        <w:t>ibn</w:t>
      </w:r>
      <w:proofErr w:type="gramEnd"/>
      <w:r w:rsidRPr="00713056">
        <w:rPr>
          <w:sz w:val="22"/>
          <w:szCs w:val="22"/>
        </w:rPr>
        <w:t xml:space="preserve"> Sīnā, al-</w:t>
      </w:r>
      <w:r w:rsidRPr="00713056">
        <w:rPr>
          <w:rFonts w:cs="Arial"/>
          <w:sz w:val="22"/>
          <w:szCs w:val="22"/>
        </w:rPr>
        <w:t>Ḥ</w:t>
      </w:r>
      <w:r w:rsidRPr="00713056">
        <w:rPr>
          <w:sz w:val="22"/>
          <w:szCs w:val="22"/>
        </w:rPr>
        <w:t xml:space="preserve">ussaīn b. 'Alī, </w:t>
      </w:r>
      <w:r w:rsidRPr="00713056">
        <w:rPr>
          <w:i/>
          <w:iCs/>
          <w:sz w:val="22"/>
          <w:szCs w:val="22"/>
        </w:rPr>
        <w:t>Kitāb al-Najāt or the Book of Salvation</w:t>
      </w:r>
      <w:r w:rsidRPr="00713056">
        <w:rPr>
          <w:sz w:val="22"/>
          <w:szCs w:val="22"/>
        </w:rPr>
        <w:t>, ed. by Majid Fakhri (Beirut: Manshūrāt Dār al-'Āfāq al-Jadīda, 1982)</w:t>
      </w:r>
    </w:p>
    <w:p w:rsidR="00781306" w:rsidRDefault="00781306" w:rsidP="00781306">
      <w:pPr>
        <w:pStyle w:val="FootnoteText"/>
        <w:ind w:left="426" w:hanging="426"/>
        <w:rPr>
          <w:sz w:val="22"/>
          <w:szCs w:val="22"/>
        </w:rPr>
      </w:pPr>
    </w:p>
    <w:p w:rsidR="00781306" w:rsidRPr="001116E3" w:rsidRDefault="00781306" w:rsidP="00781306">
      <w:pPr>
        <w:pStyle w:val="FootnoteText"/>
        <w:bidi/>
        <w:ind w:left="454" w:hanging="454"/>
        <w:rPr>
          <w:rFonts w:ascii="Simplified Arabic" w:hAnsi="Simplified Arabic" w:cs="Simplified Arabic"/>
          <w:sz w:val="22"/>
          <w:szCs w:val="22"/>
          <w:rtl/>
          <w:lang w:bidi="ar-AE"/>
        </w:rPr>
      </w:pPr>
      <w:r w:rsidRPr="001116E3">
        <w:rPr>
          <w:rFonts w:ascii="Simplified Arabic" w:hAnsi="Simplified Arabic" w:cs="Simplified Arabic"/>
          <w:sz w:val="22"/>
          <w:szCs w:val="22"/>
          <w:rtl/>
          <w:lang w:bidi="ar-AE"/>
        </w:rPr>
        <w:t xml:space="preserve">ابن قيم الجوزية، محمد بن أبي بكر، </w:t>
      </w:r>
      <w:r w:rsidRPr="001116E3">
        <w:rPr>
          <w:rFonts w:ascii="Simplified Arabic" w:hAnsi="Simplified Arabic" w:cs="Simplified Arabic"/>
          <w:b/>
          <w:bCs/>
          <w:sz w:val="22"/>
          <w:szCs w:val="22"/>
          <w:rtl/>
          <w:lang w:bidi="ar-AE"/>
        </w:rPr>
        <w:t>مدارج السالكين بين إياك نعبد وإياك نستعين</w:t>
      </w:r>
      <w:r w:rsidRPr="001116E3">
        <w:rPr>
          <w:rFonts w:ascii="Simplified Arabic" w:hAnsi="Simplified Arabic" w:cs="Simplified Arabic"/>
          <w:sz w:val="22"/>
          <w:szCs w:val="22"/>
          <w:rtl/>
          <w:lang w:bidi="ar-AE"/>
        </w:rPr>
        <w:t>، تحقيق محمد المعتصم بالله البغدادي (بيروت: دار الكتاب العربي، 1996)</w:t>
      </w:r>
    </w:p>
    <w:p w:rsidR="00781306" w:rsidRDefault="00781306" w:rsidP="00781306">
      <w:pPr>
        <w:pStyle w:val="FootnoteText"/>
        <w:spacing w:line="276" w:lineRule="auto"/>
        <w:ind w:left="426" w:hanging="426"/>
        <w:rPr>
          <w:sz w:val="22"/>
          <w:szCs w:val="22"/>
          <w:lang w:bidi="ar-AE"/>
        </w:rPr>
      </w:pPr>
      <w:proofErr w:type="gramStart"/>
      <w:r w:rsidRPr="001116E3">
        <w:rPr>
          <w:sz w:val="22"/>
          <w:szCs w:val="22"/>
          <w:lang w:bidi="ar-AE"/>
        </w:rPr>
        <w:lastRenderedPageBreak/>
        <w:t>ibn</w:t>
      </w:r>
      <w:proofErr w:type="gramEnd"/>
      <w:r w:rsidRPr="001116E3">
        <w:rPr>
          <w:sz w:val="22"/>
          <w:szCs w:val="22"/>
          <w:lang w:bidi="ar-AE"/>
        </w:rPr>
        <w:t xml:space="preserve"> Qayyim al-Jawzīyya, Muḥammad b. abī Bakr</w:t>
      </w:r>
      <w:r>
        <w:rPr>
          <w:sz w:val="22"/>
          <w:szCs w:val="22"/>
          <w:lang w:bidi="ar-AE"/>
        </w:rPr>
        <w:t>,</w:t>
      </w:r>
      <w:r w:rsidRPr="001116E3">
        <w:rPr>
          <w:sz w:val="22"/>
          <w:szCs w:val="22"/>
          <w:lang w:bidi="ar-AE"/>
        </w:rPr>
        <w:t xml:space="preserve"> </w:t>
      </w:r>
      <w:r w:rsidRPr="001116E3">
        <w:rPr>
          <w:i/>
          <w:iCs/>
          <w:sz w:val="22"/>
          <w:szCs w:val="22"/>
          <w:lang w:bidi="ar-AE"/>
        </w:rPr>
        <w:t>Madārij al-Sālikīn Or The Passage-Ways of the Travellers</w:t>
      </w:r>
      <w:r w:rsidRPr="001116E3">
        <w:rPr>
          <w:sz w:val="22"/>
          <w:szCs w:val="22"/>
          <w:lang w:bidi="ar-AE"/>
        </w:rPr>
        <w:t>, ed. by Mohammad al-Mu'tasim bi'llah al-Baghdadi (Beirut: Dār al-Ki</w:t>
      </w:r>
      <w:r>
        <w:rPr>
          <w:sz w:val="22"/>
          <w:szCs w:val="22"/>
          <w:lang w:bidi="ar-AE"/>
        </w:rPr>
        <w:t>tāb al-'Arabī, 1996)</w:t>
      </w:r>
    </w:p>
    <w:p w:rsidR="00781306" w:rsidRPr="001116E3" w:rsidRDefault="00781306" w:rsidP="00781306">
      <w:pPr>
        <w:pStyle w:val="FootnoteText"/>
        <w:spacing w:line="276" w:lineRule="auto"/>
        <w:ind w:left="426" w:hanging="426"/>
        <w:rPr>
          <w:sz w:val="22"/>
          <w:szCs w:val="22"/>
          <w:lang w:bidi="ar-AE"/>
        </w:rPr>
      </w:pPr>
      <w:r>
        <w:rPr>
          <w:sz w:val="22"/>
          <w:szCs w:val="22"/>
          <w:lang w:bidi="ar-AE"/>
        </w:rPr>
        <w:tab/>
      </w:r>
      <w:r>
        <w:rPr>
          <w:sz w:val="22"/>
          <w:szCs w:val="22"/>
          <w:lang w:bidi="ar-AE"/>
        </w:rPr>
        <w:tab/>
      </w:r>
    </w:p>
    <w:p w:rsidR="00781306" w:rsidRPr="004A5E9B" w:rsidRDefault="004A5E9B" w:rsidP="004A5E9B">
      <w:pPr>
        <w:pStyle w:val="FootnoteText"/>
        <w:bidi/>
        <w:spacing w:line="276" w:lineRule="auto"/>
        <w:ind w:left="454" w:hanging="454"/>
        <w:rPr>
          <w:rFonts w:ascii="Simplified Arabic" w:hAnsi="Simplified Arabic" w:cs="Simplified Arabic"/>
          <w:sz w:val="22"/>
          <w:szCs w:val="22"/>
          <w:rtl/>
          <w:lang w:bidi="ar-AE"/>
        </w:rPr>
      </w:pPr>
      <w:r>
        <w:rPr>
          <w:rFonts w:ascii="Simplified Arabic" w:hAnsi="Simplified Arabic" w:cs="Simplified Arabic" w:hint="cs"/>
          <w:sz w:val="22"/>
          <w:szCs w:val="22"/>
          <w:rtl/>
          <w:lang w:bidi="ar-AE"/>
        </w:rPr>
        <w:t xml:space="preserve">ولفسون، إسرائيل، </w:t>
      </w:r>
      <w:r w:rsidRPr="004A5E9B">
        <w:rPr>
          <w:rFonts w:ascii="Simplified Arabic" w:hAnsi="Simplified Arabic" w:cs="Simplified Arabic" w:hint="cs"/>
          <w:b/>
          <w:bCs/>
          <w:sz w:val="22"/>
          <w:szCs w:val="22"/>
          <w:rtl/>
          <w:lang w:bidi="ar-AE"/>
        </w:rPr>
        <w:t>تاريخ اليهود في بلاد العرب في الجاهلية وصدر الإسلام</w:t>
      </w:r>
      <w:r>
        <w:rPr>
          <w:rFonts w:ascii="Simplified Arabic" w:hAnsi="Simplified Arabic" w:cs="Simplified Arabic" w:hint="cs"/>
          <w:sz w:val="22"/>
          <w:szCs w:val="22"/>
          <w:rtl/>
          <w:lang w:bidi="ar-AE"/>
        </w:rPr>
        <w:t xml:space="preserve"> (القاهرة: لجنة التأليف والترجمة والنشر، 1914)</w:t>
      </w:r>
    </w:p>
    <w:p w:rsidR="004A5E9B" w:rsidRDefault="004A5E9B" w:rsidP="004A5E9B">
      <w:pPr>
        <w:pStyle w:val="FootnoteText"/>
        <w:spacing w:line="276" w:lineRule="auto"/>
        <w:ind w:left="426" w:hanging="426"/>
        <w:rPr>
          <w:sz w:val="22"/>
          <w:szCs w:val="22"/>
          <w:rtl/>
        </w:rPr>
      </w:pPr>
      <w:r>
        <w:rPr>
          <w:sz w:val="22"/>
          <w:szCs w:val="22"/>
        </w:rPr>
        <w:t xml:space="preserve">Wolfson, Israel, </w:t>
      </w:r>
      <w:r w:rsidRPr="004A5E9B">
        <w:rPr>
          <w:i/>
          <w:iCs/>
          <w:sz w:val="22"/>
          <w:szCs w:val="22"/>
        </w:rPr>
        <w:t>The History of Jews in Arabia in the Pre-Islamic and Early-Islamic Eras</w:t>
      </w:r>
      <w:r>
        <w:rPr>
          <w:sz w:val="22"/>
          <w:szCs w:val="22"/>
        </w:rPr>
        <w:t xml:space="preserve"> (Cairo: Lajnat al-Ta'līf wal-Tarjamah wal-Nashr, 1914)</w:t>
      </w:r>
    </w:p>
    <w:p w:rsidR="004A5E9B" w:rsidRPr="00A46DB1" w:rsidRDefault="004A5E9B" w:rsidP="00781306">
      <w:pPr>
        <w:pStyle w:val="FootnoteText"/>
        <w:spacing w:line="276" w:lineRule="auto"/>
        <w:rPr>
          <w:sz w:val="22"/>
          <w:szCs w:val="22"/>
        </w:rPr>
      </w:pPr>
    </w:p>
    <w:p w:rsidR="00781306" w:rsidRDefault="00781306" w:rsidP="00781306">
      <w:pPr>
        <w:pStyle w:val="Heading2"/>
      </w:pPr>
      <w:bookmarkStart w:id="50" w:name="_Toc463008686"/>
      <w:bookmarkStart w:id="51" w:name="_Toc477317402"/>
      <w:r>
        <w:t>English Sources</w:t>
      </w:r>
      <w:bookmarkEnd w:id="50"/>
      <w:bookmarkEnd w:id="51"/>
    </w:p>
    <w:p w:rsidR="00781306" w:rsidRPr="00606FBD" w:rsidRDefault="00781306" w:rsidP="00781306">
      <w:pPr>
        <w:pStyle w:val="NormalWeb"/>
        <w:spacing w:line="276" w:lineRule="auto"/>
        <w:ind w:left="450" w:hanging="450"/>
        <w:rPr>
          <w:rFonts w:ascii="Calibri" w:hAnsi="Calibri"/>
          <w:i/>
          <w:iCs/>
          <w:sz w:val="22"/>
          <w:szCs w:val="22"/>
        </w:rPr>
      </w:pPr>
      <w:r w:rsidRPr="00606FBD">
        <w:rPr>
          <w:rFonts w:ascii="Calibri" w:hAnsi="Calibri"/>
          <w:i/>
          <w:sz w:val="22"/>
          <w:szCs w:val="22"/>
        </w:rPr>
        <w:t xml:space="preserve">The Majestic Qur’ān: An English Rendition of its Meanings, </w:t>
      </w:r>
      <w:r w:rsidRPr="00606FBD">
        <w:rPr>
          <w:rFonts w:ascii="Calibri" w:hAnsi="Calibri"/>
          <w:iCs/>
          <w:sz w:val="22"/>
          <w:szCs w:val="22"/>
        </w:rPr>
        <w:t xml:space="preserve">ed. by </w:t>
      </w:r>
      <w:r w:rsidRPr="00606FBD">
        <w:rPr>
          <w:rFonts w:ascii="Calibri" w:hAnsi="Calibri"/>
          <w:sz w:val="22"/>
          <w:szCs w:val="22"/>
        </w:rPr>
        <w:t>Abdal Hakim Murad, M. Badawi and U. Hutchinson,</w:t>
      </w:r>
      <w:r>
        <w:rPr>
          <w:rFonts w:ascii="Calibri" w:hAnsi="Calibri"/>
          <w:sz w:val="22"/>
          <w:szCs w:val="22"/>
        </w:rPr>
        <w:t xml:space="preserve"> </w:t>
      </w:r>
      <w:r w:rsidRPr="00606FBD">
        <w:rPr>
          <w:rFonts w:ascii="Calibri" w:hAnsi="Calibri"/>
          <w:iCs/>
          <w:sz w:val="22"/>
          <w:szCs w:val="22"/>
        </w:rPr>
        <w:t>trans. by</w:t>
      </w:r>
      <w:r w:rsidRPr="00606FBD">
        <w:rPr>
          <w:rFonts w:ascii="Calibri" w:hAnsi="Calibri"/>
          <w:sz w:val="22"/>
          <w:szCs w:val="22"/>
        </w:rPr>
        <w:t xml:space="preserve"> Ali Özek, Nureddin Uzunoğlu, Tevfik R. Topuzoğlo and Mehmet Maksutoğlo (Chicago, IL: Nawawi Foundation, 2000)</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i/>
          <w:iCs/>
          <w:sz w:val="22"/>
          <w:szCs w:val="22"/>
        </w:rPr>
        <w:t xml:space="preserve">The Meaning of the Holy </w:t>
      </w:r>
      <w:proofErr w:type="gramStart"/>
      <w:r w:rsidRPr="00AA193E">
        <w:rPr>
          <w:rFonts w:ascii="Calibri" w:hAnsi="Calibri"/>
          <w:i/>
          <w:iCs/>
          <w:sz w:val="22"/>
          <w:szCs w:val="22"/>
        </w:rPr>
        <w:t xml:space="preserve">Qur’ān </w:t>
      </w:r>
      <w:r w:rsidRPr="00AA193E">
        <w:rPr>
          <w:rFonts w:ascii="Calibri" w:hAnsi="Calibri"/>
          <w:sz w:val="22"/>
          <w:szCs w:val="22"/>
        </w:rPr>
        <w:t>,</w:t>
      </w:r>
      <w:proofErr w:type="gramEnd"/>
      <w:r w:rsidRPr="00AA193E">
        <w:rPr>
          <w:rFonts w:ascii="Calibri" w:hAnsi="Calibri"/>
          <w:sz w:val="22"/>
          <w:szCs w:val="22"/>
        </w:rPr>
        <w:t xml:space="preserve"> trans. by Abdullah Yusuf Ali and Muhammad Marmaduke Pickthall (Beltsville: Amana Publications, 1997)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i/>
          <w:iCs/>
          <w:sz w:val="22"/>
          <w:szCs w:val="22"/>
        </w:rPr>
        <w:t>The Qur'an</w:t>
      </w:r>
      <w:r w:rsidRPr="00AA193E">
        <w:rPr>
          <w:rFonts w:ascii="Calibri" w:hAnsi="Calibri"/>
          <w:sz w:val="22"/>
          <w:szCs w:val="22"/>
        </w:rPr>
        <w:t xml:space="preserve">, trans. by Abdel Haleem, M. A. S. (Oxford: Oxford University Press, 2005) </w:t>
      </w:r>
    </w:p>
    <w:p w:rsidR="00CA1627" w:rsidRDefault="00CA1627" w:rsidP="00CA1627">
      <w:pPr>
        <w:spacing w:after="240"/>
        <w:ind w:left="426" w:hanging="426"/>
        <w:rPr>
          <w:rStyle w:val="selectable"/>
        </w:rPr>
      </w:pPr>
      <w:r>
        <w:rPr>
          <w:rStyle w:val="selectable"/>
        </w:rPr>
        <w:t xml:space="preserve">Abu Zayd, Nasr, 'Towards Understanding the Qur'an's Worldview', in </w:t>
      </w:r>
      <w:r w:rsidRPr="00CA1627">
        <w:rPr>
          <w:rStyle w:val="selectable"/>
          <w:i/>
          <w:iCs/>
        </w:rPr>
        <w:t>New Perspectives on the Qur'ān: The Qur'ān in its Historical Context 2</w:t>
      </w:r>
      <w:r>
        <w:rPr>
          <w:rStyle w:val="selectable"/>
        </w:rPr>
        <w:t>, ed. by Gabriel Said Reynolds (Oxon: Routledge, 2011), pp.</w:t>
      </w:r>
      <w:r w:rsidR="00E9090A">
        <w:rPr>
          <w:rStyle w:val="selectable"/>
        </w:rPr>
        <w:t>47-88</w:t>
      </w:r>
    </w:p>
    <w:p w:rsidR="00781306" w:rsidRDefault="00781306" w:rsidP="00781306">
      <w:pPr>
        <w:ind w:left="426" w:hanging="426"/>
      </w:pPr>
      <w:r w:rsidRPr="004F32E2">
        <w:rPr>
          <w:rStyle w:val="selectable"/>
        </w:rPr>
        <w:t>Al Arabiya, 'Ahmadinejad hails imminent arrival of "Ultimate Saviour, Jesus Christ"</w:t>
      </w:r>
      <w:r>
        <w:rPr>
          <w:rStyle w:val="selectable"/>
        </w:rPr>
        <w:t>'</w:t>
      </w:r>
      <w:r w:rsidRPr="004F32E2">
        <w:rPr>
          <w:rStyle w:val="selectable"/>
        </w:rPr>
        <w:t>, 26 September 201</w:t>
      </w:r>
      <w:r>
        <w:rPr>
          <w:rStyle w:val="selectable"/>
        </w:rPr>
        <w:t>2</w:t>
      </w:r>
      <w:r w:rsidRPr="004F32E2">
        <w:rPr>
          <w:rStyle w:val="selectable"/>
        </w:rPr>
        <w:t xml:space="preserve"> &lt;</w:t>
      </w:r>
      <w:hyperlink r:id="rId35" w:history="1">
        <w:r w:rsidRPr="004F32E2">
          <w:rPr>
            <w:rStyle w:val="Hyperlink"/>
          </w:rPr>
          <w:t>https://english.alarabiya.net/articles/2012/09/26/240346.html</w:t>
        </w:r>
      </w:hyperlink>
      <w:r w:rsidRPr="004F32E2">
        <w:rPr>
          <w:rStyle w:val="selectable"/>
        </w:rPr>
        <w:t>&gt;, [accessed 28 May 2016]</w:t>
      </w:r>
    </w:p>
    <w:p w:rsidR="00781306" w:rsidRDefault="00781306" w:rsidP="00781306">
      <w:pPr>
        <w:pStyle w:val="NormalWeb"/>
        <w:spacing w:line="276" w:lineRule="auto"/>
        <w:ind w:left="450" w:hanging="450"/>
        <w:rPr>
          <w:rFonts w:ascii="Calibri" w:hAnsi="Calibri"/>
          <w:sz w:val="22"/>
          <w:szCs w:val="22"/>
          <w:rtl/>
          <w:lang w:bidi="ar-AE"/>
        </w:rPr>
      </w:pPr>
      <w:proofErr w:type="gramStart"/>
      <w:r w:rsidRPr="00AA193E">
        <w:rPr>
          <w:rFonts w:ascii="Calibri" w:hAnsi="Calibri"/>
          <w:sz w:val="22"/>
          <w:szCs w:val="22"/>
        </w:rPr>
        <w:t>al-Bukhārī</w:t>
      </w:r>
      <w:proofErr w:type="gramEnd"/>
      <w:r w:rsidRPr="00AA193E">
        <w:rPr>
          <w:rFonts w:ascii="Calibri" w:hAnsi="Calibri"/>
          <w:sz w:val="22"/>
          <w:szCs w:val="22"/>
        </w:rPr>
        <w:t xml:space="preserve">, Abū ‘Abd Allāh Muḥammad b. Ismā‘īl, </w:t>
      </w:r>
      <w:r w:rsidRPr="00AA193E">
        <w:rPr>
          <w:rFonts w:ascii="Calibri" w:hAnsi="Calibri"/>
          <w:i/>
          <w:iCs/>
          <w:sz w:val="22"/>
          <w:szCs w:val="22"/>
        </w:rPr>
        <w:t>Sahih Al-Bukhari</w:t>
      </w:r>
      <w:r w:rsidRPr="00AA193E">
        <w:rPr>
          <w:rFonts w:ascii="Calibri" w:hAnsi="Calibri"/>
          <w:sz w:val="22"/>
          <w:szCs w:val="22"/>
        </w:rPr>
        <w:t xml:space="preserve">, trans. by Muhammad Muhsin Khan (Virginia: </w:t>
      </w:r>
      <w:r>
        <w:rPr>
          <w:rFonts w:ascii="Calibri" w:hAnsi="Calibri"/>
          <w:sz w:val="22"/>
          <w:szCs w:val="22"/>
        </w:rPr>
        <w:t xml:space="preserve">al-Saadawi Publications, 1996) </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Ali, Abobaker and others, 'Some Linguistic Difficulties in Translating the Holy Quran from Arabic into English', </w:t>
      </w:r>
      <w:r w:rsidRPr="00AA193E">
        <w:rPr>
          <w:rFonts w:ascii="Calibri" w:hAnsi="Calibri"/>
          <w:i/>
          <w:iCs/>
          <w:sz w:val="22"/>
          <w:szCs w:val="22"/>
        </w:rPr>
        <w:t xml:space="preserve">International Journal of Social Science and Humanity, </w:t>
      </w:r>
      <w:r w:rsidRPr="00AA193E">
        <w:rPr>
          <w:rFonts w:ascii="Calibri" w:hAnsi="Calibri"/>
          <w:sz w:val="22"/>
          <w:szCs w:val="22"/>
        </w:rPr>
        <w:t>2 (2012), 588</w:t>
      </w:r>
      <w:r>
        <w:rPr>
          <w:rFonts w:ascii="Calibri" w:hAnsi="Calibri"/>
          <w:sz w:val="22"/>
          <w:szCs w:val="22"/>
        </w:rPr>
        <w:t>-590</w:t>
      </w:r>
      <w:r w:rsidRPr="00AA193E">
        <w:rPr>
          <w:rFonts w:ascii="Calibri" w:hAnsi="Calibri"/>
          <w:sz w:val="22"/>
          <w:szCs w:val="22"/>
        </w:rPr>
        <w:t xml:space="preserve"> </w:t>
      </w:r>
    </w:p>
    <w:p w:rsidR="00781306" w:rsidRDefault="00781306" w:rsidP="00781306">
      <w:pPr>
        <w:pStyle w:val="NormalWeb"/>
        <w:spacing w:line="276" w:lineRule="auto"/>
        <w:ind w:left="450" w:hanging="450"/>
        <w:rPr>
          <w:rFonts w:ascii="Calibri" w:hAnsi="Calibri"/>
          <w:sz w:val="22"/>
          <w:szCs w:val="22"/>
        </w:rPr>
      </w:pPr>
      <w:proofErr w:type="gramStart"/>
      <w:r w:rsidRPr="00AA193E">
        <w:rPr>
          <w:rFonts w:ascii="Calibri" w:hAnsi="Calibri"/>
          <w:sz w:val="22"/>
          <w:szCs w:val="22"/>
        </w:rPr>
        <w:t>al-Naīsābūrī</w:t>
      </w:r>
      <w:proofErr w:type="gramEnd"/>
      <w:r w:rsidRPr="00AA193E">
        <w:rPr>
          <w:rFonts w:ascii="Calibri" w:hAnsi="Calibri"/>
          <w:sz w:val="22"/>
          <w:szCs w:val="22"/>
        </w:rPr>
        <w:t xml:space="preserve">, Muslim b. al-Ḥajjāj Abū al-Ḥasan al-Qushaīrī, </w:t>
      </w:r>
      <w:r w:rsidRPr="00AA193E">
        <w:rPr>
          <w:rFonts w:ascii="Calibri" w:hAnsi="Calibri"/>
          <w:i/>
          <w:iCs/>
          <w:sz w:val="22"/>
          <w:szCs w:val="22"/>
        </w:rPr>
        <w:t>Sahih Muslim</w:t>
      </w:r>
      <w:r w:rsidRPr="00AA193E">
        <w:rPr>
          <w:rFonts w:ascii="Calibri" w:hAnsi="Calibri"/>
          <w:sz w:val="22"/>
          <w:szCs w:val="22"/>
        </w:rPr>
        <w:t xml:space="preserve">, trans. by Abdul Hamid </w:t>
      </w:r>
      <w:r>
        <w:rPr>
          <w:rFonts w:ascii="Calibri" w:hAnsi="Calibri"/>
          <w:sz w:val="22"/>
          <w:szCs w:val="22"/>
        </w:rPr>
        <w:t xml:space="preserve">Siddiqi (Lahore: Ashraf, 1981) </w:t>
      </w:r>
    </w:p>
    <w:p w:rsidR="002861AE" w:rsidRPr="002861AE" w:rsidRDefault="002861AE" w:rsidP="002861AE">
      <w:pPr>
        <w:pStyle w:val="NormalWeb"/>
        <w:spacing w:line="276" w:lineRule="auto"/>
        <w:ind w:left="450" w:hanging="450"/>
        <w:rPr>
          <w:rFonts w:ascii="Calibri" w:hAnsi="Calibri"/>
          <w:sz w:val="22"/>
          <w:szCs w:val="22"/>
        </w:rPr>
      </w:pPr>
      <w:r w:rsidRPr="002861AE">
        <w:rPr>
          <w:rFonts w:ascii="Calibri" w:hAnsi="Calibri"/>
          <w:sz w:val="22"/>
          <w:szCs w:val="22"/>
        </w:rPr>
        <w:t xml:space="preserve">Anawati, G. C., 'Fakhr al-Dīn al-Rāzī', in </w:t>
      </w:r>
      <w:r w:rsidRPr="002861AE">
        <w:rPr>
          <w:rFonts w:ascii="Calibri" w:hAnsi="Calibri"/>
          <w:i/>
          <w:iCs/>
          <w:sz w:val="22"/>
          <w:szCs w:val="22"/>
        </w:rPr>
        <w:t>The Encyclopaedia of Islam</w:t>
      </w:r>
      <w:r>
        <w:rPr>
          <w:rFonts w:ascii="Calibri" w:hAnsi="Calibri"/>
          <w:sz w:val="22"/>
          <w:szCs w:val="22"/>
        </w:rPr>
        <w:t xml:space="preserve">, ed. by P. Bearman et al., Vol.2 (Leiden: Brill, 2004), pp.751-755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Appleby, R. S., '</w:t>
      </w:r>
      <w:proofErr w:type="gramStart"/>
      <w:r w:rsidRPr="00AA193E">
        <w:rPr>
          <w:rFonts w:ascii="Calibri" w:hAnsi="Calibri"/>
          <w:sz w:val="22"/>
          <w:szCs w:val="22"/>
        </w:rPr>
        <w:t>The</w:t>
      </w:r>
      <w:proofErr w:type="gramEnd"/>
      <w:r w:rsidRPr="00AA193E">
        <w:rPr>
          <w:rFonts w:ascii="Calibri" w:hAnsi="Calibri"/>
          <w:sz w:val="22"/>
          <w:szCs w:val="22"/>
        </w:rPr>
        <w:t xml:space="preserve"> Unholy Uses of the Apocalyptic Imagination: Twentieth Century Patterns', in </w:t>
      </w:r>
      <w:r w:rsidRPr="00AA193E">
        <w:rPr>
          <w:rFonts w:ascii="Calibri" w:hAnsi="Calibri"/>
          <w:i/>
          <w:iCs/>
          <w:sz w:val="22"/>
          <w:szCs w:val="22"/>
        </w:rPr>
        <w:t>Apocalypse and Violence</w:t>
      </w:r>
      <w:r w:rsidRPr="00AA193E">
        <w:rPr>
          <w:rFonts w:ascii="Calibri" w:hAnsi="Calibri"/>
          <w:sz w:val="22"/>
          <w:szCs w:val="22"/>
        </w:rPr>
        <w:t>, ed. by Abbas Amanat and John Joseph Collins</w:t>
      </w:r>
      <w:r>
        <w:rPr>
          <w:rFonts w:ascii="Calibri" w:hAnsi="Calibri"/>
          <w:sz w:val="22"/>
          <w:szCs w:val="22"/>
        </w:rPr>
        <w:t xml:space="preserve"> </w:t>
      </w:r>
      <w:r w:rsidRPr="00AA193E">
        <w:rPr>
          <w:rFonts w:ascii="Calibri" w:hAnsi="Calibri"/>
          <w:sz w:val="22"/>
          <w:szCs w:val="22"/>
        </w:rPr>
        <w:t xml:space="preserve">(2002), pp. 69-87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lastRenderedPageBreak/>
        <w:t xml:space="preserve">Arjomand, Said A., 'Islamic Apocalypticism in the Classic Period', in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Encyclopedia of Apocalypticism: Volume 2, Apocalypticism in Western History and Culture</w:t>
      </w:r>
      <w:r>
        <w:rPr>
          <w:rFonts w:ascii="Calibri" w:hAnsi="Calibri"/>
          <w:sz w:val="22"/>
          <w:szCs w:val="22"/>
        </w:rPr>
        <w:t xml:space="preserve">, ed. by Bernard McGinn </w:t>
      </w:r>
      <w:r w:rsidRPr="00AA193E">
        <w:rPr>
          <w:rFonts w:ascii="Calibri" w:hAnsi="Calibri"/>
          <w:sz w:val="22"/>
          <w:szCs w:val="22"/>
        </w:rPr>
        <w:t xml:space="preserve">(New York: The Continuum Publishing Company, 1998), pp. 238-283 </w:t>
      </w:r>
    </w:p>
    <w:p w:rsidR="00280B13" w:rsidRPr="00280B13" w:rsidRDefault="00280B13" w:rsidP="00781306">
      <w:pPr>
        <w:pStyle w:val="NormalWeb"/>
        <w:spacing w:line="276" w:lineRule="auto"/>
        <w:ind w:left="450" w:hanging="450"/>
        <w:rPr>
          <w:rFonts w:ascii="Calibri" w:hAnsi="Calibri"/>
          <w:sz w:val="22"/>
          <w:szCs w:val="22"/>
        </w:rPr>
      </w:pPr>
      <w:r w:rsidRPr="00280B13">
        <w:rPr>
          <w:rFonts w:ascii="Calibri" w:hAnsi="Calibri"/>
          <w:sz w:val="22"/>
          <w:szCs w:val="22"/>
        </w:rPr>
        <w:t xml:space="preserve">Arnaldez, R., 'al-Ḳurṭubi', in </w:t>
      </w:r>
      <w:r w:rsidRPr="00280B13">
        <w:rPr>
          <w:rFonts w:ascii="Calibri" w:hAnsi="Calibri"/>
          <w:i/>
          <w:iCs/>
          <w:sz w:val="22"/>
          <w:szCs w:val="22"/>
        </w:rPr>
        <w:t>The Encyclopadia of Islam</w:t>
      </w:r>
      <w:r>
        <w:rPr>
          <w:rFonts w:ascii="Calibri" w:hAnsi="Calibri"/>
          <w:sz w:val="22"/>
          <w:szCs w:val="22"/>
        </w:rPr>
        <w:t>, ed. by P. Bearman, Vol.5 (Leiden: Brill, 2004)</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ʿAthamina, Khalil, 'The Black Banners and the Socio-Political Significance of Flags and Slogans in Medieval Islam', </w:t>
      </w:r>
      <w:r w:rsidRPr="00AA193E">
        <w:rPr>
          <w:rFonts w:ascii="Calibri" w:hAnsi="Calibri"/>
          <w:i/>
          <w:iCs/>
          <w:sz w:val="22"/>
          <w:szCs w:val="22"/>
        </w:rPr>
        <w:t xml:space="preserve">Arabica, </w:t>
      </w:r>
      <w:r w:rsidRPr="00AA193E">
        <w:rPr>
          <w:rFonts w:ascii="Calibri" w:hAnsi="Calibri"/>
          <w:sz w:val="22"/>
          <w:szCs w:val="22"/>
        </w:rPr>
        <w:t xml:space="preserve">36 (Nov., 1989), 307-326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Barkun, Michael, 'Messages from Beyond: Prophecy in the Contemporary World', in </w:t>
      </w:r>
      <w:r w:rsidRPr="00AA193E">
        <w:rPr>
          <w:rFonts w:ascii="Calibri" w:hAnsi="Calibri"/>
          <w:i/>
          <w:iCs/>
          <w:sz w:val="22"/>
          <w:szCs w:val="22"/>
        </w:rPr>
        <w:t>Prophecy in the New Millennium</w:t>
      </w:r>
      <w:r w:rsidRPr="00AA193E">
        <w:rPr>
          <w:rFonts w:ascii="Calibri" w:hAnsi="Calibri"/>
          <w:sz w:val="22"/>
          <w:szCs w:val="22"/>
        </w:rPr>
        <w:t>, ed. by Sarah Harvey and Suzanne Newcombe</w:t>
      </w:r>
      <w:r>
        <w:rPr>
          <w:rFonts w:ascii="Calibri" w:hAnsi="Calibri"/>
          <w:sz w:val="22"/>
          <w:szCs w:val="22"/>
        </w:rPr>
        <w:t xml:space="preserve"> </w:t>
      </w:r>
      <w:r w:rsidRPr="00AA193E">
        <w:rPr>
          <w:rFonts w:ascii="Calibri" w:hAnsi="Calibri"/>
          <w:sz w:val="22"/>
          <w:szCs w:val="22"/>
        </w:rPr>
        <w:t xml:space="preserve">(Surrey: Ashgate Publishing Ltd., 2013), pp. 17-26 </w:t>
      </w:r>
    </w:p>
    <w:p w:rsidR="00781306" w:rsidRDefault="00781306" w:rsidP="00781306">
      <w:pPr>
        <w:pStyle w:val="NormalWeb"/>
        <w:spacing w:line="276" w:lineRule="auto"/>
        <w:ind w:left="450" w:hanging="450"/>
        <w:rPr>
          <w:rFonts w:ascii="Calibri" w:hAnsi="Calibri"/>
          <w:sz w:val="22"/>
          <w:szCs w:val="22"/>
        </w:rPr>
      </w:pPr>
      <w:r>
        <w:rPr>
          <w:rFonts w:ascii="Calibri" w:hAnsi="Calibri"/>
          <w:sz w:val="22"/>
          <w:szCs w:val="22"/>
        </w:rPr>
        <w:t xml:space="preserve">Bell, James, </w:t>
      </w:r>
      <w:r w:rsidRPr="00F856F2">
        <w:rPr>
          <w:rStyle w:val="selectable"/>
          <w:rFonts w:ascii="Calibri" w:eastAsiaTheme="majorEastAsia" w:hAnsi="Calibri"/>
          <w:sz w:val="22"/>
          <w:szCs w:val="22"/>
        </w:rPr>
        <w:t xml:space="preserve">"Muslim Adherence </w:t>
      </w:r>
      <w:proofErr w:type="gramStart"/>
      <w:r w:rsidRPr="00F856F2">
        <w:rPr>
          <w:rStyle w:val="selectable"/>
          <w:rFonts w:ascii="Calibri" w:eastAsiaTheme="majorEastAsia" w:hAnsi="Calibri"/>
          <w:sz w:val="22"/>
          <w:szCs w:val="22"/>
        </w:rPr>
        <w:t>To</w:t>
      </w:r>
      <w:proofErr w:type="gramEnd"/>
      <w:r w:rsidRPr="00F856F2">
        <w:rPr>
          <w:rStyle w:val="selectable"/>
          <w:rFonts w:ascii="Calibri" w:eastAsiaTheme="majorEastAsia" w:hAnsi="Calibri"/>
          <w:sz w:val="22"/>
          <w:szCs w:val="22"/>
        </w:rPr>
        <w:t xml:space="preserve"> Articles Of Faith", </w:t>
      </w:r>
      <w:r w:rsidRPr="00F856F2">
        <w:rPr>
          <w:rStyle w:val="selectable"/>
          <w:rFonts w:ascii="Calibri" w:eastAsiaTheme="majorEastAsia" w:hAnsi="Calibri"/>
          <w:i/>
          <w:iCs/>
          <w:sz w:val="22"/>
          <w:szCs w:val="22"/>
        </w:rPr>
        <w:t>Pew Research Center</w:t>
      </w:r>
      <w:r w:rsidRPr="00F856F2">
        <w:rPr>
          <w:rStyle w:val="selectable"/>
          <w:rFonts w:ascii="Calibri" w:eastAsiaTheme="majorEastAsia" w:hAnsi="Calibri"/>
          <w:sz w:val="22"/>
          <w:szCs w:val="22"/>
        </w:rPr>
        <w:t>, 2012 &lt;http://www.pewforum.org/2012/08/09/the-worlds-muslims-unity-and-diversity-3-articles-of-faith/&gt; [accessed 28 May 2016]</w:t>
      </w:r>
    </w:p>
    <w:p w:rsidR="00781306" w:rsidRDefault="00781306" w:rsidP="00781306">
      <w:pPr>
        <w:pStyle w:val="NormalWeb"/>
        <w:spacing w:line="276" w:lineRule="auto"/>
        <w:ind w:left="450" w:hanging="450"/>
        <w:rPr>
          <w:rFonts w:ascii="Calibri" w:hAnsi="Calibri"/>
          <w:sz w:val="22"/>
          <w:szCs w:val="22"/>
          <w:rtl/>
        </w:rPr>
      </w:pPr>
      <w:r w:rsidRPr="00AA193E">
        <w:rPr>
          <w:rFonts w:ascii="Calibri" w:hAnsi="Calibri"/>
          <w:sz w:val="22"/>
          <w:szCs w:val="22"/>
        </w:rPr>
        <w:t xml:space="preserve">Berkey, Jonathan P.,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Formation of Islam: Religion and Society in the Near East, 600-1800</w:t>
      </w:r>
      <w:r w:rsidRPr="00AA193E">
        <w:rPr>
          <w:rFonts w:ascii="Calibri" w:hAnsi="Calibri"/>
          <w:sz w:val="22"/>
          <w:szCs w:val="22"/>
        </w:rPr>
        <w:t xml:space="preserve"> (Cambridge: Cambridge University Press, 2003) </w:t>
      </w:r>
    </w:p>
    <w:p w:rsidR="00781306" w:rsidRDefault="00781306" w:rsidP="00163A4F">
      <w:pPr>
        <w:pStyle w:val="FootnoteText"/>
        <w:ind w:left="426" w:hanging="426"/>
        <w:rPr>
          <w:rStyle w:val="selectable"/>
          <w:sz w:val="22"/>
          <w:szCs w:val="22"/>
        </w:rPr>
      </w:pPr>
      <w:r>
        <w:rPr>
          <w:rStyle w:val="selectable"/>
          <w:sz w:val="22"/>
          <w:szCs w:val="22"/>
        </w:rPr>
        <w:t>Blackburn, Simon</w:t>
      </w:r>
      <w:r w:rsidRPr="00683954">
        <w:rPr>
          <w:rStyle w:val="selectable"/>
          <w:sz w:val="22"/>
          <w:szCs w:val="22"/>
        </w:rPr>
        <w:t xml:space="preserve">, ed., "Naturalism" in </w:t>
      </w:r>
      <w:proofErr w:type="gramStart"/>
      <w:r w:rsidRPr="00683954">
        <w:rPr>
          <w:rStyle w:val="selectable"/>
          <w:i/>
          <w:iCs/>
          <w:sz w:val="22"/>
          <w:szCs w:val="22"/>
        </w:rPr>
        <w:t>The</w:t>
      </w:r>
      <w:proofErr w:type="gramEnd"/>
      <w:r w:rsidRPr="00683954">
        <w:rPr>
          <w:rStyle w:val="selectable"/>
          <w:i/>
          <w:iCs/>
          <w:sz w:val="22"/>
          <w:szCs w:val="22"/>
        </w:rPr>
        <w:t xml:space="preserve"> Oxford Dictionary of Philosophy</w:t>
      </w:r>
      <w:r w:rsidRPr="00683954">
        <w:rPr>
          <w:rStyle w:val="selectable"/>
          <w:sz w:val="22"/>
          <w:szCs w:val="22"/>
        </w:rPr>
        <w:t xml:space="preserve"> (Oxford: </w:t>
      </w:r>
      <w:r w:rsidR="00AE3DAD">
        <w:rPr>
          <w:rStyle w:val="selectable"/>
          <w:sz w:val="22"/>
          <w:szCs w:val="22"/>
        </w:rPr>
        <w:t>Oxford University Press, 2016)</w:t>
      </w:r>
    </w:p>
    <w:p w:rsidR="00AE3DAD" w:rsidRDefault="00AE3DAD" w:rsidP="00163A4F">
      <w:pPr>
        <w:pStyle w:val="FootnoteText"/>
        <w:ind w:left="426" w:hanging="426"/>
        <w:rPr>
          <w:rStyle w:val="selectable"/>
          <w:sz w:val="22"/>
          <w:szCs w:val="22"/>
        </w:rPr>
      </w:pPr>
    </w:p>
    <w:p w:rsidR="00AE3DAD" w:rsidRPr="00AE3DAD" w:rsidRDefault="00AE3DAD" w:rsidP="00163A4F">
      <w:pPr>
        <w:pStyle w:val="FootnoteText"/>
        <w:ind w:left="426" w:hanging="426"/>
        <w:rPr>
          <w:sz w:val="24"/>
          <w:szCs w:val="24"/>
        </w:rPr>
      </w:pPr>
      <w:r>
        <w:rPr>
          <w:rStyle w:val="selectable"/>
          <w:sz w:val="22"/>
          <w:szCs w:val="22"/>
        </w:rPr>
        <w:t>Bowersock, Glen W.</w:t>
      </w:r>
      <w:r w:rsidR="0026186D">
        <w:rPr>
          <w:rStyle w:val="selectable"/>
          <w:sz w:val="22"/>
          <w:szCs w:val="22"/>
        </w:rPr>
        <w:t xml:space="preserve">, 'The Rise and </w:t>
      </w:r>
      <w:proofErr w:type="gramStart"/>
      <w:r w:rsidR="0026186D">
        <w:rPr>
          <w:rStyle w:val="selectable"/>
          <w:sz w:val="22"/>
          <w:szCs w:val="22"/>
        </w:rPr>
        <w:t>Fall</w:t>
      </w:r>
      <w:proofErr w:type="gramEnd"/>
      <w:r w:rsidR="0026186D">
        <w:rPr>
          <w:rStyle w:val="selectable"/>
          <w:sz w:val="22"/>
          <w:szCs w:val="22"/>
        </w:rPr>
        <w:t xml:space="preserve"> of a Jewish Kingdom i</w:t>
      </w:r>
      <w:r w:rsidRPr="00AE3DAD">
        <w:rPr>
          <w:rStyle w:val="selectable"/>
          <w:sz w:val="22"/>
          <w:szCs w:val="22"/>
        </w:rPr>
        <w:t xml:space="preserve">n Arabia', </w:t>
      </w:r>
      <w:r w:rsidRPr="00AE3DAD">
        <w:rPr>
          <w:rStyle w:val="selectable"/>
          <w:i/>
          <w:iCs/>
          <w:sz w:val="22"/>
          <w:szCs w:val="22"/>
        </w:rPr>
        <w:t>The Institute For Advanced Studies Letter</w:t>
      </w:r>
      <w:r w:rsidRPr="00AE3DAD">
        <w:rPr>
          <w:rStyle w:val="selectable"/>
          <w:sz w:val="22"/>
          <w:szCs w:val="22"/>
        </w:rPr>
        <w:t xml:space="preserve"> (Fall 2011) &lt;https://www.ias.edu/sites/default/files/documents/publications/G11-11360_IAS_Newsletter.pdf&gt; [accessed 3 January 2017]</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Campbell, Joseph, </w:t>
      </w:r>
      <w:r w:rsidRPr="00AA193E">
        <w:rPr>
          <w:rFonts w:ascii="Calibri" w:hAnsi="Calibri"/>
          <w:i/>
          <w:iCs/>
          <w:sz w:val="22"/>
          <w:szCs w:val="22"/>
        </w:rPr>
        <w:t>Myths to Live by</w:t>
      </w:r>
      <w:r w:rsidRPr="00AA193E">
        <w:rPr>
          <w:rFonts w:ascii="Calibri" w:hAnsi="Calibri"/>
          <w:sz w:val="22"/>
          <w:szCs w:val="22"/>
        </w:rPr>
        <w:t xml:space="preserve"> (New York: Viking Press, 1972)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Campion, Nicholas, </w:t>
      </w:r>
      <w:r w:rsidRPr="00AA193E">
        <w:rPr>
          <w:rFonts w:ascii="Calibri" w:hAnsi="Calibri"/>
          <w:i/>
          <w:iCs/>
          <w:sz w:val="22"/>
          <w:szCs w:val="22"/>
        </w:rPr>
        <w:t>Astrology and Cosmology in the World’s Religions</w:t>
      </w:r>
      <w:r w:rsidRPr="00AA193E">
        <w:rPr>
          <w:rFonts w:ascii="Calibri" w:hAnsi="Calibri"/>
          <w:sz w:val="22"/>
          <w:szCs w:val="22"/>
        </w:rPr>
        <w:t xml:space="preserve"> (New York: New York University Press, 2012) </w:t>
      </w:r>
    </w:p>
    <w:p w:rsidR="00781306" w:rsidRPr="00AA193E" w:rsidRDefault="00781306" w:rsidP="00C524EB">
      <w:pPr>
        <w:pStyle w:val="NormalWeb"/>
        <w:spacing w:line="276" w:lineRule="auto"/>
        <w:ind w:left="450" w:hanging="450"/>
        <w:rPr>
          <w:rFonts w:ascii="Calibri" w:hAnsi="Calibri"/>
          <w:sz w:val="22"/>
          <w:szCs w:val="22"/>
        </w:rPr>
      </w:pPr>
      <w:r w:rsidRPr="00AA193E">
        <w:rPr>
          <w:rFonts w:ascii="Calibri" w:hAnsi="Calibri"/>
          <w:sz w:val="22"/>
          <w:szCs w:val="22"/>
        </w:rPr>
        <w:t>---</w:t>
      </w:r>
      <w:r w:rsidR="00C524EB" w:rsidRPr="00C524EB">
        <w:rPr>
          <w:rFonts w:ascii="Calibri" w:hAnsi="Calibri"/>
          <w:i/>
          <w:iCs/>
          <w:sz w:val="22"/>
          <w:szCs w:val="22"/>
        </w:rPr>
        <w:t>The Great Year: Astrology, Millenarianism and History in the Western Tradition</w:t>
      </w:r>
      <w:r w:rsidR="00C524EB">
        <w:rPr>
          <w:rFonts w:ascii="Calibri" w:hAnsi="Calibri"/>
          <w:sz w:val="22"/>
          <w:szCs w:val="22"/>
        </w:rPr>
        <w:t xml:space="preserve"> (London: Arkana Penguin Books, 1994)</w:t>
      </w:r>
      <w:r w:rsidRPr="00AA193E">
        <w:rPr>
          <w:rFonts w:ascii="Calibri" w:hAnsi="Calibri"/>
          <w:sz w:val="22"/>
          <w:szCs w:val="22"/>
        </w:rPr>
        <w:t xml:space="preserve"> </w:t>
      </w:r>
    </w:p>
    <w:p w:rsidR="00523965" w:rsidRDefault="00523965" w:rsidP="00781306">
      <w:pPr>
        <w:pStyle w:val="NormalWeb"/>
        <w:spacing w:line="276" w:lineRule="auto"/>
        <w:ind w:left="450" w:hanging="450"/>
        <w:rPr>
          <w:rFonts w:ascii="Calibri" w:hAnsi="Calibri"/>
          <w:sz w:val="22"/>
          <w:szCs w:val="22"/>
        </w:rPr>
      </w:pPr>
      <w:r>
        <w:rPr>
          <w:rFonts w:ascii="Calibri" w:hAnsi="Calibri"/>
          <w:sz w:val="22"/>
          <w:szCs w:val="22"/>
        </w:rPr>
        <w:t xml:space="preserve">Charles, R. H., </w:t>
      </w:r>
      <w:proofErr w:type="gramStart"/>
      <w:r w:rsidRPr="00523965">
        <w:rPr>
          <w:rFonts w:ascii="Calibri" w:hAnsi="Calibri"/>
          <w:i/>
          <w:iCs/>
          <w:sz w:val="22"/>
          <w:szCs w:val="22"/>
        </w:rPr>
        <w:t>The</w:t>
      </w:r>
      <w:proofErr w:type="gramEnd"/>
      <w:r w:rsidRPr="00523965">
        <w:rPr>
          <w:rFonts w:ascii="Calibri" w:hAnsi="Calibri"/>
          <w:i/>
          <w:iCs/>
          <w:sz w:val="22"/>
          <w:szCs w:val="22"/>
        </w:rPr>
        <w:t xml:space="preserve"> Book of Enoch</w:t>
      </w:r>
      <w:r>
        <w:rPr>
          <w:rFonts w:ascii="Calibri" w:hAnsi="Calibri"/>
          <w:sz w:val="22"/>
          <w:szCs w:val="22"/>
        </w:rPr>
        <w:t xml:space="preserve"> (London: S.P.C.K, 1952)</w:t>
      </w:r>
    </w:p>
    <w:p w:rsidR="00523965" w:rsidRDefault="00523965" w:rsidP="00781306">
      <w:pPr>
        <w:pStyle w:val="NormalWeb"/>
        <w:spacing w:line="276" w:lineRule="auto"/>
        <w:ind w:left="450" w:hanging="450"/>
        <w:rPr>
          <w:rFonts w:ascii="Calibri" w:hAnsi="Calibri"/>
          <w:sz w:val="22"/>
          <w:szCs w:val="22"/>
        </w:rPr>
      </w:pPr>
      <w:r>
        <w:rPr>
          <w:rFonts w:ascii="Calibri" w:hAnsi="Calibri"/>
          <w:sz w:val="22"/>
          <w:szCs w:val="22"/>
        </w:rPr>
        <w:t>---</w:t>
      </w:r>
      <w:r w:rsidRPr="00523965">
        <w:rPr>
          <w:rFonts w:ascii="Calibri" w:hAnsi="Calibri"/>
          <w:i/>
          <w:iCs/>
          <w:sz w:val="22"/>
          <w:szCs w:val="22"/>
        </w:rPr>
        <w:t xml:space="preserve">The Book of Jubilees </w:t>
      </w:r>
      <w:proofErr w:type="gramStart"/>
      <w:r w:rsidRPr="00523965">
        <w:rPr>
          <w:rFonts w:ascii="Calibri" w:hAnsi="Calibri"/>
          <w:i/>
          <w:iCs/>
          <w:sz w:val="22"/>
          <w:szCs w:val="22"/>
        </w:rPr>
        <w:t>Or</w:t>
      </w:r>
      <w:proofErr w:type="gramEnd"/>
      <w:r w:rsidRPr="00523965">
        <w:rPr>
          <w:rFonts w:ascii="Calibri" w:hAnsi="Calibri"/>
          <w:i/>
          <w:iCs/>
          <w:sz w:val="22"/>
          <w:szCs w:val="22"/>
        </w:rPr>
        <w:t xml:space="preserve"> the Little Genesis</w:t>
      </w:r>
      <w:r>
        <w:rPr>
          <w:rFonts w:ascii="Calibri" w:hAnsi="Calibri"/>
          <w:sz w:val="22"/>
          <w:szCs w:val="22"/>
        </w:rPr>
        <w:t xml:space="preserve"> (London: Adam and Charles Black, 1902)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Chittick, William C., 'Muslim Eschatology', in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Oxford Handbook of Eschatology</w:t>
      </w:r>
      <w:r w:rsidRPr="00AA193E">
        <w:rPr>
          <w:rFonts w:ascii="Calibri" w:hAnsi="Calibri"/>
          <w:sz w:val="22"/>
          <w:szCs w:val="22"/>
        </w:rPr>
        <w:t>, ed. by Jerry L. Walls</w:t>
      </w:r>
      <w:r>
        <w:rPr>
          <w:rFonts w:ascii="Calibri" w:hAnsi="Calibri"/>
          <w:sz w:val="22"/>
          <w:szCs w:val="22"/>
        </w:rPr>
        <w:t xml:space="preserve"> </w:t>
      </w:r>
      <w:r w:rsidRPr="00AA193E">
        <w:rPr>
          <w:rFonts w:ascii="Calibri" w:hAnsi="Calibri"/>
          <w:sz w:val="22"/>
          <w:szCs w:val="22"/>
        </w:rPr>
        <w:t xml:space="preserve">(Oxford: Oxford University Press, 2008), pp. 132-150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Cohn, Norman, </w:t>
      </w:r>
      <w:r w:rsidRPr="00AA193E">
        <w:rPr>
          <w:rFonts w:ascii="Calibri" w:hAnsi="Calibri"/>
          <w:i/>
          <w:iCs/>
          <w:sz w:val="22"/>
          <w:szCs w:val="22"/>
        </w:rPr>
        <w:t>Cosmos, Chaos and the World to Come</w:t>
      </w:r>
      <w:r w:rsidRPr="00AA193E">
        <w:rPr>
          <w:rFonts w:ascii="Calibri" w:hAnsi="Calibri"/>
          <w:sz w:val="22"/>
          <w:szCs w:val="22"/>
        </w:rPr>
        <w:t xml:space="preserve"> (New Haven and London: Yale University Press, 1993) </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lastRenderedPageBreak/>
        <w:t>---</w:t>
      </w:r>
      <w:r w:rsidRPr="00AA193E">
        <w:rPr>
          <w:rFonts w:ascii="Calibri" w:hAnsi="Calibri"/>
          <w:i/>
          <w:iCs/>
          <w:sz w:val="22"/>
          <w:szCs w:val="22"/>
        </w:rPr>
        <w:t xml:space="preserve">The Pursuit of the Millennium: Revolutionary Millenarians and Mystical Anarchists of the </w:t>
      </w:r>
      <w:proofErr w:type="gramStart"/>
      <w:r w:rsidRPr="00AA193E">
        <w:rPr>
          <w:rFonts w:ascii="Calibri" w:hAnsi="Calibri"/>
          <w:i/>
          <w:iCs/>
          <w:sz w:val="22"/>
          <w:szCs w:val="22"/>
        </w:rPr>
        <w:t>Middle</w:t>
      </w:r>
      <w:proofErr w:type="gramEnd"/>
      <w:r w:rsidRPr="00AA193E">
        <w:rPr>
          <w:rFonts w:ascii="Calibri" w:hAnsi="Calibri"/>
          <w:i/>
          <w:iCs/>
          <w:sz w:val="22"/>
          <w:szCs w:val="22"/>
        </w:rPr>
        <w:t xml:space="preserve"> Ages</w:t>
      </w:r>
      <w:r w:rsidRPr="00AA193E">
        <w:rPr>
          <w:rFonts w:ascii="Calibri" w:hAnsi="Calibri"/>
          <w:sz w:val="22"/>
          <w:szCs w:val="22"/>
        </w:rPr>
        <w:t xml:space="preserve"> (London: Granada Publishing Ltd., 1970) </w:t>
      </w:r>
    </w:p>
    <w:p w:rsidR="00CC0286" w:rsidRPr="00AA193E" w:rsidRDefault="00B81D86" w:rsidP="00781306">
      <w:pPr>
        <w:pStyle w:val="NormalWeb"/>
        <w:spacing w:line="276" w:lineRule="auto"/>
        <w:ind w:left="450" w:hanging="450"/>
        <w:rPr>
          <w:rFonts w:ascii="Calibri" w:hAnsi="Calibri"/>
          <w:sz w:val="22"/>
          <w:szCs w:val="22"/>
        </w:rPr>
      </w:pPr>
      <w:r>
        <w:rPr>
          <w:rFonts w:ascii="Calibri" w:hAnsi="Calibri"/>
          <w:sz w:val="22"/>
          <w:szCs w:val="22"/>
        </w:rPr>
        <w:t>---</w:t>
      </w:r>
      <w:r w:rsidR="00CC0286" w:rsidRPr="00CC0286">
        <w:rPr>
          <w:rFonts w:ascii="Calibri" w:hAnsi="Calibri"/>
          <w:i/>
          <w:iCs/>
          <w:sz w:val="22"/>
          <w:szCs w:val="22"/>
        </w:rPr>
        <w:t xml:space="preserve">The Pursuit of the Millennium: Revolutionary Messianism in Medieval and Reformation </w:t>
      </w:r>
      <w:r w:rsidR="00CC0286" w:rsidRPr="00CC0286">
        <w:rPr>
          <w:rFonts w:ascii="Calibri" w:hAnsi="Calibri"/>
          <w:i/>
          <w:iCs/>
          <w:sz w:val="22"/>
          <w:szCs w:val="22"/>
          <w:cs/>
        </w:rPr>
        <w:t>‎</w:t>
      </w:r>
      <w:r w:rsidR="00CC0286" w:rsidRPr="00CC0286">
        <w:rPr>
          <w:rFonts w:ascii="Calibri" w:hAnsi="Calibri"/>
          <w:i/>
          <w:iCs/>
          <w:sz w:val="22"/>
          <w:szCs w:val="22"/>
        </w:rPr>
        <w:t>Europe and its bearing on Modern Totalitarian Movements</w:t>
      </w:r>
      <w:r w:rsidR="00CC0286" w:rsidRPr="00CC0286">
        <w:rPr>
          <w:rFonts w:ascii="Calibri" w:hAnsi="Calibri"/>
          <w:sz w:val="22"/>
          <w:szCs w:val="22"/>
        </w:rPr>
        <w:t xml:space="preserve"> (New</w:t>
      </w:r>
      <w:r w:rsidR="00CC0286">
        <w:rPr>
          <w:rFonts w:ascii="Calibri" w:hAnsi="Calibri"/>
          <w:sz w:val="22"/>
          <w:szCs w:val="22"/>
        </w:rPr>
        <w:t xml:space="preserve"> York: Harper Torchbooks, 1961)</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Collins, John J., 'Apocalyptic Eschatology in the Ancient World', in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Oxford Handbook of Eschatology</w:t>
      </w:r>
      <w:r w:rsidRPr="00AA193E">
        <w:rPr>
          <w:rFonts w:ascii="Calibri" w:hAnsi="Calibri"/>
          <w:sz w:val="22"/>
          <w:szCs w:val="22"/>
        </w:rPr>
        <w:t>, ed. by Jerry L. Walls</w:t>
      </w:r>
      <w:r>
        <w:rPr>
          <w:rFonts w:ascii="Calibri" w:hAnsi="Calibri"/>
          <w:sz w:val="22"/>
          <w:szCs w:val="22"/>
        </w:rPr>
        <w:t xml:space="preserve"> </w:t>
      </w:r>
      <w:r w:rsidRPr="00AA193E">
        <w:rPr>
          <w:rFonts w:ascii="Calibri" w:hAnsi="Calibri"/>
          <w:sz w:val="22"/>
          <w:szCs w:val="22"/>
        </w:rPr>
        <w:t xml:space="preserve">(Oxford: Oxford University Press, 2008), pp. 40-55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---'What is Apocalyptic Literature?</w:t>
      </w:r>
      <w:proofErr w:type="gramStart"/>
      <w:r w:rsidRPr="00AA193E">
        <w:rPr>
          <w:rFonts w:ascii="Calibri" w:hAnsi="Calibri"/>
          <w:sz w:val="22"/>
          <w:szCs w:val="22"/>
        </w:rPr>
        <w:t>',</w:t>
      </w:r>
      <w:proofErr w:type="gramEnd"/>
      <w:r w:rsidRPr="00AA193E">
        <w:rPr>
          <w:rFonts w:ascii="Calibri" w:hAnsi="Calibri"/>
          <w:sz w:val="22"/>
          <w:szCs w:val="22"/>
        </w:rPr>
        <w:t xml:space="preserve"> in </w:t>
      </w:r>
      <w:r w:rsidRPr="00AA193E">
        <w:rPr>
          <w:rFonts w:ascii="Calibri" w:hAnsi="Calibri"/>
          <w:i/>
          <w:iCs/>
          <w:sz w:val="22"/>
          <w:szCs w:val="22"/>
        </w:rPr>
        <w:t>The Oxford Handbook of Apocalyptic Literature</w:t>
      </w:r>
      <w:r w:rsidRPr="00AA193E">
        <w:rPr>
          <w:rFonts w:ascii="Calibri" w:hAnsi="Calibri"/>
          <w:sz w:val="22"/>
          <w:szCs w:val="22"/>
        </w:rPr>
        <w:t>, ed. by John J. Collins</w:t>
      </w:r>
      <w:r>
        <w:rPr>
          <w:rFonts w:ascii="Calibri" w:hAnsi="Calibri"/>
          <w:sz w:val="22"/>
          <w:szCs w:val="22"/>
        </w:rPr>
        <w:t xml:space="preserve"> </w:t>
      </w:r>
      <w:r w:rsidRPr="00AA193E">
        <w:rPr>
          <w:rFonts w:ascii="Calibri" w:hAnsi="Calibri"/>
          <w:sz w:val="22"/>
          <w:szCs w:val="22"/>
        </w:rPr>
        <w:t xml:space="preserve">(Oxford: Oxford University Press, 2014), pp. 1-16 </w:t>
      </w:r>
    </w:p>
    <w:p w:rsidR="006D5956" w:rsidRDefault="00781306" w:rsidP="006D5956">
      <w:pPr>
        <w:pStyle w:val="NormalWeb"/>
        <w:spacing w:line="276" w:lineRule="auto"/>
        <w:ind w:left="450" w:hanging="450"/>
        <w:rPr>
          <w:rFonts w:ascii="Calibri" w:hAnsi="Calibri"/>
          <w:sz w:val="22"/>
          <w:szCs w:val="22"/>
        </w:rPr>
      </w:pPr>
      <w:r w:rsidRPr="00AA193E">
        <w:rPr>
          <w:rFonts w:ascii="Calibri" w:hAnsi="Calibri"/>
          <w:sz w:val="22"/>
          <w:szCs w:val="22"/>
        </w:rPr>
        <w:t xml:space="preserve">Cook, David, </w:t>
      </w:r>
      <w:r w:rsidRPr="00AA193E">
        <w:rPr>
          <w:rFonts w:ascii="Calibri" w:hAnsi="Calibri"/>
          <w:i/>
          <w:iCs/>
          <w:sz w:val="22"/>
          <w:szCs w:val="22"/>
        </w:rPr>
        <w:t>Contemporary Muslim Apocalyptic Literature</w:t>
      </w:r>
      <w:r w:rsidRPr="00AA193E">
        <w:rPr>
          <w:rFonts w:ascii="Calibri" w:hAnsi="Calibri"/>
          <w:sz w:val="22"/>
          <w:szCs w:val="22"/>
        </w:rPr>
        <w:t xml:space="preserve"> (Syracuse: Syracuse University Press, 2005) </w:t>
      </w:r>
    </w:p>
    <w:p w:rsidR="00966C37" w:rsidRDefault="008677ED" w:rsidP="008677ED">
      <w:pPr>
        <w:spacing w:after="240"/>
        <w:ind w:left="426" w:hanging="426"/>
        <w:rPr>
          <w:rFonts w:cs="Courier New"/>
        </w:rPr>
      </w:pPr>
      <w:r>
        <w:t>---</w:t>
      </w:r>
      <w:r w:rsidR="00966C37">
        <w:t>'Messianism and Astronomical Events d</w:t>
      </w:r>
      <w:r w:rsidR="00966C37" w:rsidRPr="005B5DBE">
        <w:t>uring th</w:t>
      </w:r>
      <w:r w:rsidR="00966C37">
        <w:t>e First Four Centuries of Islam',</w:t>
      </w:r>
      <w:r w:rsidR="00966C37" w:rsidRPr="005B5DBE">
        <w:t xml:space="preserve"> </w:t>
      </w:r>
      <w:r w:rsidR="00966C37" w:rsidRPr="005B5DBE">
        <w:rPr>
          <w:i/>
          <w:iCs/>
        </w:rPr>
        <w:t xml:space="preserve">Revue des mondes musulmans </w:t>
      </w:r>
      <w:proofErr w:type="gramStart"/>
      <w:r w:rsidR="00966C37" w:rsidRPr="005B5DBE">
        <w:rPr>
          <w:i/>
          <w:iCs/>
        </w:rPr>
        <w:t>et</w:t>
      </w:r>
      <w:proofErr w:type="gramEnd"/>
      <w:r w:rsidR="00966C37" w:rsidRPr="005B5DBE">
        <w:rPr>
          <w:i/>
          <w:iCs/>
        </w:rPr>
        <w:t xml:space="preserve"> de la Méditerranée</w:t>
      </w:r>
      <w:r w:rsidR="00966C37">
        <w:t xml:space="preserve"> 91-94 (July 2000), &lt;</w:t>
      </w:r>
      <w:hyperlink r:id="rId36" w:history="1">
        <w:r w:rsidR="00966C37" w:rsidRPr="00B4171D">
          <w:rPr>
            <w:rStyle w:val="Hyperlink"/>
            <w:rFonts w:eastAsia="Times New Roman" w:cs="Courier New"/>
          </w:rPr>
          <w:t>http://remmm.revues.org/247</w:t>
        </w:r>
      </w:hyperlink>
      <w:r>
        <w:rPr>
          <w:rFonts w:cs="Courier New"/>
        </w:rPr>
        <w:t>&gt; [accessed 17 January 2011]</w:t>
      </w:r>
    </w:p>
    <w:p w:rsidR="00DA32BA" w:rsidRPr="00DA32BA" w:rsidRDefault="00DA32BA" w:rsidP="00DA32BA">
      <w:pPr>
        <w:spacing w:after="240"/>
        <w:ind w:left="426" w:hanging="426"/>
        <w:rPr>
          <w:rFonts w:eastAsia="Times New Roman" w:cs="Courier New"/>
        </w:rPr>
      </w:pPr>
      <w:r>
        <w:t xml:space="preserve">---'Messianism in the Mid-11th/17th Century as Exemplified by Al-Barzanji (1040-1103/1630-1691)', </w:t>
      </w:r>
      <w:r w:rsidRPr="00604DBF">
        <w:rPr>
          <w:i/>
        </w:rPr>
        <w:t xml:space="preserve">Jerusalem Studies in Arabic and Islam, </w:t>
      </w:r>
      <w:r>
        <w:t>33 (2007), pp.261-278</w:t>
      </w:r>
    </w:p>
    <w:p w:rsidR="006D5956" w:rsidRDefault="006D5956" w:rsidP="006D5956">
      <w:pPr>
        <w:spacing w:after="240"/>
        <w:ind w:left="426" w:hanging="426"/>
      </w:pPr>
      <w:r>
        <w:t xml:space="preserve">---'Suicide Attacks or "Martyrdom Operations" in Contemporary Jihad Literature', </w:t>
      </w:r>
      <w:r>
        <w:rPr>
          <w:i/>
          <w:iCs/>
        </w:rPr>
        <w:t>Nova Religio: The Journal of Alternative and Emergent Religions</w:t>
      </w:r>
      <w:r>
        <w:t xml:space="preserve"> 6, no. 1 (October 2002), pp.10-13</w:t>
      </w:r>
    </w:p>
    <w:p w:rsidR="006D5956" w:rsidRPr="00AA193E" w:rsidRDefault="006D5956" w:rsidP="006D5956">
      <w:r>
        <w:t>---</w:t>
      </w:r>
      <w:r w:rsidRPr="00BA2244">
        <w:rPr>
          <w:i/>
          <w:iCs/>
        </w:rPr>
        <w:t>Understanding Jihad</w:t>
      </w:r>
      <w:r>
        <w:t xml:space="preserve"> (Oakland, University of California Press, 2015)</w:t>
      </w:r>
    </w:p>
    <w:p w:rsidR="00A66853" w:rsidRDefault="00A66853" w:rsidP="00781306">
      <w:pPr>
        <w:pStyle w:val="NormalWeb"/>
        <w:spacing w:line="276" w:lineRule="auto"/>
        <w:ind w:left="450" w:hanging="450"/>
        <w:rPr>
          <w:rFonts w:ascii="Calibri" w:hAnsi="Calibri"/>
          <w:sz w:val="22"/>
          <w:szCs w:val="22"/>
        </w:rPr>
      </w:pPr>
      <w:r>
        <w:rPr>
          <w:rFonts w:ascii="Calibri" w:hAnsi="Calibri"/>
          <w:sz w:val="22"/>
          <w:szCs w:val="22"/>
        </w:rPr>
        <w:t xml:space="preserve">Crone, Patricia, 'The Quranic Mushrikūn and the Resurrection (Part II)', </w:t>
      </w:r>
      <w:r w:rsidRPr="00A66853">
        <w:rPr>
          <w:rFonts w:ascii="Calibri" w:hAnsi="Calibri"/>
          <w:i/>
          <w:iCs/>
          <w:sz w:val="22"/>
          <w:szCs w:val="22"/>
        </w:rPr>
        <w:t>Bulletin of the School of Oriental and African Studies</w:t>
      </w:r>
      <w:r>
        <w:rPr>
          <w:rFonts w:ascii="Calibri" w:hAnsi="Calibri"/>
          <w:sz w:val="22"/>
          <w:szCs w:val="22"/>
        </w:rPr>
        <w:t xml:space="preserve"> 76</w:t>
      </w:r>
      <w:r w:rsidR="00251361">
        <w:rPr>
          <w:rFonts w:ascii="Calibri" w:hAnsi="Calibri"/>
          <w:sz w:val="22"/>
          <w:szCs w:val="22"/>
        </w:rPr>
        <w:t>, no.1</w:t>
      </w:r>
      <w:r>
        <w:rPr>
          <w:rFonts w:ascii="Calibri" w:hAnsi="Calibri"/>
          <w:sz w:val="22"/>
          <w:szCs w:val="22"/>
        </w:rPr>
        <w:t xml:space="preserve"> (2013), pp.1-20</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DiTommaso, Lorenzo, 'The Apocalyptic Other', in </w:t>
      </w:r>
      <w:r w:rsidRPr="00AA193E">
        <w:rPr>
          <w:rFonts w:ascii="Calibri" w:hAnsi="Calibri"/>
          <w:i/>
          <w:iCs/>
          <w:sz w:val="22"/>
          <w:szCs w:val="22"/>
        </w:rPr>
        <w:t xml:space="preserve">The </w:t>
      </w:r>
      <w:r>
        <w:rPr>
          <w:rFonts w:ascii="Calibri" w:hAnsi="Calibri"/>
          <w:i/>
          <w:iCs/>
          <w:sz w:val="22"/>
          <w:szCs w:val="22"/>
        </w:rPr>
        <w:t>'</w:t>
      </w:r>
      <w:r w:rsidRPr="00AA193E">
        <w:rPr>
          <w:rFonts w:ascii="Calibri" w:hAnsi="Calibri"/>
          <w:i/>
          <w:iCs/>
          <w:sz w:val="22"/>
          <w:szCs w:val="22"/>
        </w:rPr>
        <w:t>Other</w:t>
      </w:r>
      <w:r>
        <w:rPr>
          <w:rFonts w:ascii="Calibri" w:hAnsi="Calibri"/>
          <w:i/>
          <w:iCs/>
          <w:sz w:val="22"/>
          <w:szCs w:val="22"/>
        </w:rPr>
        <w:t>'</w:t>
      </w:r>
      <w:r w:rsidRPr="00AA193E">
        <w:rPr>
          <w:rFonts w:ascii="Calibri" w:hAnsi="Calibri"/>
          <w:i/>
          <w:iCs/>
          <w:sz w:val="22"/>
          <w:szCs w:val="22"/>
        </w:rPr>
        <w:t xml:space="preserve"> in Second Temple Judaism: Essays in Honor of John J. Collins</w:t>
      </w:r>
      <w:r w:rsidRPr="00AA193E">
        <w:rPr>
          <w:rFonts w:ascii="Calibri" w:hAnsi="Calibri"/>
          <w:sz w:val="22"/>
          <w:szCs w:val="22"/>
        </w:rPr>
        <w:t>, ed. by Daniel C. Harlow and others</w:t>
      </w:r>
      <w:r>
        <w:rPr>
          <w:rFonts w:ascii="Calibri" w:hAnsi="Calibri"/>
          <w:sz w:val="22"/>
          <w:szCs w:val="22"/>
        </w:rPr>
        <w:t xml:space="preserve"> </w:t>
      </w:r>
      <w:r w:rsidRPr="00AA193E">
        <w:rPr>
          <w:rFonts w:ascii="Calibri" w:hAnsi="Calibri"/>
          <w:sz w:val="22"/>
          <w:szCs w:val="22"/>
        </w:rPr>
        <w:t xml:space="preserve">(Michigan: William B. Eerdmans Publishing Company, 2011) </w:t>
      </w:r>
      <w:r>
        <w:rPr>
          <w:rFonts w:ascii="Calibri" w:hAnsi="Calibri"/>
          <w:sz w:val="22"/>
          <w:szCs w:val="22"/>
        </w:rPr>
        <w:t xml:space="preserve">– add pages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Dryden, John,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Works of John Dryden: Now First Collected in Eighteen Volumes. Illustrated with Notes, Historical, Critical, and Explanatory, and a Life of the Author</w:t>
      </w:r>
      <w:r>
        <w:rPr>
          <w:rFonts w:ascii="Calibri" w:hAnsi="Calibri"/>
          <w:sz w:val="22"/>
          <w:szCs w:val="22"/>
        </w:rPr>
        <w:t xml:space="preserve">, Vol. 9 </w:t>
      </w:r>
      <w:r w:rsidRPr="00AA193E">
        <w:rPr>
          <w:rFonts w:ascii="Calibri" w:hAnsi="Calibri"/>
          <w:sz w:val="22"/>
          <w:szCs w:val="22"/>
        </w:rPr>
        <w:t xml:space="preserve">(London: William Miller, 1808)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Eliade, Mircea, </w:t>
      </w:r>
      <w:r w:rsidRPr="00AA193E">
        <w:rPr>
          <w:rFonts w:ascii="Calibri" w:hAnsi="Calibri"/>
          <w:i/>
          <w:iCs/>
          <w:sz w:val="22"/>
          <w:szCs w:val="22"/>
        </w:rPr>
        <w:t>Cosmos and History: The Myth of the Eternal Return</w:t>
      </w:r>
      <w:r w:rsidRPr="00AA193E">
        <w:rPr>
          <w:rFonts w:ascii="Calibri" w:hAnsi="Calibri"/>
          <w:sz w:val="22"/>
          <w:szCs w:val="22"/>
        </w:rPr>
        <w:t xml:space="preserve">, trans. by Willard R. Trask (New York: Harper Torchbooks, 1959)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w:t>
      </w:r>
      <w:r>
        <w:rPr>
          <w:rFonts w:ascii="Calibri" w:hAnsi="Calibri"/>
          <w:i/>
          <w:iCs/>
          <w:sz w:val="22"/>
          <w:szCs w:val="22"/>
        </w:rPr>
        <w:t>Myth and Reality</w:t>
      </w:r>
      <w:r w:rsidRPr="00AA193E">
        <w:rPr>
          <w:rFonts w:ascii="Calibri" w:hAnsi="Calibri"/>
          <w:sz w:val="22"/>
          <w:szCs w:val="22"/>
        </w:rPr>
        <w:t xml:space="preserve">, trans. by Willard R. Trask (New York: Harper &amp; Row, 1963) </w:t>
      </w:r>
    </w:p>
    <w:p w:rsidR="00E9090A" w:rsidRDefault="00E9090A" w:rsidP="00C524EB">
      <w:pPr>
        <w:pStyle w:val="NormalWeb"/>
        <w:spacing w:line="276" w:lineRule="auto"/>
        <w:ind w:left="450" w:hanging="450"/>
        <w:rPr>
          <w:rFonts w:ascii="Calibri" w:hAnsi="Calibri"/>
          <w:sz w:val="22"/>
          <w:szCs w:val="22"/>
        </w:rPr>
      </w:pPr>
      <w:r>
        <w:rPr>
          <w:rFonts w:ascii="Calibri" w:hAnsi="Calibri"/>
          <w:sz w:val="22"/>
          <w:szCs w:val="22"/>
        </w:rPr>
        <w:t>---</w:t>
      </w:r>
      <w:r w:rsidRPr="00E9090A">
        <w:rPr>
          <w:rFonts w:ascii="Calibri" w:hAnsi="Calibri"/>
          <w:i/>
          <w:iCs/>
          <w:sz w:val="22"/>
          <w:szCs w:val="22"/>
        </w:rPr>
        <w:t>The Sacred and the Profane</w:t>
      </w:r>
      <w:r>
        <w:rPr>
          <w:rFonts w:ascii="Calibri" w:hAnsi="Calibri"/>
          <w:sz w:val="22"/>
          <w:szCs w:val="22"/>
        </w:rPr>
        <w:t xml:space="preserve"> (London: Harcourt Brace Jovanovich London, 1959)</w:t>
      </w:r>
    </w:p>
    <w:p w:rsidR="00781306" w:rsidRPr="0079177C" w:rsidRDefault="00781306" w:rsidP="00C524EB">
      <w:pPr>
        <w:pStyle w:val="NormalWeb"/>
        <w:spacing w:line="276" w:lineRule="auto"/>
        <w:ind w:left="450" w:hanging="450"/>
        <w:rPr>
          <w:rFonts w:ascii="Calibri" w:hAnsi="Calibri"/>
          <w:sz w:val="22"/>
          <w:szCs w:val="22"/>
        </w:rPr>
      </w:pPr>
      <w:r w:rsidRPr="00AA193E">
        <w:rPr>
          <w:rFonts w:ascii="Calibri" w:hAnsi="Calibri"/>
          <w:sz w:val="22"/>
          <w:szCs w:val="22"/>
        </w:rPr>
        <w:lastRenderedPageBreak/>
        <w:t>---</w:t>
      </w:r>
      <w:r w:rsidRPr="00AA193E">
        <w:rPr>
          <w:rFonts w:ascii="Calibri" w:hAnsi="Calibri"/>
          <w:i/>
          <w:iCs/>
          <w:sz w:val="22"/>
          <w:szCs w:val="22"/>
        </w:rPr>
        <w:t>The Two and the One</w:t>
      </w:r>
      <w:r w:rsidRPr="00AA193E">
        <w:rPr>
          <w:rFonts w:ascii="Calibri" w:hAnsi="Calibri"/>
          <w:sz w:val="22"/>
          <w:szCs w:val="22"/>
        </w:rPr>
        <w:t xml:space="preserve"> </w:t>
      </w:r>
      <w:r>
        <w:rPr>
          <w:rFonts w:ascii="Calibri" w:hAnsi="Calibri"/>
          <w:sz w:val="22"/>
          <w:szCs w:val="22"/>
        </w:rPr>
        <w:t>(New York: Harper &amp; Row, 196</w:t>
      </w:r>
      <w:r w:rsidR="00C524EB">
        <w:rPr>
          <w:rFonts w:ascii="Calibri" w:hAnsi="Calibri"/>
          <w:sz w:val="22"/>
          <w:szCs w:val="22"/>
        </w:rPr>
        <w:t>5</w:t>
      </w:r>
      <w:r>
        <w:rPr>
          <w:rFonts w:ascii="Calibri" w:hAnsi="Calibri"/>
          <w:sz w:val="22"/>
          <w:szCs w:val="22"/>
        </w:rPr>
        <w:t xml:space="preserve">) </w:t>
      </w:r>
    </w:p>
    <w:p w:rsidR="00781306" w:rsidRPr="00AA193E" w:rsidRDefault="00781306" w:rsidP="00781306">
      <w:pPr>
        <w:pStyle w:val="FootnoteText"/>
        <w:ind w:left="426" w:hanging="426"/>
        <w:rPr>
          <w:sz w:val="22"/>
          <w:szCs w:val="22"/>
        </w:rPr>
      </w:pPr>
      <w:r w:rsidRPr="00CD5089">
        <w:rPr>
          <w:sz w:val="22"/>
          <w:szCs w:val="22"/>
        </w:rPr>
        <w:t xml:space="preserve">Evans, Richard J., </w:t>
      </w:r>
      <w:r w:rsidRPr="00CD5089">
        <w:rPr>
          <w:i/>
          <w:sz w:val="22"/>
          <w:szCs w:val="22"/>
        </w:rPr>
        <w:t>In Defense of History</w:t>
      </w:r>
      <w:r w:rsidRPr="00CD5089">
        <w:rPr>
          <w:sz w:val="22"/>
          <w:szCs w:val="22"/>
        </w:rPr>
        <w:t xml:space="preserve"> (New York: W. W. Norton &amp; Company</w:t>
      </w:r>
      <w:r>
        <w:rPr>
          <w:sz w:val="22"/>
          <w:szCs w:val="22"/>
        </w:rPr>
        <w:t>, 1999)</w:t>
      </w:r>
    </w:p>
    <w:p w:rsidR="00781306" w:rsidRPr="00BE0393" w:rsidRDefault="00781306" w:rsidP="00781306">
      <w:pPr>
        <w:pStyle w:val="FootnoteText"/>
      </w:pPr>
    </w:p>
    <w:p w:rsidR="00781306" w:rsidRPr="00065638" w:rsidRDefault="00781306" w:rsidP="00781306">
      <w:pPr>
        <w:pStyle w:val="FootnoteText"/>
        <w:ind w:left="426" w:hanging="426"/>
        <w:rPr>
          <w:sz w:val="22"/>
          <w:szCs w:val="22"/>
        </w:rPr>
      </w:pPr>
      <w:r w:rsidRPr="00065638">
        <w:rPr>
          <w:sz w:val="22"/>
          <w:szCs w:val="22"/>
        </w:rPr>
        <w:t xml:space="preserve">Festugière, André-Jean, </w:t>
      </w:r>
      <w:r w:rsidRPr="00065638">
        <w:rPr>
          <w:i/>
          <w:sz w:val="22"/>
          <w:szCs w:val="22"/>
        </w:rPr>
        <w:t>Personal Religion among the Greeks</w:t>
      </w:r>
      <w:r w:rsidRPr="00065638">
        <w:rPr>
          <w:sz w:val="22"/>
          <w:szCs w:val="22"/>
        </w:rPr>
        <w:t xml:space="preserve"> (Berkeley: University of California Press, 1954)</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Filiu, Jean-Pierre, </w:t>
      </w:r>
      <w:r w:rsidRPr="00AA193E">
        <w:rPr>
          <w:rFonts w:ascii="Calibri" w:hAnsi="Calibri"/>
          <w:i/>
          <w:iCs/>
          <w:sz w:val="22"/>
          <w:szCs w:val="22"/>
        </w:rPr>
        <w:t>Apocalypse in Islam</w:t>
      </w:r>
      <w:r w:rsidRPr="00AA193E">
        <w:rPr>
          <w:rFonts w:ascii="Calibri" w:hAnsi="Calibri"/>
          <w:sz w:val="22"/>
          <w:szCs w:val="22"/>
        </w:rPr>
        <w:t xml:space="preserve">, trans. by M. B. DeBevoise (University of California Press, 2011) </w:t>
      </w:r>
    </w:p>
    <w:p w:rsidR="00A04B70" w:rsidRPr="00A04B70" w:rsidRDefault="00A04B70" w:rsidP="00781306">
      <w:pPr>
        <w:pStyle w:val="NormalWeb"/>
        <w:spacing w:line="276" w:lineRule="auto"/>
        <w:ind w:left="450" w:hanging="450"/>
        <w:rPr>
          <w:rFonts w:ascii="Calibri" w:hAnsi="Calibri"/>
          <w:sz w:val="20"/>
          <w:szCs w:val="20"/>
        </w:rPr>
      </w:pPr>
      <w:r>
        <w:rPr>
          <w:rStyle w:val="selectable"/>
          <w:rFonts w:ascii="Calibri" w:hAnsi="Calibri"/>
          <w:sz w:val="22"/>
          <w:szCs w:val="22"/>
        </w:rPr>
        <w:t>Firestone, Reuven</w:t>
      </w:r>
      <w:r w:rsidRPr="00A04B70">
        <w:rPr>
          <w:rStyle w:val="selectable"/>
          <w:rFonts w:ascii="Calibri" w:hAnsi="Calibri"/>
          <w:sz w:val="22"/>
          <w:szCs w:val="22"/>
        </w:rPr>
        <w:t xml:space="preserve">, 'Muslim-Jewish Relations', </w:t>
      </w:r>
      <w:r w:rsidRPr="00A04B70">
        <w:rPr>
          <w:rStyle w:val="selectable"/>
          <w:rFonts w:ascii="Calibri" w:hAnsi="Calibri"/>
          <w:i/>
          <w:iCs/>
          <w:sz w:val="22"/>
          <w:szCs w:val="22"/>
        </w:rPr>
        <w:t xml:space="preserve">Oxford Research Encyclopedia </w:t>
      </w:r>
      <w:proofErr w:type="gramStart"/>
      <w:r w:rsidRPr="00A04B70">
        <w:rPr>
          <w:rStyle w:val="selectable"/>
          <w:rFonts w:ascii="Calibri" w:hAnsi="Calibri"/>
          <w:i/>
          <w:iCs/>
          <w:sz w:val="22"/>
          <w:szCs w:val="22"/>
        </w:rPr>
        <w:t>Of</w:t>
      </w:r>
      <w:proofErr w:type="gramEnd"/>
      <w:r w:rsidRPr="00A04B70">
        <w:rPr>
          <w:rStyle w:val="selectable"/>
          <w:rFonts w:ascii="Calibri" w:hAnsi="Calibri"/>
          <w:i/>
          <w:iCs/>
          <w:sz w:val="22"/>
          <w:szCs w:val="22"/>
        </w:rPr>
        <w:t xml:space="preserve"> Religion</w:t>
      </w:r>
      <w:r w:rsidRPr="00A04B70">
        <w:rPr>
          <w:rStyle w:val="selectable"/>
          <w:rFonts w:ascii="Calibri" w:hAnsi="Calibri"/>
          <w:sz w:val="22"/>
          <w:szCs w:val="22"/>
        </w:rPr>
        <w:t>, 2016 &lt;https://doi.org/10.1093/acrefore/9780199340378.013.17&gt; [accessed 3 January 2017]</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Fromson, James and Steven Simon, 'ISIS: The Dubious Paradise of Apocalypse Now', </w:t>
      </w:r>
      <w:r w:rsidRPr="00AA193E">
        <w:rPr>
          <w:rFonts w:ascii="Calibri" w:hAnsi="Calibri"/>
          <w:i/>
          <w:iCs/>
          <w:sz w:val="22"/>
          <w:szCs w:val="22"/>
        </w:rPr>
        <w:t xml:space="preserve">Survival, </w:t>
      </w:r>
      <w:r w:rsidRPr="00AA193E">
        <w:rPr>
          <w:rFonts w:ascii="Calibri" w:hAnsi="Calibri"/>
          <w:sz w:val="22"/>
          <w:szCs w:val="22"/>
        </w:rPr>
        <w:t xml:space="preserve">57, no.3 (June-July 2015), 7-56 </w:t>
      </w:r>
    </w:p>
    <w:p w:rsidR="00781306" w:rsidRPr="004230E8" w:rsidRDefault="00781306" w:rsidP="00781306">
      <w:pPr>
        <w:pStyle w:val="NormalWeb"/>
        <w:spacing w:line="276" w:lineRule="auto"/>
        <w:ind w:left="450" w:hanging="450"/>
        <w:rPr>
          <w:rFonts w:ascii="Calibri" w:hAnsi="Calibri"/>
          <w:sz w:val="22"/>
          <w:szCs w:val="22"/>
        </w:rPr>
      </w:pPr>
      <w:r w:rsidRPr="004230E8">
        <w:rPr>
          <w:rStyle w:val="selectable"/>
          <w:rFonts w:ascii="Calibri" w:eastAsiaTheme="majorEastAsia" w:hAnsi="Calibri"/>
          <w:sz w:val="22"/>
          <w:szCs w:val="22"/>
        </w:rPr>
        <w:t>Goodenough, Patr</w:t>
      </w:r>
      <w:r>
        <w:rPr>
          <w:rStyle w:val="selectable"/>
          <w:rFonts w:ascii="Calibri" w:eastAsiaTheme="majorEastAsia" w:hAnsi="Calibri"/>
          <w:sz w:val="22"/>
          <w:szCs w:val="22"/>
        </w:rPr>
        <w:t>ick, "Ahmadinejad Includes Shi’i</w:t>
      </w:r>
      <w:r w:rsidRPr="004230E8">
        <w:rPr>
          <w:rStyle w:val="selectable"/>
          <w:rFonts w:ascii="Calibri" w:eastAsiaTheme="majorEastAsia" w:hAnsi="Calibri"/>
          <w:sz w:val="22"/>
          <w:szCs w:val="22"/>
        </w:rPr>
        <w:t xml:space="preserve">te End-Times Beliefs </w:t>
      </w:r>
      <w:proofErr w:type="gramStart"/>
      <w:r w:rsidRPr="004230E8">
        <w:rPr>
          <w:rStyle w:val="selectable"/>
          <w:rFonts w:ascii="Calibri" w:eastAsiaTheme="majorEastAsia" w:hAnsi="Calibri"/>
          <w:sz w:val="22"/>
          <w:szCs w:val="22"/>
        </w:rPr>
        <w:t>In Speech To</w:t>
      </w:r>
      <w:proofErr w:type="gramEnd"/>
      <w:r w:rsidRPr="004230E8">
        <w:rPr>
          <w:rStyle w:val="selectable"/>
          <w:rFonts w:ascii="Calibri" w:eastAsiaTheme="majorEastAsia" w:hAnsi="Calibri"/>
          <w:sz w:val="22"/>
          <w:szCs w:val="22"/>
        </w:rPr>
        <w:t xml:space="preserve"> U.N.", </w:t>
      </w:r>
      <w:r w:rsidRPr="004230E8">
        <w:rPr>
          <w:rStyle w:val="selectable"/>
          <w:rFonts w:ascii="Calibri" w:eastAsiaTheme="majorEastAsia" w:hAnsi="Calibri"/>
          <w:i/>
          <w:iCs/>
          <w:sz w:val="22"/>
          <w:szCs w:val="22"/>
        </w:rPr>
        <w:t>CNS News</w:t>
      </w:r>
      <w:r w:rsidRPr="004230E8">
        <w:rPr>
          <w:rStyle w:val="selectable"/>
          <w:rFonts w:ascii="Calibri" w:eastAsiaTheme="majorEastAsia" w:hAnsi="Calibri"/>
          <w:sz w:val="22"/>
          <w:szCs w:val="22"/>
        </w:rPr>
        <w:t>, 2012 &lt;http://www.cnsnews.com/news/article/ahmadinejad-includes-shi-ite-end-times-beliefs-speech-un&gt; [accessed 2</w:t>
      </w:r>
      <w:r>
        <w:rPr>
          <w:rStyle w:val="selectable"/>
          <w:rFonts w:ascii="Calibri" w:eastAsiaTheme="majorEastAsia" w:hAnsi="Calibri"/>
          <w:sz w:val="22"/>
          <w:szCs w:val="22"/>
        </w:rPr>
        <w:t>8 May</w:t>
      </w:r>
      <w:r w:rsidRPr="004230E8">
        <w:rPr>
          <w:rStyle w:val="selectable"/>
          <w:rFonts w:ascii="Calibri" w:eastAsiaTheme="majorEastAsia" w:hAnsi="Calibri"/>
          <w:sz w:val="22"/>
          <w:szCs w:val="22"/>
        </w:rPr>
        <w:t xml:space="preserve"> 2016]</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Harvey, Sarah and Suzanne Newcombe, 'From the Extraordinary to the Ordinary: An Overview of Prophecy', in </w:t>
      </w:r>
      <w:r w:rsidRPr="00AA193E">
        <w:rPr>
          <w:rFonts w:ascii="Calibri" w:hAnsi="Calibri"/>
          <w:i/>
          <w:iCs/>
          <w:sz w:val="22"/>
          <w:szCs w:val="22"/>
        </w:rPr>
        <w:t>Prophecy in the New Millennium</w:t>
      </w:r>
      <w:r w:rsidRPr="00AA193E">
        <w:rPr>
          <w:rFonts w:ascii="Calibri" w:hAnsi="Calibri"/>
          <w:sz w:val="22"/>
          <w:szCs w:val="22"/>
        </w:rPr>
        <w:t>, ed. by Sarah Harvey and Suzanne Newcombe</w:t>
      </w:r>
      <w:r>
        <w:rPr>
          <w:rFonts w:ascii="Calibri" w:hAnsi="Calibri"/>
          <w:sz w:val="22"/>
          <w:szCs w:val="22"/>
        </w:rPr>
        <w:t xml:space="preserve"> </w:t>
      </w:r>
      <w:r w:rsidRPr="00AA193E">
        <w:rPr>
          <w:rFonts w:ascii="Calibri" w:hAnsi="Calibri"/>
          <w:sz w:val="22"/>
          <w:szCs w:val="22"/>
        </w:rPr>
        <w:t xml:space="preserve">(Surrey: Ashgate Publishing, Ltd., 2013), pp. 1-14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Hegel, Georg W. F., </w:t>
      </w:r>
      <w:r w:rsidRPr="00AA193E">
        <w:rPr>
          <w:rFonts w:ascii="Calibri" w:hAnsi="Calibri"/>
          <w:i/>
          <w:iCs/>
          <w:sz w:val="22"/>
          <w:szCs w:val="22"/>
        </w:rPr>
        <w:t>Lectures on the Philosophy of History</w:t>
      </w:r>
      <w:r w:rsidRPr="00AA193E">
        <w:rPr>
          <w:rFonts w:ascii="Calibri" w:hAnsi="Calibri"/>
          <w:sz w:val="22"/>
          <w:szCs w:val="22"/>
        </w:rPr>
        <w:t xml:space="preserve"> (London: G. Bell and Sons Ltd., 1914)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Hennink, Monique, Inge Hutter and Ajay Bailey, </w:t>
      </w:r>
      <w:r w:rsidRPr="00AA193E">
        <w:rPr>
          <w:rFonts w:ascii="Calibri" w:hAnsi="Calibri"/>
          <w:i/>
          <w:iCs/>
          <w:sz w:val="22"/>
          <w:szCs w:val="22"/>
        </w:rPr>
        <w:t>Qualitative Research Methods</w:t>
      </w:r>
      <w:r w:rsidRPr="00AA193E">
        <w:rPr>
          <w:rFonts w:ascii="Calibri" w:hAnsi="Calibri"/>
          <w:sz w:val="22"/>
          <w:szCs w:val="22"/>
        </w:rPr>
        <w:t xml:space="preserve"> (London: Sage Publications, 2012) </w:t>
      </w:r>
    </w:p>
    <w:p w:rsidR="00781306" w:rsidRPr="00AA193E" w:rsidRDefault="00ED64FF" w:rsidP="00781306">
      <w:pPr>
        <w:pStyle w:val="NormalWeb"/>
        <w:spacing w:line="276" w:lineRule="auto"/>
        <w:ind w:left="450" w:hanging="450"/>
        <w:rPr>
          <w:rFonts w:ascii="Calibri" w:hAnsi="Calibri"/>
          <w:sz w:val="22"/>
          <w:szCs w:val="22"/>
        </w:rPr>
      </w:pPr>
      <w:r>
        <w:rPr>
          <w:rFonts w:ascii="Calibri" w:hAnsi="Calibri"/>
          <w:sz w:val="22"/>
          <w:szCs w:val="22"/>
        </w:rPr>
        <w:t xml:space="preserve">Hiiti, Philip K., </w:t>
      </w:r>
      <w:proofErr w:type="gramStart"/>
      <w:r w:rsidR="00781306" w:rsidRPr="00AA193E">
        <w:rPr>
          <w:rFonts w:ascii="Calibri" w:hAnsi="Calibri"/>
          <w:i/>
          <w:iCs/>
          <w:sz w:val="22"/>
          <w:szCs w:val="22"/>
        </w:rPr>
        <w:t>The</w:t>
      </w:r>
      <w:proofErr w:type="gramEnd"/>
      <w:r w:rsidR="00781306" w:rsidRPr="00AA193E">
        <w:rPr>
          <w:rFonts w:ascii="Calibri" w:hAnsi="Calibri"/>
          <w:i/>
          <w:iCs/>
          <w:sz w:val="22"/>
          <w:szCs w:val="22"/>
        </w:rPr>
        <w:t xml:space="preserve"> Near East in History</w:t>
      </w:r>
      <w:r w:rsidR="00781306" w:rsidRPr="00AA193E">
        <w:rPr>
          <w:rFonts w:ascii="Calibri" w:hAnsi="Calibri"/>
          <w:sz w:val="22"/>
          <w:szCs w:val="22"/>
        </w:rPr>
        <w:t xml:space="preserve"> (New Jersey: D. Van Nostrand Company, Inc., 1961)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Hoodbhoy, Pervez, </w:t>
      </w:r>
      <w:r w:rsidRPr="00AA193E">
        <w:rPr>
          <w:rFonts w:ascii="Calibri" w:hAnsi="Calibri"/>
          <w:i/>
          <w:iCs/>
          <w:sz w:val="22"/>
          <w:szCs w:val="22"/>
        </w:rPr>
        <w:t>Islam and Science: Religious Orthodoxy and the Battle for Rationality</w:t>
      </w:r>
      <w:r w:rsidRPr="00AA193E">
        <w:rPr>
          <w:rFonts w:ascii="Calibri" w:hAnsi="Calibri"/>
          <w:sz w:val="22"/>
          <w:szCs w:val="22"/>
        </w:rPr>
        <w:t xml:space="preserve"> (London: Zed books Ltd., 1991)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Hufford, David J., 'The Scholarly Voice and the Personal Voice: Reflexivity in Belief Studies', </w:t>
      </w:r>
      <w:r w:rsidRPr="00AA193E">
        <w:rPr>
          <w:rFonts w:ascii="Calibri" w:hAnsi="Calibri"/>
          <w:i/>
          <w:iCs/>
          <w:sz w:val="22"/>
          <w:szCs w:val="22"/>
        </w:rPr>
        <w:t xml:space="preserve">Western Folklore, </w:t>
      </w:r>
      <w:r w:rsidRPr="00AA193E">
        <w:rPr>
          <w:rFonts w:ascii="Calibri" w:hAnsi="Calibri"/>
          <w:sz w:val="22"/>
          <w:szCs w:val="22"/>
        </w:rPr>
        <w:t xml:space="preserve">54, no.1 (1995), 57-76 </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Jindo, Job Y., 'On Myth and History in Prophetic and Apocalyptic Eschatology', </w:t>
      </w:r>
      <w:r w:rsidRPr="00AA193E">
        <w:rPr>
          <w:rFonts w:ascii="Calibri" w:hAnsi="Calibri"/>
          <w:i/>
          <w:iCs/>
          <w:sz w:val="22"/>
          <w:szCs w:val="22"/>
        </w:rPr>
        <w:t xml:space="preserve">Vetus Testamentum, </w:t>
      </w:r>
      <w:r w:rsidRPr="00AA193E">
        <w:rPr>
          <w:rFonts w:ascii="Calibri" w:hAnsi="Calibri"/>
          <w:sz w:val="22"/>
          <w:szCs w:val="22"/>
        </w:rPr>
        <w:t xml:space="preserve">(2005), 412-415 </w:t>
      </w:r>
    </w:p>
    <w:p w:rsidR="008B417A" w:rsidRPr="00AA193E" w:rsidRDefault="008B417A" w:rsidP="00781306">
      <w:pPr>
        <w:pStyle w:val="NormalWeb"/>
        <w:spacing w:line="276" w:lineRule="auto"/>
        <w:ind w:left="450" w:hanging="450"/>
        <w:rPr>
          <w:rFonts w:ascii="Calibri" w:hAnsi="Calibri"/>
          <w:sz w:val="22"/>
          <w:szCs w:val="22"/>
        </w:rPr>
      </w:pPr>
      <w:r>
        <w:rPr>
          <w:rFonts w:ascii="Calibri" w:hAnsi="Calibri"/>
          <w:sz w:val="22"/>
          <w:szCs w:val="22"/>
        </w:rPr>
        <w:t xml:space="preserve">Jonas, Hans, </w:t>
      </w:r>
      <w:proofErr w:type="gramStart"/>
      <w:r w:rsidRPr="008B417A">
        <w:rPr>
          <w:rFonts w:ascii="Calibri" w:hAnsi="Calibri"/>
          <w:i/>
          <w:iCs/>
          <w:sz w:val="22"/>
          <w:szCs w:val="22"/>
        </w:rPr>
        <w:t>The</w:t>
      </w:r>
      <w:proofErr w:type="gramEnd"/>
      <w:r w:rsidRPr="008B417A">
        <w:rPr>
          <w:rFonts w:ascii="Calibri" w:hAnsi="Calibri"/>
          <w:i/>
          <w:iCs/>
          <w:sz w:val="22"/>
          <w:szCs w:val="22"/>
        </w:rPr>
        <w:t xml:space="preserve"> Gnostic Religion: The Message of the Alien God and the Beginnings of Christianity</w:t>
      </w:r>
      <w:r>
        <w:rPr>
          <w:rFonts w:ascii="Calibri" w:hAnsi="Calibri"/>
          <w:sz w:val="22"/>
          <w:szCs w:val="22"/>
        </w:rPr>
        <w:t xml:space="preserve"> (Boston: Beacon Press, 2001)</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Krentz, Edgar,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Historical-Critical Method</w:t>
      </w:r>
      <w:r w:rsidRPr="00AA193E">
        <w:rPr>
          <w:rFonts w:ascii="Calibri" w:hAnsi="Calibri"/>
          <w:sz w:val="22"/>
          <w:szCs w:val="22"/>
        </w:rPr>
        <w:t xml:space="preserve"> (Philadelphia: Fortress Press, 1977) </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Landes, Richard, </w:t>
      </w:r>
      <w:r w:rsidRPr="00AA193E">
        <w:rPr>
          <w:rFonts w:ascii="Calibri" w:hAnsi="Calibri"/>
          <w:i/>
          <w:iCs/>
          <w:sz w:val="22"/>
          <w:szCs w:val="22"/>
        </w:rPr>
        <w:t>Heaven on Earth: The Varieties of the Millennial Experience</w:t>
      </w:r>
      <w:r w:rsidRPr="00AA193E">
        <w:rPr>
          <w:rFonts w:ascii="Calibri" w:hAnsi="Calibri"/>
          <w:sz w:val="22"/>
          <w:szCs w:val="22"/>
        </w:rPr>
        <w:t xml:space="preserve"> (Oxford: Oxford University Press, 2011) </w:t>
      </w:r>
    </w:p>
    <w:p w:rsidR="002861AE" w:rsidRPr="002861AE" w:rsidRDefault="002861AE" w:rsidP="00781306">
      <w:pPr>
        <w:pStyle w:val="NormalWeb"/>
        <w:spacing w:line="276" w:lineRule="auto"/>
        <w:ind w:left="450" w:hanging="450"/>
        <w:rPr>
          <w:rFonts w:ascii="Calibri" w:hAnsi="Calibri"/>
          <w:sz w:val="22"/>
          <w:szCs w:val="22"/>
          <w:lang w:val="de-DE"/>
        </w:rPr>
      </w:pPr>
      <w:r w:rsidRPr="002861AE">
        <w:rPr>
          <w:rFonts w:ascii="Calibri" w:hAnsi="Calibri"/>
          <w:sz w:val="22"/>
          <w:szCs w:val="22"/>
        </w:rPr>
        <w:lastRenderedPageBreak/>
        <w:t xml:space="preserve">Laoust, H., 'ibn Kathīr', in </w:t>
      </w:r>
      <w:r w:rsidRPr="002861AE">
        <w:rPr>
          <w:rFonts w:ascii="Calibri" w:hAnsi="Calibri"/>
          <w:i/>
          <w:iCs/>
          <w:sz w:val="22"/>
          <w:szCs w:val="22"/>
        </w:rPr>
        <w:t>The</w:t>
      </w:r>
      <w:r>
        <w:rPr>
          <w:rFonts w:ascii="Calibri" w:hAnsi="Calibri"/>
          <w:sz w:val="22"/>
          <w:szCs w:val="22"/>
        </w:rPr>
        <w:t xml:space="preserve"> </w:t>
      </w:r>
      <w:r w:rsidRPr="002861AE">
        <w:rPr>
          <w:rFonts w:ascii="Calibri" w:hAnsi="Calibri"/>
          <w:i/>
          <w:iCs/>
          <w:sz w:val="22"/>
          <w:szCs w:val="22"/>
        </w:rPr>
        <w:t>Encyclopaedia of Islam</w:t>
      </w:r>
      <w:r>
        <w:rPr>
          <w:rFonts w:ascii="Calibri" w:hAnsi="Calibri"/>
          <w:sz w:val="22"/>
          <w:szCs w:val="22"/>
        </w:rPr>
        <w:t xml:space="preserve">, ed. </w:t>
      </w:r>
      <w:r w:rsidRPr="002861AE">
        <w:rPr>
          <w:rFonts w:ascii="Calibri" w:hAnsi="Calibri"/>
          <w:sz w:val="22"/>
          <w:szCs w:val="22"/>
          <w:lang w:val="de-DE"/>
        </w:rPr>
        <w:t>P. Bearman et al., V</w:t>
      </w:r>
      <w:r>
        <w:rPr>
          <w:rFonts w:ascii="Calibri" w:hAnsi="Calibri"/>
          <w:sz w:val="22"/>
          <w:szCs w:val="22"/>
          <w:lang w:val="de-DE"/>
        </w:rPr>
        <w:t>ol.3 (Leiden: Brill, 2004): pp.817-816</w:t>
      </w:r>
    </w:p>
    <w:p w:rsidR="00781306" w:rsidRPr="00563716" w:rsidRDefault="00781306" w:rsidP="00163A4F">
      <w:pPr>
        <w:pStyle w:val="NormalWeb"/>
        <w:spacing w:line="276" w:lineRule="auto"/>
        <w:ind w:left="450" w:hanging="450"/>
        <w:rPr>
          <w:rFonts w:ascii="Calibri" w:hAnsi="Calibri"/>
          <w:sz w:val="22"/>
          <w:szCs w:val="22"/>
        </w:rPr>
      </w:pPr>
      <w:r w:rsidRPr="00563716">
        <w:rPr>
          <w:rStyle w:val="selectable"/>
          <w:rFonts w:ascii="Calibri" w:eastAsiaTheme="majorEastAsia" w:hAnsi="Calibri"/>
          <w:sz w:val="22"/>
          <w:szCs w:val="22"/>
        </w:rPr>
        <w:t xml:space="preserve">Leeming, David A. and Margaret Adams Leeming, "Creation </w:t>
      </w:r>
      <w:proofErr w:type="gramStart"/>
      <w:r w:rsidRPr="00563716">
        <w:rPr>
          <w:rStyle w:val="selectable"/>
          <w:rFonts w:ascii="Calibri" w:eastAsiaTheme="majorEastAsia" w:hAnsi="Calibri"/>
          <w:sz w:val="22"/>
          <w:szCs w:val="22"/>
        </w:rPr>
        <w:t>From</w:t>
      </w:r>
      <w:proofErr w:type="gramEnd"/>
      <w:r w:rsidRPr="00563716">
        <w:rPr>
          <w:rStyle w:val="selectable"/>
          <w:rFonts w:ascii="Calibri" w:eastAsiaTheme="majorEastAsia" w:hAnsi="Calibri"/>
          <w:sz w:val="22"/>
          <w:szCs w:val="22"/>
        </w:rPr>
        <w:t xml:space="preserve"> Chaos", </w:t>
      </w:r>
      <w:r w:rsidRPr="00563716">
        <w:rPr>
          <w:rStyle w:val="selectable"/>
          <w:rFonts w:ascii="Calibri" w:eastAsiaTheme="majorEastAsia" w:hAnsi="Calibri"/>
          <w:i/>
          <w:iCs/>
          <w:sz w:val="22"/>
          <w:szCs w:val="22"/>
        </w:rPr>
        <w:t>A Dictionary of Creation Myths</w:t>
      </w:r>
      <w:r w:rsidRPr="00563716">
        <w:rPr>
          <w:rStyle w:val="selectable"/>
          <w:rFonts w:ascii="Calibri" w:eastAsiaTheme="majorEastAsia" w:hAnsi="Calibri"/>
          <w:sz w:val="22"/>
          <w:szCs w:val="22"/>
        </w:rPr>
        <w:t xml:space="preserve"> (Oxford: </w:t>
      </w:r>
      <w:r w:rsidR="00DA32BA">
        <w:rPr>
          <w:rStyle w:val="selectable"/>
          <w:rFonts w:ascii="Calibri" w:eastAsiaTheme="majorEastAsia" w:hAnsi="Calibri"/>
          <w:sz w:val="22"/>
          <w:szCs w:val="22"/>
        </w:rPr>
        <w:t xml:space="preserve">Oxford University Press, 2009) </w:t>
      </w:r>
    </w:p>
    <w:p w:rsidR="00781306" w:rsidRDefault="00781306" w:rsidP="00163A4F">
      <w:pPr>
        <w:pStyle w:val="FootnoteText"/>
        <w:ind w:left="426" w:hanging="426"/>
        <w:rPr>
          <w:rStyle w:val="selectable"/>
          <w:sz w:val="22"/>
          <w:szCs w:val="22"/>
        </w:rPr>
      </w:pPr>
      <w:r w:rsidRPr="002E21FE">
        <w:rPr>
          <w:rStyle w:val="selectable"/>
          <w:sz w:val="22"/>
          <w:szCs w:val="22"/>
        </w:rPr>
        <w:t>Liddell, H. G. and R. Scott, "</w:t>
      </w:r>
      <w:r w:rsidR="00163A4F">
        <w:rPr>
          <w:rFonts w:cs="TimesNewRomanPS-BoldMT"/>
          <w:bCs/>
          <w:sz w:val="22"/>
          <w:szCs w:val="22"/>
        </w:rPr>
        <w:t>ἐ</w:t>
      </w:r>
      <w:r w:rsidRPr="002E21FE">
        <w:rPr>
          <w:rFonts w:cs="TimesNewRomanPS-BoldMT"/>
          <w:bCs/>
          <w:sz w:val="22"/>
          <w:szCs w:val="22"/>
        </w:rPr>
        <w:t>σχατο</w:t>
      </w:r>
      <w:r w:rsidRPr="002E21FE">
        <w:rPr>
          <w:rFonts w:cs="TimesNewRomanPS-BoldMT"/>
          <w:bCs/>
          <w:sz w:val="22"/>
          <w:szCs w:val="22"/>
          <w:lang w:val="el-GR"/>
        </w:rPr>
        <w:t>ς</w:t>
      </w:r>
      <w:r w:rsidRPr="002E21FE">
        <w:rPr>
          <w:rStyle w:val="selectable"/>
          <w:sz w:val="22"/>
          <w:szCs w:val="22"/>
        </w:rPr>
        <w:t>",</w:t>
      </w:r>
      <w:r w:rsidR="002861AE">
        <w:rPr>
          <w:rStyle w:val="selectable"/>
          <w:sz w:val="22"/>
          <w:szCs w:val="22"/>
        </w:rPr>
        <w:t xml:space="preserve"> </w:t>
      </w:r>
      <w:proofErr w:type="gramStart"/>
      <w:r w:rsidR="002861AE">
        <w:rPr>
          <w:rStyle w:val="selectable"/>
          <w:sz w:val="22"/>
          <w:szCs w:val="22"/>
        </w:rPr>
        <w:t xml:space="preserve">in </w:t>
      </w:r>
      <w:r w:rsidRPr="002E21FE">
        <w:rPr>
          <w:rStyle w:val="selectable"/>
          <w:sz w:val="22"/>
          <w:szCs w:val="22"/>
        </w:rPr>
        <w:t xml:space="preserve"> </w:t>
      </w:r>
      <w:r w:rsidRPr="002E21FE">
        <w:rPr>
          <w:rStyle w:val="selectable"/>
          <w:i/>
          <w:iCs/>
          <w:sz w:val="22"/>
          <w:szCs w:val="22"/>
        </w:rPr>
        <w:t>An</w:t>
      </w:r>
      <w:proofErr w:type="gramEnd"/>
      <w:r w:rsidRPr="002E21FE">
        <w:rPr>
          <w:rStyle w:val="selectable"/>
          <w:i/>
          <w:iCs/>
          <w:sz w:val="22"/>
          <w:szCs w:val="22"/>
        </w:rPr>
        <w:t xml:space="preserve"> Intermediate Greek-English Lexicon</w:t>
      </w:r>
      <w:r w:rsidRPr="002E21FE">
        <w:rPr>
          <w:rStyle w:val="selectable"/>
          <w:sz w:val="22"/>
          <w:szCs w:val="22"/>
        </w:rPr>
        <w:t xml:space="preserve"> (Connecticut: Martino Publishing, 2013), p. </w:t>
      </w:r>
      <w:r>
        <w:rPr>
          <w:rStyle w:val="selectable"/>
          <w:sz w:val="22"/>
          <w:szCs w:val="22"/>
        </w:rPr>
        <w:t>319</w:t>
      </w:r>
    </w:p>
    <w:p w:rsidR="00781306" w:rsidRPr="002E21FE" w:rsidRDefault="00781306" w:rsidP="00781306">
      <w:pPr>
        <w:pStyle w:val="FootnoteText"/>
        <w:ind w:left="426" w:hanging="426"/>
        <w:rPr>
          <w:rStyle w:val="selectable"/>
          <w:sz w:val="22"/>
          <w:szCs w:val="22"/>
        </w:rPr>
      </w:pPr>
    </w:p>
    <w:p w:rsidR="00781306" w:rsidRPr="002E21FE" w:rsidRDefault="00781306" w:rsidP="00163A4F">
      <w:pPr>
        <w:pStyle w:val="FootnoteText"/>
        <w:ind w:left="426" w:hanging="426"/>
        <w:rPr>
          <w:sz w:val="22"/>
          <w:szCs w:val="22"/>
        </w:rPr>
      </w:pPr>
      <w:r w:rsidRPr="002E21FE">
        <w:rPr>
          <w:sz w:val="22"/>
          <w:szCs w:val="22"/>
        </w:rPr>
        <w:t>--- "</w:t>
      </w:r>
      <w:r w:rsidR="00163A4F">
        <w:rPr>
          <w:sz w:val="22"/>
          <w:szCs w:val="22"/>
        </w:rPr>
        <w:t>ἀ</w:t>
      </w:r>
      <w:r w:rsidRPr="002E21FE">
        <w:rPr>
          <w:sz w:val="22"/>
          <w:szCs w:val="22"/>
          <w:lang w:val="el-GR"/>
        </w:rPr>
        <w:t>π</w:t>
      </w:r>
      <w:r w:rsidRPr="002E21FE">
        <w:rPr>
          <w:sz w:val="22"/>
          <w:szCs w:val="22"/>
        </w:rPr>
        <w:t>οκ</w:t>
      </w:r>
      <w:r w:rsidR="00163A4F" w:rsidRPr="002E21FE">
        <w:rPr>
          <w:sz w:val="22"/>
          <w:szCs w:val="22"/>
        </w:rPr>
        <w:t>ά</w:t>
      </w:r>
      <w:r w:rsidRPr="002E21FE">
        <w:rPr>
          <w:sz w:val="22"/>
          <w:szCs w:val="22"/>
        </w:rPr>
        <w:t>λυψις",</w:t>
      </w:r>
      <w:r w:rsidR="002861AE">
        <w:rPr>
          <w:sz w:val="22"/>
          <w:szCs w:val="22"/>
        </w:rPr>
        <w:t xml:space="preserve"> </w:t>
      </w:r>
      <w:proofErr w:type="gramStart"/>
      <w:r w:rsidR="002861AE">
        <w:rPr>
          <w:sz w:val="22"/>
          <w:szCs w:val="22"/>
        </w:rPr>
        <w:t xml:space="preserve">in </w:t>
      </w:r>
      <w:r w:rsidRPr="002E21FE">
        <w:rPr>
          <w:sz w:val="22"/>
          <w:szCs w:val="22"/>
        </w:rPr>
        <w:t xml:space="preserve"> </w:t>
      </w:r>
      <w:r w:rsidRPr="002E21FE">
        <w:rPr>
          <w:rStyle w:val="selectable"/>
          <w:i/>
          <w:iCs/>
          <w:sz w:val="22"/>
          <w:szCs w:val="22"/>
        </w:rPr>
        <w:t>An</w:t>
      </w:r>
      <w:proofErr w:type="gramEnd"/>
      <w:r w:rsidRPr="002E21FE">
        <w:rPr>
          <w:rStyle w:val="selectable"/>
          <w:i/>
          <w:iCs/>
          <w:sz w:val="22"/>
          <w:szCs w:val="22"/>
        </w:rPr>
        <w:t xml:space="preserve"> Intermediate Greek-English Lexicon</w:t>
      </w:r>
      <w:r w:rsidRPr="002E21FE">
        <w:rPr>
          <w:rStyle w:val="selectable"/>
          <w:sz w:val="22"/>
          <w:szCs w:val="22"/>
        </w:rPr>
        <w:t xml:space="preserve"> (Connecticut: Martino Publishing, 2013), p. </w:t>
      </w:r>
      <w:r>
        <w:rPr>
          <w:rStyle w:val="selectable"/>
          <w:sz w:val="22"/>
          <w:szCs w:val="22"/>
        </w:rPr>
        <w:t>99</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Lyotard, Jean-François,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Postmodern Condition: A Report on Knowledge</w:t>
      </w:r>
      <w:r w:rsidRPr="00AA193E">
        <w:rPr>
          <w:rFonts w:ascii="Calibri" w:hAnsi="Calibri"/>
          <w:sz w:val="22"/>
          <w:szCs w:val="22"/>
        </w:rPr>
        <w:t xml:space="preserve">, trans. by Geoff Bennington and Brian Massumi (Manchester: Manchester University Press, 1984)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Marshall, B. K., </w:t>
      </w:r>
      <w:r w:rsidRPr="00AA193E">
        <w:rPr>
          <w:rFonts w:ascii="Calibri" w:hAnsi="Calibri"/>
          <w:i/>
          <w:iCs/>
          <w:sz w:val="22"/>
          <w:szCs w:val="22"/>
        </w:rPr>
        <w:t>Teaching the Postmodern: Fiction and Theory</w:t>
      </w:r>
      <w:r w:rsidRPr="00AA193E">
        <w:rPr>
          <w:rFonts w:ascii="Calibri" w:hAnsi="Calibri"/>
          <w:sz w:val="22"/>
          <w:szCs w:val="22"/>
        </w:rPr>
        <w:t xml:space="preserve"> (New York: Routledge, 1992)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Mathews, Freya,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Ecological Self</w:t>
      </w:r>
      <w:r w:rsidRPr="00AA193E">
        <w:rPr>
          <w:rFonts w:ascii="Calibri" w:hAnsi="Calibri"/>
          <w:sz w:val="22"/>
          <w:szCs w:val="22"/>
        </w:rPr>
        <w:t xml:space="preserve"> (London: Routledge, 1991) </w:t>
      </w:r>
    </w:p>
    <w:p w:rsidR="00781306" w:rsidRPr="00310F61" w:rsidRDefault="00781306" w:rsidP="00781306">
      <w:pPr>
        <w:pStyle w:val="NormalWeb"/>
        <w:spacing w:line="276" w:lineRule="auto"/>
        <w:ind w:left="450" w:hanging="450"/>
        <w:rPr>
          <w:rFonts w:ascii="Calibri" w:hAnsi="Calibri"/>
          <w:sz w:val="22"/>
          <w:szCs w:val="22"/>
        </w:rPr>
      </w:pPr>
      <w:r w:rsidRPr="00310F61">
        <w:rPr>
          <w:rFonts w:ascii="Calibri" w:hAnsi="Calibri"/>
          <w:sz w:val="22"/>
          <w:szCs w:val="22"/>
        </w:rPr>
        <w:t xml:space="preserve">McAuliffe, Jane D., 'The Tasks and Traditions of Interpretation', in </w:t>
      </w:r>
      <w:r w:rsidRPr="00310F61">
        <w:rPr>
          <w:rFonts w:ascii="Calibri" w:hAnsi="Calibri"/>
          <w:i/>
          <w:iCs/>
          <w:sz w:val="22"/>
          <w:szCs w:val="22"/>
        </w:rPr>
        <w:t>The Cambridge Companion to the Qur'ān</w:t>
      </w:r>
      <w:r w:rsidRPr="00310F61">
        <w:rPr>
          <w:rFonts w:ascii="Calibri" w:hAnsi="Calibri"/>
          <w:sz w:val="22"/>
          <w:szCs w:val="22"/>
        </w:rPr>
        <w:t>, ed. by Jane Dammen McAuliffe (Cambridge: Cambridge University Press, 2006)</w:t>
      </w:r>
      <w:r>
        <w:rPr>
          <w:rFonts w:ascii="Calibri" w:hAnsi="Calibri"/>
          <w:sz w:val="22"/>
          <w:szCs w:val="22"/>
        </w:rPr>
        <w:t>, pp.181-209</w:t>
      </w:r>
    </w:p>
    <w:p w:rsidR="00B968BF" w:rsidRDefault="00B968BF" w:rsidP="00781306">
      <w:pPr>
        <w:pStyle w:val="NormalWeb"/>
        <w:spacing w:line="276" w:lineRule="auto"/>
        <w:ind w:left="450" w:hanging="450"/>
        <w:rPr>
          <w:rFonts w:ascii="Calibri" w:hAnsi="Calibri"/>
          <w:sz w:val="22"/>
          <w:szCs w:val="22"/>
        </w:rPr>
      </w:pPr>
      <w:r>
        <w:rPr>
          <w:rFonts w:ascii="Calibri" w:hAnsi="Calibri"/>
          <w:sz w:val="22"/>
          <w:szCs w:val="22"/>
        </w:rPr>
        <w:t xml:space="preserve">McGinn, Bernard, </w:t>
      </w:r>
      <w:r w:rsidRPr="00B968BF">
        <w:rPr>
          <w:rFonts w:ascii="Calibri" w:hAnsi="Calibri"/>
          <w:i/>
          <w:iCs/>
          <w:sz w:val="22"/>
          <w:szCs w:val="22"/>
        </w:rPr>
        <w:t xml:space="preserve">Visions of the End: Apocalyptic Traditions in the </w:t>
      </w:r>
      <w:proofErr w:type="gramStart"/>
      <w:r w:rsidRPr="00B968BF">
        <w:rPr>
          <w:rFonts w:ascii="Calibri" w:hAnsi="Calibri"/>
          <w:i/>
          <w:iCs/>
          <w:sz w:val="22"/>
          <w:szCs w:val="22"/>
        </w:rPr>
        <w:t>Middle</w:t>
      </w:r>
      <w:proofErr w:type="gramEnd"/>
      <w:r w:rsidRPr="00B968BF">
        <w:rPr>
          <w:rFonts w:ascii="Calibri" w:hAnsi="Calibri"/>
          <w:i/>
          <w:iCs/>
          <w:sz w:val="22"/>
          <w:szCs w:val="22"/>
        </w:rPr>
        <w:t xml:space="preserve"> Ages</w:t>
      </w:r>
      <w:r>
        <w:rPr>
          <w:rFonts w:ascii="Calibri" w:hAnsi="Calibri"/>
          <w:sz w:val="22"/>
          <w:szCs w:val="22"/>
        </w:rPr>
        <w:t xml:space="preserve"> (New York: Columbia University, 1998)</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Moltmann, Jürgen, 'Cosmos and Theosis: Eschatological Perspectives', in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Far Future Universe: Eschatology from a Cosmic Perspective</w:t>
      </w:r>
      <w:r w:rsidRPr="00AA193E">
        <w:rPr>
          <w:rFonts w:ascii="Calibri" w:hAnsi="Calibri"/>
          <w:sz w:val="22"/>
          <w:szCs w:val="22"/>
        </w:rPr>
        <w:t>, ed. by George Francis Rayner Ellis</w:t>
      </w:r>
      <w:r>
        <w:rPr>
          <w:rFonts w:ascii="Calibri" w:hAnsi="Calibri"/>
          <w:sz w:val="22"/>
          <w:szCs w:val="22"/>
        </w:rPr>
        <w:t xml:space="preserve"> </w:t>
      </w:r>
      <w:r w:rsidRPr="00AA193E">
        <w:rPr>
          <w:rFonts w:ascii="Calibri" w:hAnsi="Calibri"/>
          <w:sz w:val="22"/>
          <w:szCs w:val="22"/>
        </w:rPr>
        <w:t xml:space="preserve">(Philadelphia: Templeton Foundation Press, 2002), pp. 249-265 </w:t>
      </w:r>
    </w:p>
    <w:p w:rsidR="00781306" w:rsidRPr="004230E8" w:rsidRDefault="00781306" w:rsidP="00781306">
      <w:pPr>
        <w:pStyle w:val="NormalWeb"/>
        <w:spacing w:line="276" w:lineRule="auto"/>
        <w:ind w:left="450" w:hanging="450"/>
        <w:rPr>
          <w:rFonts w:ascii="Calibri" w:hAnsi="Calibri"/>
        </w:rPr>
      </w:pPr>
      <w:r w:rsidRPr="004230E8">
        <w:rPr>
          <w:rFonts w:ascii="Calibri" w:hAnsi="Calibri"/>
          <w:sz w:val="22"/>
          <w:szCs w:val="22"/>
        </w:rPr>
        <w:t>Naji, Kasra</w:t>
      </w:r>
      <w:r>
        <w:rPr>
          <w:rFonts w:ascii="Calibri" w:hAnsi="Calibri"/>
          <w:sz w:val="22"/>
          <w:szCs w:val="22"/>
        </w:rPr>
        <w:t>,</w:t>
      </w:r>
      <w:r w:rsidRPr="004230E8">
        <w:rPr>
          <w:rFonts w:ascii="Calibri" w:hAnsi="Calibri"/>
          <w:sz w:val="22"/>
          <w:szCs w:val="22"/>
        </w:rPr>
        <w:t xml:space="preserve"> </w:t>
      </w:r>
      <w:r w:rsidRPr="004230E8">
        <w:rPr>
          <w:rFonts w:ascii="Calibri" w:hAnsi="Calibri"/>
          <w:i/>
          <w:sz w:val="22"/>
          <w:szCs w:val="22"/>
        </w:rPr>
        <w:t>Ahmadinejad: The Secret History of Iran's Radical Leader</w:t>
      </w:r>
      <w:r w:rsidRPr="004230E8">
        <w:rPr>
          <w:rFonts w:ascii="Calibri" w:hAnsi="Calibri"/>
          <w:sz w:val="22"/>
          <w:szCs w:val="22"/>
        </w:rPr>
        <w:t xml:space="preserve"> (Berkeley: Univers</w:t>
      </w:r>
      <w:r>
        <w:rPr>
          <w:rFonts w:ascii="Calibri" w:hAnsi="Calibri"/>
          <w:sz w:val="22"/>
          <w:szCs w:val="22"/>
        </w:rPr>
        <w:t>ity of Callifornia Press, 2007)</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Nasr, Seyyed H., </w:t>
      </w:r>
      <w:proofErr w:type="gramStart"/>
      <w:r w:rsidRPr="00AA193E">
        <w:rPr>
          <w:rFonts w:ascii="Calibri" w:hAnsi="Calibri"/>
          <w:i/>
          <w:iCs/>
          <w:sz w:val="22"/>
          <w:szCs w:val="22"/>
        </w:rPr>
        <w:t>An</w:t>
      </w:r>
      <w:proofErr w:type="gramEnd"/>
      <w:r w:rsidRPr="00AA193E">
        <w:rPr>
          <w:rFonts w:ascii="Calibri" w:hAnsi="Calibri"/>
          <w:i/>
          <w:iCs/>
          <w:sz w:val="22"/>
          <w:szCs w:val="22"/>
        </w:rPr>
        <w:t xml:space="preserve"> Introduction to Islamic Cosmological Doctrines</w:t>
      </w:r>
      <w:r w:rsidRPr="00AA193E">
        <w:rPr>
          <w:rFonts w:ascii="Calibri" w:hAnsi="Calibri"/>
          <w:sz w:val="22"/>
          <w:szCs w:val="22"/>
        </w:rPr>
        <w:t xml:space="preserve"> (</w:t>
      </w:r>
      <w:r>
        <w:rPr>
          <w:rFonts w:ascii="Calibri" w:hAnsi="Calibri"/>
          <w:sz w:val="22"/>
          <w:szCs w:val="22"/>
        </w:rPr>
        <w:t xml:space="preserve">Bath: Thames and Hudson, 1978) </w:t>
      </w:r>
    </w:p>
    <w:p w:rsidR="00DF5F20" w:rsidRPr="00AF02D7" w:rsidRDefault="00DF5F20" w:rsidP="005479B2">
      <w:pPr>
        <w:pStyle w:val="NormalWeb"/>
        <w:spacing w:line="276" w:lineRule="auto"/>
        <w:ind w:left="450" w:hanging="450"/>
        <w:rPr>
          <w:rFonts w:ascii="Calibri" w:hAnsi="Calibri"/>
          <w:sz w:val="22"/>
          <w:szCs w:val="22"/>
        </w:rPr>
      </w:pPr>
      <w:r>
        <w:rPr>
          <w:rFonts w:ascii="Calibri" w:hAnsi="Calibri"/>
          <w:sz w:val="22"/>
          <w:szCs w:val="22"/>
        </w:rPr>
        <w:t>---</w:t>
      </w:r>
      <w:r w:rsidRPr="00DF5F20">
        <w:rPr>
          <w:rFonts w:ascii="Calibri" w:hAnsi="Calibri"/>
          <w:sz w:val="22"/>
          <w:szCs w:val="22"/>
        </w:rPr>
        <w:t xml:space="preserve">'Science and Civilization in Islam', </w:t>
      </w:r>
      <w:r w:rsidRPr="00DF5F20">
        <w:rPr>
          <w:rFonts w:ascii="Calibri" w:hAnsi="Calibri"/>
          <w:i/>
          <w:iCs/>
          <w:sz w:val="22"/>
          <w:szCs w:val="22"/>
        </w:rPr>
        <w:t>Canadian International Youth Letter,</w:t>
      </w:r>
      <w:r w:rsidRPr="00DF5F20">
        <w:rPr>
          <w:rFonts w:ascii="Calibri" w:hAnsi="Calibri"/>
          <w:sz w:val="22"/>
          <w:szCs w:val="22"/>
        </w:rPr>
        <w:t xml:space="preserve"> (n.d.), &lt;</w:t>
      </w:r>
      <w:hyperlink r:id="rId37" w:tgtFrame="_blank" w:history="1">
        <w:r w:rsidRPr="00DF5F20">
          <w:rPr>
            <w:rStyle w:val="Hyperlink"/>
            <w:rFonts w:ascii="Calibri" w:hAnsi="Calibri"/>
            <w:sz w:val="22"/>
            <w:szCs w:val="22"/>
          </w:rPr>
          <w:t>http://www.paep</w:t>
        </w:r>
        <w:r w:rsidRPr="00DF5F20">
          <w:rPr>
            <w:rStyle w:val="Hyperlink"/>
            <w:rFonts w:ascii="Calibri" w:hAnsi="Calibri"/>
            <w:sz w:val="22"/>
            <w:szCs w:val="22"/>
          </w:rPr>
          <w:t>.</w:t>
        </w:r>
        <w:r w:rsidRPr="00DF5F20">
          <w:rPr>
            <w:rStyle w:val="Hyperlink"/>
            <w:rFonts w:ascii="Calibri" w:hAnsi="Calibri"/>
            <w:sz w:val="22"/>
            <w:szCs w:val="22"/>
          </w:rPr>
          <w:t>ca/en/CIYL/2004/doc/nasr_science_in_islam.pdf</w:t>
        </w:r>
      </w:hyperlink>
      <w:r w:rsidRPr="00DF5F20">
        <w:rPr>
          <w:rFonts w:ascii="Calibri" w:hAnsi="Calibri"/>
          <w:sz w:val="22"/>
          <w:szCs w:val="22"/>
        </w:rPr>
        <w:t>&gt; [accessed 15 February 2016], pp.</w:t>
      </w:r>
      <w:r>
        <w:rPr>
          <w:rFonts w:ascii="Calibri" w:hAnsi="Calibri"/>
          <w:sz w:val="22"/>
          <w:szCs w:val="22"/>
        </w:rPr>
        <w:t>1-8</w:t>
      </w:r>
    </w:p>
    <w:p w:rsidR="009E3462" w:rsidRPr="009E3462" w:rsidRDefault="009E3462" w:rsidP="00781306">
      <w:pPr>
        <w:pStyle w:val="NormalWeb"/>
        <w:spacing w:line="276" w:lineRule="auto"/>
        <w:ind w:left="450" w:hanging="450"/>
        <w:rPr>
          <w:rFonts w:ascii="Calibri" w:hAnsi="Calibri"/>
          <w:sz w:val="22"/>
          <w:szCs w:val="22"/>
        </w:rPr>
      </w:pPr>
      <w:r w:rsidRPr="009E3462">
        <w:rPr>
          <w:rFonts w:ascii="Calibri" w:hAnsi="Calibri"/>
          <w:sz w:val="22"/>
          <w:szCs w:val="22"/>
        </w:rPr>
        <w:t xml:space="preserve">Novak, David, 'Jewish Eschatology', in </w:t>
      </w:r>
      <w:proofErr w:type="gramStart"/>
      <w:r w:rsidRPr="009E3462">
        <w:rPr>
          <w:rFonts w:ascii="Calibri" w:hAnsi="Calibri"/>
          <w:i/>
          <w:iCs/>
          <w:sz w:val="22"/>
          <w:szCs w:val="22"/>
        </w:rPr>
        <w:t>The</w:t>
      </w:r>
      <w:proofErr w:type="gramEnd"/>
      <w:r w:rsidRPr="009E3462">
        <w:rPr>
          <w:rFonts w:ascii="Calibri" w:hAnsi="Calibri"/>
          <w:i/>
          <w:iCs/>
          <w:sz w:val="22"/>
          <w:szCs w:val="22"/>
        </w:rPr>
        <w:t xml:space="preserve"> Oxford Handbook of Eschatology</w:t>
      </w:r>
      <w:r>
        <w:rPr>
          <w:rFonts w:ascii="Calibri" w:hAnsi="Calibri"/>
          <w:sz w:val="22"/>
          <w:szCs w:val="22"/>
        </w:rPr>
        <w:t xml:space="preserve">, ed.  </w:t>
      </w:r>
      <w:proofErr w:type="gramStart"/>
      <w:r>
        <w:rPr>
          <w:rFonts w:ascii="Calibri" w:hAnsi="Calibri"/>
          <w:sz w:val="22"/>
          <w:szCs w:val="22"/>
        </w:rPr>
        <w:t>by</w:t>
      </w:r>
      <w:proofErr w:type="gramEnd"/>
      <w:r>
        <w:rPr>
          <w:rFonts w:ascii="Calibri" w:hAnsi="Calibri"/>
          <w:sz w:val="22"/>
          <w:szCs w:val="22"/>
        </w:rPr>
        <w:t xml:space="preserve"> Jerry L. Walls (Oxford: Oxford University Press, 2008), pp.113-131</w:t>
      </w:r>
    </w:p>
    <w:p w:rsidR="00781306" w:rsidRPr="00AA193E" w:rsidRDefault="00781306" w:rsidP="006808D1">
      <w:pPr>
        <w:pStyle w:val="NormalWeb"/>
        <w:spacing w:line="276" w:lineRule="auto"/>
        <w:ind w:left="450" w:hanging="450"/>
        <w:rPr>
          <w:rFonts w:ascii="Calibri" w:hAnsi="Calibri"/>
          <w:sz w:val="22"/>
          <w:szCs w:val="22"/>
        </w:rPr>
      </w:pPr>
      <w:r w:rsidRPr="00AA193E">
        <w:rPr>
          <w:rFonts w:ascii="Calibri" w:hAnsi="Calibri"/>
          <w:sz w:val="22"/>
          <w:szCs w:val="22"/>
        </w:rPr>
        <w:t xml:space="preserve">Saeed, Abdullah,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Qur'an: An Introduction</w:t>
      </w:r>
      <w:r w:rsidRPr="00AA193E">
        <w:rPr>
          <w:rFonts w:ascii="Calibri" w:hAnsi="Calibri"/>
          <w:sz w:val="22"/>
          <w:szCs w:val="22"/>
        </w:rPr>
        <w:t xml:space="preserve"> (London: Routledge, 2008) </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Scott, James C., </w:t>
      </w:r>
      <w:r w:rsidRPr="00AA193E">
        <w:rPr>
          <w:rFonts w:ascii="Calibri" w:hAnsi="Calibri"/>
          <w:i/>
          <w:iCs/>
          <w:sz w:val="22"/>
          <w:szCs w:val="22"/>
        </w:rPr>
        <w:t>Domination and the Arts of Resistance: Hidden Transcripts</w:t>
      </w:r>
      <w:r w:rsidRPr="00AA193E">
        <w:rPr>
          <w:rFonts w:ascii="Calibri" w:hAnsi="Calibri"/>
          <w:sz w:val="22"/>
          <w:szCs w:val="22"/>
        </w:rPr>
        <w:t xml:space="preserve"> (New Haven: Yale </w:t>
      </w:r>
      <w:r>
        <w:rPr>
          <w:rFonts w:ascii="Calibri" w:hAnsi="Calibri"/>
          <w:sz w:val="22"/>
          <w:szCs w:val="22"/>
        </w:rPr>
        <w:t>University P</w:t>
      </w:r>
      <w:r w:rsidRPr="00AA193E">
        <w:rPr>
          <w:rFonts w:ascii="Calibri" w:hAnsi="Calibri"/>
          <w:sz w:val="22"/>
          <w:szCs w:val="22"/>
        </w:rPr>
        <w:t xml:space="preserve">ress, 1990) </w:t>
      </w:r>
    </w:p>
    <w:p w:rsidR="00170A34" w:rsidRDefault="00170A34" w:rsidP="00170A34">
      <w:pPr>
        <w:pStyle w:val="NormalWeb"/>
        <w:spacing w:line="276" w:lineRule="auto"/>
        <w:ind w:left="450" w:hanging="450"/>
        <w:rPr>
          <w:rFonts w:ascii="Calibri" w:hAnsi="Calibri"/>
          <w:sz w:val="22"/>
          <w:szCs w:val="22"/>
        </w:rPr>
      </w:pPr>
      <w:r>
        <w:rPr>
          <w:rFonts w:ascii="Calibri" w:hAnsi="Calibri"/>
          <w:sz w:val="22"/>
          <w:szCs w:val="22"/>
        </w:rPr>
        <w:lastRenderedPageBreak/>
        <w:t xml:space="preserve">Shahid, Irfan, 'Pre-Islamic Arabia', in </w:t>
      </w:r>
      <w:r w:rsidRPr="00170A34">
        <w:rPr>
          <w:rFonts w:ascii="Calibri" w:hAnsi="Calibri"/>
          <w:i/>
          <w:iCs/>
          <w:sz w:val="22"/>
          <w:szCs w:val="22"/>
        </w:rPr>
        <w:t>The Cambridge History of Islam</w:t>
      </w:r>
      <w:r>
        <w:rPr>
          <w:rFonts w:ascii="Calibri" w:hAnsi="Calibri"/>
          <w:sz w:val="22"/>
          <w:szCs w:val="22"/>
        </w:rPr>
        <w:t>, ed. by P. M. Holt, Anne K. S. Lambton and Bernard Lewis, Vol.1A (Cambridge: Cambridge University Press, 1977), pp.3-19</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Sharon, M., </w:t>
      </w:r>
      <w:r w:rsidRPr="00AA193E">
        <w:rPr>
          <w:rFonts w:ascii="Calibri" w:hAnsi="Calibri"/>
          <w:i/>
          <w:iCs/>
          <w:sz w:val="22"/>
          <w:szCs w:val="22"/>
        </w:rPr>
        <w:t>Black Banners from the East: The Establishment of the 'Abbāsid State, Incubation of a Revolt</w:t>
      </w:r>
      <w:r w:rsidRPr="00AA193E">
        <w:rPr>
          <w:rFonts w:ascii="Calibri" w:hAnsi="Calibri"/>
          <w:sz w:val="22"/>
          <w:szCs w:val="22"/>
        </w:rPr>
        <w:t xml:space="preserve"> (Jerusalem: The Magnes Press, The Hebrew University, 1983)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Smart, Ninian, 'The Exploration of Religion and Education', </w:t>
      </w:r>
      <w:r w:rsidRPr="00AA193E">
        <w:rPr>
          <w:rFonts w:ascii="Calibri" w:hAnsi="Calibri"/>
          <w:i/>
          <w:iCs/>
          <w:sz w:val="22"/>
          <w:szCs w:val="22"/>
        </w:rPr>
        <w:t xml:space="preserve">Oxford Review of Education, </w:t>
      </w:r>
      <w:r w:rsidRPr="00AA193E">
        <w:rPr>
          <w:rFonts w:ascii="Calibri" w:hAnsi="Calibri"/>
          <w:sz w:val="22"/>
          <w:szCs w:val="22"/>
        </w:rPr>
        <w:t xml:space="preserve">1, no.2 (1975), 99-105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Stowasser, Barbara F., 'The End is Near: Minor and Major Signs of the Hour in Islamic Texts and Contexts', in </w:t>
      </w:r>
      <w:r w:rsidRPr="00AA193E">
        <w:rPr>
          <w:rFonts w:ascii="Calibri" w:hAnsi="Calibri"/>
          <w:i/>
          <w:iCs/>
          <w:sz w:val="22"/>
          <w:szCs w:val="22"/>
        </w:rPr>
        <w:t>Apocalypse and Violence</w:t>
      </w:r>
      <w:r w:rsidRPr="00AA193E">
        <w:rPr>
          <w:rFonts w:ascii="Calibri" w:hAnsi="Calibri"/>
          <w:sz w:val="22"/>
          <w:szCs w:val="22"/>
        </w:rPr>
        <w:t>, ed. by John J. Collins and Abbas Amanat(New Haven: Yale Center for International and Area Studies, 2004), pp. 45-67</w:t>
      </w:r>
      <w:r>
        <w:rPr>
          <w:rFonts w:ascii="Calibri" w:hAnsi="Calibri"/>
          <w:sz w:val="22"/>
          <w:szCs w:val="22"/>
        </w:rPr>
        <w:t>,</w:t>
      </w:r>
      <w:r w:rsidRPr="00AA193E">
        <w:rPr>
          <w:rFonts w:ascii="Calibri" w:hAnsi="Calibri"/>
          <w:sz w:val="22"/>
          <w:szCs w:val="22"/>
        </w:rPr>
        <w:t xml:space="preserve"> &lt;</w:t>
      </w:r>
      <w:hyperlink r:id="rId38" w:tgtFrame="_blank" w:history="1">
        <w:r w:rsidRPr="00AA193E">
          <w:rPr>
            <w:rStyle w:val="Hyperlink"/>
            <w:rFonts w:ascii="Calibri" w:eastAsiaTheme="majorEastAsia" w:hAnsi="Calibri"/>
            <w:sz w:val="22"/>
            <w:szCs w:val="22"/>
          </w:rPr>
          <w:t>http://edoc1.bibliothek.uni-halle.de/servlets/MCRFileNodeServlet/HALCoRe_derivate_00002753/The%20End%20is%20Near.pdf</w:t>
        </w:r>
      </w:hyperlink>
      <w:r w:rsidRPr="00AA193E">
        <w:rPr>
          <w:rFonts w:ascii="Calibri" w:hAnsi="Calibri"/>
          <w:sz w:val="22"/>
          <w:szCs w:val="22"/>
        </w:rPr>
        <w:t xml:space="preserve">&gt; [accessed 10 December 2015] </w:t>
      </w:r>
    </w:p>
    <w:p w:rsidR="00781306"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Valieri, Laura V., 'The Patriaichal and Umayyad Caliphates', in </w:t>
      </w:r>
      <w:r w:rsidRPr="00AA193E">
        <w:rPr>
          <w:rFonts w:ascii="Calibri" w:hAnsi="Calibri"/>
          <w:i/>
          <w:iCs/>
          <w:sz w:val="22"/>
          <w:szCs w:val="22"/>
        </w:rPr>
        <w:t>The Cambridge History of Islam</w:t>
      </w:r>
      <w:r w:rsidRPr="00AA193E">
        <w:rPr>
          <w:rFonts w:ascii="Calibri" w:hAnsi="Calibri"/>
          <w:sz w:val="22"/>
          <w:szCs w:val="22"/>
        </w:rPr>
        <w:t xml:space="preserve">, ed. by P. M. Holt, Anne K. S. Lambton and Bernard Lewis, </w:t>
      </w:r>
      <w:r>
        <w:rPr>
          <w:rFonts w:ascii="Calibri" w:hAnsi="Calibri"/>
          <w:sz w:val="22"/>
          <w:szCs w:val="22"/>
        </w:rPr>
        <w:t>Vol. 1A</w:t>
      </w:r>
      <w:r w:rsidRPr="00AA193E">
        <w:rPr>
          <w:rFonts w:ascii="Calibri" w:hAnsi="Calibri"/>
          <w:sz w:val="22"/>
          <w:szCs w:val="22"/>
        </w:rPr>
        <w:t xml:space="preserve"> (Cambridge: Cambridge University Press, 1970)</w:t>
      </w:r>
      <w:r>
        <w:rPr>
          <w:rFonts w:ascii="Calibri" w:hAnsi="Calibri"/>
          <w:sz w:val="22"/>
          <w:szCs w:val="22"/>
        </w:rPr>
        <w:t>, p</w:t>
      </w:r>
      <w:r w:rsidR="00170A34">
        <w:rPr>
          <w:rFonts w:ascii="Calibri" w:hAnsi="Calibri"/>
          <w:sz w:val="22"/>
          <w:szCs w:val="22"/>
        </w:rPr>
        <w:t>p</w:t>
      </w:r>
      <w:r>
        <w:rPr>
          <w:rFonts w:ascii="Calibri" w:hAnsi="Calibri"/>
          <w:sz w:val="22"/>
          <w:szCs w:val="22"/>
        </w:rPr>
        <w:t>.57-103</w:t>
      </w:r>
      <w:r w:rsidRPr="00AA193E">
        <w:rPr>
          <w:rFonts w:ascii="Calibri" w:hAnsi="Calibri"/>
          <w:sz w:val="22"/>
          <w:szCs w:val="22"/>
        </w:rPr>
        <w:t xml:space="preserve"> </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Walls, Jerry L., 'Introduction', in </w:t>
      </w:r>
      <w:proofErr w:type="gramStart"/>
      <w:r w:rsidRPr="00AA193E">
        <w:rPr>
          <w:rFonts w:ascii="Calibri" w:hAnsi="Calibri"/>
          <w:i/>
          <w:iCs/>
          <w:sz w:val="22"/>
          <w:szCs w:val="22"/>
        </w:rPr>
        <w:t>The</w:t>
      </w:r>
      <w:proofErr w:type="gramEnd"/>
      <w:r w:rsidRPr="00AA193E">
        <w:rPr>
          <w:rFonts w:ascii="Calibri" w:hAnsi="Calibri"/>
          <w:i/>
          <w:iCs/>
          <w:sz w:val="22"/>
          <w:szCs w:val="22"/>
        </w:rPr>
        <w:t xml:space="preserve"> Oxford Handbook of Eschatology</w:t>
      </w:r>
      <w:r w:rsidRPr="00AA193E">
        <w:rPr>
          <w:rFonts w:ascii="Calibri" w:hAnsi="Calibri"/>
          <w:sz w:val="22"/>
          <w:szCs w:val="22"/>
        </w:rPr>
        <w:t>, ed. by Jerry L. Walls</w:t>
      </w:r>
      <w:r>
        <w:rPr>
          <w:rFonts w:ascii="Calibri" w:hAnsi="Calibri"/>
          <w:sz w:val="22"/>
          <w:szCs w:val="22"/>
        </w:rPr>
        <w:t xml:space="preserve"> </w:t>
      </w:r>
      <w:r w:rsidRPr="00AA193E">
        <w:rPr>
          <w:rFonts w:ascii="Calibri" w:hAnsi="Calibri"/>
          <w:sz w:val="22"/>
          <w:szCs w:val="22"/>
        </w:rPr>
        <w:t xml:space="preserve">(Oxford: Oxford University Press, 2008), pp. 3-18 </w:t>
      </w:r>
    </w:p>
    <w:p w:rsidR="003A5B0D" w:rsidRDefault="003A5B0D" w:rsidP="00781306">
      <w:pPr>
        <w:pStyle w:val="NormalWeb"/>
        <w:spacing w:line="276" w:lineRule="auto"/>
        <w:ind w:left="450" w:hanging="450"/>
        <w:rPr>
          <w:rFonts w:ascii="Calibri" w:hAnsi="Calibri"/>
          <w:sz w:val="22"/>
          <w:szCs w:val="22"/>
        </w:rPr>
      </w:pPr>
      <w:r>
        <w:rPr>
          <w:rFonts w:ascii="Calibri" w:hAnsi="Calibri"/>
          <w:sz w:val="22"/>
          <w:szCs w:val="22"/>
        </w:rPr>
        <w:t xml:space="preserve">Wang, Shutao, 'The Origins of Islam in the Arabian Context' (Master's Thesis, </w:t>
      </w:r>
      <w:proofErr w:type="gramStart"/>
      <w:r>
        <w:rPr>
          <w:rFonts w:ascii="Calibri" w:hAnsi="Calibri"/>
          <w:sz w:val="22"/>
          <w:szCs w:val="22"/>
        </w:rPr>
        <w:t>The</w:t>
      </w:r>
      <w:proofErr w:type="gramEnd"/>
      <w:r>
        <w:rPr>
          <w:rFonts w:ascii="Calibri" w:hAnsi="Calibri"/>
          <w:sz w:val="22"/>
          <w:szCs w:val="22"/>
        </w:rPr>
        <w:t xml:space="preserve"> University of Bergen, 2016)</w:t>
      </w:r>
    </w:p>
    <w:p w:rsidR="00781306" w:rsidRPr="00AA193E" w:rsidRDefault="00781306" w:rsidP="00781306">
      <w:pPr>
        <w:pStyle w:val="NormalWeb"/>
        <w:spacing w:line="276" w:lineRule="auto"/>
        <w:ind w:left="450" w:hanging="450"/>
        <w:rPr>
          <w:rFonts w:ascii="Calibri" w:hAnsi="Calibri"/>
          <w:sz w:val="22"/>
          <w:szCs w:val="22"/>
        </w:rPr>
      </w:pPr>
      <w:r w:rsidRPr="00AA193E">
        <w:rPr>
          <w:rFonts w:ascii="Calibri" w:hAnsi="Calibri"/>
          <w:sz w:val="22"/>
          <w:szCs w:val="22"/>
        </w:rPr>
        <w:t xml:space="preserve">Watt, Montgomery, 'Muḥammad', in </w:t>
      </w:r>
      <w:r w:rsidRPr="00AA193E">
        <w:rPr>
          <w:rFonts w:ascii="Calibri" w:hAnsi="Calibri"/>
          <w:i/>
          <w:iCs/>
          <w:sz w:val="22"/>
          <w:szCs w:val="22"/>
        </w:rPr>
        <w:t>The Cambridge History of Islam</w:t>
      </w:r>
      <w:r w:rsidRPr="00AA193E">
        <w:rPr>
          <w:rFonts w:ascii="Calibri" w:hAnsi="Calibri"/>
          <w:sz w:val="22"/>
          <w:szCs w:val="22"/>
        </w:rPr>
        <w:t xml:space="preserve">, ed. by P. M. Holt, Anne K. S. Lambton and Bernard Lewis, </w:t>
      </w:r>
      <w:r>
        <w:rPr>
          <w:rFonts w:ascii="Calibri" w:hAnsi="Calibri"/>
          <w:sz w:val="22"/>
          <w:szCs w:val="22"/>
        </w:rPr>
        <w:t xml:space="preserve">Vol. 1A </w:t>
      </w:r>
      <w:r w:rsidRPr="00AA193E">
        <w:rPr>
          <w:rFonts w:ascii="Calibri" w:hAnsi="Calibri"/>
          <w:sz w:val="22"/>
          <w:szCs w:val="22"/>
        </w:rPr>
        <w:t>(Cambridge: Cambridge University Press, 1970)</w:t>
      </w:r>
      <w:r>
        <w:rPr>
          <w:rFonts w:ascii="Calibri" w:hAnsi="Calibri"/>
          <w:sz w:val="22"/>
          <w:szCs w:val="22"/>
        </w:rPr>
        <w:t>, pp.30-56</w:t>
      </w:r>
      <w:r w:rsidRPr="00AA193E">
        <w:rPr>
          <w:rFonts w:ascii="Calibri" w:hAnsi="Calibri"/>
          <w:sz w:val="22"/>
          <w:szCs w:val="22"/>
        </w:rPr>
        <w:t xml:space="preserve"> </w:t>
      </w:r>
    </w:p>
    <w:p w:rsidR="00781306" w:rsidRDefault="006D5956" w:rsidP="003C1AF2">
      <w:pPr>
        <w:ind w:left="426" w:hanging="426"/>
        <w:sectPr w:rsidR="00781306" w:rsidSect="00103350">
          <w:headerReference w:type="default" r:id="rId39"/>
          <w:pgSz w:w="11907" w:h="16839" w:code="9"/>
          <w:pgMar w:top="1440" w:right="1247" w:bottom="1440" w:left="2268" w:header="720" w:footer="720" w:gutter="0"/>
          <w:cols w:space="720"/>
          <w:titlePg/>
          <w:docGrid w:linePitch="360"/>
        </w:sectPr>
      </w:pPr>
      <w:r>
        <w:t>Wessinger, Catherine, 'Apocalypse and Violence', in The Oxford Handbook of Apocalyptic Literature, ed. by John J. Collins (New York: Oxford University Press, 2014), pp.</w:t>
      </w:r>
      <w:r w:rsidR="003C1AF2">
        <w:t>422-440</w:t>
      </w:r>
    </w:p>
    <w:p w:rsidR="00F411E0" w:rsidRDefault="00FF1BA2" w:rsidP="00781306">
      <w:pPr>
        <w:pStyle w:val="Heading1"/>
        <w:jc w:val="center"/>
      </w:pPr>
      <w:bookmarkStart w:id="52" w:name="_Toc477317403"/>
      <w:r>
        <w:lastRenderedPageBreak/>
        <w:t>Appendix: MA Dissertation Approval Form</w:t>
      </w:r>
      <w:bookmarkEnd w:id="52"/>
    </w:p>
    <w:p w:rsidR="00FF1BA2" w:rsidRDefault="00FF1BA2" w:rsidP="00FF1BA2"/>
    <w:p w:rsidR="00FF1BA2" w:rsidRDefault="00FF1BA2" w:rsidP="00FF1BA2"/>
    <w:tbl>
      <w:tblPr>
        <w:tblW w:w="0" w:type="auto"/>
        <w:tblInd w:w="-72" w:type="dxa"/>
        <w:tblLook w:val="0000" w:firstRow="0" w:lastRow="0" w:firstColumn="0" w:lastColumn="0" w:noHBand="0" w:noVBand="0"/>
      </w:tblPr>
      <w:tblGrid>
        <w:gridCol w:w="4266"/>
        <w:gridCol w:w="2207"/>
        <w:gridCol w:w="2207"/>
      </w:tblGrid>
      <w:tr w:rsidR="00FF1BA2" w:rsidRPr="00F30126" w:rsidTr="00670D42">
        <w:trPr>
          <w:trHeight w:val="1255"/>
        </w:trPr>
        <w:tc>
          <w:tcPr>
            <w:tcW w:w="4266" w:type="dxa"/>
            <w:vAlign w:val="center"/>
          </w:tcPr>
          <w:p w:rsidR="00FF1BA2" w:rsidRDefault="00FF1BA2" w:rsidP="00670D42">
            <w:pPr>
              <w:jc w:val="center"/>
              <w:rPr>
                <w:b/>
                <w:sz w:val="28"/>
                <w:szCs w:val="28"/>
              </w:rPr>
            </w:pPr>
            <w:r>
              <w:rPr>
                <w:b/>
                <w:noProof/>
                <w:sz w:val="28"/>
                <w:szCs w:val="28"/>
              </w:rPr>
              <w:drawing>
                <wp:inline distT="0" distB="0" distL="0" distR="0" wp14:anchorId="2AD26D70" wp14:editId="65BD1FE0">
                  <wp:extent cx="2562225" cy="828675"/>
                  <wp:effectExtent l="0" t="0" r="9525"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62225" cy="828675"/>
                          </a:xfrm>
                          <a:prstGeom prst="rect">
                            <a:avLst/>
                          </a:prstGeom>
                          <a:noFill/>
                          <a:ln>
                            <a:noFill/>
                          </a:ln>
                        </pic:spPr>
                      </pic:pic>
                    </a:graphicData>
                  </a:graphic>
                </wp:inline>
              </w:drawing>
            </w:r>
          </w:p>
          <w:p w:rsidR="00FF1BA2" w:rsidRPr="00F30126" w:rsidRDefault="00FF1BA2" w:rsidP="00670D42">
            <w:pPr>
              <w:jc w:val="center"/>
              <w:rPr>
                <w:b/>
                <w:sz w:val="28"/>
                <w:szCs w:val="28"/>
              </w:rPr>
            </w:pPr>
          </w:p>
        </w:tc>
        <w:tc>
          <w:tcPr>
            <w:tcW w:w="2207" w:type="dxa"/>
            <w:vAlign w:val="center"/>
          </w:tcPr>
          <w:p w:rsidR="00FF1BA2" w:rsidRPr="00F30126" w:rsidRDefault="00FF1BA2" w:rsidP="00670D42">
            <w:pPr>
              <w:jc w:val="center"/>
              <w:rPr>
                <w:b/>
                <w:sz w:val="28"/>
                <w:szCs w:val="28"/>
              </w:rPr>
            </w:pPr>
          </w:p>
        </w:tc>
        <w:tc>
          <w:tcPr>
            <w:tcW w:w="2207" w:type="dxa"/>
            <w:vAlign w:val="center"/>
          </w:tcPr>
          <w:p w:rsidR="00FF1BA2" w:rsidRPr="00F30126" w:rsidRDefault="00FF1BA2" w:rsidP="00670D42">
            <w:pPr>
              <w:jc w:val="center"/>
              <w:rPr>
                <w:b/>
                <w:sz w:val="28"/>
                <w:szCs w:val="28"/>
              </w:rPr>
            </w:pPr>
          </w:p>
        </w:tc>
      </w:tr>
    </w:tbl>
    <w:p w:rsidR="00FF1BA2" w:rsidRDefault="00FF1BA2" w:rsidP="00FF1BA2"/>
    <w:p w:rsidR="00FF1BA2" w:rsidRDefault="00FF1BA2" w:rsidP="00FF1BA2"/>
    <w:p w:rsidR="00FF1BA2" w:rsidRPr="0019544B" w:rsidRDefault="00FF1BA2" w:rsidP="00FF1BA2">
      <w:pPr>
        <w:jc w:val="center"/>
        <w:rPr>
          <w:rFonts w:ascii="Arial" w:hAnsi="Arial" w:cs="Arial"/>
          <w:sz w:val="32"/>
          <w:szCs w:val="32"/>
        </w:rPr>
      </w:pPr>
      <w:r>
        <w:rPr>
          <w:rFonts w:ascii="Arial" w:hAnsi="Arial" w:cs="Arial"/>
          <w:sz w:val="32"/>
          <w:szCs w:val="32"/>
        </w:rPr>
        <w:t>Faculty of Humanities</w:t>
      </w:r>
    </w:p>
    <w:p w:rsidR="00FF1BA2" w:rsidRDefault="00FF1BA2" w:rsidP="00101315">
      <w:pPr>
        <w:jc w:val="center"/>
        <w:rPr>
          <w:rFonts w:asciiTheme="minorBidi" w:hAnsiTheme="minorBidi"/>
          <w:b/>
          <w:bCs/>
          <w:sz w:val="28"/>
          <w:szCs w:val="28"/>
        </w:rPr>
      </w:pPr>
      <w:r w:rsidRPr="00FF1BA2">
        <w:rPr>
          <w:rFonts w:asciiTheme="minorBidi" w:hAnsiTheme="minorBidi"/>
          <w:b/>
          <w:bCs/>
          <w:sz w:val="28"/>
          <w:szCs w:val="28"/>
        </w:rPr>
        <w:t>MA Dissertation Approval Form</w:t>
      </w:r>
    </w:p>
    <w:p w:rsidR="00101315" w:rsidRPr="00101315" w:rsidRDefault="00101315" w:rsidP="00101315">
      <w:pPr>
        <w:spacing w:before="240"/>
        <w:jc w:val="center"/>
        <w:rPr>
          <w:rFonts w:asciiTheme="minorBidi" w:hAnsiTheme="minorBidi"/>
          <w:b/>
          <w:bCs/>
          <w:sz w:val="24"/>
          <w:szCs w:val="24"/>
        </w:rPr>
      </w:pPr>
      <w:r w:rsidRPr="00101315">
        <w:rPr>
          <w:rFonts w:asciiTheme="minorBidi" w:hAnsiTheme="minorBidi"/>
          <w:b/>
          <w:bCs/>
          <w:sz w:val="24"/>
          <w:szCs w:val="24"/>
        </w:rPr>
        <w:t>Word Count: 1238</w:t>
      </w:r>
    </w:p>
    <w:p w:rsidR="00FF1BA2" w:rsidRPr="003B0537" w:rsidRDefault="00FF1BA2" w:rsidP="00FF1BA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48"/>
        <w:gridCol w:w="6560"/>
      </w:tblGrid>
      <w:tr w:rsidR="00FF1BA2" w:rsidRPr="003B0537" w:rsidTr="00670D42">
        <w:tc>
          <w:tcPr>
            <w:tcW w:w="2088" w:type="dxa"/>
            <w:vAlign w:val="center"/>
          </w:tcPr>
          <w:p w:rsidR="00FF1BA2" w:rsidRPr="003B0537" w:rsidRDefault="00FF1BA2" w:rsidP="00670D42">
            <w:pPr>
              <w:jc w:val="center"/>
              <w:rPr>
                <w:rFonts w:ascii="Arial" w:hAnsi="Arial" w:cs="Arial"/>
              </w:rPr>
            </w:pPr>
            <w:r>
              <w:rPr>
                <w:rFonts w:ascii="Arial" w:hAnsi="Arial" w:cs="Arial"/>
              </w:rPr>
              <w:t>Student N</w:t>
            </w:r>
            <w:r w:rsidRPr="003B0537">
              <w:rPr>
                <w:rFonts w:ascii="Arial" w:hAnsi="Arial" w:cs="Arial"/>
              </w:rPr>
              <w:t>ame</w:t>
            </w:r>
          </w:p>
        </w:tc>
        <w:tc>
          <w:tcPr>
            <w:tcW w:w="6768" w:type="dxa"/>
            <w:vAlign w:val="center"/>
          </w:tcPr>
          <w:p w:rsidR="00FF1BA2" w:rsidRPr="008A3CA8" w:rsidRDefault="00FF1BA2" w:rsidP="00670D42">
            <w:pPr>
              <w:rPr>
                <w:rFonts w:cs="Arial"/>
              </w:rPr>
            </w:pPr>
          </w:p>
          <w:p w:rsidR="00FF1BA2" w:rsidRPr="008A3CA8" w:rsidRDefault="00FF1BA2" w:rsidP="00670D42">
            <w:pPr>
              <w:rPr>
                <w:rFonts w:cs="Arial"/>
              </w:rPr>
            </w:pPr>
            <w:r w:rsidRPr="008A3CA8">
              <w:rPr>
                <w:rFonts w:cs="Arial"/>
              </w:rPr>
              <w:t>Mai Ali Rashed Lootah</w:t>
            </w:r>
          </w:p>
          <w:p w:rsidR="00FF1BA2" w:rsidRPr="008A3CA8" w:rsidRDefault="00FF1BA2" w:rsidP="00670D42">
            <w:pPr>
              <w:rPr>
                <w:rFonts w:cs="Arial"/>
              </w:rPr>
            </w:pPr>
          </w:p>
        </w:tc>
      </w:tr>
      <w:tr w:rsidR="00FF1BA2" w:rsidRPr="003B0537" w:rsidTr="00670D42">
        <w:tc>
          <w:tcPr>
            <w:tcW w:w="2088" w:type="dxa"/>
            <w:vAlign w:val="center"/>
          </w:tcPr>
          <w:p w:rsidR="00FF1BA2" w:rsidRPr="003B0537" w:rsidRDefault="00FF1BA2" w:rsidP="00670D42">
            <w:pPr>
              <w:jc w:val="center"/>
              <w:rPr>
                <w:rFonts w:ascii="Arial" w:hAnsi="Arial" w:cs="Arial"/>
              </w:rPr>
            </w:pPr>
            <w:r>
              <w:rPr>
                <w:rFonts w:ascii="Arial" w:hAnsi="Arial" w:cs="Arial"/>
              </w:rPr>
              <w:t>Degree S</w:t>
            </w:r>
            <w:r w:rsidRPr="003B0537">
              <w:rPr>
                <w:rFonts w:ascii="Arial" w:hAnsi="Arial" w:cs="Arial"/>
              </w:rPr>
              <w:t>cheme</w:t>
            </w:r>
          </w:p>
        </w:tc>
        <w:tc>
          <w:tcPr>
            <w:tcW w:w="6768" w:type="dxa"/>
            <w:vAlign w:val="center"/>
          </w:tcPr>
          <w:p w:rsidR="00FF1BA2" w:rsidRPr="008A3CA8" w:rsidRDefault="00FF1BA2" w:rsidP="00670D42">
            <w:pPr>
              <w:rPr>
                <w:rFonts w:cs="Arial"/>
              </w:rPr>
            </w:pPr>
          </w:p>
          <w:p w:rsidR="00FF1BA2" w:rsidRPr="008A3CA8" w:rsidRDefault="00FF1BA2" w:rsidP="00670D42">
            <w:pPr>
              <w:rPr>
                <w:rFonts w:cs="Arial"/>
              </w:rPr>
            </w:pPr>
            <w:r w:rsidRPr="008A3CA8">
              <w:rPr>
                <w:rFonts w:cs="Arial"/>
              </w:rPr>
              <w:t>MA in Cultural Astronomy &amp; Astrology</w:t>
            </w:r>
          </w:p>
          <w:p w:rsidR="00FF1BA2" w:rsidRPr="008A3CA8" w:rsidRDefault="00FF1BA2" w:rsidP="00670D42">
            <w:pPr>
              <w:rPr>
                <w:rFonts w:cs="Arial"/>
              </w:rPr>
            </w:pPr>
          </w:p>
        </w:tc>
      </w:tr>
      <w:tr w:rsidR="00FF1BA2" w:rsidRPr="003B0537" w:rsidTr="00670D42">
        <w:tc>
          <w:tcPr>
            <w:tcW w:w="2088" w:type="dxa"/>
            <w:vAlign w:val="center"/>
          </w:tcPr>
          <w:p w:rsidR="00FF1BA2" w:rsidRPr="003B0537" w:rsidRDefault="00FF1BA2" w:rsidP="00670D42">
            <w:pPr>
              <w:jc w:val="center"/>
              <w:rPr>
                <w:rFonts w:ascii="Arial" w:hAnsi="Arial" w:cs="Arial"/>
              </w:rPr>
            </w:pPr>
            <w:r w:rsidRPr="003B0537">
              <w:rPr>
                <w:rFonts w:ascii="Arial" w:hAnsi="Arial" w:cs="Arial"/>
              </w:rPr>
              <w:t>Start date</w:t>
            </w:r>
          </w:p>
        </w:tc>
        <w:tc>
          <w:tcPr>
            <w:tcW w:w="6768" w:type="dxa"/>
            <w:vAlign w:val="center"/>
          </w:tcPr>
          <w:p w:rsidR="00FF1BA2" w:rsidRPr="008A3CA8" w:rsidRDefault="00FF1BA2" w:rsidP="00670D42">
            <w:pPr>
              <w:rPr>
                <w:rFonts w:cs="Arial"/>
              </w:rPr>
            </w:pPr>
          </w:p>
          <w:p w:rsidR="00FF1BA2" w:rsidRPr="008A3CA8" w:rsidRDefault="00FF1BA2" w:rsidP="00670D42">
            <w:pPr>
              <w:rPr>
                <w:rFonts w:cs="Arial"/>
              </w:rPr>
            </w:pPr>
            <w:r w:rsidRPr="008A3CA8">
              <w:rPr>
                <w:rFonts w:cs="Arial"/>
              </w:rPr>
              <w:t>1</w:t>
            </w:r>
            <w:r w:rsidRPr="008A3CA8">
              <w:rPr>
                <w:rFonts w:cs="Arial"/>
                <w:vertAlign w:val="superscript"/>
              </w:rPr>
              <w:t>st</w:t>
            </w:r>
            <w:r w:rsidRPr="008A3CA8">
              <w:rPr>
                <w:rFonts w:cs="Arial"/>
              </w:rPr>
              <w:t xml:space="preserve"> October 2015</w:t>
            </w:r>
          </w:p>
          <w:p w:rsidR="00FF1BA2" w:rsidRPr="008A3CA8" w:rsidRDefault="00FF1BA2" w:rsidP="00670D42">
            <w:pPr>
              <w:rPr>
                <w:rFonts w:cs="Arial"/>
              </w:rPr>
            </w:pPr>
          </w:p>
        </w:tc>
      </w:tr>
    </w:tbl>
    <w:p w:rsidR="00FF1BA2" w:rsidRPr="003B0537" w:rsidRDefault="00FF1BA2" w:rsidP="00FF1BA2">
      <w:pPr>
        <w:rPr>
          <w:rFonts w:ascii="Arial" w:hAnsi="Arial" w:cs="Arial"/>
        </w:rPr>
      </w:pPr>
    </w:p>
    <w:p w:rsidR="00FF1BA2" w:rsidRPr="003B0537" w:rsidRDefault="00FF1BA2" w:rsidP="00FF1BA2">
      <w:pPr>
        <w:rPr>
          <w:rFonts w:ascii="Arial" w:hAnsi="Arial" w:cs="Arial"/>
        </w:rPr>
      </w:pPr>
    </w:p>
    <w:p w:rsidR="00FF1BA2" w:rsidRDefault="00FF1BA2" w:rsidP="00FF1BA2">
      <w:pPr>
        <w:rPr>
          <w:rFonts w:ascii="Arial" w:hAnsi="Arial" w:cs="Arial"/>
        </w:rPr>
      </w:pPr>
      <w:r w:rsidRPr="003B0537">
        <w:rPr>
          <w:rFonts w:ascii="Arial" w:hAnsi="Arial" w:cs="Arial"/>
        </w:rPr>
        <w:t>I have</w:t>
      </w:r>
      <w:r>
        <w:rPr>
          <w:rFonts w:ascii="Arial" w:hAnsi="Arial" w:cs="Arial"/>
        </w:rPr>
        <w:t xml:space="preserve"> completed </w:t>
      </w:r>
      <w:r w:rsidRPr="003B0537">
        <w:rPr>
          <w:rFonts w:ascii="Arial" w:hAnsi="Arial" w:cs="Arial"/>
        </w:rPr>
        <w:t>Part 1 of my degree.</w:t>
      </w:r>
    </w:p>
    <w:p w:rsidR="00FF1BA2" w:rsidRDefault="00FF1BA2" w:rsidP="00FF1BA2">
      <w:pPr>
        <w:rPr>
          <w:rFonts w:ascii="Arial" w:hAnsi="Arial" w:cs="Arial"/>
        </w:rPr>
      </w:pPr>
    </w:p>
    <w:p w:rsidR="00FF1BA2" w:rsidRDefault="00FF1BA2" w:rsidP="00FF1BA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08"/>
      </w:tblGrid>
      <w:tr w:rsidR="00FF1BA2" w:rsidRPr="001F5503" w:rsidTr="00670D42">
        <w:tc>
          <w:tcPr>
            <w:tcW w:w="8856" w:type="dxa"/>
          </w:tcPr>
          <w:p w:rsidR="00FF1BA2" w:rsidRDefault="00FF1BA2" w:rsidP="00670D42">
            <w:pPr>
              <w:rPr>
                <w:rFonts w:ascii="Arial" w:hAnsi="Arial" w:cs="Arial"/>
              </w:rPr>
            </w:pPr>
            <w:r w:rsidRPr="001F5503">
              <w:rPr>
                <w:rFonts w:ascii="Arial" w:hAnsi="Arial" w:cs="Arial"/>
              </w:rPr>
              <w:t>Title of Dissertation:</w:t>
            </w:r>
            <w:r>
              <w:rPr>
                <w:rFonts w:ascii="Arial" w:hAnsi="Arial" w:cs="Arial"/>
              </w:rPr>
              <w:t xml:space="preserve"> </w:t>
            </w:r>
          </w:p>
          <w:p w:rsidR="00FF1BA2" w:rsidRPr="008A3CA8" w:rsidRDefault="00FF1BA2" w:rsidP="00670D42">
            <w:pPr>
              <w:rPr>
                <w:rFonts w:cs="Arial"/>
              </w:rPr>
            </w:pPr>
          </w:p>
          <w:p w:rsidR="00FF1BA2" w:rsidRPr="008A3CA8" w:rsidRDefault="00FF1BA2" w:rsidP="00670D42">
            <w:pPr>
              <w:jc w:val="center"/>
              <w:rPr>
                <w:rFonts w:cs="Arial"/>
                <w:b/>
                <w:bCs/>
              </w:rPr>
            </w:pPr>
            <w:r w:rsidRPr="008A3CA8">
              <w:rPr>
                <w:rFonts w:cs="Arial"/>
                <w:b/>
                <w:bCs/>
              </w:rPr>
              <w:t>Cosmic Chaos in Islamic Apocalyptic Eschatology</w:t>
            </w:r>
          </w:p>
          <w:p w:rsidR="00FF1BA2" w:rsidRPr="008A3CA8" w:rsidRDefault="00FF1BA2" w:rsidP="00670D42">
            <w:pPr>
              <w:jc w:val="center"/>
              <w:rPr>
                <w:rFonts w:cs="Arial"/>
              </w:rPr>
            </w:pPr>
            <w:r w:rsidRPr="008A3CA8">
              <w:rPr>
                <w:rFonts w:cs="Arial"/>
              </w:rPr>
              <w:t>How were the cosmic events of the Last Day depicted in different historical stages of Islamic eschatology, and to what extent does this reflect changes through time in cosmological beliefs?</w:t>
            </w:r>
          </w:p>
          <w:p w:rsidR="00FF1BA2" w:rsidRPr="001F5503" w:rsidRDefault="00FF1BA2" w:rsidP="00670D42">
            <w:pPr>
              <w:rPr>
                <w:rFonts w:ascii="Arial" w:hAnsi="Arial" w:cs="Arial"/>
              </w:rPr>
            </w:pPr>
          </w:p>
          <w:p w:rsidR="00FF1BA2" w:rsidRPr="001F5503" w:rsidRDefault="00FF1BA2" w:rsidP="00670D42">
            <w:pPr>
              <w:rPr>
                <w:rFonts w:ascii="Arial" w:hAnsi="Arial" w:cs="Arial"/>
              </w:rPr>
            </w:pPr>
          </w:p>
        </w:tc>
      </w:tr>
      <w:tr w:rsidR="00FF1BA2" w:rsidRPr="001F5503" w:rsidTr="00670D42">
        <w:tc>
          <w:tcPr>
            <w:tcW w:w="8856" w:type="dxa"/>
          </w:tcPr>
          <w:p w:rsidR="00FF1BA2" w:rsidRPr="001F5503" w:rsidRDefault="00FF1BA2" w:rsidP="00670D42">
            <w:pPr>
              <w:rPr>
                <w:rFonts w:ascii="Arial" w:hAnsi="Arial" w:cs="Arial"/>
              </w:rPr>
            </w:pPr>
            <w:r w:rsidRPr="001F5503">
              <w:rPr>
                <w:rFonts w:ascii="Arial" w:hAnsi="Arial" w:cs="Arial"/>
              </w:rPr>
              <w:t>Aims and Objectives:</w:t>
            </w:r>
          </w:p>
          <w:p w:rsidR="00FF1BA2" w:rsidRPr="001F5503" w:rsidRDefault="00FF1BA2" w:rsidP="00670D42">
            <w:pPr>
              <w:rPr>
                <w:rFonts w:ascii="Arial" w:hAnsi="Arial" w:cs="Arial"/>
              </w:rPr>
            </w:pPr>
          </w:p>
          <w:p w:rsidR="00FF1BA2" w:rsidRPr="008A3CA8" w:rsidRDefault="00FF1BA2" w:rsidP="00670D42">
            <w:pPr>
              <w:rPr>
                <w:rFonts w:cs="TimesNewRomanPS-BoldMT"/>
              </w:rPr>
            </w:pPr>
            <w:r w:rsidRPr="008A3CA8">
              <w:rPr>
                <w:rFonts w:cs="TimesNewRomanPS-BoldMT"/>
              </w:rPr>
              <w:t>This paper will look at how the Last Day cosmic portents (</w:t>
            </w:r>
            <w:r w:rsidRPr="008A3CA8">
              <w:rPr>
                <w:rFonts w:cs="TimesNewRomanPS-BoldMT"/>
                <w:i/>
                <w:iCs/>
              </w:rPr>
              <w:t>ashrāṭ</w:t>
            </w:r>
            <w:r w:rsidRPr="008A3CA8">
              <w:rPr>
                <w:rFonts w:cs="TimesNewRomanPS-BoldMT"/>
              </w:rPr>
              <w:t xml:space="preserve">) mentioned in Islamic scriptures  were understood and conceptualised in different historical stages, and how the latter reflected the intellectual and social characteristics specific to each stage. This paper will </w:t>
            </w:r>
            <w:r w:rsidRPr="008A3CA8">
              <w:rPr>
                <w:rFonts w:cs="TimesNewRomanPS-BoldMT"/>
              </w:rPr>
              <w:lastRenderedPageBreak/>
              <w:t xml:space="preserve">also examine how legislative scholars modernized their interpretation of the Qur'ānic verses, </w:t>
            </w:r>
            <w:r w:rsidRPr="008A3CA8">
              <w:rPr>
                <w:rFonts w:cs="TimesNewRomanPS-BoldMT"/>
                <w:i/>
                <w:iCs/>
              </w:rPr>
              <w:t>ḥadīth</w:t>
            </w:r>
            <w:r w:rsidRPr="008A3CA8">
              <w:rPr>
                <w:rFonts w:cs="TimesNewRomanPS-BoldMT"/>
              </w:rPr>
              <w:t xml:space="preserve"> passages and medieval texts, in their attempt to harmonize these with the latest scientific discoveries. These will be studied within the various theoretical frameworks that dealt with eschatology and apocalyptic eschatology. This paper will attempt to answer the following questions:</w:t>
            </w:r>
          </w:p>
          <w:p w:rsidR="00FF1BA2" w:rsidRPr="008A3CA8" w:rsidRDefault="00FF1BA2" w:rsidP="00670D42">
            <w:pPr>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What are the cosmic events that indicate/coincide with the Day of Resurrection?</w:t>
            </w:r>
          </w:p>
          <w:p w:rsidR="00FF1BA2" w:rsidRPr="008A3CA8" w:rsidRDefault="00FF1BA2" w:rsidP="00670D42">
            <w:pPr>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How were these understood by the classical traditionalists?</w:t>
            </w:r>
          </w:p>
          <w:p w:rsidR="00FF1BA2" w:rsidRPr="008A3CA8" w:rsidRDefault="00FF1BA2" w:rsidP="00670D42">
            <w:pPr>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How were these understood by the classical rationalists?</w:t>
            </w:r>
          </w:p>
          <w:p w:rsidR="00FF1BA2" w:rsidRPr="008A3CA8" w:rsidRDefault="00FF1BA2" w:rsidP="00670D42">
            <w:pPr>
              <w:pStyle w:val="ListParagraph"/>
              <w:spacing w:line="240" w:lineRule="auto"/>
              <w:ind w:left="0"/>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How are the above events dealt with by modern scientific exegeses?</w:t>
            </w:r>
          </w:p>
          <w:p w:rsidR="00FF1BA2" w:rsidRPr="008A3CA8" w:rsidRDefault="00FF1BA2" w:rsidP="00670D42">
            <w:pPr>
              <w:pStyle w:val="ListParagraph"/>
              <w:spacing w:line="240" w:lineRule="auto"/>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What theories best explain the aforesaid interpretations and understandings?</w:t>
            </w:r>
          </w:p>
          <w:p w:rsidR="00FF1BA2" w:rsidRPr="008A3CA8" w:rsidRDefault="00FF1BA2" w:rsidP="00670D42">
            <w:pPr>
              <w:pStyle w:val="ListParagraph"/>
              <w:spacing w:line="240" w:lineRule="auto"/>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How were the modern scientific exegeses influenced by latest scientific discoveries?</w:t>
            </w:r>
          </w:p>
          <w:p w:rsidR="00FF1BA2" w:rsidRPr="008A3CA8" w:rsidRDefault="00FF1BA2" w:rsidP="00670D42">
            <w:pPr>
              <w:pStyle w:val="ListParagraph"/>
              <w:spacing w:line="240" w:lineRule="auto"/>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What are the different eschatological theories and hypotheses proposed by each school of thou</w:t>
            </w:r>
            <w:r>
              <w:rPr>
                <w:rFonts w:cs="TimesNewRomanPS-BoldMT"/>
              </w:rPr>
              <w:t xml:space="preserve">ght, the traditional, rational </w:t>
            </w:r>
            <w:r w:rsidRPr="008A3CA8">
              <w:rPr>
                <w:rFonts w:cs="TimesNewRomanPS-BoldMT"/>
              </w:rPr>
              <w:t>and scientific?</w:t>
            </w:r>
          </w:p>
          <w:p w:rsidR="00FF1BA2" w:rsidRPr="008A3CA8" w:rsidRDefault="00FF1BA2" w:rsidP="00670D42">
            <w:pPr>
              <w:pStyle w:val="ListParagraph"/>
              <w:spacing w:line="240" w:lineRule="auto"/>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What are the latest scientific discoveries that support or challenge the previous Islamic eschatological theories?</w:t>
            </w:r>
          </w:p>
          <w:p w:rsidR="00FF1BA2" w:rsidRPr="008A3CA8" w:rsidRDefault="00FF1BA2" w:rsidP="00670D42">
            <w:pPr>
              <w:pStyle w:val="ListParagraph"/>
              <w:spacing w:line="240" w:lineRule="auto"/>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rFonts w:cs="TimesNewRomanPS-BoldMT"/>
              </w:rPr>
              <w:t>How was science reconciled with faith in modern scientific eschatological accounts?</w:t>
            </w:r>
          </w:p>
          <w:p w:rsidR="00FF1BA2" w:rsidRPr="008A3CA8" w:rsidRDefault="00FF1BA2" w:rsidP="00670D42">
            <w:pPr>
              <w:rPr>
                <w:rFonts w:cs="TimesNewRomanPS-BoldMT"/>
              </w:rPr>
            </w:pPr>
          </w:p>
          <w:p w:rsidR="00FF1BA2" w:rsidRPr="008A3CA8" w:rsidRDefault="00FF1BA2" w:rsidP="00670D42">
            <w:pPr>
              <w:pStyle w:val="ListParagraph"/>
              <w:numPr>
                <w:ilvl w:val="0"/>
                <w:numId w:val="8"/>
              </w:numPr>
              <w:spacing w:line="240" w:lineRule="auto"/>
              <w:rPr>
                <w:rFonts w:cs="TimesNewRomanPS-BoldMT"/>
              </w:rPr>
            </w:pPr>
            <w:r w:rsidRPr="008A3CA8">
              <w:rPr>
                <w:lang w:bidi="ar-AE"/>
              </w:rPr>
              <w:t>How were the latest scientific discoveries employed in modern eschatological interpretations?</w:t>
            </w:r>
          </w:p>
          <w:p w:rsidR="00FF1BA2" w:rsidRPr="00B51D28" w:rsidRDefault="00FF1BA2" w:rsidP="00670D42">
            <w:pPr>
              <w:pStyle w:val="ListParagraph"/>
              <w:spacing w:line="240" w:lineRule="auto"/>
              <w:rPr>
                <w:rFonts w:cs="TimesNewRomanPS-BoldMT"/>
              </w:rPr>
            </w:pPr>
          </w:p>
          <w:p w:rsidR="00FF1BA2" w:rsidRDefault="00FF1BA2" w:rsidP="00670D42">
            <w:pPr>
              <w:pStyle w:val="ListParagraph"/>
              <w:numPr>
                <w:ilvl w:val="0"/>
                <w:numId w:val="8"/>
              </w:numPr>
              <w:spacing w:line="240" w:lineRule="auto"/>
              <w:rPr>
                <w:rFonts w:cs="TimesNewRomanPS-BoldMT"/>
              </w:rPr>
            </w:pPr>
            <w:r w:rsidRPr="008A3CA8">
              <w:rPr>
                <w:rFonts w:cs="TimesNewRomanPS-BoldMT"/>
              </w:rPr>
              <w:t xml:space="preserve">How was eschatology utilised to assert the concept of </w:t>
            </w:r>
            <w:r w:rsidRPr="008A3CA8">
              <w:rPr>
                <w:rFonts w:cs="TimesNewRomanPS-BoldMT"/>
                <w:i/>
                <w:iCs/>
              </w:rPr>
              <w:t xml:space="preserve">I'jāz </w:t>
            </w:r>
            <w:r w:rsidRPr="008A3CA8">
              <w:rPr>
                <w:rFonts w:cs="TimesNewRomanPS-BoldMT"/>
              </w:rPr>
              <w:t xml:space="preserve">or the inimitability of the Qur'ān and Prophetic </w:t>
            </w:r>
            <w:r w:rsidRPr="008A3CA8">
              <w:rPr>
                <w:rFonts w:cs="TimesNewRomanPS-BoldMT"/>
                <w:i/>
                <w:iCs/>
              </w:rPr>
              <w:t>ḥadīth</w:t>
            </w:r>
            <w:r w:rsidRPr="008A3CA8">
              <w:rPr>
                <w:rFonts w:cs="TimesNewRomanPS-BoldMT"/>
              </w:rPr>
              <w:t>?</w:t>
            </w:r>
          </w:p>
          <w:p w:rsidR="00FF1BA2" w:rsidRPr="00B51D28" w:rsidRDefault="00FF1BA2" w:rsidP="00670D42">
            <w:pPr>
              <w:rPr>
                <w:rFonts w:ascii="Arial" w:hAnsi="Arial" w:cs="Arial"/>
              </w:rPr>
            </w:pPr>
          </w:p>
          <w:p w:rsidR="00FF1BA2" w:rsidRPr="001F5503" w:rsidRDefault="00FF1BA2" w:rsidP="00670D42">
            <w:pPr>
              <w:rPr>
                <w:rFonts w:ascii="Arial" w:hAnsi="Arial" w:cs="Arial"/>
              </w:rPr>
            </w:pPr>
          </w:p>
          <w:p w:rsidR="00FF1BA2" w:rsidRPr="001F5503" w:rsidRDefault="00FF1BA2" w:rsidP="00670D42">
            <w:pPr>
              <w:rPr>
                <w:rFonts w:ascii="Arial" w:hAnsi="Arial" w:cs="Arial"/>
              </w:rPr>
            </w:pPr>
          </w:p>
        </w:tc>
      </w:tr>
      <w:tr w:rsidR="00FF1BA2" w:rsidRPr="001F5503" w:rsidTr="00670D42">
        <w:tc>
          <w:tcPr>
            <w:tcW w:w="8856" w:type="dxa"/>
          </w:tcPr>
          <w:p w:rsidR="00FF1BA2" w:rsidRPr="001F5503" w:rsidRDefault="00FF1BA2" w:rsidP="00670D42">
            <w:pPr>
              <w:rPr>
                <w:rFonts w:ascii="Arial" w:hAnsi="Arial" w:cs="Arial"/>
              </w:rPr>
            </w:pPr>
            <w:r w:rsidRPr="001F5503">
              <w:rPr>
                <w:rFonts w:ascii="Arial" w:hAnsi="Arial" w:cs="Arial"/>
              </w:rPr>
              <w:lastRenderedPageBreak/>
              <w:t>Abstract (approximately 500 words</w:t>
            </w:r>
            <w:r>
              <w:rPr>
                <w:rFonts w:ascii="Arial" w:hAnsi="Arial" w:cs="Arial"/>
              </w:rPr>
              <w:t>)</w:t>
            </w:r>
            <w:r w:rsidRPr="001F5503">
              <w:rPr>
                <w:rFonts w:ascii="Arial" w:hAnsi="Arial" w:cs="Arial"/>
              </w:rPr>
              <w:t>:</w:t>
            </w:r>
          </w:p>
          <w:p w:rsidR="00FF1BA2" w:rsidRPr="001F5503" w:rsidRDefault="00FF1BA2" w:rsidP="00670D42">
            <w:pPr>
              <w:rPr>
                <w:rFonts w:ascii="Arial" w:hAnsi="Arial" w:cs="Arial"/>
              </w:rPr>
            </w:pPr>
          </w:p>
          <w:p w:rsidR="00FF1BA2" w:rsidRPr="008A3CA8" w:rsidRDefault="00FF1BA2" w:rsidP="00670D42">
            <w:r w:rsidRPr="008A3CA8">
              <w:rPr>
                <w:rFonts w:cs="TimesNewRomanPS-BoldMT"/>
                <w:bCs/>
              </w:rPr>
              <w:t xml:space="preserve">The term eschatology, which is derived from the Greek word </w:t>
            </w:r>
            <w:r w:rsidRPr="008A3CA8">
              <w:rPr>
                <w:rFonts w:cs="TimesNewRomanPS-BoldMT"/>
                <w:bCs/>
                <w:i/>
                <w:iCs/>
              </w:rPr>
              <w:t>εσχατοσ</w:t>
            </w:r>
            <w:r w:rsidRPr="008A3CA8">
              <w:rPr>
                <w:rFonts w:cs="TimesNewRomanPS-BoldMT"/>
                <w:bCs/>
              </w:rPr>
              <w:t xml:space="preserve"> meaning the last or end of time, is used to refer to the study of the final destiny of humankind as stated by </w:t>
            </w:r>
            <w:r w:rsidRPr="008A3CA8">
              <w:rPr>
                <w:rFonts w:cs="TimesNewRomanPS-BoldMT"/>
                <w:bCs/>
                <w:i/>
                <w:iCs/>
              </w:rPr>
              <w:t>Oxford Dictionary of English</w:t>
            </w:r>
            <w:r w:rsidRPr="008A3CA8">
              <w:rPr>
                <w:rFonts w:cs="TimesNewRomanPS-BoldMT"/>
                <w:bCs/>
              </w:rPr>
              <w:t>.</w:t>
            </w:r>
            <w:r w:rsidRPr="008A3CA8">
              <w:rPr>
                <w:rStyle w:val="FootnoteReference"/>
                <w:rFonts w:cs="TimesNewRomanPS-BoldMT"/>
                <w:bCs/>
              </w:rPr>
              <w:footnoteReference w:id="264"/>
            </w:r>
            <w:r w:rsidRPr="008A3CA8">
              <w:rPr>
                <w:rFonts w:cs="TimesNewRomanPS-BoldMT"/>
                <w:bCs/>
              </w:rPr>
              <w:t xml:space="preserve"> In Islamic theology, eschatology involves the study of the </w:t>
            </w:r>
            <w:r w:rsidRPr="008A3CA8">
              <w:rPr>
                <w:rFonts w:cs="TimesNewRomanPS-BoldMT"/>
                <w:bCs/>
                <w:i/>
                <w:iCs/>
              </w:rPr>
              <w:t>ashrāṭ</w:t>
            </w:r>
            <w:r w:rsidRPr="008A3CA8">
              <w:rPr>
                <w:rFonts w:cs="TimesNewRomanPS-BoldMT"/>
                <w:bCs/>
              </w:rPr>
              <w:t xml:space="preserve"> (portents) of </w:t>
            </w:r>
            <w:r w:rsidRPr="008A3CA8">
              <w:rPr>
                <w:rFonts w:cs="TimesNewRomanPS-BoldMT"/>
                <w:bCs/>
                <w:i/>
                <w:iCs/>
              </w:rPr>
              <w:t>al-Fitan</w:t>
            </w:r>
            <w:r w:rsidRPr="008A3CA8">
              <w:rPr>
                <w:rFonts w:cs="TimesNewRomanPS-BoldMT"/>
                <w:bCs/>
              </w:rPr>
              <w:t xml:space="preserve"> (tribulations) and </w:t>
            </w:r>
            <w:r w:rsidRPr="008A3CA8">
              <w:rPr>
                <w:rFonts w:cs="TimesNewRomanPS-BoldMT"/>
                <w:bCs/>
                <w:i/>
                <w:iCs/>
              </w:rPr>
              <w:t>al-Malāḥim</w:t>
            </w:r>
            <w:r w:rsidRPr="008A3CA8">
              <w:rPr>
                <w:rFonts w:cs="TimesNewRomanPS-BoldMT"/>
                <w:bCs/>
              </w:rPr>
              <w:t xml:space="preserve"> (final battles) that precede the Day of Judgment, and relies heavily on Qur'ānic verses and Prophetic </w:t>
            </w:r>
            <w:r w:rsidRPr="008A3CA8">
              <w:rPr>
                <w:rFonts w:cs="TimesNewRomanPS-BoldMT"/>
                <w:bCs/>
                <w:i/>
                <w:iCs/>
              </w:rPr>
              <w:t>ḥadīth</w:t>
            </w:r>
            <w:r w:rsidRPr="008A3CA8">
              <w:rPr>
                <w:rFonts w:cs="TimesNewRomanPS-BoldMT"/>
                <w:bCs/>
              </w:rPr>
              <w:t xml:space="preserve"> </w:t>
            </w:r>
            <w:r w:rsidRPr="008A3CA8">
              <w:t xml:space="preserve">(sayings and deeds of the prophet Muḥammad). </w:t>
            </w:r>
            <w:r w:rsidRPr="008A3CA8">
              <w:rPr>
                <w:i/>
                <w:iCs/>
              </w:rPr>
              <w:t>Ḥadīth</w:t>
            </w:r>
            <w:r w:rsidRPr="008A3CA8">
              <w:t xml:space="preserve"> compiler al-Tirmidhī (824-992 CE) wrote that the prophet Muḥammad said, 'Whoever wishes to look at the Day of Resurrection, as if he is seeing it with </w:t>
            </w:r>
            <w:r w:rsidRPr="008A3CA8">
              <w:lastRenderedPageBreak/>
              <w:t>this eye, then let him recite: "When the sun is darkened [the Darkening]" and "When the heaven is cleft sunder [the Cleaving]" and "When the heaven is split asunder [the Sundering]."'</w:t>
            </w:r>
            <w:r w:rsidRPr="008A3CA8">
              <w:rPr>
                <w:rStyle w:val="FootnoteReference"/>
              </w:rPr>
              <w:footnoteReference w:id="265"/>
            </w:r>
            <w:r w:rsidRPr="008A3CA8">
              <w:t xml:space="preserve"> In the Chapter on the Darkening (</w:t>
            </w:r>
            <w:r w:rsidRPr="008A3CA8">
              <w:rPr>
                <w:i/>
                <w:iCs/>
              </w:rPr>
              <w:t>al-Takwīr</w:t>
            </w:r>
            <w:r w:rsidRPr="008A3CA8">
              <w:t xml:space="preserve">), one reads an intense depiction of a turbulent cosmic apocalypse that leads to the end of the world: </w:t>
            </w:r>
          </w:p>
          <w:p w:rsidR="00FF1BA2" w:rsidRPr="008A3CA8" w:rsidRDefault="00FF1BA2" w:rsidP="00670D42">
            <w:pPr>
              <w:rPr>
                <w:rFonts w:cs="TimesNewRomanPS-BoldMT"/>
                <w:bCs/>
              </w:rPr>
            </w:pPr>
          </w:p>
          <w:p w:rsidR="00FF1BA2" w:rsidRPr="008A3CA8" w:rsidRDefault="00FF1BA2" w:rsidP="00670D42">
            <w:pPr>
              <w:ind w:left="720"/>
              <w:rPr>
                <w:rFonts w:cs="TimesNewRomanPS-BoldMT"/>
              </w:rPr>
            </w:pPr>
            <w:r w:rsidRPr="008A3CA8">
              <w:rPr>
                <w:rFonts w:cs="TimesNewRomanPS-BoldMT"/>
              </w:rPr>
              <w:t>When the sun is darkened,</w:t>
            </w:r>
          </w:p>
          <w:p w:rsidR="00FF1BA2" w:rsidRPr="008A3CA8" w:rsidRDefault="00FF1BA2" w:rsidP="00670D42">
            <w:pPr>
              <w:ind w:left="720"/>
              <w:rPr>
                <w:rFonts w:cs="TimesNewRomanPS-BoldMT"/>
              </w:rPr>
            </w:pPr>
            <w:r w:rsidRPr="008A3CA8">
              <w:rPr>
                <w:rFonts w:cs="TimesNewRomanPS-BoldMT"/>
              </w:rPr>
              <w:t>And when the stars fall,</w:t>
            </w:r>
          </w:p>
          <w:p w:rsidR="00FF1BA2" w:rsidRPr="008A3CA8" w:rsidRDefault="00FF1BA2" w:rsidP="00670D42">
            <w:pPr>
              <w:ind w:left="720"/>
              <w:rPr>
                <w:rFonts w:cs="TimesNewRomanPS-BoldMT"/>
              </w:rPr>
            </w:pPr>
            <w:r w:rsidRPr="008A3CA8">
              <w:rPr>
                <w:rFonts w:cs="TimesNewRomanPS-BoldMT"/>
              </w:rPr>
              <w:t>And when the mountains are moved;</w:t>
            </w:r>
          </w:p>
          <w:p w:rsidR="00FF1BA2" w:rsidRPr="008A3CA8" w:rsidRDefault="00FF1BA2" w:rsidP="00670D42">
            <w:pPr>
              <w:ind w:left="720"/>
              <w:rPr>
                <w:rFonts w:cs="TimesNewRomanPS-BoldMT"/>
              </w:rPr>
            </w:pPr>
            <w:r w:rsidRPr="008A3CA8">
              <w:rPr>
                <w:rFonts w:cs="TimesNewRomanPS-BoldMT"/>
              </w:rPr>
              <w:t xml:space="preserve">And when the ten-month pregnant camels are abandoned; </w:t>
            </w:r>
          </w:p>
          <w:p w:rsidR="00FF1BA2" w:rsidRPr="008A3CA8" w:rsidRDefault="00FF1BA2" w:rsidP="00670D42">
            <w:pPr>
              <w:ind w:left="720"/>
              <w:rPr>
                <w:rFonts w:cs="TimesNewRomanPS-BoldMT"/>
              </w:rPr>
            </w:pPr>
            <w:r w:rsidRPr="008A3CA8">
              <w:rPr>
                <w:rFonts w:cs="TimesNewRomanPS-BoldMT"/>
              </w:rPr>
              <w:t xml:space="preserve">And when the wild beasts are herded together; </w:t>
            </w:r>
          </w:p>
          <w:p w:rsidR="00FF1BA2" w:rsidRPr="008A3CA8" w:rsidRDefault="00FF1BA2" w:rsidP="00670D42">
            <w:pPr>
              <w:ind w:left="720"/>
              <w:rPr>
                <w:rFonts w:cs="TimesNewRomanPS-BoldMT"/>
              </w:rPr>
            </w:pPr>
            <w:r w:rsidRPr="008A3CA8">
              <w:rPr>
                <w:rFonts w:cs="TimesNewRomanPS-BoldMT"/>
              </w:rPr>
              <w:t>And when the seas are set boiling,</w:t>
            </w:r>
          </w:p>
          <w:p w:rsidR="00FF1BA2" w:rsidRPr="008A3CA8" w:rsidRDefault="00FF1BA2" w:rsidP="00670D42">
            <w:pPr>
              <w:ind w:left="720"/>
              <w:rPr>
                <w:rFonts w:cs="TimesNewRomanPS-BoldMT"/>
              </w:rPr>
            </w:pPr>
            <w:r w:rsidRPr="008A3CA8">
              <w:rPr>
                <w:rFonts w:cs="TimesNewRomanPS-BoldMT"/>
              </w:rPr>
              <w:t>And when souls are reunited,</w:t>
            </w:r>
          </w:p>
          <w:p w:rsidR="00FF1BA2" w:rsidRPr="008A3CA8" w:rsidRDefault="00FF1BA2" w:rsidP="00670D42">
            <w:pPr>
              <w:ind w:left="720"/>
              <w:rPr>
                <w:rFonts w:cs="TimesNewRomanPS-BoldMT"/>
              </w:rPr>
            </w:pPr>
            <w:r w:rsidRPr="008A3CA8">
              <w:rPr>
                <w:rFonts w:cs="TimesNewRomanPS-BoldMT"/>
              </w:rPr>
              <w:t>And when the girl-child that was buried alive is asked:</w:t>
            </w:r>
          </w:p>
          <w:p w:rsidR="00FF1BA2" w:rsidRPr="008A3CA8" w:rsidRDefault="00FF1BA2" w:rsidP="00670D42">
            <w:pPr>
              <w:ind w:left="720"/>
              <w:rPr>
                <w:rFonts w:cs="TimesNewRomanPS-BoldMT"/>
              </w:rPr>
            </w:pPr>
            <w:r w:rsidRPr="008A3CA8">
              <w:rPr>
                <w:rFonts w:cs="TimesNewRomanPS-BoldMT"/>
              </w:rPr>
              <w:t>"For what sin she was slain?"</w:t>
            </w:r>
          </w:p>
          <w:p w:rsidR="00FF1BA2" w:rsidRPr="008A3CA8" w:rsidRDefault="00FF1BA2" w:rsidP="00670D42">
            <w:pPr>
              <w:ind w:left="720"/>
              <w:rPr>
                <w:rFonts w:cs="TimesNewRomanPS-BoldMT"/>
              </w:rPr>
            </w:pPr>
            <w:r w:rsidRPr="008A3CA8">
              <w:rPr>
                <w:rFonts w:cs="TimesNewRomanPS-BoldMT"/>
              </w:rPr>
              <w:t>And when the records of men's deeds are laid open;</w:t>
            </w:r>
          </w:p>
          <w:p w:rsidR="00FF1BA2" w:rsidRPr="008A3CA8" w:rsidRDefault="00FF1BA2" w:rsidP="00670D42">
            <w:pPr>
              <w:ind w:left="720"/>
              <w:rPr>
                <w:rFonts w:cs="TimesNewRomanPS-BoldMT"/>
              </w:rPr>
            </w:pPr>
            <w:r w:rsidRPr="008A3CA8">
              <w:rPr>
                <w:rFonts w:cs="TimesNewRomanPS-BoldMT"/>
              </w:rPr>
              <w:t>And when the sky is torn away;</w:t>
            </w:r>
          </w:p>
          <w:p w:rsidR="00FF1BA2" w:rsidRPr="008A3CA8" w:rsidRDefault="00FF1BA2" w:rsidP="00670D42">
            <w:pPr>
              <w:ind w:left="720"/>
              <w:rPr>
                <w:rFonts w:cs="TimesNewRomanPS-BoldMT"/>
              </w:rPr>
            </w:pPr>
            <w:r w:rsidRPr="008A3CA8">
              <w:rPr>
                <w:rFonts w:cs="TimesNewRomanPS-BoldMT"/>
              </w:rPr>
              <w:t xml:space="preserve">And when the hell is set blazing; </w:t>
            </w:r>
          </w:p>
          <w:p w:rsidR="00FF1BA2" w:rsidRPr="008A3CA8" w:rsidRDefault="00FF1BA2" w:rsidP="00670D42">
            <w:pPr>
              <w:ind w:left="720"/>
              <w:rPr>
                <w:rFonts w:cs="TimesNewRomanPS-BoldMT"/>
              </w:rPr>
            </w:pPr>
            <w:r w:rsidRPr="008A3CA8">
              <w:rPr>
                <w:rFonts w:cs="TimesNewRomanPS-BoldMT"/>
              </w:rPr>
              <w:t>And when the Garden is brought near;</w:t>
            </w:r>
          </w:p>
          <w:p w:rsidR="00FF1BA2" w:rsidRDefault="00FF1BA2" w:rsidP="00670D42">
            <w:pPr>
              <w:ind w:left="720"/>
              <w:rPr>
                <w:rFonts w:cs="TimesNewRomanPS-BoldMT"/>
              </w:rPr>
            </w:pPr>
            <w:r w:rsidRPr="008A3CA8">
              <w:rPr>
                <w:rFonts w:cs="TimesNewRomanPS-BoldMT"/>
              </w:rPr>
              <w:t>Then every soul will know what it has brought.</w:t>
            </w:r>
            <w:r w:rsidRPr="008A3CA8">
              <w:rPr>
                <w:rStyle w:val="FootnoteReference"/>
                <w:rFonts w:cs="TimesNewRomanPS-BoldMT"/>
              </w:rPr>
              <w:footnoteReference w:id="266"/>
            </w:r>
          </w:p>
          <w:p w:rsidR="00FF1BA2" w:rsidRPr="00C30427" w:rsidRDefault="00FF1BA2" w:rsidP="00670D42">
            <w:pPr>
              <w:rPr>
                <w:rFonts w:cs="TimesNewRomanPS-BoldMT"/>
                <w:bCs/>
              </w:rPr>
            </w:pPr>
          </w:p>
          <w:p w:rsidR="00FF1BA2" w:rsidRPr="001F5503" w:rsidRDefault="00FF1BA2" w:rsidP="00670D42">
            <w:pPr>
              <w:rPr>
                <w:rFonts w:ascii="Arial" w:hAnsi="Arial" w:cs="Arial"/>
              </w:rPr>
            </w:pPr>
          </w:p>
          <w:p w:rsidR="00FF1BA2" w:rsidRPr="008A3CA8" w:rsidRDefault="00FF1BA2" w:rsidP="00670D42">
            <w:pPr>
              <w:rPr>
                <w:rFonts w:cs="TimesNewRomanPSMT"/>
              </w:rPr>
            </w:pPr>
            <w:r w:rsidRPr="008A3CA8">
              <w:rPr>
                <w:rFonts w:cs="TimesNewRomanPSMT"/>
              </w:rPr>
              <w:t>T</w:t>
            </w:r>
            <w:r w:rsidRPr="008A3CA8">
              <w:t xml:space="preserve">his dissertation will focus on the cosmic portents that signal </w:t>
            </w:r>
            <w:r w:rsidRPr="008A3CA8">
              <w:rPr>
                <w:i/>
                <w:iCs/>
              </w:rPr>
              <w:t>al-Sā'ah</w:t>
            </w:r>
            <w:r w:rsidRPr="008A3CA8">
              <w:t xml:space="preserve"> (the Last Hour) mentioned in the Qur'ān and </w:t>
            </w:r>
            <w:r w:rsidRPr="008A3CA8">
              <w:rPr>
                <w:i/>
                <w:iCs/>
              </w:rPr>
              <w:t>ḥadīth</w:t>
            </w:r>
            <w:r w:rsidRPr="008A3CA8">
              <w:rPr>
                <w:rFonts w:cs="TimesNewRomanPSMT"/>
              </w:rPr>
              <w:t>. After first examining the classical traditional accounts of cosmogony in the classical works of Muslim scholars, Haslin Hasan and Ab. Hafiz Mat Tuah studied how modern science influenced modern Qur'ānic interpretation of cosmogony.</w:t>
            </w:r>
            <w:r w:rsidRPr="008A3CA8">
              <w:rPr>
                <w:rStyle w:val="FootnoteReference"/>
                <w:rFonts w:cs="TimesNewRomanPSMT"/>
              </w:rPr>
              <w:footnoteReference w:id="267"/>
            </w:r>
            <w:r w:rsidRPr="008A3CA8">
              <w:rPr>
                <w:rFonts w:cs="TimesNewRomanPSMT"/>
              </w:rPr>
              <w:t xml:space="preserve"> A similar approach will be applied in this paper, starting with an exploration of </w:t>
            </w:r>
            <w:r w:rsidRPr="008A3CA8">
              <w:t xml:space="preserve">different eschatological narratives found in medieval exegeses belonging to the traditional, rational and Sufi schools of thought. This paper will also study cosmic eschatological events as mentioned in medieval books belonging to the genre of </w:t>
            </w:r>
            <w:r w:rsidRPr="008A3CA8">
              <w:rPr>
                <w:i/>
                <w:iCs/>
              </w:rPr>
              <w:t>al-Fitan wal-Malāḥim</w:t>
            </w:r>
            <w:r w:rsidRPr="008A3CA8">
              <w:t xml:space="preserve"> (the Tribulations and Final Battles). This paper will then investigate how latest scientific findings have influenced, modified or changed the modern 'scientific' interpretation of eschatological and apocalyptic passages in </w:t>
            </w:r>
            <w:r w:rsidRPr="008A3CA8">
              <w:rPr>
                <w:rFonts w:cs="TimesNewRomanPSMT"/>
              </w:rPr>
              <w:t xml:space="preserve">Qur'ān and </w:t>
            </w:r>
            <w:r w:rsidRPr="008A3CA8">
              <w:rPr>
                <w:rFonts w:cs="TimesNewRomanPSMT"/>
                <w:i/>
                <w:iCs/>
              </w:rPr>
              <w:t>ḥadīth</w:t>
            </w:r>
            <w:r w:rsidRPr="008A3CA8">
              <w:rPr>
                <w:rFonts w:cs="TimesNewRomanPSMT"/>
              </w:rPr>
              <w:t>. The dissertation will focus on cosmic apocalyptic events related to the sun, moon, stars, planets and the sky:</w:t>
            </w:r>
          </w:p>
          <w:p w:rsidR="00FF1BA2" w:rsidRPr="008A3CA8" w:rsidRDefault="00FF1BA2" w:rsidP="00670D42">
            <w:pPr>
              <w:rPr>
                <w:rFonts w:cs="TimesNewRomanPS-BoldMT"/>
              </w:rPr>
            </w:pPr>
          </w:p>
          <w:p w:rsidR="00FF1BA2" w:rsidRPr="008A3CA8" w:rsidRDefault="00FF1BA2" w:rsidP="00670D42">
            <w:pPr>
              <w:pStyle w:val="ListParagraph"/>
              <w:numPr>
                <w:ilvl w:val="0"/>
                <w:numId w:val="5"/>
              </w:numPr>
              <w:spacing w:line="240" w:lineRule="auto"/>
              <w:rPr>
                <w:rFonts w:cs="TimesNewRomanPS-BoldMT"/>
              </w:rPr>
            </w:pPr>
            <w:r w:rsidRPr="008A3CA8">
              <w:rPr>
                <w:rFonts w:cs="TimesNewRomanPS-BoldMT"/>
              </w:rPr>
              <w:t>Sun:</w:t>
            </w:r>
          </w:p>
          <w:p w:rsidR="00FF1BA2" w:rsidRPr="008A3CA8" w:rsidRDefault="00FF1BA2" w:rsidP="00670D42">
            <w:pPr>
              <w:pStyle w:val="ListParagraph"/>
              <w:numPr>
                <w:ilvl w:val="1"/>
                <w:numId w:val="5"/>
              </w:numPr>
              <w:spacing w:line="240" w:lineRule="auto"/>
              <w:ind w:left="1080"/>
              <w:rPr>
                <w:rFonts w:cs="TimesNewRomanPS-BoldMT"/>
              </w:rPr>
            </w:pPr>
            <w:r w:rsidRPr="008A3CA8">
              <w:rPr>
                <w:rFonts w:cs="TimesNewRomanPS-BoldMT"/>
              </w:rPr>
              <w:t>The rising of the sun from the west</w:t>
            </w:r>
          </w:p>
          <w:p w:rsidR="00FF1BA2" w:rsidRPr="008A3CA8" w:rsidRDefault="00FF1BA2" w:rsidP="00670D42">
            <w:pPr>
              <w:pStyle w:val="ListParagraph"/>
              <w:numPr>
                <w:ilvl w:val="1"/>
                <w:numId w:val="5"/>
              </w:numPr>
              <w:spacing w:line="240" w:lineRule="auto"/>
              <w:ind w:left="1080"/>
              <w:rPr>
                <w:rFonts w:cs="TimesNewRomanPS-BoldMT"/>
              </w:rPr>
            </w:pPr>
            <w:r w:rsidRPr="008A3CA8">
              <w:rPr>
                <w:rFonts w:cs="TimesNewRomanPS-BoldMT"/>
              </w:rPr>
              <w:lastRenderedPageBreak/>
              <w:t>The darkening of the sun</w:t>
            </w:r>
          </w:p>
          <w:p w:rsidR="00FF1BA2" w:rsidRPr="008A3CA8" w:rsidRDefault="00FF1BA2" w:rsidP="00670D42">
            <w:pPr>
              <w:pStyle w:val="ListParagraph"/>
              <w:numPr>
                <w:ilvl w:val="1"/>
                <w:numId w:val="5"/>
              </w:numPr>
              <w:spacing w:line="240" w:lineRule="auto"/>
              <w:ind w:left="1080"/>
              <w:rPr>
                <w:rFonts w:cs="TimesNewRomanPS-BoldMT"/>
              </w:rPr>
            </w:pPr>
            <w:r w:rsidRPr="008A3CA8">
              <w:rPr>
                <w:rFonts w:cs="TimesNewRomanPS-BoldMT"/>
              </w:rPr>
              <w:t>The 'conjunction' of the sun and the moon</w:t>
            </w:r>
          </w:p>
          <w:p w:rsidR="00FF1BA2" w:rsidRPr="008A3CA8" w:rsidRDefault="00FF1BA2" w:rsidP="00670D42">
            <w:pPr>
              <w:pStyle w:val="ListParagraph"/>
              <w:spacing w:line="240" w:lineRule="auto"/>
              <w:ind w:left="1080"/>
              <w:rPr>
                <w:rFonts w:cs="TimesNewRomanPS-BoldMT"/>
              </w:rPr>
            </w:pPr>
          </w:p>
          <w:p w:rsidR="00FF1BA2" w:rsidRPr="008A3CA8" w:rsidRDefault="00FF1BA2" w:rsidP="00670D42">
            <w:pPr>
              <w:pStyle w:val="ListParagraph"/>
              <w:numPr>
                <w:ilvl w:val="0"/>
                <w:numId w:val="5"/>
              </w:numPr>
              <w:spacing w:line="240" w:lineRule="auto"/>
              <w:rPr>
                <w:rFonts w:cs="TimesNewRomanPS-BoldMT"/>
              </w:rPr>
            </w:pPr>
            <w:r w:rsidRPr="008A3CA8">
              <w:rPr>
                <w:rFonts w:cs="TimesNewRomanPS-BoldMT"/>
              </w:rPr>
              <w:t>Moon:</w:t>
            </w:r>
          </w:p>
          <w:p w:rsidR="00FF1BA2" w:rsidRPr="008A3CA8" w:rsidRDefault="00FF1BA2" w:rsidP="00670D42">
            <w:pPr>
              <w:pStyle w:val="ListParagraph"/>
              <w:numPr>
                <w:ilvl w:val="0"/>
                <w:numId w:val="6"/>
              </w:numPr>
              <w:spacing w:line="240" w:lineRule="auto"/>
              <w:ind w:left="1080"/>
              <w:rPr>
                <w:rFonts w:cs="TimesNewRomanPS-BoldMT"/>
              </w:rPr>
            </w:pPr>
            <w:r w:rsidRPr="008A3CA8">
              <w:rPr>
                <w:rFonts w:cs="TimesNewRomanPS-BoldMT"/>
              </w:rPr>
              <w:t>The splitting of the moon</w:t>
            </w:r>
          </w:p>
          <w:p w:rsidR="00FF1BA2" w:rsidRPr="008A3CA8" w:rsidRDefault="00FF1BA2" w:rsidP="00670D42">
            <w:pPr>
              <w:pStyle w:val="ListParagraph"/>
              <w:numPr>
                <w:ilvl w:val="0"/>
                <w:numId w:val="6"/>
              </w:numPr>
              <w:spacing w:line="240" w:lineRule="auto"/>
              <w:ind w:left="1080"/>
              <w:rPr>
                <w:rFonts w:cs="TimesNewRomanPS-BoldMT"/>
              </w:rPr>
            </w:pPr>
            <w:r w:rsidRPr="008A3CA8">
              <w:rPr>
                <w:rFonts w:cs="TimesNewRomanPS-BoldMT"/>
              </w:rPr>
              <w:t>The 'swollen' crescents</w:t>
            </w:r>
          </w:p>
          <w:p w:rsidR="00FF1BA2" w:rsidRPr="008A3CA8" w:rsidRDefault="00FF1BA2" w:rsidP="00670D42">
            <w:pPr>
              <w:pStyle w:val="ListParagraph"/>
              <w:numPr>
                <w:ilvl w:val="0"/>
                <w:numId w:val="6"/>
              </w:numPr>
              <w:spacing w:line="240" w:lineRule="auto"/>
              <w:ind w:left="1080"/>
              <w:rPr>
                <w:rFonts w:cs="TimesNewRomanPS-BoldMT"/>
              </w:rPr>
            </w:pPr>
            <w:r w:rsidRPr="008A3CA8">
              <w:rPr>
                <w:rFonts w:cs="TimesNewRomanPS-BoldMT"/>
              </w:rPr>
              <w:t>The lunar eclipse</w:t>
            </w:r>
          </w:p>
          <w:p w:rsidR="00FF1BA2" w:rsidRPr="008A3CA8" w:rsidRDefault="00FF1BA2" w:rsidP="00670D42">
            <w:pPr>
              <w:pStyle w:val="ListParagraph"/>
              <w:numPr>
                <w:ilvl w:val="0"/>
                <w:numId w:val="6"/>
              </w:numPr>
              <w:spacing w:line="240" w:lineRule="auto"/>
              <w:ind w:left="1080"/>
              <w:rPr>
                <w:rFonts w:cs="TimesNewRomanPS-BoldMT"/>
              </w:rPr>
            </w:pPr>
            <w:r w:rsidRPr="008A3CA8">
              <w:rPr>
                <w:rFonts w:cs="TimesNewRomanPS-BoldMT"/>
              </w:rPr>
              <w:t>The 'shattering' and disappearance of the moon</w:t>
            </w:r>
          </w:p>
          <w:p w:rsidR="00FF1BA2" w:rsidRPr="008A3CA8" w:rsidRDefault="00FF1BA2" w:rsidP="00670D42">
            <w:pPr>
              <w:pStyle w:val="ListParagraph"/>
              <w:spacing w:line="240" w:lineRule="auto"/>
              <w:ind w:left="1080"/>
              <w:rPr>
                <w:rFonts w:cs="TimesNewRomanPS-BoldMT"/>
              </w:rPr>
            </w:pPr>
          </w:p>
          <w:p w:rsidR="00FF1BA2" w:rsidRPr="008A3CA8" w:rsidRDefault="00FF1BA2" w:rsidP="00670D42">
            <w:pPr>
              <w:pStyle w:val="ListParagraph"/>
              <w:numPr>
                <w:ilvl w:val="0"/>
                <w:numId w:val="5"/>
              </w:numPr>
              <w:spacing w:line="240" w:lineRule="auto"/>
              <w:rPr>
                <w:rFonts w:cs="TimesNewRomanPS-BoldMT"/>
              </w:rPr>
            </w:pPr>
            <w:r w:rsidRPr="008A3CA8">
              <w:rPr>
                <w:rFonts w:cs="TimesNewRomanPS-BoldMT"/>
              </w:rPr>
              <w:t>Planets, stars and meteors:</w:t>
            </w:r>
          </w:p>
          <w:p w:rsidR="00FF1BA2" w:rsidRPr="008A3CA8" w:rsidRDefault="00FF1BA2" w:rsidP="00670D42">
            <w:pPr>
              <w:pStyle w:val="ListParagraph"/>
              <w:numPr>
                <w:ilvl w:val="0"/>
                <w:numId w:val="7"/>
              </w:numPr>
              <w:spacing w:line="240" w:lineRule="auto"/>
              <w:ind w:left="1080"/>
              <w:rPr>
                <w:rFonts w:cs="TimesNewRomanPS-BoldMT"/>
              </w:rPr>
            </w:pPr>
            <w:r w:rsidRPr="008A3CA8">
              <w:rPr>
                <w:rFonts w:cs="TimesNewRomanPS-BoldMT"/>
              </w:rPr>
              <w:t>The appearance of a planet with a 'tail' – a comet?</w:t>
            </w:r>
          </w:p>
          <w:p w:rsidR="00FF1BA2" w:rsidRPr="008A3CA8" w:rsidRDefault="00FF1BA2" w:rsidP="00670D42">
            <w:pPr>
              <w:pStyle w:val="ListParagraph"/>
              <w:numPr>
                <w:ilvl w:val="0"/>
                <w:numId w:val="7"/>
              </w:numPr>
              <w:spacing w:line="240" w:lineRule="auto"/>
              <w:ind w:left="1080"/>
              <w:rPr>
                <w:rFonts w:cs="TimesNewRomanPS-BoldMT"/>
              </w:rPr>
            </w:pPr>
            <w:r w:rsidRPr="008A3CA8">
              <w:rPr>
                <w:rFonts w:cs="TimesNewRomanPS-BoldMT"/>
              </w:rPr>
              <w:t>Heavenly bodies (meteors?) hitting people</w:t>
            </w:r>
          </w:p>
          <w:p w:rsidR="00FF1BA2" w:rsidRPr="008A3CA8" w:rsidRDefault="00FF1BA2" w:rsidP="00670D42">
            <w:pPr>
              <w:pStyle w:val="ListParagraph"/>
              <w:numPr>
                <w:ilvl w:val="0"/>
                <w:numId w:val="7"/>
              </w:numPr>
              <w:spacing w:line="240" w:lineRule="auto"/>
              <w:ind w:left="1080"/>
              <w:rPr>
                <w:rFonts w:cs="TimesNewRomanPS-BoldMT"/>
              </w:rPr>
            </w:pPr>
            <w:r w:rsidRPr="008A3CA8">
              <w:rPr>
                <w:rFonts w:cs="TimesNewRomanPS-BoldMT"/>
              </w:rPr>
              <w:t>The scattering of the stars and the planets</w:t>
            </w:r>
          </w:p>
          <w:p w:rsidR="00FF1BA2" w:rsidRPr="008A3CA8" w:rsidRDefault="00FF1BA2" w:rsidP="00670D42">
            <w:pPr>
              <w:pStyle w:val="ListParagraph"/>
              <w:numPr>
                <w:ilvl w:val="0"/>
                <w:numId w:val="7"/>
              </w:numPr>
              <w:spacing w:line="240" w:lineRule="auto"/>
              <w:ind w:left="1080"/>
              <w:rPr>
                <w:rFonts w:cs="TimesNewRomanPS-BoldMT"/>
              </w:rPr>
            </w:pPr>
            <w:r w:rsidRPr="008A3CA8">
              <w:rPr>
                <w:rFonts w:cs="TimesNewRomanPS-BoldMT"/>
              </w:rPr>
              <w:t>The fading away of the stars</w:t>
            </w:r>
          </w:p>
          <w:p w:rsidR="00FF1BA2" w:rsidRPr="008A3CA8" w:rsidRDefault="00FF1BA2" w:rsidP="00670D42">
            <w:pPr>
              <w:pStyle w:val="ListParagraph"/>
              <w:spacing w:line="240" w:lineRule="auto"/>
              <w:ind w:left="1080"/>
              <w:rPr>
                <w:rFonts w:cs="TimesNewRomanPS-BoldMT"/>
              </w:rPr>
            </w:pPr>
          </w:p>
          <w:p w:rsidR="00FF1BA2" w:rsidRPr="008A3CA8" w:rsidRDefault="00FF1BA2" w:rsidP="00670D42">
            <w:pPr>
              <w:pStyle w:val="ListParagraph"/>
              <w:numPr>
                <w:ilvl w:val="0"/>
                <w:numId w:val="5"/>
              </w:numPr>
              <w:spacing w:line="240" w:lineRule="auto"/>
              <w:rPr>
                <w:rFonts w:cs="TimesNewRomanPS-BoldMT"/>
              </w:rPr>
            </w:pPr>
            <w:r w:rsidRPr="008A3CA8">
              <w:rPr>
                <w:rFonts w:cs="TimesNewRomanPS-BoldMT"/>
              </w:rPr>
              <w:t>Sky:</w:t>
            </w:r>
          </w:p>
          <w:p w:rsidR="00FF1BA2" w:rsidRPr="008A3CA8" w:rsidRDefault="00FF1BA2" w:rsidP="00670D42">
            <w:pPr>
              <w:pStyle w:val="ListParagraph"/>
              <w:numPr>
                <w:ilvl w:val="1"/>
                <w:numId w:val="5"/>
              </w:numPr>
              <w:spacing w:line="240" w:lineRule="auto"/>
              <w:ind w:left="1080"/>
              <w:rPr>
                <w:rFonts w:cs="TimesNewRomanPS-BoldMT"/>
              </w:rPr>
            </w:pPr>
            <w:r w:rsidRPr="008A3CA8">
              <w:rPr>
                <w:rFonts w:cs="TimesNewRomanPS-BoldMT"/>
              </w:rPr>
              <w:t>A 'smoke' from the sky</w:t>
            </w:r>
          </w:p>
          <w:p w:rsidR="00FF1BA2" w:rsidRPr="008A3CA8" w:rsidRDefault="00FF1BA2" w:rsidP="00670D42">
            <w:pPr>
              <w:pStyle w:val="ListParagraph"/>
              <w:numPr>
                <w:ilvl w:val="1"/>
                <w:numId w:val="5"/>
              </w:numPr>
              <w:spacing w:line="240" w:lineRule="auto"/>
              <w:ind w:left="1080"/>
              <w:rPr>
                <w:rFonts w:cs="TimesNewRomanPS-BoldMT"/>
              </w:rPr>
            </w:pPr>
            <w:r w:rsidRPr="008A3CA8">
              <w:rPr>
                <w:rFonts w:cs="TimesNewRomanPS-BoldMT"/>
              </w:rPr>
              <w:t>The splitting of the sky</w:t>
            </w:r>
          </w:p>
          <w:p w:rsidR="00FF1BA2" w:rsidRPr="008A3CA8" w:rsidRDefault="00FF1BA2" w:rsidP="00670D42">
            <w:pPr>
              <w:pStyle w:val="ListParagraph"/>
              <w:numPr>
                <w:ilvl w:val="1"/>
                <w:numId w:val="5"/>
              </w:numPr>
              <w:spacing w:line="240" w:lineRule="auto"/>
              <w:ind w:left="1080"/>
              <w:rPr>
                <w:rFonts w:cs="TimesNewRomanPS-BoldMT"/>
              </w:rPr>
            </w:pPr>
            <w:r w:rsidRPr="008A3CA8">
              <w:rPr>
                <w:rFonts w:cs="TimesNewRomanPS-BoldMT"/>
              </w:rPr>
              <w:t>The 'wavering' and 'melting' of the sky</w:t>
            </w:r>
          </w:p>
          <w:p w:rsidR="00FF1BA2" w:rsidRPr="008A3CA8" w:rsidRDefault="00FF1BA2" w:rsidP="00670D42">
            <w:pPr>
              <w:pStyle w:val="ListParagraph"/>
              <w:numPr>
                <w:ilvl w:val="1"/>
                <w:numId w:val="5"/>
              </w:numPr>
              <w:spacing w:line="240" w:lineRule="auto"/>
              <w:ind w:left="1080"/>
              <w:rPr>
                <w:rFonts w:cs="TimesNewRomanPS-BoldMT"/>
              </w:rPr>
            </w:pPr>
            <w:r w:rsidRPr="008A3CA8">
              <w:rPr>
                <w:rFonts w:cs="TimesNewRomanPS-BoldMT"/>
              </w:rPr>
              <w:t>The sky becoming red in colour like a 'rose'</w:t>
            </w:r>
          </w:p>
          <w:p w:rsidR="00FF1BA2" w:rsidRPr="00C30427" w:rsidRDefault="00FF1BA2" w:rsidP="00670D42">
            <w:pPr>
              <w:rPr>
                <w:rFonts w:ascii="Arial" w:hAnsi="Arial" w:cs="Arial"/>
              </w:rPr>
            </w:pPr>
          </w:p>
          <w:p w:rsidR="00FF1BA2" w:rsidRPr="001F5503" w:rsidRDefault="00FF1BA2" w:rsidP="00670D42">
            <w:pPr>
              <w:rPr>
                <w:rFonts w:ascii="Arial" w:hAnsi="Arial" w:cs="Arial"/>
              </w:rPr>
            </w:pPr>
          </w:p>
        </w:tc>
      </w:tr>
      <w:tr w:rsidR="00FF1BA2" w:rsidRPr="001F5503" w:rsidTr="00670D42">
        <w:tc>
          <w:tcPr>
            <w:tcW w:w="8856" w:type="dxa"/>
          </w:tcPr>
          <w:p w:rsidR="00FF1BA2" w:rsidRPr="00F048F3" w:rsidRDefault="00FF1BA2" w:rsidP="00670D42">
            <w:pPr>
              <w:rPr>
                <w:rFonts w:ascii="Arial" w:hAnsi="Arial" w:cs="Arial"/>
              </w:rPr>
            </w:pPr>
            <w:r w:rsidRPr="001F5503">
              <w:rPr>
                <w:rFonts w:ascii="Arial" w:hAnsi="Arial" w:cs="Arial"/>
              </w:rPr>
              <w:lastRenderedPageBreak/>
              <w:t>Short Introductory Bibliography:</w:t>
            </w:r>
          </w:p>
          <w:p w:rsidR="00FF1BA2" w:rsidRPr="008A3CA8" w:rsidRDefault="00FF1BA2" w:rsidP="00670D42">
            <w:pPr>
              <w:rPr>
                <w:rFonts w:cs="Arial"/>
              </w:rPr>
            </w:pPr>
          </w:p>
          <w:p w:rsidR="00FF1BA2" w:rsidRPr="00F048F3" w:rsidRDefault="00FF1BA2" w:rsidP="00670D42">
            <w:pPr>
              <w:pStyle w:val="NormalWeb"/>
              <w:bidi/>
              <w:spacing w:before="0" w:beforeAutospacing="0" w:after="0" w:afterAutospacing="0"/>
              <w:ind w:left="450" w:hanging="450"/>
              <w:jc w:val="center"/>
              <w:rPr>
                <w:rFonts w:ascii="Calibri" w:hAnsi="Calibri"/>
                <w:b/>
                <w:bCs/>
                <w:lang w:bidi="ar-AE"/>
              </w:rPr>
            </w:pPr>
            <w:r w:rsidRPr="00F048F3">
              <w:rPr>
                <w:rFonts w:ascii="Calibri" w:hAnsi="Calibri"/>
                <w:b/>
                <w:bCs/>
                <w:lang w:bidi="ar-AE"/>
              </w:rPr>
              <w:t xml:space="preserve">Books on the Last Day Portents, Tribulations and Battles </w:t>
            </w:r>
          </w:p>
          <w:p w:rsidR="00FF1BA2" w:rsidRPr="00F048F3" w:rsidRDefault="00FF1BA2" w:rsidP="00670D42">
            <w:pPr>
              <w:pStyle w:val="NormalWeb"/>
              <w:spacing w:before="0" w:beforeAutospacing="0" w:after="0" w:afterAutospacing="0"/>
              <w:rPr>
                <w:rFonts w:ascii="Calibri" w:eastAsia="Calibri" w:hAnsi="Calibri" w:cs="Arial"/>
                <w:b/>
                <w:bCs/>
                <w:sz w:val="22"/>
                <w:szCs w:val="22"/>
                <w:lang w:bidi="ar-AE"/>
              </w:rPr>
            </w:pPr>
            <w:r w:rsidRPr="00F048F3">
              <w:rPr>
                <w:rFonts w:ascii="Calibri" w:eastAsia="Calibri" w:hAnsi="Calibri" w:cs="Arial"/>
                <w:b/>
                <w:bCs/>
                <w:sz w:val="22"/>
                <w:szCs w:val="22"/>
                <w:lang w:bidi="ar-AE"/>
              </w:rPr>
              <w:t>d. 843 CE:</w:t>
            </w:r>
          </w:p>
          <w:p w:rsidR="00FF1BA2" w:rsidRPr="00F048F3" w:rsidRDefault="00FF1BA2" w:rsidP="00670D42">
            <w:pPr>
              <w:pStyle w:val="NormalWeb"/>
              <w:spacing w:before="0" w:beforeAutospacing="0" w:after="0" w:afterAutospacing="0"/>
              <w:ind w:left="450" w:hanging="450"/>
              <w:rPr>
                <w:rFonts w:ascii="Calibri" w:eastAsia="Calibri" w:hAnsi="Calibri" w:cs="Arial"/>
                <w:sz w:val="22"/>
                <w:szCs w:val="22"/>
                <w:lang w:bidi="ar-AE"/>
              </w:rPr>
            </w:pPr>
            <w:r w:rsidRPr="00F048F3">
              <w:rPr>
                <w:rFonts w:ascii="Calibri" w:eastAsia="Calibri" w:hAnsi="Calibri" w:cs="Arial"/>
                <w:sz w:val="22"/>
                <w:szCs w:val="22"/>
                <w:lang w:bidi="ar-AE"/>
              </w:rPr>
              <w:t xml:space="preserve">al-Marūzī, Na’īm b. Ḥammād, </w:t>
            </w:r>
            <w:r w:rsidRPr="00F048F3">
              <w:rPr>
                <w:rFonts w:ascii="Calibri" w:eastAsia="Calibri" w:hAnsi="Calibri" w:cs="Arial"/>
                <w:i/>
                <w:iCs/>
                <w:sz w:val="22"/>
                <w:szCs w:val="22"/>
                <w:lang w:bidi="ar-AE"/>
              </w:rPr>
              <w:t>The Book of Tribulations</w:t>
            </w:r>
            <w:r w:rsidRPr="00F048F3">
              <w:rPr>
                <w:rFonts w:ascii="Calibri" w:eastAsia="Calibri" w:hAnsi="Calibri" w:cs="Arial"/>
                <w:sz w:val="22"/>
                <w:szCs w:val="22"/>
                <w:lang w:bidi="ar-AE"/>
              </w:rPr>
              <w:t>, ed. by Suhaīl Zakkār (Beirut: Dār al-Fikr lil-Tibā’ah wal-Nashr wal-Tawzī, 1993)</w:t>
            </w:r>
          </w:p>
          <w:p w:rsidR="00FF1BA2" w:rsidRPr="00F048F3" w:rsidRDefault="00FF1BA2" w:rsidP="00670D42">
            <w:pPr>
              <w:pStyle w:val="NormalWeb"/>
              <w:spacing w:before="0" w:beforeAutospacing="0" w:after="0" w:afterAutospacing="0"/>
              <w:rPr>
                <w:rFonts w:ascii="Calibri" w:eastAsia="Calibri" w:hAnsi="Calibri" w:cs="Arial"/>
                <w:sz w:val="22"/>
                <w:szCs w:val="22"/>
                <w:lang w:bidi="ar-AE"/>
              </w:rPr>
            </w:pP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d. 947 CE:</w:t>
            </w:r>
          </w:p>
          <w:p w:rsidR="00FF1BA2" w:rsidRPr="00F048F3" w:rsidRDefault="00FF1BA2" w:rsidP="00670D42">
            <w:pPr>
              <w:pStyle w:val="NormalWeb"/>
              <w:spacing w:before="0" w:beforeAutospacing="0" w:after="0" w:afterAutospacing="0"/>
              <w:ind w:left="450" w:hanging="450"/>
              <w:rPr>
                <w:rFonts w:ascii="Calibri" w:hAnsi="Calibri"/>
                <w:sz w:val="22"/>
                <w:szCs w:val="22"/>
              </w:rPr>
            </w:pPr>
            <w:r w:rsidRPr="00F048F3">
              <w:rPr>
                <w:rFonts w:ascii="Calibri" w:hAnsi="Calibri"/>
                <w:sz w:val="22"/>
                <w:szCs w:val="22"/>
              </w:rPr>
              <w:t>ibn al-Mun</w:t>
            </w:r>
            <w:r>
              <w:rPr>
                <w:rFonts w:ascii="Calibri" w:hAnsi="Calibri"/>
                <w:sz w:val="22"/>
                <w:szCs w:val="22"/>
              </w:rPr>
              <w:t>ā</w:t>
            </w:r>
            <w:r w:rsidRPr="00F048F3">
              <w:rPr>
                <w:rFonts w:ascii="Calibri" w:hAnsi="Calibri"/>
                <w:sz w:val="22"/>
                <w:szCs w:val="22"/>
              </w:rPr>
              <w:t>d</w:t>
            </w:r>
            <w:r>
              <w:rPr>
                <w:rFonts w:ascii="Calibri" w:hAnsi="Calibri"/>
                <w:sz w:val="22"/>
                <w:szCs w:val="22"/>
              </w:rPr>
              <w:t>ī</w:t>
            </w:r>
            <w:r w:rsidRPr="00F048F3">
              <w:rPr>
                <w:rFonts w:ascii="Calibri" w:hAnsi="Calibri"/>
                <w:sz w:val="22"/>
                <w:szCs w:val="22"/>
              </w:rPr>
              <w:t>, al-</w:t>
            </w:r>
            <w:r>
              <w:rPr>
                <w:rFonts w:ascii="Calibri" w:hAnsi="Calibri"/>
                <w:sz w:val="22"/>
                <w:szCs w:val="22"/>
              </w:rPr>
              <w:t>Ḥ</w:t>
            </w:r>
            <w:r w:rsidRPr="00F048F3">
              <w:rPr>
                <w:rFonts w:ascii="Calibri" w:hAnsi="Calibri"/>
                <w:sz w:val="22"/>
                <w:szCs w:val="22"/>
              </w:rPr>
              <w:t>āfez A</w:t>
            </w:r>
            <w:r>
              <w:rPr>
                <w:rFonts w:ascii="Calibri" w:hAnsi="Calibri"/>
                <w:sz w:val="22"/>
                <w:szCs w:val="22"/>
              </w:rPr>
              <w:t>ḥ</w:t>
            </w:r>
            <w:r w:rsidRPr="00F048F3">
              <w:rPr>
                <w:rFonts w:ascii="Calibri" w:hAnsi="Calibri"/>
                <w:sz w:val="22"/>
                <w:szCs w:val="22"/>
              </w:rPr>
              <w:t xml:space="preserve">mad b. Ja’far, </w:t>
            </w:r>
            <w:r w:rsidRPr="00F048F3">
              <w:rPr>
                <w:rFonts w:ascii="Calibri" w:hAnsi="Calibri"/>
                <w:i/>
                <w:iCs/>
                <w:sz w:val="22"/>
                <w:szCs w:val="22"/>
              </w:rPr>
              <w:t>The Book of Battles</w:t>
            </w:r>
            <w:r w:rsidRPr="00F048F3">
              <w:rPr>
                <w:rFonts w:ascii="Calibri" w:hAnsi="Calibri"/>
                <w:sz w:val="22"/>
                <w:szCs w:val="22"/>
              </w:rPr>
              <w:t>, ed. ‘Abd al-Kar</w:t>
            </w:r>
            <w:r>
              <w:rPr>
                <w:rFonts w:ascii="Calibri" w:hAnsi="Calibri"/>
                <w:sz w:val="22"/>
                <w:szCs w:val="22"/>
              </w:rPr>
              <w:t>ī</w:t>
            </w:r>
            <w:r w:rsidRPr="00F048F3">
              <w:rPr>
                <w:rFonts w:ascii="Calibri" w:hAnsi="Calibri"/>
                <w:sz w:val="22"/>
                <w:szCs w:val="22"/>
              </w:rPr>
              <w:t>m al-‘Uqa</w:t>
            </w:r>
            <w:r>
              <w:rPr>
                <w:rFonts w:ascii="Calibri" w:hAnsi="Calibri"/>
                <w:sz w:val="22"/>
                <w:szCs w:val="22"/>
              </w:rPr>
              <w:t>ī</w:t>
            </w:r>
            <w:r w:rsidRPr="00F048F3">
              <w:rPr>
                <w:rFonts w:ascii="Calibri" w:hAnsi="Calibri"/>
                <w:sz w:val="22"/>
                <w:szCs w:val="22"/>
              </w:rPr>
              <w:t>l</w:t>
            </w:r>
            <w:r>
              <w:rPr>
                <w:rFonts w:ascii="Calibri" w:hAnsi="Calibri"/>
                <w:sz w:val="22"/>
                <w:szCs w:val="22"/>
              </w:rPr>
              <w:t>ī</w:t>
            </w:r>
            <w:r w:rsidRPr="00F048F3">
              <w:rPr>
                <w:rFonts w:ascii="Calibri" w:hAnsi="Calibri"/>
                <w:sz w:val="22"/>
                <w:szCs w:val="22"/>
              </w:rPr>
              <w:t xml:space="preserve"> (Qum: D</w:t>
            </w:r>
            <w:r>
              <w:rPr>
                <w:rFonts w:ascii="Calibri" w:hAnsi="Calibri"/>
                <w:sz w:val="22"/>
                <w:szCs w:val="22"/>
              </w:rPr>
              <w:t>ā</w:t>
            </w:r>
            <w:r w:rsidRPr="00F048F3">
              <w:rPr>
                <w:rFonts w:ascii="Calibri" w:hAnsi="Calibri"/>
                <w:sz w:val="22"/>
                <w:szCs w:val="22"/>
              </w:rPr>
              <w:t>r al-S</w:t>
            </w:r>
            <w:r>
              <w:rPr>
                <w:rFonts w:ascii="Calibri" w:hAnsi="Calibri"/>
                <w:sz w:val="22"/>
                <w:szCs w:val="22"/>
              </w:rPr>
              <w:t>ī</w:t>
            </w:r>
            <w:r w:rsidRPr="00F048F3">
              <w:rPr>
                <w:rFonts w:ascii="Calibri" w:hAnsi="Calibri"/>
                <w:sz w:val="22"/>
                <w:szCs w:val="22"/>
              </w:rPr>
              <w:t>rah, 1418 Hijri)</w:t>
            </w: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 xml:space="preserve"> </w:t>
            </w: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981-1053 CE:</w:t>
            </w:r>
          </w:p>
          <w:p w:rsidR="00FF1BA2" w:rsidRPr="00F048F3" w:rsidRDefault="00FF1BA2" w:rsidP="00670D42">
            <w:pPr>
              <w:pStyle w:val="NormalWeb"/>
              <w:spacing w:before="0" w:beforeAutospacing="0" w:after="0" w:afterAutospacing="0"/>
              <w:ind w:left="450" w:hanging="450"/>
              <w:rPr>
                <w:rFonts w:ascii="Calibri" w:hAnsi="Calibri"/>
                <w:sz w:val="22"/>
                <w:szCs w:val="22"/>
                <w:lang w:bidi="ar-AE"/>
              </w:rPr>
            </w:pPr>
            <w:proofErr w:type="gramStart"/>
            <w:r w:rsidRPr="00F048F3">
              <w:rPr>
                <w:rFonts w:ascii="Calibri" w:hAnsi="Calibri"/>
                <w:sz w:val="22"/>
                <w:szCs w:val="22"/>
              </w:rPr>
              <w:t>al-D</w:t>
            </w:r>
            <w:r>
              <w:rPr>
                <w:rFonts w:ascii="Calibri" w:hAnsi="Calibri"/>
                <w:sz w:val="22"/>
                <w:szCs w:val="22"/>
              </w:rPr>
              <w:t>ā</w:t>
            </w:r>
            <w:r w:rsidRPr="00F048F3">
              <w:rPr>
                <w:rFonts w:ascii="Calibri" w:hAnsi="Calibri"/>
                <w:sz w:val="22"/>
                <w:szCs w:val="22"/>
              </w:rPr>
              <w:t>n</w:t>
            </w:r>
            <w:r>
              <w:rPr>
                <w:rFonts w:ascii="Calibri" w:hAnsi="Calibri"/>
                <w:sz w:val="22"/>
                <w:szCs w:val="22"/>
              </w:rPr>
              <w:t>ī</w:t>
            </w:r>
            <w:proofErr w:type="gramEnd"/>
            <w:r w:rsidRPr="00F048F3">
              <w:rPr>
                <w:rFonts w:ascii="Calibri" w:hAnsi="Calibri"/>
                <w:sz w:val="22"/>
                <w:szCs w:val="22"/>
              </w:rPr>
              <w:t>, ab</w:t>
            </w:r>
            <w:r>
              <w:rPr>
                <w:rFonts w:ascii="Calibri" w:hAnsi="Calibri"/>
                <w:sz w:val="22"/>
                <w:szCs w:val="22"/>
              </w:rPr>
              <w:t>ū</w:t>
            </w:r>
            <w:r w:rsidRPr="00F048F3">
              <w:rPr>
                <w:rFonts w:ascii="Calibri" w:hAnsi="Calibri"/>
                <w:sz w:val="22"/>
                <w:szCs w:val="22"/>
              </w:rPr>
              <w:t xml:space="preserve"> ‘Amr Uthm</w:t>
            </w:r>
            <w:r>
              <w:rPr>
                <w:rFonts w:ascii="Calibri" w:hAnsi="Calibri"/>
                <w:sz w:val="22"/>
                <w:szCs w:val="22"/>
              </w:rPr>
              <w:t>ā</w:t>
            </w:r>
            <w:r w:rsidRPr="00F048F3">
              <w:rPr>
                <w:rFonts w:ascii="Calibri" w:hAnsi="Calibri"/>
                <w:sz w:val="22"/>
                <w:szCs w:val="22"/>
              </w:rPr>
              <w:t>n b. Sa’</w:t>
            </w:r>
            <w:r>
              <w:rPr>
                <w:rFonts w:ascii="Calibri" w:hAnsi="Calibri"/>
                <w:sz w:val="22"/>
                <w:szCs w:val="22"/>
              </w:rPr>
              <w:t>ī</w:t>
            </w:r>
            <w:r w:rsidRPr="00F048F3">
              <w:rPr>
                <w:rFonts w:ascii="Calibri" w:hAnsi="Calibri"/>
                <w:sz w:val="22"/>
                <w:szCs w:val="22"/>
              </w:rPr>
              <w:t xml:space="preserve">d, </w:t>
            </w:r>
            <w:r w:rsidRPr="00F048F3">
              <w:rPr>
                <w:rFonts w:ascii="Calibri" w:hAnsi="Calibri"/>
                <w:i/>
                <w:iCs/>
                <w:sz w:val="22"/>
                <w:szCs w:val="22"/>
                <w:lang w:bidi="ar-AE"/>
              </w:rPr>
              <w:t>The Reported Prophetic Sayings on the Tribulations and Disasters and the Last Hour and its Portents</w:t>
            </w:r>
            <w:r w:rsidRPr="00F048F3">
              <w:rPr>
                <w:rFonts w:ascii="Calibri" w:hAnsi="Calibri"/>
                <w:sz w:val="22"/>
                <w:szCs w:val="22"/>
                <w:lang w:bidi="ar-AE"/>
              </w:rPr>
              <w:t>, ed. by Ridh</w:t>
            </w:r>
            <w:r>
              <w:rPr>
                <w:rFonts w:ascii="Calibri" w:hAnsi="Calibri"/>
                <w:sz w:val="22"/>
                <w:szCs w:val="22"/>
                <w:lang w:bidi="ar-AE"/>
              </w:rPr>
              <w:t>ā</w:t>
            </w:r>
            <w:r w:rsidRPr="00F048F3">
              <w:rPr>
                <w:rFonts w:ascii="Calibri" w:hAnsi="Calibri"/>
                <w:sz w:val="22"/>
                <w:szCs w:val="22"/>
                <w:lang w:bidi="ar-AE"/>
              </w:rPr>
              <w:t>’ Allah b. Mu</w:t>
            </w:r>
            <w:r>
              <w:rPr>
                <w:rFonts w:ascii="Calibri" w:hAnsi="Calibri"/>
                <w:sz w:val="22"/>
                <w:szCs w:val="22"/>
                <w:lang w:bidi="ar-AE"/>
              </w:rPr>
              <w:t>ḥ</w:t>
            </w:r>
            <w:r w:rsidRPr="00F048F3">
              <w:rPr>
                <w:rFonts w:ascii="Calibri" w:hAnsi="Calibri"/>
                <w:sz w:val="22"/>
                <w:szCs w:val="22"/>
                <w:lang w:bidi="ar-AE"/>
              </w:rPr>
              <w:t>ammad Idr</w:t>
            </w:r>
            <w:r>
              <w:rPr>
                <w:rFonts w:ascii="Calibri" w:hAnsi="Calibri"/>
                <w:sz w:val="22"/>
                <w:szCs w:val="22"/>
                <w:lang w:bidi="ar-AE"/>
              </w:rPr>
              <w:t>ī</w:t>
            </w:r>
            <w:r w:rsidRPr="00F048F3">
              <w:rPr>
                <w:rFonts w:ascii="Calibri" w:hAnsi="Calibri"/>
                <w:sz w:val="22"/>
                <w:szCs w:val="22"/>
                <w:lang w:bidi="ar-AE"/>
              </w:rPr>
              <w:t>s al-Mubarakf</w:t>
            </w:r>
            <w:r>
              <w:rPr>
                <w:rFonts w:ascii="Calibri" w:hAnsi="Calibri"/>
                <w:sz w:val="22"/>
                <w:szCs w:val="22"/>
                <w:lang w:bidi="ar-AE"/>
              </w:rPr>
              <w:t>ū</w:t>
            </w:r>
            <w:r w:rsidRPr="00F048F3">
              <w:rPr>
                <w:rFonts w:ascii="Calibri" w:hAnsi="Calibri"/>
                <w:sz w:val="22"/>
                <w:szCs w:val="22"/>
                <w:lang w:bidi="ar-AE"/>
              </w:rPr>
              <w:t>r</w:t>
            </w:r>
            <w:r>
              <w:rPr>
                <w:rFonts w:ascii="Calibri" w:hAnsi="Calibri"/>
                <w:sz w:val="22"/>
                <w:szCs w:val="22"/>
                <w:lang w:bidi="ar-AE"/>
              </w:rPr>
              <w:t>ī</w:t>
            </w:r>
            <w:r w:rsidRPr="00F048F3">
              <w:rPr>
                <w:rFonts w:ascii="Calibri" w:hAnsi="Calibri"/>
                <w:sz w:val="22"/>
                <w:szCs w:val="22"/>
                <w:lang w:bidi="ar-AE"/>
              </w:rPr>
              <w:t xml:space="preserve"> (Riyadh: D</w:t>
            </w:r>
            <w:r>
              <w:rPr>
                <w:rFonts w:ascii="Calibri" w:hAnsi="Calibri"/>
                <w:sz w:val="22"/>
                <w:szCs w:val="22"/>
                <w:lang w:bidi="ar-AE"/>
              </w:rPr>
              <w:t>ā</w:t>
            </w:r>
            <w:r w:rsidRPr="00F048F3">
              <w:rPr>
                <w:rFonts w:ascii="Calibri" w:hAnsi="Calibri"/>
                <w:sz w:val="22"/>
                <w:szCs w:val="22"/>
                <w:lang w:bidi="ar-AE"/>
              </w:rPr>
              <w:t>r al-‘</w:t>
            </w:r>
            <w:r>
              <w:rPr>
                <w:rFonts w:ascii="Calibri" w:hAnsi="Calibri"/>
                <w:sz w:val="22"/>
                <w:szCs w:val="22"/>
                <w:lang w:bidi="ar-AE"/>
              </w:rPr>
              <w:t>Ā</w:t>
            </w:r>
            <w:r w:rsidRPr="00F048F3">
              <w:rPr>
                <w:rFonts w:ascii="Calibri" w:hAnsi="Calibri"/>
                <w:sz w:val="22"/>
                <w:szCs w:val="22"/>
                <w:lang w:bidi="ar-AE"/>
              </w:rPr>
              <w:t>ṣimah lil-Nashr wal-Tawz</w:t>
            </w:r>
            <w:r>
              <w:rPr>
                <w:rFonts w:ascii="Calibri" w:hAnsi="Calibri"/>
                <w:sz w:val="22"/>
                <w:szCs w:val="22"/>
                <w:lang w:bidi="ar-AE"/>
              </w:rPr>
              <w:t>ī</w:t>
            </w:r>
            <w:r w:rsidRPr="00F048F3">
              <w:rPr>
                <w:rFonts w:ascii="Calibri" w:hAnsi="Calibri"/>
                <w:sz w:val="22"/>
                <w:szCs w:val="22"/>
                <w:lang w:bidi="ar-AE"/>
              </w:rPr>
              <w:t>’, n.d.)</w:t>
            </w:r>
          </w:p>
          <w:p w:rsidR="00FF1BA2" w:rsidRPr="00F048F3" w:rsidRDefault="00FF1BA2" w:rsidP="00670D42">
            <w:pPr>
              <w:pStyle w:val="NormalWeb"/>
              <w:spacing w:before="0" w:beforeAutospacing="0" w:after="0" w:afterAutospacing="0"/>
              <w:rPr>
                <w:rFonts w:ascii="Calibri" w:hAnsi="Calibri"/>
                <w:b/>
                <w:bCs/>
                <w:sz w:val="22"/>
                <w:szCs w:val="22"/>
              </w:rPr>
            </w:pP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Died after 1259 CE:</w:t>
            </w:r>
          </w:p>
          <w:p w:rsidR="00FF1BA2" w:rsidRPr="00F048F3" w:rsidRDefault="00FF1BA2" w:rsidP="00670D42">
            <w:pPr>
              <w:pStyle w:val="NormalWeb"/>
              <w:spacing w:before="0" w:beforeAutospacing="0" w:after="0" w:afterAutospacing="0"/>
              <w:ind w:left="450" w:hanging="450"/>
              <w:rPr>
                <w:rFonts w:ascii="Calibri" w:hAnsi="Calibri"/>
                <w:sz w:val="22"/>
                <w:szCs w:val="22"/>
                <w:lang w:bidi="ar-AE"/>
              </w:rPr>
            </w:pPr>
            <w:r w:rsidRPr="00F048F3">
              <w:rPr>
                <w:rFonts w:ascii="Calibri" w:hAnsi="Calibri"/>
                <w:sz w:val="22"/>
                <w:szCs w:val="22"/>
              </w:rPr>
              <w:t>al-Sh</w:t>
            </w:r>
            <w:r>
              <w:rPr>
                <w:rFonts w:ascii="Calibri" w:hAnsi="Calibri"/>
                <w:sz w:val="22"/>
                <w:szCs w:val="22"/>
              </w:rPr>
              <w:t>ā</w:t>
            </w:r>
            <w:r w:rsidRPr="00F048F3">
              <w:rPr>
                <w:rFonts w:ascii="Calibri" w:hAnsi="Calibri"/>
                <w:sz w:val="22"/>
                <w:szCs w:val="22"/>
              </w:rPr>
              <w:t>fi’</w:t>
            </w:r>
            <w:r>
              <w:rPr>
                <w:rFonts w:ascii="Calibri" w:hAnsi="Calibri"/>
                <w:sz w:val="22"/>
                <w:szCs w:val="22"/>
              </w:rPr>
              <w:t>ī</w:t>
            </w:r>
            <w:r w:rsidRPr="00F048F3">
              <w:rPr>
                <w:rFonts w:ascii="Calibri" w:hAnsi="Calibri"/>
                <w:sz w:val="22"/>
                <w:szCs w:val="22"/>
              </w:rPr>
              <w:t>, Y</w:t>
            </w:r>
            <w:r>
              <w:rPr>
                <w:rFonts w:ascii="Calibri" w:hAnsi="Calibri"/>
                <w:sz w:val="22"/>
                <w:szCs w:val="22"/>
              </w:rPr>
              <w:t>ū</w:t>
            </w:r>
            <w:r w:rsidRPr="00F048F3">
              <w:rPr>
                <w:rFonts w:ascii="Calibri" w:hAnsi="Calibri"/>
                <w:sz w:val="22"/>
                <w:szCs w:val="22"/>
              </w:rPr>
              <w:t>suf b. Ya</w:t>
            </w:r>
            <w:r>
              <w:rPr>
                <w:rFonts w:ascii="Calibri" w:hAnsi="Calibri"/>
                <w:sz w:val="22"/>
                <w:szCs w:val="22"/>
              </w:rPr>
              <w:t>ḥ</w:t>
            </w:r>
            <w:r w:rsidRPr="00F048F3">
              <w:rPr>
                <w:rFonts w:ascii="Calibri" w:hAnsi="Calibri"/>
                <w:sz w:val="22"/>
                <w:szCs w:val="22"/>
              </w:rPr>
              <w:t>y</w:t>
            </w:r>
            <w:r>
              <w:rPr>
                <w:rFonts w:ascii="Calibri" w:hAnsi="Calibri"/>
                <w:sz w:val="22"/>
                <w:szCs w:val="22"/>
              </w:rPr>
              <w:t>ā</w:t>
            </w:r>
            <w:r w:rsidRPr="00F048F3">
              <w:rPr>
                <w:rFonts w:ascii="Calibri" w:hAnsi="Calibri"/>
                <w:sz w:val="22"/>
                <w:szCs w:val="22"/>
              </w:rPr>
              <w:t xml:space="preserve"> b. ‘Al</w:t>
            </w:r>
            <w:r>
              <w:rPr>
                <w:rFonts w:ascii="Calibri" w:hAnsi="Calibri"/>
                <w:sz w:val="22"/>
                <w:szCs w:val="22"/>
              </w:rPr>
              <w:t>ī</w:t>
            </w:r>
            <w:r w:rsidRPr="00F048F3">
              <w:rPr>
                <w:rFonts w:ascii="Calibri" w:hAnsi="Calibri"/>
                <w:sz w:val="22"/>
                <w:szCs w:val="22"/>
              </w:rPr>
              <w:t xml:space="preserve"> al-Maqdis</w:t>
            </w:r>
            <w:r>
              <w:rPr>
                <w:rFonts w:ascii="Calibri" w:hAnsi="Calibri"/>
                <w:sz w:val="22"/>
                <w:szCs w:val="22"/>
              </w:rPr>
              <w:t>ī</w:t>
            </w:r>
            <w:r w:rsidRPr="00F048F3">
              <w:rPr>
                <w:rFonts w:ascii="Calibri" w:hAnsi="Calibri"/>
                <w:sz w:val="22"/>
                <w:szCs w:val="22"/>
              </w:rPr>
              <w:t xml:space="preserve">, </w:t>
            </w:r>
            <w:r w:rsidRPr="00F048F3">
              <w:rPr>
                <w:rFonts w:ascii="Calibri" w:hAnsi="Calibri"/>
                <w:i/>
                <w:iCs/>
                <w:sz w:val="22"/>
                <w:szCs w:val="22"/>
              </w:rPr>
              <w:t xml:space="preserve">The Necklace of Pearls on the </w:t>
            </w:r>
            <w:r w:rsidRPr="00F048F3">
              <w:rPr>
                <w:rFonts w:ascii="Calibri" w:hAnsi="Calibri"/>
                <w:i/>
                <w:iCs/>
                <w:sz w:val="22"/>
                <w:szCs w:val="22"/>
                <w:lang w:bidi="ar-AE"/>
              </w:rPr>
              <w:t>Messiah</w:t>
            </w:r>
            <w:r w:rsidRPr="00F048F3">
              <w:rPr>
                <w:rFonts w:ascii="Calibri" w:hAnsi="Calibri"/>
                <w:sz w:val="22"/>
                <w:szCs w:val="22"/>
                <w:lang w:bidi="ar-AE"/>
              </w:rPr>
              <w:t>, ed. by Muh</w:t>
            </w:r>
            <w:r>
              <w:rPr>
                <w:rFonts w:ascii="Calibri" w:hAnsi="Calibri"/>
                <w:sz w:val="22"/>
                <w:szCs w:val="22"/>
                <w:lang w:bidi="ar-AE"/>
              </w:rPr>
              <w:t>ī</w:t>
            </w:r>
            <w:r w:rsidRPr="00F048F3">
              <w:rPr>
                <w:rFonts w:ascii="Calibri" w:hAnsi="Calibri"/>
                <w:sz w:val="22"/>
                <w:szCs w:val="22"/>
                <w:lang w:bidi="ar-AE"/>
              </w:rPr>
              <w:t xml:space="preserve">b b. </w:t>
            </w:r>
            <w:r>
              <w:rPr>
                <w:rFonts w:ascii="Calibri" w:hAnsi="Calibri"/>
                <w:sz w:val="22"/>
                <w:szCs w:val="22"/>
                <w:lang w:bidi="ar-AE"/>
              </w:rPr>
              <w:t>Ṣ</w:t>
            </w:r>
            <w:r w:rsidRPr="00F048F3">
              <w:rPr>
                <w:rFonts w:ascii="Calibri" w:hAnsi="Calibri"/>
                <w:sz w:val="22"/>
                <w:szCs w:val="22"/>
                <w:lang w:bidi="ar-AE"/>
              </w:rPr>
              <w:t>āle</w:t>
            </w:r>
            <w:r>
              <w:rPr>
                <w:rFonts w:ascii="Calibri" w:hAnsi="Calibri"/>
                <w:sz w:val="22"/>
                <w:szCs w:val="22"/>
                <w:lang w:bidi="ar-AE"/>
              </w:rPr>
              <w:t>ḥ</w:t>
            </w:r>
            <w:r w:rsidRPr="00F048F3">
              <w:rPr>
                <w:rFonts w:ascii="Calibri" w:hAnsi="Calibri"/>
                <w:sz w:val="22"/>
                <w:szCs w:val="22"/>
                <w:lang w:bidi="ar-AE"/>
              </w:rPr>
              <w:t xml:space="preserve"> b. ‘Abd al-Ra</w:t>
            </w:r>
            <w:r>
              <w:rPr>
                <w:rFonts w:ascii="Calibri" w:hAnsi="Calibri"/>
                <w:sz w:val="22"/>
                <w:szCs w:val="22"/>
                <w:lang w:bidi="ar-AE"/>
              </w:rPr>
              <w:t>ḥ</w:t>
            </w:r>
            <w:r w:rsidRPr="00F048F3">
              <w:rPr>
                <w:rFonts w:ascii="Calibri" w:hAnsi="Calibri"/>
                <w:sz w:val="22"/>
                <w:szCs w:val="22"/>
                <w:lang w:bidi="ar-AE"/>
              </w:rPr>
              <w:t>m</w:t>
            </w:r>
            <w:r>
              <w:rPr>
                <w:rFonts w:ascii="Calibri" w:hAnsi="Calibri"/>
                <w:sz w:val="22"/>
                <w:szCs w:val="22"/>
                <w:lang w:bidi="ar-AE"/>
              </w:rPr>
              <w:t>ā</w:t>
            </w:r>
            <w:r w:rsidRPr="00F048F3">
              <w:rPr>
                <w:rFonts w:ascii="Calibri" w:hAnsi="Calibri"/>
                <w:sz w:val="22"/>
                <w:szCs w:val="22"/>
                <w:lang w:bidi="ar-AE"/>
              </w:rPr>
              <w:t>n al-B</w:t>
            </w:r>
            <w:r>
              <w:rPr>
                <w:rFonts w:ascii="Calibri" w:hAnsi="Calibri"/>
                <w:sz w:val="22"/>
                <w:szCs w:val="22"/>
                <w:lang w:bidi="ar-AE"/>
              </w:rPr>
              <w:t>ū</w:t>
            </w:r>
            <w:r w:rsidRPr="00F048F3">
              <w:rPr>
                <w:rFonts w:ascii="Calibri" w:hAnsi="Calibri"/>
                <w:sz w:val="22"/>
                <w:szCs w:val="22"/>
                <w:lang w:bidi="ar-AE"/>
              </w:rPr>
              <w:t>r</w:t>
            </w:r>
            <w:r>
              <w:rPr>
                <w:rFonts w:ascii="Calibri" w:hAnsi="Calibri"/>
                <w:sz w:val="22"/>
                <w:szCs w:val="22"/>
                <w:lang w:bidi="ar-AE"/>
              </w:rPr>
              <w:t>ī</w:t>
            </w:r>
            <w:r w:rsidRPr="00F048F3">
              <w:rPr>
                <w:rFonts w:ascii="Calibri" w:hAnsi="Calibri"/>
                <w:sz w:val="22"/>
                <w:szCs w:val="22"/>
                <w:lang w:bidi="ar-AE"/>
              </w:rPr>
              <w:t>n</w:t>
            </w:r>
            <w:r>
              <w:rPr>
                <w:rFonts w:ascii="Calibri" w:hAnsi="Calibri"/>
                <w:sz w:val="22"/>
                <w:szCs w:val="22"/>
                <w:lang w:bidi="ar-AE"/>
              </w:rPr>
              <w:t>ī</w:t>
            </w:r>
            <w:r w:rsidRPr="00F048F3">
              <w:rPr>
                <w:rFonts w:ascii="Calibri" w:hAnsi="Calibri"/>
                <w:sz w:val="22"/>
                <w:szCs w:val="22"/>
                <w:lang w:bidi="ar-AE"/>
              </w:rPr>
              <w:t xml:space="preserve"> (al-Zarqa: Maktabat al-Man</w:t>
            </w:r>
            <w:r>
              <w:rPr>
                <w:rFonts w:ascii="Calibri" w:hAnsi="Calibri"/>
                <w:sz w:val="22"/>
                <w:szCs w:val="22"/>
                <w:lang w:bidi="ar-AE"/>
              </w:rPr>
              <w:t>ā</w:t>
            </w:r>
            <w:r w:rsidRPr="00F048F3">
              <w:rPr>
                <w:rFonts w:ascii="Calibri" w:hAnsi="Calibri"/>
                <w:sz w:val="22"/>
                <w:szCs w:val="22"/>
                <w:lang w:bidi="ar-AE"/>
              </w:rPr>
              <w:t>r, 1989</w:t>
            </w:r>
          </w:p>
          <w:p w:rsidR="00FF1BA2" w:rsidRPr="00F048F3" w:rsidRDefault="00FF1BA2" w:rsidP="00670D42">
            <w:pPr>
              <w:pStyle w:val="NormalWeb"/>
              <w:spacing w:before="0" w:beforeAutospacing="0" w:after="0" w:afterAutospacing="0"/>
              <w:rPr>
                <w:rFonts w:ascii="Calibri" w:hAnsi="Calibri"/>
                <w:b/>
                <w:bCs/>
                <w:sz w:val="22"/>
                <w:szCs w:val="22"/>
              </w:rPr>
            </w:pP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c. 1214-1273 CE:</w:t>
            </w:r>
          </w:p>
          <w:p w:rsidR="00FF1BA2" w:rsidRPr="00F048F3" w:rsidRDefault="00FF1BA2" w:rsidP="00670D42">
            <w:pPr>
              <w:pStyle w:val="NormalWeb"/>
              <w:spacing w:before="0" w:beforeAutospacing="0" w:after="0" w:afterAutospacing="0"/>
              <w:ind w:left="450" w:hanging="450"/>
              <w:rPr>
                <w:rFonts w:ascii="Calibri" w:hAnsi="Calibri"/>
                <w:sz w:val="22"/>
                <w:szCs w:val="22"/>
                <w:lang w:bidi="ar-AE"/>
              </w:rPr>
            </w:pPr>
            <w:r w:rsidRPr="00F048F3">
              <w:rPr>
                <w:rFonts w:ascii="Calibri" w:hAnsi="Calibri"/>
                <w:sz w:val="22"/>
                <w:szCs w:val="22"/>
              </w:rPr>
              <w:t xml:space="preserve">al-Qorṭobī, abū ‘Abdullah b. Muḥammad b. Aḥmad, </w:t>
            </w:r>
            <w:r w:rsidRPr="00F048F3">
              <w:rPr>
                <w:rFonts w:ascii="Calibri" w:hAnsi="Calibri"/>
                <w:i/>
                <w:iCs/>
                <w:sz w:val="22"/>
                <w:szCs w:val="22"/>
              </w:rPr>
              <w:t>The Reminder on the Affairs of the Dead and</w:t>
            </w:r>
            <w:r w:rsidRPr="00F048F3">
              <w:rPr>
                <w:rFonts w:ascii="Calibri" w:hAnsi="Calibri"/>
                <w:i/>
                <w:iCs/>
                <w:sz w:val="22"/>
                <w:szCs w:val="22"/>
                <w:lang w:bidi="ar-AE"/>
              </w:rPr>
              <w:t xml:space="preserve"> Afterlife</w:t>
            </w:r>
            <w:r w:rsidRPr="00F048F3">
              <w:rPr>
                <w:rFonts w:ascii="Calibri" w:hAnsi="Calibri"/>
                <w:sz w:val="22"/>
                <w:szCs w:val="22"/>
                <w:lang w:bidi="ar-AE"/>
              </w:rPr>
              <w:t>, ed. by al-</w:t>
            </w:r>
            <w:r>
              <w:rPr>
                <w:rFonts w:ascii="Calibri" w:hAnsi="Calibri"/>
                <w:sz w:val="22"/>
                <w:szCs w:val="22"/>
                <w:lang w:bidi="ar-AE"/>
              </w:rPr>
              <w:t>Ṣ</w:t>
            </w:r>
            <w:r w:rsidRPr="00F048F3">
              <w:rPr>
                <w:rFonts w:ascii="Calibri" w:hAnsi="Calibri"/>
                <w:sz w:val="22"/>
                <w:szCs w:val="22"/>
                <w:lang w:bidi="ar-AE"/>
              </w:rPr>
              <w:t>ādiq b. Mu</w:t>
            </w:r>
            <w:r>
              <w:rPr>
                <w:rFonts w:ascii="Calibri" w:hAnsi="Calibri"/>
                <w:sz w:val="22"/>
                <w:szCs w:val="22"/>
                <w:lang w:bidi="ar-AE"/>
              </w:rPr>
              <w:t>ḥ</w:t>
            </w:r>
            <w:r w:rsidRPr="00F048F3">
              <w:rPr>
                <w:rFonts w:ascii="Calibri" w:hAnsi="Calibri"/>
                <w:sz w:val="22"/>
                <w:szCs w:val="22"/>
                <w:lang w:bidi="ar-AE"/>
              </w:rPr>
              <w:t>ammad b. Ibr</w:t>
            </w:r>
            <w:r>
              <w:rPr>
                <w:rFonts w:ascii="Calibri" w:hAnsi="Calibri"/>
                <w:sz w:val="22"/>
                <w:szCs w:val="22"/>
                <w:lang w:bidi="ar-AE"/>
              </w:rPr>
              <w:t>ā</w:t>
            </w:r>
            <w:r w:rsidRPr="00F048F3">
              <w:rPr>
                <w:rFonts w:ascii="Calibri" w:hAnsi="Calibri"/>
                <w:sz w:val="22"/>
                <w:szCs w:val="22"/>
                <w:lang w:bidi="ar-AE"/>
              </w:rPr>
              <w:t>h</w:t>
            </w:r>
            <w:r>
              <w:rPr>
                <w:rFonts w:ascii="Calibri" w:hAnsi="Calibri"/>
                <w:sz w:val="22"/>
                <w:szCs w:val="22"/>
                <w:lang w:bidi="ar-AE"/>
              </w:rPr>
              <w:t>ī</w:t>
            </w:r>
            <w:r w:rsidRPr="00F048F3">
              <w:rPr>
                <w:rFonts w:ascii="Calibri" w:hAnsi="Calibri"/>
                <w:sz w:val="22"/>
                <w:szCs w:val="22"/>
                <w:lang w:bidi="ar-AE"/>
              </w:rPr>
              <w:t>m (Riyadh: Matabat D</w:t>
            </w:r>
            <w:r>
              <w:rPr>
                <w:rFonts w:ascii="Calibri" w:hAnsi="Calibri"/>
                <w:sz w:val="22"/>
                <w:szCs w:val="22"/>
                <w:lang w:bidi="ar-AE"/>
              </w:rPr>
              <w:t>ā</w:t>
            </w:r>
            <w:r w:rsidRPr="00F048F3">
              <w:rPr>
                <w:rFonts w:ascii="Calibri" w:hAnsi="Calibri"/>
                <w:sz w:val="22"/>
                <w:szCs w:val="22"/>
                <w:lang w:bidi="ar-AE"/>
              </w:rPr>
              <w:t>r al-Minh</w:t>
            </w:r>
            <w:r>
              <w:rPr>
                <w:rFonts w:ascii="Calibri" w:hAnsi="Calibri"/>
                <w:sz w:val="22"/>
                <w:szCs w:val="22"/>
                <w:lang w:bidi="ar-AE"/>
              </w:rPr>
              <w:t>ā</w:t>
            </w:r>
            <w:r w:rsidRPr="00F048F3">
              <w:rPr>
                <w:rFonts w:ascii="Calibri" w:hAnsi="Calibri"/>
                <w:sz w:val="22"/>
                <w:szCs w:val="22"/>
                <w:lang w:bidi="ar-AE"/>
              </w:rPr>
              <w:t>j lil-Nashr wal-Tawz</w:t>
            </w:r>
            <w:r>
              <w:rPr>
                <w:rFonts w:ascii="Calibri" w:hAnsi="Calibri"/>
                <w:sz w:val="22"/>
                <w:szCs w:val="22"/>
                <w:lang w:bidi="ar-AE"/>
              </w:rPr>
              <w:t>ī</w:t>
            </w:r>
            <w:r w:rsidRPr="00F048F3">
              <w:rPr>
                <w:rFonts w:ascii="Calibri" w:hAnsi="Calibri"/>
                <w:sz w:val="22"/>
                <w:szCs w:val="22"/>
                <w:lang w:bidi="ar-AE"/>
              </w:rPr>
              <w:t>’, 1425 Hijri)</w:t>
            </w:r>
          </w:p>
          <w:p w:rsidR="00FF1BA2" w:rsidRPr="00F048F3" w:rsidRDefault="00FF1BA2" w:rsidP="00670D42">
            <w:pPr>
              <w:pStyle w:val="NormalWeb"/>
              <w:spacing w:before="0" w:beforeAutospacing="0" w:after="0" w:afterAutospacing="0"/>
              <w:rPr>
                <w:rFonts w:ascii="Calibri" w:hAnsi="Calibri"/>
                <w:b/>
                <w:bCs/>
                <w:sz w:val="22"/>
                <w:szCs w:val="22"/>
              </w:rPr>
            </w:pP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c. 1301-1372 CE:</w:t>
            </w:r>
          </w:p>
          <w:p w:rsidR="00FF1BA2" w:rsidRPr="00F048F3" w:rsidRDefault="00FF1BA2" w:rsidP="00670D42">
            <w:pPr>
              <w:pStyle w:val="NormalWeb"/>
              <w:spacing w:before="0" w:beforeAutospacing="0" w:after="0" w:afterAutospacing="0"/>
              <w:ind w:left="450" w:hanging="450"/>
              <w:rPr>
                <w:rFonts w:ascii="Calibri" w:hAnsi="Calibri"/>
                <w:sz w:val="22"/>
                <w:szCs w:val="22"/>
                <w:lang w:bidi="ar-AE"/>
              </w:rPr>
            </w:pPr>
            <w:r w:rsidRPr="00F048F3">
              <w:rPr>
                <w:rFonts w:ascii="Calibri" w:hAnsi="Calibri"/>
                <w:sz w:val="22"/>
                <w:szCs w:val="22"/>
              </w:rPr>
              <w:t>ibn Kath</w:t>
            </w:r>
            <w:r>
              <w:rPr>
                <w:rFonts w:ascii="Calibri" w:hAnsi="Calibri"/>
                <w:sz w:val="22"/>
                <w:szCs w:val="22"/>
              </w:rPr>
              <w:t>ī</w:t>
            </w:r>
            <w:r w:rsidRPr="00F048F3">
              <w:rPr>
                <w:rFonts w:ascii="Calibri" w:hAnsi="Calibri"/>
                <w:sz w:val="22"/>
                <w:szCs w:val="22"/>
              </w:rPr>
              <w:t>r, ab</w:t>
            </w:r>
            <w:r>
              <w:rPr>
                <w:rFonts w:ascii="Calibri" w:hAnsi="Calibri"/>
                <w:sz w:val="22"/>
                <w:szCs w:val="22"/>
              </w:rPr>
              <w:t>ū</w:t>
            </w:r>
            <w:r w:rsidRPr="00F048F3">
              <w:rPr>
                <w:rFonts w:ascii="Calibri" w:hAnsi="Calibri"/>
                <w:sz w:val="22"/>
                <w:szCs w:val="22"/>
              </w:rPr>
              <w:t xml:space="preserve"> al-Fid</w:t>
            </w:r>
            <w:r>
              <w:rPr>
                <w:rFonts w:ascii="Calibri" w:hAnsi="Calibri"/>
                <w:sz w:val="22"/>
                <w:szCs w:val="22"/>
              </w:rPr>
              <w:t>ā</w:t>
            </w:r>
            <w:r w:rsidRPr="00F048F3">
              <w:rPr>
                <w:rFonts w:ascii="Calibri" w:hAnsi="Calibri"/>
                <w:sz w:val="22"/>
                <w:szCs w:val="22"/>
              </w:rPr>
              <w:t>’ Ism</w:t>
            </w:r>
            <w:r>
              <w:rPr>
                <w:rFonts w:ascii="Calibri" w:hAnsi="Calibri"/>
                <w:sz w:val="22"/>
                <w:szCs w:val="22"/>
              </w:rPr>
              <w:t>ā</w:t>
            </w:r>
            <w:r w:rsidRPr="00F048F3">
              <w:rPr>
                <w:rFonts w:ascii="Calibri" w:hAnsi="Calibri"/>
                <w:sz w:val="22"/>
                <w:szCs w:val="22"/>
              </w:rPr>
              <w:t>’</w:t>
            </w:r>
            <w:r>
              <w:rPr>
                <w:rFonts w:ascii="Calibri" w:hAnsi="Calibri"/>
                <w:sz w:val="22"/>
                <w:szCs w:val="22"/>
              </w:rPr>
              <w:t>ī</w:t>
            </w:r>
            <w:r w:rsidRPr="00F048F3">
              <w:rPr>
                <w:rFonts w:ascii="Calibri" w:hAnsi="Calibri"/>
                <w:sz w:val="22"/>
                <w:szCs w:val="22"/>
              </w:rPr>
              <w:t xml:space="preserve">l b. ‘Umar, </w:t>
            </w:r>
            <w:r w:rsidRPr="00F048F3">
              <w:rPr>
                <w:rFonts w:ascii="Calibri" w:hAnsi="Calibri"/>
                <w:i/>
                <w:iCs/>
                <w:sz w:val="22"/>
                <w:szCs w:val="22"/>
                <w:lang w:bidi="ar-AE"/>
              </w:rPr>
              <w:t>The Book of the End on Tribulations and Battles</w:t>
            </w:r>
            <w:r w:rsidRPr="00F048F3">
              <w:rPr>
                <w:rFonts w:ascii="Calibri" w:hAnsi="Calibri"/>
                <w:sz w:val="22"/>
                <w:szCs w:val="22"/>
                <w:lang w:bidi="ar-AE"/>
              </w:rPr>
              <w:t>, ed. by Mu</w:t>
            </w:r>
            <w:r>
              <w:rPr>
                <w:rFonts w:ascii="Calibri" w:hAnsi="Calibri"/>
                <w:sz w:val="22"/>
                <w:szCs w:val="22"/>
                <w:lang w:bidi="ar-AE"/>
              </w:rPr>
              <w:t>ḥ</w:t>
            </w:r>
            <w:r w:rsidRPr="00F048F3">
              <w:rPr>
                <w:rFonts w:ascii="Calibri" w:hAnsi="Calibri"/>
                <w:sz w:val="22"/>
                <w:szCs w:val="22"/>
                <w:lang w:bidi="ar-AE"/>
              </w:rPr>
              <w:t>ammad A</w:t>
            </w:r>
            <w:r>
              <w:rPr>
                <w:rFonts w:ascii="Calibri" w:hAnsi="Calibri"/>
                <w:sz w:val="22"/>
                <w:szCs w:val="22"/>
                <w:lang w:bidi="ar-AE"/>
              </w:rPr>
              <w:t>ḥ</w:t>
            </w:r>
            <w:r w:rsidRPr="00F048F3">
              <w:rPr>
                <w:rFonts w:ascii="Calibri" w:hAnsi="Calibri"/>
                <w:sz w:val="22"/>
                <w:szCs w:val="22"/>
                <w:lang w:bidi="ar-AE"/>
              </w:rPr>
              <w:t>mad ‘Abd al-‘Az</w:t>
            </w:r>
            <w:r>
              <w:rPr>
                <w:rFonts w:ascii="Calibri" w:hAnsi="Calibri"/>
                <w:sz w:val="22"/>
                <w:szCs w:val="22"/>
                <w:lang w:bidi="ar-AE"/>
              </w:rPr>
              <w:t>ī</w:t>
            </w:r>
            <w:r w:rsidRPr="00F048F3">
              <w:rPr>
                <w:rFonts w:ascii="Calibri" w:hAnsi="Calibri"/>
                <w:sz w:val="22"/>
                <w:szCs w:val="22"/>
                <w:lang w:bidi="ar-AE"/>
              </w:rPr>
              <w:t>z (Beirut: D</w:t>
            </w:r>
            <w:r>
              <w:rPr>
                <w:rFonts w:ascii="Calibri" w:hAnsi="Calibri"/>
                <w:sz w:val="22"/>
                <w:szCs w:val="22"/>
                <w:lang w:bidi="ar-AE"/>
              </w:rPr>
              <w:t>ā</w:t>
            </w:r>
            <w:r w:rsidRPr="00F048F3">
              <w:rPr>
                <w:rFonts w:ascii="Calibri" w:hAnsi="Calibri"/>
                <w:sz w:val="22"/>
                <w:szCs w:val="22"/>
                <w:lang w:bidi="ar-AE"/>
              </w:rPr>
              <w:t>r al-Jabal, 1988)</w:t>
            </w:r>
          </w:p>
          <w:p w:rsidR="00FF1BA2" w:rsidRPr="00F048F3" w:rsidRDefault="00FF1BA2" w:rsidP="00670D42">
            <w:pPr>
              <w:pStyle w:val="NormalWeb"/>
              <w:spacing w:before="0" w:beforeAutospacing="0" w:after="0" w:afterAutospacing="0"/>
              <w:rPr>
                <w:rFonts w:ascii="Calibri" w:hAnsi="Calibri"/>
                <w:sz w:val="22"/>
                <w:szCs w:val="22"/>
                <w:lang w:bidi="ar-AE"/>
              </w:rPr>
            </w:pP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1630-1691 CE:</w:t>
            </w:r>
          </w:p>
          <w:p w:rsidR="00FF1BA2" w:rsidRPr="00F048F3" w:rsidRDefault="00FF1BA2" w:rsidP="00670D42">
            <w:pPr>
              <w:pStyle w:val="NormalWeb"/>
              <w:spacing w:before="0" w:beforeAutospacing="0" w:after="0" w:afterAutospacing="0"/>
              <w:ind w:left="450" w:hanging="450"/>
              <w:rPr>
                <w:rFonts w:ascii="Calibri" w:hAnsi="Calibri"/>
                <w:sz w:val="22"/>
                <w:szCs w:val="22"/>
                <w:lang w:bidi="ar-AE"/>
              </w:rPr>
            </w:pPr>
            <w:r w:rsidRPr="00F048F3">
              <w:rPr>
                <w:rFonts w:ascii="Calibri" w:hAnsi="Calibri"/>
                <w:sz w:val="22"/>
                <w:szCs w:val="22"/>
              </w:rPr>
              <w:t>al-Barzinj</w:t>
            </w:r>
            <w:r>
              <w:rPr>
                <w:rFonts w:ascii="Calibri" w:hAnsi="Calibri"/>
                <w:sz w:val="22"/>
                <w:szCs w:val="22"/>
              </w:rPr>
              <w:t>ī</w:t>
            </w:r>
            <w:r w:rsidRPr="00F048F3">
              <w:rPr>
                <w:rFonts w:ascii="Calibri" w:hAnsi="Calibri"/>
                <w:sz w:val="22"/>
                <w:szCs w:val="22"/>
              </w:rPr>
              <w:t>, Mu</w:t>
            </w:r>
            <w:r>
              <w:rPr>
                <w:rFonts w:ascii="Calibri" w:hAnsi="Calibri"/>
                <w:sz w:val="22"/>
                <w:szCs w:val="22"/>
              </w:rPr>
              <w:t>ḥ</w:t>
            </w:r>
            <w:r w:rsidRPr="00F048F3">
              <w:rPr>
                <w:rFonts w:ascii="Calibri" w:hAnsi="Calibri"/>
                <w:sz w:val="22"/>
                <w:szCs w:val="22"/>
              </w:rPr>
              <w:t>ammad b. ‘Abd al-Ras</w:t>
            </w:r>
            <w:r>
              <w:rPr>
                <w:rFonts w:ascii="Calibri" w:hAnsi="Calibri"/>
                <w:sz w:val="22"/>
                <w:szCs w:val="22"/>
              </w:rPr>
              <w:t>ū</w:t>
            </w:r>
            <w:r w:rsidRPr="00F048F3">
              <w:rPr>
                <w:rFonts w:ascii="Calibri" w:hAnsi="Calibri"/>
                <w:sz w:val="22"/>
                <w:szCs w:val="22"/>
              </w:rPr>
              <w:t>l al-</w:t>
            </w:r>
            <w:r>
              <w:rPr>
                <w:rFonts w:ascii="Calibri" w:hAnsi="Calibri"/>
                <w:sz w:val="22"/>
                <w:szCs w:val="22"/>
              </w:rPr>
              <w:t>Ḥ</w:t>
            </w:r>
            <w:r w:rsidRPr="00F048F3">
              <w:rPr>
                <w:rFonts w:ascii="Calibri" w:hAnsi="Calibri"/>
                <w:sz w:val="22"/>
                <w:szCs w:val="22"/>
              </w:rPr>
              <w:t>ussa</w:t>
            </w:r>
            <w:r>
              <w:rPr>
                <w:rFonts w:ascii="Calibri" w:hAnsi="Calibri"/>
                <w:sz w:val="22"/>
                <w:szCs w:val="22"/>
              </w:rPr>
              <w:t>ī</w:t>
            </w:r>
            <w:r w:rsidRPr="00F048F3">
              <w:rPr>
                <w:rFonts w:ascii="Calibri" w:hAnsi="Calibri"/>
                <w:sz w:val="22"/>
                <w:szCs w:val="22"/>
              </w:rPr>
              <w:t>n</w:t>
            </w:r>
            <w:r>
              <w:rPr>
                <w:rFonts w:ascii="Calibri" w:hAnsi="Calibri"/>
                <w:sz w:val="22"/>
                <w:szCs w:val="22"/>
              </w:rPr>
              <w:t>ī</w:t>
            </w:r>
            <w:r w:rsidRPr="00F048F3">
              <w:rPr>
                <w:rFonts w:ascii="Calibri" w:hAnsi="Calibri"/>
                <w:sz w:val="22"/>
                <w:szCs w:val="22"/>
              </w:rPr>
              <w:t xml:space="preserve">, </w:t>
            </w:r>
            <w:r w:rsidRPr="00F048F3">
              <w:rPr>
                <w:rFonts w:ascii="Calibri" w:hAnsi="Calibri"/>
                <w:i/>
                <w:iCs/>
                <w:sz w:val="22"/>
                <w:szCs w:val="22"/>
                <w:lang w:bidi="ar-AE"/>
              </w:rPr>
              <w:t>The Book of the Word On Last Day Portents</w:t>
            </w:r>
            <w:r w:rsidRPr="00F048F3">
              <w:rPr>
                <w:rFonts w:ascii="Calibri" w:hAnsi="Calibri"/>
                <w:sz w:val="22"/>
                <w:szCs w:val="22"/>
                <w:lang w:bidi="ar-AE"/>
              </w:rPr>
              <w:t>, ed. by Muwafaq Fawz</w:t>
            </w:r>
            <w:r>
              <w:rPr>
                <w:rFonts w:ascii="Calibri" w:hAnsi="Calibri"/>
                <w:sz w:val="22"/>
                <w:szCs w:val="22"/>
                <w:lang w:bidi="ar-AE"/>
              </w:rPr>
              <w:t>ī</w:t>
            </w:r>
            <w:r w:rsidRPr="00F048F3">
              <w:rPr>
                <w:rFonts w:ascii="Calibri" w:hAnsi="Calibri"/>
                <w:sz w:val="22"/>
                <w:szCs w:val="22"/>
                <w:lang w:bidi="ar-AE"/>
              </w:rPr>
              <w:t xml:space="preserve"> al-Jaber (Damascus: D</w:t>
            </w:r>
            <w:r>
              <w:rPr>
                <w:rFonts w:ascii="Calibri" w:hAnsi="Calibri"/>
                <w:sz w:val="22"/>
                <w:szCs w:val="22"/>
                <w:lang w:bidi="ar-AE"/>
              </w:rPr>
              <w:t>ā</w:t>
            </w:r>
            <w:r w:rsidRPr="00F048F3">
              <w:rPr>
                <w:rFonts w:ascii="Calibri" w:hAnsi="Calibri"/>
                <w:sz w:val="22"/>
                <w:szCs w:val="22"/>
                <w:lang w:bidi="ar-AE"/>
              </w:rPr>
              <w:t>r al-Numa</w:t>
            </w:r>
            <w:r>
              <w:rPr>
                <w:rFonts w:ascii="Calibri" w:hAnsi="Calibri"/>
                <w:sz w:val="22"/>
                <w:szCs w:val="22"/>
                <w:lang w:bidi="ar-AE"/>
              </w:rPr>
              <w:t>ī</w:t>
            </w:r>
            <w:r w:rsidRPr="00F048F3">
              <w:rPr>
                <w:rFonts w:ascii="Calibri" w:hAnsi="Calibri"/>
                <w:sz w:val="22"/>
                <w:szCs w:val="22"/>
                <w:lang w:bidi="ar-AE"/>
              </w:rPr>
              <w:t>r lil-Tib</w:t>
            </w:r>
            <w:r>
              <w:rPr>
                <w:rFonts w:ascii="Calibri" w:hAnsi="Calibri"/>
                <w:sz w:val="22"/>
                <w:szCs w:val="22"/>
                <w:lang w:bidi="ar-AE"/>
              </w:rPr>
              <w:t>ā</w:t>
            </w:r>
            <w:r w:rsidRPr="00F048F3">
              <w:rPr>
                <w:rFonts w:ascii="Calibri" w:hAnsi="Calibri"/>
                <w:sz w:val="22"/>
                <w:szCs w:val="22"/>
                <w:lang w:bidi="ar-AE"/>
              </w:rPr>
              <w:t>’ah wal-Nashr wal-Tawz</w:t>
            </w:r>
            <w:r>
              <w:rPr>
                <w:rFonts w:ascii="Calibri" w:hAnsi="Calibri"/>
                <w:sz w:val="22"/>
                <w:szCs w:val="22"/>
                <w:lang w:bidi="ar-AE"/>
              </w:rPr>
              <w:t>ī</w:t>
            </w:r>
            <w:r w:rsidRPr="00F048F3">
              <w:rPr>
                <w:rFonts w:ascii="Calibri" w:hAnsi="Calibri"/>
                <w:sz w:val="22"/>
                <w:szCs w:val="22"/>
                <w:lang w:bidi="ar-AE"/>
              </w:rPr>
              <w:t>’, 1995)</w:t>
            </w:r>
          </w:p>
          <w:p w:rsidR="00FF1BA2" w:rsidRPr="00F048F3" w:rsidRDefault="00FF1BA2" w:rsidP="00670D42">
            <w:pPr>
              <w:pStyle w:val="NormalWeb"/>
              <w:spacing w:before="0" w:beforeAutospacing="0" w:after="0" w:afterAutospacing="0"/>
              <w:rPr>
                <w:rFonts w:ascii="Calibri" w:hAnsi="Calibri"/>
                <w:b/>
                <w:bCs/>
                <w:sz w:val="22"/>
                <w:szCs w:val="22"/>
              </w:rPr>
            </w:pP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1916-1992 CE:</w:t>
            </w:r>
          </w:p>
          <w:p w:rsidR="00FF1BA2" w:rsidRPr="00F048F3" w:rsidRDefault="00FF1BA2" w:rsidP="00670D42">
            <w:pPr>
              <w:pStyle w:val="NormalWeb"/>
              <w:spacing w:before="0" w:beforeAutospacing="0" w:after="0" w:afterAutospacing="0"/>
              <w:rPr>
                <w:rFonts w:ascii="Calibri" w:hAnsi="Calibri"/>
                <w:sz w:val="22"/>
                <w:szCs w:val="22"/>
              </w:rPr>
            </w:pPr>
            <w:r w:rsidRPr="00F048F3">
              <w:rPr>
                <w:rFonts w:ascii="Calibri" w:hAnsi="Calibri"/>
                <w:sz w:val="22"/>
                <w:szCs w:val="22"/>
              </w:rPr>
              <w:t>al-Tuwa</w:t>
            </w:r>
            <w:r>
              <w:rPr>
                <w:rFonts w:ascii="Calibri" w:hAnsi="Calibri"/>
                <w:sz w:val="22"/>
                <w:szCs w:val="22"/>
              </w:rPr>
              <w:t>ī</w:t>
            </w:r>
            <w:r w:rsidRPr="00F048F3">
              <w:rPr>
                <w:rFonts w:ascii="Calibri" w:hAnsi="Calibri"/>
                <w:sz w:val="22"/>
                <w:szCs w:val="22"/>
              </w:rPr>
              <w:t>jr</w:t>
            </w:r>
            <w:r>
              <w:rPr>
                <w:rFonts w:ascii="Calibri" w:hAnsi="Calibri"/>
                <w:sz w:val="22"/>
                <w:szCs w:val="22"/>
              </w:rPr>
              <w:t>ī</w:t>
            </w:r>
            <w:r w:rsidRPr="00F048F3">
              <w:rPr>
                <w:rFonts w:ascii="Calibri" w:hAnsi="Calibri"/>
                <w:sz w:val="22"/>
                <w:szCs w:val="22"/>
              </w:rPr>
              <w:t xml:space="preserve">, </w:t>
            </w:r>
            <w:r>
              <w:rPr>
                <w:rFonts w:ascii="Calibri" w:hAnsi="Calibri"/>
                <w:sz w:val="22"/>
                <w:szCs w:val="22"/>
              </w:rPr>
              <w:t>Ḥ</w:t>
            </w:r>
            <w:r w:rsidRPr="00F048F3">
              <w:rPr>
                <w:rFonts w:ascii="Calibri" w:hAnsi="Calibri"/>
                <w:sz w:val="22"/>
                <w:szCs w:val="22"/>
              </w:rPr>
              <w:t>m</w:t>
            </w:r>
            <w:r>
              <w:rPr>
                <w:rFonts w:ascii="Calibri" w:hAnsi="Calibri"/>
                <w:sz w:val="22"/>
                <w:szCs w:val="22"/>
              </w:rPr>
              <w:t>ū</w:t>
            </w:r>
            <w:r w:rsidRPr="00F048F3">
              <w:rPr>
                <w:rFonts w:ascii="Calibri" w:hAnsi="Calibri"/>
                <w:sz w:val="22"/>
                <w:szCs w:val="22"/>
              </w:rPr>
              <w:t xml:space="preserve">d b. ‘Abdulla, </w:t>
            </w:r>
            <w:r w:rsidRPr="00F048F3">
              <w:rPr>
                <w:rFonts w:ascii="Calibri" w:hAnsi="Calibri"/>
                <w:i/>
                <w:iCs/>
                <w:sz w:val="22"/>
                <w:szCs w:val="22"/>
              </w:rPr>
              <w:t>On the Tribulations, Battles and Portents of the Last Day</w:t>
            </w:r>
            <w:r w:rsidRPr="00F048F3">
              <w:rPr>
                <w:rFonts w:ascii="Calibri" w:hAnsi="Calibri"/>
                <w:sz w:val="22"/>
                <w:szCs w:val="22"/>
              </w:rPr>
              <w:t xml:space="preserve"> (n.p.: printed by author, 1394 Hijri)</w:t>
            </w:r>
          </w:p>
          <w:p w:rsidR="00FF1BA2" w:rsidRPr="00F048F3" w:rsidRDefault="00FF1BA2" w:rsidP="00670D42">
            <w:pPr>
              <w:pStyle w:val="NormalWeb"/>
              <w:spacing w:before="0" w:beforeAutospacing="0" w:after="0" w:afterAutospacing="0"/>
              <w:rPr>
                <w:rFonts w:ascii="Calibri" w:hAnsi="Calibri"/>
                <w:b/>
                <w:bCs/>
                <w:sz w:val="22"/>
                <w:szCs w:val="22"/>
              </w:rPr>
            </w:pPr>
          </w:p>
          <w:p w:rsidR="00FF1BA2" w:rsidRPr="00F048F3" w:rsidRDefault="00FF1BA2" w:rsidP="00670D42">
            <w:pPr>
              <w:pStyle w:val="NormalWeb"/>
              <w:spacing w:before="0" w:beforeAutospacing="0" w:after="0" w:afterAutospacing="0"/>
              <w:rPr>
                <w:rFonts w:ascii="Calibri" w:hAnsi="Calibri"/>
                <w:b/>
                <w:bCs/>
                <w:sz w:val="22"/>
                <w:szCs w:val="22"/>
              </w:rPr>
            </w:pPr>
            <w:r w:rsidRPr="00F048F3">
              <w:rPr>
                <w:rFonts w:ascii="Calibri" w:hAnsi="Calibri"/>
                <w:b/>
                <w:bCs/>
                <w:sz w:val="22"/>
                <w:szCs w:val="22"/>
              </w:rPr>
              <w:t>1906-1966 CE:</w:t>
            </w:r>
          </w:p>
          <w:p w:rsidR="00FF1BA2" w:rsidRPr="00F048F3" w:rsidRDefault="00FF1BA2" w:rsidP="00670D42">
            <w:pPr>
              <w:pStyle w:val="NormalWeb"/>
              <w:spacing w:before="0" w:beforeAutospacing="0" w:after="0" w:afterAutospacing="0"/>
              <w:rPr>
                <w:rFonts w:ascii="Calibri" w:hAnsi="Calibri"/>
                <w:sz w:val="22"/>
                <w:szCs w:val="22"/>
              </w:rPr>
            </w:pPr>
            <w:r w:rsidRPr="00F048F3">
              <w:rPr>
                <w:rFonts w:ascii="Calibri" w:hAnsi="Calibri"/>
                <w:sz w:val="22"/>
                <w:szCs w:val="22"/>
              </w:rPr>
              <w:t xml:space="preserve">Kotb, Sayed, </w:t>
            </w:r>
            <w:r w:rsidRPr="00F048F3">
              <w:rPr>
                <w:rFonts w:ascii="Calibri" w:hAnsi="Calibri"/>
                <w:i/>
                <w:iCs/>
                <w:sz w:val="22"/>
                <w:szCs w:val="22"/>
              </w:rPr>
              <w:t>The Scenes of the Day of Resurrection in the Qur’</w:t>
            </w:r>
            <w:r w:rsidRPr="00EE3A46">
              <w:rPr>
                <w:rFonts w:ascii="Calibri" w:hAnsi="Calibri"/>
                <w:i/>
                <w:iCs/>
                <w:sz w:val="22"/>
                <w:szCs w:val="22"/>
              </w:rPr>
              <w:t>ā</w:t>
            </w:r>
            <w:r w:rsidRPr="00F048F3">
              <w:rPr>
                <w:rFonts w:ascii="Calibri" w:hAnsi="Calibri"/>
                <w:i/>
                <w:iCs/>
                <w:sz w:val="22"/>
                <w:szCs w:val="22"/>
              </w:rPr>
              <w:t>n</w:t>
            </w:r>
            <w:r w:rsidRPr="00F048F3">
              <w:rPr>
                <w:rFonts w:ascii="Calibri" w:hAnsi="Calibri"/>
                <w:sz w:val="22"/>
                <w:szCs w:val="22"/>
              </w:rPr>
              <w:t xml:space="preserve"> (Cairo: D</w:t>
            </w:r>
            <w:r w:rsidRPr="00EE3A46">
              <w:rPr>
                <w:rFonts w:ascii="Calibri" w:hAnsi="Calibri"/>
                <w:sz w:val="22"/>
                <w:szCs w:val="22"/>
              </w:rPr>
              <w:t>ā</w:t>
            </w:r>
            <w:r w:rsidRPr="00F048F3">
              <w:rPr>
                <w:rFonts w:ascii="Calibri" w:hAnsi="Calibri"/>
                <w:sz w:val="22"/>
                <w:szCs w:val="22"/>
              </w:rPr>
              <w:t>r al-Shur</w:t>
            </w:r>
            <w:r w:rsidRPr="00EE3A46">
              <w:rPr>
                <w:rFonts w:ascii="Calibri" w:hAnsi="Calibri"/>
                <w:sz w:val="22"/>
                <w:szCs w:val="22"/>
              </w:rPr>
              <w:t>ū</w:t>
            </w:r>
            <w:r w:rsidRPr="00F048F3">
              <w:rPr>
                <w:rFonts w:ascii="Calibri" w:hAnsi="Calibri"/>
                <w:sz w:val="22"/>
                <w:szCs w:val="22"/>
              </w:rPr>
              <w:t>q, 1993)</w:t>
            </w:r>
          </w:p>
          <w:p w:rsidR="00FF1BA2" w:rsidRPr="008A3CA8" w:rsidRDefault="00FF1BA2" w:rsidP="00670D42">
            <w:pPr>
              <w:rPr>
                <w:rFonts w:cs="Arial"/>
              </w:rPr>
            </w:pPr>
          </w:p>
          <w:p w:rsidR="00FF1BA2" w:rsidRPr="008A3CA8" w:rsidRDefault="00FF1BA2" w:rsidP="00670D42">
            <w:pPr>
              <w:rPr>
                <w:rFonts w:cs="Arial"/>
              </w:rPr>
            </w:pPr>
          </w:p>
          <w:p w:rsidR="00FF1BA2" w:rsidRPr="00566A19" w:rsidRDefault="00FF1BA2" w:rsidP="00670D42">
            <w:pPr>
              <w:bidi/>
              <w:jc w:val="center"/>
              <w:rPr>
                <w:b/>
                <w:lang w:bidi="ar-AE"/>
              </w:rPr>
            </w:pPr>
            <w:r w:rsidRPr="008A3CA8">
              <w:rPr>
                <w:b/>
                <w:lang w:bidi="ar-AE"/>
              </w:rPr>
              <w:t>Books on the Scientific</w:t>
            </w:r>
            <w:r w:rsidRPr="008A3CA8">
              <w:rPr>
                <w:b/>
                <w:i/>
                <w:iCs/>
                <w:lang w:bidi="ar-AE"/>
              </w:rPr>
              <w:t xml:space="preserve"> I’jāz</w:t>
            </w:r>
            <w:r w:rsidRPr="008A3CA8">
              <w:rPr>
                <w:b/>
                <w:lang w:bidi="ar-AE"/>
              </w:rPr>
              <w:t xml:space="preserve"> (Inimitability) of the Qur’ān, Cosmic and Last Day Ve</w:t>
            </w:r>
            <w:r>
              <w:rPr>
                <w:b/>
                <w:lang w:bidi="ar-AE"/>
              </w:rPr>
              <w:t>rses</w:t>
            </w:r>
          </w:p>
          <w:p w:rsidR="00FF1BA2" w:rsidRPr="008A3CA8" w:rsidRDefault="00FF1BA2" w:rsidP="00670D42">
            <w:pPr>
              <w:tabs>
                <w:tab w:val="left" w:pos="1620"/>
              </w:tabs>
              <w:rPr>
                <w:lang w:bidi="ar-AE"/>
              </w:rPr>
            </w:pPr>
            <w:r w:rsidRPr="008A3CA8">
              <w:rPr>
                <w:lang w:bidi="ar-AE"/>
              </w:rPr>
              <w:t xml:space="preserve">al-Sharīf, ‘Adnān, </w:t>
            </w:r>
            <w:r w:rsidRPr="008A3CA8">
              <w:rPr>
                <w:i/>
                <w:iCs/>
                <w:lang w:bidi="ar-AE"/>
              </w:rPr>
              <w:t>Qur’ānic Astronomy</w:t>
            </w:r>
            <w:r w:rsidRPr="008A3CA8">
              <w:rPr>
                <w:lang w:bidi="ar-AE"/>
              </w:rPr>
              <w:t xml:space="preserve"> (Beirut: Dār al-‘Ilm lil-Malayīn, 1993)</w:t>
            </w:r>
          </w:p>
          <w:p w:rsidR="00FF1BA2" w:rsidRPr="008A3CA8" w:rsidRDefault="00FF1BA2" w:rsidP="00670D42">
            <w:pPr>
              <w:tabs>
                <w:tab w:val="left" w:pos="1620"/>
              </w:tabs>
              <w:ind w:left="450" w:hanging="450"/>
              <w:rPr>
                <w:lang w:bidi="ar-AE"/>
              </w:rPr>
            </w:pPr>
          </w:p>
          <w:p w:rsidR="00FF1BA2" w:rsidRPr="008A3CA8" w:rsidRDefault="00FF1BA2" w:rsidP="00670D42">
            <w:pPr>
              <w:tabs>
                <w:tab w:val="left" w:pos="1620"/>
              </w:tabs>
              <w:ind w:left="450" w:hanging="450"/>
              <w:rPr>
                <w:lang w:bidi="ar-AE"/>
              </w:rPr>
            </w:pPr>
            <w:r w:rsidRPr="008A3CA8">
              <w:rPr>
                <w:lang w:bidi="ar-AE"/>
              </w:rPr>
              <w:t xml:space="preserve">al-Sa’dī, Dawūd Salmān, </w:t>
            </w:r>
            <w:r w:rsidRPr="008A3CA8">
              <w:rPr>
                <w:i/>
                <w:iCs/>
                <w:lang w:bidi="ar-AE"/>
              </w:rPr>
              <w:t>The Day of Resurrection in Science and the Qur’ān</w:t>
            </w:r>
            <w:r w:rsidRPr="008A3CA8">
              <w:rPr>
                <w:lang w:bidi="ar-AE"/>
              </w:rPr>
              <w:t xml:space="preserve"> (Beirut: Dār al-Ḥarf al-‘Arabī, 1999)</w:t>
            </w:r>
          </w:p>
          <w:p w:rsidR="00FF1BA2" w:rsidRPr="008A3CA8" w:rsidRDefault="00FF1BA2" w:rsidP="00670D42">
            <w:pPr>
              <w:tabs>
                <w:tab w:val="left" w:pos="1620"/>
              </w:tabs>
              <w:ind w:left="450" w:hanging="450"/>
              <w:rPr>
                <w:lang w:bidi="ar-AE"/>
              </w:rPr>
            </w:pPr>
          </w:p>
          <w:p w:rsidR="00FF1BA2" w:rsidRPr="008A3CA8" w:rsidRDefault="00FF1BA2" w:rsidP="00670D42">
            <w:pPr>
              <w:tabs>
                <w:tab w:val="left" w:pos="1620"/>
              </w:tabs>
              <w:ind w:left="450" w:hanging="450"/>
              <w:rPr>
                <w:lang w:bidi="ar-AE"/>
              </w:rPr>
            </w:pPr>
            <w:r w:rsidRPr="008A3CA8">
              <w:rPr>
                <w:lang w:bidi="ar-AE"/>
              </w:rPr>
              <w:t xml:space="preserve">al-Ḥillī, Muḥammad ‘Alī Ḥassan, </w:t>
            </w:r>
            <w:r w:rsidRPr="008A3CA8">
              <w:rPr>
                <w:i/>
                <w:iCs/>
                <w:lang w:bidi="ar-AE"/>
              </w:rPr>
              <w:t>The Universe and the Qur’ān</w:t>
            </w:r>
            <w:r w:rsidRPr="008A3CA8">
              <w:rPr>
                <w:lang w:bidi="ar-AE"/>
              </w:rPr>
              <w:t xml:space="preserve"> (Beirut: Dār al-Kotob al-‘Ilmīya, 2010)</w:t>
            </w:r>
          </w:p>
          <w:p w:rsidR="00FF1BA2" w:rsidRPr="008A3CA8" w:rsidRDefault="00FF1BA2" w:rsidP="00670D42">
            <w:pPr>
              <w:tabs>
                <w:tab w:val="left" w:pos="1620"/>
              </w:tabs>
              <w:ind w:left="450" w:hanging="450"/>
              <w:rPr>
                <w:lang w:bidi="ar-AE"/>
              </w:rPr>
            </w:pPr>
          </w:p>
          <w:p w:rsidR="00FF1BA2" w:rsidRPr="008A3CA8" w:rsidRDefault="00FF1BA2" w:rsidP="00670D42">
            <w:pPr>
              <w:ind w:left="450" w:hanging="450"/>
              <w:rPr>
                <w:lang w:bidi="ar-AE"/>
              </w:rPr>
            </w:pPr>
            <w:r w:rsidRPr="008A3CA8">
              <w:rPr>
                <w:lang w:bidi="ar-AE"/>
              </w:rPr>
              <w:t xml:space="preserve">Nāṣer, ‘Abd al-Hādī, </w:t>
            </w:r>
            <w:r w:rsidRPr="008A3CA8">
              <w:rPr>
                <w:i/>
                <w:iCs/>
                <w:lang w:bidi="ar-AE"/>
              </w:rPr>
              <w:t>Glimpses into the Universe and the Qur’ān</w:t>
            </w:r>
            <w:r w:rsidRPr="008A3CA8">
              <w:rPr>
                <w:lang w:bidi="ar-AE"/>
              </w:rPr>
              <w:t xml:space="preserve"> (Cairo: al-Maktaba al-Akādīmīya, 1995)</w:t>
            </w:r>
          </w:p>
          <w:p w:rsidR="00FF1BA2" w:rsidRPr="008A3CA8" w:rsidRDefault="00FF1BA2" w:rsidP="00670D42">
            <w:pPr>
              <w:rPr>
                <w:rFonts w:cs="Arial"/>
              </w:rPr>
            </w:pPr>
          </w:p>
          <w:p w:rsidR="00FF1BA2" w:rsidRPr="008A3CA8" w:rsidRDefault="00FF1BA2" w:rsidP="00670D42">
            <w:pPr>
              <w:jc w:val="center"/>
              <w:rPr>
                <w:rFonts w:cs="Arial"/>
                <w:b/>
                <w:bCs/>
              </w:rPr>
            </w:pPr>
          </w:p>
          <w:p w:rsidR="00FF1BA2" w:rsidRPr="008A3CA8" w:rsidRDefault="00FF1BA2" w:rsidP="00670D42">
            <w:pPr>
              <w:jc w:val="center"/>
              <w:rPr>
                <w:rFonts w:cs="Arial"/>
                <w:b/>
                <w:bCs/>
              </w:rPr>
            </w:pPr>
            <w:r w:rsidRPr="008A3CA8">
              <w:rPr>
                <w:rFonts w:cs="Arial"/>
                <w:b/>
                <w:bCs/>
              </w:rPr>
              <w:t>Books on Eschatology &amp; Cosmology</w:t>
            </w:r>
          </w:p>
          <w:p w:rsidR="00FF1BA2" w:rsidRDefault="00FF1BA2" w:rsidP="00670D42">
            <w:pPr>
              <w:pStyle w:val="ListParagraph"/>
              <w:spacing w:after="100" w:afterAutospacing="1" w:line="240" w:lineRule="auto"/>
              <w:ind w:left="450" w:hanging="450"/>
              <w:rPr>
                <w:rFonts w:eastAsia="Times New Roman" w:cs="Times New Roman"/>
              </w:rPr>
            </w:pPr>
            <w:r w:rsidRPr="00B167E5">
              <w:rPr>
                <w:rFonts w:eastAsia="Times New Roman" w:cs="Times New Roman"/>
              </w:rPr>
              <w:t xml:space="preserve">Ellis, George F. R., </w:t>
            </w:r>
            <w:r w:rsidRPr="00B167E5">
              <w:rPr>
                <w:rFonts w:eastAsia="Times New Roman" w:cs="Times New Roman"/>
                <w:i/>
                <w:iCs/>
              </w:rPr>
              <w:t>The Far-Future Universe: Eschatology from a Cosmic Perspective</w:t>
            </w:r>
            <w:r w:rsidRPr="00B167E5">
              <w:rPr>
                <w:rFonts w:eastAsia="Times New Roman" w:cs="Times New Roman"/>
              </w:rPr>
              <w:t xml:space="preserve"> (Radnor: Templeton Foundation Press, 2002) </w:t>
            </w:r>
          </w:p>
          <w:p w:rsidR="00FF1BA2" w:rsidRDefault="00FF1BA2" w:rsidP="00670D42">
            <w:pPr>
              <w:pStyle w:val="ListParagraph"/>
              <w:spacing w:before="100" w:beforeAutospacing="1" w:after="100" w:afterAutospacing="1" w:line="240" w:lineRule="auto"/>
              <w:ind w:left="450" w:hanging="450"/>
              <w:rPr>
                <w:rStyle w:val="selectable"/>
              </w:rPr>
            </w:pPr>
          </w:p>
          <w:p w:rsidR="00FF1BA2" w:rsidRPr="00432E02" w:rsidRDefault="00FF1BA2" w:rsidP="00670D42">
            <w:pPr>
              <w:pStyle w:val="ListParagraph"/>
              <w:spacing w:before="100" w:beforeAutospacing="1" w:after="100" w:afterAutospacing="1" w:line="240" w:lineRule="auto"/>
              <w:ind w:left="450" w:hanging="450"/>
              <w:rPr>
                <w:rStyle w:val="selectable"/>
                <w:rFonts w:eastAsia="Times New Roman" w:cs="Times New Roman"/>
              </w:rPr>
            </w:pPr>
            <w:r>
              <w:rPr>
                <w:rStyle w:val="selectable"/>
              </w:rPr>
              <w:t xml:space="preserve">Filiu, Jean-Pierre, and M. B DeBevoise, </w:t>
            </w:r>
            <w:r>
              <w:rPr>
                <w:rStyle w:val="selectable"/>
                <w:i/>
                <w:iCs/>
              </w:rPr>
              <w:t>Apocalypse In Islam</w:t>
            </w:r>
            <w:r>
              <w:rPr>
                <w:rStyle w:val="selectable"/>
              </w:rPr>
              <w:t xml:space="preserve"> (Berkeley: University of California Press, 2011)</w:t>
            </w:r>
          </w:p>
          <w:p w:rsidR="00FF1BA2" w:rsidRDefault="00FF1BA2" w:rsidP="00670D42">
            <w:pPr>
              <w:pStyle w:val="ListParagraph"/>
              <w:spacing w:before="100" w:beforeAutospacing="1" w:after="100" w:afterAutospacing="1" w:line="240" w:lineRule="auto"/>
              <w:ind w:left="450" w:hanging="450"/>
              <w:rPr>
                <w:rStyle w:val="selectable"/>
              </w:rPr>
            </w:pPr>
          </w:p>
          <w:p w:rsidR="00FF1BA2" w:rsidRPr="00432E02" w:rsidRDefault="00FF1BA2" w:rsidP="00670D42">
            <w:pPr>
              <w:pStyle w:val="ListParagraph"/>
              <w:spacing w:before="100" w:beforeAutospacing="1" w:after="100" w:afterAutospacing="1" w:line="240" w:lineRule="auto"/>
              <w:ind w:left="450" w:hanging="450"/>
              <w:rPr>
                <w:rFonts w:eastAsia="Times New Roman" w:cs="Times New Roman"/>
              </w:rPr>
            </w:pPr>
            <w:r>
              <w:rPr>
                <w:rStyle w:val="selectable"/>
              </w:rPr>
              <w:t xml:space="preserve">Harvey, Sarah, and Suzanne Newcombe, </w:t>
            </w:r>
            <w:r>
              <w:rPr>
                <w:rStyle w:val="selectable"/>
                <w:i/>
                <w:iCs/>
              </w:rPr>
              <w:t>Prophecy In The New Millennium</w:t>
            </w:r>
            <w:r>
              <w:rPr>
                <w:rStyle w:val="selectable"/>
              </w:rPr>
              <w:t xml:space="preserve"> (Farnham, Surrey, England: Ashgate, 2013)</w:t>
            </w:r>
          </w:p>
          <w:p w:rsidR="00FF1BA2" w:rsidRDefault="00FF1BA2" w:rsidP="00670D42">
            <w:pPr>
              <w:pStyle w:val="ListParagraph"/>
              <w:spacing w:before="100" w:beforeAutospacing="1" w:after="100" w:afterAutospacing="1" w:line="240" w:lineRule="auto"/>
              <w:ind w:left="450" w:hanging="450"/>
              <w:rPr>
                <w:rStyle w:val="selectable"/>
              </w:rPr>
            </w:pPr>
          </w:p>
          <w:p w:rsidR="00FF1BA2" w:rsidRPr="00803956" w:rsidRDefault="00FF1BA2" w:rsidP="00670D42">
            <w:pPr>
              <w:pStyle w:val="ListParagraph"/>
              <w:spacing w:before="100" w:beforeAutospacing="1" w:after="100" w:afterAutospacing="1" w:line="240" w:lineRule="auto"/>
              <w:ind w:left="450" w:hanging="450"/>
              <w:rPr>
                <w:rFonts w:eastAsia="Times New Roman" w:cs="Times New Roman"/>
              </w:rPr>
            </w:pPr>
            <w:r>
              <w:rPr>
                <w:rStyle w:val="selectable"/>
              </w:rPr>
              <w:t xml:space="preserve">Lindsey, Hal, and Carole C Carlson, </w:t>
            </w:r>
            <w:r>
              <w:rPr>
                <w:rStyle w:val="selectable"/>
                <w:i/>
                <w:iCs/>
              </w:rPr>
              <w:t>The Late Great Planet Earth</w:t>
            </w:r>
            <w:r>
              <w:rPr>
                <w:rStyle w:val="selectable"/>
              </w:rPr>
              <w:t xml:space="preserve"> (Grand Rapids: Zondervan, 1970)</w:t>
            </w:r>
          </w:p>
          <w:p w:rsidR="00FF1BA2" w:rsidRDefault="00FF1BA2" w:rsidP="00670D42">
            <w:pPr>
              <w:pStyle w:val="ListParagraph"/>
              <w:spacing w:before="100" w:beforeAutospacing="1" w:after="100" w:afterAutospacing="1" w:line="240" w:lineRule="auto"/>
              <w:ind w:left="450" w:hanging="450"/>
              <w:rPr>
                <w:rFonts w:eastAsia="Times New Roman" w:cs="Times New Roman"/>
              </w:rPr>
            </w:pPr>
          </w:p>
          <w:p w:rsidR="00FF1BA2" w:rsidRPr="00803956" w:rsidRDefault="00FF1BA2" w:rsidP="00670D42">
            <w:pPr>
              <w:pStyle w:val="ListParagraph"/>
              <w:spacing w:before="100" w:beforeAutospacing="1" w:after="100" w:afterAutospacing="1" w:line="240" w:lineRule="auto"/>
              <w:ind w:left="450" w:hanging="450"/>
              <w:rPr>
                <w:rFonts w:eastAsia="Times New Roman" w:cs="Times New Roman"/>
              </w:rPr>
            </w:pPr>
            <w:r w:rsidRPr="00331BAC">
              <w:rPr>
                <w:rFonts w:eastAsia="Times New Roman" w:cs="Times New Roman"/>
              </w:rPr>
              <w:t xml:space="preserve">Polkinghorne, John and Michael Welker, </w:t>
            </w:r>
            <w:r w:rsidRPr="00331BAC">
              <w:rPr>
                <w:rFonts w:eastAsia="Times New Roman" w:cs="Times New Roman"/>
                <w:i/>
                <w:iCs/>
              </w:rPr>
              <w:t>The End of the World and the Ends of God: Science and Theology on Eschatology</w:t>
            </w:r>
            <w:r w:rsidRPr="00331BAC">
              <w:rPr>
                <w:rFonts w:eastAsia="Times New Roman" w:cs="Times New Roman"/>
              </w:rPr>
              <w:t xml:space="preserve"> (Harrisburg: Trinity Press International, 2000) </w:t>
            </w:r>
          </w:p>
          <w:p w:rsidR="00FF1BA2" w:rsidRPr="008A3CA8" w:rsidRDefault="00FF1BA2" w:rsidP="00670D42">
            <w:r w:rsidRPr="008A3CA8">
              <w:t xml:space="preserve">Walls, Jerry L., </w:t>
            </w:r>
            <w:r w:rsidRPr="008A3CA8">
              <w:rPr>
                <w:i/>
                <w:iCs/>
              </w:rPr>
              <w:t>The Oxford Handbook of Eschatology</w:t>
            </w:r>
            <w:r w:rsidRPr="008A3CA8">
              <w:t xml:space="preserve"> (Oxford: Oxford University Press, 2007</w:t>
            </w:r>
          </w:p>
          <w:p w:rsidR="00FF1BA2" w:rsidRDefault="00FF1BA2" w:rsidP="00670D42">
            <w:pPr>
              <w:pStyle w:val="ListParagraph"/>
              <w:spacing w:before="100" w:beforeAutospacing="1" w:after="100" w:afterAutospacing="1" w:line="240" w:lineRule="auto"/>
              <w:ind w:left="450" w:hanging="450"/>
              <w:rPr>
                <w:rFonts w:eastAsia="Times New Roman" w:cs="Times New Roman"/>
              </w:rPr>
            </w:pPr>
            <w:r w:rsidRPr="00803956">
              <w:rPr>
                <w:rFonts w:eastAsia="Times New Roman" w:cs="Times New Roman"/>
              </w:rPr>
              <w:t xml:space="preserve">Barbour, Ian G., </w:t>
            </w:r>
            <w:r w:rsidRPr="00803956">
              <w:rPr>
                <w:rFonts w:eastAsia="Times New Roman" w:cs="Times New Roman"/>
                <w:i/>
                <w:iCs/>
              </w:rPr>
              <w:t>When Science Meets Religion: Enemies, Strangers, Or Partners?</w:t>
            </w:r>
            <w:r w:rsidRPr="00803956">
              <w:rPr>
                <w:rFonts w:eastAsia="Times New Roman" w:cs="Times New Roman"/>
              </w:rPr>
              <w:t xml:space="preserve"> (San Francisco: Harper, 2000) </w:t>
            </w:r>
          </w:p>
          <w:p w:rsidR="00FF1BA2" w:rsidRDefault="00FF1BA2" w:rsidP="00670D42">
            <w:pPr>
              <w:pStyle w:val="ListParagraph"/>
              <w:spacing w:before="100" w:beforeAutospacing="1" w:after="100" w:afterAutospacing="1" w:line="240" w:lineRule="auto"/>
              <w:ind w:left="450" w:hanging="450"/>
              <w:rPr>
                <w:rFonts w:eastAsia="Times New Roman" w:cs="Times New Roman"/>
              </w:rPr>
            </w:pPr>
          </w:p>
          <w:p w:rsidR="00FF1BA2" w:rsidRDefault="00FF1BA2" w:rsidP="00670D42">
            <w:pPr>
              <w:pStyle w:val="ListParagraph"/>
              <w:spacing w:before="100" w:beforeAutospacing="1" w:after="100" w:afterAutospacing="1" w:line="240" w:lineRule="auto"/>
              <w:ind w:left="450" w:hanging="450"/>
              <w:rPr>
                <w:rFonts w:eastAsia="Times New Roman" w:cs="Times New Roman"/>
              </w:rPr>
            </w:pPr>
            <w:r w:rsidRPr="00803956">
              <w:rPr>
                <w:rFonts w:eastAsia="Times New Roman" w:cs="Times New Roman"/>
              </w:rPr>
              <w:t xml:space="preserve">Russell, Robert J., </w:t>
            </w:r>
            <w:r w:rsidRPr="00803956">
              <w:rPr>
                <w:rFonts w:eastAsia="Times New Roman" w:cs="Times New Roman"/>
                <w:i/>
                <w:iCs/>
              </w:rPr>
              <w:t xml:space="preserve">Chaos Complexity: Scientific Perspectives on Divine Action </w:t>
            </w:r>
            <w:r w:rsidRPr="00803956">
              <w:rPr>
                <w:rFonts w:eastAsia="Times New Roman" w:cs="Times New Roman"/>
              </w:rPr>
              <w:t xml:space="preserve">(Notre Dame: </w:t>
            </w:r>
            <w:r w:rsidRPr="00803956">
              <w:rPr>
                <w:rFonts w:eastAsia="Times New Roman" w:cs="Times New Roman"/>
              </w:rPr>
              <w:lastRenderedPageBreak/>
              <w:t>University of Notre Dame Press, 1966)</w:t>
            </w:r>
          </w:p>
          <w:p w:rsidR="00FF1BA2" w:rsidRDefault="00FF1BA2" w:rsidP="00670D42">
            <w:pPr>
              <w:pStyle w:val="ListParagraph"/>
              <w:spacing w:before="100" w:beforeAutospacing="1" w:after="100" w:afterAutospacing="1" w:line="240" w:lineRule="auto"/>
              <w:ind w:left="450" w:hanging="450"/>
              <w:rPr>
                <w:rFonts w:eastAsia="Times New Roman" w:cs="Times New Roman"/>
              </w:rPr>
            </w:pPr>
            <w:r w:rsidRPr="00803956">
              <w:rPr>
                <w:rFonts w:eastAsia="Times New Roman" w:cs="Times New Roman"/>
              </w:rPr>
              <w:t xml:space="preserve"> </w:t>
            </w:r>
          </w:p>
          <w:p w:rsidR="00FF1BA2" w:rsidRDefault="00FF1BA2" w:rsidP="00670D42">
            <w:pPr>
              <w:pStyle w:val="ListParagraph"/>
              <w:spacing w:before="100" w:beforeAutospacing="1" w:after="100" w:afterAutospacing="1" w:line="240" w:lineRule="auto"/>
              <w:ind w:left="450" w:hanging="450"/>
              <w:rPr>
                <w:rFonts w:eastAsia="Times New Roman" w:cs="Times New Roman"/>
              </w:rPr>
            </w:pPr>
            <w:r w:rsidRPr="00803956">
              <w:rPr>
                <w:rFonts w:eastAsia="Times New Roman" w:cs="Times New Roman"/>
              </w:rPr>
              <w:t>---</w:t>
            </w:r>
            <w:r w:rsidRPr="00803956">
              <w:rPr>
                <w:rFonts w:eastAsia="Times New Roman" w:cs="Times New Roman"/>
                <w:i/>
                <w:iCs/>
              </w:rPr>
              <w:t>Cosmology from Alpha to Omega: The Creative Mutual Interaction of Theology and Science</w:t>
            </w:r>
            <w:r w:rsidRPr="00803956">
              <w:rPr>
                <w:rFonts w:eastAsia="Times New Roman" w:cs="Times New Roman"/>
              </w:rPr>
              <w:t xml:space="preserve"> (Min</w:t>
            </w:r>
            <w:r>
              <w:rPr>
                <w:rFonts w:eastAsia="Times New Roman" w:cs="Times New Roman"/>
              </w:rPr>
              <w:t>neapolis: Fortress Press, 2008)</w:t>
            </w:r>
          </w:p>
          <w:p w:rsidR="005C3615" w:rsidRDefault="005C3615" w:rsidP="00670D42">
            <w:pPr>
              <w:pStyle w:val="ListParagraph"/>
              <w:spacing w:before="100" w:beforeAutospacing="1" w:after="100" w:afterAutospacing="1" w:line="240" w:lineRule="auto"/>
              <w:ind w:left="450" w:hanging="450"/>
              <w:rPr>
                <w:rFonts w:eastAsia="Times New Roman" w:cs="Times New Roman"/>
              </w:rPr>
            </w:pPr>
          </w:p>
          <w:p w:rsidR="005C3615" w:rsidRPr="008A3CA8" w:rsidRDefault="005C3615" w:rsidP="005C3615">
            <w:pPr>
              <w:rPr>
                <w:rFonts w:cs="Arial"/>
              </w:rPr>
            </w:pPr>
            <w:r w:rsidRPr="008A3CA8">
              <w:rPr>
                <w:rFonts w:cs="Arial"/>
              </w:rPr>
              <w:t xml:space="preserve">Please find a more extensive list attached as a separate document titled: </w:t>
            </w:r>
          </w:p>
          <w:p w:rsidR="005C3615" w:rsidRPr="005C3615" w:rsidRDefault="005C3615" w:rsidP="005C3615">
            <w:pPr>
              <w:rPr>
                <w:rFonts w:cs="Arial"/>
              </w:rPr>
            </w:pPr>
            <w:r w:rsidRPr="008A3CA8">
              <w:rPr>
                <w:rFonts w:cs="Arial"/>
                <w:i/>
                <w:iCs/>
              </w:rPr>
              <w:t>Cosmic Chaos in I</w:t>
            </w:r>
            <w:r w:rsidR="006313FE">
              <w:rPr>
                <w:rFonts w:cs="Arial"/>
                <w:i/>
                <w:iCs/>
              </w:rPr>
              <w:t xml:space="preserve">slamic Apocalyptic Eschatology: Proposed </w:t>
            </w:r>
            <w:r w:rsidRPr="008A3CA8">
              <w:rPr>
                <w:rFonts w:cs="Arial"/>
                <w:i/>
                <w:iCs/>
              </w:rPr>
              <w:t>Bibliography</w:t>
            </w:r>
          </w:p>
          <w:p w:rsidR="00FF1BA2" w:rsidRPr="00566A19" w:rsidRDefault="00FF1BA2" w:rsidP="00670D42">
            <w:pPr>
              <w:pStyle w:val="ListParagraph"/>
              <w:spacing w:before="100" w:beforeAutospacing="1" w:after="100" w:afterAutospacing="1" w:line="240" w:lineRule="auto"/>
              <w:ind w:left="450" w:hanging="450"/>
              <w:rPr>
                <w:rFonts w:eastAsia="Times New Roman" w:cs="Times New Roman"/>
              </w:rPr>
            </w:pPr>
          </w:p>
        </w:tc>
      </w:tr>
      <w:tr w:rsidR="00FF1BA2" w:rsidRPr="001F5503" w:rsidTr="00670D42">
        <w:tc>
          <w:tcPr>
            <w:tcW w:w="8856" w:type="dxa"/>
          </w:tcPr>
          <w:p w:rsidR="00FF1BA2" w:rsidRDefault="00FF1BA2" w:rsidP="00670D42">
            <w:pPr>
              <w:rPr>
                <w:rFonts w:ascii="Arial" w:hAnsi="Arial" w:cs="Arial"/>
              </w:rPr>
            </w:pPr>
          </w:p>
          <w:p w:rsidR="00FF1BA2" w:rsidRPr="001F5503" w:rsidRDefault="00FF1BA2" w:rsidP="00670D42">
            <w:pPr>
              <w:rPr>
                <w:rFonts w:ascii="Arial" w:hAnsi="Arial" w:cs="Arial"/>
              </w:rPr>
            </w:pPr>
            <w:r w:rsidRPr="001F5503">
              <w:rPr>
                <w:rFonts w:ascii="Arial" w:hAnsi="Arial" w:cs="Arial"/>
              </w:rPr>
              <w:t>Proposed Supervisor:</w:t>
            </w:r>
          </w:p>
          <w:p w:rsidR="00FF1BA2" w:rsidRPr="001F5503" w:rsidRDefault="00FF1BA2" w:rsidP="00670D42">
            <w:pPr>
              <w:rPr>
                <w:rFonts w:ascii="Arial" w:hAnsi="Arial" w:cs="Arial"/>
              </w:rPr>
            </w:pPr>
          </w:p>
          <w:p w:rsidR="00FF1BA2" w:rsidRPr="008A3CA8" w:rsidRDefault="00FF1BA2" w:rsidP="00670D42">
            <w:pPr>
              <w:rPr>
                <w:rFonts w:cs="Arial"/>
              </w:rPr>
            </w:pPr>
            <w:r w:rsidRPr="008A3CA8">
              <w:rPr>
                <w:rFonts w:cs="Arial"/>
              </w:rPr>
              <w:t>Dr</w:t>
            </w:r>
            <w:r w:rsidR="006F48EF">
              <w:rPr>
                <w:rFonts w:cs="Arial"/>
              </w:rPr>
              <w:t>.</w:t>
            </w:r>
            <w:bookmarkStart w:id="53" w:name="_GoBack"/>
            <w:bookmarkEnd w:id="53"/>
            <w:r w:rsidRPr="008A3CA8">
              <w:rPr>
                <w:rFonts w:cs="Arial"/>
              </w:rPr>
              <w:t xml:space="preserve"> Nicholas Campion</w:t>
            </w:r>
          </w:p>
          <w:p w:rsidR="00FF1BA2" w:rsidRPr="001F5503" w:rsidRDefault="00FF1BA2" w:rsidP="00670D42">
            <w:pPr>
              <w:rPr>
                <w:rFonts w:ascii="Arial" w:hAnsi="Arial" w:cs="Arial"/>
              </w:rPr>
            </w:pPr>
          </w:p>
        </w:tc>
      </w:tr>
    </w:tbl>
    <w:p w:rsidR="00FF1BA2" w:rsidRDefault="00FF1BA2" w:rsidP="00FF1BA2">
      <w:pPr>
        <w:rPr>
          <w:rFonts w:ascii="Arial" w:hAnsi="Arial" w:cs="Arial"/>
        </w:rPr>
      </w:pPr>
    </w:p>
    <w:p w:rsidR="00FF1BA2" w:rsidRDefault="00FF1BA2" w:rsidP="00FF1BA2">
      <w:pPr>
        <w:rPr>
          <w:rFonts w:ascii="Arial" w:hAnsi="Arial" w:cs="Arial"/>
        </w:rPr>
      </w:pPr>
      <w:r>
        <w:rPr>
          <w:rFonts w:ascii="Arial" w:hAnsi="Arial" w:cs="Arial"/>
        </w:rPr>
        <w:t>Please indicate whether ethical approval for project is needed – YES/</w:t>
      </w:r>
      <w:r w:rsidRPr="00C30427">
        <w:rPr>
          <w:rFonts w:ascii="Arial" w:hAnsi="Arial" w:cs="Arial"/>
          <w:highlight w:val="yellow"/>
        </w:rPr>
        <w:t>NO</w:t>
      </w:r>
    </w:p>
    <w:p w:rsidR="00FF1BA2" w:rsidRDefault="00FF1BA2" w:rsidP="00FF1BA2">
      <w:pPr>
        <w:rPr>
          <w:rFonts w:ascii="Arial" w:hAnsi="Arial" w:cs="Arial"/>
        </w:rPr>
      </w:pPr>
    </w:p>
    <w:p w:rsidR="00FF1BA2" w:rsidRDefault="00FF1BA2" w:rsidP="00FF1BA2">
      <w:pPr>
        <w:rPr>
          <w:rFonts w:ascii="Arial" w:hAnsi="Arial" w:cs="Arial"/>
        </w:rPr>
      </w:pPr>
      <w:r>
        <w:rPr>
          <w:rFonts w:ascii="Arial" w:hAnsi="Arial" w:cs="Arial"/>
        </w:rPr>
        <w:t xml:space="preserve">Please indicate whether sufficient resources are available for the project – </w:t>
      </w:r>
      <w:r w:rsidRPr="00C30427">
        <w:rPr>
          <w:rFonts w:ascii="Arial" w:hAnsi="Arial" w:cs="Arial"/>
          <w:highlight w:val="yellow"/>
        </w:rPr>
        <w:t>YES</w:t>
      </w:r>
      <w:r>
        <w:rPr>
          <w:rFonts w:ascii="Arial" w:hAnsi="Arial" w:cs="Arial"/>
        </w:rPr>
        <w:t>/NO</w:t>
      </w:r>
    </w:p>
    <w:p w:rsidR="00FF1BA2" w:rsidRPr="003B0537" w:rsidRDefault="00FF1BA2" w:rsidP="00FF1BA2">
      <w:pPr>
        <w:rPr>
          <w:rFonts w:ascii="Arial" w:hAnsi="Arial" w:cs="Arial"/>
        </w:rPr>
      </w:pPr>
    </w:p>
    <w:p w:rsidR="00FF1BA2" w:rsidRPr="003B0537" w:rsidRDefault="00FF1BA2" w:rsidP="00FF1BA2">
      <w:pPr>
        <w:rPr>
          <w:rFonts w:ascii="Arial" w:hAnsi="Arial" w:cs="Arial"/>
        </w:rPr>
      </w:pPr>
    </w:p>
    <w:p w:rsidR="00FF1BA2" w:rsidRPr="003B0537" w:rsidRDefault="00FF1BA2" w:rsidP="00FF1BA2">
      <w:pPr>
        <w:rPr>
          <w:rFonts w:ascii="Arial" w:hAnsi="Arial" w:cs="Arial"/>
        </w:rPr>
      </w:pPr>
      <w:r w:rsidRPr="003B0537">
        <w:rPr>
          <w:rFonts w:ascii="Arial" w:hAnsi="Arial" w:cs="Arial"/>
        </w:rPr>
        <w:t xml:space="preserve">The above topic, proposal, and supervisor have been agreed:  </w:t>
      </w:r>
    </w:p>
    <w:p w:rsidR="00FF1BA2" w:rsidRPr="003B0537" w:rsidRDefault="00FF1BA2" w:rsidP="00FF1BA2">
      <w:pPr>
        <w:rPr>
          <w:rFonts w:ascii="Arial" w:hAnsi="Arial" w:cs="Arial"/>
        </w:rPr>
      </w:pPr>
    </w:p>
    <w:p w:rsidR="00FF1BA2" w:rsidRPr="003B0537" w:rsidRDefault="00FF1BA2" w:rsidP="00FF1BA2">
      <w:pPr>
        <w:rPr>
          <w:rFonts w:ascii="Arial" w:hAnsi="Arial" w:cs="Arial"/>
        </w:rPr>
      </w:pPr>
      <w:r>
        <w:rPr>
          <w:rFonts w:ascii="Arial" w:hAnsi="Arial" w:cs="Arial"/>
        </w:rPr>
        <w:t>Signed : ……………………………………………………..Programme Director</w:t>
      </w:r>
    </w:p>
    <w:p w:rsidR="00FF1BA2" w:rsidRPr="003B0537" w:rsidRDefault="00FF1BA2" w:rsidP="00FF1BA2">
      <w:pPr>
        <w:rPr>
          <w:rFonts w:ascii="Arial" w:hAnsi="Arial" w:cs="Arial"/>
        </w:rPr>
      </w:pPr>
    </w:p>
    <w:p w:rsidR="00FF1BA2" w:rsidRPr="003B0537" w:rsidRDefault="00FF1BA2" w:rsidP="00FF1BA2">
      <w:pPr>
        <w:rPr>
          <w:rFonts w:ascii="Arial" w:hAnsi="Arial" w:cs="Arial"/>
        </w:rPr>
      </w:pPr>
      <w:r w:rsidRPr="003B0537">
        <w:rPr>
          <w:rFonts w:ascii="Arial" w:hAnsi="Arial" w:cs="Arial"/>
        </w:rPr>
        <w:t>Date</w:t>
      </w:r>
      <w:proofErr w:type="gramStart"/>
      <w:r w:rsidRPr="003B0537">
        <w:rPr>
          <w:rFonts w:ascii="Arial" w:hAnsi="Arial" w:cs="Arial"/>
        </w:rPr>
        <w:t>:……………………</w:t>
      </w:r>
      <w:r>
        <w:rPr>
          <w:rFonts w:ascii="Arial" w:hAnsi="Arial" w:cs="Arial"/>
        </w:rPr>
        <w:t>………………………………</w:t>
      </w:r>
      <w:proofErr w:type="gramEnd"/>
    </w:p>
    <w:p w:rsidR="00FF1BA2" w:rsidRPr="003B0537" w:rsidRDefault="00FF1BA2" w:rsidP="00FF1BA2">
      <w:pPr>
        <w:rPr>
          <w:rFonts w:ascii="Arial" w:hAnsi="Arial" w:cs="Arial"/>
        </w:rPr>
      </w:pPr>
    </w:p>
    <w:p w:rsidR="00FF1BA2" w:rsidRPr="003B0537" w:rsidRDefault="00FF1BA2" w:rsidP="00FF1BA2">
      <w:pPr>
        <w:rPr>
          <w:rFonts w:ascii="Arial" w:hAnsi="Arial" w:cs="Arial"/>
        </w:rPr>
      </w:pPr>
    </w:p>
    <w:p w:rsidR="00FF1BA2" w:rsidRPr="003B0537" w:rsidRDefault="00FF1BA2" w:rsidP="00FF1BA2">
      <w:pPr>
        <w:rPr>
          <w:rFonts w:ascii="Arial" w:hAnsi="Arial" w:cs="Arial"/>
        </w:rPr>
      </w:pPr>
    </w:p>
    <w:p w:rsidR="00FF1BA2" w:rsidRDefault="00FF1BA2" w:rsidP="00781306">
      <w:pPr>
        <w:rPr>
          <w:rFonts w:ascii="Arial" w:hAnsi="Arial" w:cs="Arial"/>
          <w:b/>
        </w:rPr>
      </w:pPr>
      <w:r>
        <w:rPr>
          <w:rFonts w:ascii="Arial" w:hAnsi="Arial" w:cs="Arial"/>
          <w:b/>
        </w:rPr>
        <w:t>Please return this form to your Programme Director</w:t>
      </w:r>
    </w:p>
    <w:p w:rsidR="00D5582C" w:rsidRDefault="00D5582C" w:rsidP="00781306">
      <w:pPr>
        <w:rPr>
          <w:rFonts w:ascii="Arial" w:hAnsi="Arial" w:cs="Arial"/>
          <w:b/>
        </w:rPr>
      </w:pPr>
    </w:p>
    <w:p w:rsidR="00D5582C" w:rsidRDefault="00D5582C" w:rsidP="00781306">
      <w:pPr>
        <w:sectPr w:rsidR="00D5582C" w:rsidSect="00103350">
          <w:pgSz w:w="11907" w:h="16839" w:code="9"/>
          <w:pgMar w:top="1440" w:right="1247" w:bottom="1440" w:left="2268" w:header="720" w:footer="720" w:gutter="0"/>
          <w:cols w:space="720"/>
          <w:titlePg/>
          <w:docGrid w:linePitch="360"/>
        </w:sectPr>
      </w:pPr>
    </w:p>
    <w:p w:rsidR="00D5582C" w:rsidRPr="000105B4" w:rsidRDefault="00D5582C" w:rsidP="00D5582C">
      <w:pPr>
        <w:jc w:val="center"/>
        <w:rPr>
          <w:rFonts w:ascii="Elephant" w:hAnsi="Elephant"/>
          <w:sz w:val="32"/>
          <w:szCs w:val="32"/>
          <w:lang w:bidi="ar-AE"/>
        </w:rPr>
      </w:pPr>
      <w:r w:rsidRPr="000105B4">
        <w:rPr>
          <w:rFonts w:ascii="Elephant" w:hAnsi="Elephant"/>
          <w:sz w:val="32"/>
          <w:szCs w:val="32"/>
          <w:lang w:bidi="ar-AE"/>
        </w:rPr>
        <w:lastRenderedPageBreak/>
        <w:t>Cosmic Chaos in Islamic Apocalyptic Eschatology</w:t>
      </w:r>
    </w:p>
    <w:p w:rsidR="00D5582C" w:rsidRPr="000105B4" w:rsidRDefault="006313FE" w:rsidP="00D5582C">
      <w:pPr>
        <w:jc w:val="center"/>
        <w:rPr>
          <w:rFonts w:ascii="Bookman Old Style" w:hAnsi="Bookman Old Style"/>
          <w:sz w:val="24"/>
          <w:szCs w:val="24"/>
          <w:lang w:bidi="ar-AE"/>
        </w:rPr>
      </w:pPr>
      <w:r>
        <w:rPr>
          <w:rFonts w:ascii="Bookman Old Style" w:hAnsi="Bookman Old Style"/>
          <w:sz w:val="24"/>
          <w:szCs w:val="24"/>
          <w:lang w:bidi="ar-AE"/>
        </w:rPr>
        <w:t xml:space="preserve">Proposed </w:t>
      </w:r>
      <w:r w:rsidR="00D5582C" w:rsidRPr="000105B4">
        <w:rPr>
          <w:rFonts w:ascii="Bookman Old Style" w:hAnsi="Bookman Old Style"/>
          <w:sz w:val="24"/>
          <w:szCs w:val="24"/>
          <w:lang w:bidi="ar-AE"/>
        </w:rPr>
        <w:t>Bibliography</w:t>
      </w:r>
    </w:p>
    <w:p w:rsidR="00D5582C" w:rsidRPr="000105B4" w:rsidRDefault="00D5582C" w:rsidP="00D5582C">
      <w:pPr>
        <w:bidi/>
        <w:spacing w:line="240" w:lineRule="auto"/>
        <w:jc w:val="center"/>
        <w:rPr>
          <w:rFonts w:cs="AGA Mashq Bold"/>
          <w:sz w:val="44"/>
          <w:szCs w:val="44"/>
          <w:rtl/>
          <w:lang w:bidi="ar-AE"/>
        </w:rPr>
      </w:pPr>
      <w:r>
        <w:rPr>
          <w:rFonts w:cs="AGA Mashq Bold" w:hint="cs"/>
          <w:sz w:val="44"/>
          <w:szCs w:val="44"/>
          <w:rtl/>
          <w:lang w:bidi="ar-AE"/>
        </w:rPr>
        <w:t>الفوضى</w:t>
      </w:r>
      <w:r w:rsidRPr="000105B4">
        <w:rPr>
          <w:rFonts w:cs="AGA Mashq Bold" w:hint="cs"/>
          <w:sz w:val="44"/>
          <w:szCs w:val="44"/>
          <w:rtl/>
          <w:lang w:bidi="ar-AE"/>
        </w:rPr>
        <w:t xml:space="preserve"> الكونية في</w:t>
      </w:r>
      <w:r>
        <w:rPr>
          <w:rFonts w:cs="AGA Mashq Bold" w:hint="cs"/>
          <w:sz w:val="44"/>
          <w:szCs w:val="44"/>
          <w:rtl/>
          <w:lang w:bidi="ar-AE"/>
        </w:rPr>
        <w:t xml:space="preserve"> المفهوم الإسلامي للساعة</w:t>
      </w:r>
    </w:p>
    <w:p w:rsidR="00D5582C" w:rsidRDefault="00D5582C" w:rsidP="00D5582C">
      <w:pPr>
        <w:pBdr>
          <w:bottom w:val="threeDEmboss" w:sz="24" w:space="1" w:color="auto"/>
        </w:pBdr>
        <w:tabs>
          <w:tab w:val="right" w:pos="8370"/>
        </w:tabs>
        <w:bidi/>
        <w:spacing w:line="240" w:lineRule="auto"/>
        <w:jc w:val="center"/>
        <w:rPr>
          <w:rFonts w:ascii="Arial Narrow" w:hAnsi="Arial Narrow" w:cs="Adobe نسخ Medium" w:hint="cs"/>
          <w:sz w:val="32"/>
          <w:szCs w:val="32"/>
          <w:rtl/>
          <w:lang w:bidi="ar-AE"/>
        </w:rPr>
      </w:pPr>
      <w:r w:rsidRPr="000105B4">
        <w:rPr>
          <w:rFonts w:ascii="Arial Narrow" w:hAnsi="Arial Narrow" w:cs="Adobe نسخ Medium"/>
          <w:sz w:val="32"/>
          <w:szCs w:val="32"/>
          <w:rtl/>
          <w:lang w:bidi="ar-AE"/>
        </w:rPr>
        <w:t>المراجع</w:t>
      </w:r>
      <w:r w:rsidR="006313FE">
        <w:rPr>
          <w:rFonts w:ascii="Arial Narrow" w:hAnsi="Arial Narrow" w:cs="Adobe نسخ Medium" w:hint="cs"/>
          <w:sz w:val="32"/>
          <w:szCs w:val="32"/>
          <w:rtl/>
          <w:lang w:bidi="ar-AE"/>
        </w:rPr>
        <w:t xml:space="preserve"> المقترحة</w:t>
      </w:r>
    </w:p>
    <w:p w:rsidR="00D5582C" w:rsidRPr="003A56F2" w:rsidRDefault="00D5582C" w:rsidP="00D5582C">
      <w:pPr>
        <w:tabs>
          <w:tab w:val="right" w:pos="8370"/>
        </w:tabs>
        <w:bidi/>
        <w:spacing w:line="240" w:lineRule="auto"/>
        <w:rPr>
          <w:rFonts w:ascii="Arial Narrow" w:hAnsi="Arial Narrow" w:cs="Adobe نسخ Medium"/>
          <w:sz w:val="4"/>
          <w:szCs w:val="4"/>
          <w:rtl/>
          <w:lang w:bidi="ar-AE"/>
        </w:rPr>
      </w:pPr>
    </w:p>
    <w:tbl>
      <w:tblPr>
        <w:tblStyle w:val="TableGrid"/>
        <w:bidiVisual/>
        <w:tblW w:w="0" w:type="auto"/>
        <w:tblLook w:val="04A0" w:firstRow="1" w:lastRow="0" w:firstColumn="1" w:lastColumn="0" w:noHBand="0" w:noVBand="1"/>
      </w:tblPr>
      <w:tblGrid>
        <w:gridCol w:w="4022"/>
        <w:gridCol w:w="203"/>
        <w:gridCol w:w="4190"/>
      </w:tblGrid>
      <w:tr w:rsidR="00D5582C" w:rsidTr="008D6268">
        <w:tc>
          <w:tcPr>
            <w:tcW w:w="9576" w:type="dxa"/>
            <w:gridSpan w:val="3"/>
          </w:tcPr>
          <w:p w:rsidR="00D5582C" w:rsidRPr="00747FE5" w:rsidRDefault="00D5582C" w:rsidP="008D6268">
            <w:pPr>
              <w:bidi/>
              <w:jc w:val="center"/>
              <w:rPr>
                <w:b/>
                <w:bCs/>
                <w:sz w:val="28"/>
                <w:szCs w:val="28"/>
                <w:rtl/>
                <w:lang w:bidi="ar-AE"/>
              </w:rPr>
            </w:pPr>
            <w:r w:rsidRPr="00747FE5">
              <w:rPr>
                <w:rFonts w:hint="cs"/>
                <w:b/>
                <w:bCs/>
                <w:sz w:val="28"/>
                <w:szCs w:val="28"/>
                <w:rtl/>
                <w:lang w:bidi="ar-AE"/>
              </w:rPr>
              <w:t>المصادر العربية</w:t>
            </w:r>
          </w:p>
          <w:p w:rsidR="00D5582C" w:rsidRPr="00747FE5" w:rsidRDefault="00D5582C" w:rsidP="008D6268">
            <w:pPr>
              <w:bidi/>
              <w:jc w:val="center"/>
              <w:rPr>
                <w:b/>
                <w:bCs/>
                <w:sz w:val="28"/>
                <w:szCs w:val="28"/>
                <w:lang w:bidi="ar-AE"/>
              </w:rPr>
            </w:pPr>
            <w:r w:rsidRPr="00747FE5">
              <w:rPr>
                <w:b/>
                <w:bCs/>
                <w:sz w:val="28"/>
                <w:szCs w:val="28"/>
                <w:lang w:bidi="ar-AE"/>
              </w:rPr>
              <w:t>Arabic Sources</w:t>
            </w:r>
          </w:p>
        </w:tc>
      </w:tr>
      <w:tr w:rsidR="00D5582C" w:rsidTr="008D6268">
        <w:tc>
          <w:tcPr>
            <w:tcW w:w="9576" w:type="dxa"/>
            <w:gridSpan w:val="3"/>
          </w:tcPr>
          <w:p w:rsidR="00D5582C" w:rsidRDefault="00D5582C" w:rsidP="008D6268">
            <w:pPr>
              <w:pStyle w:val="ListParagraph"/>
              <w:bidi/>
              <w:ind w:left="1080" w:right="720"/>
              <w:rPr>
                <w:b/>
                <w:bCs/>
                <w:sz w:val="24"/>
                <w:szCs w:val="24"/>
                <w:lang w:bidi="ar-AE"/>
              </w:rPr>
            </w:pPr>
          </w:p>
          <w:p w:rsidR="00D5582C" w:rsidRPr="005F1163" w:rsidRDefault="00D5582C" w:rsidP="00D5582C">
            <w:pPr>
              <w:pStyle w:val="ListParagraph"/>
              <w:numPr>
                <w:ilvl w:val="0"/>
                <w:numId w:val="9"/>
              </w:numPr>
              <w:autoSpaceDE/>
              <w:autoSpaceDN/>
              <w:bidi/>
              <w:adjustRightInd/>
              <w:ind w:right="720"/>
              <w:rPr>
                <w:b/>
                <w:bCs/>
                <w:sz w:val="24"/>
                <w:szCs w:val="24"/>
                <w:rtl/>
                <w:lang w:bidi="ar-AE"/>
              </w:rPr>
            </w:pPr>
            <w:r w:rsidRPr="00747FE5">
              <w:rPr>
                <w:rFonts w:hint="cs"/>
                <w:b/>
                <w:bCs/>
                <w:sz w:val="24"/>
                <w:szCs w:val="24"/>
                <w:rtl/>
                <w:lang w:bidi="ar-AE"/>
              </w:rPr>
              <w:t>القران الكريم</w:t>
            </w:r>
          </w:p>
          <w:p w:rsidR="00D5582C" w:rsidRPr="00747FE5" w:rsidRDefault="00D5582C" w:rsidP="008D6268">
            <w:pPr>
              <w:bidi/>
              <w:jc w:val="right"/>
              <w:rPr>
                <w:b/>
                <w:bCs/>
                <w:sz w:val="28"/>
                <w:szCs w:val="28"/>
                <w:lang w:bidi="ar-AE"/>
              </w:rPr>
            </w:pPr>
            <w:r w:rsidRPr="00747FE5">
              <w:rPr>
                <w:i/>
                <w:iCs/>
                <w:sz w:val="24"/>
                <w:szCs w:val="24"/>
                <w:lang w:bidi="ar-AE"/>
              </w:rPr>
              <w:t>The Qur’ān</w:t>
            </w:r>
          </w:p>
        </w:tc>
      </w:tr>
      <w:tr w:rsidR="00D5582C" w:rsidTr="008D6268">
        <w:tc>
          <w:tcPr>
            <w:tcW w:w="9576" w:type="dxa"/>
            <w:gridSpan w:val="3"/>
          </w:tcPr>
          <w:p w:rsidR="00D5582C" w:rsidRDefault="00D5582C" w:rsidP="008D6268">
            <w:pPr>
              <w:pStyle w:val="ListParagraph"/>
              <w:tabs>
                <w:tab w:val="right" w:pos="9090"/>
              </w:tabs>
              <w:bidi/>
              <w:jc w:val="center"/>
              <w:rPr>
                <w:b/>
                <w:bCs/>
                <w:sz w:val="24"/>
                <w:szCs w:val="24"/>
                <w:lang w:bidi="ar-AE"/>
              </w:rPr>
            </w:pPr>
          </w:p>
          <w:p w:rsidR="00D5582C" w:rsidRPr="00C90957" w:rsidRDefault="00D5582C" w:rsidP="008D6268">
            <w:pPr>
              <w:pStyle w:val="ListParagraph"/>
              <w:tabs>
                <w:tab w:val="right" w:pos="9090"/>
              </w:tabs>
              <w:bidi/>
              <w:ind w:left="0"/>
              <w:jc w:val="center"/>
              <w:rPr>
                <w:b/>
                <w:bCs/>
                <w:sz w:val="24"/>
                <w:szCs w:val="24"/>
                <w:rtl/>
                <w:lang w:bidi="ar-AE"/>
              </w:rPr>
            </w:pPr>
            <w:r>
              <w:rPr>
                <w:rFonts w:hint="cs"/>
                <w:b/>
                <w:bCs/>
                <w:sz w:val="24"/>
                <w:szCs w:val="24"/>
                <w:rtl/>
                <w:lang w:bidi="ar-AE"/>
              </w:rPr>
              <w:t>تفاسير القرآن الكريم</w:t>
            </w:r>
          </w:p>
          <w:p w:rsidR="00D5582C" w:rsidRDefault="00D5582C" w:rsidP="008D6268">
            <w:pPr>
              <w:bidi/>
              <w:jc w:val="center"/>
              <w:rPr>
                <w:b/>
                <w:bCs/>
                <w:sz w:val="24"/>
                <w:szCs w:val="24"/>
                <w:lang w:bidi="ar-AE"/>
              </w:rPr>
            </w:pPr>
            <w:r>
              <w:rPr>
                <w:b/>
                <w:bCs/>
                <w:sz w:val="24"/>
                <w:szCs w:val="24"/>
                <w:lang w:bidi="ar-AE"/>
              </w:rPr>
              <w:t>Qur’ānic Commentaries &amp; Exegeses</w:t>
            </w:r>
          </w:p>
          <w:p w:rsidR="00D5582C" w:rsidRPr="00C90957" w:rsidRDefault="00D5582C" w:rsidP="008D6268">
            <w:pPr>
              <w:bidi/>
              <w:jc w:val="center"/>
              <w:rPr>
                <w:b/>
                <w:bCs/>
                <w:sz w:val="24"/>
                <w:szCs w:val="24"/>
                <w:lang w:bidi="ar-AE"/>
              </w:rPr>
            </w:pPr>
          </w:p>
        </w:tc>
      </w:tr>
      <w:tr w:rsidR="00D5582C" w:rsidTr="008D6268">
        <w:tc>
          <w:tcPr>
            <w:tcW w:w="4628" w:type="dxa"/>
          </w:tcPr>
          <w:p w:rsidR="00D5582C" w:rsidRPr="003A56F2" w:rsidRDefault="00D5582C" w:rsidP="00D5582C">
            <w:pPr>
              <w:pStyle w:val="ListParagraph"/>
              <w:numPr>
                <w:ilvl w:val="0"/>
                <w:numId w:val="10"/>
              </w:numPr>
              <w:tabs>
                <w:tab w:val="right" w:pos="9090"/>
              </w:tabs>
              <w:autoSpaceDE/>
              <w:autoSpaceDN/>
              <w:bidi/>
              <w:adjustRightInd/>
              <w:jc w:val="center"/>
              <w:rPr>
                <w:b/>
                <w:bCs/>
                <w:sz w:val="24"/>
                <w:szCs w:val="24"/>
                <w:lang w:bidi="ar-AE"/>
              </w:rPr>
            </w:pPr>
            <w:r w:rsidRPr="00747FE5">
              <w:rPr>
                <w:rFonts w:hint="cs"/>
                <w:b/>
                <w:bCs/>
                <w:sz w:val="24"/>
                <w:szCs w:val="24"/>
                <w:u w:val="single"/>
                <w:rtl/>
                <w:lang w:bidi="ar-AE"/>
              </w:rPr>
              <w:t>أمهات التفاسير:</w:t>
            </w:r>
          </w:p>
          <w:p w:rsidR="00D5582C" w:rsidRDefault="00D5582C" w:rsidP="008D6268">
            <w:pPr>
              <w:pStyle w:val="ListParagraph"/>
              <w:tabs>
                <w:tab w:val="right" w:pos="9090"/>
              </w:tabs>
              <w:bidi/>
              <w:ind w:left="1080"/>
              <w:rPr>
                <w:b/>
                <w:bCs/>
                <w:sz w:val="24"/>
                <w:szCs w:val="24"/>
                <w:lang w:bidi="ar-AE"/>
              </w:rPr>
            </w:pPr>
          </w:p>
        </w:tc>
        <w:tc>
          <w:tcPr>
            <w:tcW w:w="4948" w:type="dxa"/>
            <w:gridSpan w:val="2"/>
          </w:tcPr>
          <w:p w:rsidR="00D5582C" w:rsidRPr="00EF20BD" w:rsidRDefault="00D5582C" w:rsidP="00D5582C">
            <w:pPr>
              <w:pStyle w:val="ListParagraph"/>
              <w:numPr>
                <w:ilvl w:val="0"/>
                <w:numId w:val="11"/>
              </w:numPr>
              <w:tabs>
                <w:tab w:val="right" w:pos="9090"/>
              </w:tabs>
              <w:autoSpaceDE/>
              <w:autoSpaceDN/>
              <w:adjustRightInd/>
              <w:jc w:val="center"/>
              <w:rPr>
                <w:sz w:val="24"/>
                <w:szCs w:val="24"/>
                <w:rtl/>
                <w:lang w:bidi="ar-AE"/>
              </w:rPr>
            </w:pPr>
            <w:r>
              <w:rPr>
                <w:b/>
                <w:bCs/>
                <w:sz w:val="24"/>
                <w:szCs w:val="24"/>
                <w:u w:val="single"/>
                <w:lang w:bidi="ar-AE"/>
              </w:rPr>
              <w:t>Classical Exegeses:</w:t>
            </w:r>
          </w:p>
        </w:tc>
      </w:tr>
      <w:tr w:rsidR="00D5582C" w:rsidTr="008D6268">
        <w:tc>
          <w:tcPr>
            <w:tcW w:w="9576" w:type="dxa"/>
            <w:gridSpan w:val="3"/>
          </w:tcPr>
          <w:p w:rsidR="00D5582C" w:rsidRPr="003A56F2" w:rsidRDefault="00D5582C" w:rsidP="008D6268">
            <w:pPr>
              <w:bidi/>
              <w:ind w:left="720"/>
              <w:rPr>
                <w:b/>
                <w:bCs/>
                <w:rtl/>
                <w:lang w:bidi="ar-AE"/>
              </w:rPr>
            </w:pPr>
            <w:r w:rsidRPr="003A56F2">
              <w:rPr>
                <w:rFonts w:hint="cs"/>
                <w:b/>
                <w:bCs/>
                <w:rtl/>
                <w:lang w:bidi="ar-AE"/>
              </w:rPr>
              <w:t>(المدرسة التقليدية النقلية):</w:t>
            </w:r>
          </w:p>
          <w:p w:rsidR="00D5582C" w:rsidRPr="00012641" w:rsidRDefault="00D5582C" w:rsidP="008D6268">
            <w:pPr>
              <w:pStyle w:val="ListParagraph"/>
              <w:bidi/>
              <w:rPr>
                <w:b/>
                <w:bCs/>
                <w:lang w:bidi="ar-AE"/>
              </w:rPr>
            </w:pPr>
            <w:r w:rsidRPr="00012641">
              <w:rPr>
                <w:rFonts w:hint="cs"/>
                <w:b/>
                <w:bCs/>
                <w:rtl/>
                <w:lang w:bidi="ar-AE"/>
              </w:rPr>
              <w:t xml:space="preserve">838 </w:t>
            </w:r>
            <w:r w:rsidRPr="00012641">
              <w:rPr>
                <w:b/>
                <w:bCs/>
                <w:rtl/>
                <w:lang w:bidi="ar-AE"/>
              </w:rPr>
              <w:t>–</w:t>
            </w:r>
            <w:r w:rsidRPr="00012641">
              <w:rPr>
                <w:rFonts w:hint="cs"/>
                <w:b/>
                <w:bCs/>
                <w:rtl/>
                <w:lang w:bidi="ar-AE"/>
              </w:rPr>
              <w:t xml:space="preserve"> </w:t>
            </w:r>
            <w:r>
              <w:rPr>
                <w:rFonts w:hint="cs"/>
                <w:b/>
                <w:bCs/>
                <w:rtl/>
                <w:lang w:bidi="ar-AE"/>
              </w:rPr>
              <w:t xml:space="preserve"> </w:t>
            </w:r>
            <w:r w:rsidRPr="00012641">
              <w:rPr>
                <w:rFonts w:hint="cs"/>
                <w:b/>
                <w:bCs/>
                <w:rtl/>
                <w:lang w:bidi="ar-AE"/>
              </w:rPr>
              <w:t>923</w:t>
            </w:r>
            <w:r>
              <w:rPr>
                <w:rFonts w:hint="cs"/>
                <w:b/>
                <w:bCs/>
                <w:rtl/>
                <w:lang w:bidi="ar-AE"/>
              </w:rPr>
              <w:t xml:space="preserve"> م</w:t>
            </w:r>
            <w:r w:rsidRPr="00012641">
              <w:rPr>
                <w:rFonts w:hint="cs"/>
                <w:b/>
                <w:bCs/>
                <w:rtl/>
                <w:lang w:bidi="ar-AE"/>
              </w:rPr>
              <w:t>:</w:t>
            </w:r>
          </w:p>
          <w:p w:rsidR="00D5582C" w:rsidRDefault="00D5582C" w:rsidP="00D5582C">
            <w:pPr>
              <w:pStyle w:val="ListParagraph"/>
              <w:numPr>
                <w:ilvl w:val="0"/>
                <w:numId w:val="9"/>
              </w:numPr>
              <w:autoSpaceDE/>
              <w:autoSpaceDN/>
              <w:bidi/>
              <w:adjustRightInd/>
              <w:rPr>
                <w:lang w:bidi="ar-AE"/>
              </w:rPr>
            </w:pPr>
            <w:r w:rsidRPr="00C90957">
              <w:rPr>
                <w:rFonts w:hint="cs"/>
                <w:rtl/>
                <w:lang w:bidi="ar-AE"/>
              </w:rPr>
              <w:t xml:space="preserve">الطبري، أبو جعفر محمد بن جرير، </w:t>
            </w:r>
            <w:r w:rsidRPr="006F61C5">
              <w:rPr>
                <w:rFonts w:hint="cs"/>
                <w:b/>
                <w:bCs/>
                <w:rtl/>
                <w:lang w:bidi="ar-AE"/>
              </w:rPr>
              <w:t>جامع البيان عن تأويل آي القرأن</w:t>
            </w:r>
            <w:r w:rsidRPr="00C90957">
              <w:rPr>
                <w:rFonts w:hint="cs"/>
                <w:rtl/>
                <w:lang w:bidi="ar-AE"/>
              </w:rPr>
              <w:t xml:space="preserve"> (القاهرة: دار هاجر للطباعة والنشر والتوزيع، 2001)</w:t>
            </w:r>
          </w:p>
          <w:p w:rsidR="00D5582C" w:rsidRPr="00C90957" w:rsidRDefault="00D5582C" w:rsidP="008D6268">
            <w:pPr>
              <w:pStyle w:val="ListParagraph"/>
              <w:bidi/>
              <w:ind w:left="1080"/>
              <w:rPr>
                <w:lang w:bidi="ar-AE"/>
              </w:rPr>
            </w:pPr>
          </w:p>
          <w:p w:rsidR="00D5582C" w:rsidRPr="00C90957" w:rsidRDefault="00D5582C" w:rsidP="008D6268">
            <w:pPr>
              <w:bidi/>
              <w:ind w:left="720"/>
              <w:rPr>
                <w:b/>
                <w:bCs/>
                <w:rtl/>
                <w:lang w:bidi="ar-AE"/>
              </w:rPr>
            </w:pPr>
            <w:r w:rsidRPr="00C90957">
              <w:rPr>
                <w:rFonts w:hint="cs"/>
                <w:b/>
                <w:bCs/>
                <w:rtl/>
                <w:lang w:bidi="ar-AE"/>
              </w:rPr>
              <w:t>1</w:t>
            </w:r>
            <w:r>
              <w:rPr>
                <w:rFonts w:hint="cs"/>
                <w:b/>
                <w:bCs/>
                <w:rtl/>
                <w:lang w:bidi="ar-AE"/>
              </w:rPr>
              <w:t>300</w:t>
            </w:r>
            <w:r w:rsidRPr="00C90957">
              <w:rPr>
                <w:rFonts w:hint="cs"/>
                <w:b/>
                <w:bCs/>
                <w:rtl/>
                <w:lang w:bidi="ar-AE"/>
              </w:rPr>
              <w:t xml:space="preserve"> </w:t>
            </w:r>
            <w:r w:rsidRPr="00C90957">
              <w:rPr>
                <w:b/>
                <w:bCs/>
                <w:rtl/>
                <w:lang w:bidi="ar-AE"/>
              </w:rPr>
              <w:t>–</w:t>
            </w:r>
            <w:r w:rsidRPr="00C90957">
              <w:rPr>
                <w:rFonts w:hint="cs"/>
                <w:b/>
                <w:bCs/>
                <w:rtl/>
                <w:lang w:bidi="ar-AE"/>
              </w:rPr>
              <w:t xml:space="preserve"> 1</w:t>
            </w:r>
            <w:r>
              <w:rPr>
                <w:rFonts w:hint="cs"/>
                <w:b/>
                <w:bCs/>
                <w:rtl/>
                <w:lang w:bidi="ar-AE"/>
              </w:rPr>
              <w:t>373 م</w:t>
            </w:r>
            <w:r w:rsidRPr="00C90957">
              <w:rPr>
                <w:rFonts w:hint="cs"/>
                <w:b/>
                <w:bCs/>
                <w:rtl/>
                <w:lang w:bidi="ar-AE"/>
              </w:rPr>
              <w:t>:</w:t>
            </w:r>
          </w:p>
          <w:p w:rsidR="00D5582C" w:rsidRDefault="00D5582C" w:rsidP="00D5582C">
            <w:pPr>
              <w:pStyle w:val="ListParagraph"/>
              <w:numPr>
                <w:ilvl w:val="0"/>
                <w:numId w:val="9"/>
              </w:numPr>
              <w:autoSpaceDE/>
              <w:autoSpaceDN/>
              <w:bidi/>
              <w:adjustRightInd/>
              <w:rPr>
                <w:lang w:bidi="ar-AE"/>
              </w:rPr>
            </w:pPr>
            <w:r>
              <w:rPr>
                <w:rFonts w:hint="cs"/>
                <w:rtl/>
                <w:lang w:bidi="ar-AE"/>
              </w:rPr>
              <w:t xml:space="preserve">ابن كثير، أبو الفداء اسماعيل بن عمر بن القرشي، </w:t>
            </w:r>
            <w:r w:rsidRPr="00DC3F38">
              <w:rPr>
                <w:rFonts w:hint="cs"/>
                <w:b/>
                <w:bCs/>
                <w:rtl/>
                <w:lang w:bidi="ar-AE"/>
              </w:rPr>
              <w:t>تفسير القرآن العظيم</w:t>
            </w:r>
            <w:r>
              <w:rPr>
                <w:rFonts w:hint="cs"/>
                <w:rtl/>
                <w:lang w:bidi="ar-AE"/>
              </w:rPr>
              <w:t xml:space="preserve"> (بيروت: دار الكتب العلمية، 1410 هجرية)</w:t>
            </w:r>
          </w:p>
          <w:p w:rsidR="00D5582C" w:rsidRDefault="00D5582C" w:rsidP="008D6268">
            <w:pPr>
              <w:pStyle w:val="ListParagraph"/>
              <w:bidi/>
              <w:ind w:left="1080"/>
              <w:rPr>
                <w:i/>
                <w:iCs/>
                <w:sz w:val="24"/>
                <w:szCs w:val="24"/>
                <w:lang w:bidi="ar-AE"/>
              </w:rPr>
            </w:pPr>
          </w:p>
          <w:p w:rsidR="00D5582C" w:rsidRPr="00C50688" w:rsidRDefault="00D5582C" w:rsidP="008D6268">
            <w:pPr>
              <w:pStyle w:val="ListParagraph"/>
              <w:bidi/>
              <w:rPr>
                <w:b/>
                <w:bCs/>
                <w:rtl/>
                <w:lang w:bidi="ar-AE"/>
              </w:rPr>
            </w:pPr>
            <w:r w:rsidRPr="00C50688">
              <w:rPr>
                <w:rFonts w:hint="cs"/>
                <w:b/>
                <w:bCs/>
                <w:rtl/>
                <w:lang w:bidi="ar-AE"/>
              </w:rPr>
              <w:t>(المدرسة العقلية):</w:t>
            </w:r>
          </w:p>
          <w:p w:rsidR="00D5582C" w:rsidRPr="00191994" w:rsidRDefault="00D5582C" w:rsidP="008D6268">
            <w:pPr>
              <w:bidi/>
              <w:ind w:left="720"/>
              <w:rPr>
                <w:b/>
                <w:bCs/>
                <w:rtl/>
                <w:lang w:bidi="ar-AE"/>
              </w:rPr>
            </w:pPr>
            <w:r w:rsidRPr="00191994">
              <w:rPr>
                <w:rFonts w:hint="cs"/>
                <w:b/>
                <w:bCs/>
                <w:rtl/>
                <w:lang w:bidi="ar-AE"/>
              </w:rPr>
              <w:t xml:space="preserve">1070 </w:t>
            </w:r>
            <w:r w:rsidRPr="00191994">
              <w:rPr>
                <w:b/>
                <w:bCs/>
                <w:rtl/>
                <w:lang w:bidi="ar-AE"/>
              </w:rPr>
              <w:t>–</w:t>
            </w:r>
            <w:r w:rsidRPr="00191994">
              <w:rPr>
                <w:rFonts w:hint="cs"/>
                <w:b/>
                <w:bCs/>
                <w:rtl/>
                <w:lang w:bidi="ar-AE"/>
              </w:rPr>
              <w:t xml:space="preserve"> 1143</w:t>
            </w:r>
            <w:r>
              <w:rPr>
                <w:rFonts w:hint="cs"/>
                <w:b/>
                <w:bCs/>
                <w:rtl/>
                <w:lang w:bidi="ar-AE"/>
              </w:rPr>
              <w:t xml:space="preserve"> م</w:t>
            </w:r>
            <w:r w:rsidRPr="00191994">
              <w:rPr>
                <w:rFonts w:hint="cs"/>
                <w:b/>
                <w:bCs/>
                <w:rtl/>
                <w:lang w:bidi="ar-AE"/>
              </w:rPr>
              <w:t>:</w:t>
            </w:r>
          </w:p>
          <w:p w:rsidR="00D5582C" w:rsidRDefault="00D5582C" w:rsidP="00D5582C">
            <w:pPr>
              <w:pStyle w:val="ListParagraph"/>
              <w:numPr>
                <w:ilvl w:val="0"/>
                <w:numId w:val="9"/>
              </w:numPr>
              <w:autoSpaceDE/>
              <w:autoSpaceDN/>
              <w:bidi/>
              <w:adjustRightInd/>
              <w:rPr>
                <w:lang w:bidi="ar-AE"/>
              </w:rPr>
            </w:pPr>
            <w:r>
              <w:rPr>
                <w:rFonts w:hint="cs"/>
                <w:rtl/>
                <w:lang w:bidi="ar-AE"/>
              </w:rPr>
              <w:t xml:space="preserve">الزمخشري، أبو القاسم محمود بن عمر، </w:t>
            </w:r>
            <w:r w:rsidRPr="006F61C5">
              <w:rPr>
                <w:rFonts w:hint="cs"/>
                <w:b/>
                <w:bCs/>
                <w:rtl/>
                <w:lang w:bidi="ar-AE"/>
              </w:rPr>
              <w:t>الكشاف عن حقائق غوامض التنزيل و الأقوال في وجوه التأويل</w:t>
            </w:r>
            <w:r>
              <w:rPr>
                <w:rFonts w:hint="cs"/>
                <w:rtl/>
                <w:lang w:bidi="ar-AE"/>
              </w:rPr>
              <w:t xml:space="preserve"> (بيروت: الكتاب العربي، 1987)</w:t>
            </w:r>
          </w:p>
          <w:p w:rsidR="00D5582C" w:rsidRDefault="00D5582C" w:rsidP="008D6268">
            <w:pPr>
              <w:pStyle w:val="ListParagraph"/>
              <w:bidi/>
              <w:ind w:left="1080"/>
              <w:rPr>
                <w:lang w:bidi="ar-AE"/>
              </w:rPr>
            </w:pPr>
          </w:p>
          <w:p w:rsidR="00D5582C" w:rsidRPr="00C90957" w:rsidRDefault="00D5582C" w:rsidP="008D6268">
            <w:pPr>
              <w:bidi/>
              <w:ind w:left="720"/>
              <w:rPr>
                <w:i/>
                <w:iCs/>
                <w:sz w:val="24"/>
                <w:szCs w:val="24"/>
                <w:lang w:bidi="ar-AE"/>
              </w:rPr>
            </w:pPr>
            <w:r w:rsidRPr="00191994">
              <w:rPr>
                <w:rFonts w:hint="cs"/>
                <w:b/>
                <w:bCs/>
                <w:rtl/>
                <w:lang w:bidi="ar-AE"/>
              </w:rPr>
              <w:t xml:space="preserve">1149 </w:t>
            </w:r>
            <w:r w:rsidRPr="00191994">
              <w:rPr>
                <w:b/>
                <w:bCs/>
                <w:rtl/>
                <w:lang w:bidi="ar-AE"/>
              </w:rPr>
              <w:t>–</w:t>
            </w:r>
            <w:r w:rsidRPr="00191994">
              <w:rPr>
                <w:rFonts w:hint="cs"/>
                <w:b/>
                <w:bCs/>
                <w:rtl/>
                <w:lang w:bidi="ar-AE"/>
              </w:rPr>
              <w:t xml:space="preserve"> 1209</w:t>
            </w:r>
            <w:r>
              <w:rPr>
                <w:rFonts w:hint="cs"/>
                <w:b/>
                <w:bCs/>
                <w:rtl/>
                <w:lang w:bidi="ar-AE"/>
              </w:rPr>
              <w:t xml:space="preserve"> م</w:t>
            </w:r>
            <w:r w:rsidRPr="00191994">
              <w:rPr>
                <w:rFonts w:hint="cs"/>
                <w:b/>
                <w:bCs/>
                <w:sz w:val="24"/>
                <w:szCs w:val="24"/>
                <w:rtl/>
                <w:lang w:bidi="ar-AE"/>
              </w:rPr>
              <w:t>:</w:t>
            </w:r>
          </w:p>
          <w:p w:rsidR="00D5582C" w:rsidRDefault="00D5582C" w:rsidP="00D5582C">
            <w:pPr>
              <w:pStyle w:val="ListParagraph"/>
              <w:numPr>
                <w:ilvl w:val="0"/>
                <w:numId w:val="9"/>
              </w:numPr>
              <w:autoSpaceDE/>
              <w:autoSpaceDN/>
              <w:bidi/>
              <w:adjustRightInd/>
              <w:rPr>
                <w:lang w:bidi="ar-AE"/>
              </w:rPr>
            </w:pPr>
            <w:r>
              <w:rPr>
                <w:rFonts w:hint="cs"/>
                <w:rtl/>
                <w:lang w:bidi="ar-AE"/>
              </w:rPr>
              <w:t xml:space="preserve">الرازي، أبو عبدالله محمد بن عمر، </w:t>
            </w:r>
            <w:r w:rsidRPr="006F61C5">
              <w:rPr>
                <w:rFonts w:hint="cs"/>
                <w:b/>
                <w:bCs/>
                <w:rtl/>
                <w:lang w:bidi="ar-AE"/>
              </w:rPr>
              <w:t>التفسير الكبير</w:t>
            </w:r>
            <w:r>
              <w:rPr>
                <w:rFonts w:hint="cs"/>
                <w:rtl/>
                <w:lang w:bidi="ar-AE"/>
              </w:rPr>
              <w:t xml:space="preserve"> (بيروت: دار إحياء التراث العربي، 1999) </w:t>
            </w:r>
          </w:p>
          <w:p w:rsidR="00D5582C" w:rsidRDefault="00D5582C" w:rsidP="008D6268">
            <w:pPr>
              <w:pStyle w:val="ListParagraph"/>
              <w:bidi/>
              <w:ind w:left="1080"/>
              <w:rPr>
                <w:lang w:bidi="ar-AE"/>
              </w:rPr>
            </w:pPr>
          </w:p>
          <w:p w:rsidR="00D5582C" w:rsidRPr="00C90957" w:rsidRDefault="00D5582C" w:rsidP="008D6268">
            <w:pPr>
              <w:bidi/>
              <w:ind w:left="720"/>
              <w:rPr>
                <w:b/>
                <w:bCs/>
                <w:lang w:bidi="ar-AE"/>
              </w:rPr>
            </w:pPr>
            <w:r w:rsidRPr="00C90957">
              <w:rPr>
                <w:rFonts w:hint="cs"/>
                <w:b/>
                <w:bCs/>
                <w:rtl/>
                <w:lang w:bidi="ar-AE"/>
              </w:rPr>
              <w:t xml:space="preserve">1214 </w:t>
            </w:r>
            <w:r w:rsidRPr="00C90957">
              <w:rPr>
                <w:b/>
                <w:bCs/>
                <w:rtl/>
                <w:lang w:bidi="ar-AE"/>
              </w:rPr>
              <w:t>–</w:t>
            </w:r>
            <w:r w:rsidRPr="00C90957">
              <w:rPr>
                <w:rFonts w:hint="cs"/>
                <w:b/>
                <w:bCs/>
                <w:rtl/>
                <w:lang w:bidi="ar-AE"/>
              </w:rPr>
              <w:t xml:space="preserve"> 1273</w:t>
            </w:r>
            <w:r>
              <w:rPr>
                <w:rFonts w:hint="cs"/>
                <w:b/>
                <w:bCs/>
                <w:rtl/>
                <w:lang w:bidi="ar-AE"/>
              </w:rPr>
              <w:t xml:space="preserve"> م</w:t>
            </w:r>
            <w:r w:rsidRPr="00C90957">
              <w:rPr>
                <w:rFonts w:hint="cs"/>
                <w:b/>
                <w:bCs/>
                <w:rtl/>
                <w:lang w:bidi="ar-AE"/>
              </w:rPr>
              <w:t>:</w:t>
            </w:r>
          </w:p>
          <w:p w:rsidR="00D5582C" w:rsidRPr="00EF20BD" w:rsidRDefault="00D5582C" w:rsidP="00D5582C">
            <w:pPr>
              <w:pStyle w:val="ListParagraph"/>
              <w:numPr>
                <w:ilvl w:val="0"/>
                <w:numId w:val="9"/>
              </w:numPr>
              <w:autoSpaceDE/>
              <w:autoSpaceDN/>
              <w:bidi/>
              <w:adjustRightInd/>
              <w:rPr>
                <w:i/>
                <w:iCs/>
                <w:sz w:val="24"/>
                <w:szCs w:val="24"/>
                <w:lang w:bidi="ar-AE"/>
              </w:rPr>
            </w:pPr>
            <w:r w:rsidRPr="00C90957">
              <w:rPr>
                <w:rFonts w:hint="cs"/>
                <w:rtl/>
                <w:lang w:bidi="ar-AE"/>
              </w:rPr>
              <w:t xml:space="preserve">القرطبي، أبو عبدالله محمد بن أحمد، </w:t>
            </w:r>
            <w:r w:rsidRPr="006F61C5">
              <w:rPr>
                <w:rFonts w:hint="cs"/>
                <w:b/>
                <w:bCs/>
                <w:rtl/>
                <w:lang w:bidi="ar-AE"/>
              </w:rPr>
              <w:t>الجامع لأحكام القرآن</w:t>
            </w:r>
            <w:r w:rsidRPr="00C90957">
              <w:rPr>
                <w:rFonts w:hint="cs"/>
                <w:rtl/>
                <w:lang w:bidi="ar-AE"/>
              </w:rPr>
              <w:t xml:space="preserve"> (القاهرة: دار الكتب المصرية، 1964)</w:t>
            </w:r>
          </w:p>
          <w:p w:rsidR="00D5582C" w:rsidRPr="00012641" w:rsidRDefault="00D5582C" w:rsidP="008D6268">
            <w:pPr>
              <w:bidi/>
              <w:rPr>
                <w:rtl/>
                <w:lang w:bidi="ar-AE"/>
              </w:rPr>
            </w:pPr>
          </w:p>
        </w:tc>
      </w:tr>
      <w:tr w:rsidR="00D5582C" w:rsidTr="008D6268">
        <w:tc>
          <w:tcPr>
            <w:tcW w:w="9576" w:type="dxa"/>
            <w:gridSpan w:val="3"/>
          </w:tcPr>
          <w:p w:rsidR="00D5582C" w:rsidRPr="00CB16AF" w:rsidRDefault="00D5582C" w:rsidP="008D6268">
            <w:pPr>
              <w:tabs>
                <w:tab w:val="right" w:pos="9090"/>
              </w:tabs>
              <w:ind w:right="720"/>
              <w:rPr>
                <w:b/>
                <w:bCs/>
                <w:rtl/>
                <w:lang w:bidi="ar-AE"/>
              </w:rPr>
            </w:pPr>
          </w:p>
          <w:p w:rsidR="00D5582C" w:rsidRPr="00C50688" w:rsidRDefault="00D5582C" w:rsidP="008D6268">
            <w:pPr>
              <w:pStyle w:val="ListParagraph"/>
              <w:tabs>
                <w:tab w:val="right" w:pos="9090"/>
              </w:tabs>
              <w:ind w:left="90" w:right="720"/>
              <w:rPr>
                <w:b/>
                <w:bCs/>
                <w:lang w:bidi="ar-AE"/>
              </w:rPr>
            </w:pPr>
            <w:r w:rsidRPr="00C50688">
              <w:rPr>
                <w:b/>
                <w:bCs/>
                <w:lang w:bidi="ar-AE"/>
              </w:rPr>
              <w:t>(Traditional School):</w:t>
            </w:r>
          </w:p>
          <w:p w:rsidR="00D5582C" w:rsidRPr="00012641" w:rsidRDefault="00D5582C" w:rsidP="008D6268">
            <w:pPr>
              <w:pStyle w:val="ListParagraph"/>
              <w:tabs>
                <w:tab w:val="right" w:pos="9090"/>
              </w:tabs>
              <w:ind w:left="90" w:right="720"/>
              <w:rPr>
                <w:b/>
                <w:bCs/>
                <w:lang w:bidi="ar-AE"/>
              </w:rPr>
            </w:pPr>
            <w:r w:rsidRPr="00012641">
              <w:rPr>
                <w:b/>
                <w:bCs/>
                <w:lang w:bidi="ar-AE"/>
              </w:rPr>
              <w:t>838-923 CE:</w:t>
            </w:r>
          </w:p>
          <w:p w:rsidR="00D5582C" w:rsidRPr="008A7E36" w:rsidRDefault="00D5582C" w:rsidP="008D6268">
            <w:pPr>
              <w:tabs>
                <w:tab w:val="left" w:pos="8640"/>
              </w:tabs>
              <w:ind w:left="450" w:right="630" w:hanging="360"/>
              <w:rPr>
                <w:rtl/>
                <w:lang w:bidi="ar-AE"/>
              </w:rPr>
            </w:pPr>
            <w:r>
              <w:t xml:space="preserve">al-Tabarī, abū Ja’far Muḥammad b. Jarīr, </w:t>
            </w:r>
            <w:r>
              <w:rPr>
                <w:i/>
                <w:iCs/>
              </w:rPr>
              <w:t>Al-Tabarī Qur’ān Commentary: The Complete Elucidation about the Interpretation of the Verses of the Qur’ān</w:t>
            </w:r>
            <w:r>
              <w:rPr>
                <w:rFonts w:hint="cs"/>
                <w:i/>
                <w:iCs/>
                <w:rtl/>
              </w:rPr>
              <w:t xml:space="preserve"> </w:t>
            </w:r>
            <w:r>
              <w:t>(Cairo: Dār Hajr l’ al-Tibā’a wa’l-Nahsr wa’l-Tawzī’, 2001)</w:t>
            </w:r>
          </w:p>
          <w:p w:rsidR="00D5582C" w:rsidRDefault="00D5582C" w:rsidP="008D6268">
            <w:pPr>
              <w:tabs>
                <w:tab w:val="left" w:pos="8640"/>
              </w:tabs>
              <w:ind w:left="90" w:right="630"/>
              <w:rPr>
                <w:b/>
                <w:bCs/>
              </w:rPr>
            </w:pPr>
          </w:p>
          <w:p w:rsidR="00D5582C" w:rsidRDefault="00D5582C" w:rsidP="008D6268">
            <w:pPr>
              <w:tabs>
                <w:tab w:val="left" w:pos="8640"/>
              </w:tabs>
              <w:ind w:left="90" w:right="630"/>
              <w:rPr>
                <w:b/>
                <w:bCs/>
              </w:rPr>
            </w:pPr>
            <w:r>
              <w:rPr>
                <w:b/>
                <w:bCs/>
              </w:rPr>
              <w:t>1300-1373 CE:</w:t>
            </w:r>
          </w:p>
          <w:p w:rsidR="00D5582C" w:rsidRPr="009B5A51" w:rsidRDefault="00D5582C" w:rsidP="008D6268">
            <w:pPr>
              <w:spacing w:after="100" w:afterAutospacing="1"/>
              <w:ind w:left="450" w:hanging="360"/>
              <w:rPr>
                <w:rFonts w:eastAsia="Times New Roman" w:cs="Times New Roman"/>
                <w:rtl/>
                <w:lang w:bidi="ar-AE"/>
              </w:rPr>
            </w:pPr>
            <w:r>
              <w:rPr>
                <w:rFonts w:eastAsia="Times New Roman" w:cs="Times New Roman"/>
              </w:rPr>
              <w:t xml:space="preserve">ibn </w:t>
            </w:r>
            <w:r w:rsidRPr="00DC3F38">
              <w:rPr>
                <w:rFonts w:eastAsia="Times New Roman" w:cs="Times New Roman"/>
              </w:rPr>
              <w:t>Kathīr, Abū al-Fidā' 'Ismā'īl b</w:t>
            </w:r>
            <w:r>
              <w:rPr>
                <w:rFonts w:eastAsia="Times New Roman" w:cs="Times New Roman"/>
              </w:rPr>
              <w:t xml:space="preserve">. 'Umar </w:t>
            </w:r>
            <w:r w:rsidRPr="00DC3F38">
              <w:rPr>
                <w:rFonts w:eastAsia="Times New Roman" w:cs="Times New Roman"/>
              </w:rPr>
              <w:t xml:space="preserve">al-Qurashī, </w:t>
            </w:r>
            <w:r w:rsidRPr="00DC3F38">
              <w:rPr>
                <w:rFonts w:eastAsia="Times New Roman" w:cs="Times New Roman"/>
                <w:i/>
                <w:iCs/>
              </w:rPr>
              <w:t>Tafsīr Al-Qur'</w:t>
            </w:r>
            <w:r>
              <w:rPr>
                <w:rFonts w:eastAsia="Times New Roman" w:cs="Times New Roman"/>
                <w:i/>
                <w:iCs/>
              </w:rPr>
              <w:t>ā</w:t>
            </w:r>
            <w:r w:rsidRPr="00DC3F38">
              <w:rPr>
                <w:rFonts w:eastAsia="Times New Roman" w:cs="Times New Roman"/>
                <w:i/>
                <w:iCs/>
              </w:rPr>
              <w:t>n Al-'Aẓīm Or the Great Commentary</w:t>
            </w:r>
            <w:r w:rsidRPr="00DC3F38">
              <w:rPr>
                <w:rFonts w:eastAsia="Times New Roman" w:cs="Times New Roman"/>
              </w:rPr>
              <w:t xml:space="preserve"> (Beirut: Dār al-Kutub al-'Ilmīya, 1419 </w:t>
            </w:r>
            <w:r>
              <w:rPr>
                <w:rFonts w:eastAsia="Times New Roman" w:cs="Times New Roman"/>
              </w:rPr>
              <w:t>H</w:t>
            </w:r>
            <w:r w:rsidRPr="00DC3F38">
              <w:rPr>
                <w:rFonts w:eastAsia="Times New Roman" w:cs="Times New Roman"/>
              </w:rPr>
              <w:t xml:space="preserve">ijrī) </w:t>
            </w:r>
          </w:p>
          <w:p w:rsidR="00D5582C" w:rsidRPr="00C50688" w:rsidRDefault="00D5582C" w:rsidP="008D6268">
            <w:pPr>
              <w:tabs>
                <w:tab w:val="left" w:pos="8640"/>
              </w:tabs>
              <w:ind w:left="450" w:right="630" w:hanging="360"/>
              <w:rPr>
                <w:b/>
                <w:bCs/>
              </w:rPr>
            </w:pPr>
            <w:r w:rsidRPr="00C50688">
              <w:rPr>
                <w:b/>
                <w:bCs/>
              </w:rPr>
              <w:lastRenderedPageBreak/>
              <w:t>(Rational School):</w:t>
            </w:r>
          </w:p>
          <w:p w:rsidR="00D5582C" w:rsidRDefault="00D5582C" w:rsidP="008D6268">
            <w:pPr>
              <w:tabs>
                <w:tab w:val="left" w:pos="8640"/>
              </w:tabs>
              <w:ind w:left="450" w:right="630" w:hanging="360"/>
              <w:rPr>
                <w:b/>
                <w:bCs/>
              </w:rPr>
            </w:pPr>
            <w:r w:rsidRPr="00012641">
              <w:rPr>
                <w:b/>
                <w:bCs/>
              </w:rPr>
              <w:t>1070-1143 CE:</w:t>
            </w:r>
          </w:p>
          <w:p w:rsidR="00D5582C" w:rsidRPr="00011B4A" w:rsidRDefault="00D5582C" w:rsidP="008D6268">
            <w:pPr>
              <w:tabs>
                <w:tab w:val="left" w:pos="8640"/>
              </w:tabs>
              <w:ind w:left="450" w:right="630" w:hanging="360"/>
              <w:rPr>
                <w:b/>
                <w:bCs/>
              </w:rPr>
            </w:pPr>
            <w:r w:rsidRPr="00011B4A">
              <w:rPr>
                <w:rFonts w:eastAsia="Times New Roman" w:cs="Times New Roman"/>
              </w:rPr>
              <w:t>al-Zakhamsharī J</w:t>
            </w:r>
            <w:r>
              <w:rPr>
                <w:rFonts w:eastAsia="Times New Roman" w:cs="Times New Roman"/>
              </w:rPr>
              <w:t>ār Allah, Abū’l-Qāssim Mahmūd b.</w:t>
            </w:r>
            <w:r w:rsidRPr="00011B4A">
              <w:rPr>
                <w:rFonts w:eastAsia="Times New Roman" w:cs="Times New Roman"/>
              </w:rPr>
              <w:t xml:space="preserve"> ‘Amr </w:t>
            </w:r>
            <w:r>
              <w:rPr>
                <w:rFonts w:eastAsia="Times New Roman" w:cs="Times New Roman"/>
              </w:rPr>
              <w:t>b.</w:t>
            </w:r>
            <w:r w:rsidRPr="00011B4A">
              <w:rPr>
                <w:rFonts w:eastAsia="Times New Roman" w:cs="Times New Roman"/>
              </w:rPr>
              <w:t xml:space="preserve"> ‘Ahmad, </w:t>
            </w:r>
            <w:r>
              <w:rPr>
                <w:rFonts w:eastAsia="Times New Roman"/>
                <w:i/>
                <w:iCs/>
                <w:lang w:val="el-GR"/>
              </w:rPr>
              <w:t>Ε</w:t>
            </w:r>
            <w:r>
              <w:rPr>
                <w:rFonts w:eastAsia="Times New Roman"/>
                <w:i/>
                <w:iCs/>
              </w:rPr>
              <w:t>xplaining the Mysteries of the Revealed Verses of Qur’ān and its Interpretation</w:t>
            </w:r>
            <w:r w:rsidRPr="00011B4A">
              <w:rPr>
                <w:rFonts w:eastAsia="Times New Roman" w:cs="Times New Roman"/>
                <w:i/>
                <w:iCs/>
              </w:rPr>
              <w:t xml:space="preserve"> </w:t>
            </w:r>
            <w:r w:rsidRPr="00011B4A">
              <w:rPr>
                <w:rFonts w:eastAsia="Times New Roman" w:cs="Times New Roman"/>
              </w:rPr>
              <w:t xml:space="preserve">(Beirut: al-Kitāb al-‘Arabī, </w:t>
            </w:r>
            <w:r>
              <w:rPr>
                <w:rFonts w:eastAsia="Times New Roman" w:cs="Times New Roman"/>
              </w:rPr>
              <w:t>1987</w:t>
            </w:r>
            <w:r w:rsidRPr="00011B4A">
              <w:rPr>
                <w:rFonts w:eastAsia="Times New Roman" w:cs="Times New Roman"/>
              </w:rPr>
              <w:t xml:space="preserve">) </w:t>
            </w:r>
          </w:p>
          <w:p w:rsidR="00D5582C" w:rsidRDefault="00D5582C" w:rsidP="008D6268">
            <w:pPr>
              <w:tabs>
                <w:tab w:val="left" w:pos="8640"/>
              </w:tabs>
              <w:ind w:right="630"/>
              <w:rPr>
                <w:b/>
                <w:bCs/>
              </w:rPr>
            </w:pPr>
          </w:p>
          <w:p w:rsidR="00D5582C" w:rsidRPr="00012641" w:rsidRDefault="00D5582C" w:rsidP="008D6268">
            <w:pPr>
              <w:tabs>
                <w:tab w:val="left" w:pos="8640"/>
              </w:tabs>
              <w:ind w:left="450" w:right="630" w:hanging="360"/>
              <w:rPr>
                <w:b/>
                <w:bCs/>
              </w:rPr>
            </w:pPr>
            <w:r>
              <w:rPr>
                <w:b/>
                <w:bCs/>
              </w:rPr>
              <w:t>1149-1209 CE:</w:t>
            </w:r>
          </w:p>
          <w:p w:rsidR="00D5582C" w:rsidRDefault="00D5582C" w:rsidP="008D6268">
            <w:pPr>
              <w:tabs>
                <w:tab w:val="left" w:pos="8640"/>
              </w:tabs>
              <w:ind w:left="450" w:right="630" w:hanging="360"/>
              <w:rPr>
                <w:rtl/>
              </w:rPr>
            </w:pPr>
            <w:r>
              <w:t xml:space="preserve">Al-Rāzī, abū ‘Abdullah Muḥammad b. ‘Umar, </w:t>
            </w:r>
            <w:r>
              <w:rPr>
                <w:i/>
                <w:iCs/>
              </w:rPr>
              <w:t>The Great Commentary</w:t>
            </w:r>
            <w:r>
              <w:t xml:space="preserve"> (Beirut: Dār Ihiā’ al-Turāth al-‘Arabī, 1999)</w:t>
            </w:r>
          </w:p>
          <w:p w:rsidR="00D5582C" w:rsidRDefault="00D5582C" w:rsidP="008D6268">
            <w:pPr>
              <w:tabs>
                <w:tab w:val="left" w:pos="8640"/>
              </w:tabs>
              <w:ind w:left="450" w:right="630" w:hanging="360"/>
            </w:pPr>
          </w:p>
          <w:p w:rsidR="00D5582C" w:rsidRDefault="00D5582C" w:rsidP="008D6268">
            <w:pPr>
              <w:tabs>
                <w:tab w:val="left" w:pos="8640"/>
              </w:tabs>
              <w:ind w:left="450" w:right="630" w:hanging="360"/>
              <w:rPr>
                <w:b/>
                <w:bCs/>
              </w:rPr>
            </w:pPr>
            <w:r>
              <w:rPr>
                <w:b/>
                <w:bCs/>
              </w:rPr>
              <w:t>1214-1273 CE:</w:t>
            </w:r>
          </w:p>
          <w:p w:rsidR="00D5582C" w:rsidRPr="00D40620" w:rsidRDefault="00D5582C" w:rsidP="008D6268">
            <w:pPr>
              <w:tabs>
                <w:tab w:val="left" w:pos="8640"/>
              </w:tabs>
              <w:ind w:left="450" w:right="630" w:hanging="360"/>
            </w:pPr>
            <w:r>
              <w:t xml:space="preserve">al-Qorṭobī, abū ‘Abdullah b. Muḥammad b. Aḥmad, </w:t>
            </w:r>
            <w:r w:rsidRPr="00473D0D">
              <w:rPr>
                <w:i/>
                <w:iCs/>
              </w:rPr>
              <w:t>The Co</w:t>
            </w:r>
            <w:r>
              <w:rPr>
                <w:i/>
                <w:iCs/>
              </w:rPr>
              <w:t xml:space="preserve">mprehensive </w:t>
            </w:r>
            <w:r w:rsidRPr="00473D0D">
              <w:rPr>
                <w:i/>
                <w:iCs/>
              </w:rPr>
              <w:t>Book on the Provisions of the Qur’ān</w:t>
            </w:r>
            <w:r>
              <w:t xml:space="preserve"> (Cairo: Dār al-Kotob al-Maṣrīyah, 1964)</w:t>
            </w:r>
          </w:p>
          <w:p w:rsidR="00D5582C" w:rsidRDefault="00D5582C" w:rsidP="008D6268">
            <w:pPr>
              <w:rPr>
                <w:b/>
                <w:bCs/>
                <w:sz w:val="24"/>
                <w:szCs w:val="24"/>
                <w:u w:val="single"/>
                <w:rtl/>
                <w:lang w:bidi="ar-AE"/>
              </w:rPr>
            </w:pPr>
          </w:p>
          <w:p w:rsidR="00D5582C" w:rsidRDefault="00D5582C" w:rsidP="008D6268">
            <w:pPr>
              <w:rPr>
                <w:b/>
                <w:bCs/>
                <w:sz w:val="24"/>
                <w:szCs w:val="24"/>
                <w:u w:val="single"/>
                <w:rtl/>
                <w:lang w:bidi="ar-AE"/>
              </w:rPr>
            </w:pPr>
          </w:p>
          <w:p w:rsidR="00D5582C" w:rsidRPr="00EF20BD" w:rsidRDefault="00D5582C" w:rsidP="008D6268">
            <w:pPr>
              <w:rPr>
                <w:b/>
                <w:bCs/>
                <w:sz w:val="24"/>
                <w:szCs w:val="24"/>
                <w:u w:val="single"/>
                <w:rtl/>
                <w:lang w:bidi="ar-AE"/>
              </w:rPr>
            </w:pPr>
          </w:p>
        </w:tc>
      </w:tr>
      <w:tr w:rsidR="00D5582C" w:rsidTr="008D6268">
        <w:tc>
          <w:tcPr>
            <w:tcW w:w="4628" w:type="dxa"/>
          </w:tcPr>
          <w:p w:rsidR="00D5582C" w:rsidRDefault="00D5582C" w:rsidP="00D5582C">
            <w:pPr>
              <w:pStyle w:val="ListParagraph"/>
              <w:numPr>
                <w:ilvl w:val="0"/>
                <w:numId w:val="10"/>
              </w:numPr>
              <w:autoSpaceDE/>
              <w:autoSpaceDN/>
              <w:bidi/>
              <w:adjustRightInd/>
              <w:jc w:val="center"/>
              <w:rPr>
                <w:b/>
                <w:bCs/>
                <w:sz w:val="24"/>
                <w:szCs w:val="24"/>
                <w:u w:val="single"/>
                <w:lang w:bidi="ar-AE"/>
              </w:rPr>
            </w:pPr>
            <w:r>
              <w:rPr>
                <w:rFonts w:hint="cs"/>
                <w:b/>
                <w:bCs/>
                <w:sz w:val="24"/>
                <w:szCs w:val="24"/>
                <w:u w:val="single"/>
                <w:rtl/>
                <w:lang w:bidi="ar-AE"/>
              </w:rPr>
              <w:lastRenderedPageBreak/>
              <w:t>التفاسير العقلية و العلمية الحديثة:</w:t>
            </w:r>
          </w:p>
          <w:p w:rsidR="00D5582C" w:rsidRPr="00C24170" w:rsidRDefault="00D5582C" w:rsidP="008D6268">
            <w:pPr>
              <w:pStyle w:val="ListParagraph"/>
              <w:bidi/>
              <w:ind w:left="1080"/>
              <w:rPr>
                <w:b/>
                <w:bCs/>
                <w:sz w:val="24"/>
                <w:szCs w:val="24"/>
                <w:u w:val="single"/>
                <w:rtl/>
                <w:lang w:bidi="ar-AE"/>
              </w:rPr>
            </w:pPr>
          </w:p>
        </w:tc>
        <w:tc>
          <w:tcPr>
            <w:tcW w:w="4948" w:type="dxa"/>
            <w:gridSpan w:val="2"/>
          </w:tcPr>
          <w:p w:rsidR="00D5582C" w:rsidRPr="003A56F2" w:rsidRDefault="00D5582C" w:rsidP="00D5582C">
            <w:pPr>
              <w:pStyle w:val="ListParagraph"/>
              <w:numPr>
                <w:ilvl w:val="0"/>
                <w:numId w:val="11"/>
              </w:numPr>
              <w:tabs>
                <w:tab w:val="left" w:pos="8640"/>
              </w:tabs>
              <w:autoSpaceDE/>
              <w:autoSpaceDN/>
              <w:adjustRightInd/>
              <w:ind w:left="360" w:right="630"/>
              <w:jc w:val="center"/>
              <w:rPr>
                <w:b/>
                <w:bCs/>
                <w:sz w:val="24"/>
                <w:szCs w:val="24"/>
                <w:u w:val="single"/>
              </w:rPr>
            </w:pPr>
            <w:r>
              <w:rPr>
                <w:b/>
                <w:bCs/>
                <w:sz w:val="24"/>
                <w:szCs w:val="24"/>
                <w:u w:val="single"/>
              </w:rPr>
              <w:t>Modern Rational &amp; Scientific Exegeses</w:t>
            </w:r>
          </w:p>
        </w:tc>
      </w:tr>
      <w:tr w:rsidR="00D5582C" w:rsidTr="008D6268">
        <w:tc>
          <w:tcPr>
            <w:tcW w:w="9576" w:type="dxa"/>
            <w:gridSpan w:val="3"/>
          </w:tcPr>
          <w:p w:rsidR="00D5582C" w:rsidRDefault="00D5582C" w:rsidP="008D6268">
            <w:pPr>
              <w:tabs>
                <w:tab w:val="left" w:pos="8640"/>
              </w:tabs>
              <w:bidi/>
              <w:ind w:left="720" w:right="630"/>
              <w:rPr>
                <w:b/>
                <w:bCs/>
                <w:rtl/>
                <w:lang w:bidi="ar-AE"/>
              </w:rPr>
            </w:pPr>
            <w:r>
              <w:rPr>
                <w:rFonts w:hint="cs"/>
                <w:b/>
                <w:bCs/>
                <w:rtl/>
                <w:lang w:bidi="ar-AE"/>
              </w:rPr>
              <w:t xml:space="preserve">1849 </w:t>
            </w:r>
            <w:r>
              <w:rPr>
                <w:b/>
                <w:bCs/>
                <w:rtl/>
                <w:lang w:bidi="ar-AE"/>
              </w:rPr>
              <w:t>–</w:t>
            </w:r>
            <w:r>
              <w:rPr>
                <w:rFonts w:hint="cs"/>
                <w:b/>
                <w:bCs/>
                <w:rtl/>
                <w:lang w:bidi="ar-AE"/>
              </w:rPr>
              <w:t xml:space="preserve"> 1905 م:</w:t>
            </w:r>
          </w:p>
          <w:p w:rsidR="00D5582C" w:rsidRDefault="00D5582C" w:rsidP="00D5582C">
            <w:pPr>
              <w:pStyle w:val="ListParagraph"/>
              <w:numPr>
                <w:ilvl w:val="0"/>
                <w:numId w:val="9"/>
              </w:numPr>
              <w:tabs>
                <w:tab w:val="left" w:pos="8640"/>
              </w:tabs>
              <w:autoSpaceDE/>
              <w:autoSpaceDN/>
              <w:bidi/>
              <w:adjustRightInd/>
              <w:ind w:right="630"/>
              <w:rPr>
                <w:lang w:bidi="ar-AE"/>
              </w:rPr>
            </w:pPr>
            <w:r>
              <w:rPr>
                <w:rFonts w:hint="cs"/>
                <w:rtl/>
                <w:lang w:bidi="ar-AE"/>
              </w:rPr>
              <w:t xml:space="preserve">عبده، محمد، </w:t>
            </w:r>
            <w:r w:rsidRPr="008431A3">
              <w:rPr>
                <w:rFonts w:hint="cs"/>
                <w:b/>
                <w:bCs/>
                <w:rtl/>
                <w:lang w:bidi="ar-AE"/>
              </w:rPr>
              <w:t>تفسير القرآن الكريم؛ تفسير جزء عم</w:t>
            </w:r>
            <w:r>
              <w:rPr>
                <w:rFonts w:hint="cs"/>
                <w:rtl/>
                <w:lang w:bidi="ar-AE"/>
              </w:rPr>
              <w:t xml:space="preserve"> (القاهرة: مطبعة مصر، 1341 هـ)</w:t>
            </w:r>
          </w:p>
          <w:p w:rsidR="00D5582C" w:rsidRDefault="00D5582C" w:rsidP="008D6268">
            <w:pPr>
              <w:pStyle w:val="ListParagraph"/>
              <w:bidi/>
              <w:ind w:left="1080"/>
              <w:rPr>
                <w:lang w:bidi="ar-AE"/>
              </w:rPr>
            </w:pPr>
          </w:p>
          <w:p w:rsidR="00D5582C" w:rsidRPr="00C24170" w:rsidRDefault="00D5582C" w:rsidP="008D6268">
            <w:pPr>
              <w:pStyle w:val="ListParagraph"/>
              <w:bidi/>
              <w:rPr>
                <w:b/>
                <w:bCs/>
                <w:rtl/>
                <w:lang w:bidi="ar-AE"/>
              </w:rPr>
            </w:pPr>
            <w:r w:rsidRPr="00C24170">
              <w:rPr>
                <w:rFonts w:hint="cs"/>
                <w:b/>
                <w:bCs/>
                <w:rtl/>
                <w:lang w:bidi="ar-AE"/>
              </w:rPr>
              <w:t>المعاصرين:</w:t>
            </w:r>
          </w:p>
          <w:p w:rsidR="00D5582C" w:rsidRDefault="00D5582C" w:rsidP="00D5582C">
            <w:pPr>
              <w:pStyle w:val="ListParagraph"/>
              <w:numPr>
                <w:ilvl w:val="0"/>
                <w:numId w:val="9"/>
              </w:numPr>
              <w:autoSpaceDE/>
              <w:autoSpaceDN/>
              <w:bidi/>
              <w:adjustRightInd/>
              <w:rPr>
                <w:lang w:bidi="ar-AE"/>
              </w:rPr>
            </w:pPr>
            <w:r>
              <w:rPr>
                <w:rFonts w:hint="cs"/>
                <w:rtl/>
                <w:lang w:bidi="ar-AE"/>
              </w:rPr>
              <w:t xml:space="preserve">النجار، زغلول، </w:t>
            </w:r>
            <w:r w:rsidRPr="006847C8">
              <w:rPr>
                <w:rFonts w:hint="cs"/>
                <w:b/>
                <w:bCs/>
                <w:rtl/>
                <w:lang w:bidi="ar-AE"/>
              </w:rPr>
              <w:t>تفسير الآيات الكونية في القرآن الكريم</w:t>
            </w:r>
            <w:r>
              <w:rPr>
                <w:rFonts w:hint="cs"/>
                <w:rtl/>
                <w:lang w:bidi="ar-AE"/>
              </w:rPr>
              <w:t xml:space="preserve"> (القاهرة: مكتبة الشروق الدولية، 2007)</w:t>
            </w:r>
          </w:p>
          <w:p w:rsidR="00D5582C" w:rsidRPr="00AA2EFD" w:rsidRDefault="00D5582C" w:rsidP="008D6268">
            <w:pPr>
              <w:tabs>
                <w:tab w:val="left" w:pos="8640"/>
              </w:tabs>
              <w:bidi/>
              <w:ind w:right="630"/>
              <w:rPr>
                <w:b/>
                <w:bCs/>
                <w:sz w:val="24"/>
                <w:szCs w:val="24"/>
                <w:u w:val="single"/>
                <w:rtl/>
                <w:lang w:bidi="ar-AE"/>
              </w:rPr>
            </w:pPr>
          </w:p>
          <w:p w:rsidR="00D5582C" w:rsidRDefault="00D5582C" w:rsidP="008D6268">
            <w:pPr>
              <w:pStyle w:val="ListParagraph"/>
              <w:tabs>
                <w:tab w:val="left" w:pos="8640"/>
              </w:tabs>
              <w:ind w:left="450" w:right="630" w:hanging="360"/>
              <w:rPr>
                <w:b/>
                <w:bCs/>
                <w:lang w:bidi="ar-AE"/>
              </w:rPr>
            </w:pPr>
            <w:r>
              <w:rPr>
                <w:b/>
                <w:bCs/>
                <w:lang w:bidi="ar-AE"/>
              </w:rPr>
              <w:t>1849-1905 CE:</w:t>
            </w:r>
          </w:p>
          <w:p w:rsidR="00D5582C" w:rsidRDefault="00D5582C" w:rsidP="008D6268">
            <w:pPr>
              <w:pStyle w:val="ListParagraph"/>
              <w:tabs>
                <w:tab w:val="left" w:pos="8640"/>
              </w:tabs>
              <w:ind w:left="450" w:right="630" w:hanging="360"/>
              <w:rPr>
                <w:lang w:bidi="ar-AE"/>
              </w:rPr>
            </w:pPr>
            <w:r>
              <w:rPr>
                <w:lang w:bidi="ar-AE"/>
              </w:rPr>
              <w:t xml:space="preserve">'Abdu, Muḥammad, </w:t>
            </w:r>
            <w:r w:rsidRPr="00CB6EBD">
              <w:rPr>
                <w:i/>
                <w:iCs/>
                <w:lang w:bidi="ar-AE"/>
              </w:rPr>
              <w:t>The Exegesis of the Honoured Qur'ān;  the Interpretation of Juz' 'Amma (30</w:t>
            </w:r>
            <w:r w:rsidRPr="00CB6EBD">
              <w:rPr>
                <w:i/>
                <w:iCs/>
                <w:vertAlign w:val="superscript"/>
                <w:lang w:bidi="ar-AE"/>
              </w:rPr>
              <w:t>th</w:t>
            </w:r>
            <w:r w:rsidRPr="00CB6EBD">
              <w:rPr>
                <w:i/>
                <w:iCs/>
                <w:lang w:bidi="ar-AE"/>
              </w:rPr>
              <w:t xml:space="preserve"> section)</w:t>
            </w:r>
            <w:r>
              <w:rPr>
                <w:lang w:bidi="ar-AE"/>
              </w:rPr>
              <w:t xml:space="preserve"> (Cairo: Maṭba'at Maṣr, 1341 Hijrī)</w:t>
            </w:r>
          </w:p>
          <w:p w:rsidR="00D5582C" w:rsidRDefault="00D5582C" w:rsidP="008D6268">
            <w:pPr>
              <w:tabs>
                <w:tab w:val="left" w:pos="8640"/>
              </w:tabs>
              <w:ind w:left="450" w:right="630" w:hanging="360"/>
              <w:rPr>
                <w:lang w:bidi="ar-AE"/>
              </w:rPr>
            </w:pPr>
          </w:p>
          <w:p w:rsidR="00D5582C" w:rsidRDefault="00D5582C" w:rsidP="008D6268">
            <w:pPr>
              <w:tabs>
                <w:tab w:val="left" w:pos="8640"/>
              </w:tabs>
              <w:ind w:left="450" w:right="630" w:hanging="360"/>
              <w:rPr>
                <w:rtl/>
                <w:lang w:bidi="ar-AE"/>
              </w:rPr>
            </w:pPr>
            <w:r w:rsidRPr="00C24170">
              <w:rPr>
                <w:b/>
                <w:bCs/>
                <w:lang w:bidi="ar-AE"/>
              </w:rPr>
              <w:t>Contemporary</w:t>
            </w:r>
            <w:r>
              <w:rPr>
                <w:lang w:bidi="ar-AE"/>
              </w:rPr>
              <w:t>:</w:t>
            </w:r>
          </w:p>
          <w:p w:rsidR="00D5582C" w:rsidRDefault="00D5582C" w:rsidP="008D6268">
            <w:pPr>
              <w:tabs>
                <w:tab w:val="left" w:pos="8640"/>
              </w:tabs>
              <w:ind w:left="450" w:right="630" w:hanging="360"/>
            </w:pPr>
            <w:r>
              <w:rPr>
                <w:lang w:bidi="ar-AE"/>
              </w:rPr>
              <w:t>El Naggar</w:t>
            </w:r>
            <w:r>
              <w:t xml:space="preserve">, Zaghloul, </w:t>
            </w:r>
            <w:r w:rsidRPr="006A52DF">
              <w:rPr>
                <w:i/>
                <w:iCs/>
              </w:rPr>
              <w:t>The Interpretation of the Cosmic Verses of the Honoured Qur’ān</w:t>
            </w:r>
            <w:r>
              <w:t xml:space="preserve"> (Cairo: Maktabat al-Shurūq al-Dawlīyah, 2007)</w:t>
            </w:r>
          </w:p>
          <w:p w:rsidR="00D5582C" w:rsidRDefault="00D5582C" w:rsidP="008D6268">
            <w:pPr>
              <w:tabs>
                <w:tab w:val="left" w:pos="8640"/>
              </w:tabs>
              <w:ind w:left="450" w:right="630" w:hanging="360"/>
              <w:rPr>
                <w:rtl/>
                <w:lang w:bidi="ar-AE"/>
              </w:rPr>
            </w:pPr>
          </w:p>
          <w:p w:rsidR="00D5582C" w:rsidRDefault="00D5582C" w:rsidP="008D6268">
            <w:pPr>
              <w:tabs>
                <w:tab w:val="left" w:pos="8640"/>
              </w:tabs>
              <w:ind w:right="630"/>
              <w:rPr>
                <w:rtl/>
              </w:rPr>
            </w:pPr>
          </w:p>
          <w:p w:rsidR="00D5582C" w:rsidRPr="003A56F2" w:rsidRDefault="00D5582C" w:rsidP="008D6268">
            <w:pPr>
              <w:tabs>
                <w:tab w:val="left" w:pos="8640"/>
              </w:tabs>
              <w:ind w:right="630"/>
            </w:pPr>
          </w:p>
        </w:tc>
      </w:tr>
      <w:tr w:rsidR="00D5582C" w:rsidTr="008D6268">
        <w:tc>
          <w:tcPr>
            <w:tcW w:w="9576" w:type="dxa"/>
            <w:gridSpan w:val="3"/>
          </w:tcPr>
          <w:p w:rsidR="00D5582C" w:rsidRPr="00526E5A" w:rsidRDefault="00D5582C" w:rsidP="008D6268">
            <w:pPr>
              <w:pStyle w:val="ListParagraph"/>
              <w:bidi/>
              <w:ind w:left="0"/>
              <w:jc w:val="center"/>
              <w:rPr>
                <w:b/>
                <w:bCs/>
                <w:sz w:val="24"/>
                <w:szCs w:val="24"/>
                <w:lang w:bidi="ar-AE"/>
              </w:rPr>
            </w:pPr>
            <w:r w:rsidRPr="00526E5A">
              <w:rPr>
                <w:rFonts w:hint="cs"/>
                <w:b/>
                <w:bCs/>
                <w:sz w:val="24"/>
                <w:szCs w:val="24"/>
                <w:rtl/>
                <w:lang w:bidi="ar-AE"/>
              </w:rPr>
              <w:t>الأحاديث الشريفة وشروحاتها</w:t>
            </w:r>
          </w:p>
          <w:p w:rsidR="00D5582C" w:rsidRDefault="00D5582C" w:rsidP="008D6268">
            <w:pPr>
              <w:pStyle w:val="ListParagraph"/>
              <w:tabs>
                <w:tab w:val="right" w:pos="9090"/>
              </w:tabs>
              <w:ind w:left="0"/>
              <w:jc w:val="center"/>
              <w:rPr>
                <w:b/>
                <w:bCs/>
                <w:lang w:bidi="ar-AE"/>
              </w:rPr>
            </w:pPr>
            <w:r>
              <w:rPr>
                <w:b/>
                <w:bCs/>
                <w:lang w:bidi="ar-AE"/>
              </w:rPr>
              <w:t xml:space="preserve">Prophetic </w:t>
            </w:r>
            <w:r w:rsidRPr="00526E5A">
              <w:rPr>
                <w:b/>
                <w:bCs/>
                <w:i/>
                <w:iCs/>
                <w:lang w:bidi="ar-AE"/>
              </w:rPr>
              <w:t>Ḥadīth</w:t>
            </w:r>
            <w:r>
              <w:rPr>
                <w:b/>
                <w:bCs/>
                <w:lang w:bidi="ar-AE"/>
              </w:rPr>
              <w:t xml:space="preserve"> &amp; Commentaries</w:t>
            </w:r>
          </w:p>
          <w:p w:rsidR="00D5582C" w:rsidRPr="00012641" w:rsidRDefault="00D5582C" w:rsidP="008D6268">
            <w:pPr>
              <w:pStyle w:val="ListParagraph"/>
              <w:tabs>
                <w:tab w:val="right" w:pos="9090"/>
              </w:tabs>
              <w:ind w:left="0"/>
              <w:jc w:val="center"/>
              <w:rPr>
                <w:b/>
                <w:bCs/>
                <w:rtl/>
                <w:lang w:bidi="ar-AE"/>
              </w:rPr>
            </w:pPr>
          </w:p>
        </w:tc>
      </w:tr>
      <w:tr w:rsidR="00D5582C" w:rsidTr="008D6268">
        <w:tc>
          <w:tcPr>
            <w:tcW w:w="4628" w:type="dxa"/>
          </w:tcPr>
          <w:p w:rsidR="00D5582C" w:rsidRPr="00742329" w:rsidRDefault="00D5582C" w:rsidP="00D5582C">
            <w:pPr>
              <w:pStyle w:val="ListParagraph"/>
              <w:numPr>
                <w:ilvl w:val="0"/>
                <w:numId w:val="12"/>
              </w:numPr>
              <w:autoSpaceDE/>
              <w:autoSpaceDN/>
              <w:bidi/>
              <w:adjustRightInd/>
              <w:jc w:val="center"/>
              <w:rPr>
                <w:b/>
                <w:bCs/>
                <w:sz w:val="24"/>
                <w:szCs w:val="24"/>
                <w:lang w:bidi="ar-AE"/>
              </w:rPr>
            </w:pPr>
            <w:r>
              <w:rPr>
                <w:rFonts w:hint="cs"/>
                <w:b/>
                <w:bCs/>
                <w:sz w:val="24"/>
                <w:szCs w:val="24"/>
                <w:u w:val="single"/>
                <w:rtl/>
                <w:lang w:bidi="ar-AE"/>
              </w:rPr>
              <w:t>الأحاديث الشريفة</w:t>
            </w:r>
          </w:p>
          <w:p w:rsidR="00D5582C" w:rsidRDefault="00D5582C" w:rsidP="008D6268">
            <w:pPr>
              <w:pStyle w:val="ListParagraph"/>
              <w:bidi/>
              <w:rPr>
                <w:b/>
                <w:bCs/>
                <w:sz w:val="24"/>
                <w:szCs w:val="24"/>
                <w:lang w:bidi="ar-AE"/>
              </w:rPr>
            </w:pPr>
          </w:p>
        </w:tc>
        <w:tc>
          <w:tcPr>
            <w:tcW w:w="4948" w:type="dxa"/>
            <w:gridSpan w:val="2"/>
          </w:tcPr>
          <w:p w:rsidR="00D5582C" w:rsidRDefault="00D5582C" w:rsidP="00D5582C">
            <w:pPr>
              <w:pStyle w:val="ListParagraph"/>
              <w:numPr>
                <w:ilvl w:val="0"/>
                <w:numId w:val="13"/>
              </w:numPr>
              <w:autoSpaceDE/>
              <w:autoSpaceDN/>
              <w:adjustRightInd/>
              <w:jc w:val="center"/>
              <w:rPr>
                <w:b/>
                <w:bCs/>
                <w:sz w:val="24"/>
                <w:szCs w:val="24"/>
                <w:lang w:bidi="ar-AE"/>
              </w:rPr>
            </w:pPr>
            <w:r>
              <w:rPr>
                <w:b/>
                <w:bCs/>
                <w:sz w:val="24"/>
                <w:szCs w:val="24"/>
                <w:u w:val="single"/>
                <w:lang w:bidi="ar-AE"/>
              </w:rPr>
              <w:t xml:space="preserve">Prophetic </w:t>
            </w:r>
            <w:r w:rsidRPr="00600A5D">
              <w:rPr>
                <w:b/>
                <w:bCs/>
                <w:i/>
                <w:iCs/>
                <w:u w:val="single"/>
                <w:lang w:bidi="ar-AE"/>
              </w:rPr>
              <w:t>Ḥadīth</w:t>
            </w:r>
          </w:p>
        </w:tc>
      </w:tr>
      <w:tr w:rsidR="00D5582C" w:rsidTr="008D6268">
        <w:tc>
          <w:tcPr>
            <w:tcW w:w="9576" w:type="dxa"/>
            <w:gridSpan w:val="3"/>
          </w:tcPr>
          <w:p w:rsidR="00D5582C" w:rsidRPr="00B14B6F" w:rsidRDefault="00D5582C" w:rsidP="008D6268">
            <w:pPr>
              <w:pStyle w:val="NormalWeb"/>
              <w:bidi/>
              <w:spacing w:after="0" w:afterAutospacing="0"/>
              <w:ind w:left="720"/>
              <w:rPr>
                <w:rFonts w:asciiTheme="minorHAnsi" w:hAnsiTheme="minorHAnsi"/>
                <w:b/>
                <w:bCs/>
                <w:sz w:val="22"/>
                <w:szCs w:val="22"/>
                <w:lang w:bidi="ar-AE"/>
              </w:rPr>
            </w:pPr>
            <w:r w:rsidRPr="00B14B6F">
              <w:rPr>
                <w:rFonts w:asciiTheme="minorHAnsi" w:hAnsiTheme="minorHAnsi" w:hint="cs"/>
                <w:b/>
                <w:bCs/>
                <w:sz w:val="22"/>
                <w:szCs w:val="22"/>
                <w:rtl/>
                <w:lang w:bidi="ar-AE"/>
              </w:rPr>
              <w:t xml:space="preserve">817 </w:t>
            </w:r>
            <w:r w:rsidRPr="00B14B6F">
              <w:rPr>
                <w:rFonts w:asciiTheme="minorHAnsi" w:hAnsiTheme="minorHAnsi"/>
                <w:b/>
                <w:bCs/>
                <w:sz w:val="22"/>
                <w:szCs w:val="22"/>
                <w:rtl/>
                <w:lang w:bidi="ar-AE"/>
              </w:rPr>
              <w:t>–</w:t>
            </w:r>
            <w:r w:rsidRPr="00B14B6F">
              <w:rPr>
                <w:rFonts w:asciiTheme="minorHAnsi" w:hAnsiTheme="minorHAnsi" w:hint="cs"/>
                <w:b/>
                <w:bCs/>
                <w:sz w:val="22"/>
                <w:szCs w:val="22"/>
                <w:rtl/>
                <w:lang w:bidi="ar-AE"/>
              </w:rPr>
              <w:t xml:space="preserve"> 889 م:</w:t>
            </w:r>
          </w:p>
          <w:p w:rsidR="00D5582C" w:rsidRDefault="00D5582C" w:rsidP="00D5582C">
            <w:pPr>
              <w:pStyle w:val="NormalWeb"/>
              <w:numPr>
                <w:ilvl w:val="0"/>
                <w:numId w:val="9"/>
              </w:numPr>
              <w:bidi/>
              <w:spacing w:before="0" w:beforeAutospacing="0" w:after="0" w:afterAutospacing="0"/>
              <w:rPr>
                <w:rFonts w:asciiTheme="minorHAnsi" w:hAnsiTheme="minorHAnsi"/>
                <w:sz w:val="22"/>
                <w:szCs w:val="22"/>
                <w:lang w:bidi="ar-AE"/>
              </w:rPr>
            </w:pPr>
            <w:r>
              <w:rPr>
                <w:rFonts w:asciiTheme="minorHAnsi" w:hAnsiTheme="minorHAnsi" w:hint="cs"/>
                <w:sz w:val="22"/>
                <w:szCs w:val="22"/>
                <w:rtl/>
                <w:lang w:bidi="ar-AE"/>
              </w:rPr>
              <w:t xml:space="preserve">السجستاني، أبو داود سليمان بن الأشعث، </w:t>
            </w:r>
            <w:r w:rsidRPr="002F7D29">
              <w:rPr>
                <w:rFonts w:asciiTheme="minorHAnsi" w:hAnsiTheme="minorHAnsi" w:hint="cs"/>
                <w:b/>
                <w:bCs/>
                <w:sz w:val="22"/>
                <w:szCs w:val="22"/>
                <w:rtl/>
                <w:lang w:bidi="ar-AE"/>
              </w:rPr>
              <w:t>سنن أبي داود</w:t>
            </w:r>
            <w:r>
              <w:rPr>
                <w:rFonts w:asciiTheme="minorHAnsi" w:hAnsiTheme="minorHAnsi" w:hint="cs"/>
                <w:sz w:val="22"/>
                <w:szCs w:val="22"/>
                <w:rtl/>
                <w:lang w:bidi="ar-AE"/>
              </w:rPr>
              <w:t xml:space="preserve"> (بيروت: المكتبة العصرية، ب.ت.)</w:t>
            </w:r>
          </w:p>
          <w:p w:rsidR="00D5582C" w:rsidRPr="0070433A" w:rsidRDefault="00D5582C" w:rsidP="008D6268">
            <w:pPr>
              <w:pStyle w:val="NormalWeb"/>
              <w:bidi/>
              <w:spacing w:before="0" w:beforeAutospacing="0" w:after="0" w:afterAutospacing="0"/>
              <w:ind w:left="1080"/>
              <w:rPr>
                <w:rFonts w:asciiTheme="minorHAnsi" w:hAnsiTheme="minorHAnsi"/>
                <w:sz w:val="22"/>
                <w:szCs w:val="22"/>
                <w:lang w:bidi="ar-AE"/>
              </w:rPr>
            </w:pPr>
          </w:p>
          <w:p w:rsidR="00D5582C" w:rsidRPr="00B14B6F" w:rsidRDefault="00D5582C" w:rsidP="008D6268">
            <w:pPr>
              <w:pStyle w:val="NormalWeb"/>
              <w:bidi/>
              <w:spacing w:before="0" w:beforeAutospacing="0" w:after="0" w:afterAutospacing="0"/>
              <w:ind w:left="720"/>
              <w:rPr>
                <w:rFonts w:asciiTheme="minorHAnsi" w:hAnsiTheme="minorHAnsi"/>
                <w:b/>
                <w:bCs/>
                <w:sz w:val="22"/>
                <w:szCs w:val="22"/>
                <w:lang w:bidi="ar-AE"/>
              </w:rPr>
            </w:pPr>
            <w:r w:rsidRPr="00B14B6F">
              <w:rPr>
                <w:rFonts w:asciiTheme="minorHAnsi" w:hAnsiTheme="minorHAnsi" w:hint="cs"/>
                <w:b/>
                <w:bCs/>
                <w:sz w:val="22"/>
                <w:szCs w:val="22"/>
                <w:rtl/>
                <w:lang w:bidi="ar-AE"/>
              </w:rPr>
              <w:t xml:space="preserve">824 </w:t>
            </w:r>
            <w:r w:rsidRPr="00B14B6F">
              <w:rPr>
                <w:rFonts w:asciiTheme="minorHAnsi" w:hAnsiTheme="minorHAnsi"/>
                <w:b/>
                <w:bCs/>
                <w:sz w:val="22"/>
                <w:szCs w:val="22"/>
                <w:rtl/>
                <w:lang w:bidi="ar-AE"/>
              </w:rPr>
              <w:t>–</w:t>
            </w:r>
            <w:r w:rsidRPr="00B14B6F">
              <w:rPr>
                <w:rFonts w:asciiTheme="minorHAnsi" w:hAnsiTheme="minorHAnsi" w:hint="cs"/>
                <w:b/>
                <w:bCs/>
                <w:sz w:val="22"/>
                <w:szCs w:val="22"/>
                <w:rtl/>
                <w:lang w:bidi="ar-AE"/>
              </w:rPr>
              <w:t xml:space="preserve"> 892 م:</w:t>
            </w:r>
          </w:p>
          <w:p w:rsidR="00D5582C" w:rsidRPr="00CB16AF" w:rsidRDefault="00D5582C" w:rsidP="00D5582C">
            <w:pPr>
              <w:pStyle w:val="NormalWeb"/>
              <w:numPr>
                <w:ilvl w:val="0"/>
                <w:numId w:val="9"/>
              </w:numPr>
              <w:bidi/>
              <w:spacing w:before="0" w:beforeAutospacing="0" w:after="0" w:afterAutospacing="0"/>
              <w:rPr>
                <w:rFonts w:asciiTheme="minorHAnsi" w:hAnsiTheme="minorHAnsi"/>
                <w:sz w:val="22"/>
                <w:szCs w:val="22"/>
                <w:rtl/>
                <w:lang w:bidi="ar-AE"/>
              </w:rPr>
            </w:pPr>
            <w:r>
              <w:rPr>
                <w:rFonts w:asciiTheme="minorHAnsi" w:hAnsiTheme="minorHAnsi" w:hint="cs"/>
                <w:sz w:val="22"/>
                <w:szCs w:val="22"/>
                <w:rtl/>
                <w:lang w:bidi="ar-AE"/>
              </w:rPr>
              <w:t xml:space="preserve">الترمذي، محمد بن عيسى بن الضحاك، </w:t>
            </w:r>
            <w:r w:rsidRPr="001B36D4">
              <w:rPr>
                <w:rFonts w:asciiTheme="minorHAnsi" w:hAnsiTheme="minorHAnsi" w:hint="cs"/>
                <w:b/>
                <w:bCs/>
                <w:sz w:val="22"/>
                <w:szCs w:val="22"/>
                <w:rtl/>
                <w:lang w:bidi="ar-AE"/>
              </w:rPr>
              <w:t>الجامع الكبير</w:t>
            </w:r>
            <w:r>
              <w:rPr>
                <w:rFonts w:asciiTheme="minorHAnsi" w:hAnsiTheme="minorHAnsi" w:hint="cs"/>
                <w:sz w:val="22"/>
                <w:szCs w:val="22"/>
                <w:rtl/>
                <w:lang w:bidi="ar-AE"/>
              </w:rPr>
              <w:t xml:space="preserve"> (بيروت: دار الغرب الإسلامي، 1998)</w:t>
            </w:r>
          </w:p>
          <w:p w:rsidR="00D5582C" w:rsidRPr="00B14B6F" w:rsidRDefault="00D5582C" w:rsidP="008D6268">
            <w:pPr>
              <w:pStyle w:val="NormalWeb"/>
              <w:bidi/>
              <w:spacing w:before="0" w:beforeAutospacing="0" w:after="0" w:afterAutospacing="0"/>
              <w:ind w:left="720"/>
              <w:rPr>
                <w:rFonts w:asciiTheme="minorHAnsi" w:hAnsiTheme="minorHAnsi"/>
                <w:b/>
                <w:bCs/>
                <w:sz w:val="22"/>
                <w:szCs w:val="22"/>
                <w:lang w:bidi="ar-AE"/>
              </w:rPr>
            </w:pPr>
            <w:r w:rsidRPr="00B14B6F">
              <w:rPr>
                <w:rFonts w:asciiTheme="minorHAnsi" w:hAnsiTheme="minorHAnsi" w:hint="cs"/>
                <w:b/>
                <w:bCs/>
                <w:sz w:val="22"/>
                <w:szCs w:val="22"/>
                <w:rtl/>
                <w:lang w:bidi="ar-AE"/>
              </w:rPr>
              <w:t xml:space="preserve">824 </w:t>
            </w:r>
            <w:r w:rsidRPr="00B14B6F">
              <w:rPr>
                <w:rFonts w:asciiTheme="minorHAnsi" w:hAnsiTheme="minorHAnsi"/>
                <w:b/>
                <w:bCs/>
                <w:sz w:val="22"/>
                <w:szCs w:val="22"/>
                <w:rtl/>
                <w:lang w:bidi="ar-AE"/>
              </w:rPr>
              <w:t>–</w:t>
            </w:r>
            <w:r w:rsidRPr="00B14B6F">
              <w:rPr>
                <w:rFonts w:asciiTheme="minorHAnsi" w:hAnsiTheme="minorHAnsi" w:hint="cs"/>
                <w:b/>
                <w:bCs/>
                <w:sz w:val="22"/>
                <w:szCs w:val="22"/>
                <w:rtl/>
                <w:lang w:bidi="ar-AE"/>
              </w:rPr>
              <w:t xml:space="preserve"> 887 م:</w:t>
            </w:r>
          </w:p>
          <w:p w:rsidR="00D5582C" w:rsidRPr="0070433A" w:rsidRDefault="00D5582C" w:rsidP="00D5582C">
            <w:pPr>
              <w:pStyle w:val="NormalWeb"/>
              <w:numPr>
                <w:ilvl w:val="0"/>
                <w:numId w:val="9"/>
              </w:numPr>
              <w:bidi/>
              <w:spacing w:before="0" w:beforeAutospacing="0" w:after="0" w:afterAutospacing="0"/>
              <w:rPr>
                <w:rFonts w:asciiTheme="minorHAnsi" w:hAnsiTheme="minorHAnsi"/>
                <w:sz w:val="22"/>
                <w:szCs w:val="22"/>
                <w:rtl/>
                <w:lang w:bidi="ar-AE"/>
              </w:rPr>
            </w:pPr>
            <w:r>
              <w:rPr>
                <w:rFonts w:asciiTheme="minorHAnsi" w:hAnsiTheme="minorHAnsi" w:hint="cs"/>
                <w:sz w:val="22"/>
                <w:szCs w:val="22"/>
                <w:rtl/>
                <w:lang w:bidi="ar-AE"/>
              </w:rPr>
              <w:t xml:space="preserve">ابن ماجه، أبو عبدالله محمد بن يزيد القزويني، </w:t>
            </w:r>
            <w:r w:rsidRPr="001B36D4">
              <w:rPr>
                <w:rFonts w:asciiTheme="minorHAnsi" w:hAnsiTheme="minorHAnsi" w:hint="cs"/>
                <w:b/>
                <w:bCs/>
                <w:sz w:val="22"/>
                <w:szCs w:val="22"/>
                <w:rtl/>
                <w:lang w:bidi="ar-AE"/>
              </w:rPr>
              <w:t>سنن ابن ماجه</w:t>
            </w:r>
            <w:r>
              <w:rPr>
                <w:rFonts w:asciiTheme="minorHAnsi" w:hAnsiTheme="minorHAnsi" w:hint="cs"/>
                <w:sz w:val="22"/>
                <w:szCs w:val="22"/>
                <w:rtl/>
                <w:lang w:bidi="ar-AE"/>
              </w:rPr>
              <w:t xml:space="preserve"> (بيروت: دار الرسالة العالمية، 2009)</w:t>
            </w:r>
          </w:p>
          <w:p w:rsidR="00D5582C" w:rsidRDefault="00D5582C" w:rsidP="008D6268">
            <w:pPr>
              <w:pStyle w:val="NormalWeb"/>
              <w:spacing w:before="0" w:beforeAutospacing="0" w:after="0" w:afterAutospacing="0"/>
              <w:rPr>
                <w:rFonts w:asciiTheme="minorHAnsi" w:hAnsiTheme="minorHAnsi"/>
                <w:b/>
                <w:bCs/>
                <w:sz w:val="22"/>
                <w:szCs w:val="22"/>
              </w:rPr>
            </w:pPr>
          </w:p>
          <w:p w:rsidR="00D5582C" w:rsidRPr="00600A5D" w:rsidRDefault="00D5582C" w:rsidP="008D6268">
            <w:pPr>
              <w:pStyle w:val="NormalWeb"/>
              <w:spacing w:before="0" w:beforeAutospacing="0" w:after="0" w:afterAutospacing="0"/>
              <w:ind w:left="450" w:hanging="450"/>
              <w:rPr>
                <w:rFonts w:asciiTheme="minorHAnsi" w:hAnsiTheme="minorHAnsi"/>
                <w:b/>
                <w:bCs/>
                <w:sz w:val="22"/>
                <w:szCs w:val="22"/>
              </w:rPr>
            </w:pPr>
            <w:r w:rsidRPr="00600A5D">
              <w:rPr>
                <w:rFonts w:asciiTheme="minorHAnsi" w:hAnsiTheme="minorHAnsi"/>
                <w:b/>
                <w:bCs/>
                <w:sz w:val="22"/>
                <w:szCs w:val="22"/>
              </w:rPr>
              <w:t>817-889 CE:</w:t>
            </w:r>
          </w:p>
          <w:p w:rsidR="00D5582C" w:rsidRDefault="00D5582C" w:rsidP="008D6268">
            <w:pPr>
              <w:pStyle w:val="NormalWeb"/>
              <w:spacing w:before="0" w:beforeAutospacing="0"/>
              <w:ind w:left="450" w:right="720" w:hanging="450"/>
              <w:rPr>
                <w:rFonts w:asciiTheme="minorHAnsi" w:hAnsiTheme="minorHAnsi"/>
                <w:sz w:val="22"/>
                <w:szCs w:val="22"/>
              </w:rPr>
            </w:pPr>
            <w:proofErr w:type="gramStart"/>
            <w:r>
              <w:rPr>
                <w:rFonts w:asciiTheme="minorHAnsi" w:hAnsiTheme="minorHAnsi"/>
                <w:sz w:val="22"/>
                <w:szCs w:val="22"/>
              </w:rPr>
              <w:t>al-Sijistānī</w:t>
            </w:r>
            <w:proofErr w:type="gramEnd"/>
            <w:r>
              <w:rPr>
                <w:rFonts w:asciiTheme="minorHAnsi" w:hAnsiTheme="minorHAnsi"/>
                <w:sz w:val="22"/>
                <w:szCs w:val="22"/>
              </w:rPr>
              <w:t>, a</w:t>
            </w:r>
            <w:r w:rsidRPr="007314F1">
              <w:rPr>
                <w:rFonts w:asciiTheme="minorHAnsi" w:hAnsiTheme="minorHAnsi"/>
                <w:sz w:val="22"/>
                <w:szCs w:val="22"/>
              </w:rPr>
              <w:t>b</w:t>
            </w:r>
            <w:r>
              <w:rPr>
                <w:rFonts w:asciiTheme="minorHAnsi" w:hAnsiTheme="minorHAnsi"/>
                <w:sz w:val="22"/>
                <w:szCs w:val="22"/>
              </w:rPr>
              <w:t>ū Dawūd Sulaīmān b. al-Ash'ath,</w:t>
            </w:r>
            <w:r w:rsidRPr="007314F1">
              <w:rPr>
                <w:rFonts w:asciiTheme="minorHAnsi" w:hAnsiTheme="minorHAnsi"/>
                <w:sz w:val="22"/>
                <w:szCs w:val="22"/>
              </w:rPr>
              <w:t xml:space="preserve"> </w:t>
            </w:r>
            <w:r>
              <w:rPr>
                <w:rFonts w:asciiTheme="minorHAnsi" w:hAnsiTheme="minorHAnsi"/>
                <w:i/>
                <w:iCs/>
                <w:sz w:val="22"/>
                <w:szCs w:val="22"/>
              </w:rPr>
              <w:t xml:space="preserve">The Canonical Collection of </w:t>
            </w:r>
            <w:r>
              <w:rPr>
                <w:rFonts w:ascii="Calibri" w:hAnsi="Calibri"/>
                <w:i/>
                <w:iCs/>
                <w:sz w:val="22"/>
                <w:szCs w:val="22"/>
              </w:rPr>
              <w:t>Ḥ</w:t>
            </w:r>
            <w:r>
              <w:rPr>
                <w:rFonts w:asciiTheme="minorHAnsi" w:hAnsiTheme="minorHAnsi"/>
                <w:i/>
                <w:iCs/>
                <w:sz w:val="22"/>
                <w:szCs w:val="22"/>
              </w:rPr>
              <w:t>ad</w:t>
            </w:r>
            <w:r>
              <w:rPr>
                <w:rFonts w:ascii="Calibri" w:hAnsi="Calibri"/>
                <w:i/>
                <w:iCs/>
                <w:sz w:val="22"/>
                <w:szCs w:val="22"/>
              </w:rPr>
              <w:t>ī</w:t>
            </w:r>
            <w:r>
              <w:rPr>
                <w:rFonts w:asciiTheme="minorHAnsi" w:hAnsiTheme="minorHAnsi"/>
                <w:i/>
                <w:iCs/>
                <w:sz w:val="22"/>
                <w:szCs w:val="22"/>
              </w:rPr>
              <w:t>th by Ab</w:t>
            </w:r>
            <w:r>
              <w:rPr>
                <w:rFonts w:ascii="Calibri" w:hAnsi="Calibri"/>
                <w:i/>
                <w:iCs/>
                <w:sz w:val="22"/>
                <w:szCs w:val="22"/>
              </w:rPr>
              <w:t>ū</w:t>
            </w:r>
            <w:r>
              <w:rPr>
                <w:rFonts w:asciiTheme="minorHAnsi" w:hAnsiTheme="minorHAnsi"/>
                <w:i/>
                <w:iCs/>
                <w:sz w:val="22"/>
                <w:szCs w:val="22"/>
              </w:rPr>
              <w:t xml:space="preserve"> D</w:t>
            </w:r>
            <w:r>
              <w:rPr>
                <w:rFonts w:ascii="Calibri" w:hAnsi="Calibri"/>
                <w:i/>
                <w:iCs/>
                <w:sz w:val="22"/>
                <w:szCs w:val="22"/>
              </w:rPr>
              <w:t>ā</w:t>
            </w:r>
            <w:r>
              <w:rPr>
                <w:rFonts w:asciiTheme="minorHAnsi" w:hAnsiTheme="minorHAnsi"/>
                <w:i/>
                <w:iCs/>
                <w:sz w:val="22"/>
                <w:szCs w:val="22"/>
              </w:rPr>
              <w:t>w</w:t>
            </w:r>
            <w:r>
              <w:rPr>
                <w:rFonts w:ascii="Calibri" w:hAnsi="Calibri"/>
                <w:i/>
                <w:iCs/>
                <w:sz w:val="22"/>
                <w:szCs w:val="22"/>
              </w:rPr>
              <w:t>ū</w:t>
            </w:r>
            <w:r>
              <w:rPr>
                <w:rFonts w:asciiTheme="minorHAnsi" w:hAnsiTheme="minorHAnsi"/>
                <w:i/>
                <w:iCs/>
                <w:sz w:val="22"/>
                <w:szCs w:val="22"/>
              </w:rPr>
              <w:t>d</w:t>
            </w:r>
            <w:r>
              <w:rPr>
                <w:rFonts w:asciiTheme="minorHAnsi" w:hAnsiTheme="minorHAnsi"/>
                <w:sz w:val="22"/>
                <w:szCs w:val="22"/>
              </w:rPr>
              <w:t xml:space="preserve"> (</w:t>
            </w:r>
            <w:r w:rsidRPr="007314F1">
              <w:rPr>
                <w:rFonts w:asciiTheme="minorHAnsi" w:hAnsiTheme="minorHAnsi"/>
                <w:sz w:val="22"/>
                <w:szCs w:val="22"/>
              </w:rPr>
              <w:t xml:space="preserve">Beirut: al-Maktabah al-‘Asrīyah, </w:t>
            </w:r>
            <w:r>
              <w:rPr>
                <w:rFonts w:asciiTheme="minorHAnsi" w:hAnsiTheme="minorHAnsi"/>
                <w:sz w:val="22"/>
                <w:szCs w:val="22"/>
              </w:rPr>
              <w:t>n.d.)</w:t>
            </w:r>
          </w:p>
          <w:p w:rsidR="00D5582C" w:rsidRDefault="00D5582C" w:rsidP="008D6268">
            <w:pPr>
              <w:pStyle w:val="NormalWeb"/>
              <w:spacing w:before="0" w:beforeAutospacing="0" w:after="0" w:afterAutospacing="0"/>
              <w:ind w:left="450" w:hanging="450"/>
              <w:rPr>
                <w:rFonts w:asciiTheme="minorHAnsi" w:hAnsiTheme="minorHAnsi"/>
                <w:b/>
                <w:bCs/>
                <w:sz w:val="22"/>
                <w:szCs w:val="22"/>
              </w:rPr>
            </w:pPr>
            <w:r w:rsidRPr="00600A5D">
              <w:rPr>
                <w:rFonts w:asciiTheme="minorHAnsi" w:hAnsiTheme="minorHAnsi"/>
                <w:b/>
                <w:bCs/>
                <w:sz w:val="22"/>
                <w:szCs w:val="22"/>
              </w:rPr>
              <w:lastRenderedPageBreak/>
              <w:t>824-892 CE:</w:t>
            </w:r>
          </w:p>
          <w:p w:rsidR="00D5582C" w:rsidRDefault="00D5582C" w:rsidP="008D6268">
            <w:pPr>
              <w:pStyle w:val="NormalWeb"/>
              <w:spacing w:before="0" w:beforeAutospacing="0" w:after="0" w:afterAutospacing="0"/>
              <w:ind w:left="450" w:hanging="450"/>
              <w:rPr>
                <w:rFonts w:asciiTheme="minorHAnsi" w:hAnsiTheme="minorHAnsi"/>
                <w:sz w:val="22"/>
                <w:szCs w:val="22"/>
                <w:lang w:bidi="ar-AE"/>
              </w:rPr>
            </w:pPr>
            <w:r>
              <w:rPr>
                <w:rFonts w:asciiTheme="minorHAnsi" w:hAnsiTheme="minorHAnsi"/>
                <w:sz w:val="22"/>
                <w:szCs w:val="22"/>
              </w:rPr>
              <w:t>al-Tirmidh</w:t>
            </w:r>
            <w:r>
              <w:rPr>
                <w:rFonts w:ascii="Calibri" w:hAnsi="Calibri"/>
                <w:sz w:val="22"/>
                <w:szCs w:val="22"/>
              </w:rPr>
              <w:t>ī</w:t>
            </w:r>
            <w:r>
              <w:rPr>
                <w:rFonts w:asciiTheme="minorHAnsi" w:hAnsiTheme="minorHAnsi"/>
                <w:sz w:val="22"/>
                <w:szCs w:val="22"/>
              </w:rPr>
              <w:t>, Mu</w:t>
            </w:r>
            <w:r>
              <w:rPr>
                <w:rFonts w:ascii="Calibri" w:hAnsi="Calibri"/>
                <w:sz w:val="22"/>
                <w:szCs w:val="22"/>
              </w:rPr>
              <w:t>ḥ</w:t>
            </w:r>
            <w:r>
              <w:rPr>
                <w:rFonts w:asciiTheme="minorHAnsi" w:hAnsiTheme="minorHAnsi"/>
                <w:sz w:val="22"/>
                <w:szCs w:val="22"/>
              </w:rPr>
              <w:t>ammad b. ‘Iss</w:t>
            </w:r>
            <w:r>
              <w:rPr>
                <w:rFonts w:ascii="Calibri" w:hAnsi="Calibri"/>
                <w:sz w:val="22"/>
                <w:szCs w:val="22"/>
              </w:rPr>
              <w:t>ā</w:t>
            </w:r>
            <w:r>
              <w:rPr>
                <w:rFonts w:asciiTheme="minorHAnsi" w:hAnsiTheme="minorHAnsi"/>
                <w:sz w:val="22"/>
                <w:szCs w:val="22"/>
              </w:rPr>
              <w:t xml:space="preserve"> b. al-Dha</w:t>
            </w:r>
            <w:r>
              <w:rPr>
                <w:rFonts w:ascii="Calibri" w:hAnsi="Calibri"/>
                <w:sz w:val="22"/>
                <w:szCs w:val="22"/>
              </w:rPr>
              <w:t>ḥ</w:t>
            </w:r>
            <w:r>
              <w:rPr>
                <w:rFonts w:asciiTheme="minorHAnsi" w:hAnsiTheme="minorHAnsi"/>
                <w:sz w:val="22"/>
                <w:szCs w:val="22"/>
              </w:rPr>
              <w:t xml:space="preserve">āk, </w:t>
            </w:r>
            <w:r w:rsidRPr="001B36D4">
              <w:rPr>
                <w:rFonts w:asciiTheme="minorHAnsi" w:hAnsiTheme="minorHAnsi"/>
                <w:i/>
                <w:iCs/>
                <w:sz w:val="22"/>
                <w:szCs w:val="22"/>
                <w:lang w:bidi="ar-AE"/>
              </w:rPr>
              <w:t>The Great Compilation</w:t>
            </w:r>
            <w:r>
              <w:rPr>
                <w:rFonts w:asciiTheme="minorHAnsi" w:hAnsiTheme="minorHAnsi"/>
                <w:sz w:val="22"/>
                <w:szCs w:val="22"/>
                <w:lang w:bidi="ar-AE"/>
              </w:rPr>
              <w:t xml:space="preserve"> (Beirut: D</w:t>
            </w:r>
            <w:r>
              <w:rPr>
                <w:rFonts w:ascii="Calibri" w:hAnsi="Calibri"/>
                <w:sz w:val="22"/>
                <w:szCs w:val="22"/>
                <w:lang w:bidi="ar-AE"/>
              </w:rPr>
              <w:t>ā</w:t>
            </w:r>
            <w:r>
              <w:rPr>
                <w:rFonts w:asciiTheme="minorHAnsi" w:hAnsiTheme="minorHAnsi"/>
                <w:sz w:val="22"/>
                <w:szCs w:val="22"/>
                <w:lang w:bidi="ar-AE"/>
              </w:rPr>
              <w:t>r al-Gharb al-Isl</w:t>
            </w:r>
            <w:r>
              <w:rPr>
                <w:rFonts w:ascii="Calibri" w:hAnsi="Calibri"/>
                <w:sz w:val="22"/>
                <w:szCs w:val="22"/>
                <w:lang w:bidi="ar-AE"/>
              </w:rPr>
              <w:t>ā</w:t>
            </w:r>
            <w:r>
              <w:rPr>
                <w:rFonts w:asciiTheme="minorHAnsi" w:hAnsiTheme="minorHAnsi"/>
                <w:sz w:val="22"/>
                <w:szCs w:val="22"/>
                <w:lang w:bidi="ar-AE"/>
              </w:rPr>
              <w:t>m</w:t>
            </w:r>
            <w:r>
              <w:rPr>
                <w:rFonts w:ascii="Calibri" w:hAnsi="Calibri"/>
                <w:sz w:val="22"/>
                <w:szCs w:val="22"/>
                <w:lang w:bidi="ar-AE"/>
              </w:rPr>
              <w:t>ī</w:t>
            </w:r>
            <w:r>
              <w:rPr>
                <w:rFonts w:asciiTheme="minorHAnsi" w:hAnsiTheme="minorHAnsi"/>
                <w:sz w:val="22"/>
                <w:szCs w:val="22"/>
                <w:lang w:bidi="ar-AE"/>
              </w:rPr>
              <w:t>, 1998)</w:t>
            </w:r>
          </w:p>
          <w:p w:rsidR="00D5582C" w:rsidRDefault="00D5582C" w:rsidP="008D6268">
            <w:pPr>
              <w:pStyle w:val="NormalWeb"/>
              <w:spacing w:before="0" w:beforeAutospacing="0" w:after="0" w:afterAutospacing="0"/>
              <w:ind w:left="450" w:hanging="450"/>
              <w:rPr>
                <w:rFonts w:asciiTheme="minorHAnsi" w:hAnsiTheme="minorHAnsi"/>
                <w:sz w:val="22"/>
                <w:szCs w:val="22"/>
                <w:lang w:bidi="ar-AE"/>
              </w:rPr>
            </w:pPr>
          </w:p>
          <w:p w:rsidR="00D5582C" w:rsidRPr="001B36D4" w:rsidRDefault="00D5582C" w:rsidP="008D6268">
            <w:pPr>
              <w:pStyle w:val="NormalWeb"/>
              <w:spacing w:before="0" w:beforeAutospacing="0" w:after="0" w:afterAutospacing="0"/>
              <w:ind w:left="450" w:hanging="450"/>
              <w:rPr>
                <w:rFonts w:asciiTheme="minorHAnsi" w:hAnsiTheme="minorHAnsi"/>
                <w:b/>
                <w:bCs/>
                <w:sz w:val="22"/>
                <w:szCs w:val="22"/>
                <w:lang w:bidi="ar-AE"/>
              </w:rPr>
            </w:pPr>
            <w:r w:rsidRPr="001B36D4">
              <w:rPr>
                <w:rFonts w:asciiTheme="minorHAnsi" w:hAnsiTheme="minorHAnsi"/>
                <w:b/>
                <w:bCs/>
                <w:sz w:val="22"/>
                <w:szCs w:val="22"/>
                <w:lang w:bidi="ar-AE"/>
              </w:rPr>
              <w:t>824 – 887 CE:</w:t>
            </w:r>
          </w:p>
          <w:p w:rsidR="00D5582C" w:rsidRDefault="00D5582C" w:rsidP="008D6268">
            <w:pPr>
              <w:pStyle w:val="NormalWeb"/>
              <w:spacing w:before="0" w:beforeAutospacing="0" w:after="0" w:afterAutospacing="0"/>
              <w:ind w:left="450" w:hanging="450"/>
              <w:rPr>
                <w:rFonts w:asciiTheme="minorHAnsi" w:hAnsiTheme="minorHAnsi"/>
                <w:sz w:val="22"/>
                <w:szCs w:val="22"/>
                <w:lang w:bidi="ar-AE"/>
              </w:rPr>
            </w:pPr>
            <w:r>
              <w:rPr>
                <w:rFonts w:asciiTheme="minorHAnsi" w:hAnsiTheme="minorHAnsi"/>
                <w:sz w:val="22"/>
                <w:szCs w:val="22"/>
                <w:lang w:bidi="ar-AE"/>
              </w:rPr>
              <w:t>ibn M</w:t>
            </w:r>
            <w:r>
              <w:rPr>
                <w:rFonts w:ascii="Calibri" w:hAnsi="Calibri"/>
                <w:sz w:val="22"/>
                <w:szCs w:val="22"/>
                <w:lang w:bidi="ar-AE"/>
              </w:rPr>
              <w:t>ā</w:t>
            </w:r>
            <w:r>
              <w:rPr>
                <w:rFonts w:asciiTheme="minorHAnsi" w:hAnsiTheme="minorHAnsi"/>
                <w:sz w:val="22"/>
                <w:szCs w:val="22"/>
                <w:lang w:bidi="ar-AE"/>
              </w:rPr>
              <w:t>jah, abū ‘Abdullah Mu</w:t>
            </w:r>
            <w:r>
              <w:rPr>
                <w:rFonts w:ascii="Calibri" w:hAnsi="Calibri"/>
                <w:sz w:val="22"/>
                <w:szCs w:val="22"/>
                <w:lang w:bidi="ar-AE"/>
              </w:rPr>
              <w:t>ḥ</w:t>
            </w:r>
            <w:r>
              <w:rPr>
                <w:rFonts w:asciiTheme="minorHAnsi" w:hAnsiTheme="minorHAnsi"/>
                <w:sz w:val="22"/>
                <w:szCs w:val="22"/>
                <w:lang w:bidi="ar-AE"/>
              </w:rPr>
              <w:t>ammad b. Yaz</w:t>
            </w:r>
            <w:r>
              <w:rPr>
                <w:rFonts w:ascii="Calibri" w:hAnsi="Calibri"/>
                <w:sz w:val="22"/>
                <w:szCs w:val="22"/>
                <w:lang w:bidi="ar-AE"/>
              </w:rPr>
              <w:t>ī</w:t>
            </w:r>
            <w:r>
              <w:rPr>
                <w:rFonts w:asciiTheme="minorHAnsi" w:hAnsiTheme="minorHAnsi"/>
                <w:sz w:val="22"/>
                <w:szCs w:val="22"/>
                <w:lang w:bidi="ar-AE"/>
              </w:rPr>
              <w:t>d al-Qazw</w:t>
            </w:r>
            <w:r>
              <w:rPr>
                <w:rFonts w:ascii="Calibri" w:hAnsi="Calibri"/>
                <w:sz w:val="22"/>
                <w:szCs w:val="22"/>
                <w:lang w:bidi="ar-AE"/>
              </w:rPr>
              <w:t>ī</w:t>
            </w:r>
            <w:r>
              <w:rPr>
                <w:rFonts w:asciiTheme="minorHAnsi" w:hAnsiTheme="minorHAnsi"/>
                <w:sz w:val="22"/>
                <w:szCs w:val="22"/>
                <w:lang w:bidi="ar-AE"/>
              </w:rPr>
              <w:t>n</w:t>
            </w:r>
            <w:r>
              <w:rPr>
                <w:rFonts w:ascii="Calibri" w:hAnsi="Calibri"/>
                <w:sz w:val="22"/>
                <w:szCs w:val="22"/>
                <w:lang w:bidi="ar-AE"/>
              </w:rPr>
              <w:t>ī</w:t>
            </w:r>
            <w:r>
              <w:rPr>
                <w:rFonts w:asciiTheme="minorHAnsi" w:hAnsiTheme="minorHAnsi"/>
                <w:sz w:val="22"/>
                <w:szCs w:val="22"/>
                <w:lang w:bidi="ar-AE"/>
              </w:rPr>
              <w:t xml:space="preserve">, </w:t>
            </w:r>
            <w:r>
              <w:rPr>
                <w:rFonts w:asciiTheme="minorHAnsi" w:hAnsiTheme="minorHAnsi"/>
                <w:i/>
                <w:iCs/>
                <w:sz w:val="22"/>
                <w:szCs w:val="22"/>
                <w:lang w:bidi="ar-AE"/>
              </w:rPr>
              <w:t xml:space="preserve">The </w:t>
            </w:r>
            <w:r>
              <w:rPr>
                <w:rFonts w:asciiTheme="minorHAnsi" w:hAnsiTheme="minorHAnsi"/>
                <w:i/>
                <w:iCs/>
                <w:sz w:val="22"/>
                <w:szCs w:val="22"/>
              </w:rPr>
              <w:t xml:space="preserve">Canonical Collection of </w:t>
            </w:r>
            <w:r>
              <w:rPr>
                <w:rFonts w:ascii="Calibri" w:hAnsi="Calibri"/>
                <w:i/>
                <w:iCs/>
                <w:sz w:val="22"/>
                <w:szCs w:val="22"/>
              </w:rPr>
              <w:t>Ḥ</w:t>
            </w:r>
            <w:r>
              <w:rPr>
                <w:rFonts w:asciiTheme="minorHAnsi" w:hAnsiTheme="minorHAnsi"/>
                <w:i/>
                <w:iCs/>
                <w:sz w:val="22"/>
                <w:szCs w:val="22"/>
              </w:rPr>
              <w:t>ad</w:t>
            </w:r>
            <w:r>
              <w:rPr>
                <w:rFonts w:ascii="Calibri" w:hAnsi="Calibri"/>
                <w:i/>
                <w:iCs/>
                <w:sz w:val="22"/>
                <w:szCs w:val="22"/>
              </w:rPr>
              <w:t>ī</w:t>
            </w:r>
            <w:r>
              <w:rPr>
                <w:rFonts w:asciiTheme="minorHAnsi" w:hAnsiTheme="minorHAnsi"/>
                <w:i/>
                <w:iCs/>
                <w:sz w:val="22"/>
                <w:szCs w:val="22"/>
              </w:rPr>
              <w:t>th by ibn M</w:t>
            </w:r>
            <w:r>
              <w:rPr>
                <w:rFonts w:ascii="Calibri" w:hAnsi="Calibri"/>
                <w:i/>
                <w:iCs/>
                <w:sz w:val="22"/>
                <w:szCs w:val="22"/>
              </w:rPr>
              <w:t>ā</w:t>
            </w:r>
            <w:r>
              <w:rPr>
                <w:rFonts w:asciiTheme="minorHAnsi" w:hAnsiTheme="minorHAnsi"/>
                <w:i/>
                <w:iCs/>
                <w:sz w:val="22"/>
                <w:szCs w:val="22"/>
              </w:rPr>
              <w:t xml:space="preserve">jah </w:t>
            </w:r>
            <w:r>
              <w:rPr>
                <w:rFonts w:asciiTheme="minorHAnsi" w:hAnsiTheme="minorHAnsi"/>
                <w:sz w:val="22"/>
                <w:szCs w:val="22"/>
                <w:lang w:bidi="ar-AE"/>
              </w:rPr>
              <w:t>(Beirut: D</w:t>
            </w:r>
            <w:r>
              <w:rPr>
                <w:rFonts w:ascii="Calibri" w:hAnsi="Calibri"/>
                <w:sz w:val="22"/>
                <w:szCs w:val="22"/>
                <w:lang w:bidi="ar-AE"/>
              </w:rPr>
              <w:t>ā</w:t>
            </w:r>
            <w:r>
              <w:rPr>
                <w:rFonts w:asciiTheme="minorHAnsi" w:hAnsiTheme="minorHAnsi"/>
                <w:sz w:val="22"/>
                <w:szCs w:val="22"/>
                <w:lang w:bidi="ar-AE"/>
              </w:rPr>
              <w:t>r al-Ris</w:t>
            </w:r>
            <w:r>
              <w:rPr>
                <w:rFonts w:ascii="Calibri" w:hAnsi="Calibri"/>
                <w:sz w:val="22"/>
                <w:szCs w:val="22"/>
                <w:lang w:bidi="ar-AE"/>
              </w:rPr>
              <w:t>ā</w:t>
            </w:r>
            <w:r>
              <w:rPr>
                <w:rFonts w:asciiTheme="minorHAnsi" w:hAnsiTheme="minorHAnsi"/>
                <w:sz w:val="22"/>
                <w:szCs w:val="22"/>
                <w:lang w:bidi="ar-AE"/>
              </w:rPr>
              <w:t>lah al-‘</w:t>
            </w:r>
            <w:r>
              <w:rPr>
                <w:rFonts w:ascii="Calibri" w:hAnsi="Calibri"/>
                <w:sz w:val="22"/>
                <w:szCs w:val="22"/>
                <w:lang w:bidi="ar-AE"/>
              </w:rPr>
              <w:t>Ā</w:t>
            </w:r>
            <w:r>
              <w:rPr>
                <w:rFonts w:asciiTheme="minorHAnsi" w:hAnsiTheme="minorHAnsi"/>
                <w:sz w:val="22"/>
                <w:szCs w:val="22"/>
                <w:lang w:bidi="ar-AE"/>
              </w:rPr>
              <w:t>lam</w:t>
            </w:r>
            <w:r>
              <w:rPr>
                <w:rFonts w:ascii="Calibri" w:hAnsi="Calibri"/>
                <w:sz w:val="22"/>
                <w:szCs w:val="22"/>
                <w:lang w:bidi="ar-AE"/>
              </w:rPr>
              <w:t>ī</w:t>
            </w:r>
            <w:r>
              <w:rPr>
                <w:rFonts w:asciiTheme="minorHAnsi" w:hAnsiTheme="minorHAnsi"/>
                <w:sz w:val="22"/>
                <w:szCs w:val="22"/>
                <w:lang w:bidi="ar-AE"/>
              </w:rPr>
              <w:t xml:space="preserve">yah, 2009) </w:t>
            </w:r>
          </w:p>
          <w:p w:rsidR="00D5582C" w:rsidRDefault="00D5582C" w:rsidP="008D6268">
            <w:pPr>
              <w:pStyle w:val="NormalWeb"/>
              <w:spacing w:before="0" w:beforeAutospacing="0" w:after="0" w:afterAutospacing="0"/>
              <w:rPr>
                <w:rFonts w:asciiTheme="minorHAnsi" w:hAnsiTheme="minorHAnsi"/>
                <w:sz w:val="22"/>
                <w:szCs w:val="22"/>
                <w:lang w:bidi="ar-AE"/>
              </w:rPr>
            </w:pPr>
          </w:p>
          <w:p w:rsidR="00D5582C" w:rsidRDefault="00D5582C" w:rsidP="008D6268">
            <w:pPr>
              <w:pStyle w:val="NormalWeb"/>
              <w:spacing w:before="0" w:beforeAutospacing="0" w:after="0" w:afterAutospacing="0"/>
              <w:ind w:left="450" w:hanging="450"/>
              <w:rPr>
                <w:rFonts w:asciiTheme="minorHAnsi" w:hAnsiTheme="minorHAnsi"/>
                <w:sz w:val="22"/>
                <w:szCs w:val="22"/>
                <w:rtl/>
                <w:lang w:bidi="ar-AE"/>
              </w:rPr>
            </w:pPr>
          </w:p>
          <w:p w:rsidR="00D5582C" w:rsidRPr="00742329" w:rsidRDefault="00D5582C" w:rsidP="008D6268">
            <w:pPr>
              <w:pStyle w:val="NormalWeb"/>
              <w:spacing w:before="0" w:beforeAutospacing="0" w:after="0" w:afterAutospacing="0"/>
              <w:rPr>
                <w:rFonts w:asciiTheme="minorHAnsi" w:hAnsiTheme="minorHAnsi"/>
                <w:sz w:val="22"/>
                <w:szCs w:val="22"/>
                <w:rtl/>
                <w:lang w:bidi="ar-AE"/>
              </w:rPr>
            </w:pPr>
          </w:p>
        </w:tc>
      </w:tr>
      <w:tr w:rsidR="00D5582C" w:rsidTr="008D6268">
        <w:tc>
          <w:tcPr>
            <w:tcW w:w="4628" w:type="dxa"/>
          </w:tcPr>
          <w:p w:rsidR="00D5582C" w:rsidRPr="00742329" w:rsidRDefault="00D5582C" w:rsidP="00D5582C">
            <w:pPr>
              <w:pStyle w:val="NormalWeb"/>
              <w:numPr>
                <w:ilvl w:val="0"/>
                <w:numId w:val="12"/>
              </w:numPr>
              <w:bidi/>
              <w:spacing w:after="0" w:afterAutospacing="0"/>
              <w:jc w:val="center"/>
              <w:rPr>
                <w:rFonts w:asciiTheme="minorHAnsi" w:hAnsiTheme="minorHAnsi"/>
                <w:b/>
                <w:bCs/>
                <w:rtl/>
                <w:lang w:bidi="ar-AE"/>
              </w:rPr>
            </w:pPr>
            <w:r>
              <w:rPr>
                <w:rFonts w:asciiTheme="minorHAnsi" w:hAnsiTheme="minorHAnsi" w:hint="cs"/>
                <w:b/>
                <w:bCs/>
                <w:u w:val="single"/>
                <w:rtl/>
                <w:lang w:bidi="ar-AE"/>
              </w:rPr>
              <w:lastRenderedPageBreak/>
              <w:t>شروح الأحاديث الشريفة</w:t>
            </w:r>
          </w:p>
        </w:tc>
        <w:tc>
          <w:tcPr>
            <w:tcW w:w="4948" w:type="dxa"/>
            <w:gridSpan w:val="2"/>
          </w:tcPr>
          <w:p w:rsidR="00D5582C" w:rsidRPr="00742329" w:rsidRDefault="00D5582C" w:rsidP="008D6268">
            <w:pPr>
              <w:pStyle w:val="NormalWeb"/>
              <w:spacing w:after="0" w:afterAutospacing="0"/>
              <w:jc w:val="center"/>
              <w:rPr>
                <w:rFonts w:asciiTheme="minorHAnsi" w:hAnsiTheme="minorHAnsi"/>
                <w:b/>
                <w:bCs/>
                <w:i/>
                <w:iCs/>
                <w:sz w:val="22"/>
                <w:szCs w:val="22"/>
                <w:u w:val="single"/>
                <w:lang w:bidi="ar-AE"/>
              </w:rPr>
            </w:pPr>
            <w:r w:rsidRPr="00742329">
              <w:rPr>
                <w:rFonts w:asciiTheme="minorHAnsi" w:hAnsiTheme="minorHAnsi"/>
                <w:b/>
                <w:bCs/>
                <w:sz w:val="22"/>
                <w:szCs w:val="22"/>
                <w:lang w:bidi="ar-AE"/>
              </w:rPr>
              <w:t>C.</w:t>
            </w:r>
            <w:r>
              <w:rPr>
                <w:rFonts w:asciiTheme="minorHAnsi" w:hAnsiTheme="minorHAnsi"/>
                <w:b/>
                <w:bCs/>
                <w:sz w:val="22"/>
                <w:szCs w:val="22"/>
                <w:lang w:bidi="ar-AE"/>
              </w:rPr>
              <w:t xml:space="preserve"> </w:t>
            </w:r>
            <w:r>
              <w:rPr>
                <w:rFonts w:asciiTheme="minorHAnsi" w:hAnsiTheme="minorHAnsi"/>
                <w:b/>
                <w:bCs/>
                <w:sz w:val="22"/>
                <w:szCs w:val="22"/>
                <w:u w:val="single"/>
                <w:lang w:bidi="ar-AE"/>
              </w:rPr>
              <w:t xml:space="preserve">Commentaries on </w:t>
            </w:r>
            <w:r>
              <w:rPr>
                <w:rFonts w:ascii="Arial" w:hAnsi="Arial" w:cs="Arial"/>
                <w:b/>
                <w:bCs/>
                <w:i/>
                <w:iCs/>
                <w:sz w:val="22"/>
                <w:szCs w:val="22"/>
                <w:u w:val="single"/>
                <w:lang w:bidi="ar-AE"/>
              </w:rPr>
              <w:t>Ḥ</w:t>
            </w:r>
            <w:r>
              <w:rPr>
                <w:rFonts w:asciiTheme="minorHAnsi" w:hAnsiTheme="minorHAnsi"/>
                <w:b/>
                <w:bCs/>
                <w:i/>
                <w:iCs/>
                <w:sz w:val="22"/>
                <w:szCs w:val="22"/>
                <w:u w:val="single"/>
                <w:lang w:bidi="ar-AE"/>
              </w:rPr>
              <w:t>ad</w:t>
            </w:r>
            <w:r>
              <w:rPr>
                <w:rFonts w:ascii="Calibri" w:hAnsi="Calibri"/>
                <w:b/>
                <w:bCs/>
                <w:i/>
                <w:iCs/>
                <w:sz w:val="22"/>
                <w:szCs w:val="22"/>
                <w:u w:val="single"/>
                <w:lang w:bidi="ar-AE"/>
              </w:rPr>
              <w:t>ī</w:t>
            </w:r>
            <w:r>
              <w:rPr>
                <w:rFonts w:asciiTheme="minorHAnsi" w:hAnsiTheme="minorHAnsi"/>
                <w:b/>
                <w:bCs/>
                <w:i/>
                <w:iCs/>
                <w:sz w:val="22"/>
                <w:szCs w:val="22"/>
                <w:u w:val="single"/>
                <w:lang w:bidi="ar-AE"/>
              </w:rPr>
              <w:t>th</w:t>
            </w:r>
          </w:p>
          <w:p w:rsidR="00D5582C" w:rsidRPr="00B14B6F" w:rsidRDefault="00D5582C" w:rsidP="008D6268">
            <w:pPr>
              <w:pStyle w:val="NormalWeb"/>
              <w:bidi/>
              <w:spacing w:before="0" w:beforeAutospacing="0" w:after="0" w:afterAutospacing="0"/>
              <w:ind w:left="720"/>
              <w:rPr>
                <w:rFonts w:asciiTheme="minorHAnsi" w:hAnsiTheme="minorHAnsi"/>
                <w:b/>
                <w:bCs/>
                <w:sz w:val="22"/>
                <w:szCs w:val="22"/>
                <w:rtl/>
                <w:lang w:bidi="ar-AE"/>
              </w:rPr>
            </w:pPr>
          </w:p>
        </w:tc>
      </w:tr>
      <w:tr w:rsidR="00D5582C" w:rsidTr="008D6268">
        <w:tc>
          <w:tcPr>
            <w:tcW w:w="9576" w:type="dxa"/>
            <w:gridSpan w:val="3"/>
          </w:tcPr>
          <w:p w:rsidR="00D5582C" w:rsidRDefault="00D5582C" w:rsidP="008D6268">
            <w:pPr>
              <w:bidi/>
              <w:spacing w:before="100" w:beforeAutospacing="1"/>
              <w:ind w:left="720"/>
              <w:rPr>
                <w:rFonts w:eastAsia="Times New Roman" w:cs="Times New Roman"/>
                <w:b/>
                <w:bCs/>
                <w:rtl/>
              </w:rPr>
            </w:pPr>
            <w:r w:rsidRPr="00742329">
              <w:rPr>
                <w:rFonts w:eastAsia="Times New Roman" w:cs="Times New Roman" w:hint="cs"/>
                <w:b/>
                <w:bCs/>
                <w:rtl/>
              </w:rPr>
              <w:t xml:space="preserve">1233 </w:t>
            </w:r>
            <w:r w:rsidRPr="00742329">
              <w:rPr>
                <w:rFonts w:eastAsia="Times New Roman" w:cs="Times New Roman"/>
                <w:b/>
                <w:bCs/>
                <w:rtl/>
              </w:rPr>
              <w:t>–</w:t>
            </w:r>
            <w:r w:rsidRPr="00742329">
              <w:rPr>
                <w:rFonts w:eastAsia="Times New Roman" w:cs="Times New Roman" w:hint="cs"/>
                <w:b/>
                <w:bCs/>
                <w:rtl/>
              </w:rPr>
              <w:t xml:space="preserve"> 1277 م:</w:t>
            </w:r>
          </w:p>
          <w:p w:rsidR="00D5582C" w:rsidRPr="00886EE2" w:rsidRDefault="00D5582C" w:rsidP="00D5582C">
            <w:pPr>
              <w:pStyle w:val="ListParagraph"/>
              <w:numPr>
                <w:ilvl w:val="0"/>
                <w:numId w:val="9"/>
              </w:numPr>
              <w:autoSpaceDE/>
              <w:autoSpaceDN/>
              <w:bidi/>
              <w:adjustRightInd/>
              <w:rPr>
                <w:rFonts w:eastAsia="Times New Roman" w:cs="Times New Roman"/>
              </w:rPr>
            </w:pPr>
            <w:r>
              <w:rPr>
                <w:rFonts w:eastAsia="Times New Roman" w:cs="Times New Roman" w:hint="cs"/>
                <w:rtl/>
              </w:rPr>
              <w:t xml:space="preserve">النووي، أبو زكريا محي الدين يحيى، </w:t>
            </w:r>
            <w:r w:rsidRPr="00886EE2">
              <w:rPr>
                <w:rFonts w:eastAsia="Times New Roman" w:cs="Times New Roman" w:hint="cs"/>
                <w:b/>
                <w:bCs/>
                <w:rtl/>
              </w:rPr>
              <w:t>شرح النووي على مسلم</w:t>
            </w:r>
            <w:r>
              <w:rPr>
                <w:rFonts w:eastAsia="Times New Roman" w:cs="Times New Roman" w:hint="cs"/>
                <w:rtl/>
              </w:rPr>
              <w:t xml:space="preserve"> (بيروت: دار إحياء التراث العربي، 1972)</w:t>
            </w:r>
          </w:p>
          <w:p w:rsidR="00D5582C" w:rsidRDefault="00D5582C" w:rsidP="008D6268">
            <w:pPr>
              <w:bidi/>
              <w:spacing w:before="100" w:beforeAutospacing="1"/>
              <w:ind w:left="1170" w:hanging="450"/>
              <w:rPr>
                <w:rFonts w:eastAsia="Times New Roman" w:cs="Times New Roman"/>
                <w:b/>
                <w:bCs/>
              </w:rPr>
            </w:pPr>
            <w:r w:rsidRPr="00886EE2">
              <w:rPr>
                <w:rFonts w:eastAsia="Times New Roman" w:cs="Times New Roman" w:hint="cs"/>
                <w:b/>
                <w:bCs/>
                <w:rtl/>
              </w:rPr>
              <w:t xml:space="preserve">1372 </w:t>
            </w:r>
            <w:r w:rsidRPr="00886EE2">
              <w:rPr>
                <w:rFonts w:eastAsia="Times New Roman" w:cs="Times New Roman"/>
                <w:b/>
                <w:bCs/>
                <w:rtl/>
              </w:rPr>
              <w:t>–</w:t>
            </w:r>
            <w:r w:rsidRPr="00886EE2">
              <w:rPr>
                <w:rFonts w:eastAsia="Times New Roman" w:cs="Times New Roman" w:hint="cs"/>
                <w:b/>
                <w:bCs/>
                <w:rtl/>
              </w:rPr>
              <w:t xml:space="preserve"> 1449 م:</w:t>
            </w:r>
          </w:p>
          <w:p w:rsidR="00D5582C" w:rsidRPr="00AF35EC" w:rsidRDefault="00D5582C" w:rsidP="00D5582C">
            <w:pPr>
              <w:pStyle w:val="ListParagraph"/>
              <w:numPr>
                <w:ilvl w:val="0"/>
                <w:numId w:val="9"/>
              </w:numPr>
              <w:autoSpaceDE/>
              <w:autoSpaceDN/>
              <w:bidi/>
              <w:adjustRightInd/>
              <w:rPr>
                <w:rFonts w:eastAsia="Times New Roman" w:cs="Times New Roman"/>
                <w:rtl/>
                <w:lang w:bidi="ar-AE"/>
              </w:rPr>
            </w:pPr>
            <w:r w:rsidRPr="00AF35EC">
              <w:rPr>
                <w:rFonts w:eastAsia="Times New Roman" w:cs="Times New Roman" w:hint="cs"/>
                <w:rtl/>
                <w:lang w:bidi="ar-AE"/>
              </w:rPr>
              <w:t xml:space="preserve">العسقلاني، أحمد بن علي بن حجر، </w:t>
            </w:r>
            <w:r w:rsidRPr="0078712A">
              <w:rPr>
                <w:rFonts w:eastAsia="Times New Roman" w:cs="Times New Roman" w:hint="cs"/>
                <w:b/>
                <w:bCs/>
                <w:rtl/>
                <w:lang w:bidi="ar-AE"/>
              </w:rPr>
              <w:t>فتح الباري في شرح صحيح البخاري</w:t>
            </w:r>
            <w:r w:rsidRPr="00AF35EC">
              <w:rPr>
                <w:rFonts w:eastAsia="Times New Roman" w:cs="Times New Roman" w:hint="cs"/>
                <w:rtl/>
                <w:lang w:bidi="ar-AE"/>
              </w:rPr>
              <w:t xml:space="preserve"> (بيروت: دار المعرفة، 1959)</w:t>
            </w:r>
          </w:p>
          <w:p w:rsidR="00D5582C" w:rsidRPr="00AF35EC" w:rsidRDefault="00D5582C" w:rsidP="008D6268">
            <w:pPr>
              <w:spacing w:before="100" w:beforeAutospacing="1"/>
              <w:ind w:left="450" w:right="720" w:hanging="450"/>
              <w:rPr>
                <w:rFonts w:eastAsia="Times New Roman" w:cs="Times New Roman"/>
                <w:b/>
                <w:bCs/>
              </w:rPr>
            </w:pPr>
            <w:r>
              <w:rPr>
                <w:rFonts w:eastAsia="Times New Roman" w:cs="Times New Roman"/>
                <w:b/>
                <w:bCs/>
              </w:rPr>
              <w:t>1233-1277 CE:</w:t>
            </w:r>
          </w:p>
          <w:p w:rsidR="00D5582C" w:rsidRDefault="00D5582C" w:rsidP="008D6268">
            <w:pPr>
              <w:spacing w:after="100" w:afterAutospacing="1"/>
              <w:ind w:left="450" w:right="720" w:hanging="450"/>
              <w:rPr>
                <w:rFonts w:eastAsia="Times New Roman" w:cs="Times New Roman"/>
              </w:rPr>
            </w:pPr>
            <w:r w:rsidRPr="0070433A">
              <w:rPr>
                <w:rFonts w:eastAsia="Times New Roman" w:cs="Times New Roman"/>
              </w:rPr>
              <w:t xml:space="preserve">al-Nawawī, abū Zakarīya Muhīye al-Dīn Yaḥyā, </w:t>
            </w:r>
            <w:r>
              <w:rPr>
                <w:rFonts w:eastAsia="Times New Roman" w:cs="Times New Roman"/>
                <w:i/>
                <w:iCs/>
              </w:rPr>
              <w:t>a</w:t>
            </w:r>
            <w:r w:rsidRPr="0070433A">
              <w:rPr>
                <w:rFonts w:eastAsia="Times New Roman" w:cs="Times New Roman"/>
                <w:i/>
                <w:iCs/>
              </w:rPr>
              <w:t>l-Nawawī</w:t>
            </w:r>
            <w:r>
              <w:rPr>
                <w:rFonts w:eastAsia="Times New Roman" w:cs="Times New Roman"/>
                <w:i/>
                <w:iCs/>
              </w:rPr>
              <w:t>’s</w:t>
            </w:r>
            <w:r w:rsidRPr="0070433A">
              <w:rPr>
                <w:rFonts w:eastAsia="Times New Roman" w:cs="Times New Roman"/>
                <w:i/>
                <w:iCs/>
              </w:rPr>
              <w:t xml:space="preserve"> Commentary on Muslim</w:t>
            </w:r>
            <w:r w:rsidRPr="0070433A">
              <w:rPr>
                <w:rFonts w:eastAsia="Times New Roman" w:cs="Times New Roman"/>
              </w:rPr>
              <w:t xml:space="preserve"> (Beirut: Dār Ihiā’ al-Turāth al-‘Arabī, 1972) </w:t>
            </w:r>
          </w:p>
          <w:p w:rsidR="00D5582C" w:rsidRPr="00AF35EC" w:rsidRDefault="00D5582C" w:rsidP="008D6268">
            <w:pPr>
              <w:spacing w:before="100" w:beforeAutospacing="1"/>
              <w:ind w:left="450" w:right="720" w:hanging="450"/>
              <w:rPr>
                <w:rFonts w:eastAsia="Times New Roman" w:cs="Times New Roman"/>
                <w:b/>
                <w:bCs/>
              </w:rPr>
            </w:pPr>
            <w:r>
              <w:rPr>
                <w:rFonts w:eastAsia="Times New Roman" w:cs="Times New Roman"/>
                <w:b/>
                <w:bCs/>
              </w:rPr>
              <w:t>1372-1449 CE:</w:t>
            </w:r>
          </w:p>
          <w:p w:rsidR="00D5582C" w:rsidRDefault="00D5582C" w:rsidP="008D6268">
            <w:pPr>
              <w:ind w:left="450" w:right="720" w:hanging="450"/>
              <w:rPr>
                <w:rFonts w:eastAsia="Times New Roman" w:cs="Times New Roman"/>
                <w:rtl/>
                <w:lang w:bidi="ar-AE"/>
              </w:rPr>
            </w:pPr>
            <w:r>
              <w:rPr>
                <w:rFonts w:eastAsia="Times New Roman" w:cs="Times New Roman"/>
              </w:rPr>
              <w:t>al-‘Asqalānī, Aḥmad bin ‘Alī b.</w:t>
            </w:r>
            <w:r w:rsidRPr="0070433A">
              <w:rPr>
                <w:rFonts w:eastAsia="Times New Roman" w:cs="Times New Roman"/>
              </w:rPr>
              <w:t xml:space="preserve"> Ḥajar, </w:t>
            </w:r>
            <w:r>
              <w:rPr>
                <w:rFonts w:eastAsia="Times New Roman" w:cs="Times New Roman"/>
                <w:i/>
                <w:iCs/>
              </w:rPr>
              <w:t>a</w:t>
            </w:r>
            <w:r w:rsidRPr="0070433A">
              <w:rPr>
                <w:rFonts w:eastAsia="Times New Roman" w:cs="Times New Roman"/>
                <w:i/>
                <w:iCs/>
              </w:rPr>
              <w:t>l-‘Asqalānī</w:t>
            </w:r>
            <w:r>
              <w:rPr>
                <w:rFonts w:eastAsia="Times New Roman" w:cs="Times New Roman"/>
                <w:i/>
                <w:iCs/>
              </w:rPr>
              <w:t>’s</w:t>
            </w:r>
            <w:r w:rsidRPr="0070433A">
              <w:rPr>
                <w:rFonts w:eastAsia="Times New Roman" w:cs="Times New Roman"/>
                <w:i/>
                <w:iCs/>
              </w:rPr>
              <w:t xml:space="preserve"> Commentary on Al-Bukhārī</w:t>
            </w:r>
            <w:r>
              <w:rPr>
                <w:rFonts w:eastAsia="Times New Roman" w:cs="Times New Roman"/>
              </w:rPr>
              <w:t xml:space="preserve"> </w:t>
            </w:r>
            <w:r w:rsidRPr="0070433A">
              <w:rPr>
                <w:rFonts w:eastAsia="Times New Roman" w:cs="Times New Roman"/>
              </w:rPr>
              <w:t>(</w:t>
            </w:r>
            <w:r>
              <w:rPr>
                <w:rFonts w:eastAsia="Times New Roman" w:cs="Times New Roman"/>
              </w:rPr>
              <w:t xml:space="preserve">Beirut: Dār al-Ma’rifah, 1959) </w:t>
            </w:r>
          </w:p>
          <w:p w:rsidR="00D5582C" w:rsidRDefault="00D5582C" w:rsidP="008D6268">
            <w:pPr>
              <w:ind w:right="720"/>
              <w:rPr>
                <w:rFonts w:eastAsia="Times New Roman" w:cs="Times New Roman"/>
                <w:rtl/>
                <w:lang w:bidi="ar-AE"/>
              </w:rPr>
            </w:pPr>
          </w:p>
          <w:p w:rsidR="00D5582C" w:rsidRDefault="00D5582C" w:rsidP="008D6268">
            <w:pPr>
              <w:ind w:right="720"/>
              <w:rPr>
                <w:rFonts w:eastAsia="Times New Roman" w:cs="Times New Roman"/>
                <w:rtl/>
                <w:lang w:bidi="ar-AE"/>
              </w:rPr>
            </w:pPr>
          </w:p>
          <w:p w:rsidR="00D5582C" w:rsidRPr="009A74C7" w:rsidRDefault="00D5582C" w:rsidP="008D6268">
            <w:pPr>
              <w:spacing w:after="100" w:afterAutospacing="1"/>
              <w:ind w:right="720"/>
              <w:rPr>
                <w:rFonts w:eastAsia="Times New Roman" w:cs="Times New Roman"/>
                <w:rtl/>
                <w:lang w:bidi="ar-AE"/>
              </w:rPr>
            </w:pPr>
          </w:p>
        </w:tc>
      </w:tr>
      <w:tr w:rsidR="00D5582C" w:rsidTr="008D6268">
        <w:tc>
          <w:tcPr>
            <w:tcW w:w="4788" w:type="dxa"/>
            <w:gridSpan w:val="2"/>
          </w:tcPr>
          <w:p w:rsidR="00D5582C" w:rsidRDefault="00D5582C" w:rsidP="008D6268">
            <w:pPr>
              <w:bidi/>
              <w:jc w:val="center"/>
              <w:rPr>
                <w:rFonts w:eastAsia="Times New Roman" w:cs="Times New Roman"/>
                <w:b/>
                <w:bCs/>
                <w:sz w:val="24"/>
                <w:szCs w:val="24"/>
                <w:rtl/>
                <w:lang w:bidi="ar-AE"/>
              </w:rPr>
            </w:pPr>
            <w:r>
              <w:rPr>
                <w:rFonts w:eastAsia="Times New Roman" w:cs="Times New Roman" w:hint="cs"/>
                <w:b/>
                <w:bCs/>
                <w:sz w:val="24"/>
                <w:szCs w:val="24"/>
                <w:rtl/>
                <w:lang w:bidi="ar-AE"/>
              </w:rPr>
              <w:t xml:space="preserve">ج.  </w:t>
            </w:r>
            <w:r w:rsidRPr="00A1333C">
              <w:rPr>
                <w:rFonts w:eastAsia="Times New Roman" w:cs="Times New Roman" w:hint="cs"/>
                <w:b/>
                <w:bCs/>
                <w:sz w:val="24"/>
                <w:szCs w:val="24"/>
                <w:u w:val="single"/>
                <w:rtl/>
                <w:lang w:bidi="ar-AE"/>
              </w:rPr>
              <w:t>كتب التخريج والجرح والتعديل</w:t>
            </w:r>
          </w:p>
        </w:tc>
        <w:tc>
          <w:tcPr>
            <w:tcW w:w="4788" w:type="dxa"/>
          </w:tcPr>
          <w:p w:rsidR="00D5582C" w:rsidRDefault="00D5582C" w:rsidP="008D6268">
            <w:pPr>
              <w:bidi/>
              <w:jc w:val="center"/>
              <w:rPr>
                <w:rFonts w:eastAsia="Times New Roman" w:cs="Times New Roman"/>
                <w:b/>
                <w:bCs/>
                <w:sz w:val="24"/>
                <w:szCs w:val="24"/>
                <w:lang w:bidi="ar-AE"/>
              </w:rPr>
            </w:pPr>
            <w:r w:rsidRPr="00A1333C">
              <w:rPr>
                <w:rFonts w:eastAsia="Times New Roman" w:cs="Times New Roman"/>
                <w:b/>
                <w:bCs/>
                <w:lang w:bidi="ar-AE"/>
              </w:rPr>
              <w:t xml:space="preserve">C. </w:t>
            </w:r>
            <w:r w:rsidRPr="00A1333C">
              <w:rPr>
                <w:rFonts w:eastAsia="Times New Roman" w:cs="Times New Roman"/>
                <w:b/>
                <w:bCs/>
                <w:u w:val="single"/>
                <w:lang w:bidi="ar-AE"/>
              </w:rPr>
              <w:t>B</w:t>
            </w:r>
            <w:r>
              <w:rPr>
                <w:rFonts w:eastAsia="Times New Roman" w:cs="Times New Roman"/>
                <w:b/>
                <w:bCs/>
                <w:u w:val="single"/>
                <w:lang w:bidi="ar-AE"/>
              </w:rPr>
              <w:t>ooks on the Classification &amp;</w:t>
            </w:r>
            <w:r w:rsidRPr="00A1333C">
              <w:rPr>
                <w:rFonts w:eastAsia="Times New Roman" w:cs="Times New Roman"/>
                <w:b/>
                <w:bCs/>
                <w:u w:val="single"/>
                <w:lang w:bidi="ar-AE"/>
              </w:rPr>
              <w:t xml:space="preserve"> Tracking of </w:t>
            </w:r>
            <w:r w:rsidRPr="00A1333C">
              <w:rPr>
                <w:rFonts w:eastAsia="Times New Roman" w:cs="Times New Roman"/>
                <w:b/>
                <w:bCs/>
                <w:i/>
                <w:iCs/>
                <w:u w:val="single"/>
                <w:lang w:bidi="ar-AE"/>
              </w:rPr>
              <w:t>Hadīth</w:t>
            </w:r>
          </w:p>
        </w:tc>
      </w:tr>
      <w:tr w:rsidR="00D5582C" w:rsidTr="008D6268">
        <w:tc>
          <w:tcPr>
            <w:tcW w:w="9576" w:type="dxa"/>
            <w:gridSpan w:val="3"/>
          </w:tcPr>
          <w:p w:rsidR="00D5582C" w:rsidRDefault="00D5582C" w:rsidP="008D6268">
            <w:pPr>
              <w:bidi/>
              <w:ind w:left="720"/>
              <w:rPr>
                <w:rFonts w:eastAsia="Times New Roman" w:cs="Times New Roman"/>
                <w:b/>
                <w:bCs/>
                <w:rtl/>
                <w:lang w:bidi="ar-AE"/>
              </w:rPr>
            </w:pPr>
            <w:r>
              <w:rPr>
                <w:rFonts w:eastAsia="Times New Roman" w:cs="Times New Roman" w:hint="cs"/>
                <w:b/>
                <w:bCs/>
                <w:rtl/>
                <w:lang w:bidi="ar-AE"/>
              </w:rPr>
              <w:t xml:space="preserve">854 </w:t>
            </w:r>
            <w:r>
              <w:rPr>
                <w:rFonts w:eastAsia="Times New Roman" w:cs="Times New Roman"/>
                <w:b/>
                <w:bCs/>
                <w:rtl/>
                <w:lang w:bidi="ar-AE"/>
              </w:rPr>
              <w:t>–</w:t>
            </w:r>
            <w:r>
              <w:rPr>
                <w:rFonts w:eastAsia="Times New Roman" w:cs="Times New Roman" w:hint="cs"/>
                <w:b/>
                <w:bCs/>
                <w:rtl/>
                <w:lang w:bidi="ar-AE"/>
              </w:rPr>
              <w:t xml:space="preserve"> 938 م (تقريبا):</w:t>
            </w:r>
          </w:p>
          <w:p w:rsidR="00D5582C" w:rsidRPr="00002D43" w:rsidRDefault="00D5582C" w:rsidP="008D6268">
            <w:pPr>
              <w:bidi/>
              <w:ind w:left="720"/>
              <w:rPr>
                <w:rFonts w:eastAsia="Times New Roman" w:cs="Times New Roman"/>
                <w:rtl/>
                <w:lang w:bidi="ar-AE"/>
              </w:rPr>
            </w:pPr>
            <w:r>
              <w:rPr>
                <w:rFonts w:eastAsia="Times New Roman" w:cs="Times New Roman" w:hint="cs"/>
                <w:rtl/>
                <w:lang w:bidi="ar-AE"/>
              </w:rPr>
              <w:t xml:space="preserve">ابن أبي الحاتم، </w:t>
            </w:r>
            <w:r>
              <w:rPr>
                <w:rStyle w:val="info-desc"/>
                <w:rtl/>
              </w:rPr>
              <w:t xml:space="preserve">أبو محمد عبد الرحمن بن محمد </w:t>
            </w:r>
            <w:r>
              <w:rPr>
                <w:rStyle w:val="info-desc"/>
                <w:rFonts w:hint="cs"/>
                <w:rtl/>
              </w:rPr>
              <w:t xml:space="preserve">الرازي، </w:t>
            </w:r>
            <w:r w:rsidRPr="00002D43">
              <w:rPr>
                <w:rStyle w:val="info-desc"/>
                <w:rFonts w:hint="cs"/>
                <w:b/>
                <w:bCs/>
                <w:rtl/>
              </w:rPr>
              <w:t>الجرح والتعديل</w:t>
            </w:r>
            <w:r>
              <w:rPr>
                <w:rStyle w:val="info-desc"/>
                <w:rFonts w:hint="cs"/>
                <w:rtl/>
              </w:rPr>
              <w:t xml:space="preserve"> (حيدر آباد: </w:t>
            </w:r>
            <w:r w:rsidRPr="00002D43">
              <w:rPr>
                <w:rFonts w:eastAsia="Times New Roman" w:cs="Times New Roman" w:hint="cs"/>
                <w:rtl/>
                <w:lang w:bidi="ar-AE"/>
              </w:rPr>
              <w:t>مجلس</w:t>
            </w:r>
            <w:r w:rsidRPr="00002D43">
              <w:rPr>
                <w:rFonts w:eastAsia="Times New Roman" w:cs="Times New Roman"/>
                <w:rtl/>
                <w:lang w:bidi="ar-AE"/>
              </w:rPr>
              <w:t xml:space="preserve"> </w:t>
            </w:r>
            <w:r w:rsidRPr="00002D43">
              <w:rPr>
                <w:rFonts w:eastAsia="Times New Roman" w:cs="Times New Roman" w:hint="cs"/>
                <w:rtl/>
                <w:lang w:bidi="ar-AE"/>
              </w:rPr>
              <w:t>دائرة</w:t>
            </w:r>
            <w:r w:rsidRPr="00002D43">
              <w:rPr>
                <w:rFonts w:eastAsia="Times New Roman" w:cs="Times New Roman"/>
                <w:rtl/>
                <w:lang w:bidi="ar-AE"/>
              </w:rPr>
              <w:t xml:space="preserve"> </w:t>
            </w:r>
            <w:r w:rsidRPr="00002D43">
              <w:rPr>
                <w:rFonts w:eastAsia="Times New Roman" w:cs="Times New Roman" w:hint="cs"/>
                <w:rtl/>
                <w:lang w:bidi="ar-AE"/>
              </w:rPr>
              <w:t>المعارف</w:t>
            </w:r>
            <w:r w:rsidRPr="00002D43">
              <w:rPr>
                <w:rFonts w:eastAsia="Times New Roman" w:cs="Times New Roman"/>
                <w:rtl/>
                <w:lang w:bidi="ar-AE"/>
              </w:rPr>
              <w:t xml:space="preserve"> </w:t>
            </w:r>
            <w:r w:rsidRPr="00002D43">
              <w:rPr>
                <w:rFonts w:eastAsia="Times New Roman" w:cs="Times New Roman" w:hint="cs"/>
                <w:rtl/>
                <w:lang w:bidi="ar-AE"/>
              </w:rPr>
              <w:t>العثمانية</w:t>
            </w:r>
            <w:r>
              <w:rPr>
                <w:rFonts w:eastAsia="Times New Roman" w:cs="Times New Roman" w:hint="cs"/>
                <w:rtl/>
                <w:lang w:bidi="ar-AE"/>
              </w:rPr>
              <w:t>، 1952)</w:t>
            </w:r>
          </w:p>
          <w:p w:rsidR="00D5582C" w:rsidRDefault="00D5582C" w:rsidP="008D6268">
            <w:pPr>
              <w:bidi/>
              <w:ind w:left="720"/>
              <w:rPr>
                <w:rStyle w:val="info-desc"/>
                <w:rtl/>
              </w:rPr>
            </w:pPr>
          </w:p>
          <w:p w:rsidR="00D5582C" w:rsidRPr="007B7BEA" w:rsidRDefault="00D5582C" w:rsidP="008D6268">
            <w:pPr>
              <w:bidi/>
              <w:ind w:left="720"/>
              <w:rPr>
                <w:rStyle w:val="info-desc"/>
                <w:b/>
                <w:bCs/>
                <w:rtl/>
              </w:rPr>
            </w:pPr>
            <w:r w:rsidRPr="007B7BEA">
              <w:rPr>
                <w:rStyle w:val="info-desc"/>
                <w:rFonts w:hint="cs"/>
                <w:b/>
                <w:bCs/>
                <w:rtl/>
              </w:rPr>
              <w:t xml:space="preserve">1150 </w:t>
            </w:r>
            <w:r w:rsidRPr="007B7BEA">
              <w:rPr>
                <w:rStyle w:val="info-desc"/>
                <w:b/>
                <w:bCs/>
                <w:rtl/>
              </w:rPr>
              <w:t>–</w:t>
            </w:r>
            <w:r w:rsidRPr="007B7BEA">
              <w:rPr>
                <w:rStyle w:val="info-desc"/>
                <w:rFonts w:hint="cs"/>
                <w:b/>
                <w:bCs/>
                <w:rtl/>
              </w:rPr>
              <w:t xml:space="preserve"> 1210 م:</w:t>
            </w:r>
          </w:p>
          <w:p w:rsidR="00D5582C" w:rsidRDefault="00D5582C" w:rsidP="008D6268">
            <w:pPr>
              <w:bidi/>
              <w:ind w:left="720"/>
              <w:rPr>
                <w:rStyle w:val="info-desc"/>
                <w:rtl/>
              </w:rPr>
            </w:pPr>
            <w:r w:rsidRPr="007B7BEA">
              <w:rPr>
                <w:rStyle w:val="info-desc"/>
                <w:rFonts w:cs="Arial" w:hint="cs"/>
                <w:rtl/>
              </w:rPr>
              <w:t>ابن</w:t>
            </w:r>
            <w:r w:rsidRPr="007B7BEA">
              <w:rPr>
                <w:rStyle w:val="info-desc"/>
                <w:rFonts w:cs="Arial"/>
                <w:rtl/>
              </w:rPr>
              <w:t xml:space="preserve"> </w:t>
            </w:r>
            <w:r w:rsidRPr="007B7BEA">
              <w:rPr>
                <w:rStyle w:val="info-desc"/>
                <w:rFonts w:cs="Arial" w:hint="cs"/>
                <w:rtl/>
              </w:rPr>
              <w:t>الأثير</w:t>
            </w:r>
            <w:r>
              <w:rPr>
                <w:rStyle w:val="info-desc"/>
                <w:rFonts w:cs="Arial" w:hint="cs"/>
                <w:rtl/>
              </w:rPr>
              <w:t>،</w:t>
            </w:r>
            <w:r w:rsidRPr="007B7BEA">
              <w:rPr>
                <w:rStyle w:val="info-desc"/>
                <w:rFonts w:cs="Arial" w:hint="cs"/>
                <w:rtl/>
              </w:rPr>
              <w:t xml:space="preserve"> مجد</w:t>
            </w:r>
            <w:r w:rsidRPr="007B7BEA">
              <w:rPr>
                <w:rStyle w:val="info-desc"/>
                <w:rFonts w:cs="Arial"/>
                <w:rtl/>
              </w:rPr>
              <w:t xml:space="preserve"> </w:t>
            </w:r>
            <w:r w:rsidRPr="007B7BEA">
              <w:rPr>
                <w:rStyle w:val="info-desc"/>
                <w:rFonts w:cs="Arial" w:hint="cs"/>
                <w:rtl/>
              </w:rPr>
              <w:t>الدين</w:t>
            </w:r>
            <w:r w:rsidRPr="007B7BEA">
              <w:rPr>
                <w:rStyle w:val="info-desc"/>
                <w:rFonts w:cs="Arial"/>
                <w:rtl/>
              </w:rPr>
              <w:t xml:space="preserve"> </w:t>
            </w:r>
            <w:r w:rsidRPr="007B7BEA">
              <w:rPr>
                <w:rStyle w:val="info-desc"/>
                <w:rFonts w:cs="Arial" w:hint="cs"/>
                <w:rtl/>
              </w:rPr>
              <w:t>أبو</w:t>
            </w:r>
            <w:r w:rsidRPr="007B7BEA">
              <w:rPr>
                <w:rStyle w:val="info-desc"/>
                <w:rFonts w:cs="Arial"/>
                <w:rtl/>
              </w:rPr>
              <w:t xml:space="preserve"> </w:t>
            </w:r>
            <w:r w:rsidRPr="007B7BEA">
              <w:rPr>
                <w:rStyle w:val="info-desc"/>
                <w:rFonts w:cs="Arial" w:hint="cs"/>
                <w:rtl/>
              </w:rPr>
              <w:t>السعادات</w:t>
            </w:r>
            <w:r w:rsidRPr="007B7BEA">
              <w:rPr>
                <w:rStyle w:val="info-desc"/>
                <w:rFonts w:cs="Arial"/>
                <w:rtl/>
              </w:rPr>
              <w:t xml:space="preserve"> </w:t>
            </w:r>
            <w:r w:rsidRPr="007B7BEA">
              <w:rPr>
                <w:rStyle w:val="info-desc"/>
                <w:rFonts w:cs="Arial" w:hint="cs"/>
                <w:rtl/>
              </w:rPr>
              <w:t>المبارك</w:t>
            </w:r>
            <w:r w:rsidRPr="007B7BEA">
              <w:rPr>
                <w:rStyle w:val="info-desc"/>
                <w:rFonts w:cs="Arial"/>
                <w:rtl/>
              </w:rPr>
              <w:t xml:space="preserve"> </w:t>
            </w:r>
            <w:r w:rsidRPr="007B7BEA">
              <w:rPr>
                <w:rStyle w:val="info-desc"/>
                <w:rFonts w:cs="Arial" w:hint="cs"/>
                <w:rtl/>
              </w:rPr>
              <w:t>بن</w:t>
            </w:r>
            <w:r>
              <w:rPr>
                <w:rStyle w:val="info-desc"/>
                <w:rFonts w:cs="Arial" w:hint="cs"/>
                <w:rtl/>
              </w:rPr>
              <w:t xml:space="preserve"> محمد، </w:t>
            </w:r>
            <w:r w:rsidRPr="007B7BEA">
              <w:rPr>
                <w:rStyle w:val="info-desc"/>
                <w:rFonts w:cs="Arial" w:hint="cs"/>
                <w:b/>
                <w:bCs/>
                <w:rtl/>
              </w:rPr>
              <w:t>جامع</w:t>
            </w:r>
            <w:r w:rsidRPr="007B7BEA">
              <w:rPr>
                <w:rStyle w:val="info-desc"/>
                <w:rFonts w:cs="Arial"/>
                <w:b/>
                <w:bCs/>
                <w:rtl/>
              </w:rPr>
              <w:t xml:space="preserve"> </w:t>
            </w:r>
            <w:r w:rsidRPr="007B7BEA">
              <w:rPr>
                <w:rStyle w:val="info-desc"/>
                <w:rFonts w:cs="Arial" w:hint="cs"/>
                <w:b/>
                <w:bCs/>
                <w:rtl/>
              </w:rPr>
              <w:t>الأصول</w:t>
            </w:r>
            <w:r w:rsidRPr="007B7BEA">
              <w:rPr>
                <w:rStyle w:val="info-desc"/>
                <w:rFonts w:cs="Arial"/>
                <w:b/>
                <w:bCs/>
                <w:rtl/>
              </w:rPr>
              <w:t xml:space="preserve"> </w:t>
            </w:r>
            <w:r w:rsidRPr="007B7BEA">
              <w:rPr>
                <w:rStyle w:val="info-desc"/>
                <w:rFonts w:cs="Arial" w:hint="cs"/>
                <w:b/>
                <w:bCs/>
                <w:rtl/>
              </w:rPr>
              <w:t>في</w:t>
            </w:r>
            <w:r w:rsidRPr="007B7BEA">
              <w:rPr>
                <w:rStyle w:val="info-desc"/>
                <w:rFonts w:cs="Arial"/>
                <w:b/>
                <w:bCs/>
                <w:rtl/>
              </w:rPr>
              <w:t xml:space="preserve"> </w:t>
            </w:r>
            <w:r w:rsidRPr="007B7BEA">
              <w:rPr>
                <w:rStyle w:val="info-desc"/>
                <w:rFonts w:cs="Arial" w:hint="cs"/>
                <w:b/>
                <w:bCs/>
                <w:rtl/>
              </w:rPr>
              <w:t>أحاديث</w:t>
            </w:r>
            <w:r w:rsidRPr="007B7BEA">
              <w:rPr>
                <w:rStyle w:val="info-desc"/>
                <w:rFonts w:cs="Arial"/>
                <w:b/>
                <w:bCs/>
                <w:rtl/>
              </w:rPr>
              <w:t xml:space="preserve"> </w:t>
            </w:r>
            <w:r w:rsidRPr="007B7BEA">
              <w:rPr>
                <w:rStyle w:val="info-desc"/>
                <w:rFonts w:cs="Arial" w:hint="cs"/>
                <w:b/>
                <w:bCs/>
                <w:rtl/>
              </w:rPr>
              <w:t>الرسول</w:t>
            </w:r>
            <w:r>
              <w:rPr>
                <w:rStyle w:val="info-desc"/>
                <w:rFonts w:cs="Arial" w:hint="cs"/>
                <w:rtl/>
              </w:rPr>
              <w:t>، تحقيق عبدالقادر الأرنؤوط (القاهرة؛ دمشق؛ الكويت: مكتبة الحلواني، مطبعة الملاح، مكتبة دار البيان، 1969)</w:t>
            </w:r>
          </w:p>
          <w:p w:rsidR="00D5582C" w:rsidRDefault="00D5582C" w:rsidP="008D6268">
            <w:pPr>
              <w:bidi/>
              <w:ind w:left="720"/>
              <w:rPr>
                <w:rStyle w:val="info-desc"/>
                <w:rtl/>
              </w:rPr>
            </w:pPr>
          </w:p>
          <w:p w:rsidR="00D5582C" w:rsidRPr="00D80053" w:rsidRDefault="00D5582C" w:rsidP="008D6268">
            <w:pPr>
              <w:bidi/>
              <w:ind w:left="720"/>
              <w:rPr>
                <w:rStyle w:val="info-desc"/>
                <w:b/>
                <w:bCs/>
                <w:rtl/>
              </w:rPr>
            </w:pPr>
            <w:r w:rsidRPr="00D80053">
              <w:rPr>
                <w:rStyle w:val="info-desc"/>
                <w:rFonts w:hint="cs"/>
                <w:b/>
                <w:bCs/>
                <w:rtl/>
              </w:rPr>
              <w:t xml:space="preserve">1480 </w:t>
            </w:r>
            <w:r w:rsidRPr="00D80053">
              <w:rPr>
                <w:rStyle w:val="info-desc"/>
                <w:b/>
                <w:bCs/>
                <w:rtl/>
              </w:rPr>
              <w:t>–</w:t>
            </w:r>
            <w:r w:rsidRPr="00D80053">
              <w:rPr>
                <w:rStyle w:val="info-desc"/>
                <w:rFonts w:hint="cs"/>
                <w:b/>
                <w:bCs/>
                <w:rtl/>
              </w:rPr>
              <w:t xml:space="preserve"> 1567 م:</w:t>
            </w:r>
          </w:p>
          <w:p w:rsidR="00D5582C" w:rsidRDefault="00D5582C" w:rsidP="008D6268">
            <w:pPr>
              <w:bidi/>
              <w:ind w:left="720"/>
              <w:rPr>
                <w:rStyle w:val="info-desc"/>
              </w:rPr>
            </w:pPr>
            <w:r>
              <w:rPr>
                <w:rStyle w:val="info-desc"/>
                <w:rFonts w:hint="cs"/>
                <w:rtl/>
              </w:rPr>
              <w:t xml:space="preserve">المتقي الهندي، </w:t>
            </w:r>
            <w:r>
              <w:rPr>
                <w:rStyle w:val="info-desc"/>
                <w:rtl/>
              </w:rPr>
              <w:t>علاء الدين علي بن حسام الدين</w:t>
            </w:r>
            <w:r>
              <w:rPr>
                <w:rStyle w:val="info-desc"/>
                <w:rFonts w:hint="cs"/>
                <w:rtl/>
              </w:rPr>
              <w:t xml:space="preserve">، </w:t>
            </w:r>
            <w:r w:rsidRPr="005278C0">
              <w:rPr>
                <w:rStyle w:val="info-desc"/>
                <w:rFonts w:hint="cs"/>
                <w:b/>
                <w:bCs/>
                <w:rtl/>
              </w:rPr>
              <w:t>كنز الأعمال في سنن الأقوال والأفعال</w:t>
            </w:r>
            <w:r>
              <w:rPr>
                <w:rStyle w:val="info-desc"/>
                <w:rFonts w:hint="cs"/>
                <w:rtl/>
              </w:rPr>
              <w:t>، تحقيق بكري حياتي و صفوة السقا (دمشق: مؤسسة الرسالة، 1981)</w:t>
            </w:r>
          </w:p>
          <w:p w:rsidR="00D5582C" w:rsidRDefault="00D5582C" w:rsidP="008D6268">
            <w:pPr>
              <w:bidi/>
              <w:ind w:left="720"/>
              <w:rPr>
                <w:rStyle w:val="info-desc"/>
                <w:rtl/>
              </w:rPr>
            </w:pPr>
          </w:p>
          <w:p w:rsidR="00D5582C" w:rsidRPr="00266967" w:rsidRDefault="00D5582C" w:rsidP="008D6268">
            <w:pPr>
              <w:bidi/>
              <w:ind w:left="720"/>
              <w:rPr>
                <w:rStyle w:val="info-desc"/>
                <w:b/>
                <w:bCs/>
                <w:rtl/>
                <w:lang w:bidi="ar-AE"/>
              </w:rPr>
            </w:pPr>
            <w:r w:rsidRPr="00266967">
              <w:rPr>
                <w:rStyle w:val="info-desc"/>
                <w:rFonts w:hint="cs"/>
                <w:b/>
                <w:bCs/>
                <w:rtl/>
                <w:lang w:bidi="ar-AE"/>
              </w:rPr>
              <w:t>في الوقت المعاصر:</w:t>
            </w:r>
          </w:p>
          <w:p w:rsidR="00D5582C" w:rsidRDefault="00D5582C" w:rsidP="008D6268">
            <w:pPr>
              <w:bidi/>
              <w:ind w:left="720"/>
              <w:rPr>
                <w:rStyle w:val="info-desc"/>
                <w:rtl/>
              </w:rPr>
            </w:pPr>
            <w:r>
              <w:rPr>
                <w:rStyle w:val="info-desc"/>
                <w:rFonts w:hint="cs"/>
                <w:rtl/>
              </w:rPr>
              <w:t xml:space="preserve">الطحان، محمود، </w:t>
            </w:r>
            <w:r w:rsidRPr="006651AC">
              <w:rPr>
                <w:rStyle w:val="info-desc"/>
                <w:rFonts w:hint="cs"/>
                <w:b/>
                <w:bCs/>
                <w:rtl/>
              </w:rPr>
              <w:t>أصول التخريج</w:t>
            </w:r>
            <w:r>
              <w:rPr>
                <w:rStyle w:val="info-desc"/>
                <w:rFonts w:hint="cs"/>
                <w:rtl/>
              </w:rPr>
              <w:t xml:space="preserve"> (الرياض: مكتبة المعارف للنشر والتوزيع، 1996)</w:t>
            </w:r>
          </w:p>
          <w:p w:rsidR="00D5582C" w:rsidRDefault="00D5582C" w:rsidP="008D6268">
            <w:pPr>
              <w:bidi/>
              <w:ind w:left="720"/>
              <w:rPr>
                <w:rStyle w:val="info-desc"/>
                <w:rtl/>
              </w:rPr>
            </w:pPr>
          </w:p>
          <w:p w:rsidR="00D5582C" w:rsidRDefault="00D5582C" w:rsidP="008D6268">
            <w:pPr>
              <w:rPr>
                <w:rFonts w:eastAsia="Times New Roman" w:cs="Times New Roman"/>
                <w:b/>
                <w:bCs/>
                <w:lang w:bidi="ar-AE"/>
              </w:rPr>
            </w:pPr>
            <w:r w:rsidRPr="002B3186">
              <w:rPr>
                <w:rFonts w:eastAsia="Times New Roman" w:cs="Times New Roman"/>
                <w:b/>
                <w:bCs/>
                <w:lang w:bidi="ar-AE"/>
              </w:rPr>
              <w:t>c.854-938</w:t>
            </w:r>
            <w:r>
              <w:rPr>
                <w:rFonts w:eastAsia="Times New Roman" w:cs="Times New Roman"/>
                <w:b/>
                <w:bCs/>
                <w:lang w:bidi="ar-AE"/>
              </w:rPr>
              <w:t xml:space="preserve"> CE:</w:t>
            </w:r>
          </w:p>
          <w:p w:rsidR="00D5582C" w:rsidRDefault="00D5582C" w:rsidP="008D6268">
            <w:pPr>
              <w:ind w:left="450" w:hanging="450"/>
              <w:rPr>
                <w:rFonts w:eastAsia="Times New Roman" w:cs="Times New Roman"/>
                <w:lang w:bidi="ar-AE"/>
              </w:rPr>
            </w:pPr>
            <w:r>
              <w:rPr>
                <w:rFonts w:eastAsia="Times New Roman" w:cs="Times New Roman"/>
                <w:lang w:bidi="ar-AE"/>
              </w:rPr>
              <w:t xml:space="preserve">ibn Abī al-Ḥātim, abū Muḥammad 'Abd al-Raḥmān b. Muḥammad al-Rāzī, </w:t>
            </w:r>
            <w:r w:rsidRPr="00DC344D">
              <w:rPr>
                <w:rFonts w:eastAsia="Times New Roman" w:cs="Times New Roman"/>
                <w:i/>
                <w:iCs/>
                <w:lang w:bidi="ar-AE"/>
              </w:rPr>
              <w:t>al-Jarḥ wal-Ta'dīl Or On the Classification of Ḥadīth</w:t>
            </w:r>
            <w:r>
              <w:rPr>
                <w:rFonts w:eastAsia="Times New Roman" w:cs="Times New Roman"/>
                <w:lang w:bidi="ar-AE"/>
              </w:rPr>
              <w:t xml:space="preserve"> (Hayderabad: Majlis Dā'irat al-Ma'āref al-'Uthmānīya, 1952)</w:t>
            </w:r>
          </w:p>
          <w:p w:rsidR="00D5582C" w:rsidRDefault="00D5582C" w:rsidP="008D6268">
            <w:pPr>
              <w:ind w:left="450" w:hanging="450"/>
              <w:rPr>
                <w:rFonts w:eastAsia="Times New Roman" w:cs="Times New Roman"/>
                <w:lang w:bidi="ar-AE"/>
              </w:rPr>
            </w:pPr>
          </w:p>
          <w:p w:rsidR="00D5582C" w:rsidRDefault="00D5582C" w:rsidP="008D6268">
            <w:pPr>
              <w:ind w:left="450" w:hanging="450"/>
              <w:rPr>
                <w:rFonts w:eastAsia="Times New Roman" w:cs="Times New Roman"/>
                <w:b/>
                <w:bCs/>
                <w:lang w:bidi="ar-AE"/>
              </w:rPr>
            </w:pPr>
            <w:r>
              <w:rPr>
                <w:rFonts w:eastAsia="Times New Roman" w:cs="Times New Roman"/>
                <w:b/>
                <w:bCs/>
                <w:lang w:bidi="ar-AE"/>
              </w:rPr>
              <w:lastRenderedPageBreak/>
              <w:t>1150-1210 CE:</w:t>
            </w:r>
          </w:p>
          <w:p w:rsidR="00D5582C" w:rsidRDefault="00D5582C" w:rsidP="008D6268">
            <w:pPr>
              <w:ind w:left="450" w:hanging="450"/>
              <w:rPr>
                <w:rFonts w:eastAsia="Times New Roman" w:cs="Times New Roman"/>
                <w:lang w:bidi="ar-AE"/>
              </w:rPr>
            </w:pPr>
            <w:r>
              <w:rPr>
                <w:rFonts w:eastAsia="Times New Roman" w:cs="Times New Roman"/>
                <w:lang w:bidi="ar-AE"/>
              </w:rPr>
              <w:t xml:space="preserve">ibn al-Athīr, Majd al-Dīn abū al-Sa'ādāt al-Mubārak b. Muḥammad, </w:t>
            </w:r>
            <w:r w:rsidRPr="00C417E5">
              <w:rPr>
                <w:rFonts w:eastAsia="Times New Roman" w:cs="Times New Roman"/>
                <w:i/>
                <w:iCs/>
                <w:lang w:bidi="ar-AE"/>
              </w:rPr>
              <w:t>Jāme' al-Usūl fī Ahādīth al-Rasūl</w:t>
            </w:r>
            <w:r>
              <w:rPr>
                <w:rFonts w:eastAsia="Times New Roman" w:cs="Times New Roman" w:hint="cs"/>
                <w:i/>
                <w:iCs/>
                <w:rtl/>
                <w:lang w:bidi="ar-AE"/>
              </w:rPr>
              <w:t xml:space="preserve"> </w:t>
            </w:r>
            <w:r>
              <w:rPr>
                <w:rFonts w:eastAsia="Times New Roman" w:cs="Times New Roman"/>
                <w:i/>
                <w:iCs/>
                <w:lang w:bidi="ar-AE"/>
              </w:rPr>
              <w:t>Or The Essential Compilation of the Prophetic Ḥadīth</w:t>
            </w:r>
            <w:r>
              <w:rPr>
                <w:rFonts w:eastAsia="Times New Roman" w:cs="Times New Roman"/>
                <w:lang w:bidi="ar-AE"/>
              </w:rPr>
              <w:t>, ed. by 'Abd al-Qāder al-Arna'ūṭ (Cairo; Damascus; Kuwait: Maktabat al-Ḥalwānī, Maṭba'aṭ al-Malāḥ, Maktabat Dār al-Bayān, 1969)</w:t>
            </w:r>
          </w:p>
          <w:p w:rsidR="00D5582C" w:rsidRDefault="00D5582C" w:rsidP="008D6268">
            <w:pPr>
              <w:ind w:left="450" w:hanging="450"/>
              <w:rPr>
                <w:rFonts w:eastAsia="Times New Roman" w:cs="Times New Roman"/>
                <w:lang w:bidi="ar-AE"/>
              </w:rPr>
            </w:pPr>
          </w:p>
          <w:p w:rsidR="00D5582C" w:rsidRPr="00C417E5" w:rsidRDefault="00D5582C" w:rsidP="008D6268">
            <w:pPr>
              <w:ind w:left="450" w:hanging="450"/>
              <w:rPr>
                <w:rFonts w:eastAsia="Times New Roman" w:cs="Times New Roman"/>
                <w:b/>
                <w:bCs/>
                <w:lang w:bidi="ar-AE"/>
              </w:rPr>
            </w:pPr>
            <w:r>
              <w:rPr>
                <w:rFonts w:eastAsia="Times New Roman" w:cs="Times New Roman"/>
                <w:b/>
                <w:bCs/>
                <w:lang w:bidi="ar-AE"/>
              </w:rPr>
              <w:t>1480-1567 CE:</w:t>
            </w:r>
          </w:p>
          <w:p w:rsidR="00D5582C" w:rsidRDefault="00D5582C" w:rsidP="008D6268">
            <w:pPr>
              <w:ind w:left="450" w:hanging="450"/>
              <w:rPr>
                <w:rFonts w:eastAsia="Times New Roman" w:cs="Times New Roman"/>
                <w:lang w:bidi="ar-AE"/>
              </w:rPr>
            </w:pPr>
            <w:r>
              <w:rPr>
                <w:rFonts w:eastAsia="Times New Roman" w:cs="Times New Roman"/>
                <w:lang w:bidi="ar-AE"/>
              </w:rPr>
              <w:t xml:space="preserve">al-Mutaqqī al-Hindī, 'Alā' al-Dīn 'Alī b. Ḥussam al-Dīn, </w:t>
            </w:r>
            <w:r w:rsidRPr="00DA77F5">
              <w:rPr>
                <w:rFonts w:eastAsia="Times New Roman" w:cs="Times New Roman"/>
                <w:i/>
                <w:iCs/>
                <w:lang w:bidi="ar-AE"/>
              </w:rPr>
              <w:t>Kanz al-'Umāl fī Sunan al-Aqwāl wal-Af'āl</w:t>
            </w:r>
            <w:r>
              <w:rPr>
                <w:rFonts w:eastAsia="Times New Roman" w:cs="Times New Roman"/>
                <w:i/>
                <w:iCs/>
                <w:lang w:bidi="ar-AE"/>
              </w:rPr>
              <w:t xml:space="preserve"> Or On the Ḥadīths of Sayings and Deeds</w:t>
            </w:r>
            <w:r>
              <w:rPr>
                <w:rFonts w:eastAsia="Times New Roman" w:cs="Times New Roman"/>
                <w:lang w:bidi="ar-AE"/>
              </w:rPr>
              <w:t>, ed. by Bakrī Ḥayāti and Șafwa al-Saqqā (Damascus: Mu'asassat al-Risāla, 1981)</w:t>
            </w:r>
          </w:p>
          <w:p w:rsidR="00D5582C" w:rsidRDefault="00D5582C" w:rsidP="008D6268">
            <w:pPr>
              <w:ind w:left="450" w:hanging="450"/>
              <w:rPr>
                <w:rFonts w:eastAsia="Times New Roman" w:cs="Times New Roman"/>
                <w:lang w:bidi="ar-AE"/>
              </w:rPr>
            </w:pPr>
          </w:p>
          <w:p w:rsidR="00D5582C" w:rsidRPr="00266967" w:rsidRDefault="00D5582C" w:rsidP="008D6268">
            <w:pPr>
              <w:ind w:left="450" w:hanging="450"/>
              <w:rPr>
                <w:rFonts w:eastAsia="Times New Roman" w:cs="Times New Roman"/>
                <w:b/>
                <w:bCs/>
                <w:lang w:bidi="ar-AE"/>
              </w:rPr>
            </w:pPr>
            <w:r w:rsidRPr="00266967">
              <w:rPr>
                <w:rFonts w:eastAsia="Times New Roman" w:cs="Times New Roman"/>
                <w:b/>
                <w:bCs/>
                <w:lang w:bidi="ar-AE"/>
              </w:rPr>
              <w:t xml:space="preserve">Contemporary: </w:t>
            </w:r>
          </w:p>
          <w:p w:rsidR="00D5582C" w:rsidRDefault="00D5582C" w:rsidP="008D6268">
            <w:pPr>
              <w:ind w:left="450" w:hanging="450"/>
              <w:rPr>
                <w:rFonts w:eastAsia="Times New Roman" w:cs="Times New Roman"/>
                <w:lang w:bidi="ar-AE"/>
              </w:rPr>
            </w:pPr>
            <w:r>
              <w:rPr>
                <w:rFonts w:eastAsia="Times New Roman" w:cs="Times New Roman"/>
                <w:lang w:bidi="ar-AE"/>
              </w:rPr>
              <w:t xml:space="preserve">al-Ṭaḥḥān, Maḥmūd, </w:t>
            </w:r>
            <w:r w:rsidRPr="008E7CE4">
              <w:rPr>
                <w:rFonts w:eastAsia="Times New Roman" w:cs="Times New Roman"/>
                <w:i/>
                <w:iCs/>
                <w:lang w:bidi="ar-AE"/>
              </w:rPr>
              <w:t>Usūl al-Takhrīj Or the Fundamentals of Ḥadīth Tracking</w:t>
            </w:r>
            <w:r>
              <w:rPr>
                <w:rFonts w:eastAsia="Times New Roman" w:cs="Times New Roman"/>
                <w:lang w:bidi="ar-AE"/>
              </w:rPr>
              <w:t xml:space="preserve"> (Riyadh: Maktabat al-Ma'ārif lil-Nashr wal-Tawzī', 1996)</w:t>
            </w:r>
          </w:p>
          <w:p w:rsidR="00D5582C" w:rsidRPr="002B3186" w:rsidRDefault="00D5582C" w:rsidP="008D6268">
            <w:pPr>
              <w:rPr>
                <w:rFonts w:eastAsia="Times New Roman" w:cs="Times New Roman"/>
                <w:sz w:val="24"/>
                <w:szCs w:val="24"/>
                <w:lang w:bidi="ar-AE"/>
              </w:rPr>
            </w:pPr>
            <w:r>
              <w:rPr>
                <w:rFonts w:eastAsia="Times New Roman" w:cs="Times New Roman"/>
                <w:lang w:bidi="ar-AE"/>
              </w:rPr>
              <w:t xml:space="preserve"> </w:t>
            </w:r>
          </w:p>
        </w:tc>
      </w:tr>
      <w:tr w:rsidR="00D5582C" w:rsidTr="008D6268">
        <w:tc>
          <w:tcPr>
            <w:tcW w:w="9576" w:type="dxa"/>
            <w:gridSpan w:val="3"/>
          </w:tcPr>
          <w:p w:rsidR="00D5582C" w:rsidRDefault="00D5582C" w:rsidP="008D6268">
            <w:pPr>
              <w:bidi/>
              <w:jc w:val="center"/>
              <w:rPr>
                <w:rFonts w:eastAsia="Times New Roman" w:cs="Times New Roman"/>
                <w:b/>
                <w:bCs/>
                <w:sz w:val="24"/>
                <w:szCs w:val="24"/>
                <w:rtl/>
                <w:lang w:bidi="ar-AE"/>
              </w:rPr>
            </w:pPr>
            <w:r>
              <w:rPr>
                <w:rFonts w:eastAsia="Times New Roman" w:cs="Times New Roman" w:hint="cs"/>
                <w:b/>
                <w:bCs/>
                <w:sz w:val="24"/>
                <w:szCs w:val="24"/>
                <w:rtl/>
                <w:lang w:bidi="ar-AE"/>
              </w:rPr>
              <w:lastRenderedPageBreak/>
              <w:t>اللغة والمعاجم</w:t>
            </w:r>
            <w:r>
              <w:rPr>
                <w:rFonts w:eastAsia="Times New Roman" w:cs="Times New Roman"/>
                <w:b/>
                <w:bCs/>
                <w:sz w:val="24"/>
                <w:szCs w:val="24"/>
                <w:lang w:bidi="ar-AE"/>
              </w:rPr>
              <w:t xml:space="preserve"> </w:t>
            </w:r>
            <w:r>
              <w:rPr>
                <w:rFonts w:eastAsia="Times New Roman" w:cs="Times New Roman" w:hint="cs"/>
                <w:b/>
                <w:bCs/>
                <w:sz w:val="24"/>
                <w:szCs w:val="24"/>
                <w:rtl/>
                <w:lang w:bidi="ar-AE"/>
              </w:rPr>
              <w:t>والموسوعات</w:t>
            </w:r>
          </w:p>
          <w:p w:rsidR="00D5582C" w:rsidRDefault="00D5582C" w:rsidP="008D6268">
            <w:pPr>
              <w:bidi/>
              <w:jc w:val="center"/>
              <w:rPr>
                <w:rFonts w:eastAsia="Times New Roman" w:cs="Times New Roman"/>
                <w:b/>
                <w:bCs/>
                <w:sz w:val="24"/>
                <w:szCs w:val="24"/>
                <w:rtl/>
                <w:lang w:bidi="ar-AE"/>
              </w:rPr>
            </w:pPr>
            <w:r>
              <w:rPr>
                <w:rFonts w:eastAsia="Times New Roman" w:cs="Times New Roman"/>
                <w:b/>
                <w:bCs/>
                <w:sz w:val="24"/>
                <w:szCs w:val="24"/>
                <w:lang w:bidi="ar-AE"/>
              </w:rPr>
              <w:t>Philology, Lexicography &amp; Encyclopedias</w:t>
            </w:r>
          </w:p>
          <w:p w:rsidR="00D5582C" w:rsidRPr="00AF35EC" w:rsidRDefault="00D5582C" w:rsidP="008D6268">
            <w:pPr>
              <w:bidi/>
              <w:jc w:val="center"/>
              <w:rPr>
                <w:rFonts w:eastAsia="Times New Roman" w:cs="Times New Roman"/>
                <w:b/>
                <w:bCs/>
                <w:sz w:val="24"/>
                <w:szCs w:val="24"/>
                <w:lang w:bidi="ar-AE"/>
              </w:rPr>
            </w:pPr>
          </w:p>
        </w:tc>
      </w:tr>
      <w:tr w:rsidR="00D5582C" w:rsidTr="008D6268">
        <w:tc>
          <w:tcPr>
            <w:tcW w:w="9576" w:type="dxa"/>
            <w:gridSpan w:val="3"/>
          </w:tcPr>
          <w:p w:rsidR="00D5582C" w:rsidRPr="00AF35EC" w:rsidRDefault="00D5582C" w:rsidP="008D6268">
            <w:pPr>
              <w:pStyle w:val="NormalWeb"/>
              <w:bidi/>
              <w:spacing w:before="0" w:beforeAutospacing="0" w:after="0" w:afterAutospacing="0"/>
              <w:ind w:left="1170" w:hanging="450"/>
              <w:rPr>
                <w:rFonts w:asciiTheme="minorHAnsi" w:hAnsiTheme="minorHAnsi"/>
                <w:b/>
                <w:bCs/>
                <w:sz w:val="22"/>
                <w:szCs w:val="22"/>
                <w:rtl/>
              </w:rPr>
            </w:pPr>
            <w:r w:rsidRPr="00AF35EC">
              <w:rPr>
                <w:rFonts w:asciiTheme="minorHAnsi" w:hAnsiTheme="minorHAnsi" w:hint="cs"/>
                <w:b/>
                <w:bCs/>
                <w:sz w:val="22"/>
                <w:szCs w:val="22"/>
                <w:rtl/>
              </w:rPr>
              <w:t xml:space="preserve">855 </w:t>
            </w:r>
            <w:r w:rsidRPr="00AF35EC">
              <w:rPr>
                <w:rFonts w:asciiTheme="minorHAnsi" w:hAnsiTheme="minorHAnsi"/>
                <w:b/>
                <w:bCs/>
                <w:sz w:val="22"/>
                <w:szCs w:val="22"/>
                <w:rtl/>
              </w:rPr>
              <w:t>–</w:t>
            </w:r>
            <w:r w:rsidRPr="00AF35EC">
              <w:rPr>
                <w:rFonts w:asciiTheme="minorHAnsi" w:hAnsiTheme="minorHAnsi" w:hint="cs"/>
                <w:b/>
                <w:bCs/>
                <w:sz w:val="22"/>
                <w:szCs w:val="22"/>
                <w:rtl/>
              </w:rPr>
              <w:t xml:space="preserve">   823 م:</w:t>
            </w:r>
          </w:p>
          <w:p w:rsidR="00D5582C" w:rsidRDefault="00D5582C" w:rsidP="00D5582C">
            <w:pPr>
              <w:pStyle w:val="NormalWeb"/>
              <w:numPr>
                <w:ilvl w:val="0"/>
                <w:numId w:val="9"/>
              </w:numPr>
              <w:bidi/>
              <w:spacing w:before="0" w:beforeAutospacing="0" w:after="240" w:afterAutospacing="0"/>
              <w:rPr>
                <w:rFonts w:asciiTheme="minorHAnsi" w:hAnsiTheme="minorHAnsi"/>
                <w:sz w:val="22"/>
                <w:szCs w:val="22"/>
              </w:rPr>
            </w:pPr>
            <w:r>
              <w:rPr>
                <w:rFonts w:asciiTheme="minorHAnsi" w:hAnsiTheme="minorHAnsi" w:hint="cs"/>
                <w:sz w:val="22"/>
                <w:szCs w:val="22"/>
                <w:rtl/>
              </w:rPr>
              <w:t xml:space="preserve">الزجاج، أبو إسحق إبراهيم بن السري بن سهل، </w:t>
            </w:r>
            <w:r w:rsidRPr="00266C3E">
              <w:rPr>
                <w:rFonts w:asciiTheme="minorHAnsi" w:hAnsiTheme="minorHAnsi" w:hint="cs"/>
                <w:b/>
                <w:bCs/>
                <w:sz w:val="22"/>
                <w:szCs w:val="22"/>
                <w:rtl/>
              </w:rPr>
              <w:t>معاني القرآن وإعرابه</w:t>
            </w:r>
            <w:r>
              <w:rPr>
                <w:rFonts w:asciiTheme="minorHAnsi" w:hAnsiTheme="minorHAnsi" w:hint="cs"/>
                <w:sz w:val="22"/>
                <w:szCs w:val="22"/>
                <w:rtl/>
              </w:rPr>
              <w:t xml:space="preserve"> (بيروت: عالم الكتب، 1988)</w:t>
            </w:r>
          </w:p>
          <w:p w:rsidR="00D5582C" w:rsidRPr="00266C3E" w:rsidRDefault="00D5582C" w:rsidP="008D6268">
            <w:pPr>
              <w:pStyle w:val="NormalWeb"/>
              <w:bidi/>
              <w:spacing w:before="0" w:beforeAutospacing="0" w:after="0" w:afterAutospacing="0"/>
              <w:ind w:left="1170" w:hanging="450"/>
              <w:rPr>
                <w:rFonts w:asciiTheme="minorHAnsi" w:hAnsiTheme="minorHAnsi"/>
                <w:b/>
                <w:bCs/>
                <w:sz w:val="22"/>
                <w:szCs w:val="22"/>
                <w:rtl/>
                <w:lang w:bidi="ar-AE"/>
              </w:rPr>
            </w:pPr>
            <w:r w:rsidRPr="00266C3E">
              <w:rPr>
                <w:rFonts w:asciiTheme="minorHAnsi" w:hAnsiTheme="minorHAnsi" w:hint="cs"/>
                <w:b/>
                <w:bCs/>
                <w:sz w:val="22"/>
                <w:szCs w:val="22"/>
                <w:rtl/>
                <w:lang w:bidi="ar-AE"/>
              </w:rPr>
              <w:t xml:space="preserve">895 </w:t>
            </w:r>
            <w:r w:rsidRPr="00266C3E">
              <w:rPr>
                <w:rFonts w:asciiTheme="minorHAnsi" w:hAnsiTheme="minorHAnsi"/>
                <w:b/>
                <w:bCs/>
                <w:sz w:val="22"/>
                <w:szCs w:val="22"/>
                <w:rtl/>
                <w:lang w:bidi="ar-AE"/>
              </w:rPr>
              <w:t>–</w:t>
            </w:r>
            <w:r w:rsidRPr="00266C3E">
              <w:rPr>
                <w:rFonts w:asciiTheme="minorHAnsi" w:hAnsiTheme="minorHAnsi" w:hint="cs"/>
                <w:b/>
                <w:bCs/>
                <w:sz w:val="22"/>
                <w:szCs w:val="22"/>
                <w:rtl/>
                <w:lang w:bidi="ar-AE"/>
              </w:rPr>
              <w:t xml:space="preserve"> 980 م:</w:t>
            </w:r>
          </w:p>
          <w:p w:rsidR="00D5582C" w:rsidRDefault="00D5582C" w:rsidP="00D5582C">
            <w:pPr>
              <w:pStyle w:val="NormalWeb"/>
              <w:numPr>
                <w:ilvl w:val="0"/>
                <w:numId w:val="9"/>
              </w:numPr>
              <w:bidi/>
              <w:spacing w:before="0" w:beforeAutospacing="0" w:after="240" w:afterAutospacing="0"/>
              <w:rPr>
                <w:rFonts w:asciiTheme="minorHAnsi" w:hAnsiTheme="minorHAnsi"/>
                <w:sz w:val="22"/>
                <w:szCs w:val="22"/>
                <w:rtl/>
                <w:lang w:bidi="ar-AE"/>
              </w:rPr>
            </w:pPr>
            <w:r>
              <w:rPr>
                <w:rFonts w:asciiTheme="minorHAnsi" w:hAnsiTheme="minorHAnsi" w:hint="cs"/>
                <w:sz w:val="22"/>
                <w:szCs w:val="22"/>
                <w:rtl/>
                <w:lang w:bidi="ar-AE"/>
              </w:rPr>
              <w:t>الأزهري، محمد بن أحمد،</w:t>
            </w:r>
            <w:r w:rsidRPr="0078712A">
              <w:rPr>
                <w:rFonts w:asciiTheme="minorHAnsi" w:hAnsiTheme="minorHAnsi" w:hint="cs"/>
                <w:b/>
                <w:bCs/>
                <w:sz w:val="22"/>
                <w:szCs w:val="22"/>
                <w:rtl/>
                <w:lang w:bidi="ar-AE"/>
              </w:rPr>
              <w:t xml:space="preserve"> تهذيب اللغة </w:t>
            </w:r>
            <w:r>
              <w:rPr>
                <w:rFonts w:asciiTheme="minorHAnsi" w:hAnsiTheme="minorHAnsi" w:hint="cs"/>
                <w:sz w:val="22"/>
                <w:szCs w:val="22"/>
                <w:rtl/>
                <w:lang w:bidi="ar-AE"/>
              </w:rPr>
              <w:t>(بيروت: دار إحياء التراث العربي، 2001)</w:t>
            </w:r>
          </w:p>
          <w:p w:rsidR="00D5582C" w:rsidRPr="00266C3E" w:rsidRDefault="00D5582C" w:rsidP="008D6268">
            <w:pPr>
              <w:pStyle w:val="NormalWeb"/>
              <w:bidi/>
              <w:spacing w:before="0" w:beforeAutospacing="0" w:after="0" w:afterAutospacing="0"/>
              <w:ind w:left="720"/>
              <w:rPr>
                <w:rFonts w:asciiTheme="minorHAnsi" w:hAnsiTheme="minorHAnsi"/>
                <w:b/>
                <w:bCs/>
                <w:sz w:val="22"/>
                <w:szCs w:val="22"/>
              </w:rPr>
            </w:pPr>
            <w:r w:rsidRPr="00266C3E">
              <w:rPr>
                <w:rFonts w:asciiTheme="minorHAnsi" w:hAnsiTheme="minorHAnsi" w:hint="cs"/>
                <w:b/>
                <w:bCs/>
                <w:sz w:val="22"/>
                <w:szCs w:val="22"/>
                <w:rtl/>
              </w:rPr>
              <w:t>ت.1003 م:</w:t>
            </w:r>
          </w:p>
          <w:p w:rsidR="00D5582C" w:rsidRPr="00E72EC7" w:rsidRDefault="00D5582C" w:rsidP="00D5582C">
            <w:pPr>
              <w:pStyle w:val="NormalWeb"/>
              <w:numPr>
                <w:ilvl w:val="0"/>
                <w:numId w:val="9"/>
              </w:numPr>
              <w:bidi/>
              <w:spacing w:before="0" w:beforeAutospacing="0" w:after="240" w:afterAutospacing="0"/>
              <w:rPr>
                <w:rFonts w:asciiTheme="minorHAnsi" w:hAnsiTheme="minorHAnsi"/>
                <w:sz w:val="22"/>
                <w:szCs w:val="22"/>
              </w:rPr>
            </w:pPr>
            <w:r>
              <w:rPr>
                <w:rFonts w:asciiTheme="minorHAnsi" w:hAnsiTheme="minorHAnsi" w:hint="cs"/>
                <w:sz w:val="22"/>
                <w:szCs w:val="22"/>
                <w:rtl/>
              </w:rPr>
              <w:t xml:space="preserve">الجوهري، إسماعيل بن حماد، </w:t>
            </w:r>
            <w:r w:rsidRPr="0078712A">
              <w:rPr>
                <w:rFonts w:asciiTheme="minorHAnsi" w:hAnsiTheme="minorHAnsi" w:hint="cs"/>
                <w:b/>
                <w:bCs/>
                <w:sz w:val="22"/>
                <w:szCs w:val="22"/>
                <w:rtl/>
              </w:rPr>
              <w:t xml:space="preserve">الصحاح تاج اللغة وصحاح العربية </w:t>
            </w:r>
            <w:r>
              <w:rPr>
                <w:rFonts w:asciiTheme="minorHAnsi" w:hAnsiTheme="minorHAnsi" w:hint="cs"/>
                <w:sz w:val="22"/>
                <w:szCs w:val="22"/>
                <w:rtl/>
              </w:rPr>
              <w:t>(بيروت: دار العلم للملايين، 1987)</w:t>
            </w:r>
          </w:p>
          <w:p w:rsidR="00D5582C" w:rsidRPr="00AF35EC" w:rsidRDefault="00D5582C" w:rsidP="008D6268">
            <w:pPr>
              <w:pStyle w:val="NormalWeb"/>
              <w:bidi/>
              <w:spacing w:before="0" w:beforeAutospacing="0" w:after="0" w:afterAutospacing="0"/>
              <w:ind w:left="1170" w:hanging="450"/>
              <w:rPr>
                <w:rFonts w:asciiTheme="minorHAnsi" w:hAnsiTheme="minorHAnsi"/>
                <w:b/>
                <w:bCs/>
                <w:sz w:val="22"/>
                <w:szCs w:val="22"/>
                <w:rtl/>
                <w:lang w:bidi="ar-AE"/>
              </w:rPr>
            </w:pPr>
            <w:r w:rsidRPr="00AF35EC">
              <w:rPr>
                <w:rFonts w:asciiTheme="minorHAnsi" w:hAnsiTheme="minorHAnsi"/>
                <w:b/>
                <w:bCs/>
                <w:sz w:val="22"/>
                <w:szCs w:val="22"/>
                <w:rtl/>
                <w:lang w:bidi="ar-AE"/>
              </w:rPr>
              <w:t>1007 – 1066 م:</w:t>
            </w:r>
          </w:p>
          <w:p w:rsidR="00D5582C" w:rsidRDefault="00D5582C" w:rsidP="00D5582C">
            <w:pPr>
              <w:pStyle w:val="NormalWeb"/>
              <w:numPr>
                <w:ilvl w:val="0"/>
                <w:numId w:val="9"/>
              </w:numPr>
              <w:bidi/>
              <w:spacing w:before="0" w:beforeAutospacing="0" w:after="0" w:afterAutospacing="0"/>
              <w:rPr>
                <w:sz w:val="22"/>
                <w:szCs w:val="22"/>
                <w:rtl/>
                <w:lang w:bidi="ar-AE"/>
              </w:rPr>
            </w:pPr>
            <w:r>
              <w:rPr>
                <w:rFonts w:hint="cs"/>
                <w:sz w:val="22"/>
                <w:szCs w:val="22"/>
                <w:rtl/>
                <w:lang w:bidi="ar-AE"/>
              </w:rPr>
              <w:t xml:space="preserve">ابن سيده، </w:t>
            </w:r>
            <w:r w:rsidRPr="00FE77CC">
              <w:rPr>
                <w:rFonts w:hint="cs"/>
                <w:sz w:val="22"/>
                <w:szCs w:val="22"/>
                <w:rtl/>
                <w:lang w:bidi="ar-AE"/>
              </w:rPr>
              <w:t>أ</w:t>
            </w:r>
            <w:r>
              <w:rPr>
                <w:rFonts w:hint="cs"/>
                <w:sz w:val="22"/>
                <w:szCs w:val="22"/>
                <w:rtl/>
                <w:lang w:bidi="ar-AE"/>
              </w:rPr>
              <w:t xml:space="preserve">بو الحسن علي بن إسماعيل، </w:t>
            </w:r>
            <w:r w:rsidRPr="00FE77CC">
              <w:rPr>
                <w:rFonts w:hint="cs"/>
                <w:b/>
                <w:bCs/>
                <w:sz w:val="22"/>
                <w:szCs w:val="22"/>
                <w:rtl/>
                <w:lang w:bidi="ar-AE"/>
              </w:rPr>
              <w:t>المخصص</w:t>
            </w:r>
            <w:r>
              <w:rPr>
                <w:rFonts w:hint="cs"/>
                <w:sz w:val="22"/>
                <w:szCs w:val="22"/>
                <w:rtl/>
                <w:lang w:bidi="ar-AE"/>
              </w:rPr>
              <w:t xml:space="preserve"> (</w:t>
            </w:r>
            <w:r w:rsidRPr="00FE77CC">
              <w:rPr>
                <w:rFonts w:hint="cs"/>
                <w:sz w:val="22"/>
                <w:szCs w:val="22"/>
                <w:rtl/>
                <w:lang w:bidi="ar-AE"/>
              </w:rPr>
              <w:t xml:space="preserve">بيروت: دار إحياء التراث العربي، </w:t>
            </w:r>
            <w:r w:rsidRPr="00266C3E">
              <w:rPr>
                <w:rFonts w:asciiTheme="minorHAnsi" w:hAnsiTheme="minorHAnsi"/>
                <w:sz w:val="22"/>
                <w:szCs w:val="22"/>
                <w:rtl/>
                <w:lang w:bidi="ar-AE"/>
              </w:rPr>
              <w:t>1996</w:t>
            </w:r>
            <w:r>
              <w:rPr>
                <w:rFonts w:hint="cs"/>
                <w:sz w:val="22"/>
                <w:szCs w:val="22"/>
                <w:rtl/>
                <w:lang w:bidi="ar-AE"/>
              </w:rPr>
              <w:t>)</w:t>
            </w:r>
          </w:p>
          <w:p w:rsidR="00D5582C" w:rsidRDefault="00D5582C" w:rsidP="008D6268">
            <w:pPr>
              <w:pStyle w:val="FootnoteText"/>
              <w:bidi/>
              <w:rPr>
                <w:b/>
                <w:bCs/>
                <w:sz w:val="22"/>
                <w:szCs w:val="22"/>
                <w:lang w:bidi="ar-AE"/>
              </w:rPr>
            </w:pPr>
          </w:p>
          <w:p w:rsidR="00D5582C" w:rsidRPr="00AF35EC" w:rsidRDefault="00D5582C" w:rsidP="008D6268">
            <w:pPr>
              <w:pStyle w:val="FootnoteText"/>
              <w:bidi/>
              <w:ind w:left="720"/>
              <w:rPr>
                <w:b/>
                <w:bCs/>
                <w:sz w:val="22"/>
                <w:szCs w:val="22"/>
                <w:rtl/>
                <w:lang w:bidi="ar-AE"/>
              </w:rPr>
            </w:pPr>
            <w:r w:rsidRPr="00AF35EC">
              <w:rPr>
                <w:rFonts w:hint="cs"/>
                <w:b/>
                <w:bCs/>
                <w:sz w:val="22"/>
                <w:szCs w:val="22"/>
                <w:rtl/>
                <w:lang w:bidi="ar-AE"/>
              </w:rPr>
              <w:t xml:space="preserve">1232 </w:t>
            </w:r>
            <w:r w:rsidRPr="00AF35EC">
              <w:rPr>
                <w:b/>
                <w:bCs/>
                <w:sz w:val="22"/>
                <w:szCs w:val="22"/>
                <w:rtl/>
                <w:lang w:bidi="ar-AE"/>
              </w:rPr>
              <w:t>–</w:t>
            </w:r>
            <w:r w:rsidRPr="00AF35EC">
              <w:rPr>
                <w:rFonts w:hint="cs"/>
                <w:b/>
                <w:bCs/>
                <w:sz w:val="22"/>
                <w:szCs w:val="22"/>
                <w:rtl/>
                <w:lang w:bidi="ar-AE"/>
              </w:rPr>
              <w:t xml:space="preserve"> 1311 م:</w:t>
            </w:r>
          </w:p>
          <w:p w:rsidR="00D5582C" w:rsidRDefault="00D5582C" w:rsidP="00D5582C">
            <w:pPr>
              <w:pStyle w:val="FootnoteText"/>
              <w:numPr>
                <w:ilvl w:val="0"/>
                <w:numId w:val="9"/>
              </w:numPr>
              <w:autoSpaceDE/>
              <w:autoSpaceDN/>
              <w:bidi/>
              <w:adjustRightInd/>
              <w:rPr>
                <w:sz w:val="22"/>
                <w:szCs w:val="22"/>
                <w:lang w:bidi="ar-AE"/>
              </w:rPr>
            </w:pPr>
            <w:r>
              <w:rPr>
                <w:rFonts w:hint="cs"/>
                <w:sz w:val="22"/>
                <w:szCs w:val="22"/>
                <w:rtl/>
                <w:lang w:bidi="ar-AE"/>
              </w:rPr>
              <w:t>ا</w:t>
            </w:r>
            <w:r w:rsidRPr="00BD6144">
              <w:rPr>
                <w:rFonts w:hint="cs"/>
                <w:sz w:val="22"/>
                <w:szCs w:val="22"/>
                <w:rtl/>
                <w:lang w:bidi="ar-AE"/>
              </w:rPr>
              <w:t>بن منظور</w:t>
            </w:r>
            <w:r>
              <w:rPr>
                <w:rFonts w:hint="cs"/>
                <w:sz w:val="22"/>
                <w:szCs w:val="22"/>
                <w:rtl/>
                <w:lang w:bidi="ar-AE"/>
              </w:rPr>
              <w:t>،</w:t>
            </w:r>
            <w:r w:rsidRPr="00BD6144">
              <w:rPr>
                <w:rFonts w:hint="cs"/>
                <w:sz w:val="22"/>
                <w:szCs w:val="22"/>
                <w:rtl/>
              </w:rPr>
              <w:t xml:space="preserve"> أب</w:t>
            </w:r>
            <w:r>
              <w:rPr>
                <w:rFonts w:hint="cs"/>
                <w:sz w:val="22"/>
                <w:szCs w:val="22"/>
                <w:rtl/>
              </w:rPr>
              <w:t>و الفضل جمال الدين محمد بن مكرم</w:t>
            </w:r>
            <w:r>
              <w:rPr>
                <w:rFonts w:hint="cs"/>
                <w:sz w:val="22"/>
                <w:szCs w:val="22"/>
                <w:rtl/>
                <w:lang w:bidi="ar-AE"/>
              </w:rPr>
              <w:t>،</w:t>
            </w:r>
            <w:r w:rsidRPr="00BD6144">
              <w:rPr>
                <w:rFonts w:hint="cs"/>
                <w:sz w:val="22"/>
                <w:szCs w:val="22"/>
                <w:rtl/>
                <w:lang w:bidi="ar-AE"/>
              </w:rPr>
              <w:t xml:space="preserve"> </w:t>
            </w:r>
            <w:r w:rsidRPr="00BD6144">
              <w:rPr>
                <w:rFonts w:hint="cs"/>
                <w:b/>
                <w:bCs/>
                <w:sz w:val="22"/>
                <w:szCs w:val="22"/>
                <w:rtl/>
                <w:lang w:bidi="ar-AE"/>
              </w:rPr>
              <w:t>لسان العرب</w:t>
            </w:r>
            <w:r>
              <w:rPr>
                <w:rFonts w:hint="cs"/>
                <w:sz w:val="22"/>
                <w:szCs w:val="22"/>
                <w:rtl/>
                <w:lang w:bidi="ar-AE"/>
              </w:rPr>
              <w:t xml:space="preserve"> (بيروت: دار صادر، 1994)</w:t>
            </w:r>
          </w:p>
          <w:p w:rsidR="00D5582C" w:rsidRDefault="00D5582C" w:rsidP="008D6268">
            <w:pPr>
              <w:pStyle w:val="FootnoteText"/>
              <w:bidi/>
              <w:ind w:left="1080"/>
              <w:rPr>
                <w:sz w:val="22"/>
                <w:szCs w:val="22"/>
                <w:lang w:bidi="ar-AE"/>
              </w:rPr>
            </w:pPr>
          </w:p>
          <w:p w:rsidR="00D5582C" w:rsidRPr="00093D97" w:rsidRDefault="00D5582C" w:rsidP="008D6268">
            <w:pPr>
              <w:pStyle w:val="FootnoteText"/>
              <w:bidi/>
              <w:ind w:left="720"/>
              <w:rPr>
                <w:b/>
                <w:bCs/>
                <w:sz w:val="22"/>
                <w:szCs w:val="22"/>
                <w:lang w:bidi="ar-AE"/>
              </w:rPr>
            </w:pPr>
            <w:r w:rsidRPr="00093D97">
              <w:rPr>
                <w:rFonts w:hint="cs"/>
                <w:b/>
                <w:bCs/>
                <w:sz w:val="22"/>
                <w:szCs w:val="22"/>
                <w:rtl/>
                <w:lang w:bidi="ar-AE"/>
              </w:rPr>
              <w:t xml:space="preserve">1268 </w:t>
            </w:r>
            <w:r w:rsidRPr="00093D97">
              <w:rPr>
                <w:b/>
                <w:bCs/>
                <w:sz w:val="22"/>
                <w:szCs w:val="22"/>
                <w:rtl/>
                <w:lang w:bidi="ar-AE"/>
              </w:rPr>
              <w:t>–</w:t>
            </w:r>
            <w:r w:rsidRPr="00093D97">
              <w:rPr>
                <w:rFonts w:hint="cs"/>
                <w:b/>
                <w:bCs/>
                <w:sz w:val="22"/>
                <w:szCs w:val="22"/>
                <w:rtl/>
                <w:lang w:bidi="ar-AE"/>
              </w:rPr>
              <w:t xml:space="preserve"> 1332 م (تقريبا):</w:t>
            </w:r>
          </w:p>
          <w:p w:rsidR="00D5582C" w:rsidRDefault="00D5582C" w:rsidP="00D5582C">
            <w:pPr>
              <w:pStyle w:val="FootnoteText"/>
              <w:numPr>
                <w:ilvl w:val="0"/>
                <w:numId w:val="9"/>
              </w:numPr>
              <w:autoSpaceDE/>
              <w:autoSpaceDN/>
              <w:bidi/>
              <w:adjustRightInd/>
              <w:rPr>
                <w:sz w:val="22"/>
                <w:szCs w:val="22"/>
                <w:lang w:bidi="ar-AE"/>
              </w:rPr>
            </w:pPr>
            <w:r>
              <w:rPr>
                <w:rFonts w:hint="cs"/>
                <w:sz w:val="22"/>
                <w:szCs w:val="22"/>
                <w:rtl/>
                <w:lang w:bidi="ar-AE"/>
              </w:rPr>
              <w:t xml:space="preserve">النويري، أحمد بن عبدالوهاب شهاب الدين، </w:t>
            </w:r>
            <w:r w:rsidRPr="009F7091">
              <w:rPr>
                <w:rFonts w:hint="cs"/>
                <w:b/>
                <w:bCs/>
                <w:sz w:val="22"/>
                <w:szCs w:val="22"/>
                <w:rtl/>
                <w:lang w:bidi="ar-AE"/>
              </w:rPr>
              <w:t>بلوغ الأرب في فنون الأدب</w:t>
            </w:r>
            <w:r>
              <w:rPr>
                <w:rFonts w:hint="cs"/>
                <w:sz w:val="22"/>
                <w:szCs w:val="22"/>
                <w:rtl/>
                <w:lang w:bidi="ar-AE"/>
              </w:rPr>
              <w:t xml:space="preserve"> (القاهرة: دار الكتب والوثائق القومية، 2002)</w:t>
            </w:r>
          </w:p>
          <w:p w:rsidR="00D5582C" w:rsidRDefault="00D5582C" w:rsidP="008D6268">
            <w:pPr>
              <w:pStyle w:val="FootnoteText"/>
              <w:bidi/>
              <w:rPr>
                <w:sz w:val="22"/>
                <w:szCs w:val="22"/>
                <w:rtl/>
                <w:lang w:bidi="ar-AE"/>
              </w:rPr>
            </w:pPr>
          </w:p>
          <w:p w:rsidR="00D5582C" w:rsidRPr="00A54C8B" w:rsidRDefault="00D5582C" w:rsidP="008D6268">
            <w:pPr>
              <w:pStyle w:val="FootnoteText"/>
              <w:bidi/>
              <w:ind w:left="720"/>
              <w:rPr>
                <w:b/>
                <w:bCs/>
                <w:sz w:val="22"/>
                <w:szCs w:val="22"/>
                <w:rtl/>
                <w:lang w:bidi="ar-AE"/>
              </w:rPr>
            </w:pPr>
            <w:r>
              <w:rPr>
                <w:rFonts w:hint="cs"/>
                <w:b/>
                <w:bCs/>
                <w:sz w:val="22"/>
                <w:szCs w:val="22"/>
                <w:rtl/>
                <w:lang w:bidi="ar-AE"/>
              </w:rPr>
              <w:t>المعاجم الحديثة:</w:t>
            </w:r>
          </w:p>
          <w:p w:rsidR="00D5582C" w:rsidRDefault="00D5582C" w:rsidP="00D5582C">
            <w:pPr>
              <w:pStyle w:val="ListParagraph"/>
              <w:numPr>
                <w:ilvl w:val="0"/>
                <w:numId w:val="9"/>
              </w:numPr>
              <w:autoSpaceDE/>
              <w:autoSpaceDN/>
              <w:bidi/>
              <w:adjustRightInd/>
              <w:spacing w:after="100" w:afterAutospacing="1"/>
              <w:rPr>
                <w:lang w:bidi="ar-AE"/>
              </w:rPr>
            </w:pPr>
            <w:r>
              <w:rPr>
                <w:rFonts w:hint="cs"/>
                <w:rtl/>
                <w:lang w:bidi="ar-AE"/>
              </w:rPr>
              <w:t xml:space="preserve">الإدارة العامة للمعجمات وإحياء التراث، </w:t>
            </w:r>
            <w:r w:rsidRPr="00A54C8B">
              <w:rPr>
                <w:rFonts w:hint="cs"/>
                <w:b/>
                <w:bCs/>
                <w:rtl/>
                <w:lang w:bidi="ar-AE"/>
              </w:rPr>
              <w:t>معجم ألفاظ القرآن الكريم</w:t>
            </w:r>
            <w:r>
              <w:rPr>
                <w:rFonts w:hint="cs"/>
                <w:rtl/>
                <w:lang w:bidi="ar-AE"/>
              </w:rPr>
              <w:t xml:space="preserve"> (القاهرة: الإدارة العامة للمعجمات وإحياء التراث، 1988)</w:t>
            </w:r>
          </w:p>
          <w:p w:rsidR="00D5582C" w:rsidRDefault="00D5582C" w:rsidP="008D6268">
            <w:pPr>
              <w:pStyle w:val="ListParagraph"/>
              <w:bidi/>
              <w:spacing w:after="100" w:afterAutospacing="1"/>
              <w:ind w:left="1080"/>
              <w:rPr>
                <w:rtl/>
                <w:lang w:bidi="ar-AE"/>
              </w:rPr>
            </w:pPr>
          </w:p>
          <w:p w:rsidR="00D5582C" w:rsidRPr="001A5CD4" w:rsidRDefault="00D5582C" w:rsidP="00D5582C">
            <w:pPr>
              <w:pStyle w:val="ListParagraph"/>
              <w:numPr>
                <w:ilvl w:val="0"/>
                <w:numId w:val="9"/>
              </w:numPr>
              <w:autoSpaceDE/>
              <w:autoSpaceDN/>
              <w:bidi/>
              <w:adjustRightInd/>
              <w:spacing w:after="100" w:afterAutospacing="1"/>
              <w:rPr>
                <w:rFonts w:eastAsia="Times New Roman" w:cs="Times New Roman"/>
                <w:i/>
                <w:iCs/>
                <w:lang w:bidi="ar-AE"/>
              </w:rPr>
            </w:pPr>
            <w:r>
              <w:rPr>
                <w:rFonts w:hint="cs"/>
                <w:rtl/>
                <w:lang w:bidi="ar-AE"/>
              </w:rPr>
              <w:t xml:space="preserve">عبدالباقي، محمد فؤاد، </w:t>
            </w:r>
            <w:r w:rsidRPr="00A54C8B">
              <w:rPr>
                <w:rFonts w:hint="cs"/>
                <w:b/>
                <w:bCs/>
                <w:rtl/>
                <w:lang w:bidi="ar-AE"/>
              </w:rPr>
              <w:t>المعجم المفهرس لألفاظ القرآن الكريم</w:t>
            </w:r>
            <w:r>
              <w:rPr>
                <w:rFonts w:hint="cs"/>
                <w:rtl/>
                <w:lang w:bidi="ar-AE"/>
              </w:rPr>
              <w:t xml:space="preserve"> (بيروت: دار المعرفة، 2003)</w:t>
            </w:r>
          </w:p>
          <w:p w:rsidR="00D5582C" w:rsidRPr="001A5CD4" w:rsidRDefault="00D5582C" w:rsidP="008D6268">
            <w:pPr>
              <w:pStyle w:val="ListParagraph"/>
              <w:rPr>
                <w:rFonts w:eastAsia="Times New Roman" w:cs="Times New Roman"/>
                <w:i/>
                <w:iCs/>
                <w:rtl/>
                <w:lang w:bidi="ar-AE"/>
              </w:rPr>
            </w:pPr>
          </w:p>
          <w:p w:rsidR="00D5582C" w:rsidRPr="005F0B32" w:rsidRDefault="00D5582C" w:rsidP="00D5582C">
            <w:pPr>
              <w:pStyle w:val="ListParagraph"/>
              <w:numPr>
                <w:ilvl w:val="0"/>
                <w:numId w:val="9"/>
              </w:numPr>
              <w:autoSpaceDE/>
              <w:autoSpaceDN/>
              <w:bidi/>
              <w:adjustRightInd/>
              <w:spacing w:after="100" w:afterAutospacing="1"/>
              <w:rPr>
                <w:rFonts w:eastAsia="Times New Roman" w:cs="Times New Roman"/>
                <w:i/>
                <w:iCs/>
                <w:lang w:bidi="ar-AE"/>
              </w:rPr>
            </w:pPr>
            <w:r>
              <w:rPr>
                <w:rFonts w:eastAsia="Times New Roman" w:cs="Times New Roman" w:hint="cs"/>
                <w:rtl/>
                <w:lang w:bidi="ar-AE"/>
              </w:rPr>
              <w:t xml:space="preserve">مرزوق، عبدالصبور، </w:t>
            </w:r>
            <w:r w:rsidRPr="001A5CD4">
              <w:rPr>
                <w:rFonts w:eastAsia="Times New Roman" w:cs="Times New Roman" w:hint="cs"/>
                <w:b/>
                <w:bCs/>
                <w:rtl/>
                <w:lang w:bidi="ar-AE"/>
              </w:rPr>
              <w:t>معجم الأعلام والموضوعات في القرآن الكريم</w:t>
            </w:r>
            <w:r>
              <w:rPr>
                <w:rFonts w:eastAsia="Times New Roman" w:cs="Times New Roman" w:hint="cs"/>
                <w:rtl/>
                <w:lang w:bidi="ar-AE"/>
              </w:rPr>
              <w:t xml:space="preserve"> (القاهرة: دار الشروق، 1968) </w:t>
            </w:r>
          </w:p>
          <w:p w:rsidR="00D5582C" w:rsidRDefault="00D5582C" w:rsidP="008D6268">
            <w:pPr>
              <w:pStyle w:val="NormalWeb"/>
              <w:spacing w:before="0" w:beforeAutospacing="0" w:after="0" w:afterAutospacing="0"/>
              <w:ind w:right="720"/>
              <w:rPr>
                <w:rFonts w:asciiTheme="minorHAnsi" w:hAnsiTheme="minorHAnsi"/>
                <w:b/>
                <w:bCs/>
                <w:sz w:val="22"/>
                <w:szCs w:val="22"/>
                <w:lang w:bidi="ar-AE"/>
              </w:rPr>
            </w:pPr>
            <w:r>
              <w:rPr>
                <w:rFonts w:asciiTheme="minorHAnsi" w:hAnsiTheme="minorHAnsi"/>
                <w:b/>
                <w:bCs/>
                <w:sz w:val="22"/>
                <w:szCs w:val="22"/>
                <w:lang w:bidi="ar-AE"/>
              </w:rPr>
              <w:t>855-823 CE:</w:t>
            </w:r>
          </w:p>
          <w:p w:rsidR="00D5582C" w:rsidRDefault="00D5582C" w:rsidP="008D6268">
            <w:pPr>
              <w:pStyle w:val="NormalWeb"/>
              <w:spacing w:before="0" w:beforeAutospacing="0" w:after="0" w:afterAutospacing="0"/>
              <w:ind w:left="450" w:right="720" w:hanging="450"/>
              <w:rPr>
                <w:rFonts w:asciiTheme="minorHAnsi" w:hAnsiTheme="minorHAnsi"/>
                <w:sz w:val="22"/>
                <w:szCs w:val="22"/>
                <w:lang w:bidi="ar-AE"/>
              </w:rPr>
            </w:pPr>
            <w:r>
              <w:rPr>
                <w:rFonts w:asciiTheme="minorHAnsi" w:hAnsiTheme="minorHAnsi"/>
                <w:sz w:val="22"/>
                <w:szCs w:val="22"/>
                <w:lang w:bidi="ar-AE"/>
              </w:rPr>
              <w:t>al-Zajj</w:t>
            </w:r>
            <w:r>
              <w:rPr>
                <w:rFonts w:ascii="Calibri" w:hAnsi="Calibri"/>
                <w:sz w:val="22"/>
                <w:szCs w:val="22"/>
                <w:lang w:bidi="ar-AE"/>
              </w:rPr>
              <w:t>ā</w:t>
            </w:r>
            <w:r>
              <w:rPr>
                <w:rFonts w:asciiTheme="minorHAnsi" w:hAnsiTheme="minorHAnsi"/>
                <w:sz w:val="22"/>
                <w:szCs w:val="22"/>
                <w:lang w:bidi="ar-AE"/>
              </w:rPr>
              <w:t>j, ab</w:t>
            </w:r>
            <w:r>
              <w:rPr>
                <w:rFonts w:ascii="Calibri" w:hAnsi="Calibri"/>
                <w:sz w:val="22"/>
                <w:szCs w:val="22"/>
                <w:lang w:bidi="ar-AE"/>
              </w:rPr>
              <w:t>ū</w:t>
            </w:r>
            <w:r>
              <w:rPr>
                <w:rFonts w:asciiTheme="minorHAnsi" w:hAnsiTheme="minorHAnsi"/>
                <w:sz w:val="22"/>
                <w:szCs w:val="22"/>
                <w:lang w:bidi="ar-AE"/>
              </w:rPr>
              <w:t xml:space="preserve"> Is</w:t>
            </w:r>
            <w:r>
              <w:rPr>
                <w:rFonts w:ascii="Calibri" w:hAnsi="Calibri"/>
                <w:sz w:val="22"/>
                <w:szCs w:val="22"/>
                <w:lang w:bidi="ar-AE"/>
              </w:rPr>
              <w:t>ḥ</w:t>
            </w:r>
            <w:r>
              <w:rPr>
                <w:rFonts w:asciiTheme="minorHAnsi" w:hAnsiTheme="minorHAnsi"/>
                <w:sz w:val="22"/>
                <w:szCs w:val="22"/>
                <w:lang w:bidi="ar-AE"/>
              </w:rPr>
              <w:t>āq Ibr</w:t>
            </w:r>
            <w:r>
              <w:rPr>
                <w:rFonts w:ascii="Calibri" w:hAnsi="Calibri"/>
                <w:sz w:val="22"/>
                <w:szCs w:val="22"/>
                <w:lang w:bidi="ar-AE"/>
              </w:rPr>
              <w:t>ā</w:t>
            </w:r>
            <w:r>
              <w:rPr>
                <w:rFonts w:asciiTheme="minorHAnsi" w:hAnsiTheme="minorHAnsi"/>
                <w:sz w:val="22"/>
                <w:szCs w:val="22"/>
                <w:lang w:bidi="ar-AE"/>
              </w:rPr>
              <w:t>h</w:t>
            </w:r>
            <w:r>
              <w:rPr>
                <w:rFonts w:ascii="Calibri" w:hAnsi="Calibri"/>
                <w:sz w:val="22"/>
                <w:szCs w:val="22"/>
                <w:lang w:bidi="ar-AE"/>
              </w:rPr>
              <w:t>ī</w:t>
            </w:r>
            <w:r>
              <w:rPr>
                <w:rFonts w:asciiTheme="minorHAnsi" w:hAnsiTheme="minorHAnsi"/>
                <w:sz w:val="22"/>
                <w:szCs w:val="22"/>
                <w:lang w:bidi="ar-AE"/>
              </w:rPr>
              <w:t>m b. al-Sar</w:t>
            </w:r>
            <w:r>
              <w:rPr>
                <w:rFonts w:ascii="Calibri" w:hAnsi="Calibri"/>
                <w:sz w:val="22"/>
                <w:szCs w:val="22"/>
                <w:lang w:bidi="ar-AE"/>
              </w:rPr>
              <w:t>ī</w:t>
            </w:r>
            <w:r>
              <w:rPr>
                <w:rFonts w:asciiTheme="minorHAnsi" w:hAnsiTheme="minorHAnsi"/>
                <w:sz w:val="22"/>
                <w:szCs w:val="22"/>
                <w:lang w:bidi="ar-AE"/>
              </w:rPr>
              <w:t xml:space="preserve"> b. Sahl, </w:t>
            </w:r>
            <w:r w:rsidRPr="009F59AF">
              <w:rPr>
                <w:rFonts w:asciiTheme="minorHAnsi" w:hAnsiTheme="minorHAnsi"/>
                <w:i/>
                <w:iCs/>
                <w:sz w:val="22"/>
                <w:szCs w:val="22"/>
                <w:lang w:bidi="ar-AE"/>
              </w:rPr>
              <w:t>Ma'</w:t>
            </w:r>
            <w:r w:rsidRPr="009F59AF">
              <w:rPr>
                <w:rFonts w:ascii="Calibri" w:hAnsi="Calibri"/>
                <w:i/>
                <w:iCs/>
                <w:sz w:val="22"/>
                <w:szCs w:val="22"/>
                <w:lang w:bidi="ar-AE"/>
              </w:rPr>
              <w:t>ā</w:t>
            </w:r>
            <w:r w:rsidRPr="009F59AF">
              <w:rPr>
                <w:rFonts w:asciiTheme="minorHAnsi" w:hAnsiTheme="minorHAnsi"/>
                <w:i/>
                <w:iCs/>
                <w:sz w:val="22"/>
                <w:szCs w:val="22"/>
                <w:lang w:bidi="ar-AE"/>
              </w:rPr>
              <w:t>n</w:t>
            </w:r>
            <w:r w:rsidRPr="009F59AF">
              <w:rPr>
                <w:rFonts w:ascii="Calibri" w:hAnsi="Calibri"/>
                <w:i/>
                <w:iCs/>
                <w:sz w:val="22"/>
                <w:szCs w:val="22"/>
                <w:lang w:bidi="ar-AE"/>
              </w:rPr>
              <w:t>ī</w:t>
            </w:r>
            <w:r w:rsidRPr="009F59AF">
              <w:rPr>
                <w:rFonts w:asciiTheme="minorHAnsi" w:hAnsiTheme="minorHAnsi"/>
                <w:i/>
                <w:iCs/>
                <w:sz w:val="22"/>
                <w:szCs w:val="22"/>
                <w:lang w:bidi="ar-AE"/>
              </w:rPr>
              <w:t xml:space="preserve"> al-Qur'</w:t>
            </w:r>
            <w:r w:rsidRPr="009F59AF">
              <w:rPr>
                <w:rFonts w:ascii="Calibri" w:hAnsi="Calibri"/>
                <w:i/>
                <w:iCs/>
                <w:sz w:val="22"/>
                <w:szCs w:val="22"/>
                <w:lang w:bidi="ar-AE"/>
              </w:rPr>
              <w:t>ā</w:t>
            </w:r>
            <w:r w:rsidRPr="009F59AF">
              <w:rPr>
                <w:rFonts w:asciiTheme="minorHAnsi" w:hAnsiTheme="minorHAnsi"/>
                <w:i/>
                <w:iCs/>
                <w:sz w:val="22"/>
                <w:szCs w:val="22"/>
                <w:lang w:bidi="ar-AE"/>
              </w:rPr>
              <w:t>n wa I'r</w:t>
            </w:r>
            <w:r w:rsidRPr="009F59AF">
              <w:rPr>
                <w:rFonts w:ascii="Calibri" w:hAnsi="Calibri"/>
                <w:i/>
                <w:iCs/>
                <w:sz w:val="22"/>
                <w:szCs w:val="22"/>
                <w:lang w:bidi="ar-AE"/>
              </w:rPr>
              <w:t>ā</w:t>
            </w:r>
            <w:r w:rsidRPr="009F59AF">
              <w:rPr>
                <w:rFonts w:asciiTheme="minorHAnsi" w:hAnsiTheme="minorHAnsi"/>
                <w:i/>
                <w:iCs/>
                <w:sz w:val="22"/>
                <w:szCs w:val="22"/>
                <w:lang w:bidi="ar-AE"/>
              </w:rPr>
              <w:t>bih</w:t>
            </w:r>
            <w:r>
              <w:rPr>
                <w:rFonts w:asciiTheme="minorHAnsi" w:hAnsiTheme="minorHAnsi"/>
                <w:sz w:val="22"/>
                <w:szCs w:val="22"/>
                <w:lang w:bidi="ar-AE"/>
              </w:rPr>
              <w:t xml:space="preserve">  or </w:t>
            </w:r>
            <w:r w:rsidRPr="004755A3">
              <w:rPr>
                <w:rFonts w:asciiTheme="minorHAnsi" w:hAnsiTheme="minorHAnsi"/>
                <w:i/>
                <w:iCs/>
                <w:sz w:val="22"/>
                <w:szCs w:val="22"/>
                <w:lang w:bidi="ar-AE"/>
              </w:rPr>
              <w:t>The Meanings of the Qur'</w:t>
            </w:r>
            <w:r w:rsidRPr="004755A3">
              <w:rPr>
                <w:rFonts w:ascii="Calibri" w:hAnsi="Calibri"/>
                <w:i/>
                <w:iCs/>
                <w:sz w:val="22"/>
                <w:szCs w:val="22"/>
                <w:lang w:bidi="ar-AE"/>
              </w:rPr>
              <w:t>ā</w:t>
            </w:r>
            <w:r w:rsidRPr="004755A3">
              <w:rPr>
                <w:rFonts w:asciiTheme="minorHAnsi" w:hAnsiTheme="minorHAnsi"/>
                <w:i/>
                <w:iCs/>
                <w:sz w:val="22"/>
                <w:szCs w:val="22"/>
                <w:lang w:bidi="ar-AE"/>
              </w:rPr>
              <w:t>n and its Syntaxes</w:t>
            </w:r>
            <w:r>
              <w:rPr>
                <w:rFonts w:asciiTheme="minorHAnsi" w:hAnsiTheme="minorHAnsi"/>
                <w:sz w:val="22"/>
                <w:szCs w:val="22"/>
                <w:lang w:bidi="ar-AE"/>
              </w:rPr>
              <w:t xml:space="preserve"> (Beirut: '</w:t>
            </w:r>
            <w:r>
              <w:rPr>
                <w:rFonts w:ascii="Calibri" w:hAnsi="Calibri"/>
                <w:sz w:val="22"/>
                <w:szCs w:val="22"/>
                <w:lang w:bidi="ar-AE"/>
              </w:rPr>
              <w:t>Ā</w:t>
            </w:r>
            <w:r>
              <w:rPr>
                <w:rFonts w:asciiTheme="minorHAnsi" w:hAnsiTheme="minorHAnsi"/>
                <w:sz w:val="22"/>
                <w:szCs w:val="22"/>
                <w:lang w:bidi="ar-AE"/>
              </w:rPr>
              <w:t>lam al-Kutub, 1988)</w:t>
            </w:r>
          </w:p>
          <w:p w:rsidR="00D5582C" w:rsidRPr="004755A3" w:rsidRDefault="00D5582C" w:rsidP="008D6268">
            <w:pPr>
              <w:pStyle w:val="NormalWeb"/>
              <w:spacing w:before="0" w:beforeAutospacing="0" w:after="0" w:afterAutospacing="0"/>
              <w:ind w:right="720"/>
              <w:rPr>
                <w:rFonts w:asciiTheme="minorHAnsi" w:hAnsiTheme="minorHAnsi"/>
                <w:sz w:val="22"/>
                <w:szCs w:val="22"/>
                <w:lang w:bidi="ar-AE"/>
              </w:rPr>
            </w:pPr>
          </w:p>
          <w:p w:rsidR="00D5582C" w:rsidRDefault="00D5582C" w:rsidP="008D6268">
            <w:pPr>
              <w:pStyle w:val="NormalWeb"/>
              <w:spacing w:before="0" w:beforeAutospacing="0" w:after="0" w:afterAutospacing="0"/>
              <w:ind w:right="720"/>
              <w:rPr>
                <w:rFonts w:asciiTheme="minorHAnsi" w:hAnsiTheme="minorHAnsi"/>
                <w:b/>
                <w:bCs/>
                <w:sz w:val="22"/>
                <w:szCs w:val="22"/>
                <w:lang w:bidi="ar-AE"/>
              </w:rPr>
            </w:pPr>
            <w:r>
              <w:rPr>
                <w:rFonts w:asciiTheme="minorHAnsi" w:hAnsiTheme="minorHAnsi"/>
                <w:b/>
                <w:bCs/>
                <w:sz w:val="22"/>
                <w:szCs w:val="22"/>
                <w:lang w:bidi="ar-AE"/>
              </w:rPr>
              <w:t>895-980 CE:</w:t>
            </w:r>
          </w:p>
          <w:p w:rsidR="00D5582C" w:rsidRPr="00564348" w:rsidRDefault="00D5582C" w:rsidP="008D6268">
            <w:pPr>
              <w:pStyle w:val="NormalWeb"/>
              <w:spacing w:before="0" w:beforeAutospacing="0" w:after="240" w:afterAutospacing="0"/>
              <w:ind w:left="450" w:right="720" w:hanging="450"/>
              <w:rPr>
                <w:rFonts w:asciiTheme="minorHAnsi" w:hAnsiTheme="minorHAnsi"/>
                <w:sz w:val="22"/>
                <w:szCs w:val="22"/>
                <w:rtl/>
                <w:lang w:bidi="ar-AE"/>
              </w:rPr>
            </w:pPr>
            <w:r>
              <w:rPr>
                <w:rFonts w:asciiTheme="minorHAnsi" w:hAnsiTheme="minorHAnsi"/>
                <w:sz w:val="22"/>
                <w:szCs w:val="22"/>
                <w:lang w:bidi="ar-AE"/>
              </w:rPr>
              <w:t>al-Azhar</w:t>
            </w:r>
            <w:r>
              <w:rPr>
                <w:rFonts w:ascii="Calibri" w:hAnsi="Calibri"/>
                <w:sz w:val="22"/>
                <w:szCs w:val="22"/>
                <w:lang w:bidi="ar-AE"/>
              </w:rPr>
              <w:t>ī</w:t>
            </w:r>
            <w:r>
              <w:rPr>
                <w:rFonts w:asciiTheme="minorHAnsi" w:hAnsiTheme="minorHAnsi"/>
                <w:sz w:val="22"/>
                <w:szCs w:val="22"/>
                <w:lang w:bidi="ar-AE"/>
              </w:rPr>
              <w:t>, Mu</w:t>
            </w:r>
            <w:r>
              <w:rPr>
                <w:rFonts w:ascii="Calibri" w:hAnsi="Calibri"/>
                <w:sz w:val="22"/>
                <w:szCs w:val="22"/>
                <w:lang w:bidi="ar-AE"/>
              </w:rPr>
              <w:t>ḥ</w:t>
            </w:r>
            <w:r>
              <w:rPr>
                <w:rFonts w:asciiTheme="minorHAnsi" w:hAnsiTheme="minorHAnsi"/>
                <w:sz w:val="22"/>
                <w:szCs w:val="22"/>
                <w:lang w:bidi="ar-AE"/>
              </w:rPr>
              <w:t>ammad b. A</w:t>
            </w:r>
            <w:r>
              <w:rPr>
                <w:rFonts w:ascii="Calibri" w:hAnsi="Calibri"/>
                <w:sz w:val="22"/>
                <w:szCs w:val="22"/>
                <w:lang w:bidi="ar-AE"/>
              </w:rPr>
              <w:t>ḥ</w:t>
            </w:r>
            <w:r>
              <w:rPr>
                <w:rFonts w:asciiTheme="minorHAnsi" w:hAnsiTheme="minorHAnsi"/>
                <w:sz w:val="22"/>
                <w:szCs w:val="22"/>
                <w:lang w:bidi="ar-AE"/>
              </w:rPr>
              <w:t xml:space="preserve">mad, </w:t>
            </w:r>
            <w:r w:rsidRPr="00B151BE">
              <w:rPr>
                <w:rFonts w:asciiTheme="minorHAnsi" w:hAnsiTheme="minorHAnsi"/>
                <w:i/>
                <w:iCs/>
                <w:sz w:val="22"/>
                <w:szCs w:val="22"/>
                <w:lang w:bidi="ar-AE"/>
              </w:rPr>
              <w:t>Tahth</w:t>
            </w:r>
            <w:r w:rsidRPr="00B151BE">
              <w:rPr>
                <w:rFonts w:ascii="Calibri" w:hAnsi="Calibri"/>
                <w:i/>
                <w:iCs/>
                <w:sz w:val="22"/>
                <w:szCs w:val="22"/>
                <w:lang w:bidi="ar-AE"/>
              </w:rPr>
              <w:t>ī</w:t>
            </w:r>
            <w:r w:rsidRPr="00B151BE">
              <w:rPr>
                <w:rFonts w:asciiTheme="minorHAnsi" w:hAnsiTheme="minorHAnsi"/>
                <w:i/>
                <w:iCs/>
                <w:sz w:val="22"/>
                <w:szCs w:val="22"/>
                <w:lang w:bidi="ar-AE"/>
              </w:rPr>
              <w:t>b al-Loghah</w:t>
            </w:r>
            <w:r>
              <w:rPr>
                <w:rFonts w:asciiTheme="minorHAnsi" w:hAnsiTheme="minorHAnsi"/>
                <w:sz w:val="22"/>
                <w:szCs w:val="22"/>
                <w:lang w:bidi="ar-AE"/>
              </w:rPr>
              <w:t xml:space="preserve"> or </w:t>
            </w:r>
            <w:r w:rsidRPr="00986C15">
              <w:rPr>
                <w:rFonts w:asciiTheme="minorHAnsi" w:hAnsiTheme="minorHAnsi"/>
                <w:i/>
                <w:iCs/>
                <w:sz w:val="22"/>
                <w:szCs w:val="22"/>
                <w:lang w:bidi="ar-AE"/>
              </w:rPr>
              <w:t xml:space="preserve">The Refinement </w:t>
            </w:r>
            <w:r>
              <w:rPr>
                <w:rFonts w:asciiTheme="minorHAnsi" w:hAnsiTheme="minorHAnsi"/>
                <w:i/>
                <w:iCs/>
                <w:sz w:val="22"/>
                <w:szCs w:val="22"/>
                <w:lang w:bidi="ar-AE"/>
              </w:rPr>
              <w:t xml:space="preserve">of the </w:t>
            </w:r>
            <w:r w:rsidRPr="00986C15">
              <w:rPr>
                <w:rFonts w:asciiTheme="minorHAnsi" w:hAnsiTheme="minorHAnsi"/>
                <w:i/>
                <w:iCs/>
                <w:sz w:val="22"/>
                <w:szCs w:val="22"/>
                <w:lang w:bidi="ar-AE"/>
              </w:rPr>
              <w:lastRenderedPageBreak/>
              <w:t>Language</w:t>
            </w:r>
            <w:r>
              <w:rPr>
                <w:rFonts w:asciiTheme="minorHAnsi" w:hAnsiTheme="minorHAnsi"/>
                <w:sz w:val="22"/>
                <w:szCs w:val="22"/>
                <w:lang w:bidi="ar-AE"/>
              </w:rPr>
              <w:t xml:space="preserve"> (Beirut: D</w:t>
            </w:r>
            <w:r>
              <w:rPr>
                <w:rFonts w:ascii="Calibri" w:hAnsi="Calibri"/>
                <w:sz w:val="22"/>
                <w:szCs w:val="22"/>
                <w:lang w:bidi="ar-AE"/>
              </w:rPr>
              <w:t>ā</w:t>
            </w:r>
            <w:r>
              <w:rPr>
                <w:rFonts w:asciiTheme="minorHAnsi" w:hAnsiTheme="minorHAnsi"/>
                <w:sz w:val="22"/>
                <w:szCs w:val="22"/>
                <w:lang w:bidi="ar-AE"/>
              </w:rPr>
              <w:t>r Ihy</w:t>
            </w:r>
            <w:r>
              <w:rPr>
                <w:rFonts w:ascii="Calibri" w:hAnsi="Calibri"/>
                <w:sz w:val="22"/>
                <w:szCs w:val="22"/>
                <w:lang w:bidi="ar-AE"/>
              </w:rPr>
              <w:t>ā</w:t>
            </w:r>
            <w:r>
              <w:rPr>
                <w:rFonts w:asciiTheme="minorHAnsi" w:hAnsiTheme="minorHAnsi"/>
                <w:sz w:val="22"/>
                <w:szCs w:val="22"/>
                <w:lang w:bidi="ar-AE"/>
              </w:rPr>
              <w:t>’ al-Tur</w:t>
            </w:r>
            <w:r>
              <w:rPr>
                <w:rFonts w:ascii="Calibri" w:hAnsi="Calibri"/>
                <w:sz w:val="22"/>
                <w:szCs w:val="22"/>
                <w:lang w:bidi="ar-AE"/>
              </w:rPr>
              <w:t>ā</w:t>
            </w:r>
            <w:r>
              <w:rPr>
                <w:rFonts w:asciiTheme="minorHAnsi" w:hAnsiTheme="minorHAnsi"/>
                <w:sz w:val="22"/>
                <w:szCs w:val="22"/>
                <w:lang w:bidi="ar-AE"/>
              </w:rPr>
              <w:t>th al-‘Arab</w:t>
            </w:r>
            <w:r>
              <w:rPr>
                <w:rFonts w:ascii="Calibri" w:hAnsi="Calibri"/>
                <w:sz w:val="22"/>
                <w:szCs w:val="22"/>
                <w:lang w:bidi="ar-AE"/>
              </w:rPr>
              <w:t>ī</w:t>
            </w:r>
            <w:r>
              <w:rPr>
                <w:rFonts w:asciiTheme="minorHAnsi" w:hAnsiTheme="minorHAnsi"/>
                <w:sz w:val="22"/>
                <w:szCs w:val="22"/>
                <w:lang w:bidi="ar-AE"/>
              </w:rPr>
              <w:t>, 2001)</w:t>
            </w:r>
          </w:p>
          <w:p w:rsidR="00D5582C" w:rsidRPr="00212C02" w:rsidRDefault="00D5582C" w:rsidP="008D6268">
            <w:pPr>
              <w:pStyle w:val="NormalWeb"/>
              <w:spacing w:before="0" w:beforeAutospacing="0" w:after="0" w:afterAutospacing="0"/>
              <w:ind w:right="720"/>
              <w:rPr>
                <w:rFonts w:asciiTheme="minorHAnsi" w:hAnsiTheme="minorHAnsi"/>
                <w:sz w:val="22"/>
                <w:szCs w:val="22"/>
                <w:lang w:bidi="ar-AE"/>
              </w:rPr>
            </w:pPr>
            <w:r>
              <w:rPr>
                <w:rFonts w:asciiTheme="minorHAnsi" w:hAnsiTheme="minorHAnsi"/>
                <w:b/>
                <w:bCs/>
                <w:sz w:val="22"/>
                <w:szCs w:val="22"/>
                <w:lang w:bidi="ar-AE"/>
              </w:rPr>
              <w:t>d.1003 CE:</w:t>
            </w:r>
          </w:p>
          <w:p w:rsidR="00D5582C" w:rsidRDefault="00D5582C" w:rsidP="008D6268">
            <w:pPr>
              <w:pStyle w:val="NormalWeb"/>
              <w:spacing w:before="0" w:beforeAutospacing="0" w:after="240" w:afterAutospacing="0"/>
              <w:ind w:left="450" w:right="720" w:hanging="450"/>
              <w:rPr>
                <w:rFonts w:asciiTheme="minorHAnsi" w:hAnsiTheme="minorHAnsi"/>
                <w:sz w:val="22"/>
                <w:szCs w:val="22"/>
                <w:lang w:bidi="ar-AE"/>
              </w:rPr>
            </w:pPr>
            <w:r>
              <w:rPr>
                <w:rFonts w:asciiTheme="minorHAnsi" w:hAnsiTheme="minorHAnsi"/>
                <w:sz w:val="22"/>
                <w:szCs w:val="22"/>
                <w:lang w:bidi="ar-AE"/>
              </w:rPr>
              <w:t>al-Jawhar</w:t>
            </w:r>
            <w:r>
              <w:rPr>
                <w:rFonts w:ascii="Calibri" w:hAnsi="Calibri"/>
                <w:sz w:val="22"/>
                <w:szCs w:val="22"/>
                <w:lang w:bidi="ar-AE"/>
              </w:rPr>
              <w:t>ī</w:t>
            </w:r>
            <w:r>
              <w:rPr>
                <w:rFonts w:asciiTheme="minorHAnsi" w:hAnsiTheme="minorHAnsi"/>
                <w:sz w:val="22"/>
                <w:szCs w:val="22"/>
                <w:lang w:bidi="ar-AE"/>
              </w:rPr>
              <w:t>, Ism</w:t>
            </w:r>
            <w:r>
              <w:rPr>
                <w:rFonts w:ascii="Calibri" w:hAnsi="Calibri"/>
                <w:sz w:val="22"/>
                <w:szCs w:val="22"/>
                <w:lang w:bidi="ar-AE"/>
              </w:rPr>
              <w:t>ā</w:t>
            </w:r>
            <w:r>
              <w:rPr>
                <w:rFonts w:asciiTheme="minorHAnsi" w:hAnsiTheme="minorHAnsi"/>
                <w:sz w:val="22"/>
                <w:szCs w:val="22"/>
                <w:lang w:bidi="ar-AE"/>
              </w:rPr>
              <w:t>’</w:t>
            </w:r>
            <w:r>
              <w:rPr>
                <w:rFonts w:ascii="Calibri" w:hAnsi="Calibri"/>
                <w:sz w:val="22"/>
                <w:szCs w:val="22"/>
                <w:lang w:bidi="ar-AE"/>
              </w:rPr>
              <w:t>ī</w:t>
            </w:r>
            <w:r>
              <w:rPr>
                <w:rFonts w:asciiTheme="minorHAnsi" w:hAnsiTheme="minorHAnsi"/>
                <w:sz w:val="22"/>
                <w:szCs w:val="22"/>
                <w:lang w:bidi="ar-AE"/>
              </w:rPr>
              <w:t>l b. Hamm</w:t>
            </w:r>
            <w:r>
              <w:rPr>
                <w:rFonts w:ascii="Calibri" w:hAnsi="Calibri"/>
                <w:sz w:val="22"/>
                <w:szCs w:val="22"/>
                <w:lang w:bidi="ar-AE"/>
              </w:rPr>
              <w:t>ā</w:t>
            </w:r>
            <w:r>
              <w:rPr>
                <w:rFonts w:asciiTheme="minorHAnsi" w:hAnsiTheme="minorHAnsi"/>
                <w:sz w:val="22"/>
                <w:szCs w:val="22"/>
                <w:lang w:bidi="ar-AE"/>
              </w:rPr>
              <w:t xml:space="preserve">d, </w:t>
            </w:r>
            <w:r w:rsidRPr="00F8159A">
              <w:rPr>
                <w:rFonts w:asciiTheme="minorHAnsi" w:hAnsiTheme="minorHAnsi"/>
                <w:i/>
                <w:iCs/>
                <w:sz w:val="22"/>
                <w:szCs w:val="22"/>
                <w:lang w:bidi="ar-AE"/>
              </w:rPr>
              <w:t>al-Si</w:t>
            </w:r>
            <w:r w:rsidRPr="00F8159A">
              <w:rPr>
                <w:rFonts w:ascii="Calibri" w:hAnsi="Calibri"/>
                <w:i/>
                <w:iCs/>
                <w:sz w:val="22"/>
                <w:szCs w:val="22"/>
                <w:lang w:bidi="ar-AE"/>
              </w:rPr>
              <w:t>ḥ</w:t>
            </w:r>
            <w:r w:rsidRPr="00F8159A">
              <w:rPr>
                <w:rFonts w:asciiTheme="minorHAnsi" w:hAnsiTheme="minorHAnsi"/>
                <w:i/>
                <w:iCs/>
                <w:sz w:val="22"/>
                <w:szCs w:val="22"/>
                <w:lang w:bidi="ar-AE"/>
              </w:rPr>
              <w:t>āh</w:t>
            </w:r>
            <w:r>
              <w:rPr>
                <w:rFonts w:asciiTheme="minorHAnsi" w:hAnsiTheme="minorHAnsi"/>
                <w:sz w:val="22"/>
                <w:szCs w:val="22"/>
                <w:lang w:bidi="ar-AE"/>
              </w:rPr>
              <w:t xml:space="preserve"> </w:t>
            </w:r>
            <w:r w:rsidRPr="00A54C8B">
              <w:rPr>
                <w:rFonts w:asciiTheme="minorHAnsi" w:hAnsiTheme="minorHAnsi"/>
                <w:i/>
                <w:iCs/>
                <w:sz w:val="22"/>
                <w:szCs w:val="22"/>
                <w:lang w:bidi="ar-AE"/>
              </w:rPr>
              <w:t>on the Perfect</w:t>
            </w:r>
            <w:r>
              <w:rPr>
                <w:rFonts w:asciiTheme="minorHAnsi" w:hAnsiTheme="minorHAnsi"/>
                <w:i/>
                <w:iCs/>
                <w:sz w:val="22"/>
                <w:szCs w:val="22"/>
                <w:lang w:bidi="ar-AE"/>
              </w:rPr>
              <w:t>ed</w:t>
            </w:r>
            <w:r w:rsidRPr="00A54C8B">
              <w:rPr>
                <w:rFonts w:asciiTheme="minorHAnsi" w:hAnsiTheme="minorHAnsi"/>
                <w:i/>
                <w:iCs/>
                <w:sz w:val="22"/>
                <w:szCs w:val="22"/>
                <w:lang w:bidi="ar-AE"/>
              </w:rPr>
              <w:t xml:space="preserve"> Arabic Language</w:t>
            </w:r>
            <w:r>
              <w:rPr>
                <w:rFonts w:asciiTheme="minorHAnsi" w:hAnsiTheme="minorHAnsi"/>
                <w:sz w:val="22"/>
                <w:szCs w:val="22"/>
                <w:lang w:bidi="ar-AE"/>
              </w:rPr>
              <w:t xml:space="preserve"> (Beirut: D</w:t>
            </w:r>
            <w:r>
              <w:rPr>
                <w:rFonts w:ascii="Calibri" w:hAnsi="Calibri"/>
                <w:sz w:val="22"/>
                <w:szCs w:val="22"/>
                <w:lang w:bidi="ar-AE"/>
              </w:rPr>
              <w:t>ā</w:t>
            </w:r>
            <w:r>
              <w:rPr>
                <w:rFonts w:asciiTheme="minorHAnsi" w:hAnsiTheme="minorHAnsi"/>
                <w:sz w:val="22"/>
                <w:szCs w:val="22"/>
                <w:lang w:bidi="ar-AE"/>
              </w:rPr>
              <w:t>r al-‘Ilm lil-Mal</w:t>
            </w:r>
            <w:r>
              <w:rPr>
                <w:rFonts w:ascii="Calibri" w:hAnsi="Calibri"/>
                <w:sz w:val="22"/>
                <w:szCs w:val="22"/>
                <w:lang w:bidi="ar-AE"/>
              </w:rPr>
              <w:t>ā</w:t>
            </w:r>
            <w:r>
              <w:rPr>
                <w:rFonts w:asciiTheme="minorHAnsi" w:hAnsiTheme="minorHAnsi"/>
                <w:sz w:val="22"/>
                <w:szCs w:val="22"/>
                <w:lang w:bidi="ar-AE"/>
              </w:rPr>
              <w:t>y</w:t>
            </w:r>
            <w:r>
              <w:rPr>
                <w:rFonts w:ascii="Calibri" w:hAnsi="Calibri"/>
                <w:sz w:val="22"/>
                <w:szCs w:val="22"/>
                <w:lang w:bidi="ar-AE"/>
              </w:rPr>
              <w:t>ī</w:t>
            </w:r>
            <w:r>
              <w:rPr>
                <w:rFonts w:asciiTheme="minorHAnsi" w:hAnsiTheme="minorHAnsi"/>
                <w:sz w:val="22"/>
                <w:szCs w:val="22"/>
                <w:lang w:bidi="ar-AE"/>
              </w:rPr>
              <w:t xml:space="preserve">n, 1987) </w:t>
            </w:r>
          </w:p>
          <w:p w:rsidR="00D5582C" w:rsidRPr="00A54C8B" w:rsidRDefault="00D5582C" w:rsidP="008D6268">
            <w:pPr>
              <w:pStyle w:val="NormalWeb"/>
              <w:spacing w:before="0" w:beforeAutospacing="0" w:after="0" w:afterAutospacing="0"/>
              <w:rPr>
                <w:rFonts w:asciiTheme="minorHAnsi" w:hAnsiTheme="minorHAnsi"/>
                <w:b/>
                <w:bCs/>
                <w:sz w:val="22"/>
                <w:szCs w:val="22"/>
                <w:lang w:bidi="ar-AE"/>
              </w:rPr>
            </w:pPr>
            <w:r w:rsidRPr="00A54C8B">
              <w:rPr>
                <w:rFonts w:asciiTheme="minorHAnsi" w:hAnsiTheme="minorHAnsi"/>
                <w:b/>
                <w:bCs/>
                <w:sz w:val="22"/>
                <w:szCs w:val="22"/>
                <w:lang w:bidi="ar-AE"/>
              </w:rPr>
              <w:t>1007-1066 CE:</w:t>
            </w:r>
          </w:p>
          <w:p w:rsidR="00D5582C" w:rsidRDefault="00D5582C" w:rsidP="008D6268">
            <w:pPr>
              <w:pStyle w:val="NormalWeb"/>
              <w:spacing w:before="0" w:beforeAutospacing="0" w:after="0" w:afterAutospacing="0"/>
              <w:ind w:left="450" w:hanging="450"/>
              <w:rPr>
                <w:rFonts w:asciiTheme="minorHAnsi" w:hAnsiTheme="minorHAnsi"/>
                <w:sz w:val="22"/>
                <w:szCs w:val="22"/>
                <w:rtl/>
                <w:lang w:bidi="ar-AE"/>
              </w:rPr>
            </w:pPr>
            <w:r>
              <w:rPr>
                <w:rFonts w:asciiTheme="minorHAnsi" w:hAnsiTheme="minorHAnsi"/>
                <w:sz w:val="22"/>
                <w:szCs w:val="22"/>
                <w:lang w:bidi="ar-AE"/>
              </w:rPr>
              <w:t>ibn</w:t>
            </w:r>
            <w:r w:rsidRPr="00E72EC7">
              <w:rPr>
                <w:rFonts w:asciiTheme="minorHAnsi" w:hAnsiTheme="minorHAnsi"/>
                <w:sz w:val="22"/>
                <w:szCs w:val="22"/>
                <w:lang w:bidi="ar-AE"/>
              </w:rPr>
              <w:t xml:space="preserve"> Sīdah</w:t>
            </w:r>
            <w:r>
              <w:rPr>
                <w:rFonts w:asciiTheme="minorHAnsi" w:hAnsiTheme="minorHAnsi"/>
                <w:sz w:val="22"/>
                <w:szCs w:val="22"/>
                <w:lang w:bidi="ar-AE"/>
              </w:rPr>
              <w:t>,</w:t>
            </w:r>
            <w:r w:rsidRPr="00E72EC7">
              <w:rPr>
                <w:rFonts w:asciiTheme="minorHAnsi" w:hAnsiTheme="minorHAnsi"/>
                <w:sz w:val="22"/>
                <w:szCs w:val="22"/>
                <w:lang w:bidi="ar-AE"/>
              </w:rPr>
              <w:t xml:space="preserve"> abū al-Hasan ‘Alī b. ‘Ismā’īl</w:t>
            </w:r>
            <w:r>
              <w:rPr>
                <w:rFonts w:asciiTheme="minorHAnsi" w:hAnsiTheme="minorHAnsi"/>
                <w:sz w:val="22"/>
                <w:szCs w:val="22"/>
                <w:lang w:bidi="ar-AE"/>
              </w:rPr>
              <w:t>,</w:t>
            </w:r>
            <w:r w:rsidRPr="00E72EC7">
              <w:rPr>
                <w:rFonts w:asciiTheme="minorHAnsi" w:hAnsiTheme="minorHAnsi"/>
                <w:sz w:val="22"/>
                <w:szCs w:val="22"/>
                <w:lang w:bidi="ar-AE"/>
              </w:rPr>
              <w:t xml:space="preserve"> </w:t>
            </w:r>
            <w:r w:rsidRPr="00E72EC7">
              <w:rPr>
                <w:rFonts w:asciiTheme="minorHAnsi" w:hAnsiTheme="minorHAnsi"/>
                <w:i/>
                <w:iCs/>
                <w:sz w:val="22"/>
                <w:szCs w:val="22"/>
                <w:lang w:bidi="ar-AE"/>
              </w:rPr>
              <w:t>al-Mukha</w:t>
            </w:r>
            <w:r w:rsidRPr="00E72EC7">
              <w:rPr>
                <w:rFonts w:ascii="Arial" w:hAnsi="Arial" w:cs="Arial"/>
                <w:i/>
                <w:iCs/>
                <w:sz w:val="22"/>
                <w:szCs w:val="22"/>
                <w:lang w:bidi="ar-AE"/>
              </w:rPr>
              <w:t>ṣ</w:t>
            </w:r>
            <w:r w:rsidRPr="00E72EC7">
              <w:rPr>
                <w:rFonts w:asciiTheme="minorHAnsi" w:hAnsiTheme="minorHAnsi"/>
                <w:i/>
                <w:iCs/>
                <w:sz w:val="22"/>
                <w:szCs w:val="22"/>
                <w:lang w:bidi="ar-AE"/>
              </w:rPr>
              <w:t>as on Arabic Philology</w:t>
            </w:r>
            <w:r>
              <w:rPr>
                <w:rFonts w:asciiTheme="minorHAnsi" w:hAnsiTheme="minorHAnsi" w:hint="cs"/>
                <w:sz w:val="22"/>
                <w:szCs w:val="22"/>
                <w:rtl/>
                <w:lang w:bidi="ar-AE"/>
              </w:rPr>
              <w:t xml:space="preserve"> </w:t>
            </w:r>
            <w:r>
              <w:rPr>
                <w:rFonts w:asciiTheme="minorHAnsi" w:hAnsiTheme="minorHAnsi"/>
                <w:sz w:val="22"/>
                <w:szCs w:val="22"/>
                <w:lang w:bidi="ar-AE"/>
              </w:rPr>
              <w:t>(</w:t>
            </w:r>
            <w:r w:rsidRPr="00E72EC7">
              <w:rPr>
                <w:rFonts w:asciiTheme="minorHAnsi" w:hAnsiTheme="minorHAnsi"/>
                <w:sz w:val="22"/>
                <w:szCs w:val="22"/>
                <w:lang w:bidi="ar-AE"/>
              </w:rPr>
              <w:t>Beirut: Dār Ihyā’ al-Turāth al-‘Arabī, 1996</w:t>
            </w:r>
            <w:r>
              <w:rPr>
                <w:rFonts w:asciiTheme="minorHAnsi" w:hAnsiTheme="minorHAnsi"/>
                <w:sz w:val="22"/>
                <w:szCs w:val="22"/>
                <w:lang w:bidi="ar-AE"/>
              </w:rPr>
              <w:t>)</w:t>
            </w:r>
          </w:p>
          <w:p w:rsidR="00D5582C" w:rsidRDefault="00D5582C" w:rsidP="008D6268">
            <w:pPr>
              <w:pStyle w:val="FootnoteText"/>
              <w:bidi/>
              <w:rPr>
                <w:b/>
                <w:bCs/>
                <w:sz w:val="22"/>
                <w:szCs w:val="22"/>
                <w:rtl/>
              </w:rPr>
            </w:pPr>
          </w:p>
          <w:p w:rsidR="00D5582C" w:rsidRPr="00A54C8B" w:rsidRDefault="00D5582C" w:rsidP="008D6268">
            <w:pPr>
              <w:pStyle w:val="NormalWeb"/>
              <w:spacing w:before="0" w:beforeAutospacing="0" w:after="0" w:afterAutospacing="0"/>
              <w:ind w:left="450" w:hanging="450"/>
              <w:rPr>
                <w:rFonts w:asciiTheme="minorHAnsi" w:hAnsiTheme="minorHAnsi"/>
                <w:b/>
                <w:bCs/>
                <w:sz w:val="22"/>
                <w:szCs w:val="22"/>
              </w:rPr>
            </w:pPr>
            <w:r w:rsidRPr="00A54C8B">
              <w:rPr>
                <w:rFonts w:asciiTheme="minorHAnsi" w:hAnsiTheme="minorHAnsi"/>
                <w:b/>
                <w:bCs/>
                <w:sz w:val="22"/>
                <w:szCs w:val="22"/>
              </w:rPr>
              <w:t>1232-1311 CE:</w:t>
            </w:r>
          </w:p>
          <w:p w:rsidR="00D5582C" w:rsidRPr="009F7091" w:rsidRDefault="00D5582C" w:rsidP="008D6268">
            <w:pPr>
              <w:pStyle w:val="NormalWeb"/>
              <w:spacing w:before="0" w:beforeAutospacing="0"/>
              <w:ind w:left="450" w:hanging="450"/>
              <w:rPr>
                <w:rFonts w:asciiTheme="minorHAnsi" w:hAnsiTheme="minorHAnsi"/>
                <w:sz w:val="22"/>
                <w:szCs w:val="22"/>
                <w:rtl/>
              </w:rPr>
            </w:pPr>
            <w:r>
              <w:rPr>
                <w:rFonts w:asciiTheme="minorHAnsi" w:hAnsiTheme="minorHAnsi"/>
                <w:sz w:val="22"/>
                <w:szCs w:val="22"/>
              </w:rPr>
              <w:t>ibn</w:t>
            </w:r>
            <w:r w:rsidRPr="007314F1">
              <w:rPr>
                <w:rFonts w:asciiTheme="minorHAnsi" w:hAnsiTheme="minorHAnsi"/>
                <w:sz w:val="22"/>
                <w:szCs w:val="22"/>
              </w:rPr>
              <w:t xml:space="preserve"> Man</w:t>
            </w:r>
            <w:r w:rsidRPr="007314F1">
              <w:rPr>
                <w:rFonts w:ascii="Arial" w:hAnsi="Arial" w:cs="Arial"/>
                <w:sz w:val="22"/>
                <w:szCs w:val="22"/>
              </w:rPr>
              <w:t>ẓ</w:t>
            </w:r>
            <w:r w:rsidRPr="007314F1">
              <w:rPr>
                <w:rFonts w:ascii="Candara" w:hAnsi="Candara" w:cs="Candara"/>
                <w:sz w:val="22"/>
                <w:szCs w:val="22"/>
              </w:rPr>
              <w:t>ū</w:t>
            </w:r>
            <w:r w:rsidRPr="007314F1">
              <w:rPr>
                <w:rFonts w:asciiTheme="minorHAnsi" w:hAnsiTheme="minorHAnsi"/>
                <w:sz w:val="22"/>
                <w:szCs w:val="22"/>
              </w:rPr>
              <w:t>r, Ab</w:t>
            </w:r>
            <w:r w:rsidRPr="007314F1">
              <w:rPr>
                <w:rFonts w:ascii="Candara" w:hAnsi="Candara" w:cs="Candara"/>
                <w:sz w:val="22"/>
                <w:szCs w:val="22"/>
              </w:rPr>
              <w:t>ū</w:t>
            </w:r>
            <w:r w:rsidRPr="007314F1">
              <w:rPr>
                <w:rFonts w:asciiTheme="minorHAnsi" w:hAnsiTheme="minorHAnsi"/>
                <w:sz w:val="22"/>
                <w:szCs w:val="22"/>
              </w:rPr>
              <w:t xml:space="preserve"> al-Fadl Jam</w:t>
            </w:r>
            <w:r w:rsidRPr="007314F1">
              <w:rPr>
                <w:rFonts w:ascii="Candara" w:hAnsi="Candara" w:cs="Candara"/>
                <w:sz w:val="22"/>
                <w:szCs w:val="22"/>
              </w:rPr>
              <w:t>ā</w:t>
            </w:r>
            <w:r w:rsidRPr="007314F1">
              <w:rPr>
                <w:rFonts w:asciiTheme="minorHAnsi" w:hAnsiTheme="minorHAnsi"/>
                <w:sz w:val="22"/>
                <w:szCs w:val="22"/>
              </w:rPr>
              <w:t>l</w:t>
            </w:r>
            <w:r>
              <w:rPr>
                <w:rFonts w:asciiTheme="minorHAnsi" w:hAnsiTheme="minorHAnsi"/>
                <w:sz w:val="22"/>
                <w:szCs w:val="22"/>
              </w:rPr>
              <w:t xml:space="preserve"> al-Dīn Muhammad b. Mukarram, </w:t>
            </w:r>
            <w:r>
              <w:rPr>
                <w:rFonts w:asciiTheme="minorHAnsi" w:hAnsiTheme="minorHAnsi"/>
                <w:i/>
                <w:sz w:val="22"/>
                <w:szCs w:val="22"/>
              </w:rPr>
              <w:t>The Arabic Tongue</w:t>
            </w:r>
            <w:r>
              <w:rPr>
                <w:rFonts w:asciiTheme="minorHAnsi" w:hAnsiTheme="minorHAnsi"/>
                <w:sz w:val="22"/>
                <w:szCs w:val="22"/>
              </w:rPr>
              <w:t xml:space="preserve"> (Beirut: Dār Sāder, 1994)</w:t>
            </w:r>
          </w:p>
          <w:p w:rsidR="00D5582C" w:rsidRPr="009F7091" w:rsidRDefault="00D5582C" w:rsidP="008D6268">
            <w:pPr>
              <w:pStyle w:val="NormalWeb"/>
              <w:spacing w:before="0" w:beforeAutospacing="0" w:after="0" w:afterAutospacing="0"/>
              <w:ind w:left="450" w:hanging="450"/>
              <w:rPr>
                <w:rFonts w:asciiTheme="minorHAnsi" w:hAnsiTheme="minorHAnsi"/>
                <w:b/>
                <w:bCs/>
                <w:sz w:val="22"/>
                <w:szCs w:val="22"/>
                <w:lang w:bidi="ar-AE"/>
              </w:rPr>
            </w:pPr>
            <w:r w:rsidRPr="009F7091">
              <w:rPr>
                <w:rFonts w:asciiTheme="minorHAnsi" w:hAnsiTheme="minorHAnsi"/>
                <w:b/>
                <w:bCs/>
                <w:sz w:val="22"/>
                <w:szCs w:val="22"/>
                <w:lang w:bidi="ar-AE"/>
              </w:rPr>
              <w:t xml:space="preserve">c. 1268-1332 CE: </w:t>
            </w:r>
          </w:p>
          <w:p w:rsidR="00D5582C" w:rsidRDefault="00D5582C" w:rsidP="008D6268">
            <w:pPr>
              <w:pStyle w:val="NormalWeb"/>
              <w:spacing w:before="0" w:beforeAutospacing="0"/>
              <w:ind w:left="450" w:hanging="450"/>
              <w:rPr>
                <w:rFonts w:asciiTheme="minorHAnsi" w:hAnsiTheme="minorHAnsi"/>
                <w:sz w:val="22"/>
                <w:szCs w:val="22"/>
                <w:rtl/>
                <w:lang w:bidi="ar-AE"/>
              </w:rPr>
            </w:pPr>
            <w:r>
              <w:rPr>
                <w:rFonts w:asciiTheme="minorHAnsi" w:hAnsiTheme="minorHAnsi"/>
                <w:sz w:val="22"/>
                <w:szCs w:val="22"/>
                <w:lang w:bidi="ar-AE"/>
              </w:rPr>
              <w:t>al-Nuwa</w:t>
            </w:r>
            <w:r>
              <w:rPr>
                <w:rFonts w:ascii="Calibri" w:hAnsi="Calibri"/>
                <w:sz w:val="22"/>
                <w:szCs w:val="22"/>
                <w:lang w:bidi="ar-AE"/>
              </w:rPr>
              <w:t>ī</w:t>
            </w:r>
            <w:r>
              <w:rPr>
                <w:rFonts w:asciiTheme="minorHAnsi" w:hAnsiTheme="minorHAnsi"/>
                <w:sz w:val="22"/>
                <w:szCs w:val="22"/>
                <w:lang w:bidi="ar-AE"/>
              </w:rPr>
              <w:t>r</w:t>
            </w:r>
            <w:r>
              <w:rPr>
                <w:rFonts w:ascii="Calibri" w:hAnsi="Calibri"/>
                <w:sz w:val="22"/>
                <w:szCs w:val="22"/>
                <w:lang w:bidi="ar-AE"/>
              </w:rPr>
              <w:t>ī</w:t>
            </w:r>
            <w:r>
              <w:rPr>
                <w:rFonts w:asciiTheme="minorHAnsi" w:hAnsiTheme="minorHAnsi"/>
                <w:sz w:val="22"/>
                <w:szCs w:val="22"/>
                <w:lang w:bidi="ar-AE"/>
              </w:rPr>
              <w:t>, A</w:t>
            </w:r>
            <w:r>
              <w:rPr>
                <w:rFonts w:ascii="Calibri" w:hAnsi="Calibri"/>
                <w:sz w:val="22"/>
                <w:szCs w:val="22"/>
                <w:lang w:bidi="ar-AE"/>
              </w:rPr>
              <w:t>ḥ</w:t>
            </w:r>
            <w:r>
              <w:rPr>
                <w:rFonts w:asciiTheme="minorHAnsi" w:hAnsiTheme="minorHAnsi"/>
                <w:sz w:val="22"/>
                <w:szCs w:val="22"/>
                <w:lang w:bidi="ar-AE"/>
              </w:rPr>
              <w:t>mad b. 'Abd al-Wah</w:t>
            </w:r>
            <w:r>
              <w:rPr>
                <w:rFonts w:ascii="Calibri" w:hAnsi="Calibri"/>
                <w:sz w:val="22"/>
                <w:szCs w:val="22"/>
                <w:lang w:bidi="ar-AE"/>
              </w:rPr>
              <w:t>ā</w:t>
            </w:r>
            <w:r>
              <w:rPr>
                <w:rFonts w:asciiTheme="minorHAnsi" w:hAnsiTheme="minorHAnsi"/>
                <w:sz w:val="22"/>
                <w:szCs w:val="22"/>
                <w:lang w:bidi="ar-AE"/>
              </w:rPr>
              <w:t>b Shih</w:t>
            </w:r>
            <w:r>
              <w:rPr>
                <w:rFonts w:ascii="Calibri" w:hAnsi="Calibri"/>
                <w:sz w:val="22"/>
                <w:szCs w:val="22"/>
                <w:lang w:bidi="ar-AE"/>
              </w:rPr>
              <w:t>ā</w:t>
            </w:r>
            <w:r>
              <w:rPr>
                <w:rFonts w:asciiTheme="minorHAnsi" w:hAnsiTheme="minorHAnsi"/>
                <w:sz w:val="22"/>
                <w:szCs w:val="22"/>
                <w:lang w:bidi="ar-AE"/>
              </w:rPr>
              <w:t>b al-D</w:t>
            </w:r>
            <w:r>
              <w:rPr>
                <w:rFonts w:ascii="Calibri" w:hAnsi="Calibri"/>
                <w:sz w:val="22"/>
                <w:szCs w:val="22"/>
                <w:lang w:bidi="ar-AE"/>
              </w:rPr>
              <w:t>ī</w:t>
            </w:r>
            <w:r>
              <w:rPr>
                <w:rFonts w:asciiTheme="minorHAnsi" w:hAnsiTheme="minorHAnsi"/>
                <w:sz w:val="22"/>
                <w:szCs w:val="22"/>
                <w:lang w:bidi="ar-AE"/>
              </w:rPr>
              <w:t xml:space="preserve">n, </w:t>
            </w:r>
            <w:r w:rsidRPr="006661D1">
              <w:rPr>
                <w:rFonts w:asciiTheme="minorHAnsi" w:hAnsiTheme="minorHAnsi"/>
                <w:i/>
                <w:iCs/>
                <w:sz w:val="22"/>
                <w:szCs w:val="22"/>
                <w:lang w:bidi="ar-AE"/>
              </w:rPr>
              <w:t>Bul</w:t>
            </w:r>
            <w:r w:rsidRPr="006661D1">
              <w:rPr>
                <w:rFonts w:ascii="Calibri" w:hAnsi="Calibri"/>
                <w:i/>
                <w:iCs/>
                <w:sz w:val="22"/>
                <w:szCs w:val="22"/>
                <w:lang w:bidi="ar-AE"/>
              </w:rPr>
              <w:t>ū</w:t>
            </w:r>
            <w:r w:rsidRPr="006661D1">
              <w:rPr>
                <w:rFonts w:asciiTheme="minorHAnsi" w:hAnsiTheme="minorHAnsi"/>
                <w:i/>
                <w:iCs/>
                <w:sz w:val="22"/>
                <w:szCs w:val="22"/>
                <w:lang w:bidi="ar-AE"/>
              </w:rPr>
              <w:t>gh al-Arab f</w:t>
            </w:r>
            <w:r w:rsidRPr="006661D1">
              <w:rPr>
                <w:rFonts w:ascii="Calibri" w:hAnsi="Calibri"/>
                <w:i/>
                <w:iCs/>
                <w:sz w:val="22"/>
                <w:szCs w:val="22"/>
                <w:lang w:bidi="ar-AE"/>
              </w:rPr>
              <w:t>ī</w:t>
            </w:r>
            <w:r w:rsidRPr="006661D1">
              <w:rPr>
                <w:rFonts w:asciiTheme="minorHAnsi" w:hAnsiTheme="minorHAnsi"/>
                <w:i/>
                <w:iCs/>
                <w:sz w:val="22"/>
                <w:szCs w:val="22"/>
                <w:lang w:bidi="ar-AE"/>
              </w:rPr>
              <w:t xml:space="preserve"> Fun</w:t>
            </w:r>
            <w:r w:rsidRPr="006661D1">
              <w:rPr>
                <w:rFonts w:ascii="Calibri" w:hAnsi="Calibri"/>
                <w:i/>
                <w:iCs/>
                <w:sz w:val="22"/>
                <w:szCs w:val="22"/>
                <w:lang w:bidi="ar-AE"/>
              </w:rPr>
              <w:t>ū</w:t>
            </w:r>
            <w:r w:rsidRPr="006661D1">
              <w:rPr>
                <w:rFonts w:asciiTheme="minorHAnsi" w:hAnsiTheme="minorHAnsi"/>
                <w:i/>
                <w:iCs/>
                <w:sz w:val="22"/>
                <w:szCs w:val="22"/>
                <w:lang w:bidi="ar-AE"/>
              </w:rPr>
              <w:t xml:space="preserve">n al-Adab </w:t>
            </w:r>
            <w:r>
              <w:rPr>
                <w:rFonts w:asciiTheme="minorHAnsi" w:hAnsiTheme="minorHAnsi"/>
                <w:sz w:val="22"/>
                <w:szCs w:val="22"/>
                <w:lang w:bidi="ar-AE"/>
              </w:rPr>
              <w:t xml:space="preserve">or </w:t>
            </w:r>
            <w:r w:rsidRPr="009F7091">
              <w:rPr>
                <w:rFonts w:asciiTheme="minorHAnsi" w:hAnsiTheme="minorHAnsi"/>
                <w:i/>
                <w:iCs/>
                <w:sz w:val="22"/>
                <w:szCs w:val="22"/>
                <w:lang w:bidi="ar-AE"/>
              </w:rPr>
              <w:t>The Attainment of Desire on the Art of Literature</w:t>
            </w:r>
            <w:r>
              <w:rPr>
                <w:rFonts w:asciiTheme="minorHAnsi" w:hAnsiTheme="minorHAnsi"/>
                <w:sz w:val="22"/>
                <w:szCs w:val="22"/>
                <w:lang w:bidi="ar-AE"/>
              </w:rPr>
              <w:t xml:space="preserve"> (Cairo: Egyptian National Library and Archives, 2002)</w:t>
            </w:r>
          </w:p>
          <w:p w:rsidR="00D5582C" w:rsidRDefault="00D5582C" w:rsidP="008D6268">
            <w:pPr>
              <w:pStyle w:val="NormalWeb"/>
              <w:spacing w:before="0" w:beforeAutospacing="0" w:after="0" w:afterAutospacing="0"/>
              <w:ind w:left="450" w:hanging="450"/>
              <w:rPr>
                <w:rFonts w:asciiTheme="minorHAnsi" w:hAnsiTheme="minorHAnsi"/>
                <w:b/>
                <w:sz w:val="22"/>
                <w:szCs w:val="22"/>
              </w:rPr>
            </w:pPr>
            <w:r>
              <w:rPr>
                <w:rFonts w:asciiTheme="minorHAnsi" w:hAnsiTheme="minorHAnsi"/>
                <w:b/>
                <w:sz w:val="22"/>
                <w:szCs w:val="22"/>
              </w:rPr>
              <w:t>Modern Dictionaries:</w:t>
            </w:r>
          </w:p>
          <w:p w:rsidR="00D5582C" w:rsidRDefault="00D5582C" w:rsidP="008D6268">
            <w:pPr>
              <w:pStyle w:val="NormalWeb"/>
              <w:spacing w:before="0" w:beforeAutospacing="0"/>
              <w:ind w:left="450" w:hanging="450"/>
              <w:rPr>
                <w:rFonts w:asciiTheme="minorHAnsi" w:hAnsiTheme="minorHAnsi"/>
                <w:bCs/>
                <w:sz w:val="22"/>
                <w:szCs w:val="22"/>
                <w:lang w:bidi="ar-AE"/>
              </w:rPr>
            </w:pPr>
            <w:r>
              <w:rPr>
                <w:rFonts w:asciiTheme="minorHAnsi" w:hAnsiTheme="minorHAnsi"/>
                <w:bCs/>
                <w:sz w:val="22"/>
                <w:szCs w:val="22"/>
                <w:lang w:bidi="ar-AE"/>
              </w:rPr>
              <w:t>The Public Authority of Dictionaries and Heritage Revival,</w:t>
            </w:r>
            <w:r>
              <w:rPr>
                <w:rFonts w:asciiTheme="minorHAnsi" w:hAnsiTheme="minorHAnsi" w:hint="cs"/>
                <w:bCs/>
                <w:sz w:val="22"/>
                <w:szCs w:val="22"/>
                <w:rtl/>
                <w:lang w:bidi="ar-AE"/>
              </w:rPr>
              <w:t xml:space="preserve"> </w:t>
            </w:r>
            <w:r w:rsidRPr="00A54C8B">
              <w:rPr>
                <w:rFonts w:asciiTheme="minorHAnsi" w:hAnsiTheme="minorHAnsi"/>
                <w:bCs/>
                <w:i/>
                <w:iCs/>
                <w:sz w:val="22"/>
                <w:szCs w:val="22"/>
                <w:lang w:bidi="ar-AE"/>
              </w:rPr>
              <w:t>Dictionary of the Terms of the Honoured Qur’</w:t>
            </w:r>
            <w:r w:rsidRPr="00A54C8B">
              <w:rPr>
                <w:rFonts w:ascii="Calibri" w:hAnsi="Calibri"/>
                <w:bCs/>
                <w:i/>
                <w:iCs/>
                <w:sz w:val="22"/>
                <w:szCs w:val="22"/>
                <w:lang w:bidi="ar-AE"/>
              </w:rPr>
              <w:t>ā</w:t>
            </w:r>
            <w:r w:rsidRPr="00A54C8B">
              <w:rPr>
                <w:rFonts w:asciiTheme="minorHAnsi" w:hAnsiTheme="minorHAnsi"/>
                <w:bCs/>
                <w:i/>
                <w:iCs/>
                <w:sz w:val="22"/>
                <w:szCs w:val="22"/>
                <w:lang w:bidi="ar-AE"/>
              </w:rPr>
              <w:t>n</w:t>
            </w:r>
            <w:r>
              <w:rPr>
                <w:rFonts w:asciiTheme="minorHAnsi" w:hAnsiTheme="minorHAnsi"/>
                <w:bCs/>
                <w:sz w:val="22"/>
                <w:szCs w:val="22"/>
                <w:lang w:bidi="ar-AE"/>
              </w:rPr>
              <w:t xml:space="preserve"> (Cairo: The Public Authority of Dictionaries and Heritage Revival, 1988)</w:t>
            </w:r>
          </w:p>
          <w:p w:rsidR="00D5582C" w:rsidRDefault="00D5582C" w:rsidP="008D6268">
            <w:pPr>
              <w:pStyle w:val="NormalWeb"/>
              <w:spacing w:before="0" w:beforeAutospacing="0" w:after="0" w:afterAutospacing="0"/>
              <w:ind w:left="450" w:hanging="450"/>
              <w:rPr>
                <w:rFonts w:asciiTheme="minorHAnsi" w:hAnsiTheme="minorHAnsi"/>
                <w:bCs/>
                <w:sz w:val="22"/>
                <w:szCs w:val="22"/>
                <w:rtl/>
                <w:lang w:bidi="ar-AE"/>
              </w:rPr>
            </w:pPr>
            <w:r>
              <w:rPr>
                <w:rFonts w:asciiTheme="minorHAnsi" w:hAnsiTheme="minorHAnsi"/>
                <w:bCs/>
                <w:sz w:val="22"/>
                <w:szCs w:val="22"/>
                <w:lang w:bidi="ar-AE"/>
              </w:rPr>
              <w:t>‘Abd al-B</w:t>
            </w:r>
            <w:r>
              <w:rPr>
                <w:rFonts w:ascii="Calibri" w:hAnsi="Calibri"/>
                <w:bCs/>
                <w:sz w:val="22"/>
                <w:szCs w:val="22"/>
                <w:lang w:bidi="ar-AE"/>
              </w:rPr>
              <w:t>ā</w:t>
            </w:r>
            <w:r>
              <w:rPr>
                <w:rFonts w:asciiTheme="minorHAnsi" w:hAnsiTheme="minorHAnsi"/>
                <w:bCs/>
                <w:sz w:val="22"/>
                <w:szCs w:val="22"/>
                <w:lang w:bidi="ar-AE"/>
              </w:rPr>
              <w:t>q</w:t>
            </w:r>
            <w:r>
              <w:rPr>
                <w:rFonts w:ascii="Calibri" w:hAnsi="Calibri"/>
                <w:bCs/>
                <w:sz w:val="22"/>
                <w:szCs w:val="22"/>
                <w:lang w:bidi="ar-AE"/>
              </w:rPr>
              <w:t>ī</w:t>
            </w:r>
            <w:r>
              <w:rPr>
                <w:rFonts w:asciiTheme="minorHAnsi" w:hAnsiTheme="minorHAnsi"/>
                <w:bCs/>
                <w:sz w:val="22"/>
                <w:szCs w:val="22"/>
                <w:lang w:bidi="ar-AE"/>
              </w:rPr>
              <w:t>, Mu</w:t>
            </w:r>
            <w:r>
              <w:rPr>
                <w:rFonts w:ascii="Calibri" w:hAnsi="Calibri"/>
                <w:bCs/>
                <w:sz w:val="22"/>
                <w:szCs w:val="22"/>
                <w:lang w:bidi="ar-AE"/>
              </w:rPr>
              <w:t>ḥ</w:t>
            </w:r>
            <w:r>
              <w:rPr>
                <w:rFonts w:asciiTheme="minorHAnsi" w:hAnsiTheme="minorHAnsi"/>
                <w:bCs/>
                <w:sz w:val="22"/>
                <w:szCs w:val="22"/>
                <w:lang w:bidi="ar-AE"/>
              </w:rPr>
              <w:t>ammad Fu’</w:t>
            </w:r>
            <w:r>
              <w:rPr>
                <w:rFonts w:ascii="Calibri" w:hAnsi="Calibri"/>
                <w:bCs/>
                <w:sz w:val="22"/>
                <w:szCs w:val="22"/>
                <w:lang w:bidi="ar-AE"/>
              </w:rPr>
              <w:t>ā</w:t>
            </w:r>
            <w:r>
              <w:rPr>
                <w:rFonts w:asciiTheme="minorHAnsi" w:hAnsiTheme="minorHAnsi"/>
                <w:bCs/>
                <w:sz w:val="22"/>
                <w:szCs w:val="22"/>
                <w:lang w:bidi="ar-AE"/>
              </w:rPr>
              <w:t xml:space="preserve">d, </w:t>
            </w:r>
            <w:r w:rsidRPr="00F0382A">
              <w:rPr>
                <w:rFonts w:asciiTheme="minorHAnsi" w:hAnsiTheme="minorHAnsi"/>
                <w:bCs/>
                <w:i/>
                <w:iCs/>
                <w:sz w:val="22"/>
                <w:szCs w:val="22"/>
                <w:lang w:bidi="ar-AE"/>
              </w:rPr>
              <w:t>The Indexed Dictionary of the Terms of the Honoured Qur’</w:t>
            </w:r>
            <w:r w:rsidRPr="00F0382A">
              <w:rPr>
                <w:rFonts w:ascii="Calibri" w:hAnsi="Calibri"/>
                <w:bCs/>
                <w:i/>
                <w:iCs/>
                <w:sz w:val="22"/>
                <w:szCs w:val="22"/>
                <w:lang w:bidi="ar-AE"/>
              </w:rPr>
              <w:t>ā</w:t>
            </w:r>
            <w:r w:rsidRPr="00F0382A">
              <w:rPr>
                <w:rFonts w:asciiTheme="minorHAnsi" w:hAnsiTheme="minorHAnsi"/>
                <w:bCs/>
                <w:i/>
                <w:iCs/>
                <w:sz w:val="22"/>
                <w:szCs w:val="22"/>
                <w:lang w:bidi="ar-AE"/>
              </w:rPr>
              <w:t>n</w:t>
            </w:r>
            <w:r>
              <w:rPr>
                <w:rFonts w:asciiTheme="minorHAnsi" w:hAnsiTheme="minorHAnsi"/>
                <w:bCs/>
                <w:sz w:val="22"/>
                <w:szCs w:val="22"/>
                <w:lang w:bidi="ar-AE"/>
              </w:rPr>
              <w:t xml:space="preserve"> (Beirut: D</w:t>
            </w:r>
            <w:r>
              <w:rPr>
                <w:rFonts w:ascii="Calibri" w:hAnsi="Calibri"/>
                <w:bCs/>
                <w:sz w:val="22"/>
                <w:szCs w:val="22"/>
                <w:lang w:bidi="ar-AE"/>
              </w:rPr>
              <w:t>ā</w:t>
            </w:r>
            <w:r>
              <w:rPr>
                <w:rFonts w:asciiTheme="minorHAnsi" w:hAnsiTheme="minorHAnsi"/>
                <w:bCs/>
                <w:sz w:val="22"/>
                <w:szCs w:val="22"/>
                <w:lang w:bidi="ar-AE"/>
              </w:rPr>
              <w:t>r al-Ma’rifah, 2003)</w:t>
            </w:r>
          </w:p>
          <w:p w:rsidR="00D5582C" w:rsidRDefault="00D5582C" w:rsidP="008D6268">
            <w:pPr>
              <w:pStyle w:val="NormalWeb"/>
              <w:spacing w:before="0" w:beforeAutospacing="0" w:after="0" w:afterAutospacing="0"/>
              <w:ind w:left="450" w:hanging="450"/>
              <w:rPr>
                <w:rFonts w:asciiTheme="minorHAnsi" w:hAnsiTheme="minorHAnsi"/>
                <w:bCs/>
                <w:sz w:val="22"/>
                <w:szCs w:val="22"/>
                <w:rtl/>
                <w:lang w:bidi="ar-AE"/>
              </w:rPr>
            </w:pPr>
          </w:p>
          <w:p w:rsidR="00D5582C" w:rsidRDefault="00D5582C" w:rsidP="008D6268">
            <w:pPr>
              <w:pStyle w:val="NormalWeb"/>
              <w:spacing w:before="0" w:beforeAutospacing="0" w:after="0" w:afterAutospacing="0"/>
              <w:ind w:left="450" w:hanging="450"/>
              <w:rPr>
                <w:rFonts w:asciiTheme="minorHAnsi" w:hAnsiTheme="minorHAnsi"/>
                <w:bCs/>
                <w:sz w:val="22"/>
                <w:szCs w:val="22"/>
                <w:lang w:bidi="ar-AE"/>
              </w:rPr>
            </w:pPr>
            <w:r>
              <w:rPr>
                <w:rFonts w:asciiTheme="minorHAnsi" w:hAnsiTheme="minorHAnsi"/>
                <w:bCs/>
                <w:sz w:val="22"/>
                <w:szCs w:val="22"/>
                <w:lang w:bidi="ar-AE"/>
              </w:rPr>
              <w:t>'Abd al-Marz</w:t>
            </w:r>
            <w:r>
              <w:rPr>
                <w:rFonts w:ascii="Calibri" w:hAnsi="Calibri"/>
                <w:bCs/>
                <w:sz w:val="22"/>
                <w:szCs w:val="22"/>
                <w:lang w:bidi="ar-AE"/>
              </w:rPr>
              <w:t>ū</w:t>
            </w:r>
            <w:r>
              <w:rPr>
                <w:rFonts w:asciiTheme="minorHAnsi" w:hAnsiTheme="minorHAnsi"/>
                <w:bCs/>
                <w:sz w:val="22"/>
                <w:szCs w:val="22"/>
                <w:lang w:bidi="ar-AE"/>
              </w:rPr>
              <w:t>q, 'Abd al-</w:t>
            </w:r>
            <w:r>
              <w:rPr>
                <w:rFonts w:ascii="Calibri" w:hAnsi="Calibri"/>
                <w:bCs/>
                <w:sz w:val="22"/>
                <w:szCs w:val="22"/>
                <w:lang w:bidi="ar-AE"/>
              </w:rPr>
              <w:t>Ṣ</w:t>
            </w:r>
            <w:r>
              <w:rPr>
                <w:rFonts w:asciiTheme="minorHAnsi" w:hAnsiTheme="minorHAnsi"/>
                <w:bCs/>
                <w:sz w:val="22"/>
                <w:szCs w:val="22"/>
                <w:lang w:bidi="ar-AE"/>
              </w:rPr>
              <w:t>ab</w:t>
            </w:r>
            <w:r>
              <w:rPr>
                <w:rFonts w:ascii="Calibri" w:hAnsi="Calibri"/>
                <w:bCs/>
                <w:sz w:val="22"/>
                <w:szCs w:val="22"/>
                <w:lang w:bidi="ar-AE"/>
              </w:rPr>
              <w:t>ū</w:t>
            </w:r>
            <w:r>
              <w:rPr>
                <w:rFonts w:asciiTheme="minorHAnsi" w:hAnsiTheme="minorHAnsi"/>
                <w:bCs/>
                <w:sz w:val="22"/>
                <w:szCs w:val="22"/>
                <w:lang w:bidi="ar-AE"/>
              </w:rPr>
              <w:t xml:space="preserve">r, </w:t>
            </w:r>
            <w:r w:rsidRPr="001A5CD4">
              <w:rPr>
                <w:rFonts w:asciiTheme="minorHAnsi" w:hAnsiTheme="minorHAnsi"/>
                <w:bCs/>
                <w:i/>
                <w:iCs/>
                <w:sz w:val="22"/>
                <w:szCs w:val="22"/>
                <w:lang w:bidi="ar-AE"/>
              </w:rPr>
              <w:t>Dictionary of Personalities and Topics in the Honoured Qur'</w:t>
            </w:r>
            <w:r w:rsidRPr="001A5CD4">
              <w:rPr>
                <w:rFonts w:ascii="Calibri" w:hAnsi="Calibri"/>
                <w:bCs/>
                <w:i/>
                <w:iCs/>
                <w:sz w:val="22"/>
                <w:szCs w:val="22"/>
                <w:lang w:bidi="ar-AE"/>
              </w:rPr>
              <w:t>ā</w:t>
            </w:r>
            <w:r w:rsidRPr="001A5CD4">
              <w:rPr>
                <w:rFonts w:asciiTheme="minorHAnsi" w:hAnsiTheme="minorHAnsi"/>
                <w:bCs/>
                <w:i/>
                <w:iCs/>
                <w:sz w:val="22"/>
                <w:szCs w:val="22"/>
                <w:lang w:bidi="ar-AE"/>
              </w:rPr>
              <w:t>n</w:t>
            </w:r>
            <w:r>
              <w:rPr>
                <w:rFonts w:asciiTheme="minorHAnsi" w:hAnsiTheme="minorHAnsi"/>
                <w:bCs/>
                <w:sz w:val="22"/>
                <w:szCs w:val="22"/>
                <w:lang w:bidi="ar-AE"/>
              </w:rPr>
              <w:t xml:space="preserve"> (Cairo: D</w:t>
            </w:r>
            <w:r>
              <w:rPr>
                <w:rFonts w:ascii="Calibri" w:hAnsi="Calibri"/>
                <w:bCs/>
                <w:sz w:val="22"/>
                <w:szCs w:val="22"/>
                <w:lang w:bidi="ar-AE"/>
              </w:rPr>
              <w:t>ā</w:t>
            </w:r>
            <w:r>
              <w:rPr>
                <w:rFonts w:asciiTheme="minorHAnsi" w:hAnsiTheme="minorHAnsi"/>
                <w:bCs/>
                <w:sz w:val="22"/>
                <w:szCs w:val="22"/>
                <w:lang w:bidi="ar-AE"/>
              </w:rPr>
              <w:t>r al-Shur</w:t>
            </w:r>
            <w:r>
              <w:rPr>
                <w:rFonts w:ascii="Calibri" w:hAnsi="Calibri"/>
                <w:bCs/>
                <w:sz w:val="22"/>
                <w:szCs w:val="22"/>
                <w:lang w:bidi="ar-AE"/>
              </w:rPr>
              <w:t>ū</w:t>
            </w:r>
            <w:r>
              <w:rPr>
                <w:rFonts w:asciiTheme="minorHAnsi" w:hAnsiTheme="minorHAnsi"/>
                <w:bCs/>
                <w:sz w:val="22"/>
                <w:szCs w:val="22"/>
                <w:lang w:bidi="ar-AE"/>
              </w:rPr>
              <w:t>q, 1968)</w:t>
            </w:r>
          </w:p>
          <w:p w:rsidR="00D5582C" w:rsidRDefault="00D5582C" w:rsidP="008D6268">
            <w:pPr>
              <w:pStyle w:val="NormalWeb"/>
              <w:spacing w:before="0" w:beforeAutospacing="0"/>
              <w:rPr>
                <w:rFonts w:asciiTheme="minorHAnsi" w:hAnsiTheme="minorHAnsi"/>
                <w:bCs/>
                <w:sz w:val="22"/>
                <w:szCs w:val="22"/>
                <w:rtl/>
                <w:lang w:bidi="ar-AE"/>
              </w:rPr>
            </w:pPr>
          </w:p>
          <w:p w:rsidR="00D5582C" w:rsidRPr="00F0382A" w:rsidRDefault="00D5582C" w:rsidP="008D6268">
            <w:pPr>
              <w:pStyle w:val="NormalWeb"/>
              <w:spacing w:before="0" w:beforeAutospacing="0"/>
              <w:rPr>
                <w:rFonts w:asciiTheme="minorHAnsi" w:hAnsiTheme="minorHAnsi"/>
                <w:bCs/>
                <w:sz w:val="22"/>
                <w:szCs w:val="22"/>
                <w:rtl/>
                <w:lang w:bidi="ar-AE"/>
              </w:rPr>
            </w:pPr>
          </w:p>
        </w:tc>
      </w:tr>
      <w:tr w:rsidR="00D5582C" w:rsidTr="008D6268">
        <w:tc>
          <w:tcPr>
            <w:tcW w:w="9576" w:type="dxa"/>
            <w:gridSpan w:val="3"/>
          </w:tcPr>
          <w:p w:rsidR="00D5582C" w:rsidRDefault="00D5582C" w:rsidP="008D6268">
            <w:pPr>
              <w:pStyle w:val="NormalWeb"/>
              <w:bidi/>
              <w:spacing w:before="0" w:beforeAutospacing="0" w:after="0" w:afterAutospacing="0"/>
              <w:ind w:left="450" w:hanging="450"/>
              <w:jc w:val="center"/>
              <w:rPr>
                <w:rFonts w:asciiTheme="minorHAnsi" w:hAnsiTheme="minorHAnsi"/>
                <w:b/>
                <w:bCs/>
              </w:rPr>
            </w:pPr>
          </w:p>
          <w:p w:rsidR="00D5582C" w:rsidRDefault="00D5582C" w:rsidP="008D6268">
            <w:pPr>
              <w:pStyle w:val="NormalWeb"/>
              <w:bidi/>
              <w:spacing w:before="0" w:beforeAutospacing="0" w:after="0" w:afterAutospacing="0"/>
              <w:ind w:left="450" w:hanging="450"/>
              <w:jc w:val="center"/>
              <w:rPr>
                <w:rFonts w:asciiTheme="minorHAnsi" w:hAnsiTheme="minorHAnsi"/>
                <w:b/>
                <w:bCs/>
                <w:rtl/>
                <w:lang w:bidi="ar-AE"/>
              </w:rPr>
            </w:pPr>
            <w:r>
              <w:rPr>
                <w:rFonts w:asciiTheme="minorHAnsi" w:hAnsiTheme="minorHAnsi" w:hint="cs"/>
                <w:b/>
                <w:bCs/>
                <w:rtl/>
                <w:lang w:bidi="ar-AE"/>
              </w:rPr>
              <w:t>كتب الفتن والملاحم وأشراط الساعة</w:t>
            </w:r>
          </w:p>
          <w:p w:rsidR="00D5582C" w:rsidRDefault="00D5582C" w:rsidP="008D6268">
            <w:pPr>
              <w:pStyle w:val="NormalWeb"/>
              <w:bidi/>
              <w:spacing w:before="0" w:beforeAutospacing="0" w:after="0" w:afterAutospacing="0"/>
              <w:ind w:left="450" w:hanging="450"/>
              <w:jc w:val="center"/>
              <w:rPr>
                <w:rFonts w:asciiTheme="minorHAnsi" w:hAnsiTheme="minorHAnsi"/>
                <w:b/>
                <w:bCs/>
                <w:lang w:bidi="ar-AE"/>
              </w:rPr>
            </w:pPr>
            <w:r>
              <w:rPr>
                <w:rFonts w:asciiTheme="minorHAnsi" w:hAnsiTheme="minorHAnsi"/>
                <w:b/>
                <w:bCs/>
                <w:lang w:bidi="ar-AE"/>
              </w:rPr>
              <w:t xml:space="preserve">Books on the Last Day Portents, Tribulations and Battles </w:t>
            </w:r>
          </w:p>
          <w:p w:rsidR="00D5582C" w:rsidRPr="00F0382A" w:rsidRDefault="00D5582C" w:rsidP="008D6268">
            <w:pPr>
              <w:pStyle w:val="NormalWeb"/>
              <w:bidi/>
              <w:spacing w:before="0" w:beforeAutospacing="0" w:after="0" w:afterAutospacing="0"/>
              <w:ind w:left="450" w:hanging="450"/>
              <w:jc w:val="center"/>
              <w:rPr>
                <w:rFonts w:asciiTheme="minorHAnsi" w:hAnsiTheme="minorHAnsi"/>
                <w:b/>
                <w:bCs/>
                <w:lang w:bidi="ar-AE"/>
              </w:rPr>
            </w:pPr>
          </w:p>
        </w:tc>
      </w:tr>
      <w:tr w:rsidR="00D5582C" w:rsidTr="008D6268">
        <w:tc>
          <w:tcPr>
            <w:tcW w:w="9576" w:type="dxa"/>
            <w:gridSpan w:val="3"/>
          </w:tcPr>
          <w:p w:rsidR="00D5582C" w:rsidRPr="008B1902" w:rsidRDefault="00D5582C" w:rsidP="008D6268">
            <w:pPr>
              <w:pStyle w:val="ListParagraph"/>
              <w:bidi/>
              <w:rPr>
                <w:b/>
                <w:bCs/>
                <w:lang w:bidi="ar-AE"/>
              </w:rPr>
            </w:pPr>
            <w:r>
              <w:rPr>
                <w:rFonts w:hint="cs"/>
                <w:b/>
                <w:bCs/>
                <w:rtl/>
                <w:lang w:bidi="ar-AE"/>
              </w:rPr>
              <w:t>ت.843 م:</w:t>
            </w:r>
          </w:p>
          <w:p w:rsidR="00D5582C" w:rsidRPr="00E87A28" w:rsidRDefault="00D5582C" w:rsidP="00D5582C">
            <w:pPr>
              <w:pStyle w:val="ListParagraph"/>
              <w:numPr>
                <w:ilvl w:val="0"/>
                <w:numId w:val="9"/>
              </w:numPr>
              <w:autoSpaceDE/>
              <w:autoSpaceDN/>
              <w:bidi/>
              <w:adjustRightInd/>
              <w:rPr>
                <w:b/>
                <w:bCs/>
                <w:lang w:bidi="ar-AE"/>
              </w:rPr>
            </w:pPr>
            <w:r w:rsidRPr="00E87A28">
              <w:rPr>
                <w:rFonts w:hint="cs"/>
                <w:rtl/>
                <w:lang w:bidi="ar-AE"/>
              </w:rPr>
              <w:t xml:space="preserve">المروزي، نعيم بن حماد، </w:t>
            </w:r>
            <w:r w:rsidRPr="00E87A28">
              <w:rPr>
                <w:rFonts w:hint="cs"/>
                <w:b/>
                <w:bCs/>
                <w:rtl/>
                <w:lang w:bidi="ar-AE"/>
              </w:rPr>
              <w:t xml:space="preserve">كتاب الفتن، </w:t>
            </w:r>
            <w:r w:rsidRPr="00E87A28">
              <w:rPr>
                <w:rFonts w:hint="cs"/>
                <w:rtl/>
                <w:lang w:bidi="ar-AE"/>
              </w:rPr>
              <w:t>تحقيق سهيل زكار (بيروت: دار الفكر للطباعة والنشر والتوزيع، 1993)</w:t>
            </w:r>
            <w:r w:rsidRPr="00E87A28">
              <w:rPr>
                <w:rFonts w:hint="cs"/>
                <w:b/>
                <w:bCs/>
                <w:rtl/>
                <w:lang w:bidi="ar-AE"/>
              </w:rPr>
              <w:t xml:space="preserve"> </w:t>
            </w:r>
          </w:p>
          <w:p w:rsidR="00D5582C" w:rsidRDefault="00D5582C" w:rsidP="008D6268">
            <w:pPr>
              <w:pStyle w:val="ListParagraph"/>
              <w:bidi/>
              <w:ind w:left="1080"/>
              <w:rPr>
                <w:b/>
                <w:bCs/>
                <w:sz w:val="24"/>
                <w:szCs w:val="24"/>
                <w:rtl/>
                <w:lang w:bidi="ar-AE"/>
              </w:rPr>
            </w:pPr>
          </w:p>
          <w:p w:rsidR="00D5582C" w:rsidRPr="008B1902" w:rsidRDefault="00D5582C" w:rsidP="008D6268">
            <w:pPr>
              <w:pStyle w:val="ListParagraph"/>
              <w:bidi/>
              <w:rPr>
                <w:b/>
                <w:bCs/>
                <w:rtl/>
                <w:lang w:bidi="ar-AE"/>
              </w:rPr>
            </w:pPr>
            <w:r w:rsidRPr="008B1902">
              <w:rPr>
                <w:rFonts w:hint="cs"/>
                <w:b/>
                <w:bCs/>
                <w:rtl/>
                <w:lang w:bidi="ar-AE"/>
              </w:rPr>
              <w:t>ت.947 م</w:t>
            </w:r>
            <w:r>
              <w:rPr>
                <w:rFonts w:hint="cs"/>
                <w:b/>
                <w:bCs/>
                <w:rtl/>
                <w:lang w:bidi="ar-AE"/>
              </w:rPr>
              <w:t xml:space="preserve"> (تقريبا)</w:t>
            </w:r>
            <w:r w:rsidRPr="008B1902">
              <w:rPr>
                <w:rFonts w:hint="cs"/>
                <w:b/>
                <w:bCs/>
                <w:rtl/>
                <w:lang w:bidi="ar-AE"/>
              </w:rPr>
              <w:t>:</w:t>
            </w:r>
          </w:p>
          <w:p w:rsidR="00D5582C" w:rsidRPr="00E87A28" w:rsidRDefault="00D5582C" w:rsidP="00D5582C">
            <w:pPr>
              <w:pStyle w:val="ListParagraph"/>
              <w:numPr>
                <w:ilvl w:val="0"/>
                <w:numId w:val="9"/>
              </w:numPr>
              <w:autoSpaceDE/>
              <w:autoSpaceDN/>
              <w:bidi/>
              <w:adjustRightInd/>
              <w:rPr>
                <w:b/>
                <w:bCs/>
                <w:lang w:bidi="ar-AE"/>
              </w:rPr>
            </w:pPr>
            <w:r w:rsidRPr="00E87A28">
              <w:rPr>
                <w:rFonts w:hint="cs"/>
                <w:rtl/>
                <w:lang w:bidi="ar-AE"/>
              </w:rPr>
              <w:t xml:space="preserve">ابن المنادي، الحافظ أحمد بن جعفر، </w:t>
            </w:r>
            <w:r w:rsidRPr="00E87A28">
              <w:rPr>
                <w:rFonts w:hint="cs"/>
                <w:b/>
                <w:bCs/>
                <w:rtl/>
                <w:lang w:bidi="ar-AE"/>
              </w:rPr>
              <w:t xml:space="preserve">كتاب الملاحم، </w:t>
            </w:r>
            <w:r w:rsidRPr="00E87A28">
              <w:rPr>
                <w:rFonts w:hint="cs"/>
                <w:rtl/>
                <w:lang w:bidi="ar-AE"/>
              </w:rPr>
              <w:t>تحقيق عبدالكريم العقيلي (قم: دار السيرة، 1418 هـ)</w:t>
            </w:r>
          </w:p>
          <w:p w:rsidR="00D5582C" w:rsidRDefault="00D5582C" w:rsidP="008D6268">
            <w:pPr>
              <w:pStyle w:val="ListParagraph"/>
              <w:bidi/>
              <w:rPr>
                <w:b/>
                <w:bCs/>
                <w:sz w:val="24"/>
                <w:szCs w:val="24"/>
                <w:rtl/>
                <w:lang w:bidi="ar-AE"/>
              </w:rPr>
            </w:pPr>
          </w:p>
          <w:p w:rsidR="00D5582C" w:rsidRPr="008B1902" w:rsidRDefault="00D5582C" w:rsidP="008D6268">
            <w:pPr>
              <w:pStyle w:val="ListParagraph"/>
              <w:bidi/>
              <w:rPr>
                <w:b/>
                <w:bCs/>
                <w:rtl/>
                <w:lang w:bidi="ar-AE"/>
              </w:rPr>
            </w:pPr>
            <w:r w:rsidRPr="008B1902">
              <w:rPr>
                <w:rFonts w:hint="cs"/>
                <w:b/>
                <w:bCs/>
                <w:rtl/>
                <w:lang w:bidi="ar-AE"/>
              </w:rPr>
              <w:t xml:space="preserve">981 </w:t>
            </w:r>
            <w:r w:rsidRPr="008B1902">
              <w:rPr>
                <w:b/>
                <w:bCs/>
                <w:rtl/>
                <w:lang w:bidi="ar-AE"/>
              </w:rPr>
              <w:t>–</w:t>
            </w:r>
            <w:r w:rsidRPr="008B1902">
              <w:rPr>
                <w:rFonts w:hint="cs"/>
                <w:b/>
                <w:bCs/>
                <w:rtl/>
                <w:lang w:bidi="ar-AE"/>
              </w:rPr>
              <w:t xml:space="preserve"> 1053 م:</w:t>
            </w:r>
          </w:p>
          <w:p w:rsidR="00D5582C" w:rsidRPr="00E87A28" w:rsidRDefault="00D5582C" w:rsidP="00D5582C">
            <w:pPr>
              <w:pStyle w:val="ListParagraph"/>
              <w:numPr>
                <w:ilvl w:val="0"/>
                <w:numId w:val="9"/>
              </w:numPr>
              <w:autoSpaceDE/>
              <w:autoSpaceDN/>
              <w:bidi/>
              <w:adjustRightInd/>
              <w:rPr>
                <w:b/>
                <w:bCs/>
                <w:lang w:bidi="ar-AE"/>
              </w:rPr>
            </w:pPr>
            <w:r w:rsidRPr="00E87A28">
              <w:rPr>
                <w:rFonts w:hint="cs"/>
                <w:rtl/>
                <w:lang w:bidi="ar-AE"/>
              </w:rPr>
              <w:t xml:space="preserve">الداني، أبو عمرو عثمان بن سعيد، </w:t>
            </w:r>
            <w:r w:rsidRPr="00E87A28">
              <w:rPr>
                <w:rFonts w:hint="cs"/>
                <w:b/>
                <w:bCs/>
                <w:rtl/>
                <w:lang w:bidi="ar-AE"/>
              </w:rPr>
              <w:t xml:space="preserve">السنن الواردة في الفتن وغوائلها والساعة وأشراطها، </w:t>
            </w:r>
            <w:r w:rsidRPr="00E87A28">
              <w:rPr>
                <w:rFonts w:hint="cs"/>
                <w:rtl/>
                <w:lang w:bidi="ar-AE"/>
              </w:rPr>
              <w:t>تحقيق رضاء الله بن محمد إدريس المباركفوري (الرياض: دار العاصمة للنشر والتوزيع، ب.ت.)</w:t>
            </w:r>
          </w:p>
          <w:p w:rsidR="00D5582C" w:rsidRDefault="00D5582C" w:rsidP="008D6268">
            <w:pPr>
              <w:bidi/>
              <w:rPr>
                <w:b/>
                <w:bCs/>
                <w:sz w:val="24"/>
                <w:szCs w:val="24"/>
                <w:rtl/>
                <w:lang w:bidi="ar-AE"/>
              </w:rPr>
            </w:pPr>
          </w:p>
          <w:p w:rsidR="00D5582C" w:rsidRPr="00E114CC" w:rsidRDefault="00D5582C" w:rsidP="008D6268">
            <w:pPr>
              <w:bidi/>
              <w:ind w:left="720"/>
              <w:rPr>
                <w:b/>
                <w:bCs/>
                <w:lang w:bidi="ar-AE"/>
              </w:rPr>
            </w:pPr>
            <w:r w:rsidRPr="00E114CC">
              <w:rPr>
                <w:rFonts w:hint="cs"/>
                <w:b/>
                <w:bCs/>
                <w:rtl/>
                <w:lang w:bidi="ar-AE"/>
              </w:rPr>
              <w:t xml:space="preserve">توفي بعد 1259 </w:t>
            </w:r>
            <w:r>
              <w:rPr>
                <w:rFonts w:hint="cs"/>
                <w:b/>
                <w:bCs/>
                <w:rtl/>
                <w:lang w:bidi="ar-AE"/>
              </w:rPr>
              <w:t>م</w:t>
            </w:r>
            <w:r w:rsidRPr="00E114CC">
              <w:rPr>
                <w:rFonts w:hint="cs"/>
                <w:b/>
                <w:bCs/>
                <w:rtl/>
                <w:lang w:bidi="ar-AE"/>
              </w:rPr>
              <w:t>:</w:t>
            </w:r>
          </w:p>
          <w:p w:rsidR="00D5582C" w:rsidRDefault="00D5582C" w:rsidP="00D5582C">
            <w:pPr>
              <w:pStyle w:val="ListParagraph"/>
              <w:numPr>
                <w:ilvl w:val="0"/>
                <w:numId w:val="9"/>
              </w:numPr>
              <w:autoSpaceDE/>
              <w:autoSpaceDN/>
              <w:bidi/>
              <w:adjustRightInd/>
              <w:rPr>
                <w:rtl/>
                <w:lang w:bidi="ar-AE"/>
              </w:rPr>
            </w:pPr>
            <w:r>
              <w:rPr>
                <w:rFonts w:hint="cs"/>
                <w:rtl/>
                <w:lang w:bidi="ar-AE"/>
              </w:rPr>
              <w:t xml:space="preserve">الشافعي، يوسف بن يحيى بن علي المقدسي، </w:t>
            </w:r>
            <w:r w:rsidRPr="00747C84">
              <w:rPr>
                <w:rFonts w:hint="cs"/>
                <w:b/>
                <w:bCs/>
                <w:rtl/>
                <w:lang w:bidi="ar-AE"/>
              </w:rPr>
              <w:t>عقد الدرر في أخبار المنتظر</w:t>
            </w:r>
            <w:r>
              <w:rPr>
                <w:rFonts w:hint="cs"/>
                <w:b/>
                <w:bCs/>
                <w:rtl/>
                <w:lang w:bidi="ar-AE"/>
              </w:rPr>
              <w:t xml:space="preserve">، </w:t>
            </w:r>
            <w:r>
              <w:rPr>
                <w:rFonts w:hint="cs"/>
                <w:rtl/>
                <w:lang w:bidi="ar-AE"/>
              </w:rPr>
              <w:t>تحقيق مهيب بن صالح بن عبدالرحمن البوريني (الزرقاء: مكتبة المنار، 1989)</w:t>
            </w:r>
          </w:p>
          <w:p w:rsidR="00D5582C" w:rsidRDefault="00D5582C" w:rsidP="008D6268">
            <w:pPr>
              <w:bidi/>
              <w:rPr>
                <w:rtl/>
                <w:lang w:bidi="ar-AE"/>
              </w:rPr>
            </w:pPr>
          </w:p>
          <w:p w:rsidR="00D5582C" w:rsidRPr="00E114CC" w:rsidRDefault="00D5582C" w:rsidP="008D6268">
            <w:pPr>
              <w:bidi/>
              <w:ind w:left="720"/>
              <w:rPr>
                <w:b/>
                <w:bCs/>
                <w:lang w:bidi="ar-AE"/>
              </w:rPr>
            </w:pPr>
            <w:r w:rsidRPr="00E114CC">
              <w:rPr>
                <w:rFonts w:hint="cs"/>
                <w:b/>
                <w:bCs/>
                <w:rtl/>
                <w:lang w:bidi="ar-AE"/>
              </w:rPr>
              <w:lastRenderedPageBreak/>
              <w:t>12</w:t>
            </w:r>
            <w:r>
              <w:rPr>
                <w:rFonts w:hint="cs"/>
                <w:b/>
                <w:bCs/>
                <w:rtl/>
                <w:lang w:bidi="ar-AE"/>
              </w:rPr>
              <w:t>14</w:t>
            </w:r>
            <w:r w:rsidRPr="00E114CC">
              <w:rPr>
                <w:rFonts w:hint="cs"/>
                <w:b/>
                <w:bCs/>
                <w:rtl/>
                <w:lang w:bidi="ar-AE"/>
              </w:rPr>
              <w:t xml:space="preserve"> </w:t>
            </w:r>
            <w:r w:rsidRPr="00E114CC">
              <w:rPr>
                <w:b/>
                <w:bCs/>
                <w:rtl/>
                <w:lang w:bidi="ar-AE"/>
              </w:rPr>
              <w:t>–</w:t>
            </w:r>
            <w:r w:rsidRPr="00E114CC">
              <w:rPr>
                <w:rFonts w:hint="cs"/>
                <w:b/>
                <w:bCs/>
                <w:rtl/>
                <w:lang w:bidi="ar-AE"/>
              </w:rPr>
              <w:t xml:space="preserve"> 127</w:t>
            </w:r>
            <w:r>
              <w:rPr>
                <w:rFonts w:hint="cs"/>
                <w:b/>
                <w:bCs/>
                <w:rtl/>
                <w:lang w:bidi="ar-AE"/>
              </w:rPr>
              <w:t>3</w:t>
            </w:r>
            <w:r w:rsidRPr="00E114CC">
              <w:rPr>
                <w:rFonts w:hint="cs"/>
                <w:b/>
                <w:bCs/>
                <w:rtl/>
                <w:lang w:bidi="ar-AE"/>
              </w:rPr>
              <w:t xml:space="preserve"> </w:t>
            </w:r>
            <w:r>
              <w:rPr>
                <w:rFonts w:hint="cs"/>
                <w:b/>
                <w:bCs/>
                <w:rtl/>
                <w:lang w:bidi="ar-AE"/>
              </w:rPr>
              <w:t>م</w:t>
            </w:r>
            <w:r w:rsidRPr="00E114CC">
              <w:rPr>
                <w:rFonts w:hint="cs"/>
                <w:b/>
                <w:bCs/>
                <w:rtl/>
                <w:lang w:bidi="ar-AE"/>
              </w:rPr>
              <w:t>:</w:t>
            </w:r>
          </w:p>
          <w:p w:rsidR="00D5582C" w:rsidRDefault="00D5582C" w:rsidP="00D5582C">
            <w:pPr>
              <w:pStyle w:val="ListParagraph"/>
              <w:numPr>
                <w:ilvl w:val="0"/>
                <w:numId w:val="9"/>
              </w:numPr>
              <w:autoSpaceDE/>
              <w:autoSpaceDN/>
              <w:bidi/>
              <w:adjustRightInd/>
              <w:rPr>
                <w:lang w:bidi="ar-AE"/>
              </w:rPr>
            </w:pPr>
            <w:r>
              <w:rPr>
                <w:rFonts w:hint="cs"/>
                <w:rtl/>
                <w:lang w:bidi="ar-AE"/>
              </w:rPr>
              <w:t xml:space="preserve">القرطبي، أبو عبدالله  محمد بن أحمد، </w:t>
            </w:r>
            <w:r w:rsidRPr="00003F77">
              <w:rPr>
                <w:rFonts w:hint="cs"/>
                <w:b/>
                <w:bCs/>
                <w:rtl/>
                <w:lang w:bidi="ar-AE"/>
              </w:rPr>
              <w:t>كتاب</w:t>
            </w:r>
            <w:r>
              <w:rPr>
                <w:rFonts w:hint="cs"/>
                <w:rtl/>
                <w:lang w:bidi="ar-AE"/>
              </w:rPr>
              <w:t xml:space="preserve"> </w:t>
            </w:r>
            <w:r w:rsidRPr="00747C84">
              <w:rPr>
                <w:rFonts w:hint="cs"/>
                <w:b/>
                <w:bCs/>
                <w:rtl/>
                <w:lang w:bidi="ar-AE"/>
              </w:rPr>
              <w:t>التذكرة في أحوال الموتى وأمور الآخرة</w:t>
            </w:r>
            <w:r>
              <w:rPr>
                <w:rFonts w:hint="cs"/>
                <w:b/>
                <w:bCs/>
                <w:rtl/>
                <w:lang w:bidi="ar-AE"/>
              </w:rPr>
              <w:t xml:space="preserve">، </w:t>
            </w:r>
            <w:r>
              <w:rPr>
                <w:rFonts w:hint="cs"/>
                <w:rtl/>
                <w:lang w:bidi="ar-AE"/>
              </w:rPr>
              <w:t>تحقيق الصادق بن محمد بن إبراهيم (الرياض: مكتبة دار المنهاج للنشر والتوزيع، 1425 هـ)</w:t>
            </w:r>
          </w:p>
          <w:p w:rsidR="00D5582C" w:rsidRDefault="00D5582C" w:rsidP="008D6268">
            <w:pPr>
              <w:pStyle w:val="ListParagraph"/>
              <w:bidi/>
              <w:rPr>
                <w:rtl/>
                <w:lang w:bidi="ar-AE"/>
              </w:rPr>
            </w:pPr>
          </w:p>
          <w:p w:rsidR="00D5582C" w:rsidRPr="00E114CC" w:rsidRDefault="00D5582C" w:rsidP="008D6268">
            <w:pPr>
              <w:pStyle w:val="ListParagraph"/>
              <w:bidi/>
              <w:rPr>
                <w:b/>
                <w:bCs/>
                <w:rtl/>
                <w:lang w:bidi="ar-AE"/>
              </w:rPr>
            </w:pPr>
            <w:r w:rsidRPr="00E114CC">
              <w:rPr>
                <w:rFonts w:hint="cs"/>
                <w:b/>
                <w:bCs/>
                <w:rtl/>
                <w:lang w:bidi="ar-AE"/>
              </w:rPr>
              <w:t xml:space="preserve">1301 </w:t>
            </w:r>
            <w:r w:rsidRPr="00E114CC">
              <w:rPr>
                <w:b/>
                <w:bCs/>
                <w:rtl/>
                <w:lang w:bidi="ar-AE"/>
              </w:rPr>
              <w:t>–</w:t>
            </w:r>
            <w:r w:rsidRPr="00E114CC">
              <w:rPr>
                <w:rFonts w:hint="cs"/>
                <w:b/>
                <w:bCs/>
                <w:rtl/>
                <w:lang w:bidi="ar-AE"/>
              </w:rPr>
              <w:t xml:space="preserve"> 1372 م (تقريبا):</w:t>
            </w:r>
          </w:p>
          <w:p w:rsidR="00D5582C" w:rsidRDefault="00D5582C" w:rsidP="00D5582C">
            <w:pPr>
              <w:pStyle w:val="ListParagraph"/>
              <w:numPr>
                <w:ilvl w:val="0"/>
                <w:numId w:val="9"/>
              </w:numPr>
              <w:autoSpaceDE/>
              <w:autoSpaceDN/>
              <w:bidi/>
              <w:adjustRightInd/>
              <w:rPr>
                <w:lang w:bidi="ar-AE"/>
              </w:rPr>
            </w:pPr>
            <w:r w:rsidRPr="00CF0F8F">
              <w:rPr>
                <w:rFonts w:hint="cs"/>
                <w:rtl/>
                <w:lang w:bidi="ar-AE"/>
              </w:rPr>
              <w:t xml:space="preserve">ابن كثير، أبو الفداء إسماعيل بن عمر، </w:t>
            </w:r>
            <w:r w:rsidRPr="00CF0F8F">
              <w:rPr>
                <w:rFonts w:hint="cs"/>
                <w:b/>
                <w:bCs/>
                <w:rtl/>
                <w:lang w:bidi="ar-AE"/>
              </w:rPr>
              <w:t xml:space="preserve">النهاية في الفتن والملاحم، </w:t>
            </w:r>
            <w:r w:rsidRPr="00CF0F8F">
              <w:rPr>
                <w:rFonts w:hint="cs"/>
                <w:rtl/>
                <w:lang w:bidi="ar-AE"/>
              </w:rPr>
              <w:t>تحقيق محمد أحمد عبدالعزيز (بيروت: دار الجبل، 1988)</w:t>
            </w:r>
          </w:p>
          <w:p w:rsidR="00D5582C" w:rsidRDefault="00D5582C" w:rsidP="008D6268">
            <w:pPr>
              <w:pStyle w:val="ListParagraph"/>
              <w:bidi/>
              <w:ind w:left="1080"/>
              <w:rPr>
                <w:lang w:bidi="ar-AE"/>
              </w:rPr>
            </w:pPr>
          </w:p>
          <w:p w:rsidR="00D5582C" w:rsidRPr="0056145C" w:rsidRDefault="00D5582C" w:rsidP="00D5582C">
            <w:pPr>
              <w:pStyle w:val="ListParagraph"/>
              <w:numPr>
                <w:ilvl w:val="0"/>
                <w:numId w:val="9"/>
              </w:numPr>
              <w:autoSpaceDE/>
              <w:autoSpaceDN/>
              <w:bidi/>
              <w:adjustRightInd/>
              <w:rPr>
                <w:b/>
                <w:bCs/>
                <w:lang w:bidi="ar-AE"/>
              </w:rPr>
            </w:pPr>
            <w:r>
              <w:rPr>
                <w:rFonts w:hint="cs"/>
                <w:rtl/>
                <w:lang w:bidi="ar-AE"/>
              </w:rPr>
              <w:t>ابن كثير، أبو الفداء اسماعيل بن عمر بن القرشي،</w:t>
            </w:r>
            <w:r>
              <w:rPr>
                <w:lang w:bidi="ar-AE"/>
              </w:rPr>
              <w:t xml:space="preserve"> </w:t>
            </w:r>
            <w:r>
              <w:rPr>
                <w:rFonts w:hint="cs"/>
                <w:rtl/>
                <w:lang w:bidi="ar-AE"/>
              </w:rPr>
              <w:t xml:space="preserve">"كتاب الفتن والملاحم وأشراط الساعة والأمور العظام يوم القيامة"،  في </w:t>
            </w:r>
            <w:r w:rsidRPr="0056145C">
              <w:rPr>
                <w:rFonts w:hint="cs"/>
                <w:b/>
                <w:bCs/>
                <w:rtl/>
                <w:lang w:bidi="ar-AE"/>
              </w:rPr>
              <w:t xml:space="preserve">البداية والنهاية، </w:t>
            </w:r>
            <w:r>
              <w:rPr>
                <w:rFonts w:hint="cs"/>
                <w:rtl/>
                <w:lang w:bidi="ar-AE"/>
              </w:rPr>
              <w:t>تحقيق عبدالله بن عبدالمحسن التركي، مجلد 19 (القاهرة: دار هجر للطباعة والنشر والتوزيع والإعلان، 1997)، ص. 3-444</w:t>
            </w:r>
          </w:p>
          <w:p w:rsidR="00D5582C" w:rsidRPr="0056145C" w:rsidRDefault="00D5582C" w:rsidP="008D6268">
            <w:pPr>
              <w:bidi/>
              <w:rPr>
                <w:b/>
                <w:bCs/>
                <w:rtl/>
                <w:lang w:bidi="ar-AE"/>
              </w:rPr>
            </w:pPr>
          </w:p>
          <w:p w:rsidR="00D5582C" w:rsidRPr="00246EBE" w:rsidRDefault="00D5582C" w:rsidP="008D6268">
            <w:pPr>
              <w:bidi/>
              <w:ind w:left="720"/>
              <w:rPr>
                <w:b/>
                <w:bCs/>
                <w:lang w:bidi="ar-AE"/>
              </w:rPr>
            </w:pPr>
            <w:r w:rsidRPr="00246EBE">
              <w:rPr>
                <w:rFonts w:hint="cs"/>
                <w:b/>
                <w:bCs/>
                <w:rtl/>
                <w:lang w:bidi="ar-AE"/>
              </w:rPr>
              <w:t xml:space="preserve">1630 </w:t>
            </w:r>
            <w:r w:rsidRPr="00246EBE">
              <w:rPr>
                <w:b/>
                <w:bCs/>
                <w:rtl/>
                <w:lang w:bidi="ar-AE"/>
              </w:rPr>
              <w:t>–</w:t>
            </w:r>
            <w:r w:rsidRPr="00246EBE">
              <w:rPr>
                <w:rFonts w:hint="cs"/>
                <w:b/>
                <w:bCs/>
                <w:rtl/>
                <w:lang w:bidi="ar-AE"/>
              </w:rPr>
              <w:t xml:space="preserve"> 1691 م:</w:t>
            </w:r>
          </w:p>
          <w:p w:rsidR="00D5582C" w:rsidRDefault="00D5582C" w:rsidP="00D5582C">
            <w:pPr>
              <w:pStyle w:val="ListParagraph"/>
              <w:numPr>
                <w:ilvl w:val="0"/>
                <w:numId w:val="9"/>
              </w:numPr>
              <w:autoSpaceDE/>
              <w:autoSpaceDN/>
              <w:bidi/>
              <w:adjustRightInd/>
              <w:rPr>
                <w:lang w:bidi="ar-AE"/>
              </w:rPr>
            </w:pPr>
            <w:r w:rsidRPr="00B92BE8">
              <w:rPr>
                <w:rFonts w:hint="cs"/>
                <w:rtl/>
                <w:lang w:bidi="ar-AE"/>
              </w:rPr>
              <w:t xml:space="preserve">البرزنجي، محمد بن عبدالرسول الحسيني، </w:t>
            </w:r>
            <w:r w:rsidRPr="00B92BE8">
              <w:rPr>
                <w:rFonts w:hint="cs"/>
                <w:b/>
                <w:bCs/>
                <w:rtl/>
                <w:lang w:bidi="ar-AE"/>
              </w:rPr>
              <w:t>كتاب</w:t>
            </w:r>
            <w:r w:rsidRPr="00B92BE8">
              <w:rPr>
                <w:rFonts w:hint="cs"/>
                <w:rtl/>
                <w:lang w:bidi="ar-AE"/>
              </w:rPr>
              <w:t xml:space="preserve"> </w:t>
            </w:r>
            <w:r w:rsidRPr="00B92BE8">
              <w:rPr>
                <w:rFonts w:hint="cs"/>
                <w:b/>
                <w:bCs/>
                <w:rtl/>
                <w:lang w:bidi="ar-AE"/>
              </w:rPr>
              <w:t xml:space="preserve">الإشاعة لأشراط الساعة، </w:t>
            </w:r>
            <w:r w:rsidRPr="00B92BE8">
              <w:rPr>
                <w:rFonts w:hint="cs"/>
                <w:rtl/>
                <w:lang w:bidi="ar-AE"/>
              </w:rPr>
              <w:t>تحقيق موفق فوزي الجبر (دمشق: دار النمير للطباعة والنشر والتوزيع، 1995)</w:t>
            </w:r>
          </w:p>
          <w:p w:rsidR="00D5582C" w:rsidRPr="00B92BE8" w:rsidRDefault="00D5582C" w:rsidP="008D6268">
            <w:pPr>
              <w:bidi/>
              <w:rPr>
                <w:lang w:bidi="ar-AE"/>
              </w:rPr>
            </w:pPr>
          </w:p>
          <w:p w:rsidR="00D5582C" w:rsidRPr="00D106D5" w:rsidRDefault="00D5582C" w:rsidP="008D6268">
            <w:pPr>
              <w:bidi/>
              <w:ind w:left="720"/>
              <w:rPr>
                <w:b/>
                <w:bCs/>
                <w:lang w:bidi="ar-AE"/>
              </w:rPr>
            </w:pPr>
            <w:r w:rsidRPr="00D106D5">
              <w:rPr>
                <w:rFonts w:hint="cs"/>
                <w:b/>
                <w:bCs/>
                <w:rtl/>
                <w:lang w:bidi="ar-AE"/>
              </w:rPr>
              <w:t xml:space="preserve">1916 </w:t>
            </w:r>
            <w:r w:rsidRPr="00D106D5">
              <w:rPr>
                <w:b/>
                <w:bCs/>
                <w:rtl/>
                <w:lang w:bidi="ar-AE"/>
              </w:rPr>
              <w:t>–</w:t>
            </w:r>
            <w:r w:rsidRPr="00D106D5">
              <w:rPr>
                <w:rFonts w:hint="cs"/>
                <w:b/>
                <w:bCs/>
                <w:rtl/>
                <w:lang w:bidi="ar-AE"/>
              </w:rPr>
              <w:t xml:space="preserve"> 1992 م:</w:t>
            </w:r>
          </w:p>
          <w:p w:rsidR="00D5582C" w:rsidRPr="00212C02" w:rsidRDefault="00D5582C" w:rsidP="00D5582C">
            <w:pPr>
              <w:pStyle w:val="ListParagraph"/>
              <w:numPr>
                <w:ilvl w:val="0"/>
                <w:numId w:val="9"/>
              </w:numPr>
              <w:autoSpaceDE/>
              <w:autoSpaceDN/>
              <w:bidi/>
              <w:adjustRightInd/>
              <w:rPr>
                <w:b/>
                <w:bCs/>
                <w:lang w:bidi="ar-AE"/>
              </w:rPr>
            </w:pPr>
            <w:r w:rsidRPr="00B92BE8">
              <w:rPr>
                <w:rFonts w:hint="cs"/>
                <w:rtl/>
                <w:lang w:bidi="ar-AE"/>
              </w:rPr>
              <w:t xml:space="preserve">التويجري، حمود بن عبدالله، </w:t>
            </w:r>
            <w:r w:rsidRPr="00B92BE8">
              <w:rPr>
                <w:rFonts w:hint="cs"/>
                <w:b/>
                <w:bCs/>
                <w:rtl/>
                <w:lang w:bidi="ar-AE"/>
              </w:rPr>
              <w:t xml:space="preserve">إتحاف الجماعة بما جاء في الفتن والملاحم وأشراط الساعة </w:t>
            </w:r>
            <w:r w:rsidRPr="00B92BE8">
              <w:rPr>
                <w:rFonts w:hint="cs"/>
                <w:rtl/>
                <w:lang w:bidi="ar-AE"/>
              </w:rPr>
              <w:t>(</w:t>
            </w:r>
            <w:r>
              <w:rPr>
                <w:rFonts w:hint="cs"/>
                <w:rtl/>
                <w:lang w:bidi="ar-AE"/>
              </w:rPr>
              <w:t xml:space="preserve">ب.م.: طبع </w:t>
            </w:r>
            <w:r w:rsidRPr="004500B1">
              <w:rPr>
                <w:rFonts w:hint="cs"/>
                <w:rtl/>
                <w:lang w:bidi="ar-AE"/>
              </w:rPr>
              <w:t>على نفقة الكاتب</w:t>
            </w:r>
            <w:r w:rsidRPr="00B92BE8">
              <w:rPr>
                <w:rFonts w:hint="cs"/>
                <w:rtl/>
                <w:lang w:bidi="ar-AE"/>
              </w:rPr>
              <w:t>، 1394هـ)</w:t>
            </w:r>
          </w:p>
          <w:p w:rsidR="00D5582C" w:rsidRPr="00B92BE8" w:rsidRDefault="00D5582C" w:rsidP="008D6268">
            <w:pPr>
              <w:pStyle w:val="ListParagraph"/>
              <w:bidi/>
              <w:ind w:left="1080"/>
              <w:rPr>
                <w:b/>
                <w:bCs/>
                <w:lang w:bidi="ar-AE"/>
              </w:rPr>
            </w:pPr>
          </w:p>
          <w:p w:rsidR="00D5582C" w:rsidRPr="00456A05" w:rsidRDefault="00D5582C" w:rsidP="008D6268">
            <w:pPr>
              <w:bidi/>
              <w:rPr>
                <w:b/>
                <w:lang w:bidi="ar-AE"/>
              </w:rPr>
            </w:pPr>
          </w:p>
          <w:p w:rsidR="00D5582C" w:rsidRDefault="00D5582C" w:rsidP="008D6268">
            <w:pPr>
              <w:pStyle w:val="NormalWeb"/>
              <w:spacing w:before="0" w:beforeAutospacing="0" w:after="0" w:afterAutospacing="0"/>
              <w:rPr>
                <w:rFonts w:asciiTheme="minorHAnsi" w:eastAsiaTheme="minorHAnsi" w:hAnsiTheme="minorHAnsi" w:cstheme="minorBidi"/>
                <w:b/>
                <w:bCs/>
                <w:sz w:val="22"/>
                <w:szCs w:val="22"/>
                <w:lang w:bidi="ar-AE"/>
              </w:rPr>
            </w:pPr>
            <w:r>
              <w:rPr>
                <w:rFonts w:asciiTheme="minorHAnsi" w:eastAsiaTheme="minorHAnsi" w:hAnsiTheme="minorHAnsi" w:cstheme="minorBidi"/>
                <w:b/>
                <w:bCs/>
                <w:sz w:val="22"/>
                <w:szCs w:val="22"/>
                <w:lang w:bidi="ar-AE"/>
              </w:rPr>
              <w:t>d. 843 CE:</w:t>
            </w:r>
          </w:p>
          <w:p w:rsidR="00D5582C" w:rsidRDefault="00D5582C" w:rsidP="008D6268">
            <w:pPr>
              <w:pStyle w:val="NormalWeb"/>
              <w:spacing w:before="0" w:beforeAutospacing="0" w:after="0" w:afterAutospacing="0"/>
              <w:ind w:left="450" w:hanging="450"/>
              <w:rPr>
                <w:rFonts w:asciiTheme="minorHAnsi" w:eastAsiaTheme="minorHAnsi" w:hAnsiTheme="minorHAnsi" w:cstheme="minorBidi"/>
                <w:sz w:val="22"/>
                <w:szCs w:val="22"/>
                <w:lang w:bidi="ar-AE"/>
              </w:rPr>
            </w:pPr>
            <w:r>
              <w:rPr>
                <w:rFonts w:asciiTheme="minorHAnsi" w:eastAsiaTheme="minorHAnsi" w:hAnsiTheme="minorHAnsi" w:cstheme="minorBidi"/>
                <w:sz w:val="22"/>
                <w:szCs w:val="22"/>
                <w:lang w:bidi="ar-AE"/>
              </w:rPr>
              <w:t xml:space="preserve">al-Marūzī, Na’īm b. </w:t>
            </w:r>
            <w:r>
              <w:rPr>
                <w:rFonts w:ascii="Arial" w:eastAsiaTheme="minorHAnsi" w:hAnsi="Arial" w:cs="Arial"/>
                <w:sz w:val="22"/>
                <w:szCs w:val="22"/>
                <w:lang w:bidi="ar-AE"/>
              </w:rPr>
              <w:t>Ḥ</w:t>
            </w:r>
            <w:r>
              <w:rPr>
                <w:rFonts w:asciiTheme="minorHAnsi" w:eastAsiaTheme="minorHAnsi" w:hAnsiTheme="minorHAnsi" w:cstheme="minorBidi"/>
                <w:sz w:val="22"/>
                <w:szCs w:val="22"/>
                <w:lang w:bidi="ar-AE"/>
              </w:rPr>
              <w:t xml:space="preserve">ammād, </w:t>
            </w:r>
            <w:r w:rsidRPr="00A7410D">
              <w:rPr>
                <w:rFonts w:asciiTheme="minorHAnsi" w:eastAsiaTheme="minorHAnsi" w:hAnsiTheme="minorHAnsi" w:cstheme="minorBidi"/>
                <w:i/>
                <w:iCs/>
                <w:sz w:val="22"/>
                <w:szCs w:val="22"/>
                <w:lang w:bidi="ar-AE"/>
              </w:rPr>
              <w:t>The Book of Tribulations</w:t>
            </w:r>
            <w:r>
              <w:rPr>
                <w:rFonts w:asciiTheme="minorHAnsi" w:eastAsiaTheme="minorHAnsi" w:hAnsiTheme="minorHAnsi" w:cstheme="minorBidi"/>
                <w:sz w:val="22"/>
                <w:szCs w:val="22"/>
                <w:lang w:bidi="ar-AE"/>
              </w:rPr>
              <w:t>, ed. by Suhaīl Zakkār (Beirut: Dār al-Fikr lil-Tibā’ah wal-Nashr wal-Tawzī, 1993)</w:t>
            </w:r>
          </w:p>
          <w:p w:rsidR="00D5582C" w:rsidRPr="009C3742" w:rsidRDefault="00D5582C" w:rsidP="008D6268">
            <w:pPr>
              <w:pStyle w:val="NormalWeb"/>
              <w:spacing w:before="0" w:beforeAutospacing="0" w:after="0" w:afterAutospacing="0"/>
              <w:rPr>
                <w:rFonts w:asciiTheme="minorHAnsi" w:eastAsiaTheme="minorHAnsi" w:hAnsiTheme="minorHAnsi" w:cstheme="minorBidi"/>
                <w:sz w:val="22"/>
                <w:szCs w:val="22"/>
                <w:lang w:bidi="ar-AE"/>
              </w:rPr>
            </w:pPr>
          </w:p>
          <w:p w:rsidR="00D5582C" w:rsidRDefault="00D5582C" w:rsidP="008D6268">
            <w:pPr>
              <w:pStyle w:val="NormalWeb"/>
              <w:spacing w:before="0" w:beforeAutospacing="0" w:after="0" w:afterAutospacing="0"/>
              <w:rPr>
                <w:rFonts w:asciiTheme="minorHAnsi" w:hAnsiTheme="minorHAnsi"/>
                <w:b/>
                <w:bCs/>
                <w:sz w:val="22"/>
                <w:szCs w:val="22"/>
              </w:rPr>
            </w:pPr>
            <w:r>
              <w:rPr>
                <w:rFonts w:asciiTheme="minorHAnsi" w:hAnsiTheme="minorHAnsi"/>
                <w:b/>
                <w:bCs/>
                <w:sz w:val="22"/>
                <w:szCs w:val="22"/>
              </w:rPr>
              <w:t>d. 947 CE:</w:t>
            </w:r>
          </w:p>
          <w:p w:rsidR="00D5582C" w:rsidRDefault="00D5582C" w:rsidP="008D6268">
            <w:pPr>
              <w:pStyle w:val="NormalWeb"/>
              <w:spacing w:before="0" w:beforeAutospacing="0" w:after="0" w:afterAutospacing="0"/>
              <w:ind w:left="450" w:hanging="450"/>
              <w:rPr>
                <w:rFonts w:asciiTheme="minorHAnsi" w:hAnsiTheme="minorHAnsi"/>
                <w:sz w:val="22"/>
                <w:szCs w:val="22"/>
              </w:rPr>
            </w:pPr>
            <w:r>
              <w:rPr>
                <w:rFonts w:asciiTheme="minorHAnsi" w:hAnsiTheme="minorHAnsi"/>
                <w:sz w:val="22"/>
                <w:szCs w:val="22"/>
              </w:rPr>
              <w:t>ibn al-Mun</w:t>
            </w:r>
            <w:r>
              <w:rPr>
                <w:rFonts w:ascii="Calibri" w:hAnsi="Calibri"/>
                <w:sz w:val="22"/>
                <w:szCs w:val="22"/>
              </w:rPr>
              <w:t>ā</w:t>
            </w:r>
            <w:r>
              <w:rPr>
                <w:rFonts w:asciiTheme="minorHAnsi" w:hAnsiTheme="minorHAnsi"/>
                <w:sz w:val="22"/>
                <w:szCs w:val="22"/>
              </w:rPr>
              <w:t>d</w:t>
            </w:r>
            <w:r>
              <w:rPr>
                <w:rFonts w:ascii="Calibri" w:hAnsi="Calibri"/>
                <w:sz w:val="22"/>
                <w:szCs w:val="22"/>
              </w:rPr>
              <w:t>ī</w:t>
            </w:r>
            <w:r>
              <w:rPr>
                <w:rFonts w:asciiTheme="minorHAnsi" w:hAnsiTheme="minorHAnsi"/>
                <w:sz w:val="22"/>
                <w:szCs w:val="22"/>
              </w:rPr>
              <w:t>, al-</w:t>
            </w:r>
            <w:r>
              <w:rPr>
                <w:rFonts w:ascii="Calibri" w:hAnsi="Calibri"/>
                <w:sz w:val="22"/>
                <w:szCs w:val="22"/>
              </w:rPr>
              <w:t>Ḥ</w:t>
            </w:r>
            <w:r>
              <w:rPr>
                <w:rFonts w:asciiTheme="minorHAnsi" w:hAnsiTheme="minorHAnsi"/>
                <w:sz w:val="22"/>
                <w:szCs w:val="22"/>
              </w:rPr>
              <w:t>āfez A</w:t>
            </w:r>
            <w:r>
              <w:rPr>
                <w:rFonts w:ascii="Calibri" w:hAnsi="Calibri"/>
                <w:sz w:val="22"/>
                <w:szCs w:val="22"/>
              </w:rPr>
              <w:t>ḥ</w:t>
            </w:r>
            <w:r>
              <w:rPr>
                <w:rFonts w:asciiTheme="minorHAnsi" w:hAnsiTheme="minorHAnsi"/>
                <w:sz w:val="22"/>
                <w:szCs w:val="22"/>
              </w:rPr>
              <w:t xml:space="preserve">mad b. Ja’far, </w:t>
            </w:r>
            <w:r w:rsidRPr="002F7D1B">
              <w:rPr>
                <w:rFonts w:asciiTheme="minorHAnsi" w:hAnsiTheme="minorHAnsi"/>
                <w:i/>
                <w:iCs/>
                <w:sz w:val="22"/>
                <w:szCs w:val="22"/>
              </w:rPr>
              <w:t>The Book of Battles</w:t>
            </w:r>
            <w:r>
              <w:rPr>
                <w:rFonts w:asciiTheme="minorHAnsi" w:hAnsiTheme="minorHAnsi"/>
                <w:sz w:val="22"/>
                <w:szCs w:val="22"/>
              </w:rPr>
              <w:t>, ed. ‘Abd al-Kar</w:t>
            </w:r>
            <w:r>
              <w:rPr>
                <w:rFonts w:ascii="Calibri" w:hAnsi="Calibri"/>
                <w:sz w:val="22"/>
                <w:szCs w:val="22"/>
              </w:rPr>
              <w:t>ī</w:t>
            </w:r>
            <w:r>
              <w:rPr>
                <w:rFonts w:asciiTheme="minorHAnsi" w:hAnsiTheme="minorHAnsi"/>
                <w:sz w:val="22"/>
                <w:szCs w:val="22"/>
              </w:rPr>
              <w:t>m al-‘Uqa</w:t>
            </w:r>
            <w:r>
              <w:rPr>
                <w:rFonts w:ascii="Calibri" w:hAnsi="Calibri"/>
                <w:sz w:val="22"/>
                <w:szCs w:val="22"/>
              </w:rPr>
              <w:t>ī</w:t>
            </w:r>
            <w:r>
              <w:rPr>
                <w:rFonts w:asciiTheme="minorHAnsi" w:hAnsiTheme="minorHAnsi"/>
                <w:sz w:val="22"/>
                <w:szCs w:val="22"/>
              </w:rPr>
              <w:t>l</w:t>
            </w:r>
            <w:r>
              <w:rPr>
                <w:rFonts w:ascii="Calibri" w:hAnsi="Calibri"/>
                <w:sz w:val="22"/>
                <w:szCs w:val="22"/>
              </w:rPr>
              <w:t>ī</w:t>
            </w:r>
            <w:r>
              <w:rPr>
                <w:rFonts w:asciiTheme="minorHAnsi" w:hAnsiTheme="minorHAnsi"/>
                <w:sz w:val="22"/>
                <w:szCs w:val="22"/>
              </w:rPr>
              <w:t xml:space="preserve"> (Qum: D</w:t>
            </w:r>
            <w:r>
              <w:rPr>
                <w:rFonts w:ascii="Calibri" w:hAnsi="Calibri"/>
                <w:sz w:val="22"/>
                <w:szCs w:val="22"/>
              </w:rPr>
              <w:t>ā</w:t>
            </w:r>
            <w:r>
              <w:rPr>
                <w:rFonts w:asciiTheme="minorHAnsi" w:hAnsiTheme="minorHAnsi"/>
                <w:sz w:val="22"/>
                <w:szCs w:val="22"/>
              </w:rPr>
              <w:t>r al-S</w:t>
            </w:r>
            <w:r>
              <w:rPr>
                <w:rFonts w:ascii="Calibri" w:hAnsi="Calibri"/>
                <w:sz w:val="22"/>
                <w:szCs w:val="22"/>
              </w:rPr>
              <w:t>ī</w:t>
            </w:r>
            <w:r>
              <w:rPr>
                <w:rFonts w:asciiTheme="minorHAnsi" w:hAnsiTheme="minorHAnsi"/>
                <w:sz w:val="22"/>
                <w:szCs w:val="22"/>
              </w:rPr>
              <w:t>rah, 1418 Hijrī)</w:t>
            </w:r>
          </w:p>
          <w:p w:rsidR="00D5582C" w:rsidRDefault="00D5582C" w:rsidP="008D6268">
            <w:pPr>
              <w:pStyle w:val="NormalWeb"/>
              <w:spacing w:before="0" w:beforeAutospacing="0" w:after="0" w:afterAutospacing="0"/>
              <w:rPr>
                <w:rFonts w:asciiTheme="minorHAnsi" w:hAnsiTheme="minorHAnsi"/>
                <w:b/>
                <w:bCs/>
                <w:sz w:val="22"/>
                <w:szCs w:val="22"/>
              </w:rPr>
            </w:pPr>
            <w:r>
              <w:rPr>
                <w:rFonts w:asciiTheme="minorHAnsi" w:hAnsiTheme="minorHAnsi"/>
                <w:b/>
                <w:bCs/>
                <w:sz w:val="22"/>
                <w:szCs w:val="22"/>
              </w:rPr>
              <w:t xml:space="preserve"> </w:t>
            </w:r>
          </w:p>
          <w:p w:rsidR="00D5582C" w:rsidRDefault="00D5582C" w:rsidP="008D6268">
            <w:pPr>
              <w:pStyle w:val="NormalWeb"/>
              <w:spacing w:before="0" w:beforeAutospacing="0" w:after="0" w:afterAutospacing="0"/>
              <w:rPr>
                <w:rFonts w:asciiTheme="minorHAnsi" w:hAnsiTheme="minorHAnsi"/>
                <w:b/>
                <w:bCs/>
                <w:sz w:val="22"/>
                <w:szCs w:val="22"/>
              </w:rPr>
            </w:pPr>
            <w:r>
              <w:rPr>
                <w:rFonts w:asciiTheme="minorHAnsi" w:hAnsiTheme="minorHAnsi"/>
                <w:b/>
                <w:bCs/>
                <w:sz w:val="22"/>
                <w:szCs w:val="22"/>
              </w:rPr>
              <w:t>981-1053 CE:</w:t>
            </w:r>
          </w:p>
          <w:p w:rsidR="00D5582C" w:rsidRPr="002F7D1B" w:rsidRDefault="00D5582C" w:rsidP="008D6268">
            <w:pPr>
              <w:pStyle w:val="NormalWeb"/>
              <w:spacing w:before="0" w:beforeAutospacing="0" w:after="0" w:afterAutospacing="0"/>
              <w:ind w:left="450" w:hanging="450"/>
              <w:rPr>
                <w:rFonts w:asciiTheme="minorHAnsi" w:hAnsiTheme="minorHAnsi"/>
                <w:sz w:val="22"/>
                <w:szCs w:val="22"/>
                <w:lang w:bidi="ar-AE"/>
              </w:rPr>
            </w:pPr>
            <w:proofErr w:type="gramStart"/>
            <w:r>
              <w:rPr>
                <w:rFonts w:asciiTheme="minorHAnsi" w:hAnsiTheme="minorHAnsi"/>
                <w:sz w:val="22"/>
                <w:szCs w:val="22"/>
              </w:rPr>
              <w:t>al-D</w:t>
            </w:r>
            <w:r>
              <w:rPr>
                <w:rFonts w:ascii="Calibri" w:hAnsi="Calibri"/>
                <w:sz w:val="22"/>
                <w:szCs w:val="22"/>
              </w:rPr>
              <w:t>ā</w:t>
            </w:r>
            <w:r>
              <w:rPr>
                <w:rFonts w:asciiTheme="minorHAnsi" w:hAnsiTheme="minorHAnsi"/>
                <w:sz w:val="22"/>
                <w:szCs w:val="22"/>
              </w:rPr>
              <w:t>n</w:t>
            </w:r>
            <w:r>
              <w:rPr>
                <w:rFonts w:ascii="Calibri" w:hAnsi="Calibri"/>
                <w:sz w:val="22"/>
                <w:szCs w:val="22"/>
              </w:rPr>
              <w:t>ī</w:t>
            </w:r>
            <w:proofErr w:type="gramEnd"/>
            <w:r>
              <w:rPr>
                <w:rFonts w:asciiTheme="minorHAnsi" w:hAnsiTheme="minorHAnsi"/>
                <w:sz w:val="22"/>
                <w:szCs w:val="22"/>
              </w:rPr>
              <w:t>, ab</w:t>
            </w:r>
            <w:r>
              <w:rPr>
                <w:rFonts w:ascii="Calibri" w:hAnsi="Calibri"/>
                <w:sz w:val="22"/>
                <w:szCs w:val="22"/>
              </w:rPr>
              <w:t>ū</w:t>
            </w:r>
            <w:r>
              <w:rPr>
                <w:rFonts w:asciiTheme="minorHAnsi" w:hAnsiTheme="minorHAnsi"/>
                <w:sz w:val="22"/>
                <w:szCs w:val="22"/>
              </w:rPr>
              <w:t xml:space="preserve"> ‘Amr Uthm</w:t>
            </w:r>
            <w:r>
              <w:rPr>
                <w:rFonts w:ascii="Calibri" w:hAnsi="Calibri"/>
                <w:sz w:val="22"/>
                <w:szCs w:val="22"/>
              </w:rPr>
              <w:t>ā</w:t>
            </w:r>
            <w:r>
              <w:rPr>
                <w:rFonts w:asciiTheme="minorHAnsi" w:hAnsiTheme="minorHAnsi"/>
                <w:sz w:val="22"/>
                <w:szCs w:val="22"/>
              </w:rPr>
              <w:t>n b. Sa’</w:t>
            </w:r>
            <w:r>
              <w:rPr>
                <w:rFonts w:ascii="Calibri" w:hAnsi="Calibri"/>
                <w:sz w:val="22"/>
                <w:szCs w:val="22"/>
              </w:rPr>
              <w:t>ī</w:t>
            </w:r>
            <w:r>
              <w:rPr>
                <w:rFonts w:asciiTheme="minorHAnsi" w:hAnsiTheme="minorHAnsi"/>
                <w:sz w:val="22"/>
                <w:szCs w:val="22"/>
              </w:rPr>
              <w:t xml:space="preserve">d, </w:t>
            </w:r>
            <w:r w:rsidRPr="002F7D1B">
              <w:rPr>
                <w:rFonts w:asciiTheme="minorHAnsi" w:hAnsiTheme="minorHAnsi"/>
                <w:i/>
                <w:iCs/>
                <w:sz w:val="22"/>
                <w:szCs w:val="22"/>
                <w:lang w:bidi="ar-AE"/>
              </w:rPr>
              <w:t>The Reported Prophetic Sayings on the Tribulations and Disasters and the Last Hour and its Portents</w:t>
            </w:r>
            <w:r>
              <w:rPr>
                <w:rFonts w:asciiTheme="minorHAnsi" w:hAnsiTheme="minorHAnsi"/>
                <w:sz w:val="22"/>
                <w:szCs w:val="22"/>
                <w:lang w:bidi="ar-AE"/>
              </w:rPr>
              <w:t>, ed. by Ridh</w:t>
            </w:r>
            <w:r>
              <w:rPr>
                <w:rFonts w:ascii="Calibri" w:hAnsi="Calibri"/>
                <w:sz w:val="22"/>
                <w:szCs w:val="22"/>
                <w:lang w:bidi="ar-AE"/>
              </w:rPr>
              <w:t>ā</w:t>
            </w:r>
            <w:r>
              <w:rPr>
                <w:rFonts w:asciiTheme="minorHAnsi" w:hAnsiTheme="minorHAnsi"/>
                <w:sz w:val="22"/>
                <w:szCs w:val="22"/>
                <w:lang w:bidi="ar-AE"/>
              </w:rPr>
              <w:t>’ Allah b. Mu</w:t>
            </w:r>
            <w:r>
              <w:rPr>
                <w:rFonts w:ascii="Calibri" w:hAnsi="Calibri"/>
                <w:sz w:val="22"/>
                <w:szCs w:val="22"/>
                <w:lang w:bidi="ar-AE"/>
              </w:rPr>
              <w:t>ḥ</w:t>
            </w:r>
            <w:r>
              <w:rPr>
                <w:rFonts w:asciiTheme="minorHAnsi" w:hAnsiTheme="minorHAnsi"/>
                <w:sz w:val="22"/>
                <w:szCs w:val="22"/>
                <w:lang w:bidi="ar-AE"/>
              </w:rPr>
              <w:t>ammad Idr</w:t>
            </w:r>
            <w:r>
              <w:rPr>
                <w:rFonts w:ascii="Calibri" w:hAnsi="Calibri"/>
                <w:sz w:val="22"/>
                <w:szCs w:val="22"/>
                <w:lang w:bidi="ar-AE"/>
              </w:rPr>
              <w:t>ī</w:t>
            </w:r>
            <w:r>
              <w:rPr>
                <w:rFonts w:asciiTheme="minorHAnsi" w:hAnsiTheme="minorHAnsi"/>
                <w:sz w:val="22"/>
                <w:szCs w:val="22"/>
                <w:lang w:bidi="ar-AE"/>
              </w:rPr>
              <w:t>s al-Mubarakf</w:t>
            </w:r>
            <w:r>
              <w:rPr>
                <w:rFonts w:ascii="Calibri" w:hAnsi="Calibri"/>
                <w:sz w:val="22"/>
                <w:szCs w:val="22"/>
                <w:lang w:bidi="ar-AE"/>
              </w:rPr>
              <w:t>ū</w:t>
            </w:r>
            <w:r>
              <w:rPr>
                <w:rFonts w:asciiTheme="minorHAnsi" w:hAnsiTheme="minorHAnsi"/>
                <w:sz w:val="22"/>
                <w:szCs w:val="22"/>
                <w:lang w:bidi="ar-AE"/>
              </w:rPr>
              <w:t>r</w:t>
            </w:r>
            <w:r>
              <w:rPr>
                <w:rFonts w:ascii="Calibri" w:hAnsi="Calibri"/>
                <w:sz w:val="22"/>
                <w:szCs w:val="22"/>
                <w:lang w:bidi="ar-AE"/>
              </w:rPr>
              <w:t>ī</w:t>
            </w:r>
            <w:r>
              <w:rPr>
                <w:rFonts w:asciiTheme="minorHAnsi" w:hAnsiTheme="minorHAnsi"/>
                <w:sz w:val="22"/>
                <w:szCs w:val="22"/>
                <w:lang w:bidi="ar-AE"/>
              </w:rPr>
              <w:t xml:space="preserve"> (Riyadh: D</w:t>
            </w:r>
            <w:r>
              <w:rPr>
                <w:rFonts w:ascii="Calibri" w:hAnsi="Calibri"/>
                <w:sz w:val="22"/>
                <w:szCs w:val="22"/>
                <w:lang w:bidi="ar-AE"/>
              </w:rPr>
              <w:t>ā</w:t>
            </w:r>
            <w:r>
              <w:rPr>
                <w:rFonts w:asciiTheme="minorHAnsi" w:hAnsiTheme="minorHAnsi"/>
                <w:sz w:val="22"/>
                <w:szCs w:val="22"/>
                <w:lang w:bidi="ar-AE"/>
              </w:rPr>
              <w:t>r al-‘</w:t>
            </w:r>
            <w:r>
              <w:rPr>
                <w:rFonts w:ascii="Calibri" w:hAnsi="Calibri"/>
                <w:sz w:val="22"/>
                <w:szCs w:val="22"/>
                <w:lang w:bidi="ar-AE"/>
              </w:rPr>
              <w:t>Ā</w:t>
            </w:r>
            <w:r>
              <w:rPr>
                <w:rFonts w:ascii="Arial" w:hAnsi="Arial" w:cs="Arial"/>
                <w:sz w:val="22"/>
                <w:szCs w:val="22"/>
                <w:lang w:bidi="ar-AE"/>
              </w:rPr>
              <w:t>ṣ</w:t>
            </w:r>
            <w:r>
              <w:rPr>
                <w:rFonts w:asciiTheme="minorHAnsi" w:hAnsiTheme="minorHAnsi"/>
                <w:sz w:val="22"/>
                <w:szCs w:val="22"/>
                <w:lang w:bidi="ar-AE"/>
              </w:rPr>
              <w:t>imah lil-Nashr wal-Tawz</w:t>
            </w:r>
            <w:r>
              <w:rPr>
                <w:rFonts w:ascii="Calibri" w:hAnsi="Calibri"/>
                <w:sz w:val="22"/>
                <w:szCs w:val="22"/>
                <w:lang w:bidi="ar-AE"/>
              </w:rPr>
              <w:t>ī</w:t>
            </w:r>
            <w:r>
              <w:rPr>
                <w:rFonts w:asciiTheme="minorHAnsi" w:hAnsiTheme="minorHAnsi"/>
                <w:sz w:val="22"/>
                <w:szCs w:val="22"/>
                <w:lang w:bidi="ar-AE"/>
              </w:rPr>
              <w:t>’, n.d.)</w:t>
            </w:r>
          </w:p>
          <w:p w:rsidR="00D5582C" w:rsidRDefault="00D5582C" w:rsidP="008D6268">
            <w:pPr>
              <w:pStyle w:val="NormalWeb"/>
              <w:spacing w:before="0" w:beforeAutospacing="0" w:after="0" w:afterAutospacing="0"/>
              <w:rPr>
                <w:rFonts w:asciiTheme="minorHAnsi" w:hAnsiTheme="minorHAnsi"/>
                <w:b/>
                <w:bCs/>
                <w:sz w:val="22"/>
                <w:szCs w:val="22"/>
              </w:rPr>
            </w:pPr>
          </w:p>
          <w:p w:rsidR="00D5582C" w:rsidRDefault="00D5582C" w:rsidP="008D6268">
            <w:pPr>
              <w:pStyle w:val="NormalWeb"/>
              <w:spacing w:before="0" w:beforeAutospacing="0" w:after="0" w:afterAutospacing="0"/>
              <w:rPr>
                <w:rFonts w:asciiTheme="minorHAnsi" w:hAnsiTheme="minorHAnsi"/>
                <w:b/>
                <w:bCs/>
                <w:sz w:val="22"/>
                <w:szCs w:val="22"/>
              </w:rPr>
            </w:pPr>
            <w:r>
              <w:rPr>
                <w:rFonts w:asciiTheme="minorHAnsi" w:hAnsiTheme="minorHAnsi"/>
                <w:b/>
                <w:bCs/>
                <w:sz w:val="22"/>
                <w:szCs w:val="22"/>
              </w:rPr>
              <w:t>Died after 1259 CE:</w:t>
            </w:r>
          </w:p>
          <w:p w:rsidR="00D5582C" w:rsidRPr="00914898" w:rsidRDefault="00D5582C" w:rsidP="008D6268">
            <w:pPr>
              <w:pStyle w:val="NormalWeb"/>
              <w:spacing w:before="0" w:beforeAutospacing="0" w:after="0" w:afterAutospacing="0"/>
              <w:ind w:left="450" w:hanging="450"/>
              <w:rPr>
                <w:rFonts w:asciiTheme="minorHAnsi" w:hAnsiTheme="minorHAnsi"/>
                <w:sz w:val="22"/>
                <w:szCs w:val="22"/>
                <w:lang w:bidi="ar-AE"/>
              </w:rPr>
            </w:pPr>
            <w:r>
              <w:rPr>
                <w:rFonts w:asciiTheme="minorHAnsi" w:hAnsiTheme="minorHAnsi"/>
                <w:sz w:val="22"/>
                <w:szCs w:val="22"/>
              </w:rPr>
              <w:t>al-Sh</w:t>
            </w:r>
            <w:r>
              <w:rPr>
                <w:rFonts w:ascii="Calibri" w:hAnsi="Calibri"/>
                <w:sz w:val="22"/>
                <w:szCs w:val="22"/>
              </w:rPr>
              <w:t>ā</w:t>
            </w:r>
            <w:r>
              <w:rPr>
                <w:rFonts w:asciiTheme="minorHAnsi" w:hAnsiTheme="minorHAnsi"/>
                <w:sz w:val="22"/>
                <w:szCs w:val="22"/>
              </w:rPr>
              <w:t>fi’</w:t>
            </w:r>
            <w:r>
              <w:rPr>
                <w:rFonts w:ascii="Calibri" w:hAnsi="Calibri"/>
                <w:sz w:val="22"/>
                <w:szCs w:val="22"/>
              </w:rPr>
              <w:t>ī</w:t>
            </w:r>
            <w:r>
              <w:rPr>
                <w:rFonts w:asciiTheme="minorHAnsi" w:hAnsiTheme="minorHAnsi"/>
                <w:sz w:val="22"/>
                <w:szCs w:val="22"/>
              </w:rPr>
              <w:t>, Y</w:t>
            </w:r>
            <w:r>
              <w:rPr>
                <w:rFonts w:ascii="Calibri" w:hAnsi="Calibri"/>
                <w:sz w:val="22"/>
                <w:szCs w:val="22"/>
              </w:rPr>
              <w:t>ū</w:t>
            </w:r>
            <w:r>
              <w:rPr>
                <w:rFonts w:asciiTheme="minorHAnsi" w:hAnsiTheme="minorHAnsi"/>
                <w:sz w:val="22"/>
                <w:szCs w:val="22"/>
              </w:rPr>
              <w:t>suf b. Ya</w:t>
            </w:r>
            <w:r>
              <w:rPr>
                <w:rFonts w:ascii="Calibri" w:hAnsi="Calibri"/>
                <w:sz w:val="22"/>
                <w:szCs w:val="22"/>
              </w:rPr>
              <w:t>ḥ</w:t>
            </w:r>
            <w:r>
              <w:rPr>
                <w:rFonts w:asciiTheme="minorHAnsi" w:hAnsiTheme="minorHAnsi"/>
                <w:sz w:val="22"/>
                <w:szCs w:val="22"/>
              </w:rPr>
              <w:t>y</w:t>
            </w:r>
            <w:r>
              <w:rPr>
                <w:rFonts w:ascii="Calibri" w:hAnsi="Calibri"/>
                <w:sz w:val="22"/>
                <w:szCs w:val="22"/>
              </w:rPr>
              <w:t>ā</w:t>
            </w:r>
            <w:r>
              <w:rPr>
                <w:rFonts w:asciiTheme="minorHAnsi" w:hAnsiTheme="minorHAnsi"/>
                <w:sz w:val="22"/>
                <w:szCs w:val="22"/>
              </w:rPr>
              <w:t xml:space="preserve"> b. ‘Al</w:t>
            </w:r>
            <w:r>
              <w:rPr>
                <w:rFonts w:ascii="Calibri" w:hAnsi="Calibri"/>
                <w:sz w:val="22"/>
                <w:szCs w:val="22"/>
              </w:rPr>
              <w:t>ī</w:t>
            </w:r>
            <w:r>
              <w:rPr>
                <w:rFonts w:asciiTheme="minorHAnsi" w:hAnsiTheme="minorHAnsi"/>
                <w:sz w:val="22"/>
                <w:szCs w:val="22"/>
              </w:rPr>
              <w:t xml:space="preserve"> al-Maqdis</w:t>
            </w:r>
            <w:r>
              <w:rPr>
                <w:rFonts w:ascii="Calibri" w:hAnsi="Calibri"/>
                <w:sz w:val="22"/>
                <w:szCs w:val="22"/>
              </w:rPr>
              <w:t>ī</w:t>
            </w:r>
            <w:r>
              <w:rPr>
                <w:rFonts w:asciiTheme="minorHAnsi" w:hAnsiTheme="minorHAnsi"/>
                <w:sz w:val="22"/>
                <w:szCs w:val="22"/>
              </w:rPr>
              <w:t xml:space="preserve">, </w:t>
            </w:r>
            <w:r w:rsidRPr="002C18A9">
              <w:rPr>
                <w:rFonts w:asciiTheme="minorHAnsi" w:hAnsiTheme="minorHAnsi"/>
                <w:i/>
                <w:iCs/>
                <w:sz w:val="22"/>
                <w:szCs w:val="22"/>
              </w:rPr>
              <w:t xml:space="preserve">The Necklace of Pearls on the </w:t>
            </w:r>
            <w:r w:rsidRPr="002C18A9">
              <w:rPr>
                <w:rFonts w:asciiTheme="minorHAnsi" w:hAnsiTheme="minorHAnsi"/>
                <w:i/>
                <w:iCs/>
                <w:sz w:val="22"/>
                <w:szCs w:val="22"/>
                <w:lang w:bidi="ar-AE"/>
              </w:rPr>
              <w:t>Messiah</w:t>
            </w:r>
            <w:r>
              <w:rPr>
                <w:rFonts w:asciiTheme="minorHAnsi" w:hAnsiTheme="minorHAnsi"/>
                <w:sz w:val="22"/>
                <w:szCs w:val="22"/>
                <w:lang w:bidi="ar-AE"/>
              </w:rPr>
              <w:t>, ed. by Muh</w:t>
            </w:r>
            <w:r>
              <w:rPr>
                <w:rFonts w:ascii="Calibri" w:hAnsi="Calibri"/>
                <w:sz w:val="22"/>
                <w:szCs w:val="22"/>
                <w:lang w:bidi="ar-AE"/>
              </w:rPr>
              <w:t>ī</w:t>
            </w:r>
            <w:r>
              <w:rPr>
                <w:rFonts w:asciiTheme="minorHAnsi" w:hAnsiTheme="minorHAnsi"/>
                <w:sz w:val="22"/>
                <w:szCs w:val="22"/>
                <w:lang w:bidi="ar-AE"/>
              </w:rPr>
              <w:t xml:space="preserve">b b. </w:t>
            </w:r>
            <w:r>
              <w:rPr>
                <w:rFonts w:ascii="Calibri" w:hAnsi="Calibri"/>
                <w:sz w:val="22"/>
                <w:szCs w:val="22"/>
                <w:lang w:bidi="ar-AE"/>
              </w:rPr>
              <w:t>Ṣ</w:t>
            </w:r>
            <w:r>
              <w:rPr>
                <w:rFonts w:asciiTheme="minorHAnsi" w:hAnsiTheme="minorHAnsi"/>
                <w:sz w:val="22"/>
                <w:szCs w:val="22"/>
                <w:lang w:bidi="ar-AE"/>
              </w:rPr>
              <w:t>āle</w:t>
            </w:r>
            <w:r>
              <w:rPr>
                <w:rFonts w:ascii="Calibri" w:hAnsi="Calibri"/>
                <w:sz w:val="22"/>
                <w:szCs w:val="22"/>
                <w:lang w:bidi="ar-AE"/>
              </w:rPr>
              <w:t>ḥ</w:t>
            </w:r>
            <w:r>
              <w:rPr>
                <w:rFonts w:asciiTheme="minorHAnsi" w:hAnsiTheme="minorHAnsi"/>
                <w:sz w:val="22"/>
                <w:szCs w:val="22"/>
                <w:lang w:bidi="ar-AE"/>
              </w:rPr>
              <w:t xml:space="preserve"> b. ‘Abd al-Ra</w:t>
            </w:r>
            <w:r>
              <w:rPr>
                <w:rFonts w:ascii="Calibri" w:hAnsi="Calibri"/>
                <w:sz w:val="22"/>
                <w:szCs w:val="22"/>
                <w:lang w:bidi="ar-AE"/>
              </w:rPr>
              <w:t>ḥ</w:t>
            </w:r>
            <w:r>
              <w:rPr>
                <w:rFonts w:asciiTheme="minorHAnsi" w:hAnsiTheme="minorHAnsi"/>
                <w:sz w:val="22"/>
                <w:szCs w:val="22"/>
                <w:lang w:bidi="ar-AE"/>
              </w:rPr>
              <w:t>m</w:t>
            </w:r>
            <w:r>
              <w:rPr>
                <w:rFonts w:ascii="Calibri" w:hAnsi="Calibri"/>
                <w:sz w:val="22"/>
                <w:szCs w:val="22"/>
                <w:lang w:bidi="ar-AE"/>
              </w:rPr>
              <w:t>ā</w:t>
            </w:r>
            <w:r>
              <w:rPr>
                <w:rFonts w:asciiTheme="minorHAnsi" w:hAnsiTheme="minorHAnsi"/>
                <w:sz w:val="22"/>
                <w:szCs w:val="22"/>
                <w:lang w:bidi="ar-AE"/>
              </w:rPr>
              <w:t>n al-B</w:t>
            </w:r>
            <w:r>
              <w:rPr>
                <w:rFonts w:ascii="Calibri" w:hAnsi="Calibri"/>
                <w:sz w:val="22"/>
                <w:szCs w:val="22"/>
                <w:lang w:bidi="ar-AE"/>
              </w:rPr>
              <w:t>ū</w:t>
            </w:r>
            <w:r>
              <w:rPr>
                <w:rFonts w:asciiTheme="minorHAnsi" w:hAnsiTheme="minorHAnsi"/>
                <w:sz w:val="22"/>
                <w:szCs w:val="22"/>
                <w:lang w:bidi="ar-AE"/>
              </w:rPr>
              <w:t>r</w:t>
            </w:r>
            <w:r>
              <w:rPr>
                <w:rFonts w:ascii="Calibri" w:hAnsi="Calibri"/>
                <w:sz w:val="22"/>
                <w:szCs w:val="22"/>
                <w:lang w:bidi="ar-AE"/>
              </w:rPr>
              <w:t>ī</w:t>
            </w:r>
            <w:r>
              <w:rPr>
                <w:rFonts w:asciiTheme="minorHAnsi" w:hAnsiTheme="minorHAnsi"/>
                <w:sz w:val="22"/>
                <w:szCs w:val="22"/>
                <w:lang w:bidi="ar-AE"/>
              </w:rPr>
              <w:t>n</w:t>
            </w:r>
            <w:r>
              <w:rPr>
                <w:rFonts w:ascii="Calibri" w:hAnsi="Calibri"/>
                <w:sz w:val="22"/>
                <w:szCs w:val="22"/>
                <w:lang w:bidi="ar-AE"/>
              </w:rPr>
              <w:t>ī</w:t>
            </w:r>
            <w:r>
              <w:rPr>
                <w:rFonts w:asciiTheme="minorHAnsi" w:hAnsiTheme="minorHAnsi"/>
                <w:sz w:val="22"/>
                <w:szCs w:val="22"/>
                <w:lang w:bidi="ar-AE"/>
              </w:rPr>
              <w:t xml:space="preserve"> (al-Zarqa: Maktabat al-Man</w:t>
            </w:r>
            <w:r>
              <w:rPr>
                <w:rFonts w:ascii="Calibri" w:hAnsi="Calibri"/>
                <w:sz w:val="22"/>
                <w:szCs w:val="22"/>
                <w:lang w:bidi="ar-AE"/>
              </w:rPr>
              <w:t>ā</w:t>
            </w:r>
            <w:r>
              <w:rPr>
                <w:rFonts w:asciiTheme="minorHAnsi" w:hAnsiTheme="minorHAnsi"/>
                <w:sz w:val="22"/>
                <w:szCs w:val="22"/>
                <w:lang w:bidi="ar-AE"/>
              </w:rPr>
              <w:t>r, 1989)</w:t>
            </w:r>
          </w:p>
          <w:p w:rsidR="00D5582C" w:rsidRDefault="00D5582C" w:rsidP="008D6268">
            <w:pPr>
              <w:pStyle w:val="NormalWeb"/>
              <w:spacing w:before="0" w:beforeAutospacing="0" w:after="0" w:afterAutospacing="0"/>
              <w:rPr>
                <w:rFonts w:asciiTheme="minorHAnsi" w:hAnsiTheme="minorHAnsi"/>
                <w:b/>
                <w:bCs/>
                <w:sz w:val="22"/>
                <w:szCs w:val="22"/>
              </w:rPr>
            </w:pPr>
          </w:p>
          <w:p w:rsidR="00D5582C" w:rsidRDefault="00D5582C" w:rsidP="008D6268">
            <w:pPr>
              <w:pStyle w:val="NormalWeb"/>
              <w:spacing w:before="0" w:beforeAutospacing="0" w:after="0" w:afterAutospacing="0"/>
              <w:rPr>
                <w:rFonts w:asciiTheme="minorHAnsi" w:hAnsiTheme="minorHAnsi"/>
                <w:b/>
                <w:bCs/>
                <w:sz w:val="22"/>
                <w:szCs w:val="22"/>
              </w:rPr>
            </w:pPr>
          </w:p>
          <w:p w:rsidR="00D5582C" w:rsidRDefault="00D5582C" w:rsidP="008D6268">
            <w:pPr>
              <w:pStyle w:val="NormalWeb"/>
              <w:spacing w:before="0" w:beforeAutospacing="0" w:after="0" w:afterAutospacing="0"/>
              <w:rPr>
                <w:rFonts w:asciiTheme="minorHAnsi" w:hAnsiTheme="minorHAnsi"/>
                <w:b/>
                <w:bCs/>
                <w:sz w:val="22"/>
                <w:szCs w:val="22"/>
              </w:rPr>
            </w:pPr>
            <w:r>
              <w:rPr>
                <w:rFonts w:asciiTheme="minorHAnsi" w:hAnsiTheme="minorHAnsi"/>
                <w:b/>
                <w:bCs/>
                <w:sz w:val="22"/>
                <w:szCs w:val="22"/>
              </w:rPr>
              <w:t>c. 1214-1273 CE:</w:t>
            </w:r>
          </w:p>
          <w:p w:rsidR="00D5582C" w:rsidRPr="00A60936" w:rsidRDefault="00D5582C" w:rsidP="008D6268">
            <w:pPr>
              <w:pStyle w:val="NormalWeb"/>
              <w:spacing w:before="0" w:beforeAutospacing="0" w:after="0" w:afterAutospacing="0"/>
              <w:ind w:left="450" w:hanging="450"/>
              <w:rPr>
                <w:rFonts w:asciiTheme="minorHAnsi" w:hAnsiTheme="minorHAnsi"/>
                <w:sz w:val="22"/>
                <w:szCs w:val="22"/>
                <w:lang w:bidi="ar-AE"/>
              </w:rPr>
            </w:pPr>
            <w:r w:rsidRPr="00A60936">
              <w:rPr>
                <w:rFonts w:asciiTheme="minorHAnsi" w:hAnsiTheme="minorHAnsi"/>
                <w:sz w:val="22"/>
                <w:szCs w:val="22"/>
              </w:rPr>
              <w:t>al-Q</w:t>
            </w:r>
            <w:r>
              <w:rPr>
                <w:rFonts w:asciiTheme="minorHAnsi" w:hAnsiTheme="minorHAnsi"/>
                <w:sz w:val="22"/>
                <w:szCs w:val="22"/>
              </w:rPr>
              <w:t>ur</w:t>
            </w:r>
            <w:r>
              <w:rPr>
                <w:rFonts w:ascii="Arial" w:hAnsi="Arial" w:cs="Arial"/>
                <w:sz w:val="22"/>
                <w:szCs w:val="22"/>
              </w:rPr>
              <w:t>ṭ</w:t>
            </w:r>
            <w:r>
              <w:rPr>
                <w:rFonts w:asciiTheme="minorHAnsi" w:hAnsiTheme="minorHAnsi"/>
                <w:sz w:val="22"/>
                <w:szCs w:val="22"/>
              </w:rPr>
              <w:t>u</w:t>
            </w:r>
            <w:r w:rsidRPr="00A60936">
              <w:rPr>
                <w:rFonts w:asciiTheme="minorHAnsi" w:hAnsiTheme="minorHAnsi"/>
                <w:sz w:val="22"/>
                <w:szCs w:val="22"/>
              </w:rPr>
              <w:t>bī, abū ‘Abdullah b. Mu</w:t>
            </w:r>
            <w:r w:rsidRPr="00A60936">
              <w:rPr>
                <w:rFonts w:ascii="Arial" w:hAnsi="Arial" w:cs="Arial"/>
                <w:sz w:val="22"/>
                <w:szCs w:val="22"/>
              </w:rPr>
              <w:t>ḥ</w:t>
            </w:r>
            <w:r w:rsidRPr="00A60936">
              <w:rPr>
                <w:rFonts w:asciiTheme="minorHAnsi" w:hAnsiTheme="minorHAnsi"/>
                <w:sz w:val="22"/>
                <w:szCs w:val="22"/>
              </w:rPr>
              <w:t>ammad b. A</w:t>
            </w:r>
            <w:r w:rsidRPr="00A60936">
              <w:rPr>
                <w:rFonts w:ascii="Arial" w:hAnsi="Arial" w:cs="Arial"/>
                <w:sz w:val="22"/>
                <w:szCs w:val="22"/>
              </w:rPr>
              <w:t>ḥ</w:t>
            </w:r>
            <w:r w:rsidRPr="00A60936">
              <w:rPr>
                <w:rFonts w:asciiTheme="minorHAnsi" w:hAnsiTheme="minorHAnsi"/>
                <w:sz w:val="22"/>
                <w:szCs w:val="22"/>
              </w:rPr>
              <w:t>mad,</w:t>
            </w:r>
            <w:r>
              <w:rPr>
                <w:rFonts w:asciiTheme="minorHAnsi" w:hAnsiTheme="minorHAnsi"/>
                <w:sz w:val="22"/>
                <w:szCs w:val="22"/>
              </w:rPr>
              <w:t xml:space="preserve"> </w:t>
            </w:r>
            <w:r w:rsidRPr="00A60936">
              <w:rPr>
                <w:rFonts w:asciiTheme="minorHAnsi" w:hAnsiTheme="minorHAnsi"/>
                <w:i/>
                <w:iCs/>
                <w:sz w:val="22"/>
                <w:szCs w:val="22"/>
              </w:rPr>
              <w:t>The Reminder on the Affairs of the Dead and</w:t>
            </w:r>
            <w:r>
              <w:rPr>
                <w:rFonts w:asciiTheme="minorHAnsi" w:hAnsiTheme="minorHAnsi"/>
                <w:i/>
                <w:iCs/>
                <w:sz w:val="22"/>
                <w:szCs w:val="22"/>
                <w:lang w:bidi="ar-AE"/>
              </w:rPr>
              <w:t xml:space="preserve"> </w:t>
            </w:r>
            <w:r w:rsidRPr="00A60936">
              <w:rPr>
                <w:rFonts w:asciiTheme="minorHAnsi" w:hAnsiTheme="minorHAnsi"/>
                <w:i/>
                <w:iCs/>
                <w:sz w:val="22"/>
                <w:szCs w:val="22"/>
                <w:lang w:bidi="ar-AE"/>
              </w:rPr>
              <w:t>Afterlife</w:t>
            </w:r>
            <w:r>
              <w:rPr>
                <w:rFonts w:asciiTheme="minorHAnsi" w:hAnsiTheme="minorHAnsi"/>
                <w:sz w:val="22"/>
                <w:szCs w:val="22"/>
                <w:lang w:bidi="ar-AE"/>
              </w:rPr>
              <w:t>, ed. by al-</w:t>
            </w:r>
            <w:r>
              <w:rPr>
                <w:rFonts w:ascii="Calibri" w:hAnsi="Calibri"/>
                <w:sz w:val="22"/>
                <w:szCs w:val="22"/>
                <w:lang w:bidi="ar-AE"/>
              </w:rPr>
              <w:t>Ṣ</w:t>
            </w:r>
            <w:r>
              <w:rPr>
                <w:rFonts w:asciiTheme="minorHAnsi" w:hAnsiTheme="minorHAnsi"/>
                <w:sz w:val="22"/>
                <w:szCs w:val="22"/>
                <w:lang w:bidi="ar-AE"/>
              </w:rPr>
              <w:t>ādiq b. Mu</w:t>
            </w:r>
            <w:r>
              <w:rPr>
                <w:rFonts w:ascii="Calibri" w:hAnsi="Calibri"/>
                <w:sz w:val="22"/>
                <w:szCs w:val="22"/>
                <w:lang w:bidi="ar-AE"/>
              </w:rPr>
              <w:t>ḥ</w:t>
            </w:r>
            <w:r>
              <w:rPr>
                <w:rFonts w:asciiTheme="minorHAnsi" w:hAnsiTheme="minorHAnsi"/>
                <w:sz w:val="22"/>
                <w:szCs w:val="22"/>
                <w:lang w:bidi="ar-AE"/>
              </w:rPr>
              <w:t>ammad b. Ibr</w:t>
            </w:r>
            <w:r>
              <w:rPr>
                <w:rFonts w:ascii="Calibri" w:hAnsi="Calibri"/>
                <w:sz w:val="22"/>
                <w:szCs w:val="22"/>
                <w:lang w:bidi="ar-AE"/>
              </w:rPr>
              <w:t>ā</w:t>
            </w:r>
            <w:r>
              <w:rPr>
                <w:rFonts w:asciiTheme="minorHAnsi" w:hAnsiTheme="minorHAnsi"/>
                <w:sz w:val="22"/>
                <w:szCs w:val="22"/>
                <w:lang w:bidi="ar-AE"/>
              </w:rPr>
              <w:t>h</w:t>
            </w:r>
            <w:r>
              <w:rPr>
                <w:rFonts w:ascii="Calibri" w:hAnsi="Calibri"/>
                <w:sz w:val="22"/>
                <w:szCs w:val="22"/>
                <w:lang w:bidi="ar-AE"/>
              </w:rPr>
              <w:t>ī</w:t>
            </w:r>
            <w:r>
              <w:rPr>
                <w:rFonts w:asciiTheme="minorHAnsi" w:hAnsiTheme="minorHAnsi"/>
                <w:sz w:val="22"/>
                <w:szCs w:val="22"/>
                <w:lang w:bidi="ar-AE"/>
              </w:rPr>
              <w:t>m (Riyadh: Matabat D</w:t>
            </w:r>
            <w:r>
              <w:rPr>
                <w:rFonts w:ascii="Calibri" w:hAnsi="Calibri"/>
                <w:sz w:val="22"/>
                <w:szCs w:val="22"/>
                <w:lang w:bidi="ar-AE"/>
              </w:rPr>
              <w:t>ā</w:t>
            </w:r>
            <w:r>
              <w:rPr>
                <w:rFonts w:asciiTheme="minorHAnsi" w:hAnsiTheme="minorHAnsi"/>
                <w:sz w:val="22"/>
                <w:szCs w:val="22"/>
                <w:lang w:bidi="ar-AE"/>
              </w:rPr>
              <w:t>r al-Minh</w:t>
            </w:r>
            <w:r>
              <w:rPr>
                <w:rFonts w:ascii="Calibri" w:hAnsi="Calibri"/>
                <w:sz w:val="22"/>
                <w:szCs w:val="22"/>
                <w:lang w:bidi="ar-AE"/>
              </w:rPr>
              <w:t>ā</w:t>
            </w:r>
            <w:r>
              <w:rPr>
                <w:rFonts w:asciiTheme="minorHAnsi" w:hAnsiTheme="minorHAnsi"/>
                <w:sz w:val="22"/>
                <w:szCs w:val="22"/>
                <w:lang w:bidi="ar-AE"/>
              </w:rPr>
              <w:t>j lil-Nashr wal-Tawz</w:t>
            </w:r>
            <w:r>
              <w:rPr>
                <w:rFonts w:ascii="Calibri" w:hAnsi="Calibri"/>
                <w:sz w:val="22"/>
                <w:szCs w:val="22"/>
                <w:lang w:bidi="ar-AE"/>
              </w:rPr>
              <w:t>ī</w:t>
            </w:r>
            <w:r>
              <w:rPr>
                <w:rFonts w:asciiTheme="minorHAnsi" w:hAnsiTheme="minorHAnsi"/>
                <w:sz w:val="22"/>
                <w:szCs w:val="22"/>
                <w:lang w:bidi="ar-AE"/>
              </w:rPr>
              <w:t>’, 1425 Hijrī)</w:t>
            </w:r>
          </w:p>
          <w:p w:rsidR="00D5582C" w:rsidRDefault="00D5582C" w:rsidP="008D6268">
            <w:pPr>
              <w:pStyle w:val="NormalWeb"/>
              <w:spacing w:before="0" w:beforeAutospacing="0" w:after="0" w:afterAutospacing="0"/>
              <w:rPr>
                <w:rFonts w:asciiTheme="minorHAnsi" w:hAnsiTheme="minorHAnsi"/>
                <w:b/>
                <w:bCs/>
                <w:sz w:val="22"/>
                <w:szCs w:val="22"/>
              </w:rPr>
            </w:pPr>
          </w:p>
          <w:p w:rsidR="00D5582C" w:rsidRDefault="00D5582C" w:rsidP="008D6268">
            <w:pPr>
              <w:pStyle w:val="NormalWeb"/>
              <w:spacing w:before="0" w:beforeAutospacing="0" w:after="0" w:afterAutospacing="0"/>
              <w:rPr>
                <w:rFonts w:asciiTheme="minorHAnsi" w:hAnsiTheme="minorHAnsi"/>
                <w:b/>
                <w:bCs/>
                <w:sz w:val="22"/>
                <w:szCs w:val="22"/>
              </w:rPr>
            </w:pPr>
            <w:r>
              <w:rPr>
                <w:rFonts w:asciiTheme="minorHAnsi" w:hAnsiTheme="minorHAnsi"/>
                <w:b/>
                <w:bCs/>
                <w:sz w:val="22"/>
                <w:szCs w:val="22"/>
              </w:rPr>
              <w:t>1301-1372 CE:</w:t>
            </w:r>
          </w:p>
          <w:p w:rsidR="00D5582C" w:rsidRDefault="00D5582C" w:rsidP="008D6268">
            <w:pPr>
              <w:pStyle w:val="NormalWeb"/>
              <w:spacing w:before="0" w:beforeAutospacing="0" w:after="0" w:afterAutospacing="0"/>
              <w:ind w:left="450" w:hanging="450"/>
              <w:rPr>
                <w:rFonts w:asciiTheme="minorHAnsi" w:hAnsiTheme="minorHAnsi"/>
                <w:sz w:val="22"/>
                <w:szCs w:val="22"/>
                <w:rtl/>
                <w:lang w:bidi="ar-AE"/>
              </w:rPr>
            </w:pPr>
            <w:r>
              <w:rPr>
                <w:rFonts w:asciiTheme="minorHAnsi" w:hAnsiTheme="minorHAnsi"/>
                <w:sz w:val="22"/>
                <w:szCs w:val="22"/>
              </w:rPr>
              <w:t>ibn Kath</w:t>
            </w:r>
            <w:r>
              <w:rPr>
                <w:rFonts w:ascii="Calibri" w:hAnsi="Calibri"/>
                <w:sz w:val="22"/>
                <w:szCs w:val="22"/>
              </w:rPr>
              <w:t>ī</w:t>
            </w:r>
            <w:r>
              <w:rPr>
                <w:rFonts w:asciiTheme="minorHAnsi" w:hAnsiTheme="minorHAnsi"/>
                <w:sz w:val="22"/>
                <w:szCs w:val="22"/>
              </w:rPr>
              <w:t>r, ab</w:t>
            </w:r>
            <w:r>
              <w:rPr>
                <w:rFonts w:ascii="Calibri" w:hAnsi="Calibri"/>
                <w:sz w:val="22"/>
                <w:szCs w:val="22"/>
              </w:rPr>
              <w:t>ū</w:t>
            </w:r>
            <w:r>
              <w:rPr>
                <w:rFonts w:asciiTheme="minorHAnsi" w:hAnsiTheme="minorHAnsi"/>
                <w:sz w:val="22"/>
                <w:szCs w:val="22"/>
              </w:rPr>
              <w:t xml:space="preserve"> al-Fid</w:t>
            </w:r>
            <w:r>
              <w:rPr>
                <w:rFonts w:ascii="Calibri" w:hAnsi="Calibri"/>
                <w:sz w:val="22"/>
                <w:szCs w:val="22"/>
              </w:rPr>
              <w:t>ā</w:t>
            </w:r>
            <w:r>
              <w:rPr>
                <w:rFonts w:asciiTheme="minorHAnsi" w:hAnsiTheme="minorHAnsi"/>
                <w:sz w:val="22"/>
                <w:szCs w:val="22"/>
              </w:rPr>
              <w:t>’ Ism</w:t>
            </w:r>
            <w:r>
              <w:rPr>
                <w:rFonts w:ascii="Calibri" w:hAnsi="Calibri"/>
                <w:sz w:val="22"/>
                <w:szCs w:val="22"/>
              </w:rPr>
              <w:t>ā</w:t>
            </w:r>
            <w:r>
              <w:rPr>
                <w:rFonts w:asciiTheme="minorHAnsi" w:hAnsiTheme="minorHAnsi"/>
                <w:sz w:val="22"/>
                <w:szCs w:val="22"/>
              </w:rPr>
              <w:t>’</w:t>
            </w:r>
            <w:r>
              <w:rPr>
                <w:rFonts w:ascii="Calibri" w:hAnsi="Calibri"/>
                <w:sz w:val="22"/>
                <w:szCs w:val="22"/>
              </w:rPr>
              <w:t>ī</w:t>
            </w:r>
            <w:r>
              <w:rPr>
                <w:rFonts w:asciiTheme="minorHAnsi" w:hAnsiTheme="minorHAnsi"/>
                <w:sz w:val="22"/>
                <w:szCs w:val="22"/>
              </w:rPr>
              <w:t xml:space="preserve">l b. ‘Umar, </w:t>
            </w:r>
            <w:r w:rsidRPr="00A60936">
              <w:rPr>
                <w:rFonts w:asciiTheme="minorHAnsi" w:hAnsiTheme="minorHAnsi"/>
                <w:i/>
                <w:iCs/>
                <w:sz w:val="22"/>
                <w:szCs w:val="22"/>
                <w:lang w:bidi="ar-AE"/>
              </w:rPr>
              <w:t>The Book of the End on Tribulations and Battles</w:t>
            </w:r>
            <w:r>
              <w:rPr>
                <w:rFonts w:asciiTheme="minorHAnsi" w:hAnsiTheme="minorHAnsi"/>
                <w:sz w:val="22"/>
                <w:szCs w:val="22"/>
                <w:lang w:bidi="ar-AE"/>
              </w:rPr>
              <w:t>, ed. by Mu</w:t>
            </w:r>
            <w:r>
              <w:rPr>
                <w:rFonts w:ascii="Calibri" w:hAnsi="Calibri"/>
                <w:sz w:val="22"/>
                <w:szCs w:val="22"/>
                <w:lang w:bidi="ar-AE"/>
              </w:rPr>
              <w:t>ḥ</w:t>
            </w:r>
            <w:r>
              <w:rPr>
                <w:rFonts w:asciiTheme="minorHAnsi" w:hAnsiTheme="minorHAnsi"/>
                <w:sz w:val="22"/>
                <w:szCs w:val="22"/>
                <w:lang w:bidi="ar-AE"/>
              </w:rPr>
              <w:t>ammad A</w:t>
            </w:r>
            <w:r>
              <w:rPr>
                <w:rFonts w:ascii="Calibri" w:hAnsi="Calibri"/>
                <w:sz w:val="22"/>
                <w:szCs w:val="22"/>
                <w:lang w:bidi="ar-AE"/>
              </w:rPr>
              <w:t>ḥ</w:t>
            </w:r>
            <w:r>
              <w:rPr>
                <w:rFonts w:asciiTheme="minorHAnsi" w:hAnsiTheme="minorHAnsi"/>
                <w:sz w:val="22"/>
                <w:szCs w:val="22"/>
                <w:lang w:bidi="ar-AE"/>
              </w:rPr>
              <w:t>mad ‘Abd al-‘Az</w:t>
            </w:r>
            <w:r>
              <w:rPr>
                <w:rFonts w:ascii="Calibri" w:hAnsi="Calibri"/>
                <w:sz w:val="22"/>
                <w:szCs w:val="22"/>
                <w:lang w:bidi="ar-AE"/>
              </w:rPr>
              <w:t>ī</w:t>
            </w:r>
            <w:r>
              <w:rPr>
                <w:rFonts w:asciiTheme="minorHAnsi" w:hAnsiTheme="minorHAnsi"/>
                <w:sz w:val="22"/>
                <w:szCs w:val="22"/>
                <w:lang w:bidi="ar-AE"/>
              </w:rPr>
              <w:t>z (Beirut: D</w:t>
            </w:r>
            <w:r>
              <w:rPr>
                <w:rFonts w:ascii="Calibri" w:hAnsi="Calibri"/>
                <w:sz w:val="22"/>
                <w:szCs w:val="22"/>
                <w:lang w:bidi="ar-AE"/>
              </w:rPr>
              <w:t>ā</w:t>
            </w:r>
            <w:r>
              <w:rPr>
                <w:rFonts w:asciiTheme="minorHAnsi" w:hAnsiTheme="minorHAnsi"/>
                <w:sz w:val="22"/>
                <w:szCs w:val="22"/>
                <w:lang w:bidi="ar-AE"/>
              </w:rPr>
              <w:t>r al-Jabal, 1988)</w:t>
            </w:r>
          </w:p>
          <w:p w:rsidR="00D5582C" w:rsidRDefault="00D5582C" w:rsidP="008D6268">
            <w:pPr>
              <w:pStyle w:val="NormalWeb"/>
              <w:spacing w:before="0" w:beforeAutospacing="0" w:after="0" w:afterAutospacing="0"/>
              <w:ind w:left="450" w:hanging="450"/>
              <w:rPr>
                <w:rFonts w:asciiTheme="minorHAnsi" w:hAnsiTheme="minorHAnsi"/>
                <w:sz w:val="22"/>
                <w:szCs w:val="22"/>
                <w:rtl/>
                <w:lang w:bidi="ar-AE"/>
              </w:rPr>
            </w:pPr>
          </w:p>
          <w:p w:rsidR="00D5582C" w:rsidRPr="00771203" w:rsidRDefault="00D5582C" w:rsidP="008D6268">
            <w:pPr>
              <w:spacing w:after="100" w:afterAutospacing="1"/>
              <w:ind w:left="450" w:hanging="450"/>
              <w:rPr>
                <w:rFonts w:eastAsia="Times New Roman" w:cs="Times New Roman"/>
                <w:lang w:bidi="ar-AE"/>
              </w:rPr>
            </w:pPr>
            <w:r>
              <w:rPr>
                <w:rFonts w:eastAsia="Times New Roman" w:cs="Times New Roman"/>
              </w:rPr>
              <w:t xml:space="preserve">ibn </w:t>
            </w:r>
            <w:r w:rsidRPr="00DC3F38">
              <w:rPr>
                <w:rFonts w:eastAsia="Times New Roman" w:cs="Times New Roman"/>
              </w:rPr>
              <w:t>Kathīr, Abū al-Fidā' 'Ismā'īl b</w:t>
            </w:r>
            <w:r>
              <w:rPr>
                <w:rFonts w:eastAsia="Times New Roman" w:cs="Times New Roman"/>
              </w:rPr>
              <w:t xml:space="preserve">. 'Umar </w:t>
            </w:r>
            <w:r w:rsidRPr="00DC3F38">
              <w:rPr>
                <w:rFonts w:eastAsia="Times New Roman" w:cs="Times New Roman"/>
              </w:rPr>
              <w:t xml:space="preserve">al-Qurashī, </w:t>
            </w:r>
            <w:r>
              <w:rPr>
                <w:rFonts w:eastAsia="Times New Roman" w:cs="Times New Roman"/>
              </w:rPr>
              <w:t xml:space="preserve">'Kitāb al-Fitan wal-Malāḥim wal-Umūr al-'Izām Yawm al-Qiyāmah Or The Book of Fierce Battles and Tribulations and the Great Things on the Day of Resurrection', in </w:t>
            </w:r>
            <w:r>
              <w:rPr>
                <w:rFonts w:eastAsia="Times New Roman" w:cs="Times New Roman"/>
                <w:i/>
                <w:iCs/>
              </w:rPr>
              <w:t>al-Bidāya wal-Nihāya</w:t>
            </w:r>
            <w:r w:rsidRPr="00DC3F38">
              <w:rPr>
                <w:rFonts w:eastAsia="Times New Roman" w:cs="Times New Roman"/>
                <w:i/>
                <w:iCs/>
              </w:rPr>
              <w:t xml:space="preserve"> Or </w:t>
            </w:r>
            <w:r>
              <w:rPr>
                <w:rFonts w:eastAsia="Times New Roman" w:cs="Times New Roman"/>
                <w:i/>
                <w:iCs/>
              </w:rPr>
              <w:t xml:space="preserve">The Beginning and the End, </w:t>
            </w:r>
            <w:r>
              <w:rPr>
                <w:rFonts w:eastAsia="Times New Roman" w:cs="Times New Roman"/>
              </w:rPr>
              <w:t>ed. by 'Abdulla b. 'Abd al-Muḥsin al-Tirkī, Vol. 19</w:t>
            </w:r>
            <w:r w:rsidRPr="00DC3F38">
              <w:rPr>
                <w:rFonts w:eastAsia="Times New Roman" w:cs="Times New Roman"/>
              </w:rPr>
              <w:t xml:space="preserve"> (</w:t>
            </w:r>
            <w:r>
              <w:rPr>
                <w:rFonts w:eastAsia="Times New Roman" w:cs="Times New Roman"/>
              </w:rPr>
              <w:t>Cairo</w:t>
            </w:r>
            <w:r w:rsidRPr="00DC3F38">
              <w:rPr>
                <w:rFonts w:eastAsia="Times New Roman" w:cs="Times New Roman"/>
              </w:rPr>
              <w:t xml:space="preserve">t: Dār </w:t>
            </w:r>
            <w:r>
              <w:rPr>
                <w:rFonts w:eastAsia="Times New Roman" w:cs="Times New Roman"/>
              </w:rPr>
              <w:t>Hajar lil-</w:t>
            </w:r>
            <w:r>
              <w:rPr>
                <w:rFonts w:eastAsia="Times New Roman" w:cs="Times New Roman"/>
              </w:rPr>
              <w:lastRenderedPageBreak/>
              <w:t>Ṭibā'a wal-Nashr wal-Tawzī'</w:t>
            </w:r>
            <w:r w:rsidRPr="00DC3F38">
              <w:rPr>
                <w:rFonts w:eastAsia="Times New Roman" w:cs="Times New Roman"/>
              </w:rPr>
              <w:t xml:space="preserve">, </w:t>
            </w:r>
            <w:r>
              <w:rPr>
                <w:rFonts w:eastAsia="Times New Roman" w:cs="Times New Roman"/>
              </w:rPr>
              <w:t>1997</w:t>
            </w:r>
            <w:r w:rsidRPr="00DC3F38">
              <w:rPr>
                <w:rFonts w:eastAsia="Times New Roman" w:cs="Times New Roman"/>
              </w:rPr>
              <w:t>)</w:t>
            </w:r>
            <w:r>
              <w:rPr>
                <w:rFonts w:eastAsia="Times New Roman" w:cs="Times New Roman"/>
              </w:rPr>
              <w:t>, pp.3-444</w:t>
            </w:r>
            <w:r w:rsidRPr="00DC3F38">
              <w:rPr>
                <w:rFonts w:eastAsia="Times New Roman" w:cs="Times New Roman"/>
              </w:rPr>
              <w:t xml:space="preserve"> </w:t>
            </w:r>
          </w:p>
          <w:p w:rsidR="00D5582C" w:rsidRDefault="00D5582C" w:rsidP="008D6268">
            <w:pPr>
              <w:pStyle w:val="NormalWeb"/>
              <w:spacing w:before="0" w:beforeAutospacing="0" w:after="0" w:afterAutospacing="0"/>
              <w:rPr>
                <w:rFonts w:asciiTheme="minorHAnsi" w:hAnsiTheme="minorHAnsi"/>
                <w:b/>
                <w:bCs/>
                <w:sz w:val="22"/>
                <w:szCs w:val="22"/>
              </w:rPr>
            </w:pPr>
            <w:r>
              <w:rPr>
                <w:rFonts w:asciiTheme="minorHAnsi" w:hAnsiTheme="minorHAnsi"/>
                <w:b/>
                <w:bCs/>
                <w:sz w:val="22"/>
                <w:szCs w:val="22"/>
              </w:rPr>
              <w:t>1630-1691 CE:</w:t>
            </w:r>
          </w:p>
          <w:p w:rsidR="00D5582C" w:rsidRPr="00DB582A" w:rsidRDefault="00D5582C" w:rsidP="008D6268">
            <w:pPr>
              <w:pStyle w:val="NormalWeb"/>
              <w:spacing w:before="0" w:beforeAutospacing="0" w:after="0" w:afterAutospacing="0"/>
              <w:ind w:left="450" w:hanging="450"/>
              <w:rPr>
                <w:rFonts w:asciiTheme="minorHAnsi" w:hAnsiTheme="minorHAnsi"/>
                <w:sz w:val="22"/>
                <w:szCs w:val="22"/>
                <w:lang w:bidi="ar-AE"/>
              </w:rPr>
            </w:pPr>
            <w:r>
              <w:rPr>
                <w:rFonts w:asciiTheme="minorHAnsi" w:hAnsiTheme="minorHAnsi"/>
                <w:sz w:val="22"/>
                <w:szCs w:val="22"/>
              </w:rPr>
              <w:t>al-Barzinj</w:t>
            </w:r>
            <w:r>
              <w:rPr>
                <w:rFonts w:ascii="Calibri" w:hAnsi="Calibri"/>
                <w:sz w:val="22"/>
                <w:szCs w:val="22"/>
              </w:rPr>
              <w:t>ī</w:t>
            </w:r>
            <w:r>
              <w:rPr>
                <w:rFonts w:asciiTheme="minorHAnsi" w:hAnsiTheme="minorHAnsi"/>
                <w:sz w:val="22"/>
                <w:szCs w:val="22"/>
              </w:rPr>
              <w:t>, Mu</w:t>
            </w:r>
            <w:r>
              <w:rPr>
                <w:rFonts w:ascii="Calibri" w:hAnsi="Calibri"/>
                <w:sz w:val="22"/>
                <w:szCs w:val="22"/>
              </w:rPr>
              <w:t>ḥ</w:t>
            </w:r>
            <w:r>
              <w:rPr>
                <w:rFonts w:asciiTheme="minorHAnsi" w:hAnsiTheme="minorHAnsi"/>
                <w:sz w:val="22"/>
                <w:szCs w:val="22"/>
              </w:rPr>
              <w:t>ammad b. ‘Abd al-Ras</w:t>
            </w:r>
            <w:r>
              <w:rPr>
                <w:rFonts w:ascii="Calibri" w:hAnsi="Calibri"/>
                <w:sz w:val="22"/>
                <w:szCs w:val="22"/>
              </w:rPr>
              <w:t>ū</w:t>
            </w:r>
            <w:r>
              <w:rPr>
                <w:rFonts w:asciiTheme="minorHAnsi" w:hAnsiTheme="minorHAnsi"/>
                <w:sz w:val="22"/>
                <w:szCs w:val="22"/>
              </w:rPr>
              <w:t>l al-</w:t>
            </w:r>
            <w:r>
              <w:rPr>
                <w:rFonts w:ascii="Calibri" w:hAnsi="Calibri"/>
                <w:sz w:val="22"/>
                <w:szCs w:val="22"/>
              </w:rPr>
              <w:t>Ḥ</w:t>
            </w:r>
            <w:r>
              <w:rPr>
                <w:rFonts w:asciiTheme="minorHAnsi" w:hAnsiTheme="minorHAnsi"/>
                <w:sz w:val="22"/>
                <w:szCs w:val="22"/>
              </w:rPr>
              <w:t>ussa</w:t>
            </w:r>
            <w:r>
              <w:rPr>
                <w:rFonts w:ascii="Calibri" w:hAnsi="Calibri"/>
                <w:sz w:val="22"/>
                <w:szCs w:val="22"/>
              </w:rPr>
              <w:t>ī</w:t>
            </w:r>
            <w:r>
              <w:rPr>
                <w:rFonts w:asciiTheme="minorHAnsi" w:hAnsiTheme="minorHAnsi"/>
                <w:sz w:val="22"/>
                <w:szCs w:val="22"/>
              </w:rPr>
              <w:t>n</w:t>
            </w:r>
            <w:r>
              <w:rPr>
                <w:rFonts w:ascii="Calibri" w:hAnsi="Calibri"/>
                <w:sz w:val="22"/>
                <w:szCs w:val="22"/>
              </w:rPr>
              <w:t>ī</w:t>
            </w:r>
            <w:r>
              <w:rPr>
                <w:rFonts w:asciiTheme="minorHAnsi" w:hAnsiTheme="minorHAnsi"/>
                <w:sz w:val="22"/>
                <w:szCs w:val="22"/>
              </w:rPr>
              <w:t xml:space="preserve">, </w:t>
            </w:r>
            <w:r w:rsidRPr="004F47B5">
              <w:rPr>
                <w:rFonts w:asciiTheme="minorHAnsi" w:hAnsiTheme="minorHAnsi"/>
                <w:i/>
                <w:iCs/>
                <w:sz w:val="22"/>
                <w:szCs w:val="22"/>
                <w:lang w:bidi="ar-AE"/>
              </w:rPr>
              <w:t>The Book of the Word On Last Day Portents</w:t>
            </w:r>
            <w:r>
              <w:rPr>
                <w:rFonts w:asciiTheme="minorHAnsi" w:hAnsiTheme="minorHAnsi"/>
                <w:sz w:val="22"/>
                <w:szCs w:val="22"/>
                <w:lang w:bidi="ar-AE"/>
              </w:rPr>
              <w:t>, ed. by Muwafaq Fawz</w:t>
            </w:r>
            <w:r>
              <w:rPr>
                <w:rFonts w:ascii="Calibri" w:hAnsi="Calibri"/>
                <w:sz w:val="22"/>
                <w:szCs w:val="22"/>
                <w:lang w:bidi="ar-AE"/>
              </w:rPr>
              <w:t>ī</w:t>
            </w:r>
            <w:r>
              <w:rPr>
                <w:rFonts w:asciiTheme="minorHAnsi" w:hAnsiTheme="minorHAnsi"/>
                <w:sz w:val="22"/>
                <w:szCs w:val="22"/>
                <w:lang w:bidi="ar-AE"/>
              </w:rPr>
              <w:t xml:space="preserve"> al-Jaber (Damascus: D</w:t>
            </w:r>
            <w:r>
              <w:rPr>
                <w:rFonts w:ascii="Calibri" w:hAnsi="Calibri"/>
                <w:sz w:val="22"/>
                <w:szCs w:val="22"/>
                <w:lang w:bidi="ar-AE"/>
              </w:rPr>
              <w:t>ā</w:t>
            </w:r>
            <w:r>
              <w:rPr>
                <w:rFonts w:asciiTheme="minorHAnsi" w:hAnsiTheme="minorHAnsi"/>
                <w:sz w:val="22"/>
                <w:szCs w:val="22"/>
                <w:lang w:bidi="ar-AE"/>
              </w:rPr>
              <w:t>r al-Numa</w:t>
            </w:r>
            <w:r>
              <w:rPr>
                <w:rFonts w:ascii="Calibri" w:hAnsi="Calibri"/>
                <w:sz w:val="22"/>
                <w:szCs w:val="22"/>
                <w:lang w:bidi="ar-AE"/>
              </w:rPr>
              <w:t>ī</w:t>
            </w:r>
            <w:r>
              <w:rPr>
                <w:rFonts w:asciiTheme="minorHAnsi" w:hAnsiTheme="minorHAnsi"/>
                <w:sz w:val="22"/>
                <w:szCs w:val="22"/>
                <w:lang w:bidi="ar-AE"/>
              </w:rPr>
              <w:t>r lil-Tib</w:t>
            </w:r>
            <w:r>
              <w:rPr>
                <w:rFonts w:ascii="Calibri" w:hAnsi="Calibri"/>
                <w:sz w:val="22"/>
                <w:szCs w:val="22"/>
                <w:lang w:bidi="ar-AE"/>
              </w:rPr>
              <w:t>ā</w:t>
            </w:r>
            <w:r>
              <w:rPr>
                <w:rFonts w:asciiTheme="minorHAnsi" w:hAnsiTheme="minorHAnsi"/>
                <w:sz w:val="22"/>
                <w:szCs w:val="22"/>
                <w:lang w:bidi="ar-AE"/>
              </w:rPr>
              <w:t>’ah wal-Nashr wal-Tawz</w:t>
            </w:r>
            <w:r>
              <w:rPr>
                <w:rFonts w:ascii="Calibri" w:hAnsi="Calibri"/>
                <w:sz w:val="22"/>
                <w:szCs w:val="22"/>
                <w:lang w:bidi="ar-AE"/>
              </w:rPr>
              <w:t>ī</w:t>
            </w:r>
            <w:r>
              <w:rPr>
                <w:rFonts w:asciiTheme="minorHAnsi" w:hAnsiTheme="minorHAnsi"/>
                <w:sz w:val="22"/>
                <w:szCs w:val="22"/>
                <w:lang w:bidi="ar-AE"/>
              </w:rPr>
              <w:t>’, 1995)</w:t>
            </w:r>
          </w:p>
          <w:p w:rsidR="00D5582C" w:rsidRDefault="00D5582C" w:rsidP="008D6268">
            <w:pPr>
              <w:pStyle w:val="NormalWeb"/>
              <w:spacing w:before="0" w:beforeAutospacing="0" w:after="0" w:afterAutospacing="0"/>
              <w:rPr>
                <w:rFonts w:asciiTheme="minorHAnsi" w:hAnsiTheme="minorHAnsi"/>
                <w:b/>
                <w:bCs/>
                <w:sz w:val="22"/>
                <w:szCs w:val="22"/>
              </w:rPr>
            </w:pPr>
          </w:p>
          <w:p w:rsidR="00D5582C" w:rsidRDefault="00D5582C" w:rsidP="008D6268">
            <w:pPr>
              <w:pStyle w:val="NormalWeb"/>
              <w:spacing w:before="0" w:beforeAutospacing="0" w:after="0" w:afterAutospacing="0"/>
              <w:rPr>
                <w:rFonts w:asciiTheme="minorHAnsi" w:hAnsiTheme="minorHAnsi"/>
                <w:b/>
                <w:bCs/>
                <w:sz w:val="22"/>
                <w:szCs w:val="22"/>
              </w:rPr>
            </w:pPr>
            <w:r>
              <w:rPr>
                <w:rFonts w:asciiTheme="minorHAnsi" w:hAnsiTheme="minorHAnsi"/>
                <w:b/>
                <w:bCs/>
                <w:sz w:val="22"/>
                <w:szCs w:val="22"/>
              </w:rPr>
              <w:t>1916-1992 CE:</w:t>
            </w:r>
          </w:p>
          <w:p w:rsidR="00D5582C" w:rsidRPr="00EE3A46" w:rsidRDefault="00D5582C" w:rsidP="008D6268">
            <w:pPr>
              <w:pStyle w:val="NormalWeb"/>
              <w:spacing w:before="0" w:beforeAutospacing="0" w:after="0" w:afterAutospacing="0"/>
              <w:ind w:left="450" w:hanging="450"/>
              <w:rPr>
                <w:rFonts w:asciiTheme="minorHAnsi" w:hAnsiTheme="minorHAnsi"/>
                <w:sz w:val="22"/>
                <w:szCs w:val="22"/>
              </w:rPr>
            </w:pPr>
            <w:r>
              <w:rPr>
                <w:rFonts w:asciiTheme="minorHAnsi" w:hAnsiTheme="minorHAnsi"/>
                <w:sz w:val="22"/>
                <w:szCs w:val="22"/>
              </w:rPr>
              <w:t>al-Tuwa</w:t>
            </w:r>
            <w:r>
              <w:rPr>
                <w:rFonts w:ascii="Calibri" w:hAnsi="Calibri"/>
                <w:sz w:val="22"/>
                <w:szCs w:val="22"/>
              </w:rPr>
              <w:t>ī</w:t>
            </w:r>
            <w:r>
              <w:rPr>
                <w:rFonts w:asciiTheme="minorHAnsi" w:hAnsiTheme="minorHAnsi"/>
                <w:sz w:val="22"/>
                <w:szCs w:val="22"/>
              </w:rPr>
              <w:t>jr</w:t>
            </w:r>
            <w:r>
              <w:rPr>
                <w:rFonts w:ascii="Calibri" w:hAnsi="Calibri"/>
                <w:sz w:val="22"/>
                <w:szCs w:val="22"/>
              </w:rPr>
              <w:t>ī</w:t>
            </w:r>
            <w:r>
              <w:rPr>
                <w:rFonts w:asciiTheme="minorHAnsi" w:hAnsiTheme="minorHAnsi"/>
                <w:sz w:val="22"/>
                <w:szCs w:val="22"/>
              </w:rPr>
              <w:t xml:space="preserve">, </w:t>
            </w:r>
            <w:r>
              <w:rPr>
                <w:rFonts w:ascii="Calibri" w:hAnsi="Calibri"/>
                <w:sz w:val="22"/>
                <w:szCs w:val="22"/>
              </w:rPr>
              <w:t>Ḥ</w:t>
            </w:r>
            <w:r>
              <w:rPr>
                <w:rFonts w:asciiTheme="minorHAnsi" w:hAnsiTheme="minorHAnsi"/>
                <w:sz w:val="22"/>
                <w:szCs w:val="22"/>
              </w:rPr>
              <w:t>m</w:t>
            </w:r>
            <w:r>
              <w:rPr>
                <w:rFonts w:ascii="Calibri" w:hAnsi="Calibri"/>
                <w:sz w:val="22"/>
                <w:szCs w:val="22"/>
              </w:rPr>
              <w:t>ū</w:t>
            </w:r>
            <w:r>
              <w:rPr>
                <w:rFonts w:asciiTheme="minorHAnsi" w:hAnsiTheme="minorHAnsi"/>
                <w:sz w:val="22"/>
                <w:szCs w:val="22"/>
              </w:rPr>
              <w:t xml:space="preserve">d b. ‘Abdulla, </w:t>
            </w:r>
            <w:r w:rsidRPr="001644F1">
              <w:rPr>
                <w:rFonts w:asciiTheme="minorHAnsi" w:hAnsiTheme="minorHAnsi"/>
                <w:i/>
                <w:iCs/>
                <w:sz w:val="22"/>
                <w:szCs w:val="22"/>
              </w:rPr>
              <w:t>On the Tribulations, Battles and Portents of the Last Day</w:t>
            </w:r>
            <w:r>
              <w:rPr>
                <w:rFonts w:asciiTheme="minorHAnsi" w:hAnsiTheme="minorHAnsi"/>
                <w:sz w:val="22"/>
                <w:szCs w:val="22"/>
              </w:rPr>
              <w:t xml:space="preserve"> </w:t>
            </w:r>
            <w:r w:rsidRPr="004500B1">
              <w:rPr>
                <w:rFonts w:asciiTheme="minorHAnsi" w:hAnsiTheme="minorHAnsi"/>
                <w:sz w:val="22"/>
                <w:szCs w:val="22"/>
              </w:rPr>
              <w:t>(</w:t>
            </w:r>
            <w:r>
              <w:rPr>
                <w:rFonts w:asciiTheme="minorHAnsi" w:hAnsiTheme="minorHAnsi"/>
                <w:sz w:val="22"/>
                <w:szCs w:val="22"/>
              </w:rPr>
              <w:t>n.p.:</w:t>
            </w:r>
            <w:r w:rsidRPr="004500B1">
              <w:rPr>
                <w:rFonts w:asciiTheme="minorHAnsi" w:hAnsiTheme="minorHAnsi"/>
                <w:sz w:val="22"/>
                <w:szCs w:val="22"/>
              </w:rPr>
              <w:t xml:space="preserve"> </w:t>
            </w:r>
            <w:r>
              <w:rPr>
                <w:rFonts w:asciiTheme="minorHAnsi" w:hAnsiTheme="minorHAnsi"/>
                <w:sz w:val="22"/>
                <w:szCs w:val="22"/>
              </w:rPr>
              <w:t xml:space="preserve">printed by author, </w:t>
            </w:r>
            <w:r w:rsidRPr="004500B1">
              <w:rPr>
                <w:rFonts w:asciiTheme="minorHAnsi" w:hAnsiTheme="minorHAnsi"/>
                <w:sz w:val="22"/>
                <w:szCs w:val="22"/>
              </w:rPr>
              <w:t>1394</w:t>
            </w:r>
            <w:r>
              <w:rPr>
                <w:rFonts w:asciiTheme="minorHAnsi" w:hAnsiTheme="minorHAnsi"/>
                <w:sz w:val="22"/>
                <w:szCs w:val="22"/>
              </w:rPr>
              <w:t xml:space="preserve"> Hijrī)</w:t>
            </w:r>
          </w:p>
          <w:p w:rsidR="00D5582C" w:rsidRDefault="00D5582C" w:rsidP="008D6268">
            <w:pPr>
              <w:pStyle w:val="NormalWeb"/>
              <w:tabs>
                <w:tab w:val="left" w:pos="2145"/>
              </w:tabs>
              <w:spacing w:before="0" w:beforeAutospacing="0" w:after="0" w:afterAutospacing="0"/>
              <w:rPr>
                <w:rFonts w:asciiTheme="minorHAnsi" w:hAnsiTheme="minorHAnsi"/>
                <w:b/>
                <w:bCs/>
                <w:sz w:val="22"/>
                <w:szCs w:val="22"/>
              </w:rPr>
            </w:pPr>
            <w:r>
              <w:rPr>
                <w:rFonts w:asciiTheme="minorHAnsi" w:hAnsiTheme="minorHAnsi"/>
                <w:b/>
                <w:bCs/>
                <w:sz w:val="22"/>
                <w:szCs w:val="22"/>
              </w:rPr>
              <w:tab/>
            </w:r>
          </w:p>
          <w:p w:rsidR="00D5582C" w:rsidRPr="00EE3A46" w:rsidRDefault="00D5582C" w:rsidP="008D6268">
            <w:pPr>
              <w:pStyle w:val="NormalWeb"/>
              <w:spacing w:before="0" w:beforeAutospacing="0" w:after="0" w:afterAutospacing="0"/>
              <w:rPr>
                <w:rFonts w:asciiTheme="minorHAnsi" w:hAnsiTheme="minorHAnsi"/>
              </w:rPr>
            </w:pPr>
          </w:p>
        </w:tc>
      </w:tr>
      <w:tr w:rsidR="00D5582C" w:rsidTr="008D6268">
        <w:tc>
          <w:tcPr>
            <w:tcW w:w="9576" w:type="dxa"/>
            <w:gridSpan w:val="3"/>
          </w:tcPr>
          <w:p w:rsidR="00D5582C" w:rsidRPr="00124265" w:rsidRDefault="00D5582C" w:rsidP="008D6268">
            <w:pPr>
              <w:tabs>
                <w:tab w:val="left" w:pos="2505"/>
              </w:tabs>
              <w:bidi/>
              <w:rPr>
                <w:bCs/>
                <w:sz w:val="24"/>
                <w:szCs w:val="24"/>
                <w:lang w:bidi="ar-AE"/>
              </w:rPr>
            </w:pPr>
          </w:p>
          <w:p w:rsidR="00D5582C" w:rsidRDefault="00D5582C" w:rsidP="008D6268">
            <w:pPr>
              <w:tabs>
                <w:tab w:val="left" w:pos="2505"/>
              </w:tabs>
              <w:bidi/>
              <w:jc w:val="center"/>
              <w:rPr>
                <w:bCs/>
                <w:sz w:val="24"/>
                <w:szCs w:val="24"/>
                <w:rtl/>
                <w:lang w:bidi="ar-AE"/>
              </w:rPr>
            </w:pPr>
            <w:r w:rsidRPr="00124265">
              <w:rPr>
                <w:rFonts w:hint="cs"/>
                <w:bCs/>
                <w:sz w:val="24"/>
                <w:szCs w:val="24"/>
                <w:rtl/>
                <w:lang w:bidi="ar-AE"/>
              </w:rPr>
              <w:t>كتب التاريخ وعلم الاجتماع</w:t>
            </w:r>
          </w:p>
          <w:p w:rsidR="00D5582C" w:rsidRDefault="00D5582C" w:rsidP="008D6268">
            <w:pPr>
              <w:tabs>
                <w:tab w:val="left" w:pos="2505"/>
              </w:tabs>
              <w:bidi/>
              <w:jc w:val="center"/>
              <w:rPr>
                <w:b/>
                <w:sz w:val="24"/>
                <w:szCs w:val="24"/>
                <w:lang w:bidi="ar-AE"/>
              </w:rPr>
            </w:pPr>
            <w:r>
              <w:rPr>
                <w:b/>
                <w:sz w:val="24"/>
                <w:szCs w:val="24"/>
                <w:lang w:bidi="ar-AE"/>
              </w:rPr>
              <w:t>Books on History and Sociology</w:t>
            </w:r>
          </w:p>
          <w:p w:rsidR="00D5582C" w:rsidRPr="00124265" w:rsidRDefault="00D5582C" w:rsidP="008D6268">
            <w:pPr>
              <w:tabs>
                <w:tab w:val="left" w:pos="2505"/>
              </w:tabs>
              <w:bidi/>
              <w:jc w:val="center"/>
              <w:rPr>
                <w:b/>
                <w:sz w:val="24"/>
                <w:szCs w:val="24"/>
                <w:lang w:bidi="ar-AE"/>
              </w:rPr>
            </w:pPr>
          </w:p>
        </w:tc>
      </w:tr>
      <w:tr w:rsidR="00D5582C" w:rsidTr="008D6268">
        <w:tc>
          <w:tcPr>
            <w:tcW w:w="9576" w:type="dxa"/>
            <w:gridSpan w:val="3"/>
          </w:tcPr>
          <w:p w:rsidR="00D5582C" w:rsidRDefault="00D5582C" w:rsidP="008D6268">
            <w:pPr>
              <w:tabs>
                <w:tab w:val="left" w:pos="2505"/>
              </w:tabs>
              <w:bidi/>
              <w:rPr>
                <w:bCs/>
                <w:sz w:val="24"/>
                <w:szCs w:val="24"/>
                <w:rtl/>
                <w:lang w:bidi="ar-AE"/>
              </w:rPr>
            </w:pPr>
          </w:p>
          <w:p w:rsidR="00D5582C" w:rsidRPr="00C90957" w:rsidRDefault="00D5582C" w:rsidP="008D6268">
            <w:pPr>
              <w:bidi/>
              <w:ind w:left="720"/>
              <w:rPr>
                <w:b/>
                <w:bCs/>
                <w:rtl/>
                <w:lang w:bidi="ar-AE"/>
              </w:rPr>
            </w:pPr>
            <w:r w:rsidRPr="00C90957">
              <w:rPr>
                <w:rFonts w:hint="cs"/>
                <w:b/>
                <w:bCs/>
                <w:rtl/>
                <w:lang w:bidi="ar-AE"/>
              </w:rPr>
              <w:t>1</w:t>
            </w:r>
            <w:r>
              <w:rPr>
                <w:rFonts w:hint="cs"/>
                <w:b/>
                <w:bCs/>
                <w:rtl/>
                <w:lang w:bidi="ar-AE"/>
              </w:rPr>
              <w:t>300</w:t>
            </w:r>
            <w:r w:rsidRPr="00C90957">
              <w:rPr>
                <w:rFonts w:hint="cs"/>
                <w:b/>
                <w:bCs/>
                <w:rtl/>
                <w:lang w:bidi="ar-AE"/>
              </w:rPr>
              <w:t xml:space="preserve"> </w:t>
            </w:r>
            <w:r w:rsidRPr="00C90957">
              <w:rPr>
                <w:b/>
                <w:bCs/>
                <w:rtl/>
                <w:lang w:bidi="ar-AE"/>
              </w:rPr>
              <w:t>–</w:t>
            </w:r>
            <w:r w:rsidRPr="00C90957">
              <w:rPr>
                <w:rFonts w:hint="cs"/>
                <w:b/>
                <w:bCs/>
                <w:rtl/>
                <w:lang w:bidi="ar-AE"/>
              </w:rPr>
              <w:t xml:space="preserve"> 1</w:t>
            </w:r>
            <w:r>
              <w:rPr>
                <w:rFonts w:hint="cs"/>
                <w:b/>
                <w:bCs/>
                <w:rtl/>
                <w:lang w:bidi="ar-AE"/>
              </w:rPr>
              <w:t>373 م</w:t>
            </w:r>
            <w:r w:rsidRPr="00C90957">
              <w:rPr>
                <w:rFonts w:hint="cs"/>
                <w:b/>
                <w:bCs/>
                <w:rtl/>
                <w:lang w:bidi="ar-AE"/>
              </w:rPr>
              <w:t>:</w:t>
            </w:r>
          </w:p>
          <w:p w:rsidR="00D5582C" w:rsidRPr="003E2F6D" w:rsidRDefault="00D5582C" w:rsidP="00D5582C">
            <w:pPr>
              <w:pStyle w:val="ListParagraph"/>
              <w:numPr>
                <w:ilvl w:val="0"/>
                <w:numId w:val="9"/>
              </w:numPr>
              <w:tabs>
                <w:tab w:val="left" w:pos="2505"/>
              </w:tabs>
              <w:autoSpaceDE/>
              <w:autoSpaceDN/>
              <w:bidi/>
              <w:adjustRightInd/>
              <w:rPr>
                <w:bCs/>
                <w:sz w:val="24"/>
                <w:szCs w:val="24"/>
                <w:lang w:bidi="ar-AE"/>
              </w:rPr>
            </w:pPr>
            <w:r>
              <w:rPr>
                <w:rFonts w:hint="cs"/>
                <w:rtl/>
                <w:lang w:bidi="ar-AE"/>
              </w:rPr>
              <w:t xml:space="preserve">ابن كثير، أبو الفداء اسماعيل بن عمر بن القرشي، </w:t>
            </w:r>
            <w:r>
              <w:rPr>
                <w:rFonts w:hint="cs"/>
                <w:b/>
                <w:bCs/>
                <w:rtl/>
                <w:lang w:bidi="ar-AE"/>
              </w:rPr>
              <w:t xml:space="preserve">البداية والنهاية، </w:t>
            </w:r>
            <w:r>
              <w:rPr>
                <w:rFonts w:hint="cs"/>
                <w:rtl/>
                <w:lang w:bidi="ar-AE"/>
              </w:rPr>
              <w:t>تحقيق عبدالله بن عبدالمحسن التركي (القاهرة: دار هجر للطباعة والنشر والتوزيع والإعلان، 1997)</w:t>
            </w:r>
          </w:p>
          <w:p w:rsidR="00D5582C" w:rsidRPr="003E2F6D" w:rsidRDefault="00D5582C" w:rsidP="008D6268">
            <w:pPr>
              <w:pStyle w:val="ListParagraph"/>
              <w:tabs>
                <w:tab w:val="left" w:pos="2505"/>
              </w:tabs>
              <w:bidi/>
              <w:ind w:left="1080"/>
              <w:rPr>
                <w:bCs/>
                <w:sz w:val="24"/>
                <w:szCs w:val="24"/>
                <w:lang w:bidi="ar-AE"/>
              </w:rPr>
            </w:pPr>
          </w:p>
          <w:p w:rsidR="00D5582C" w:rsidRPr="00124265" w:rsidRDefault="00D5582C" w:rsidP="008D6268">
            <w:pPr>
              <w:tabs>
                <w:tab w:val="left" w:pos="2505"/>
              </w:tabs>
              <w:bidi/>
              <w:ind w:left="720"/>
              <w:rPr>
                <w:bCs/>
                <w:lang w:bidi="ar-AE"/>
              </w:rPr>
            </w:pPr>
            <w:r>
              <w:rPr>
                <w:rFonts w:hint="cs"/>
                <w:bCs/>
                <w:rtl/>
                <w:lang w:bidi="ar-AE"/>
              </w:rPr>
              <w:t xml:space="preserve">1332 </w:t>
            </w:r>
            <w:r>
              <w:rPr>
                <w:bCs/>
                <w:rtl/>
                <w:lang w:bidi="ar-AE"/>
              </w:rPr>
              <w:t>–</w:t>
            </w:r>
            <w:r>
              <w:rPr>
                <w:rFonts w:hint="cs"/>
                <w:bCs/>
                <w:rtl/>
                <w:lang w:bidi="ar-AE"/>
              </w:rPr>
              <w:t xml:space="preserve"> 1406 م:</w:t>
            </w:r>
          </w:p>
          <w:p w:rsidR="00D5582C" w:rsidRPr="006E31EC" w:rsidRDefault="00D5582C" w:rsidP="00D5582C">
            <w:pPr>
              <w:pStyle w:val="ListParagraph"/>
              <w:numPr>
                <w:ilvl w:val="0"/>
                <w:numId w:val="9"/>
              </w:numPr>
              <w:tabs>
                <w:tab w:val="left" w:pos="2505"/>
              </w:tabs>
              <w:autoSpaceDE/>
              <w:autoSpaceDN/>
              <w:bidi/>
              <w:adjustRightInd/>
              <w:rPr>
                <w:bCs/>
                <w:lang w:bidi="ar-AE"/>
              </w:rPr>
            </w:pPr>
            <w:r w:rsidRPr="00124265">
              <w:rPr>
                <w:rFonts w:hint="cs"/>
                <w:b/>
                <w:rtl/>
                <w:lang w:bidi="ar-AE"/>
              </w:rPr>
              <w:t xml:space="preserve">ابن خلدون، أبو زيد ولي الدين عبدالرحمن </w:t>
            </w:r>
            <w:r>
              <w:rPr>
                <w:rFonts w:hint="cs"/>
                <w:b/>
                <w:rtl/>
                <w:lang w:bidi="ar-AE"/>
              </w:rPr>
              <w:t xml:space="preserve">بن محمد، </w:t>
            </w:r>
            <w:r w:rsidRPr="00124265">
              <w:rPr>
                <w:rFonts w:hint="cs"/>
                <w:bCs/>
                <w:rtl/>
                <w:lang w:bidi="ar-AE"/>
              </w:rPr>
              <w:t>تاريخ ابن خلدون</w:t>
            </w:r>
            <w:r>
              <w:rPr>
                <w:rFonts w:hint="cs"/>
                <w:b/>
                <w:rtl/>
                <w:lang w:bidi="ar-AE"/>
              </w:rPr>
              <w:t>، تحقيق أبو صهيب الكرمي (الرياض: بيت الأفكار الدولية، ب.ت.)</w:t>
            </w:r>
          </w:p>
          <w:p w:rsidR="00D5582C" w:rsidRPr="00B86C04" w:rsidRDefault="00D5582C" w:rsidP="008D6268">
            <w:pPr>
              <w:pStyle w:val="ListParagraph"/>
              <w:tabs>
                <w:tab w:val="left" w:pos="2505"/>
              </w:tabs>
              <w:bidi/>
              <w:ind w:left="1080"/>
              <w:rPr>
                <w:bCs/>
                <w:lang w:bidi="ar-AE"/>
              </w:rPr>
            </w:pPr>
          </w:p>
          <w:p w:rsidR="00D5582C" w:rsidRPr="00B86C04" w:rsidRDefault="00D5582C" w:rsidP="008D6268">
            <w:pPr>
              <w:tabs>
                <w:tab w:val="left" w:pos="2505"/>
              </w:tabs>
              <w:bidi/>
              <w:ind w:left="720"/>
              <w:rPr>
                <w:bCs/>
                <w:lang w:bidi="ar-AE"/>
              </w:rPr>
            </w:pPr>
            <w:r>
              <w:rPr>
                <w:rFonts w:hint="cs"/>
                <w:bCs/>
                <w:rtl/>
                <w:lang w:bidi="ar-AE"/>
              </w:rPr>
              <w:t xml:space="preserve">1856 </w:t>
            </w:r>
            <w:r>
              <w:rPr>
                <w:bCs/>
                <w:rtl/>
                <w:lang w:bidi="ar-AE"/>
              </w:rPr>
              <w:t>–</w:t>
            </w:r>
            <w:r>
              <w:rPr>
                <w:rFonts w:hint="cs"/>
                <w:bCs/>
                <w:rtl/>
                <w:lang w:bidi="ar-AE"/>
              </w:rPr>
              <w:t xml:space="preserve"> 1924 م:</w:t>
            </w:r>
          </w:p>
          <w:p w:rsidR="00D5582C" w:rsidRPr="006E31EC" w:rsidRDefault="00D5582C" w:rsidP="00D5582C">
            <w:pPr>
              <w:pStyle w:val="ListParagraph"/>
              <w:numPr>
                <w:ilvl w:val="0"/>
                <w:numId w:val="9"/>
              </w:numPr>
              <w:tabs>
                <w:tab w:val="left" w:pos="2505"/>
              </w:tabs>
              <w:autoSpaceDE/>
              <w:autoSpaceDN/>
              <w:bidi/>
              <w:adjustRightInd/>
              <w:rPr>
                <w:bCs/>
                <w:lang w:bidi="ar-AE"/>
              </w:rPr>
            </w:pPr>
            <w:r>
              <w:rPr>
                <w:rFonts w:hint="cs"/>
                <w:b/>
                <w:rtl/>
                <w:lang w:bidi="ar-AE"/>
              </w:rPr>
              <w:t xml:space="preserve">الألوسي، محمود شكري، </w:t>
            </w:r>
            <w:r w:rsidRPr="00A15ECD">
              <w:rPr>
                <w:rFonts w:hint="cs"/>
                <w:bCs/>
                <w:rtl/>
                <w:lang w:bidi="ar-AE"/>
              </w:rPr>
              <w:t>بلوغ الأرب في معرفة أحوال العرب</w:t>
            </w:r>
            <w:r>
              <w:rPr>
                <w:rFonts w:hint="cs"/>
                <w:b/>
                <w:rtl/>
                <w:lang w:bidi="ar-AE"/>
              </w:rPr>
              <w:t>، تحقيق يوسف إبراهيم سلوم (بيروت: المكتبة العصرية، 2009)</w:t>
            </w:r>
          </w:p>
          <w:p w:rsidR="00D5582C" w:rsidRPr="006E31EC" w:rsidRDefault="00D5582C" w:rsidP="008D6268">
            <w:pPr>
              <w:pStyle w:val="ListParagraph"/>
              <w:tabs>
                <w:tab w:val="left" w:pos="2505"/>
              </w:tabs>
              <w:bidi/>
              <w:ind w:left="1080"/>
              <w:rPr>
                <w:bCs/>
                <w:lang w:bidi="ar-AE"/>
              </w:rPr>
            </w:pPr>
          </w:p>
          <w:p w:rsidR="00D5582C" w:rsidRPr="006E31EC" w:rsidRDefault="00D5582C" w:rsidP="008D6268">
            <w:pPr>
              <w:tabs>
                <w:tab w:val="left" w:pos="2505"/>
              </w:tabs>
              <w:bidi/>
              <w:ind w:left="720"/>
              <w:rPr>
                <w:bCs/>
                <w:lang w:bidi="ar-AE"/>
              </w:rPr>
            </w:pPr>
            <w:r>
              <w:rPr>
                <w:rFonts w:hint="cs"/>
                <w:bCs/>
                <w:rtl/>
                <w:lang w:bidi="ar-AE"/>
              </w:rPr>
              <w:t xml:space="preserve">1907 </w:t>
            </w:r>
            <w:r>
              <w:rPr>
                <w:bCs/>
                <w:rtl/>
                <w:lang w:bidi="ar-AE"/>
              </w:rPr>
              <w:t>–</w:t>
            </w:r>
            <w:r>
              <w:rPr>
                <w:rFonts w:hint="cs"/>
                <w:bCs/>
                <w:rtl/>
                <w:lang w:bidi="ar-AE"/>
              </w:rPr>
              <w:t xml:space="preserve"> 1987 م:</w:t>
            </w:r>
          </w:p>
          <w:p w:rsidR="00D5582C" w:rsidRPr="00124265" w:rsidRDefault="00D5582C" w:rsidP="00D5582C">
            <w:pPr>
              <w:pStyle w:val="ListParagraph"/>
              <w:numPr>
                <w:ilvl w:val="0"/>
                <w:numId w:val="9"/>
              </w:numPr>
              <w:tabs>
                <w:tab w:val="left" w:pos="2505"/>
              </w:tabs>
              <w:autoSpaceDE/>
              <w:autoSpaceDN/>
              <w:bidi/>
              <w:adjustRightInd/>
              <w:rPr>
                <w:bCs/>
                <w:lang w:bidi="ar-AE"/>
              </w:rPr>
            </w:pPr>
            <w:r>
              <w:rPr>
                <w:rFonts w:hint="cs"/>
                <w:b/>
                <w:rtl/>
                <w:lang w:bidi="ar-AE"/>
              </w:rPr>
              <w:t xml:space="preserve">علي، جواد، </w:t>
            </w:r>
            <w:r w:rsidRPr="006E31EC">
              <w:rPr>
                <w:rFonts w:hint="cs"/>
                <w:bCs/>
                <w:rtl/>
                <w:lang w:bidi="ar-AE"/>
              </w:rPr>
              <w:t>المفصل في تاريخ العرب قبل الإسلام</w:t>
            </w:r>
            <w:r>
              <w:rPr>
                <w:rFonts w:hint="cs"/>
                <w:b/>
                <w:rtl/>
                <w:lang w:bidi="ar-AE"/>
              </w:rPr>
              <w:t xml:space="preserve"> (بيروت: دار الساقي، 2001)</w:t>
            </w:r>
          </w:p>
          <w:p w:rsidR="00D5582C" w:rsidRDefault="00D5582C" w:rsidP="008D6268">
            <w:pPr>
              <w:rPr>
                <w:rFonts w:eastAsia="Times New Roman" w:cs="Times New Roman"/>
                <w:rtl/>
              </w:rPr>
            </w:pPr>
          </w:p>
          <w:p w:rsidR="00D5582C" w:rsidRDefault="00D5582C" w:rsidP="008D6268">
            <w:pPr>
              <w:tabs>
                <w:tab w:val="left" w:pos="8640"/>
              </w:tabs>
              <w:ind w:right="630"/>
              <w:rPr>
                <w:b/>
                <w:bCs/>
              </w:rPr>
            </w:pPr>
            <w:r>
              <w:rPr>
                <w:b/>
                <w:bCs/>
              </w:rPr>
              <w:t>1300-1373 CE:</w:t>
            </w:r>
          </w:p>
          <w:p w:rsidR="00D5582C" w:rsidRPr="00A34D7E" w:rsidRDefault="00D5582C" w:rsidP="008D6268">
            <w:pPr>
              <w:spacing w:after="100" w:afterAutospacing="1"/>
              <w:ind w:left="450" w:hanging="450"/>
              <w:rPr>
                <w:rFonts w:eastAsia="Times New Roman" w:cs="Times New Roman"/>
                <w:rtl/>
                <w:lang w:bidi="ar-AE"/>
              </w:rPr>
            </w:pPr>
            <w:r>
              <w:rPr>
                <w:rFonts w:eastAsia="Times New Roman" w:cs="Times New Roman"/>
              </w:rPr>
              <w:t xml:space="preserve">ibn </w:t>
            </w:r>
            <w:r w:rsidRPr="00DC3F38">
              <w:rPr>
                <w:rFonts w:eastAsia="Times New Roman" w:cs="Times New Roman"/>
              </w:rPr>
              <w:t>Kathīr, Abū al-Fidā' 'Ismā'īl b</w:t>
            </w:r>
            <w:r>
              <w:rPr>
                <w:rFonts w:eastAsia="Times New Roman" w:cs="Times New Roman"/>
              </w:rPr>
              <w:t xml:space="preserve">. 'Umar </w:t>
            </w:r>
            <w:r w:rsidRPr="00DC3F38">
              <w:rPr>
                <w:rFonts w:eastAsia="Times New Roman" w:cs="Times New Roman"/>
              </w:rPr>
              <w:t xml:space="preserve">al-Qurashī, </w:t>
            </w:r>
            <w:r>
              <w:rPr>
                <w:rFonts w:eastAsia="Times New Roman" w:cs="Times New Roman"/>
                <w:i/>
                <w:iCs/>
              </w:rPr>
              <w:t>al-Bidāya wal-Nihāya</w:t>
            </w:r>
            <w:r w:rsidRPr="00DC3F38">
              <w:rPr>
                <w:rFonts w:eastAsia="Times New Roman" w:cs="Times New Roman"/>
                <w:i/>
                <w:iCs/>
              </w:rPr>
              <w:t xml:space="preserve"> Or </w:t>
            </w:r>
            <w:r>
              <w:rPr>
                <w:rFonts w:eastAsia="Times New Roman" w:cs="Times New Roman"/>
                <w:i/>
                <w:iCs/>
              </w:rPr>
              <w:t xml:space="preserve">The Beginning and the End, </w:t>
            </w:r>
            <w:r>
              <w:rPr>
                <w:rFonts w:eastAsia="Times New Roman" w:cs="Times New Roman"/>
              </w:rPr>
              <w:t>ed. by 'Abdulla b. 'Abd al-Muḥsin al-Tirkī</w:t>
            </w:r>
            <w:r w:rsidRPr="00DC3F38">
              <w:rPr>
                <w:rFonts w:eastAsia="Times New Roman" w:cs="Times New Roman"/>
              </w:rPr>
              <w:t xml:space="preserve"> (</w:t>
            </w:r>
            <w:r>
              <w:rPr>
                <w:rFonts w:eastAsia="Times New Roman" w:cs="Times New Roman"/>
              </w:rPr>
              <w:t>Cairo</w:t>
            </w:r>
            <w:r w:rsidRPr="00DC3F38">
              <w:rPr>
                <w:rFonts w:eastAsia="Times New Roman" w:cs="Times New Roman"/>
              </w:rPr>
              <w:t xml:space="preserve">t: Dār </w:t>
            </w:r>
            <w:r>
              <w:rPr>
                <w:rFonts w:eastAsia="Times New Roman" w:cs="Times New Roman"/>
              </w:rPr>
              <w:t>Hajar lil-Ṭibā'a wal-Nashr wal-Tawzī'</w:t>
            </w:r>
            <w:r w:rsidRPr="00DC3F38">
              <w:rPr>
                <w:rFonts w:eastAsia="Times New Roman" w:cs="Times New Roman"/>
              </w:rPr>
              <w:t xml:space="preserve">, </w:t>
            </w:r>
            <w:r>
              <w:rPr>
                <w:rFonts w:eastAsia="Times New Roman" w:cs="Times New Roman"/>
              </w:rPr>
              <w:t>1997</w:t>
            </w:r>
            <w:r w:rsidRPr="00DC3F38">
              <w:rPr>
                <w:rFonts w:eastAsia="Times New Roman" w:cs="Times New Roman"/>
              </w:rPr>
              <w:t xml:space="preserve">) </w:t>
            </w:r>
          </w:p>
          <w:p w:rsidR="00D5582C" w:rsidRPr="00124265" w:rsidRDefault="00D5582C" w:rsidP="008D6268">
            <w:pPr>
              <w:rPr>
                <w:rFonts w:eastAsia="Times New Roman" w:cs="Times New Roman"/>
                <w:b/>
                <w:bCs/>
                <w:rtl/>
              </w:rPr>
            </w:pPr>
            <w:r w:rsidRPr="00124265">
              <w:rPr>
                <w:rFonts w:eastAsia="Times New Roman" w:cs="Times New Roman"/>
                <w:b/>
                <w:bCs/>
              </w:rPr>
              <w:t>1332-1406 CE:</w:t>
            </w:r>
          </w:p>
          <w:p w:rsidR="00D5582C" w:rsidRDefault="00D5582C" w:rsidP="008D6268">
            <w:pPr>
              <w:ind w:left="540" w:hanging="540"/>
              <w:rPr>
                <w:rFonts w:eastAsia="Times New Roman" w:cs="Times New Roman"/>
                <w:rtl/>
              </w:rPr>
            </w:pPr>
            <w:proofErr w:type="gramStart"/>
            <w:r w:rsidRPr="00124265">
              <w:rPr>
                <w:rFonts w:eastAsia="Times New Roman" w:cs="Times New Roman"/>
              </w:rPr>
              <w:t>ibn</w:t>
            </w:r>
            <w:proofErr w:type="gramEnd"/>
            <w:r w:rsidRPr="00124265">
              <w:rPr>
                <w:rFonts w:eastAsia="Times New Roman" w:cs="Times New Roman"/>
              </w:rPr>
              <w:t xml:space="preserve"> Khaldūn, abū Zaīd Walī al-Dīn 'Abd al-Raḥmān b. Muḥammad, </w:t>
            </w:r>
            <w:r w:rsidRPr="00124265">
              <w:rPr>
                <w:rFonts w:eastAsia="Times New Roman" w:cs="Times New Roman"/>
                <w:i/>
                <w:iCs/>
              </w:rPr>
              <w:t>Tarīkh ibn Khaldūn</w:t>
            </w:r>
            <w:r w:rsidRPr="00124265">
              <w:rPr>
                <w:rFonts w:eastAsia="Times New Roman" w:cs="Times New Roman"/>
              </w:rPr>
              <w:t xml:space="preserve"> or </w:t>
            </w:r>
            <w:r w:rsidRPr="00124265">
              <w:rPr>
                <w:rFonts w:eastAsia="Times New Roman" w:cs="Times New Roman"/>
                <w:i/>
                <w:iCs/>
              </w:rPr>
              <w:t>The History of ibn Khaldūn</w:t>
            </w:r>
            <w:r w:rsidRPr="00124265">
              <w:rPr>
                <w:rFonts w:eastAsia="Times New Roman" w:cs="Times New Roman"/>
              </w:rPr>
              <w:t>, ed. by abū Șuhaīb al-Karmī (Riyadh: Baīt al-Afkār al-Dawlīya, n.d.)</w:t>
            </w:r>
          </w:p>
          <w:p w:rsidR="00D5582C" w:rsidRDefault="00D5582C" w:rsidP="008D6268">
            <w:pPr>
              <w:ind w:left="540" w:hanging="540"/>
              <w:rPr>
                <w:rFonts w:eastAsia="Times New Roman" w:cs="Times New Roman"/>
              </w:rPr>
            </w:pPr>
          </w:p>
          <w:p w:rsidR="00D5582C" w:rsidRPr="00A15ECD" w:rsidRDefault="00D5582C" w:rsidP="008D6268">
            <w:pPr>
              <w:ind w:left="540" w:hanging="540"/>
              <w:rPr>
                <w:rFonts w:eastAsia="Times New Roman" w:cs="Times New Roman"/>
                <w:b/>
                <w:bCs/>
              </w:rPr>
            </w:pPr>
            <w:r w:rsidRPr="00A15ECD">
              <w:rPr>
                <w:rFonts w:eastAsia="Times New Roman" w:cs="Times New Roman"/>
                <w:b/>
                <w:bCs/>
              </w:rPr>
              <w:t>1856-1924 CE:</w:t>
            </w:r>
          </w:p>
          <w:p w:rsidR="00D5582C" w:rsidRDefault="00D5582C" w:rsidP="008D6268">
            <w:pPr>
              <w:ind w:left="540" w:hanging="540"/>
              <w:rPr>
                <w:rFonts w:cs="Palatino-Italic"/>
                <w:color w:val="231F20"/>
                <w:rtl/>
              </w:rPr>
            </w:pPr>
            <w:r>
              <w:rPr>
                <w:rFonts w:eastAsia="Times New Roman" w:cs="Times New Roman"/>
              </w:rPr>
              <w:t xml:space="preserve">al-Alūsī, Maḥmūd Shukrī, </w:t>
            </w:r>
            <w:r w:rsidRPr="00A15ECD">
              <w:rPr>
                <w:rFonts w:eastAsia="Times New Roman" w:cs="Times New Roman"/>
                <w:i/>
                <w:iCs/>
              </w:rPr>
              <w:t xml:space="preserve">Bulūgh al-Arab fī Ma'rifat Aḥwāl al-'Arab Or </w:t>
            </w:r>
            <w:r w:rsidRPr="00A15ECD">
              <w:rPr>
                <w:rFonts w:cs="Palatino-Italic"/>
                <w:i/>
                <w:iCs/>
                <w:color w:val="231F20"/>
              </w:rPr>
              <w:t>The Fulfillment of Desire on Knowledge of the Affairs of Pagan Arabs</w:t>
            </w:r>
            <w:r>
              <w:rPr>
                <w:rFonts w:cs="Palatino-Italic"/>
                <w:i/>
                <w:iCs/>
                <w:color w:val="231F20"/>
              </w:rPr>
              <w:t xml:space="preserve">, </w:t>
            </w:r>
            <w:r>
              <w:rPr>
                <w:rFonts w:cs="Palatino-Italic"/>
                <w:color w:val="231F20"/>
              </w:rPr>
              <w:t>ed. Yusuf Ibrahīm Sallūm (Beirut: al-Maktaba al-'Aṣrīyah, 2009)</w:t>
            </w:r>
          </w:p>
          <w:p w:rsidR="00D5582C" w:rsidRDefault="00D5582C" w:rsidP="008D6268">
            <w:pPr>
              <w:ind w:left="540" w:hanging="540"/>
              <w:rPr>
                <w:rFonts w:cs="Palatino-Italic"/>
                <w:color w:val="231F20"/>
                <w:rtl/>
              </w:rPr>
            </w:pPr>
          </w:p>
          <w:p w:rsidR="00D5582C" w:rsidRPr="00A47342" w:rsidRDefault="00D5582C" w:rsidP="008D6268">
            <w:pPr>
              <w:ind w:left="540" w:hanging="540"/>
              <w:rPr>
                <w:rFonts w:cs="Palatino-Italic"/>
                <w:b/>
                <w:bCs/>
                <w:color w:val="231F20"/>
              </w:rPr>
            </w:pPr>
            <w:r w:rsidRPr="00A47342">
              <w:rPr>
                <w:rFonts w:cs="Palatino-Italic"/>
                <w:b/>
                <w:bCs/>
                <w:color w:val="231F20"/>
              </w:rPr>
              <w:t>1907-1987 CE:</w:t>
            </w:r>
          </w:p>
          <w:p w:rsidR="00D5582C" w:rsidRPr="00A15ECD" w:rsidRDefault="00D5582C" w:rsidP="008D6268">
            <w:pPr>
              <w:ind w:left="540" w:hanging="540"/>
              <w:rPr>
                <w:rFonts w:eastAsia="Times New Roman" w:cs="Times New Roman"/>
              </w:rPr>
            </w:pPr>
            <w:r>
              <w:rPr>
                <w:rFonts w:cs="Palatino-Italic"/>
                <w:color w:val="231F20"/>
              </w:rPr>
              <w:t xml:space="preserve">Alī, Jawād, </w:t>
            </w:r>
            <w:r w:rsidRPr="00A47342">
              <w:rPr>
                <w:rFonts w:cs="Palatino-Italic"/>
                <w:i/>
                <w:iCs/>
                <w:color w:val="231F20"/>
              </w:rPr>
              <w:t>al-Mufaṣṣal fī Tārīkh al-'Arab qabl al-Islām</w:t>
            </w:r>
            <w:r>
              <w:rPr>
                <w:rFonts w:cs="Palatino-Italic"/>
                <w:color w:val="231F20"/>
              </w:rPr>
              <w:t xml:space="preserve"> </w:t>
            </w:r>
            <w:r w:rsidRPr="00A47342">
              <w:rPr>
                <w:rFonts w:cs="Palatino-Italic"/>
                <w:i/>
                <w:iCs/>
                <w:color w:val="231F20"/>
              </w:rPr>
              <w:t>Or</w:t>
            </w:r>
            <w:r>
              <w:rPr>
                <w:rFonts w:cs="Palatino-Italic"/>
                <w:color w:val="231F20"/>
              </w:rPr>
              <w:t xml:space="preserve"> </w:t>
            </w:r>
            <w:r w:rsidRPr="00A47342">
              <w:rPr>
                <w:rFonts w:cs="Palatino-Italic"/>
                <w:i/>
                <w:iCs/>
                <w:color w:val="231F20"/>
              </w:rPr>
              <w:t>The Comprehensive on the History of Arabs before Islam</w:t>
            </w:r>
            <w:r>
              <w:rPr>
                <w:rFonts w:cs="Palatino-Italic"/>
                <w:color w:val="231F20"/>
              </w:rPr>
              <w:t xml:space="preserve"> (Beirut: Dār al-Sāqī, 2001)</w:t>
            </w:r>
          </w:p>
          <w:p w:rsidR="00D5582C" w:rsidRPr="00124265" w:rsidRDefault="00D5582C" w:rsidP="008D6268">
            <w:pPr>
              <w:tabs>
                <w:tab w:val="left" w:pos="2505"/>
              </w:tabs>
              <w:rPr>
                <w:bCs/>
                <w:sz w:val="24"/>
                <w:szCs w:val="24"/>
                <w:lang w:bidi="ar-AE"/>
              </w:rPr>
            </w:pPr>
          </w:p>
        </w:tc>
      </w:tr>
      <w:tr w:rsidR="00D5582C" w:rsidTr="008D6268">
        <w:tc>
          <w:tcPr>
            <w:tcW w:w="9576" w:type="dxa"/>
            <w:gridSpan w:val="3"/>
          </w:tcPr>
          <w:p w:rsidR="00D5582C" w:rsidRDefault="00D5582C" w:rsidP="008D6268">
            <w:pPr>
              <w:tabs>
                <w:tab w:val="left" w:pos="2505"/>
              </w:tabs>
              <w:bidi/>
              <w:rPr>
                <w:bCs/>
                <w:sz w:val="24"/>
                <w:szCs w:val="24"/>
                <w:lang w:bidi="ar-AE"/>
              </w:rPr>
            </w:pPr>
            <w:r>
              <w:rPr>
                <w:bCs/>
                <w:sz w:val="24"/>
                <w:szCs w:val="24"/>
                <w:rtl/>
                <w:lang w:bidi="ar-AE"/>
              </w:rPr>
              <w:lastRenderedPageBreak/>
              <w:tab/>
            </w:r>
          </w:p>
          <w:p w:rsidR="00D5582C" w:rsidRDefault="00D5582C" w:rsidP="008D6268">
            <w:pPr>
              <w:bidi/>
              <w:rPr>
                <w:bCs/>
                <w:sz w:val="24"/>
                <w:szCs w:val="24"/>
                <w:lang w:bidi="ar-AE"/>
              </w:rPr>
            </w:pPr>
          </w:p>
          <w:p w:rsidR="00D5582C" w:rsidRDefault="00D5582C" w:rsidP="008D6268">
            <w:pPr>
              <w:bidi/>
              <w:jc w:val="center"/>
              <w:rPr>
                <w:bCs/>
                <w:sz w:val="24"/>
                <w:szCs w:val="24"/>
                <w:rtl/>
                <w:lang w:bidi="ar-AE"/>
              </w:rPr>
            </w:pPr>
            <w:r w:rsidRPr="008E0507">
              <w:rPr>
                <w:rFonts w:hint="cs"/>
                <w:bCs/>
                <w:sz w:val="24"/>
                <w:szCs w:val="24"/>
                <w:rtl/>
                <w:lang w:bidi="ar-AE"/>
              </w:rPr>
              <w:t>كتب في الإعجاز العلمي القرآني والآيات الكونية وأيات يوم القيامة</w:t>
            </w:r>
          </w:p>
          <w:p w:rsidR="00D5582C" w:rsidRDefault="00D5582C" w:rsidP="008D6268">
            <w:pPr>
              <w:bidi/>
              <w:jc w:val="center"/>
              <w:rPr>
                <w:b/>
                <w:sz w:val="24"/>
                <w:szCs w:val="24"/>
                <w:lang w:bidi="ar-AE"/>
              </w:rPr>
            </w:pPr>
            <w:r>
              <w:rPr>
                <w:b/>
                <w:sz w:val="24"/>
                <w:szCs w:val="24"/>
                <w:lang w:bidi="ar-AE"/>
              </w:rPr>
              <w:t>Books on the Scientific</w:t>
            </w:r>
            <w:r w:rsidRPr="008E0507">
              <w:rPr>
                <w:b/>
                <w:i/>
                <w:iCs/>
                <w:sz w:val="24"/>
                <w:szCs w:val="24"/>
                <w:lang w:bidi="ar-AE"/>
              </w:rPr>
              <w:t xml:space="preserve"> I’jāz</w:t>
            </w:r>
            <w:r>
              <w:rPr>
                <w:b/>
                <w:sz w:val="24"/>
                <w:szCs w:val="24"/>
                <w:lang w:bidi="ar-AE"/>
              </w:rPr>
              <w:t xml:space="preserve"> (Inimitability) of the Qur’ān, Cosmic and Last Day Verses</w:t>
            </w:r>
          </w:p>
          <w:p w:rsidR="00D5582C" w:rsidRPr="00DA311B" w:rsidRDefault="00D5582C" w:rsidP="008D6268">
            <w:pPr>
              <w:bidi/>
              <w:rPr>
                <w:b/>
                <w:bCs/>
                <w:sz w:val="24"/>
                <w:szCs w:val="24"/>
                <w:rtl/>
                <w:lang w:bidi="ar-AE"/>
              </w:rPr>
            </w:pPr>
          </w:p>
        </w:tc>
      </w:tr>
      <w:tr w:rsidR="00D5582C" w:rsidTr="008D6268">
        <w:tc>
          <w:tcPr>
            <w:tcW w:w="9576" w:type="dxa"/>
            <w:gridSpan w:val="3"/>
          </w:tcPr>
          <w:p w:rsidR="00D5582C" w:rsidRDefault="00D5582C" w:rsidP="00D5582C">
            <w:pPr>
              <w:pStyle w:val="ListParagraph"/>
              <w:numPr>
                <w:ilvl w:val="0"/>
                <w:numId w:val="9"/>
              </w:numPr>
              <w:autoSpaceDE/>
              <w:autoSpaceDN/>
              <w:bidi/>
              <w:adjustRightInd/>
              <w:rPr>
                <w:b/>
                <w:lang w:bidi="ar-AE"/>
              </w:rPr>
            </w:pPr>
            <w:r>
              <w:rPr>
                <w:rFonts w:hint="cs"/>
                <w:b/>
                <w:rtl/>
                <w:lang w:bidi="ar-AE"/>
              </w:rPr>
              <w:t xml:space="preserve">الشريف،عدنان، </w:t>
            </w:r>
            <w:r w:rsidRPr="00585722">
              <w:rPr>
                <w:rFonts w:hint="cs"/>
                <w:bCs/>
                <w:rtl/>
                <w:lang w:bidi="ar-AE"/>
              </w:rPr>
              <w:t>من علم الفلك القرآني</w:t>
            </w:r>
            <w:r w:rsidRPr="009A610F">
              <w:rPr>
                <w:rFonts w:hint="cs"/>
                <w:b/>
                <w:rtl/>
                <w:lang w:bidi="ar-AE"/>
              </w:rPr>
              <w:t xml:space="preserve"> </w:t>
            </w:r>
            <w:r>
              <w:rPr>
                <w:rFonts w:hint="cs"/>
                <w:b/>
                <w:rtl/>
                <w:lang w:bidi="ar-AE"/>
              </w:rPr>
              <w:t>(بيروت: دار العلم للملايين، 1993)</w:t>
            </w:r>
          </w:p>
          <w:p w:rsidR="00D5582C" w:rsidRPr="009A610F" w:rsidRDefault="00D5582C" w:rsidP="008D6268">
            <w:pPr>
              <w:pStyle w:val="ListParagraph"/>
              <w:bidi/>
              <w:ind w:left="1080"/>
              <w:rPr>
                <w:b/>
                <w:rtl/>
                <w:lang w:bidi="ar-AE"/>
              </w:rPr>
            </w:pPr>
          </w:p>
          <w:p w:rsidR="00D5582C" w:rsidRDefault="00D5582C" w:rsidP="00D5582C">
            <w:pPr>
              <w:pStyle w:val="ListParagraph"/>
              <w:numPr>
                <w:ilvl w:val="0"/>
                <w:numId w:val="9"/>
              </w:numPr>
              <w:autoSpaceDE/>
              <w:autoSpaceDN/>
              <w:bidi/>
              <w:adjustRightInd/>
              <w:rPr>
                <w:b/>
                <w:lang w:bidi="ar-AE"/>
              </w:rPr>
            </w:pPr>
            <w:r>
              <w:rPr>
                <w:rFonts w:hint="cs"/>
                <w:b/>
                <w:rtl/>
                <w:lang w:bidi="ar-AE"/>
              </w:rPr>
              <w:t xml:space="preserve">السعدي، داوود سلمان، </w:t>
            </w:r>
            <w:r w:rsidRPr="00585722">
              <w:rPr>
                <w:rFonts w:hint="cs"/>
                <w:bCs/>
                <w:rtl/>
                <w:lang w:bidi="ar-AE"/>
              </w:rPr>
              <w:t>القيامة بين العلم والقرآن</w:t>
            </w:r>
            <w:r>
              <w:rPr>
                <w:rFonts w:hint="cs"/>
                <w:b/>
                <w:rtl/>
                <w:lang w:bidi="ar-AE"/>
              </w:rPr>
              <w:t xml:space="preserve"> (بيروت: دار الحرف العربي، 1999)</w:t>
            </w:r>
          </w:p>
          <w:p w:rsidR="00D5582C" w:rsidRPr="00A922AB" w:rsidRDefault="00D5582C" w:rsidP="008D6268">
            <w:pPr>
              <w:bidi/>
              <w:rPr>
                <w:b/>
                <w:lang w:bidi="ar-AE"/>
              </w:rPr>
            </w:pPr>
          </w:p>
          <w:p w:rsidR="00D5582C" w:rsidRDefault="00D5582C" w:rsidP="00D5582C">
            <w:pPr>
              <w:pStyle w:val="ListParagraph"/>
              <w:numPr>
                <w:ilvl w:val="0"/>
                <w:numId w:val="9"/>
              </w:numPr>
              <w:autoSpaceDE/>
              <w:autoSpaceDN/>
              <w:bidi/>
              <w:adjustRightInd/>
              <w:rPr>
                <w:b/>
                <w:lang w:bidi="ar-AE"/>
              </w:rPr>
            </w:pPr>
            <w:r>
              <w:rPr>
                <w:rFonts w:hint="cs"/>
                <w:b/>
                <w:rtl/>
                <w:lang w:bidi="ar-AE"/>
              </w:rPr>
              <w:t xml:space="preserve">الحلي، محمد علي حسن، </w:t>
            </w:r>
            <w:r w:rsidRPr="00A922AB">
              <w:rPr>
                <w:rFonts w:hint="cs"/>
                <w:bCs/>
                <w:rtl/>
                <w:lang w:bidi="ar-AE"/>
              </w:rPr>
              <w:t>الكون والقرآن</w:t>
            </w:r>
            <w:r>
              <w:rPr>
                <w:rFonts w:hint="cs"/>
                <w:b/>
                <w:rtl/>
                <w:lang w:bidi="ar-AE"/>
              </w:rPr>
              <w:t xml:space="preserve"> (بيروت: دار الكتب العلمية، 2010)</w:t>
            </w:r>
          </w:p>
          <w:p w:rsidR="00D5582C" w:rsidRPr="00154A93" w:rsidRDefault="00D5582C" w:rsidP="008D6268">
            <w:pPr>
              <w:bidi/>
              <w:rPr>
                <w:b/>
                <w:lang w:bidi="ar-AE"/>
              </w:rPr>
            </w:pPr>
          </w:p>
          <w:p w:rsidR="00D5582C" w:rsidRDefault="00D5582C" w:rsidP="00D5582C">
            <w:pPr>
              <w:pStyle w:val="ListParagraph"/>
              <w:numPr>
                <w:ilvl w:val="0"/>
                <w:numId w:val="9"/>
              </w:numPr>
              <w:autoSpaceDE/>
              <w:autoSpaceDN/>
              <w:bidi/>
              <w:adjustRightInd/>
              <w:rPr>
                <w:b/>
                <w:lang w:bidi="ar-AE"/>
              </w:rPr>
            </w:pPr>
            <w:r>
              <w:rPr>
                <w:rFonts w:hint="cs"/>
                <w:b/>
                <w:rtl/>
                <w:lang w:bidi="ar-AE"/>
              </w:rPr>
              <w:t xml:space="preserve">ناصر، عبدالهادي، </w:t>
            </w:r>
            <w:r w:rsidRPr="00154A93">
              <w:rPr>
                <w:rFonts w:hint="cs"/>
                <w:bCs/>
                <w:rtl/>
                <w:lang w:bidi="ar-AE"/>
              </w:rPr>
              <w:t>نظرات في الكون والقرآن</w:t>
            </w:r>
            <w:r>
              <w:rPr>
                <w:rFonts w:hint="cs"/>
                <w:b/>
                <w:rtl/>
                <w:lang w:bidi="ar-AE"/>
              </w:rPr>
              <w:t xml:space="preserve"> (القاهرة: المكتبة الأكاديمية، 1995)</w:t>
            </w:r>
          </w:p>
          <w:p w:rsidR="00D5582C" w:rsidRPr="00AA2EFD" w:rsidRDefault="00D5582C" w:rsidP="008D6268">
            <w:pPr>
              <w:pStyle w:val="ListParagraph"/>
              <w:rPr>
                <w:b/>
                <w:rtl/>
                <w:lang w:bidi="ar-AE"/>
              </w:rPr>
            </w:pPr>
          </w:p>
          <w:p w:rsidR="00D5582C" w:rsidRPr="00AA2EFD" w:rsidRDefault="00D5582C" w:rsidP="00D5582C">
            <w:pPr>
              <w:pStyle w:val="ListParagraph"/>
              <w:numPr>
                <w:ilvl w:val="0"/>
                <w:numId w:val="9"/>
              </w:numPr>
              <w:autoSpaceDE/>
              <w:autoSpaceDN/>
              <w:bidi/>
              <w:adjustRightInd/>
              <w:rPr>
                <w:lang w:bidi="ar-AE"/>
              </w:rPr>
            </w:pPr>
            <w:r>
              <w:rPr>
                <w:rFonts w:hint="cs"/>
                <w:rtl/>
                <w:lang w:bidi="ar-AE"/>
              </w:rPr>
              <w:t xml:space="preserve">الصوفي، ماهرأحمد، </w:t>
            </w:r>
            <w:r w:rsidRPr="006847C8">
              <w:rPr>
                <w:rFonts w:hint="cs"/>
                <w:b/>
                <w:bCs/>
                <w:rtl/>
                <w:lang w:bidi="ar-AE"/>
              </w:rPr>
              <w:t>آيات العلوم الكونية وفق أحدث الدراسات الفلكية والنظريات العلمية</w:t>
            </w:r>
            <w:r>
              <w:rPr>
                <w:rFonts w:hint="cs"/>
                <w:rtl/>
                <w:lang w:bidi="ar-AE"/>
              </w:rPr>
              <w:t xml:space="preserve"> (بيروت: المكتبة العصرية، 2008)</w:t>
            </w:r>
          </w:p>
          <w:p w:rsidR="00D5582C" w:rsidRDefault="00D5582C" w:rsidP="008D6268">
            <w:pPr>
              <w:tabs>
                <w:tab w:val="left" w:pos="1620"/>
              </w:tabs>
              <w:rPr>
                <w:lang w:bidi="ar-AE"/>
              </w:rPr>
            </w:pPr>
          </w:p>
          <w:p w:rsidR="00D5582C" w:rsidRDefault="00D5582C" w:rsidP="008D6268">
            <w:pPr>
              <w:tabs>
                <w:tab w:val="left" w:pos="1620"/>
              </w:tabs>
              <w:rPr>
                <w:lang w:bidi="ar-AE"/>
              </w:rPr>
            </w:pPr>
            <w:r>
              <w:rPr>
                <w:lang w:bidi="ar-AE"/>
              </w:rPr>
              <w:t xml:space="preserve">al-Sharīf, ‘Adnān, </w:t>
            </w:r>
            <w:r w:rsidRPr="00AE0855">
              <w:rPr>
                <w:i/>
                <w:iCs/>
                <w:lang w:bidi="ar-AE"/>
              </w:rPr>
              <w:t>Qur’ānic Astronomy</w:t>
            </w:r>
            <w:r>
              <w:rPr>
                <w:lang w:bidi="ar-AE"/>
              </w:rPr>
              <w:t xml:space="preserve"> (Beirut: Dār al-‘Ilm lil-Malayīn, 1993)</w:t>
            </w:r>
          </w:p>
          <w:p w:rsidR="00D5582C" w:rsidRDefault="00D5582C" w:rsidP="008D6268">
            <w:pPr>
              <w:tabs>
                <w:tab w:val="left" w:pos="1620"/>
              </w:tabs>
              <w:ind w:left="450" w:hanging="450"/>
              <w:rPr>
                <w:lang w:bidi="ar-AE"/>
              </w:rPr>
            </w:pPr>
          </w:p>
          <w:p w:rsidR="00D5582C" w:rsidRDefault="00D5582C" w:rsidP="008D6268">
            <w:pPr>
              <w:tabs>
                <w:tab w:val="left" w:pos="1620"/>
              </w:tabs>
              <w:ind w:left="450" w:hanging="450"/>
              <w:rPr>
                <w:lang w:bidi="ar-AE"/>
              </w:rPr>
            </w:pPr>
            <w:r>
              <w:rPr>
                <w:lang w:bidi="ar-AE"/>
              </w:rPr>
              <w:t xml:space="preserve">al-Sa’dī, Dawūd Salmān, </w:t>
            </w:r>
            <w:r w:rsidRPr="00AE0855">
              <w:rPr>
                <w:i/>
                <w:iCs/>
                <w:lang w:bidi="ar-AE"/>
              </w:rPr>
              <w:t>The Day of Resurrection in Science and the Qur’ān</w:t>
            </w:r>
            <w:r>
              <w:rPr>
                <w:lang w:bidi="ar-AE"/>
              </w:rPr>
              <w:t xml:space="preserve"> (Beirut: Dār al-Ḥarf al-‘Arabī, 1999)</w:t>
            </w:r>
          </w:p>
          <w:p w:rsidR="00D5582C" w:rsidRDefault="00D5582C" w:rsidP="008D6268">
            <w:pPr>
              <w:tabs>
                <w:tab w:val="left" w:pos="1620"/>
              </w:tabs>
              <w:ind w:left="450" w:hanging="450"/>
              <w:rPr>
                <w:lang w:bidi="ar-AE"/>
              </w:rPr>
            </w:pPr>
          </w:p>
          <w:p w:rsidR="00D5582C" w:rsidRDefault="00D5582C" w:rsidP="008D6268">
            <w:pPr>
              <w:tabs>
                <w:tab w:val="left" w:pos="1620"/>
              </w:tabs>
              <w:ind w:left="450" w:hanging="450"/>
              <w:rPr>
                <w:lang w:bidi="ar-AE"/>
              </w:rPr>
            </w:pPr>
            <w:r>
              <w:rPr>
                <w:lang w:bidi="ar-AE"/>
              </w:rPr>
              <w:t xml:space="preserve">al-Ḥillī, Muḥammad ‘Alī Ḥassan, </w:t>
            </w:r>
            <w:r w:rsidRPr="00AE0855">
              <w:rPr>
                <w:i/>
                <w:iCs/>
                <w:lang w:bidi="ar-AE"/>
              </w:rPr>
              <w:t>The Universe and the Qur’ān</w:t>
            </w:r>
            <w:r>
              <w:rPr>
                <w:lang w:bidi="ar-AE"/>
              </w:rPr>
              <w:t xml:space="preserve"> (Beirut: Dār al-Kutub al-‘Ilmīya, 2010)</w:t>
            </w:r>
          </w:p>
          <w:p w:rsidR="00D5582C" w:rsidRDefault="00D5582C" w:rsidP="008D6268">
            <w:pPr>
              <w:tabs>
                <w:tab w:val="left" w:pos="1620"/>
              </w:tabs>
              <w:ind w:left="450" w:hanging="450"/>
              <w:rPr>
                <w:lang w:bidi="ar-AE"/>
              </w:rPr>
            </w:pPr>
          </w:p>
          <w:p w:rsidR="00D5582C" w:rsidRDefault="00D5582C" w:rsidP="008D6268">
            <w:pPr>
              <w:tabs>
                <w:tab w:val="left" w:pos="1620"/>
              </w:tabs>
              <w:ind w:left="450" w:hanging="450"/>
              <w:rPr>
                <w:lang w:bidi="ar-AE"/>
              </w:rPr>
            </w:pPr>
            <w:r>
              <w:rPr>
                <w:lang w:bidi="ar-AE"/>
              </w:rPr>
              <w:t xml:space="preserve">Nāṣer, ‘Abd al-Hādī, </w:t>
            </w:r>
            <w:r w:rsidRPr="00AE0855">
              <w:rPr>
                <w:i/>
                <w:iCs/>
                <w:lang w:bidi="ar-AE"/>
              </w:rPr>
              <w:t>Glimpses into the Universe and the Qur’ān</w:t>
            </w:r>
            <w:r>
              <w:rPr>
                <w:lang w:bidi="ar-AE"/>
              </w:rPr>
              <w:t xml:space="preserve"> (Cairo: al-Maktaba al-Akādīmīya, 1995)</w:t>
            </w:r>
          </w:p>
          <w:p w:rsidR="00D5582C" w:rsidRDefault="00D5582C" w:rsidP="008D6268">
            <w:pPr>
              <w:tabs>
                <w:tab w:val="left" w:pos="1620"/>
              </w:tabs>
              <w:ind w:left="450" w:hanging="450"/>
              <w:rPr>
                <w:lang w:bidi="ar-AE"/>
              </w:rPr>
            </w:pPr>
          </w:p>
          <w:p w:rsidR="00D5582C" w:rsidRDefault="00D5582C" w:rsidP="006313FE">
            <w:pPr>
              <w:tabs>
                <w:tab w:val="left" w:pos="8640"/>
              </w:tabs>
              <w:ind w:left="450" w:right="630" w:hanging="450"/>
            </w:pPr>
            <w:r>
              <w:t xml:space="preserve">al-Ṣawfī, Māher Aḥmad, </w:t>
            </w:r>
            <w:r w:rsidRPr="006A52DF">
              <w:rPr>
                <w:i/>
                <w:iCs/>
              </w:rPr>
              <w:t>The Verses of the Cosmic Sciences according to Recent Astronomical Studies and Scientific Theories</w:t>
            </w:r>
            <w:r>
              <w:t xml:space="preserve"> (Beirut: al-Maktabah al-‘Aṣrīyah, 2008)</w:t>
            </w:r>
          </w:p>
          <w:p w:rsidR="00D5582C" w:rsidRDefault="00D5582C" w:rsidP="008D6268">
            <w:pPr>
              <w:tabs>
                <w:tab w:val="left" w:pos="1620"/>
              </w:tabs>
              <w:ind w:left="450" w:hanging="450"/>
            </w:pPr>
          </w:p>
          <w:p w:rsidR="00D5582C" w:rsidRPr="00581DBE" w:rsidRDefault="00D5582C" w:rsidP="008D6268">
            <w:pPr>
              <w:tabs>
                <w:tab w:val="left" w:pos="1620"/>
              </w:tabs>
              <w:ind w:left="450" w:hanging="450"/>
              <w:rPr>
                <w:rtl/>
              </w:rPr>
            </w:pPr>
          </w:p>
        </w:tc>
      </w:tr>
      <w:tr w:rsidR="00D5582C" w:rsidTr="008D6268">
        <w:tc>
          <w:tcPr>
            <w:tcW w:w="9576" w:type="dxa"/>
            <w:gridSpan w:val="3"/>
          </w:tcPr>
          <w:p w:rsidR="00D5582C" w:rsidRPr="000464DC" w:rsidRDefault="00D5582C" w:rsidP="008D6268">
            <w:pPr>
              <w:bidi/>
              <w:jc w:val="center"/>
              <w:rPr>
                <w:bCs/>
                <w:sz w:val="24"/>
                <w:szCs w:val="24"/>
                <w:rtl/>
                <w:lang w:bidi="ar-AE"/>
              </w:rPr>
            </w:pPr>
            <w:r w:rsidRPr="000464DC">
              <w:rPr>
                <w:rFonts w:hint="cs"/>
                <w:bCs/>
                <w:sz w:val="24"/>
                <w:szCs w:val="24"/>
                <w:rtl/>
                <w:lang w:bidi="ar-AE"/>
              </w:rPr>
              <w:t>دراسات في الإعجاز العلمي للقرآن</w:t>
            </w:r>
          </w:p>
          <w:p w:rsidR="00D5582C" w:rsidRDefault="00D5582C" w:rsidP="008D6268">
            <w:pPr>
              <w:pStyle w:val="ListParagraph"/>
              <w:ind w:left="0"/>
              <w:jc w:val="center"/>
              <w:rPr>
                <w:b/>
                <w:sz w:val="24"/>
                <w:szCs w:val="24"/>
              </w:rPr>
            </w:pPr>
            <w:r>
              <w:rPr>
                <w:b/>
                <w:sz w:val="24"/>
                <w:szCs w:val="24"/>
                <w:lang w:bidi="ar-AE"/>
              </w:rPr>
              <w:t>On</w:t>
            </w:r>
            <w:r>
              <w:rPr>
                <w:b/>
                <w:sz w:val="24"/>
                <w:szCs w:val="24"/>
              </w:rPr>
              <w:t xml:space="preserve"> the Scientific </w:t>
            </w:r>
            <w:r w:rsidRPr="002C1739">
              <w:rPr>
                <w:b/>
                <w:sz w:val="24"/>
                <w:szCs w:val="24"/>
              </w:rPr>
              <w:t>Inimitability of the Quran</w:t>
            </w:r>
          </w:p>
          <w:p w:rsidR="00D5582C" w:rsidRDefault="00D5582C" w:rsidP="008D6268">
            <w:pPr>
              <w:bidi/>
              <w:rPr>
                <w:b/>
                <w:sz w:val="24"/>
                <w:szCs w:val="24"/>
                <w:rtl/>
              </w:rPr>
            </w:pPr>
          </w:p>
          <w:p w:rsidR="00D5582C" w:rsidRPr="0070793D" w:rsidRDefault="00D5582C" w:rsidP="008D6268">
            <w:pPr>
              <w:bidi/>
              <w:rPr>
                <w:b/>
                <w:rtl/>
                <w:lang w:bidi="ar-AE"/>
              </w:rPr>
            </w:pPr>
          </w:p>
        </w:tc>
      </w:tr>
      <w:tr w:rsidR="00D5582C" w:rsidTr="008D6268">
        <w:tc>
          <w:tcPr>
            <w:tcW w:w="9576" w:type="dxa"/>
            <w:gridSpan w:val="3"/>
          </w:tcPr>
          <w:p w:rsidR="00D5582C" w:rsidRDefault="00D5582C" w:rsidP="00D5582C">
            <w:pPr>
              <w:pStyle w:val="ListParagraph"/>
              <w:numPr>
                <w:ilvl w:val="0"/>
                <w:numId w:val="9"/>
              </w:numPr>
              <w:autoSpaceDE/>
              <w:autoSpaceDN/>
              <w:bidi/>
              <w:adjustRightInd/>
              <w:rPr>
                <w:lang w:bidi="ar-AE"/>
              </w:rPr>
            </w:pPr>
            <w:r>
              <w:rPr>
                <w:rFonts w:hint="cs"/>
                <w:rtl/>
                <w:lang w:bidi="ar-AE"/>
              </w:rPr>
              <w:t xml:space="preserve">النجار، زغلول، </w:t>
            </w:r>
            <w:r w:rsidRPr="004171A7">
              <w:rPr>
                <w:rFonts w:hint="cs"/>
                <w:b/>
                <w:bCs/>
                <w:rtl/>
                <w:lang w:bidi="ar-AE"/>
              </w:rPr>
              <w:t>قضية الإعجاز العلمي في القرآن الكريم وضوابط التعامل معها</w:t>
            </w:r>
            <w:r>
              <w:rPr>
                <w:rFonts w:hint="cs"/>
                <w:rtl/>
                <w:lang w:bidi="ar-AE"/>
              </w:rPr>
              <w:t xml:space="preserve"> (القاهرة: دار نهضة مصر، 2014)</w:t>
            </w:r>
          </w:p>
          <w:p w:rsidR="00D5582C" w:rsidRDefault="00D5582C" w:rsidP="008D6268">
            <w:pPr>
              <w:pStyle w:val="ListParagraph"/>
              <w:bidi/>
              <w:ind w:left="1080"/>
              <w:rPr>
                <w:lang w:bidi="ar-AE"/>
              </w:rPr>
            </w:pPr>
          </w:p>
          <w:p w:rsidR="00D5582C" w:rsidRDefault="00D5582C" w:rsidP="00D5582C">
            <w:pPr>
              <w:pStyle w:val="ListParagraph"/>
              <w:numPr>
                <w:ilvl w:val="0"/>
                <w:numId w:val="9"/>
              </w:numPr>
              <w:autoSpaceDE/>
              <w:autoSpaceDN/>
              <w:bidi/>
              <w:adjustRightInd/>
              <w:rPr>
                <w:rStyle w:val="selectable"/>
                <w:lang w:bidi="ar-AE"/>
              </w:rPr>
            </w:pPr>
            <w:r>
              <w:rPr>
                <w:rFonts w:hint="cs"/>
                <w:rtl/>
                <w:lang w:bidi="ar-AE"/>
              </w:rPr>
              <w:t xml:space="preserve">النجار، زغلول، "موقف المفسرين من الإشارات الكونية في القرآن الكريم"، </w:t>
            </w:r>
            <w:r w:rsidRPr="00AD4BD2">
              <w:rPr>
                <w:rFonts w:hint="cs"/>
                <w:b/>
                <w:bCs/>
                <w:rtl/>
                <w:lang w:bidi="ar-AE"/>
              </w:rPr>
              <w:t>د. زغلول النجار</w:t>
            </w:r>
            <w:r>
              <w:rPr>
                <w:rFonts w:hint="cs"/>
                <w:rtl/>
                <w:lang w:bidi="ar-AE"/>
              </w:rPr>
              <w:t xml:space="preserve">، 2015 </w:t>
            </w:r>
            <w:r>
              <w:rPr>
                <w:rStyle w:val="selectable"/>
              </w:rPr>
              <w:t>&lt;http://www.elnaggarzr.com/Home.html&gt;</w:t>
            </w:r>
            <w:r>
              <w:rPr>
                <w:rStyle w:val="selectable"/>
                <w:rFonts w:hint="cs"/>
                <w:rtl/>
              </w:rPr>
              <w:t xml:space="preserve"> [تمت المعاينة بتاريخ 20 أغسطس 2015]</w:t>
            </w:r>
          </w:p>
          <w:p w:rsidR="00D5582C" w:rsidRDefault="00D5582C" w:rsidP="008D6268">
            <w:pPr>
              <w:pStyle w:val="ListParagraph"/>
              <w:bidi/>
              <w:ind w:left="1080"/>
              <w:rPr>
                <w:rStyle w:val="selectable"/>
                <w:lang w:bidi="ar-AE"/>
              </w:rPr>
            </w:pPr>
          </w:p>
          <w:p w:rsidR="00D5582C" w:rsidRDefault="00D5582C" w:rsidP="00D5582C">
            <w:pPr>
              <w:pStyle w:val="ListParagraph"/>
              <w:numPr>
                <w:ilvl w:val="0"/>
                <w:numId w:val="9"/>
              </w:numPr>
              <w:autoSpaceDE/>
              <w:autoSpaceDN/>
              <w:bidi/>
              <w:adjustRightInd/>
              <w:rPr>
                <w:lang w:bidi="ar-AE"/>
              </w:rPr>
            </w:pPr>
            <w:r>
              <w:rPr>
                <w:rFonts w:hint="cs"/>
                <w:rtl/>
                <w:lang w:bidi="ar-AE"/>
              </w:rPr>
              <w:t xml:space="preserve">--- "تأكيد الإعجاز العلمي في القرآن والسنة.. ضرورة عصرية"، </w:t>
            </w:r>
            <w:r w:rsidRPr="00AD4BD2">
              <w:rPr>
                <w:rFonts w:hint="cs"/>
                <w:b/>
                <w:bCs/>
                <w:rtl/>
                <w:lang w:bidi="ar-AE"/>
              </w:rPr>
              <w:t>د. زغلول النجار</w:t>
            </w:r>
            <w:r>
              <w:rPr>
                <w:rFonts w:hint="cs"/>
                <w:rtl/>
                <w:lang w:bidi="ar-AE"/>
              </w:rPr>
              <w:t xml:space="preserve">، 2015 </w:t>
            </w:r>
            <w:r>
              <w:rPr>
                <w:rStyle w:val="selectable"/>
              </w:rPr>
              <w:t>&lt;http://www.elnaggarzr.com/Home.html&gt;</w:t>
            </w:r>
            <w:r>
              <w:rPr>
                <w:rStyle w:val="selectable"/>
                <w:rFonts w:hint="cs"/>
                <w:rtl/>
              </w:rPr>
              <w:t xml:space="preserve"> [تمت المعاينة بتاريخ 20 أغسطس 2015]</w:t>
            </w:r>
          </w:p>
          <w:p w:rsidR="00D5582C" w:rsidRDefault="00D5582C" w:rsidP="008D6268">
            <w:pPr>
              <w:rPr>
                <w:lang w:bidi="ar-AE"/>
              </w:rPr>
            </w:pPr>
          </w:p>
          <w:p w:rsidR="00D5582C" w:rsidRDefault="00D5582C" w:rsidP="008D6268">
            <w:pPr>
              <w:pStyle w:val="ListParagraph"/>
              <w:ind w:right="720"/>
              <w:rPr>
                <w:rtl/>
                <w:lang w:bidi="ar-AE"/>
              </w:rPr>
            </w:pPr>
          </w:p>
          <w:p w:rsidR="00D5582C" w:rsidRDefault="00D5582C" w:rsidP="008D6268">
            <w:pPr>
              <w:ind w:left="450" w:right="720" w:hanging="450"/>
              <w:rPr>
                <w:rStyle w:val="selectable"/>
                <w:lang w:bidi="ar-AE"/>
              </w:rPr>
            </w:pPr>
            <w:r>
              <w:rPr>
                <w:rStyle w:val="selectable"/>
              </w:rPr>
              <w:t xml:space="preserve">el Naggar, Zaghloul, </w:t>
            </w:r>
            <w:r w:rsidRPr="00894CA0">
              <w:rPr>
                <w:rStyle w:val="selectable"/>
                <w:lang w:bidi="ar-AE"/>
              </w:rPr>
              <w:t>The Issue of the Scientific Inimitability of the Qur'ān and the Parameters of  Dealing with it</w:t>
            </w:r>
            <w:r>
              <w:rPr>
                <w:rStyle w:val="selectable"/>
                <w:lang w:bidi="ar-AE"/>
              </w:rPr>
              <w:t xml:space="preserve"> (Cairo: Dār al-Nahḍa al-Maṣrīya, 2014)</w:t>
            </w:r>
          </w:p>
          <w:p w:rsidR="00D5582C" w:rsidRDefault="00D5582C" w:rsidP="008D6268">
            <w:pPr>
              <w:ind w:left="450" w:right="720" w:hanging="450"/>
              <w:rPr>
                <w:rStyle w:val="selectable"/>
                <w:rtl/>
                <w:lang w:bidi="ar-AE"/>
              </w:rPr>
            </w:pPr>
          </w:p>
          <w:p w:rsidR="00D5582C" w:rsidRDefault="00D5582C" w:rsidP="008D6268">
            <w:pPr>
              <w:ind w:left="450" w:right="720" w:hanging="450"/>
              <w:rPr>
                <w:rStyle w:val="selectable"/>
              </w:rPr>
            </w:pPr>
            <w:r>
              <w:rPr>
                <w:rStyle w:val="selectable"/>
              </w:rPr>
              <w:t xml:space="preserve">--- 'The Stance of the Qur'ān Commentators towards the Cosmic References in the </w:t>
            </w:r>
            <w:r>
              <w:rPr>
                <w:rStyle w:val="selectable"/>
              </w:rPr>
              <w:lastRenderedPageBreak/>
              <w:t>Honoured Qur'ān', Dr. Zaghloul el Naggar, 2015 &lt;http://www.elnaggarzr.com&gt; [accessed 20 August 2015]</w:t>
            </w:r>
          </w:p>
          <w:p w:rsidR="00D5582C" w:rsidRDefault="00D5582C" w:rsidP="008D6268">
            <w:pPr>
              <w:ind w:right="720"/>
              <w:rPr>
                <w:rStyle w:val="selectable"/>
              </w:rPr>
            </w:pPr>
          </w:p>
          <w:p w:rsidR="00D5582C" w:rsidRDefault="00D5582C" w:rsidP="008D6268">
            <w:pPr>
              <w:ind w:left="450" w:right="720" w:hanging="450"/>
              <w:rPr>
                <w:rStyle w:val="selectable"/>
              </w:rPr>
            </w:pPr>
            <w:r>
              <w:rPr>
                <w:rStyle w:val="selectable"/>
              </w:rPr>
              <w:t>---'Asserting the Scientific Inimitability in the Qur'ān and Prophetic Sayings and Deeds</w:t>
            </w:r>
            <w:proofErr w:type="gramStart"/>
            <w:r>
              <w:rPr>
                <w:rStyle w:val="selectable"/>
              </w:rPr>
              <w:t>..</w:t>
            </w:r>
            <w:proofErr w:type="gramEnd"/>
            <w:r>
              <w:rPr>
                <w:rStyle w:val="selectable"/>
              </w:rPr>
              <w:t xml:space="preserve"> A Modern Necessity', </w:t>
            </w:r>
            <w:r w:rsidRPr="009F5BAD">
              <w:rPr>
                <w:rStyle w:val="selectable"/>
              </w:rPr>
              <w:t>Dr. Zaghloul el Naggar</w:t>
            </w:r>
            <w:r>
              <w:rPr>
                <w:rStyle w:val="selectable"/>
              </w:rPr>
              <w:t>, 2015 &lt;http://www.elnaggarzr.com&gt; [accessed 20 August 2015]</w:t>
            </w:r>
          </w:p>
          <w:p w:rsidR="00D5582C" w:rsidRDefault="00D5582C" w:rsidP="006313FE">
            <w:pPr>
              <w:ind w:right="720"/>
              <w:rPr>
                <w:rStyle w:val="selectable"/>
                <w:rtl/>
              </w:rPr>
            </w:pPr>
          </w:p>
          <w:p w:rsidR="00D5582C" w:rsidRPr="001B7EDC" w:rsidRDefault="00D5582C" w:rsidP="008D6268">
            <w:pPr>
              <w:ind w:right="720"/>
              <w:rPr>
                <w:rtl/>
                <w:lang w:bidi="ar-AE"/>
              </w:rPr>
            </w:pPr>
          </w:p>
        </w:tc>
      </w:tr>
      <w:tr w:rsidR="00D5582C" w:rsidTr="008D6268">
        <w:tc>
          <w:tcPr>
            <w:tcW w:w="9576" w:type="dxa"/>
            <w:gridSpan w:val="3"/>
          </w:tcPr>
          <w:p w:rsidR="00D5582C" w:rsidRPr="00747FE5" w:rsidRDefault="00D5582C" w:rsidP="008D6268">
            <w:pPr>
              <w:bidi/>
              <w:jc w:val="center"/>
              <w:rPr>
                <w:b/>
                <w:bCs/>
                <w:sz w:val="28"/>
                <w:szCs w:val="28"/>
                <w:rtl/>
                <w:lang w:bidi="ar-AE"/>
              </w:rPr>
            </w:pPr>
            <w:r w:rsidRPr="00747FE5">
              <w:rPr>
                <w:rFonts w:hint="cs"/>
                <w:b/>
                <w:bCs/>
                <w:sz w:val="28"/>
                <w:szCs w:val="28"/>
                <w:rtl/>
                <w:lang w:bidi="ar-AE"/>
              </w:rPr>
              <w:lastRenderedPageBreak/>
              <w:t>المصادر ال</w:t>
            </w:r>
            <w:r>
              <w:rPr>
                <w:rFonts w:hint="cs"/>
                <w:b/>
                <w:bCs/>
                <w:sz w:val="28"/>
                <w:szCs w:val="28"/>
                <w:rtl/>
                <w:lang w:bidi="ar-AE"/>
              </w:rPr>
              <w:t>إنجليزية</w:t>
            </w:r>
          </w:p>
          <w:p w:rsidR="00D5582C" w:rsidRPr="00B9460F" w:rsidRDefault="00D5582C" w:rsidP="008D6268">
            <w:pPr>
              <w:pStyle w:val="ListParagraph"/>
              <w:ind w:left="0"/>
              <w:jc w:val="center"/>
              <w:rPr>
                <w:b/>
                <w:rtl/>
                <w:lang w:bidi="ar-AE"/>
              </w:rPr>
            </w:pPr>
            <w:r>
              <w:rPr>
                <w:b/>
                <w:bCs/>
                <w:sz w:val="28"/>
                <w:szCs w:val="28"/>
                <w:lang w:bidi="ar-AE"/>
              </w:rPr>
              <w:t>English</w:t>
            </w:r>
            <w:r w:rsidRPr="00747FE5">
              <w:rPr>
                <w:b/>
                <w:bCs/>
                <w:sz w:val="28"/>
                <w:szCs w:val="28"/>
                <w:lang w:bidi="ar-AE"/>
              </w:rPr>
              <w:t xml:space="preserve"> Sources</w:t>
            </w:r>
          </w:p>
        </w:tc>
      </w:tr>
      <w:tr w:rsidR="00D5582C" w:rsidTr="008D6268">
        <w:tc>
          <w:tcPr>
            <w:tcW w:w="9576" w:type="dxa"/>
            <w:gridSpan w:val="3"/>
          </w:tcPr>
          <w:p w:rsidR="00D5582C" w:rsidRDefault="00D5582C" w:rsidP="008D6268">
            <w:pPr>
              <w:bidi/>
              <w:rPr>
                <w:b/>
                <w:bCs/>
                <w:sz w:val="28"/>
                <w:szCs w:val="28"/>
                <w:lang w:bidi="ar-AE"/>
              </w:rPr>
            </w:pPr>
          </w:p>
          <w:p w:rsidR="00D5582C" w:rsidRPr="0070793D" w:rsidRDefault="00D5582C" w:rsidP="008D6268">
            <w:pPr>
              <w:jc w:val="center"/>
              <w:rPr>
                <w:b/>
                <w:bCs/>
                <w:sz w:val="24"/>
                <w:szCs w:val="24"/>
                <w:rtl/>
                <w:lang w:bidi="ar-AE"/>
              </w:rPr>
            </w:pPr>
            <w:r w:rsidRPr="009A610F">
              <w:rPr>
                <w:b/>
                <w:bCs/>
                <w:sz w:val="24"/>
                <w:szCs w:val="24"/>
                <w:lang w:bidi="ar-AE"/>
              </w:rPr>
              <w:t>English Translations</w:t>
            </w:r>
            <w:r w:rsidRPr="009A610F">
              <w:rPr>
                <w:rFonts w:hint="cs"/>
                <w:b/>
                <w:bCs/>
                <w:sz w:val="24"/>
                <w:szCs w:val="24"/>
                <w:rtl/>
                <w:lang w:bidi="ar-AE"/>
              </w:rPr>
              <w:t xml:space="preserve"> </w:t>
            </w:r>
            <w:r w:rsidRPr="009A610F">
              <w:rPr>
                <w:b/>
                <w:bCs/>
                <w:sz w:val="24"/>
                <w:szCs w:val="24"/>
                <w:lang w:bidi="ar-AE"/>
              </w:rPr>
              <w:t>of the Qur’an</w:t>
            </w:r>
          </w:p>
        </w:tc>
      </w:tr>
      <w:tr w:rsidR="00D5582C" w:rsidTr="008D6268">
        <w:tc>
          <w:tcPr>
            <w:tcW w:w="9576" w:type="dxa"/>
            <w:gridSpan w:val="3"/>
          </w:tcPr>
          <w:p w:rsidR="00D5582C" w:rsidRPr="0070793D" w:rsidRDefault="00D5582C" w:rsidP="008D6268">
            <w:pPr>
              <w:spacing w:after="100" w:afterAutospacing="1"/>
              <w:rPr>
                <w:rFonts w:eastAsia="Times New Roman" w:cs="Times New Roman"/>
                <w:rtl/>
                <w:lang w:bidi="ar-AE"/>
              </w:rPr>
            </w:pPr>
          </w:p>
          <w:p w:rsidR="00D5582C" w:rsidRPr="005252AF"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5252AF">
              <w:rPr>
                <w:rFonts w:eastAsia="Times New Roman" w:cs="Times New Roman"/>
                <w:i/>
                <w:iCs/>
              </w:rPr>
              <w:t xml:space="preserve">The Meaning of the Holy Qur’ān </w:t>
            </w:r>
            <w:r w:rsidRPr="005252AF">
              <w:rPr>
                <w:rFonts w:eastAsia="Times New Roman" w:cs="Times New Roman"/>
              </w:rPr>
              <w:t xml:space="preserve">, trans. by Abdullah Yusuf Ali (Beltsville: Amana Publications, </w:t>
            </w:r>
            <w:r>
              <w:rPr>
                <w:rFonts w:eastAsia="Times New Roman" w:cs="Times New Roman"/>
              </w:rPr>
              <w:t>2004</w:t>
            </w:r>
            <w:r w:rsidRPr="005252AF">
              <w:rPr>
                <w:rFonts w:eastAsia="Times New Roman" w:cs="Times New Roman"/>
              </w:rPr>
              <w:t xml:space="preserve">) </w:t>
            </w:r>
          </w:p>
          <w:p w:rsidR="00D5582C" w:rsidRPr="005252AF" w:rsidRDefault="00D5582C" w:rsidP="008D6268">
            <w:pPr>
              <w:pStyle w:val="ListParagraph"/>
              <w:spacing w:before="100" w:beforeAutospacing="1" w:after="100" w:afterAutospacing="1"/>
              <w:rPr>
                <w:rFonts w:eastAsia="Times New Roman" w:cs="Times New Roman"/>
              </w:rPr>
            </w:pPr>
          </w:p>
          <w:p w:rsidR="00D5582C" w:rsidRPr="005252AF"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5252AF">
              <w:rPr>
                <w:rFonts w:eastAsia="Times New Roman" w:cs="Times New Roman"/>
                <w:i/>
                <w:iCs/>
              </w:rPr>
              <w:t>The Qur'an</w:t>
            </w:r>
            <w:r w:rsidRPr="005252AF">
              <w:rPr>
                <w:rFonts w:eastAsia="Times New Roman" w:cs="Times New Roman"/>
              </w:rPr>
              <w:t xml:space="preserve">, trans. by Abdel Haleem, M. A. S. (Oxford: Oxford University Press, 2005) </w:t>
            </w:r>
          </w:p>
          <w:p w:rsidR="00D5582C" w:rsidRDefault="00D5582C" w:rsidP="008D6268">
            <w:pPr>
              <w:pStyle w:val="ListParagraph"/>
              <w:spacing w:before="100" w:beforeAutospacing="1" w:after="100" w:afterAutospacing="1"/>
              <w:rPr>
                <w:rFonts w:eastAsia="Times New Roman" w:cs="Times New Roman"/>
              </w:rPr>
            </w:pPr>
          </w:p>
          <w:p w:rsidR="00D5582C" w:rsidRPr="009A610F"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5252AF">
              <w:rPr>
                <w:rFonts w:eastAsia="Times New Roman" w:cs="Times New Roman"/>
              </w:rPr>
              <w:t xml:space="preserve">Murad, Abdal H., M. Badawi and U. Hutchinson, </w:t>
            </w:r>
            <w:r w:rsidRPr="005252AF">
              <w:rPr>
                <w:rFonts w:eastAsia="Times New Roman" w:cs="Times New Roman"/>
                <w:i/>
                <w:iCs/>
              </w:rPr>
              <w:t>The Majestic Qur’ān : An English Rendition of its Meanings</w:t>
            </w:r>
            <w:r w:rsidRPr="005252AF">
              <w:rPr>
                <w:rFonts w:eastAsia="Times New Roman" w:cs="Times New Roman"/>
              </w:rPr>
              <w:t xml:space="preserve"> (Chicago, IL: Nawawi Foundation, 2000) </w:t>
            </w:r>
          </w:p>
        </w:tc>
      </w:tr>
      <w:tr w:rsidR="00D5582C" w:rsidTr="008D6268">
        <w:tc>
          <w:tcPr>
            <w:tcW w:w="9576" w:type="dxa"/>
            <w:gridSpan w:val="3"/>
          </w:tcPr>
          <w:p w:rsidR="00D5582C" w:rsidRDefault="00D5582C" w:rsidP="008D6268">
            <w:pPr>
              <w:pStyle w:val="ListParagraph"/>
              <w:spacing w:after="100" w:afterAutospacing="1"/>
              <w:jc w:val="center"/>
              <w:rPr>
                <w:b/>
                <w:bCs/>
                <w:sz w:val="24"/>
                <w:szCs w:val="24"/>
                <w:lang w:bidi="ar-AE"/>
              </w:rPr>
            </w:pPr>
          </w:p>
          <w:p w:rsidR="00D5582C" w:rsidRDefault="00D5582C" w:rsidP="008D6268">
            <w:pPr>
              <w:pStyle w:val="ListParagraph"/>
              <w:spacing w:after="100" w:afterAutospacing="1"/>
              <w:jc w:val="center"/>
              <w:rPr>
                <w:b/>
                <w:bCs/>
                <w:i/>
                <w:iCs/>
                <w:sz w:val="24"/>
                <w:szCs w:val="24"/>
                <w:lang w:bidi="ar-AE"/>
              </w:rPr>
            </w:pPr>
            <w:r w:rsidRPr="009A610F">
              <w:rPr>
                <w:b/>
                <w:bCs/>
                <w:sz w:val="24"/>
                <w:szCs w:val="24"/>
                <w:lang w:bidi="ar-AE"/>
              </w:rPr>
              <w:t xml:space="preserve">English Translations of Prophetic </w:t>
            </w:r>
            <w:r w:rsidRPr="009A610F">
              <w:rPr>
                <w:b/>
                <w:bCs/>
                <w:i/>
                <w:iCs/>
                <w:sz w:val="24"/>
                <w:szCs w:val="24"/>
                <w:lang w:bidi="ar-AE"/>
              </w:rPr>
              <w:t>Ḥadīth</w:t>
            </w:r>
          </w:p>
          <w:p w:rsidR="00D5582C" w:rsidRPr="009A610F" w:rsidRDefault="00D5582C" w:rsidP="008D6268">
            <w:pPr>
              <w:pStyle w:val="ListParagraph"/>
              <w:spacing w:after="100" w:afterAutospacing="1"/>
              <w:jc w:val="center"/>
              <w:rPr>
                <w:rFonts w:eastAsia="Times New Roman" w:cs="Times New Roman"/>
                <w:sz w:val="24"/>
                <w:szCs w:val="24"/>
              </w:rPr>
            </w:pPr>
          </w:p>
        </w:tc>
      </w:tr>
      <w:tr w:rsidR="00D5582C" w:rsidTr="008D6268">
        <w:tc>
          <w:tcPr>
            <w:tcW w:w="9576" w:type="dxa"/>
            <w:gridSpan w:val="3"/>
          </w:tcPr>
          <w:p w:rsidR="00D5582C" w:rsidRPr="00CB40D0" w:rsidRDefault="00D5582C" w:rsidP="00D5582C">
            <w:pPr>
              <w:pStyle w:val="NormalWeb"/>
              <w:numPr>
                <w:ilvl w:val="0"/>
                <w:numId w:val="9"/>
              </w:numPr>
              <w:spacing w:after="0" w:afterAutospacing="0"/>
              <w:rPr>
                <w:rFonts w:asciiTheme="minorHAnsi" w:hAnsiTheme="minorHAnsi"/>
                <w:sz w:val="22"/>
                <w:szCs w:val="22"/>
              </w:rPr>
            </w:pPr>
            <w:r w:rsidRPr="00CB40D0">
              <w:rPr>
                <w:rFonts w:asciiTheme="minorHAnsi" w:hAnsiTheme="minorHAnsi"/>
                <w:sz w:val="22"/>
                <w:szCs w:val="22"/>
              </w:rPr>
              <w:t xml:space="preserve">al-Bukhārī, Abū ‘Abd Allāh </w:t>
            </w:r>
            <w:r>
              <w:rPr>
                <w:rFonts w:asciiTheme="minorHAnsi" w:hAnsiTheme="minorHAnsi"/>
                <w:sz w:val="22"/>
                <w:szCs w:val="22"/>
              </w:rPr>
              <w:t>Mu</w:t>
            </w:r>
            <w:r>
              <w:rPr>
                <w:rFonts w:ascii="Arial" w:hAnsi="Arial" w:cs="Arial"/>
                <w:sz w:val="22"/>
                <w:szCs w:val="22"/>
              </w:rPr>
              <w:t>ḥ</w:t>
            </w:r>
            <w:r>
              <w:rPr>
                <w:rFonts w:asciiTheme="minorHAnsi" w:hAnsiTheme="minorHAnsi"/>
                <w:sz w:val="22"/>
                <w:szCs w:val="22"/>
              </w:rPr>
              <w:t>ammad b. Ism</w:t>
            </w:r>
            <w:r>
              <w:rPr>
                <w:rFonts w:ascii="Candara" w:hAnsi="Candara" w:cs="Candara"/>
                <w:sz w:val="22"/>
                <w:szCs w:val="22"/>
              </w:rPr>
              <w:t>ā‘ī</w:t>
            </w:r>
            <w:r>
              <w:rPr>
                <w:rFonts w:asciiTheme="minorHAnsi" w:hAnsiTheme="minorHAnsi"/>
                <w:sz w:val="22"/>
                <w:szCs w:val="22"/>
              </w:rPr>
              <w:t>l,</w:t>
            </w:r>
            <w:r w:rsidRPr="00CB40D0">
              <w:rPr>
                <w:rFonts w:asciiTheme="minorHAnsi" w:hAnsiTheme="minorHAnsi"/>
                <w:sz w:val="22"/>
                <w:szCs w:val="22"/>
              </w:rPr>
              <w:t xml:space="preserve"> </w:t>
            </w:r>
            <w:r w:rsidRPr="00CB40D0">
              <w:rPr>
                <w:rFonts w:asciiTheme="minorHAnsi" w:hAnsiTheme="minorHAnsi"/>
                <w:i/>
                <w:iCs/>
                <w:sz w:val="22"/>
                <w:szCs w:val="22"/>
              </w:rPr>
              <w:t>Sahih Al-Bukhari</w:t>
            </w:r>
            <w:r>
              <w:rPr>
                <w:rFonts w:asciiTheme="minorHAnsi" w:hAnsiTheme="minorHAnsi"/>
                <w:sz w:val="22"/>
                <w:szCs w:val="22"/>
              </w:rPr>
              <w:t>,</w:t>
            </w:r>
            <w:r w:rsidRPr="00CB40D0">
              <w:rPr>
                <w:rFonts w:asciiTheme="minorHAnsi" w:hAnsiTheme="minorHAnsi"/>
                <w:sz w:val="22"/>
                <w:szCs w:val="22"/>
              </w:rPr>
              <w:t xml:space="preserve"> </w:t>
            </w:r>
            <w:r>
              <w:rPr>
                <w:rFonts w:asciiTheme="minorHAnsi" w:hAnsiTheme="minorHAnsi"/>
                <w:sz w:val="22"/>
                <w:szCs w:val="22"/>
              </w:rPr>
              <w:t>trans. by Muhammad Muhsin Khan (</w:t>
            </w:r>
            <w:r w:rsidRPr="00CB40D0">
              <w:rPr>
                <w:rFonts w:asciiTheme="minorHAnsi" w:hAnsiTheme="minorHAnsi"/>
                <w:sz w:val="22"/>
                <w:szCs w:val="22"/>
              </w:rPr>
              <w:t>Virginia</w:t>
            </w:r>
            <w:r>
              <w:rPr>
                <w:rFonts w:asciiTheme="minorHAnsi" w:hAnsiTheme="minorHAnsi"/>
                <w:sz w:val="22"/>
                <w:szCs w:val="22"/>
              </w:rPr>
              <w:t>: al-Saadawi Publications, 1996)</w:t>
            </w:r>
            <w:r w:rsidRPr="00CB40D0">
              <w:rPr>
                <w:rFonts w:asciiTheme="minorHAnsi" w:hAnsiTheme="minorHAnsi"/>
                <w:sz w:val="22"/>
                <w:szCs w:val="22"/>
              </w:rPr>
              <w:t xml:space="preserve"> </w:t>
            </w:r>
          </w:p>
          <w:p w:rsidR="00D5582C" w:rsidRPr="00F8159A" w:rsidRDefault="00D5582C" w:rsidP="008D6268">
            <w:pPr>
              <w:pStyle w:val="NormalWeb"/>
              <w:spacing w:before="0" w:beforeAutospacing="0" w:after="0" w:afterAutospacing="0"/>
              <w:ind w:left="1080"/>
              <w:rPr>
                <w:rFonts w:asciiTheme="minorHAnsi" w:hAnsiTheme="minorHAnsi"/>
                <w:sz w:val="22"/>
                <w:szCs w:val="22"/>
                <w:highlight w:val="yellow"/>
              </w:rPr>
            </w:pPr>
          </w:p>
          <w:p w:rsidR="00D5582C" w:rsidRPr="001F6EFC" w:rsidRDefault="00D5582C" w:rsidP="00D5582C">
            <w:pPr>
              <w:pStyle w:val="NormalWeb"/>
              <w:numPr>
                <w:ilvl w:val="0"/>
                <w:numId w:val="9"/>
              </w:numPr>
              <w:spacing w:before="0" w:beforeAutospacing="0"/>
              <w:rPr>
                <w:rFonts w:asciiTheme="minorHAnsi" w:hAnsiTheme="minorHAnsi"/>
                <w:sz w:val="22"/>
                <w:szCs w:val="22"/>
              </w:rPr>
            </w:pPr>
            <w:r w:rsidRPr="00CB40D0">
              <w:rPr>
                <w:rFonts w:asciiTheme="minorHAnsi" w:hAnsiTheme="minorHAnsi"/>
                <w:sz w:val="22"/>
                <w:szCs w:val="22"/>
              </w:rPr>
              <w:t>al-Naīsābūrī,</w:t>
            </w:r>
            <w:r>
              <w:rPr>
                <w:rFonts w:asciiTheme="minorHAnsi" w:hAnsiTheme="minorHAnsi"/>
                <w:sz w:val="22"/>
                <w:szCs w:val="22"/>
              </w:rPr>
              <w:t xml:space="preserve"> Muslim b.</w:t>
            </w:r>
            <w:r w:rsidRPr="00CB40D0">
              <w:rPr>
                <w:rFonts w:asciiTheme="minorHAnsi" w:hAnsiTheme="minorHAnsi"/>
                <w:sz w:val="22"/>
                <w:szCs w:val="22"/>
              </w:rPr>
              <w:t xml:space="preserve"> al-</w:t>
            </w:r>
            <w:r w:rsidRPr="00CB40D0">
              <w:rPr>
                <w:rFonts w:ascii="Arial" w:hAnsi="Arial" w:cs="Arial"/>
                <w:sz w:val="22"/>
                <w:szCs w:val="22"/>
              </w:rPr>
              <w:t>Ḥ</w:t>
            </w:r>
            <w:r w:rsidRPr="00CB40D0">
              <w:rPr>
                <w:rFonts w:asciiTheme="minorHAnsi" w:hAnsiTheme="minorHAnsi"/>
                <w:sz w:val="22"/>
                <w:szCs w:val="22"/>
              </w:rPr>
              <w:t>ajj</w:t>
            </w:r>
            <w:r w:rsidRPr="00CB40D0">
              <w:rPr>
                <w:rFonts w:ascii="Candara" w:hAnsi="Candara" w:cs="Candara"/>
                <w:sz w:val="22"/>
                <w:szCs w:val="22"/>
              </w:rPr>
              <w:t>ā</w:t>
            </w:r>
            <w:r w:rsidRPr="00CB40D0">
              <w:rPr>
                <w:rFonts w:asciiTheme="minorHAnsi" w:hAnsiTheme="minorHAnsi"/>
                <w:sz w:val="22"/>
                <w:szCs w:val="22"/>
              </w:rPr>
              <w:t>j Ab</w:t>
            </w:r>
            <w:r w:rsidRPr="00CB40D0">
              <w:rPr>
                <w:rFonts w:ascii="Candara" w:hAnsi="Candara" w:cs="Candara"/>
                <w:sz w:val="22"/>
                <w:szCs w:val="22"/>
              </w:rPr>
              <w:t>ū</w:t>
            </w:r>
            <w:r w:rsidRPr="00CB40D0">
              <w:rPr>
                <w:rFonts w:asciiTheme="minorHAnsi" w:hAnsiTheme="minorHAnsi"/>
                <w:sz w:val="22"/>
                <w:szCs w:val="22"/>
              </w:rPr>
              <w:t xml:space="preserve"> al</w:t>
            </w:r>
            <w:r>
              <w:rPr>
                <w:rFonts w:asciiTheme="minorHAnsi" w:hAnsiTheme="minorHAnsi"/>
                <w:sz w:val="22"/>
                <w:szCs w:val="22"/>
              </w:rPr>
              <w:t>-</w:t>
            </w:r>
            <w:r>
              <w:rPr>
                <w:rFonts w:ascii="Arial" w:hAnsi="Arial" w:cs="Arial"/>
                <w:sz w:val="22"/>
                <w:szCs w:val="22"/>
              </w:rPr>
              <w:t>Ḥ</w:t>
            </w:r>
            <w:r>
              <w:rPr>
                <w:rFonts w:asciiTheme="minorHAnsi" w:hAnsiTheme="minorHAnsi"/>
                <w:sz w:val="22"/>
                <w:szCs w:val="22"/>
              </w:rPr>
              <w:t>asan al-Qusha</w:t>
            </w:r>
            <w:r>
              <w:rPr>
                <w:rFonts w:ascii="Candara" w:hAnsi="Candara" w:cs="Candara"/>
                <w:sz w:val="22"/>
                <w:szCs w:val="22"/>
              </w:rPr>
              <w:t>ī</w:t>
            </w:r>
            <w:r>
              <w:rPr>
                <w:rFonts w:asciiTheme="minorHAnsi" w:hAnsiTheme="minorHAnsi"/>
                <w:sz w:val="22"/>
                <w:szCs w:val="22"/>
              </w:rPr>
              <w:t>r</w:t>
            </w:r>
            <w:r>
              <w:rPr>
                <w:rFonts w:ascii="Candara" w:hAnsi="Candara" w:cs="Candara"/>
                <w:sz w:val="22"/>
                <w:szCs w:val="22"/>
              </w:rPr>
              <w:t>ī</w:t>
            </w:r>
            <w:r>
              <w:rPr>
                <w:rFonts w:asciiTheme="minorHAnsi" w:hAnsiTheme="minorHAnsi"/>
                <w:sz w:val="22"/>
                <w:szCs w:val="22"/>
              </w:rPr>
              <w:t>,</w:t>
            </w:r>
            <w:r w:rsidRPr="00CB40D0">
              <w:rPr>
                <w:rFonts w:asciiTheme="minorHAnsi" w:hAnsiTheme="minorHAnsi"/>
                <w:sz w:val="22"/>
                <w:szCs w:val="22"/>
              </w:rPr>
              <w:t xml:space="preserve"> </w:t>
            </w:r>
            <w:r w:rsidRPr="00CB40D0">
              <w:rPr>
                <w:rFonts w:asciiTheme="minorHAnsi" w:hAnsiTheme="minorHAnsi"/>
                <w:i/>
                <w:iCs/>
                <w:sz w:val="22"/>
                <w:szCs w:val="22"/>
              </w:rPr>
              <w:t>Sahih Muslim</w:t>
            </w:r>
            <w:r>
              <w:rPr>
                <w:rFonts w:asciiTheme="minorHAnsi" w:hAnsiTheme="minorHAnsi"/>
                <w:sz w:val="22"/>
                <w:szCs w:val="22"/>
              </w:rPr>
              <w:t>, trans. by Abdul Hamid Siddiqi (Lahore: Ashraf, 1981)</w:t>
            </w:r>
            <w:r w:rsidRPr="007314F1">
              <w:rPr>
                <w:rFonts w:asciiTheme="minorHAnsi" w:hAnsiTheme="minorHAnsi"/>
                <w:sz w:val="22"/>
                <w:szCs w:val="22"/>
              </w:rPr>
              <w:t xml:space="preserve"> </w:t>
            </w:r>
          </w:p>
        </w:tc>
      </w:tr>
      <w:tr w:rsidR="00D5582C" w:rsidTr="008D6268">
        <w:tc>
          <w:tcPr>
            <w:tcW w:w="9576" w:type="dxa"/>
            <w:gridSpan w:val="3"/>
          </w:tcPr>
          <w:p w:rsidR="00D5582C" w:rsidRDefault="00D5582C" w:rsidP="008D6268">
            <w:pPr>
              <w:rPr>
                <w:b/>
                <w:bCs/>
                <w:sz w:val="24"/>
                <w:szCs w:val="24"/>
                <w:lang w:bidi="ar-AE"/>
              </w:rPr>
            </w:pPr>
          </w:p>
          <w:p w:rsidR="00D5582C" w:rsidRDefault="00D5582C" w:rsidP="008D6268">
            <w:pPr>
              <w:jc w:val="center"/>
              <w:rPr>
                <w:b/>
                <w:bCs/>
                <w:sz w:val="24"/>
                <w:szCs w:val="24"/>
                <w:lang w:bidi="ar-AE"/>
              </w:rPr>
            </w:pPr>
            <w:r w:rsidRPr="009A610F">
              <w:rPr>
                <w:b/>
                <w:bCs/>
                <w:sz w:val="24"/>
                <w:szCs w:val="24"/>
                <w:lang w:bidi="ar-AE"/>
              </w:rPr>
              <w:t>Dictionaries</w:t>
            </w:r>
            <w:r>
              <w:rPr>
                <w:b/>
                <w:bCs/>
                <w:sz w:val="24"/>
                <w:szCs w:val="24"/>
                <w:lang w:bidi="ar-AE"/>
              </w:rPr>
              <w:t xml:space="preserve"> &amp; Translation</w:t>
            </w:r>
          </w:p>
          <w:p w:rsidR="00D5582C" w:rsidRPr="009A610F" w:rsidRDefault="00D5582C" w:rsidP="008D6268">
            <w:pPr>
              <w:jc w:val="center"/>
              <w:rPr>
                <w:b/>
                <w:bCs/>
                <w:sz w:val="24"/>
                <w:szCs w:val="24"/>
                <w:rtl/>
                <w:lang w:bidi="ar-AE"/>
              </w:rPr>
            </w:pPr>
          </w:p>
        </w:tc>
      </w:tr>
      <w:tr w:rsidR="00D5582C" w:rsidTr="008D6268">
        <w:tc>
          <w:tcPr>
            <w:tcW w:w="9576" w:type="dxa"/>
            <w:gridSpan w:val="3"/>
          </w:tcPr>
          <w:p w:rsidR="00D5582C" w:rsidRPr="00FE6210"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567F2E">
              <w:rPr>
                <w:rFonts w:eastAsia="Times New Roman" w:cs="Times New Roman"/>
              </w:rPr>
              <w:t xml:space="preserve">Ali, Abobaker </w:t>
            </w:r>
            <w:r>
              <w:rPr>
                <w:rFonts w:eastAsia="Times New Roman" w:cs="Times New Roman"/>
              </w:rPr>
              <w:t>et al.</w:t>
            </w:r>
            <w:r w:rsidRPr="00567F2E">
              <w:rPr>
                <w:rFonts w:eastAsia="Times New Roman" w:cs="Times New Roman"/>
              </w:rPr>
              <w:t xml:space="preserve">, 'Some Linguistic Difficulties in Translating the Holy Quran from Arabic into English', </w:t>
            </w:r>
            <w:r w:rsidRPr="00567F2E">
              <w:rPr>
                <w:rFonts w:eastAsia="Times New Roman" w:cs="Times New Roman"/>
                <w:i/>
                <w:iCs/>
              </w:rPr>
              <w:t xml:space="preserve">International Journal of Social Science and Humanity, </w:t>
            </w:r>
            <w:r w:rsidRPr="00567F2E">
              <w:rPr>
                <w:rFonts w:eastAsia="Times New Roman" w:cs="Times New Roman"/>
              </w:rPr>
              <w:t xml:space="preserve">2 </w:t>
            </w:r>
            <w:r>
              <w:rPr>
                <w:rFonts w:eastAsia="Times New Roman" w:cs="Times New Roman"/>
              </w:rPr>
              <w:t xml:space="preserve">, no.6 </w:t>
            </w:r>
            <w:r w:rsidRPr="00567F2E">
              <w:rPr>
                <w:rFonts w:eastAsia="Times New Roman" w:cs="Times New Roman"/>
              </w:rPr>
              <w:t>(</w:t>
            </w:r>
            <w:r>
              <w:rPr>
                <w:rFonts w:eastAsia="Times New Roman" w:cs="Times New Roman"/>
              </w:rPr>
              <w:t>November 2012), 588-590</w:t>
            </w:r>
          </w:p>
          <w:p w:rsidR="00D5582C" w:rsidRDefault="00D5582C" w:rsidP="008D6268">
            <w:pPr>
              <w:pStyle w:val="ListParagraph"/>
              <w:spacing w:before="100" w:beforeAutospacing="1" w:after="100" w:afterAutospacing="1"/>
              <w:ind w:left="1080"/>
              <w:rPr>
                <w:rFonts w:eastAsia="Times New Roman" w:cs="Times New Roman"/>
              </w:rPr>
            </w:pPr>
          </w:p>
          <w:p w:rsidR="00D5582C" w:rsidRPr="00567F2E"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567F2E">
              <w:rPr>
                <w:rFonts w:eastAsia="Times New Roman" w:cs="Times New Roman"/>
              </w:rPr>
              <w:t>Badawi, Al-Saïd M. and M</w:t>
            </w:r>
            <w:r>
              <w:rPr>
                <w:rFonts w:eastAsia="Times New Roman" w:cs="Times New Roman"/>
              </w:rPr>
              <w:t>.</w:t>
            </w:r>
            <w:r w:rsidRPr="00567F2E">
              <w:rPr>
                <w:rFonts w:eastAsia="Times New Roman" w:cs="Times New Roman"/>
              </w:rPr>
              <w:t>A</w:t>
            </w:r>
            <w:r>
              <w:rPr>
                <w:rFonts w:eastAsia="Times New Roman" w:cs="Times New Roman"/>
              </w:rPr>
              <w:t>.</w:t>
            </w:r>
            <w:r w:rsidRPr="00567F2E">
              <w:rPr>
                <w:rFonts w:eastAsia="Times New Roman" w:cs="Times New Roman"/>
              </w:rPr>
              <w:t xml:space="preserve"> Abdel Haleem, </w:t>
            </w:r>
            <w:r w:rsidRPr="00567F2E">
              <w:rPr>
                <w:rFonts w:eastAsia="Times New Roman" w:cs="Times New Roman"/>
                <w:i/>
                <w:iCs/>
              </w:rPr>
              <w:t>Arabic-English Dictionary of Qurʾanic Usage</w:t>
            </w:r>
            <w:r w:rsidRPr="00567F2E">
              <w:rPr>
                <w:rFonts w:eastAsia="Times New Roman" w:cs="Times New Roman"/>
              </w:rPr>
              <w:t xml:space="preserve"> (</w:t>
            </w:r>
            <w:r>
              <w:rPr>
                <w:rFonts w:eastAsia="Times New Roman" w:cs="Times New Roman"/>
              </w:rPr>
              <w:t xml:space="preserve">Leiden: </w:t>
            </w:r>
            <w:r w:rsidRPr="00567F2E">
              <w:rPr>
                <w:rFonts w:eastAsia="Times New Roman" w:cs="Times New Roman"/>
              </w:rPr>
              <w:t xml:space="preserve">Brill, 2008) </w:t>
            </w:r>
          </w:p>
          <w:p w:rsidR="00D5582C" w:rsidRDefault="00D5582C" w:rsidP="008D6268">
            <w:pPr>
              <w:pStyle w:val="ListParagraph"/>
              <w:spacing w:before="100" w:beforeAutospacing="1" w:after="100" w:afterAutospacing="1"/>
              <w:ind w:left="1080"/>
              <w:rPr>
                <w:rFonts w:eastAsia="Times New Roman" w:cs="Times New Roman"/>
              </w:rPr>
            </w:pPr>
          </w:p>
          <w:p w:rsidR="00D5582C" w:rsidRPr="001B7EDC" w:rsidRDefault="00D5582C" w:rsidP="00D5582C">
            <w:pPr>
              <w:pStyle w:val="ListParagraph"/>
              <w:numPr>
                <w:ilvl w:val="0"/>
                <w:numId w:val="9"/>
              </w:numPr>
              <w:autoSpaceDE/>
              <w:autoSpaceDN/>
              <w:adjustRightInd/>
              <w:spacing w:before="100" w:beforeAutospacing="1" w:after="100" w:afterAutospacing="1"/>
              <w:rPr>
                <w:rFonts w:eastAsia="Times New Roman" w:cs="Times New Roman"/>
                <w:rtl/>
              </w:rPr>
            </w:pPr>
            <w:r w:rsidRPr="00986C15">
              <w:rPr>
                <w:rFonts w:eastAsia="Times New Roman" w:cs="Times New Roman"/>
              </w:rPr>
              <w:t xml:space="preserve">Matzner, Richard A., </w:t>
            </w:r>
            <w:r w:rsidRPr="00986C15">
              <w:rPr>
                <w:rFonts w:eastAsia="Times New Roman" w:cs="Times New Roman"/>
                <w:i/>
                <w:iCs/>
              </w:rPr>
              <w:t>Dictionary of Geophysics, Astrophysics, and Astronomy</w:t>
            </w:r>
            <w:r w:rsidRPr="00986C15">
              <w:rPr>
                <w:rFonts w:eastAsia="Times New Roman" w:cs="Times New Roman"/>
              </w:rPr>
              <w:t xml:space="preserve"> (New York: CRC Press, 2001) </w:t>
            </w:r>
          </w:p>
          <w:p w:rsidR="00D5582C" w:rsidRDefault="00D5582C" w:rsidP="008D6268">
            <w:pPr>
              <w:pStyle w:val="ListParagraph"/>
              <w:spacing w:before="100" w:beforeAutospacing="1" w:after="100" w:afterAutospacing="1" w:line="276" w:lineRule="auto"/>
              <w:ind w:left="1080"/>
              <w:rPr>
                <w:rFonts w:eastAsia="Times New Roman" w:cs="Times New Roman"/>
              </w:rPr>
            </w:pPr>
          </w:p>
          <w:p w:rsidR="00D5582C" w:rsidRPr="006313FE" w:rsidRDefault="00D5582C" w:rsidP="006313FE">
            <w:pPr>
              <w:pStyle w:val="ListParagraph"/>
              <w:numPr>
                <w:ilvl w:val="0"/>
                <w:numId w:val="9"/>
              </w:numPr>
              <w:autoSpaceDE/>
              <w:autoSpaceDN/>
              <w:adjustRightInd/>
              <w:spacing w:before="100" w:beforeAutospacing="1" w:after="100" w:afterAutospacing="1" w:line="276" w:lineRule="auto"/>
              <w:rPr>
                <w:rFonts w:eastAsia="Times New Roman" w:cs="Times New Roman"/>
                <w:rtl/>
              </w:rPr>
            </w:pPr>
            <w:r w:rsidRPr="00567F2E">
              <w:rPr>
                <w:rFonts w:eastAsia="Times New Roman" w:cs="Times New Roman"/>
              </w:rPr>
              <w:t xml:space="preserve">Parekh, Shaikh A., </w:t>
            </w:r>
            <w:r w:rsidRPr="00567F2E">
              <w:rPr>
                <w:rFonts w:eastAsia="Times New Roman" w:cs="Times New Roman"/>
                <w:i/>
                <w:iCs/>
              </w:rPr>
              <w:t>Complete Easy Dictionary of the Qur'an</w:t>
            </w:r>
            <w:r w:rsidRPr="00567F2E">
              <w:rPr>
                <w:rFonts w:eastAsia="Times New Roman" w:cs="Times New Roman"/>
              </w:rPr>
              <w:t xml:space="preserve">, trans. by Abdur Rasheed Kamptee, Abdulazeez Abdulraheem and Abdul Ghafoor Parekh (Lakad Gunj: AS Noordeen, 2003) </w:t>
            </w:r>
          </w:p>
        </w:tc>
      </w:tr>
      <w:tr w:rsidR="00D5582C" w:rsidTr="008D6268">
        <w:tc>
          <w:tcPr>
            <w:tcW w:w="9576" w:type="dxa"/>
            <w:gridSpan w:val="3"/>
          </w:tcPr>
          <w:p w:rsidR="00D5582C" w:rsidRDefault="00D5582C" w:rsidP="008D6268">
            <w:pPr>
              <w:jc w:val="center"/>
              <w:rPr>
                <w:rFonts w:eastAsia="Times New Roman" w:cs="Times New Roman"/>
                <w:b/>
                <w:bCs/>
                <w:sz w:val="24"/>
                <w:szCs w:val="24"/>
              </w:rPr>
            </w:pPr>
            <w:r w:rsidRPr="009A610F">
              <w:rPr>
                <w:rFonts w:eastAsia="Times New Roman" w:cs="Times New Roman"/>
                <w:b/>
                <w:bCs/>
                <w:sz w:val="24"/>
                <w:szCs w:val="24"/>
              </w:rPr>
              <w:lastRenderedPageBreak/>
              <w:t xml:space="preserve">Books on </w:t>
            </w:r>
            <w:r>
              <w:rPr>
                <w:rFonts w:eastAsia="Times New Roman" w:cs="Times New Roman"/>
                <w:b/>
                <w:bCs/>
                <w:sz w:val="24"/>
                <w:szCs w:val="24"/>
              </w:rPr>
              <w:t xml:space="preserve">Apocalypticism, </w:t>
            </w:r>
            <w:r w:rsidRPr="009A610F">
              <w:rPr>
                <w:rFonts w:eastAsia="Times New Roman" w:cs="Times New Roman"/>
                <w:b/>
                <w:bCs/>
                <w:sz w:val="24"/>
                <w:szCs w:val="24"/>
              </w:rPr>
              <w:t>Eschatology</w:t>
            </w:r>
            <w:r>
              <w:rPr>
                <w:rFonts w:eastAsia="Times New Roman" w:cs="Times New Roman"/>
                <w:b/>
                <w:bCs/>
                <w:sz w:val="24"/>
                <w:szCs w:val="24"/>
              </w:rPr>
              <w:t xml:space="preserve"> &amp; Millennialism</w:t>
            </w:r>
          </w:p>
          <w:p w:rsidR="00D5582C" w:rsidRPr="009A610F" w:rsidRDefault="00D5582C" w:rsidP="008D6268">
            <w:pPr>
              <w:spacing w:after="100" w:afterAutospacing="1"/>
              <w:jc w:val="center"/>
              <w:rPr>
                <w:rFonts w:eastAsia="Times New Roman" w:cs="Times New Roman"/>
                <w:b/>
                <w:bCs/>
                <w:sz w:val="24"/>
                <w:szCs w:val="24"/>
              </w:rPr>
            </w:pPr>
          </w:p>
        </w:tc>
      </w:tr>
      <w:tr w:rsidR="00D5582C" w:rsidTr="008D6268">
        <w:tc>
          <w:tcPr>
            <w:tcW w:w="9576" w:type="dxa"/>
            <w:gridSpan w:val="3"/>
          </w:tcPr>
          <w:p w:rsidR="00D5582C" w:rsidRDefault="00D5582C" w:rsidP="00D5582C">
            <w:pPr>
              <w:pStyle w:val="ListParagraph"/>
              <w:numPr>
                <w:ilvl w:val="0"/>
                <w:numId w:val="9"/>
              </w:numPr>
              <w:autoSpaceDE/>
              <w:autoSpaceDN/>
              <w:adjustRightInd/>
              <w:spacing w:after="200" w:line="276" w:lineRule="auto"/>
            </w:pPr>
            <w:r w:rsidRPr="00B16867">
              <w:t xml:space="preserve">Arjomand, Said A., 'Islamic Apocalypticism in the Classic Period', in </w:t>
            </w:r>
            <w:r w:rsidRPr="00B16867">
              <w:rPr>
                <w:i/>
                <w:iCs/>
              </w:rPr>
              <w:t>The Encyclopedia of Apocalypticism: Volume 2, Apocalypticism in Western History and Culture</w:t>
            </w:r>
            <w:r>
              <w:t xml:space="preserve">, ed. by Bernard McGinn </w:t>
            </w:r>
            <w:r w:rsidRPr="00B16867">
              <w:t>(New York: The Continuum Publishing Company, 1998), pp. 238-283</w:t>
            </w:r>
          </w:p>
          <w:p w:rsidR="00D5582C" w:rsidRDefault="00D5582C" w:rsidP="008D6268">
            <w:pPr>
              <w:pStyle w:val="ListParagraph"/>
              <w:spacing w:after="200" w:line="276" w:lineRule="auto"/>
              <w:ind w:left="1080"/>
            </w:pPr>
          </w:p>
          <w:p w:rsidR="00D5582C" w:rsidRDefault="00D5582C" w:rsidP="00D5582C">
            <w:pPr>
              <w:pStyle w:val="ListParagraph"/>
              <w:numPr>
                <w:ilvl w:val="0"/>
                <w:numId w:val="9"/>
              </w:numPr>
              <w:autoSpaceDE/>
              <w:autoSpaceDN/>
              <w:adjustRightInd/>
              <w:spacing w:after="200" w:line="276" w:lineRule="auto"/>
            </w:pPr>
            <w:r w:rsidRPr="00E92AD1">
              <w:t>Barkun, Michael, 'Messages from Beyond: Prophecy in the Contemporary World', in</w:t>
            </w:r>
            <w:r>
              <w:t xml:space="preserve"> </w:t>
            </w:r>
            <w:r w:rsidRPr="000D6EAD">
              <w:rPr>
                <w:i/>
                <w:iCs/>
              </w:rPr>
              <w:t>Prophecy in the New Millennium</w:t>
            </w:r>
            <w:r>
              <w:t xml:space="preserve">, </w:t>
            </w:r>
            <w:r w:rsidRPr="00DA1F1B">
              <w:rPr>
                <w:rStyle w:val="selectable"/>
              </w:rPr>
              <w:t>ed. by Sarah Harvey and Suzanne Newcombe</w:t>
            </w:r>
            <w:r w:rsidRPr="00E92AD1">
              <w:t xml:space="preserve"> (Surrey: Ashgate Publishing Ltd., 2013), pp. 17-26</w:t>
            </w:r>
          </w:p>
          <w:p w:rsidR="00D5582C" w:rsidRPr="00E92AD1" w:rsidRDefault="00D5582C" w:rsidP="008D6268">
            <w:pPr>
              <w:pStyle w:val="ListParagraph"/>
              <w:spacing w:after="200" w:line="276" w:lineRule="auto"/>
              <w:ind w:left="1080"/>
            </w:pPr>
          </w:p>
          <w:p w:rsidR="00D5582C" w:rsidRPr="00161593" w:rsidRDefault="00D5582C" w:rsidP="00D5582C">
            <w:pPr>
              <w:pStyle w:val="ListParagraph"/>
              <w:numPr>
                <w:ilvl w:val="0"/>
                <w:numId w:val="9"/>
              </w:numPr>
              <w:autoSpaceDE/>
              <w:autoSpaceDN/>
              <w:adjustRightInd/>
              <w:spacing w:after="200" w:line="276" w:lineRule="auto"/>
            </w:pPr>
            <w:r w:rsidRPr="00161593">
              <w:t xml:space="preserve">Chittick, William C., 'Muslim Eschatology', in </w:t>
            </w:r>
            <w:r w:rsidRPr="00161593">
              <w:rPr>
                <w:i/>
                <w:iCs/>
              </w:rPr>
              <w:t>The Oxford Handbook of Eschatology</w:t>
            </w:r>
            <w:r w:rsidRPr="00161593">
              <w:t>, ed. by Jerry L. Walls</w:t>
            </w:r>
            <w:r>
              <w:t xml:space="preserve"> </w:t>
            </w:r>
            <w:r w:rsidRPr="00161593">
              <w:t>(Oxford: Oxford University Press, 2008), pp. 132-150</w:t>
            </w:r>
          </w:p>
          <w:p w:rsidR="00D5582C" w:rsidRDefault="00D5582C" w:rsidP="008D6268">
            <w:pPr>
              <w:pStyle w:val="ListParagraph"/>
            </w:pPr>
          </w:p>
          <w:p w:rsidR="00D5582C" w:rsidRPr="007D4528" w:rsidRDefault="00D5582C" w:rsidP="00D5582C">
            <w:pPr>
              <w:pStyle w:val="ListParagraph"/>
              <w:numPr>
                <w:ilvl w:val="0"/>
                <w:numId w:val="9"/>
              </w:numPr>
              <w:autoSpaceDE/>
              <w:autoSpaceDN/>
              <w:adjustRightInd/>
              <w:spacing w:after="200" w:line="276" w:lineRule="auto"/>
              <w:rPr>
                <w:rFonts w:ascii="Times New Roman" w:hAnsi="Times New Roman"/>
                <w:sz w:val="24"/>
                <w:szCs w:val="24"/>
              </w:rPr>
            </w:pPr>
            <w:r>
              <w:t xml:space="preserve">Cohn, Norman, </w:t>
            </w:r>
            <w:r w:rsidRPr="006657E3">
              <w:rPr>
                <w:i/>
                <w:iCs/>
              </w:rPr>
              <w:t>The Pursuit of the Millennium: Revolutionary Millenarians and Mystical Anarchists of the Middle Ages</w:t>
            </w:r>
            <w:r w:rsidRPr="006657E3">
              <w:t xml:space="preserve"> </w:t>
            </w:r>
            <w:r>
              <w:t>(London: Paladin, 1970)</w:t>
            </w:r>
          </w:p>
          <w:p w:rsidR="00D5582C" w:rsidRPr="006657E3" w:rsidRDefault="00D5582C" w:rsidP="008D6268">
            <w:pPr>
              <w:pStyle w:val="ListParagraph"/>
              <w:spacing w:after="200" w:line="276" w:lineRule="auto"/>
              <w:ind w:left="1080"/>
              <w:rPr>
                <w:rFonts w:ascii="Times New Roman" w:hAnsi="Times New Roman"/>
                <w:sz w:val="24"/>
                <w:szCs w:val="24"/>
              </w:rPr>
            </w:pPr>
          </w:p>
          <w:p w:rsidR="00D5582C"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6025FB">
              <w:rPr>
                <w:rFonts w:eastAsia="Times New Roman" w:cs="Times New Roman"/>
              </w:rPr>
              <w:t xml:space="preserve">Cook, David, </w:t>
            </w:r>
            <w:r w:rsidRPr="000D6EAD">
              <w:rPr>
                <w:rFonts w:eastAsia="Times New Roman" w:cs="Times New Roman"/>
                <w:i/>
                <w:iCs/>
              </w:rPr>
              <w:t>Contemporary Muslim Apocalyptic Literature</w:t>
            </w:r>
            <w:r w:rsidRPr="006025FB">
              <w:rPr>
                <w:rFonts w:eastAsia="Times New Roman" w:cs="Times New Roman"/>
              </w:rPr>
              <w:t xml:space="preserve"> (Syracuse: Syracuse University Press, 2005)</w:t>
            </w:r>
          </w:p>
          <w:p w:rsidR="00D5582C" w:rsidRPr="006025FB" w:rsidRDefault="00D5582C" w:rsidP="008D6268">
            <w:pPr>
              <w:pStyle w:val="ListParagraph"/>
              <w:rPr>
                <w:rFonts w:eastAsia="Times New Roman" w:cs="Times New Roman"/>
              </w:rPr>
            </w:pPr>
          </w:p>
          <w:p w:rsidR="00D5582C"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E47E9F">
              <w:rPr>
                <w:rFonts w:eastAsia="Times New Roman" w:cs="Times New Roman"/>
              </w:rPr>
              <w:t xml:space="preserve">Collins, John J., 'Apocalyptic Eschatology in the Ancient World', in </w:t>
            </w:r>
            <w:r w:rsidRPr="000D6EAD">
              <w:rPr>
                <w:rFonts w:eastAsia="Times New Roman" w:cs="Times New Roman"/>
                <w:i/>
                <w:iCs/>
              </w:rPr>
              <w:t>The Oxford Handbook of Eschatology</w:t>
            </w:r>
            <w:r w:rsidRPr="00E47E9F">
              <w:rPr>
                <w:rFonts w:eastAsia="Times New Roman" w:cs="Times New Roman"/>
              </w:rPr>
              <w:t>, ed. by Jerry L. Walls</w:t>
            </w:r>
            <w:r>
              <w:rPr>
                <w:rFonts w:eastAsia="Times New Roman" w:cs="Times New Roman"/>
              </w:rPr>
              <w:t xml:space="preserve"> </w:t>
            </w:r>
            <w:r w:rsidRPr="00E47E9F">
              <w:rPr>
                <w:rFonts w:eastAsia="Times New Roman" w:cs="Times New Roman"/>
              </w:rPr>
              <w:t>(Oxford: Oxford University Press, 2008), pp. 40-55</w:t>
            </w:r>
          </w:p>
          <w:p w:rsidR="00D5582C" w:rsidRPr="00E47E9F" w:rsidRDefault="00D5582C" w:rsidP="008D6268">
            <w:pPr>
              <w:pStyle w:val="ListParagraph"/>
              <w:rPr>
                <w:rFonts w:eastAsia="Times New Roman" w:cs="Times New Roman"/>
              </w:rPr>
            </w:pPr>
          </w:p>
          <w:p w:rsidR="00D5582C" w:rsidRPr="0040798C"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Pr>
                <w:rFonts w:eastAsia="Times New Roman" w:cs="Times New Roman"/>
              </w:rPr>
              <w:t>---</w:t>
            </w:r>
            <w:r w:rsidRPr="003241A5">
              <w:rPr>
                <w:rFonts w:eastAsia="Times New Roman" w:cs="Times New Roman"/>
              </w:rPr>
              <w:t xml:space="preserve"> 'What is Apocalyptic Literature?', in </w:t>
            </w:r>
            <w:r w:rsidRPr="00A1613B">
              <w:rPr>
                <w:rFonts w:eastAsia="Times New Roman" w:cs="Times New Roman"/>
                <w:i/>
                <w:iCs/>
              </w:rPr>
              <w:t>The Oxford Handbook of Apocalyptic Literature</w:t>
            </w:r>
            <w:r w:rsidRPr="003241A5">
              <w:rPr>
                <w:rFonts w:eastAsia="Times New Roman" w:cs="Times New Roman"/>
              </w:rPr>
              <w:t>, ed. by John J. Collins</w:t>
            </w:r>
            <w:r>
              <w:rPr>
                <w:rFonts w:eastAsia="Times New Roman" w:cs="Times New Roman"/>
              </w:rPr>
              <w:t xml:space="preserve"> </w:t>
            </w:r>
            <w:r w:rsidRPr="003241A5">
              <w:rPr>
                <w:rFonts w:eastAsia="Times New Roman" w:cs="Times New Roman"/>
              </w:rPr>
              <w:t>(Oxford: Oxford University Press, 2014), pp. 1-16</w:t>
            </w:r>
          </w:p>
          <w:p w:rsidR="00D5582C" w:rsidRPr="00ED25FB" w:rsidRDefault="00D5582C" w:rsidP="008D6268">
            <w:pPr>
              <w:pStyle w:val="ListParagraph"/>
              <w:spacing w:before="100" w:beforeAutospacing="1" w:after="100" w:afterAutospacing="1"/>
              <w:ind w:left="1080"/>
              <w:rPr>
                <w:rStyle w:val="selectable"/>
                <w:rFonts w:eastAsia="Times New Roman" w:cs="Times New Roman"/>
              </w:rPr>
            </w:pPr>
          </w:p>
          <w:p w:rsidR="00D5582C" w:rsidRPr="00432E02" w:rsidRDefault="00D5582C" w:rsidP="00D5582C">
            <w:pPr>
              <w:pStyle w:val="ListParagraph"/>
              <w:numPr>
                <w:ilvl w:val="0"/>
                <w:numId w:val="9"/>
              </w:numPr>
              <w:autoSpaceDE/>
              <w:autoSpaceDN/>
              <w:adjustRightInd/>
              <w:spacing w:before="100" w:beforeAutospacing="1" w:after="100" w:afterAutospacing="1"/>
              <w:rPr>
                <w:rStyle w:val="selectable"/>
                <w:rFonts w:eastAsia="Times New Roman" w:cs="Times New Roman"/>
              </w:rPr>
            </w:pPr>
            <w:r>
              <w:rPr>
                <w:rStyle w:val="selectable"/>
              </w:rPr>
              <w:t>Filiu, Jean-Pierre, and M. B. DeBevoise, Apocalypse In Islam (Berkeley: University of California Press, 2011)</w:t>
            </w:r>
          </w:p>
          <w:p w:rsidR="00D5582C" w:rsidRPr="00432E02" w:rsidRDefault="00D5582C" w:rsidP="008D6268">
            <w:pPr>
              <w:pStyle w:val="ListParagraph"/>
              <w:rPr>
                <w:rStyle w:val="selectable"/>
                <w:rFonts w:eastAsia="Times New Roman" w:cs="Times New Roman"/>
              </w:rPr>
            </w:pPr>
          </w:p>
          <w:p w:rsidR="00D5582C" w:rsidRPr="00DA1F1B"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DA1F1B">
              <w:rPr>
                <w:rStyle w:val="selectable"/>
              </w:rPr>
              <w:t xml:space="preserve">Harvey, Sarah and Suzanne Newcombe, 'From the Extraordinary to the Ordinary: An Overview of Prophecy', in </w:t>
            </w:r>
            <w:r w:rsidRPr="00A1613B">
              <w:rPr>
                <w:rStyle w:val="selectable"/>
              </w:rPr>
              <w:t>Prophecy in the New Millennium</w:t>
            </w:r>
            <w:r w:rsidRPr="00DA1F1B">
              <w:rPr>
                <w:rStyle w:val="selectable"/>
              </w:rPr>
              <w:t>, ed. by Sarah Harvey and Suzanne Newcombe</w:t>
            </w:r>
            <w:r>
              <w:rPr>
                <w:rStyle w:val="selectable"/>
              </w:rPr>
              <w:t xml:space="preserve"> </w:t>
            </w:r>
            <w:r w:rsidRPr="00DA1F1B">
              <w:rPr>
                <w:rStyle w:val="selectable"/>
              </w:rPr>
              <w:t xml:space="preserve">(Surrey: Ashgate Publishing, Ltd., 2013), pp. 1-14 </w:t>
            </w:r>
          </w:p>
          <w:p w:rsidR="00D5582C" w:rsidRPr="0087107D" w:rsidRDefault="00D5582C" w:rsidP="008D6268">
            <w:pPr>
              <w:pStyle w:val="ListParagraph"/>
              <w:ind w:left="1080"/>
              <w:rPr>
                <w:rFonts w:ascii="Times New Roman" w:hAnsi="Times New Roman"/>
                <w:sz w:val="24"/>
                <w:szCs w:val="24"/>
              </w:rPr>
            </w:pPr>
          </w:p>
          <w:p w:rsidR="00D5582C" w:rsidRPr="000D4889" w:rsidRDefault="00D5582C" w:rsidP="00D5582C">
            <w:pPr>
              <w:pStyle w:val="ListParagraph"/>
              <w:numPr>
                <w:ilvl w:val="0"/>
                <w:numId w:val="9"/>
              </w:numPr>
              <w:autoSpaceDE/>
              <w:autoSpaceDN/>
              <w:adjustRightInd/>
            </w:pPr>
            <w:r w:rsidRPr="000D4889">
              <w:t xml:space="preserve">Beattie, Hugh, 'The Mahdi and the End-Times in Islam', in </w:t>
            </w:r>
            <w:r w:rsidRPr="000D4889">
              <w:rPr>
                <w:i/>
                <w:iCs/>
              </w:rPr>
              <w:t>Prophecy in the New Millennium</w:t>
            </w:r>
            <w:r w:rsidRPr="000D4889">
              <w:t>, ed. by Sarah Harvey and Suzanne Newcombe(Surrey: Ashgate Publishing Ltd., 2013), pp. 89-104</w:t>
            </w:r>
          </w:p>
          <w:p w:rsidR="00D5582C" w:rsidRDefault="00D5582C" w:rsidP="008D6268">
            <w:pPr>
              <w:pStyle w:val="ListParagraph"/>
            </w:pPr>
          </w:p>
          <w:p w:rsidR="00D5582C" w:rsidRPr="007D4528" w:rsidRDefault="00D5582C" w:rsidP="00D5582C">
            <w:pPr>
              <w:pStyle w:val="ListParagraph"/>
              <w:numPr>
                <w:ilvl w:val="0"/>
                <w:numId w:val="9"/>
              </w:numPr>
              <w:autoSpaceDE/>
              <w:autoSpaceDN/>
              <w:adjustRightInd/>
              <w:rPr>
                <w:rFonts w:ascii="Times New Roman" w:hAnsi="Times New Roman"/>
                <w:sz w:val="24"/>
                <w:szCs w:val="24"/>
              </w:rPr>
            </w:pPr>
            <w:r w:rsidRPr="006657E3">
              <w:t>Katz, and Richard H. Popkin</w:t>
            </w:r>
            <w:r w:rsidRPr="006657E3">
              <w:rPr>
                <w:i/>
                <w:iCs/>
              </w:rPr>
              <w:t>, Messianic Revolution: Radical Religious Politics to the End of the Second Millennium</w:t>
            </w:r>
            <w:r w:rsidRPr="006657E3">
              <w:t xml:space="preserve"> </w:t>
            </w:r>
            <w:r>
              <w:t>(New York: Hill and Wang, 2000)</w:t>
            </w:r>
          </w:p>
          <w:p w:rsidR="00D5582C" w:rsidRPr="007D4528" w:rsidRDefault="00D5582C" w:rsidP="008D6268">
            <w:pPr>
              <w:pStyle w:val="ListParagraph"/>
              <w:rPr>
                <w:rFonts w:ascii="Times New Roman" w:hAnsi="Times New Roman"/>
                <w:sz w:val="24"/>
                <w:szCs w:val="24"/>
              </w:rPr>
            </w:pPr>
          </w:p>
          <w:p w:rsidR="00D5582C" w:rsidRPr="007B320E" w:rsidRDefault="00D5582C" w:rsidP="00D5582C">
            <w:pPr>
              <w:pStyle w:val="ListParagraph"/>
              <w:numPr>
                <w:ilvl w:val="0"/>
                <w:numId w:val="9"/>
              </w:numPr>
              <w:autoSpaceDE/>
              <w:autoSpaceDN/>
              <w:adjustRightInd/>
            </w:pPr>
            <w:r w:rsidRPr="007B320E">
              <w:t xml:space="preserve">Kirshner, Richard P., 'Supernovae and Stellar Catastrophe', in </w:t>
            </w:r>
            <w:r w:rsidRPr="007B320E">
              <w:rPr>
                <w:i/>
                <w:iCs/>
              </w:rPr>
              <w:t>Understanding Catastrophe</w:t>
            </w:r>
            <w:r w:rsidRPr="007B320E">
              <w:t>, ed. by Janine Bourriau</w:t>
            </w:r>
            <w:r>
              <w:t xml:space="preserve"> </w:t>
            </w:r>
            <w:r w:rsidRPr="007B320E">
              <w:t>(New York: Cambridge University Press, 1992)</w:t>
            </w:r>
          </w:p>
          <w:p w:rsidR="00D5582C" w:rsidRDefault="00D5582C" w:rsidP="008D6268">
            <w:pPr>
              <w:pStyle w:val="ListParagraph"/>
            </w:pPr>
          </w:p>
          <w:p w:rsidR="00D5582C" w:rsidRPr="007D4528" w:rsidRDefault="00D5582C" w:rsidP="00D5582C">
            <w:pPr>
              <w:pStyle w:val="ListParagraph"/>
              <w:numPr>
                <w:ilvl w:val="0"/>
                <w:numId w:val="9"/>
              </w:numPr>
              <w:autoSpaceDE/>
              <w:autoSpaceDN/>
              <w:adjustRightInd/>
              <w:rPr>
                <w:rFonts w:ascii="Times New Roman" w:hAnsi="Times New Roman"/>
                <w:sz w:val="24"/>
                <w:szCs w:val="24"/>
              </w:rPr>
            </w:pPr>
            <w:r>
              <w:t>Landes, Richard,</w:t>
            </w:r>
            <w:r w:rsidRPr="006657E3">
              <w:t xml:space="preserve"> </w:t>
            </w:r>
            <w:r w:rsidRPr="006657E3">
              <w:rPr>
                <w:i/>
                <w:iCs/>
              </w:rPr>
              <w:t>Heaven on Earth: the Varieties of the Millennial Experience</w:t>
            </w:r>
            <w:r w:rsidRPr="006657E3">
              <w:t xml:space="preserve"> </w:t>
            </w:r>
            <w:r>
              <w:lastRenderedPageBreak/>
              <w:t>(</w:t>
            </w:r>
            <w:r w:rsidRPr="006657E3">
              <w:t>Oxford</w:t>
            </w:r>
            <w:r>
              <w:t>: Oxford University Press, 2011)</w:t>
            </w:r>
          </w:p>
          <w:p w:rsidR="00D5582C" w:rsidRPr="007D4528" w:rsidRDefault="00D5582C" w:rsidP="008D6268">
            <w:pPr>
              <w:pStyle w:val="ListParagraph"/>
              <w:rPr>
                <w:rFonts w:eastAsia="Times New Roman" w:cs="Times New Roman"/>
              </w:rPr>
            </w:pPr>
          </w:p>
          <w:p w:rsidR="00D5582C" w:rsidRDefault="00D5582C" w:rsidP="00D5582C">
            <w:pPr>
              <w:pStyle w:val="ListParagraph"/>
              <w:numPr>
                <w:ilvl w:val="0"/>
                <w:numId w:val="9"/>
              </w:numPr>
              <w:tabs>
                <w:tab w:val="left" w:pos="2730"/>
              </w:tabs>
              <w:autoSpaceDE/>
              <w:autoSpaceDN/>
              <w:adjustRightInd/>
              <w:spacing w:before="100" w:beforeAutospacing="1" w:after="100" w:afterAutospacing="1"/>
              <w:rPr>
                <w:rFonts w:eastAsia="Times New Roman" w:cs="Times New Roman"/>
              </w:rPr>
            </w:pPr>
            <w:r w:rsidRPr="000103E5">
              <w:rPr>
                <w:rFonts w:eastAsia="Times New Roman" w:cs="Times New Roman"/>
              </w:rPr>
              <w:t xml:space="preserve">Melton, J. G., 'Looking into the Future: Why Prophecies Will Persist', in </w:t>
            </w:r>
            <w:r w:rsidRPr="00A1613B">
              <w:rPr>
                <w:rFonts w:eastAsia="Times New Roman" w:cs="Times New Roman"/>
                <w:i/>
                <w:iCs/>
              </w:rPr>
              <w:t>Prophecy in the New Millennium</w:t>
            </w:r>
            <w:r>
              <w:rPr>
                <w:rFonts w:eastAsia="Times New Roman" w:cs="Times New Roman"/>
              </w:rPr>
              <w:t xml:space="preserve">, </w:t>
            </w:r>
            <w:r w:rsidRPr="00DA1F1B">
              <w:rPr>
                <w:rStyle w:val="selectable"/>
              </w:rPr>
              <w:t>ed. by Sarah Harvey and Suzanne Newcombe</w:t>
            </w:r>
            <w:r>
              <w:rPr>
                <w:rFonts w:eastAsia="Times New Roman" w:cs="Times New Roman"/>
              </w:rPr>
              <w:t xml:space="preserve"> </w:t>
            </w:r>
            <w:r w:rsidRPr="000103E5">
              <w:rPr>
                <w:rFonts w:eastAsia="Times New Roman" w:cs="Times New Roman"/>
              </w:rPr>
              <w:t>(Surrey: Ashgate Publishing Ltd., 2013), pp. 277-284</w:t>
            </w:r>
          </w:p>
          <w:p w:rsidR="00D5582C" w:rsidRPr="000103E5" w:rsidRDefault="00D5582C" w:rsidP="008D6268">
            <w:pPr>
              <w:pStyle w:val="ListParagraph"/>
              <w:rPr>
                <w:rFonts w:eastAsia="Times New Roman" w:cs="Times New Roman"/>
              </w:rPr>
            </w:pPr>
          </w:p>
          <w:p w:rsidR="00D5582C"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331BAC">
              <w:rPr>
                <w:rFonts w:eastAsia="Times New Roman" w:cs="Times New Roman"/>
              </w:rPr>
              <w:t xml:space="preserve">Polkinghorne, John and Michael Welker, </w:t>
            </w:r>
            <w:r w:rsidRPr="00331BAC">
              <w:rPr>
                <w:rFonts w:eastAsia="Times New Roman" w:cs="Times New Roman"/>
                <w:i/>
                <w:iCs/>
              </w:rPr>
              <w:t>The End of the World and the Ends of God: Science and Theology on Eschatology</w:t>
            </w:r>
            <w:r w:rsidRPr="00331BAC">
              <w:rPr>
                <w:rFonts w:eastAsia="Times New Roman" w:cs="Times New Roman"/>
              </w:rPr>
              <w:t xml:space="preserve"> (Harrisburg: Trinity Press International, 2000) </w:t>
            </w:r>
          </w:p>
          <w:p w:rsidR="00D5582C" w:rsidRPr="00361557" w:rsidRDefault="00D5582C" w:rsidP="008D6268">
            <w:pPr>
              <w:pStyle w:val="ListParagraph"/>
              <w:rPr>
                <w:rFonts w:eastAsia="Times New Roman" w:cs="Times New Roman"/>
              </w:rPr>
            </w:pPr>
          </w:p>
          <w:p w:rsidR="00D5582C"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361557">
              <w:rPr>
                <w:rFonts w:eastAsia="Times New Roman" w:cs="Times New Roman"/>
              </w:rPr>
              <w:t xml:space="preserve">Popović, Mladen, 'Apocalyptic Determinism', in </w:t>
            </w:r>
            <w:r w:rsidRPr="00A1613B">
              <w:rPr>
                <w:rFonts w:eastAsia="Times New Roman" w:cs="Times New Roman"/>
                <w:i/>
                <w:iCs/>
              </w:rPr>
              <w:t>The Oxford Handbook of Apocalyptic Eschatology</w:t>
            </w:r>
            <w:r w:rsidRPr="00361557">
              <w:rPr>
                <w:rFonts w:eastAsia="Times New Roman" w:cs="Times New Roman"/>
              </w:rPr>
              <w:t>, ed. by John J. Collins</w:t>
            </w:r>
            <w:r>
              <w:rPr>
                <w:rFonts w:eastAsia="Times New Roman" w:cs="Times New Roman"/>
              </w:rPr>
              <w:t xml:space="preserve"> </w:t>
            </w:r>
            <w:r w:rsidRPr="00361557">
              <w:rPr>
                <w:rFonts w:eastAsia="Times New Roman" w:cs="Times New Roman"/>
              </w:rPr>
              <w:t>(Oxford: Oxford University Press, 2014), pp. 255-270</w:t>
            </w:r>
          </w:p>
          <w:p w:rsidR="00D5582C" w:rsidRPr="00803956" w:rsidRDefault="00D5582C" w:rsidP="008D6268">
            <w:pPr>
              <w:pStyle w:val="ListParagraph"/>
              <w:rPr>
                <w:rFonts w:eastAsia="Times New Roman" w:cs="Times New Roman"/>
              </w:rPr>
            </w:pPr>
          </w:p>
          <w:p w:rsidR="00D5582C" w:rsidRDefault="00D5582C" w:rsidP="00D5582C">
            <w:pPr>
              <w:pStyle w:val="ListParagraph"/>
              <w:numPr>
                <w:ilvl w:val="0"/>
                <w:numId w:val="9"/>
              </w:numPr>
              <w:autoSpaceDE/>
              <w:autoSpaceDN/>
              <w:adjustRightInd/>
              <w:rPr>
                <w:rFonts w:eastAsia="Times New Roman" w:cs="Times New Roman"/>
              </w:rPr>
            </w:pPr>
            <w:r w:rsidRPr="003B685D">
              <w:rPr>
                <w:rFonts w:eastAsia="Times New Roman" w:cs="Times New Roman"/>
              </w:rPr>
              <w:t xml:space="preserve">Stoeger, William R., 'Scientific Accounts of Ultimate Catastrophes in our Life-Bearing Universe', in </w:t>
            </w:r>
            <w:r w:rsidRPr="00C7763F">
              <w:rPr>
                <w:rFonts w:eastAsia="Times New Roman" w:cs="Times New Roman"/>
                <w:i/>
                <w:iCs/>
              </w:rPr>
              <w:t>The End of the World and the Ends of God: Science and Theology on Eschatology</w:t>
            </w:r>
            <w:r w:rsidRPr="003B685D">
              <w:rPr>
                <w:rFonts w:eastAsia="Times New Roman" w:cs="Times New Roman"/>
              </w:rPr>
              <w:t>, ed. by John Polkinghorne and Michael Welker(2000), pp. 19-28</w:t>
            </w:r>
          </w:p>
          <w:p w:rsidR="00D5582C" w:rsidRPr="003B685D" w:rsidRDefault="00D5582C" w:rsidP="008D6268">
            <w:pPr>
              <w:pStyle w:val="ListParagraph"/>
              <w:rPr>
                <w:rFonts w:eastAsia="Times New Roman" w:cs="Times New Roman"/>
              </w:rPr>
            </w:pPr>
          </w:p>
          <w:p w:rsidR="00D5582C" w:rsidRPr="003B685D" w:rsidRDefault="00D5582C" w:rsidP="00D5582C">
            <w:pPr>
              <w:pStyle w:val="ListParagraph"/>
              <w:numPr>
                <w:ilvl w:val="0"/>
                <w:numId w:val="9"/>
              </w:numPr>
              <w:autoSpaceDE/>
              <w:autoSpaceDN/>
              <w:adjustRightInd/>
              <w:rPr>
                <w:rFonts w:eastAsia="Times New Roman" w:cs="Times New Roman"/>
              </w:rPr>
            </w:pPr>
            <w:r w:rsidRPr="00B96E99">
              <w:rPr>
                <w:rFonts w:eastAsia="Times New Roman" w:cs="Times New Roman"/>
              </w:rPr>
              <w:t xml:space="preserve">Stowasser, Barbara F., 'The End is Near: Minor and Major Signs of the Hour in Islamic Texts and Contexts', in </w:t>
            </w:r>
            <w:r w:rsidRPr="00A409B1">
              <w:rPr>
                <w:rFonts w:eastAsia="Times New Roman" w:cs="Times New Roman"/>
                <w:i/>
                <w:iCs/>
              </w:rPr>
              <w:t>Apocalypse and Violence</w:t>
            </w:r>
            <w:r w:rsidRPr="00B96E99">
              <w:rPr>
                <w:rFonts w:eastAsia="Times New Roman" w:cs="Times New Roman"/>
              </w:rPr>
              <w:t>, ed. by John J. Collins and Abbas Amanat(New Haven: Yale Center for International and Area Studies, 2004), pp. 45-67 &lt;http://edoc1.bibliothek.uni-halle.de/servlets/MCRFileNodeServlet/HALCoRe_derivate_00002753/The%20En</w:t>
            </w:r>
            <w:r>
              <w:rPr>
                <w:rFonts w:eastAsia="Times New Roman" w:cs="Times New Roman"/>
              </w:rPr>
              <w:t xml:space="preserve">d%20is%20Near.pdf&gt; [accessed 10 December </w:t>
            </w:r>
            <w:r w:rsidRPr="00B96E99">
              <w:rPr>
                <w:rFonts w:eastAsia="Times New Roman" w:cs="Times New Roman"/>
              </w:rPr>
              <w:t xml:space="preserve">2015] </w:t>
            </w:r>
          </w:p>
          <w:p w:rsidR="00D5582C" w:rsidRPr="002A77C3" w:rsidRDefault="00D5582C" w:rsidP="008D6268">
            <w:pPr>
              <w:pStyle w:val="ListParagraph"/>
              <w:ind w:left="1080"/>
              <w:rPr>
                <w:rFonts w:eastAsia="Times New Roman" w:cs="Times New Roman"/>
              </w:rPr>
            </w:pPr>
          </w:p>
          <w:p w:rsidR="00D5582C"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E002EF">
              <w:rPr>
                <w:rFonts w:eastAsia="Times New Roman" w:cs="Times New Roman"/>
              </w:rPr>
              <w:t xml:space="preserve">Walls, Jerry L., 'Introduction', in </w:t>
            </w:r>
            <w:r w:rsidRPr="00A1613B">
              <w:rPr>
                <w:rFonts w:eastAsia="Times New Roman" w:cs="Times New Roman"/>
                <w:i/>
                <w:iCs/>
              </w:rPr>
              <w:t>The Oxford Handbook of Eschatology</w:t>
            </w:r>
            <w:r w:rsidRPr="00E002EF">
              <w:rPr>
                <w:rFonts w:eastAsia="Times New Roman" w:cs="Times New Roman"/>
              </w:rPr>
              <w:t>, ed. by Jerry L. Walls</w:t>
            </w:r>
            <w:r>
              <w:rPr>
                <w:rFonts w:eastAsia="Times New Roman" w:cs="Times New Roman"/>
              </w:rPr>
              <w:t xml:space="preserve"> </w:t>
            </w:r>
            <w:r w:rsidRPr="00E002EF">
              <w:rPr>
                <w:rFonts w:eastAsia="Times New Roman" w:cs="Times New Roman"/>
              </w:rPr>
              <w:t>(Oxford: Oxford University Press, 2008), pp. 3-18</w:t>
            </w:r>
          </w:p>
          <w:p w:rsidR="00D5582C" w:rsidRPr="006025FB" w:rsidRDefault="00D5582C" w:rsidP="008D6268">
            <w:pPr>
              <w:pStyle w:val="ListParagraph"/>
              <w:rPr>
                <w:rFonts w:eastAsia="Times New Roman" w:cs="Times New Roman"/>
              </w:rPr>
            </w:pPr>
          </w:p>
          <w:p w:rsidR="00D5582C" w:rsidRPr="00A0671F" w:rsidRDefault="00D5582C" w:rsidP="00D5582C">
            <w:pPr>
              <w:pStyle w:val="ListParagraph"/>
              <w:numPr>
                <w:ilvl w:val="0"/>
                <w:numId w:val="9"/>
              </w:numPr>
              <w:autoSpaceDE/>
              <w:autoSpaceDN/>
              <w:adjustRightInd/>
              <w:spacing w:before="100" w:beforeAutospacing="1" w:after="100" w:afterAutospacing="1"/>
              <w:rPr>
                <w:rFonts w:eastAsia="Times New Roman" w:cs="Times New Roman"/>
              </w:rPr>
            </w:pPr>
            <w:r w:rsidRPr="006025FB">
              <w:rPr>
                <w:rFonts w:eastAsia="Times New Roman" w:cs="Times New Roman"/>
              </w:rPr>
              <w:t xml:space="preserve">Webb, Stephen H., 'Eschatology and Politics', in </w:t>
            </w:r>
            <w:r w:rsidRPr="00A1613B">
              <w:rPr>
                <w:rFonts w:eastAsia="Times New Roman" w:cs="Times New Roman"/>
                <w:i/>
                <w:iCs/>
              </w:rPr>
              <w:t>The Oxford Handbook of Eschatology</w:t>
            </w:r>
            <w:r w:rsidRPr="006025FB">
              <w:rPr>
                <w:rFonts w:eastAsia="Times New Roman" w:cs="Times New Roman"/>
              </w:rPr>
              <w:t>, ed. by Jerry L. Walls(Oxford: Oxford University Press, 2008), pp. 500-517</w:t>
            </w:r>
          </w:p>
        </w:tc>
      </w:tr>
      <w:tr w:rsidR="00D5582C" w:rsidRPr="009A610F" w:rsidTr="008D6268">
        <w:tc>
          <w:tcPr>
            <w:tcW w:w="9576" w:type="dxa"/>
            <w:gridSpan w:val="3"/>
          </w:tcPr>
          <w:p w:rsidR="00D5582C" w:rsidRDefault="00D5582C" w:rsidP="008D6268">
            <w:pPr>
              <w:rPr>
                <w:rFonts w:eastAsia="Times New Roman" w:cs="Times New Roman"/>
                <w:b/>
                <w:bCs/>
                <w:sz w:val="24"/>
                <w:szCs w:val="24"/>
              </w:rPr>
            </w:pPr>
          </w:p>
          <w:p w:rsidR="00D5582C" w:rsidRDefault="00D5582C" w:rsidP="008D6268">
            <w:pPr>
              <w:jc w:val="center"/>
              <w:rPr>
                <w:rFonts w:eastAsia="Times New Roman" w:cs="Times New Roman"/>
                <w:b/>
                <w:bCs/>
                <w:sz w:val="24"/>
                <w:szCs w:val="24"/>
              </w:rPr>
            </w:pPr>
            <w:r>
              <w:rPr>
                <w:rFonts w:eastAsia="Times New Roman" w:cs="Times New Roman"/>
                <w:b/>
                <w:bCs/>
                <w:sz w:val="24"/>
                <w:szCs w:val="24"/>
              </w:rPr>
              <w:t>Academic Articles on Eschatology</w:t>
            </w:r>
          </w:p>
          <w:p w:rsidR="00D5582C" w:rsidRPr="009A610F" w:rsidRDefault="00D5582C" w:rsidP="008D6268">
            <w:pPr>
              <w:spacing w:after="100" w:afterAutospacing="1"/>
              <w:jc w:val="center"/>
              <w:rPr>
                <w:rFonts w:eastAsia="Times New Roman" w:cs="Times New Roman"/>
                <w:b/>
                <w:bCs/>
                <w:sz w:val="24"/>
                <w:szCs w:val="24"/>
              </w:rPr>
            </w:pPr>
          </w:p>
        </w:tc>
      </w:tr>
      <w:tr w:rsidR="00D5582C" w:rsidRPr="00FE6210" w:rsidTr="008D6268">
        <w:tc>
          <w:tcPr>
            <w:tcW w:w="9576" w:type="dxa"/>
            <w:gridSpan w:val="3"/>
          </w:tcPr>
          <w:p w:rsidR="00D5582C" w:rsidRPr="00567F2E" w:rsidRDefault="00D5582C" w:rsidP="00D5582C">
            <w:pPr>
              <w:pStyle w:val="ListParagraph"/>
              <w:numPr>
                <w:ilvl w:val="0"/>
                <w:numId w:val="14"/>
              </w:numPr>
              <w:autoSpaceDE/>
              <w:autoSpaceDN/>
              <w:adjustRightInd/>
              <w:spacing w:before="100" w:beforeAutospacing="1" w:after="100" w:afterAutospacing="1" w:line="276" w:lineRule="auto"/>
              <w:rPr>
                <w:rFonts w:eastAsia="Times New Roman" w:cs="Times New Roman"/>
              </w:rPr>
            </w:pPr>
            <w:r w:rsidRPr="00567F2E">
              <w:rPr>
                <w:rFonts w:eastAsia="Times New Roman" w:cs="Times New Roman"/>
              </w:rPr>
              <w:t xml:space="preserve">Bauckham, Richard J., 'The Rise of Apocalyptic', </w:t>
            </w:r>
            <w:r w:rsidRPr="00567F2E">
              <w:rPr>
                <w:rFonts w:eastAsia="Times New Roman" w:cs="Times New Roman"/>
                <w:i/>
                <w:iCs/>
              </w:rPr>
              <w:t xml:space="preserve">Themelios, </w:t>
            </w:r>
            <w:r w:rsidRPr="00567F2E">
              <w:rPr>
                <w:rFonts w:eastAsia="Times New Roman" w:cs="Times New Roman"/>
              </w:rPr>
              <w:t xml:space="preserve">3 (1978), 10-23 </w:t>
            </w:r>
          </w:p>
          <w:p w:rsidR="00D5582C" w:rsidRDefault="00D5582C" w:rsidP="008D6268">
            <w:pPr>
              <w:pStyle w:val="ListParagraph"/>
              <w:spacing w:before="100" w:beforeAutospacing="1" w:after="100" w:afterAutospacing="1" w:line="276" w:lineRule="auto"/>
              <w:ind w:left="1080"/>
              <w:rPr>
                <w:rFonts w:eastAsia="Times New Roman" w:cs="Times New Roman"/>
              </w:rPr>
            </w:pPr>
          </w:p>
          <w:p w:rsidR="00D5582C" w:rsidRPr="00567F2E" w:rsidRDefault="00D5582C" w:rsidP="00D5582C">
            <w:pPr>
              <w:pStyle w:val="ListParagraph"/>
              <w:numPr>
                <w:ilvl w:val="0"/>
                <w:numId w:val="14"/>
              </w:numPr>
              <w:autoSpaceDE/>
              <w:autoSpaceDN/>
              <w:adjustRightInd/>
              <w:spacing w:before="100" w:beforeAutospacing="1" w:after="100" w:afterAutospacing="1" w:line="276" w:lineRule="auto"/>
              <w:rPr>
                <w:rFonts w:eastAsia="Times New Roman" w:cs="Times New Roman"/>
              </w:rPr>
            </w:pPr>
            <w:r w:rsidRPr="00567F2E">
              <w:rPr>
                <w:rFonts w:eastAsia="Times New Roman" w:cs="Times New Roman"/>
              </w:rPr>
              <w:t xml:space="preserve">Cook, Michael, 'An Early Islamic Apocalyptic Chronicle', </w:t>
            </w:r>
            <w:r w:rsidRPr="00567F2E">
              <w:rPr>
                <w:rFonts w:eastAsia="Times New Roman" w:cs="Times New Roman"/>
                <w:i/>
                <w:iCs/>
              </w:rPr>
              <w:t xml:space="preserve">Journal of Near Eastern Studies, </w:t>
            </w:r>
            <w:r w:rsidRPr="00567F2E">
              <w:rPr>
                <w:rFonts w:eastAsia="Times New Roman" w:cs="Times New Roman"/>
              </w:rPr>
              <w:t xml:space="preserve">(1993), 25-29 </w:t>
            </w:r>
          </w:p>
          <w:p w:rsidR="00D5582C" w:rsidRDefault="00D5582C" w:rsidP="008D6268">
            <w:pPr>
              <w:pStyle w:val="ListParagraph"/>
              <w:spacing w:before="100" w:beforeAutospacing="1" w:after="100" w:afterAutospacing="1" w:line="276" w:lineRule="auto"/>
              <w:ind w:left="1080"/>
              <w:rPr>
                <w:rFonts w:eastAsia="Times New Roman" w:cs="Times New Roman"/>
              </w:rPr>
            </w:pPr>
          </w:p>
          <w:p w:rsidR="00D5582C" w:rsidRPr="00567F2E" w:rsidRDefault="00D5582C" w:rsidP="00D5582C">
            <w:pPr>
              <w:pStyle w:val="ListParagraph"/>
              <w:numPr>
                <w:ilvl w:val="0"/>
                <w:numId w:val="14"/>
              </w:numPr>
              <w:autoSpaceDE/>
              <w:autoSpaceDN/>
              <w:adjustRightInd/>
              <w:spacing w:before="100" w:beforeAutospacing="1" w:after="100" w:afterAutospacing="1" w:line="276" w:lineRule="auto"/>
              <w:rPr>
                <w:rFonts w:eastAsia="Times New Roman" w:cs="Times New Roman"/>
              </w:rPr>
            </w:pPr>
            <w:r w:rsidRPr="00567F2E">
              <w:rPr>
                <w:rFonts w:eastAsia="Times New Roman" w:cs="Times New Roman"/>
              </w:rPr>
              <w:t>Di</w:t>
            </w:r>
            <w:r>
              <w:rPr>
                <w:rFonts w:eastAsia="Times New Roman" w:cs="Times New Roman"/>
              </w:rPr>
              <w:t xml:space="preserve"> </w:t>
            </w:r>
            <w:r w:rsidRPr="00567F2E">
              <w:rPr>
                <w:rFonts w:eastAsia="Times New Roman" w:cs="Times New Roman"/>
              </w:rPr>
              <w:t xml:space="preserve">Tommaso, Lorenzo, 'History and Apocalyptic Eschatology: A Reply to JY Jindo', </w:t>
            </w:r>
            <w:r w:rsidRPr="00567F2E">
              <w:rPr>
                <w:rFonts w:eastAsia="Times New Roman" w:cs="Times New Roman"/>
                <w:i/>
                <w:iCs/>
              </w:rPr>
              <w:t xml:space="preserve">Vetus Testamentum, </w:t>
            </w:r>
            <w:r w:rsidRPr="00567F2E">
              <w:rPr>
                <w:rFonts w:eastAsia="Times New Roman" w:cs="Times New Roman"/>
              </w:rPr>
              <w:t xml:space="preserve">56 (2006), 413-418 </w:t>
            </w:r>
          </w:p>
          <w:p w:rsidR="00D5582C" w:rsidRDefault="00D5582C" w:rsidP="008D6268">
            <w:pPr>
              <w:pStyle w:val="ListParagraph"/>
              <w:spacing w:before="100" w:beforeAutospacing="1" w:after="100" w:afterAutospacing="1"/>
              <w:ind w:left="1080"/>
              <w:rPr>
                <w:rFonts w:eastAsia="Times New Roman" w:cs="Times New Roman"/>
              </w:rPr>
            </w:pPr>
          </w:p>
          <w:p w:rsidR="00D5582C"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70001C">
              <w:rPr>
                <w:rFonts w:eastAsia="Times New Roman" w:cs="Times New Roman"/>
              </w:rPr>
              <w:t xml:space="preserve">Gehrels, Tom, 'Collisions with Comets and Asteroids: The Chances of a Celestial Body Colliding with the Earth are Small, but the Consequences would be Catastrophic', </w:t>
            </w:r>
            <w:r w:rsidRPr="001F7D43">
              <w:rPr>
                <w:rFonts w:eastAsia="Times New Roman" w:cs="Times New Roman"/>
                <w:i/>
                <w:iCs/>
              </w:rPr>
              <w:t>Scientific American</w:t>
            </w:r>
            <w:r w:rsidRPr="0070001C">
              <w:rPr>
                <w:rFonts w:eastAsia="Times New Roman" w:cs="Times New Roman"/>
              </w:rPr>
              <w:t xml:space="preserve">, </w:t>
            </w:r>
            <w:r>
              <w:rPr>
                <w:rFonts w:eastAsia="Times New Roman" w:cs="Times New Roman"/>
              </w:rPr>
              <w:t xml:space="preserve">274, Issue 3 </w:t>
            </w:r>
            <w:r w:rsidRPr="0070001C">
              <w:rPr>
                <w:rFonts w:eastAsia="Times New Roman" w:cs="Times New Roman"/>
              </w:rPr>
              <w:t>(March 1996), 54-59</w:t>
            </w:r>
          </w:p>
          <w:p w:rsidR="00D5582C" w:rsidRPr="0070001C" w:rsidRDefault="00D5582C" w:rsidP="008D6268">
            <w:pPr>
              <w:pStyle w:val="ListParagraph"/>
              <w:rPr>
                <w:rFonts w:eastAsia="Times New Roman" w:cs="Times New Roman"/>
              </w:rPr>
            </w:pPr>
          </w:p>
          <w:p w:rsidR="00D5582C" w:rsidRPr="00513F40" w:rsidRDefault="00D5582C" w:rsidP="00D5582C">
            <w:pPr>
              <w:pStyle w:val="ListParagraph"/>
              <w:numPr>
                <w:ilvl w:val="0"/>
                <w:numId w:val="14"/>
              </w:numPr>
              <w:autoSpaceDE/>
              <w:autoSpaceDN/>
              <w:adjustRightInd/>
              <w:spacing w:before="100" w:beforeAutospacing="1" w:after="100" w:afterAutospacing="1"/>
              <w:rPr>
                <w:rFonts w:eastAsia="Times New Roman" w:cs="Times New Roman"/>
                <w:rtl/>
              </w:rPr>
            </w:pPr>
            <w:r w:rsidRPr="00567F2E">
              <w:rPr>
                <w:rFonts w:eastAsia="Times New Roman" w:cs="Times New Roman"/>
              </w:rPr>
              <w:t xml:space="preserve">Jindo, Job Y., 'On Myth and History in Prophetic and Apocalyptic Eschatology', </w:t>
            </w:r>
            <w:r w:rsidRPr="00567F2E">
              <w:rPr>
                <w:rFonts w:eastAsia="Times New Roman" w:cs="Times New Roman"/>
                <w:i/>
                <w:iCs/>
              </w:rPr>
              <w:t xml:space="preserve">Vetus Testamentum, </w:t>
            </w:r>
            <w:r w:rsidRPr="00567F2E">
              <w:rPr>
                <w:rFonts w:eastAsia="Times New Roman" w:cs="Times New Roman"/>
              </w:rPr>
              <w:t xml:space="preserve">(2005), 412-415 </w:t>
            </w:r>
          </w:p>
          <w:p w:rsidR="00D5582C" w:rsidRDefault="00D5582C" w:rsidP="008D6268">
            <w:pPr>
              <w:pStyle w:val="ListParagraph"/>
              <w:spacing w:before="100" w:beforeAutospacing="1" w:after="100" w:afterAutospacing="1"/>
              <w:ind w:left="1080"/>
              <w:rPr>
                <w:rFonts w:eastAsia="Times New Roman" w:cs="Times New Roman"/>
              </w:rPr>
            </w:pPr>
          </w:p>
          <w:p w:rsidR="00D5582C" w:rsidRPr="00B87FCA"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567F2E">
              <w:rPr>
                <w:rFonts w:eastAsia="Times New Roman" w:cs="Times New Roman"/>
              </w:rPr>
              <w:t xml:space="preserve">Noyes, H. P. and James Lindesay, 'Scientific Eschatology', </w:t>
            </w:r>
            <w:r w:rsidRPr="00567F2E">
              <w:rPr>
                <w:rFonts w:eastAsia="Times New Roman" w:cs="Times New Roman"/>
                <w:i/>
                <w:iCs/>
              </w:rPr>
              <w:t xml:space="preserve">ArXiv Preprint physics/0503181, </w:t>
            </w:r>
            <w:r w:rsidRPr="00567F2E">
              <w:rPr>
                <w:rFonts w:eastAsia="Times New Roman" w:cs="Times New Roman"/>
              </w:rPr>
              <w:t xml:space="preserve">(23 March 2005), 1-22 </w:t>
            </w:r>
          </w:p>
          <w:p w:rsidR="00D5582C" w:rsidRDefault="00D5582C" w:rsidP="008D6268">
            <w:pPr>
              <w:pStyle w:val="ListParagraph"/>
              <w:spacing w:before="100" w:beforeAutospacing="1" w:after="100" w:afterAutospacing="1" w:line="276" w:lineRule="auto"/>
              <w:ind w:left="1080"/>
              <w:rPr>
                <w:rFonts w:eastAsia="Times New Roman" w:cs="Times New Roman"/>
              </w:rPr>
            </w:pPr>
          </w:p>
          <w:p w:rsidR="00D5582C" w:rsidRPr="00567F2E" w:rsidRDefault="00D5582C" w:rsidP="00D5582C">
            <w:pPr>
              <w:pStyle w:val="ListParagraph"/>
              <w:numPr>
                <w:ilvl w:val="0"/>
                <w:numId w:val="14"/>
              </w:numPr>
              <w:autoSpaceDE/>
              <w:autoSpaceDN/>
              <w:adjustRightInd/>
              <w:spacing w:before="100" w:beforeAutospacing="1" w:after="100" w:afterAutospacing="1" w:line="276" w:lineRule="auto"/>
              <w:rPr>
                <w:rFonts w:eastAsia="Times New Roman" w:cs="Times New Roman"/>
              </w:rPr>
            </w:pPr>
            <w:r w:rsidRPr="00567F2E">
              <w:rPr>
                <w:rFonts w:eastAsia="Times New Roman" w:cs="Times New Roman"/>
              </w:rPr>
              <w:t xml:space="preserve">Pétrélis, François, Jean-Pierre Valet and Jean Besse, 'When North Heads South', </w:t>
            </w:r>
            <w:r w:rsidRPr="00567F2E">
              <w:rPr>
                <w:rFonts w:eastAsia="Times New Roman" w:cs="Times New Roman"/>
                <w:i/>
                <w:iCs/>
              </w:rPr>
              <w:t xml:space="preserve">Physics World, </w:t>
            </w:r>
            <w:r w:rsidRPr="00567F2E">
              <w:rPr>
                <w:rFonts w:eastAsia="Times New Roman" w:cs="Times New Roman"/>
              </w:rPr>
              <w:t xml:space="preserve">25, no.3 (March 2012), 51-55 </w:t>
            </w:r>
          </w:p>
          <w:p w:rsidR="00D5582C" w:rsidRDefault="00D5582C" w:rsidP="008D6268">
            <w:pPr>
              <w:pStyle w:val="ListParagraph"/>
              <w:spacing w:before="100" w:beforeAutospacing="1" w:after="100" w:afterAutospacing="1" w:line="276" w:lineRule="auto"/>
              <w:ind w:left="1080"/>
              <w:rPr>
                <w:rFonts w:eastAsia="Times New Roman" w:cs="Times New Roman"/>
              </w:rPr>
            </w:pPr>
          </w:p>
          <w:p w:rsidR="00D5582C" w:rsidRPr="00567F2E" w:rsidRDefault="00D5582C" w:rsidP="00D5582C">
            <w:pPr>
              <w:pStyle w:val="ListParagraph"/>
              <w:numPr>
                <w:ilvl w:val="0"/>
                <w:numId w:val="14"/>
              </w:numPr>
              <w:autoSpaceDE/>
              <w:autoSpaceDN/>
              <w:adjustRightInd/>
              <w:spacing w:before="100" w:beforeAutospacing="1" w:after="100" w:afterAutospacing="1" w:line="276" w:lineRule="auto"/>
              <w:rPr>
                <w:rFonts w:eastAsia="Times New Roman" w:cs="Times New Roman"/>
              </w:rPr>
            </w:pPr>
            <w:r w:rsidRPr="00567F2E">
              <w:rPr>
                <w:rFonts w:eastAsia="Times New Roman" w:cs="Times New Roman"/>
              </w:rPr>
              <w:t xml:space="preserve">Rees, Martin J., 'The Collapse of the Universe: An Eschatological Study', </w:t>
            </w:r>
            <w:r w:rsidRPr="00567F2E">
              <w:rPr>
                <w:rFonts w:eastAsia="Times New Roman" w:cs="Times New Roman"/>
                <w:i/>
                <w:iCs/>
              </w:rPr>
              <w:t xml:space="preserve">The Observatory, </w:t>
            </w:r>
            <w:r w:rsidRPr="00567F2E">
              <w:rPr>
                <w:rFonts w:eastAsia="Times New Roman" w:cs="Times New Roman"/>
              </w:rPr>
              <w:t xml:space="preserve">89 (1969), 193-198 </w:t>
            </w:r>
          </w:p>
          <w:p w:rsidR="00D5582C" w:rsidRDefault="00D5582C" w:rsidP="008D6268">
            <w:pPr>
              <w:pStyle w:val="ListParagraph"/>
              <w:spacing w:before="100" w:beforeAutospacing="1" w:after="100" w:afterAutospacing="1"/>
              <w:ind w:left="1080"/>
              <w:rPr>
                <w:rFonts w:eastAsia="Times New Roman" w:cs="Times New Roman"/>
              </w:rPr>
            </w:pPr>
          </w:p>
          <w:p w:rsidR="00D5582C" w:rsidRPr="00567F2E"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567F2E">
              <w:rPr>
                <w:rFonts w:eastAsia="Times New Roman" w:cs="Times New Roman"/>
              </w:rPr>
              <w:t xml:space="preserve">Segal, Robert A., 'Eliade's Theory of Millenarianism', </w:t>
            </w:r>
            <w:r w:rsidRPr="00567F2E">
              <w:rPr>
                <w:rFonts w:eastAsia="Times New Roman" w:cs="Times New Roman"/>
                <w:i/>
                <w:iCs/>
              </w:rPr>
              <w:t xml:space="preserve">Religious Studies, </w:t>
            </w:r>
            <w:r w:rsidRPr="00567F2E">
              <w:rPr>
                <w:rFonts w:eastAsia="Times New Roman" w:cs="Times New Roman"/>
              </w:rPr>
              <w:t xml:space="preserve">14 (1978), 159-173 </w:t>
            </w:r>
          </w:p>
          <w:p w:rsidR="00D5582C" w:rsidRDefault="00D5582C" w:rsidP="008D6268">
            <w:pPr>
              <w:pStyle w:val="ListParagraph"/>
              <w:spacing w:before="100" w:beforeAutospacing="1" w:after="100" w:afterAutospacing="1"/>
              <w:ind w:left="1080"/>
              <w:rPr>
                <w:rFonts w:eastAsia="Times New Roman" w:cs="Times New Roman"/>
              </w:rPr>
            </w:pPr>
          </w:p>
          <w:p w:rsidR="00D5582C" w:rsidRPr="002A77C3"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567F2E">
              <w:rPr>
                <w:rFonts w:eastAsia="Times New Roman" w:cs="Times New Roman"/>
              </w:rPr>
              <w:t xml:space="preserve">Shenk, David W., 'Muslims and Christians. Eschatology and Mission', </w:t>
            </w:r>
            <w:r w:rsidRPr="00567F2E">
              <w:rPr>
                <w:rFonts w:eastAsia="Times New Roman" w:cs="Times New Roman"/>
                <w:i/>
                <w:iCs/>
              </w:rPr>
              <w:t xml:space="preserve">International Bulletin of Missionary Research, </w:t>
            </w:r>
            <w:r w:rsidRPr="00567F2E">
              <w:rPr>
                <w:rFonts w:eastAsia="Times New Roman" w:cs="Times New Roman"/>
              </w:rPr>
              <w:t xml:space="preserve">33 (2009), 120 </w:t>
            </w:r>
          </w:p>
          <w:p w:rsidR="00D5582C" w:rsidRDefault="00D5582C" w:rsidP="008D6268">
            <w:pPr>
              <w:pStyle w:val="ListParagraph"/>
              <w:spacing w:before="100" w:beforeAutospacing="1" w:after="100" w:afterAutospacing="1"/>
              <w:ind w:left="1080"/>
              <w:rPr>
                <w:rFonts w:eastAsia="Times New Roman" w:cs="Times New Roman"/>
              </w:rPr>
            </w:pPr>
          </w:p>
          <w:p w:rsidR="00D5582C" w:rsidRPr="00567F2E"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567F2E">
              <w:rPr>
                <w:rFonts w:eastAsia="Times New Roman" w:cs="Times New Roman"/>
              </w:rPr>
              <w:t xml:space="preserve">Taylor, John B., 'Some Aspects of Islamic Eschatology', </w:t>
            </w:r>
            <w:r w:rsidRPr="00567F2E">
              <w:rPr>
                <w:rFonts w:eastAsia="Times New Roman" w:cs="Times New Roman"/>
                <w:i/>
                <w:iCs/>
              </w:rPr>
              <w:t xml:space="preserve">Religious Studies, </w:t>
            </w:r>
            <w:r w:rsidRPr="00567F2E">
              <w:rPr>
                <w:rFonts w:eastAsia="Times New Roman" w:cs="Times New Roman"/>
              </w:rPr>
              <w:t xml:space="preserve">4 (1968), 57-76 </w:t>
            </w:r>
          </w:p>
          <w:p w:rsidR="00D5582C" w:rsidRDefault="00D5582C" w:rsidP="008D6268">
            <w:pPr>
              <w:pStyle w:val="ListParagraph"/>
              <w:spacing w:before="100" w:beforeAutospacing="1" w:after="100" w:afterAutospacing="1"/>
              <w:ind w:left="1080"/>
              <w:rPr>
                <w:rFonts w:eastAsia="Times New Roman" w:cs="Times New Roman"/>
              </w:rPr>
            </w:pPr>
          </w:p>
          <w:p w:rsidR="00D5582C"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567F2E">
              <w:rPr>
                <w:rFonts w:eastAsia="Times New Roman" w:cs="Times New Roman"/>
              </w:rPr>
              <w:t xml:space="preserve">Wilson, Albert G., 'Astronomy and Eschatology', </w:t>
            </w:r>
            <w:r w:rsidRPr="00567F2E">
              <w:rPr>
                <w:rFonts w:eastAsia="Times New Roman" w:cs="Times New Roman"/>
                <w:i/>
                <w:iCs/>
              </w:rPr>
              <w:t xml:space="preserve">Engineering and Science, </w:t>
            </w:r>
            <w:r w:rsidRPr="00567F2E">
              <w:rPr>
                <w:rFonts w:eastAsia="Times New Roman" w:cs="Times New Roman"/>
              </w:rPr>
              <w:t xml:space="preserve">16 (1953), 7-10 </w:t>
            </w:r>
          </w:p>
          <w:p w:rsidR="00D5582C" w:rsidRPr="0070001C" w:rsidRDefault="00D5582C" w:rsidP="008D6268">
            <w:pPr>
              <w:pStyle w:val="ListParagraph"/>
              <w:rPr>
                <w:rFonts w:eastAsia="Times New Roman" w:cs="Times New Roman"/>
              </w:rPr>
            </w:pPr>
          </w:p>
          <w:p w:rsidR="00D5582C" w:rsidRPr="00FE6210"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70001C">
              <w:rPr>
                <w:rFonts w:eastAsia="Times New Roman" w:cs="Times New Roman"/>
              </w:rPr>
              <w:t xml:space="preserve">Zimmerman, R., 'When Neutron Stars Collide.', </w:t>
            </w:r>
            <w:r w:rsidRPr="00E04347">
              <w:rPr>
                <w:rFonts w:eastAsia="Times New Roman" w:cs="Times New Roman"/>
                <w:i/>
                <w:iCs/>
              </w:rPr>
              <w:t>Astronomy</w:t>
            </w:r>
            <w:r w:rsidRPr="0070001C">
              <w:rPr>
                <w:rFonts w:eastAsia="Times New Roman" w:cs="Times New Roman"/>
              </w:rPr>
              <w:t>, 25, Issue 4 (1997), 52-55 &lt;https://ezproxy.uwtsd.ac.uk/login?url=http://search.ebscohost.com/login.aspx?direct=true&amp;db=aph&amp;AN=9704160251&amp;site=ehost-live&gt; [accessed 1 March 2016]</w:t>
            </w:r>
          </w:p>
        </w:tc>
      </w:tr>
      <w:tr w:rsidR="00D5582C" w:rsidTr="008D6268">
        <w:tc>
          <w:tcPr>
            <w:tcW w:w="9576" w:type="dxa"/>
            <w:gridSpan w:val="3"/>
          </w:tcPr>
          <w:p w:rsidR="00D5582C" w:rsidRDefault="00D5582C" w:rsidP="008D6268">
            <w:pPr>
              <w:tabs>
                <w:tab w:val="left" w:pos="5300"/>
              </w:tabs>
              <w:spacing w:before="100" w:beforeAutospacing="1"/>
              <w:jc w:val="center"/>
              <w:rPr>
                <w:rFonts w:eastAsia="Times New Roman" w:cs="Times New Roman"/>
                <w:b/>
                <w:bCs/>
                <w:sz w:val="24"/>
                <w:szCs w:val="24"/>
                <w:lang w:bidi="ar-AE"/>
              </w:rPr>
            </w:pPr>
          </w:p>
          <w:p w:rsidR="00D5582C" w:rsidRDefault="00D5582C" w:rsidP="008D6268">
            <w:pPr>
              <w:tabs>
                <w:tab w:val="left" w:pos="5300"/>
              </w:tabs>
              <w:jc w:val="center"/>
              <w:rPr>
                <w:rFonts w:eastAsia="Times New Roman" w:cs="Times New Roman"/>
                <w:b/>
                <w:bCs/>
                <w:sz w:val="24"/>
                <w:szCs w:val="24"/>
                <w:lang w:bidi="ar-AE"/>
              </w:rPr>
            </w:pPr>
            <w:r>
              <w:rPr>
                <w:rFonts w:eastAsia="Times New Roman" w:cs="Times New Roman"/>
                <w:b/>
                <w:bCs/>
                <w:sz w:val="24"/>
                <w:szCs w:val="24"/>
                <w:lang w:bidi="ar-AE"/>
              </w:rPr>
              <w:t>Theories on Myth &amp; History</w:t>
            </w:r>
          </w:p>
          <w:p w:rsidR="00D5582C" w:rsidRDefault="00D5582C" w:rsidP="008D6268">
            <w:pPr>
              <w:tabs>
                <w:tab w:val="left" w:pos="5300"/>
              </w:tabs>
              <w:jc w:val="center"/>
              <w:rPr>
                <w:rFonts w:eastAsia="Times New Roman" w:cs="Times New Roman"/>
                <w:b/>
                <w:bCs/>
                <w:sz w:val="24"/>
                <w:szCs w:val="24"/>
                <w:lang w:bidi="ar-AE"/>
              </w:rPr>
            </w:pPr>
          </w:p>
        </w:tc>
      </w:tr>
      <w:tr w:rsidR="00D5582C" w:rsidTr="008D6268">
        <w:tc>
          <w:tcPr>
            <w:tcW w:w="9576" w:type="dxa"/>
            <w:gridSpan w:val="3"/>
          </w:tcPr>
          <w:p w:rsidR="00D5582C"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B11FB6">
              <w:rPr>
                <w:rFonts w:eastAsia="Times New Roman" w:cs="Times New Roman"/>
              </w:rPr>
              <w:t xml:space="preserve">Campbell, Joseph, </w:t>
            </w:r>
            <w:r w:rsidRPr="00B11FB6">
              <w:rPr>
                <w:rFonts w:eastAsia="Times New Roman" w:cs="Times New Roman"/>
                <w:i/>
                <w:iCs/>
              </w:rPr>
              <w:t>Myths to Live by</w:t>
            </w:r>
            <w:r w:rsidRPr="00B11FB6">
              <w:rPr>
                <w:rFonts w:eastAsia="Times New Roman" w:cs="Times New Roman"/>
              </w:rPr>
              <w:t xml:space="preserve"> (New York: Viking Press, 1972)</w:t>
            </w:r>
          </w:p>
          <w:p w:rsidR="00D5582C" w:rsidRDefault="00D5582C" w:rsidP="008D6268">
            <w:pPr>
              <w:pStyle w:val="ListParagraph"/>
              <w:spacing w:before="100" w:beforeAutospacing="1" w:after="100" w:afterAutospacing="1"/>
              <w:ind w:left="1080"/>
              <w:rPr>
                <w:rFonts w:eastAsia="Times New Roman" w:cs="Times New Roman"/>
              </w:rPr>
            </w:pPr>
          </w:p>
          <w:p w:rsidR="00D5582C"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684FB8">
              <w:rPr>
                <w:rFonts w:eastAsia="Times New Roman" w:cs="Times New Roman"/>
              </w:rPr>
              <w:t xml:space="preserve">Eliade, Mircea, </w:t>
            </w:r>
            <w:r w:rsidRPr="00684FB8">
              <w:rPr>
                <w:rFonts w:eastAsia="Times New Roman" w:cs="Times New Roman"/>
                <w:i/>
                <w:iCs/>
              </w:rPr>
              <w:t>Cosmos and History: The Myth of the Eternal Return</w:t>
            </w:r>
            <w:r w:rsidRPr="00684FB8">
              <w:rPr>
                <w:rFonts w:eastAsia="Times New Roman" w:cs="Times New Roman"/>
              </w:rPr>
              <w:t xml:space="preserve">, </w:t>
            </w:r>
            <w:r w:rsidRPr="00684FB8">
              <w:rPr>
                <w:rFonts w:eastAsia="Times New Roman" w:cs="Times New Roman"/>
                <w:i/>
                <w:iCs/>
              </w:rPr>
              <w:t xml:space="preserve">trans. Willard R. Trask. (New York: Harper Torchbooks, </w:t>
            </w:r>
            <w:r w:rsidRPr="00684FB8">
              <w:rPr>
                <w:rFonts w:eastAsia="Times New Roman" w:cs="Times New Roman"/>
              </w:rPr>
              <w:t xml:space="preserve">1959) </w:t>
            </w:r>
          </w:p>
          <w:p w:rsidR="00D5582C" w:rsidRPr="00684FB8" w:rsidRDefault="00D5582C" w:rsidP="008D6268">
            <w:pPr>
              <w:pStyle w:val="ListParagraph"/>
              <w:spacing w:before="100" w:beforeAutospacing="1" w:after="100" w:afterAutospacing="1"/>
              <w:rPr>
                <w:rFonts w:eastAsia="Times New Roman" w:cs="Times New Roman"/>
              </w:rPr>
            </w:pPr>
          </w:p>
          <w:p w:rsidR="00D5582C"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684FB8">
              <w:rPr>
                <w:rFonts w:eastAsia="Times New Roman" w:cs="Times New Roman"/>
              </w:rPr>
              <w:t>---</w:t>
            </w:r>
            <w:r w:rsidRPr="00684FB8">
              <w:rPr>
                <w:rFonts w:eastAsia="Times New Roman" w:cs="Times New Roman"/>
                <w:i/>
                <w:iCs/>
              </w:rPr>
              <w:t>Myth and Reality</w:t>
            </w:r>
            <w:r w:rsidRPr="00684FB8">
              <w:rPr>
                <w:rFonts w:eastAsia="Times New Roman" w:cs="Times New Roman"/>
              </w:rPr>
              <w:t xml:space="preserve">, trans. by Willard R. Trask (New York: Harper &amp; Row, 1963) </w:t>
            </w:r>
          </w:p>
          <w:p w:rsidR="00D5582C" w:rsidRPr="00FE2393" w:rsidRDefault="00D5582C" w:rsidP="008D6268">
            <w:pPr>
              <w:pStyle w:val="ListParagraph"/>
              <w:rPr>
                <w:rFonts w:eastAsia="Times New Roman" w:cs="Times New Roman"/>
              </w:rPr>
            </w:pPr>
          </w:p>
          <w:p w:rsidR="00D5582C" w:rsidRDefault="00D5582C" w:rsidP="00D5582C">
            <w:pPr>
              <w:pStyle w:val="ListParagraph"/>
              <w:numPr>
                <w:ilvl w:val="0"/>
                <w:numId w:val="14"/>
              </w:numPr>
              <w:autoSpaceDE/>
              <w:autoSpaceDN/>
              <w:adjustRightInd/>
              <w:rPr>
                <w:rFonts w:eastAsia="Times New Roman" w:cs="Times New Roman"/>
              </w:rPr>
            </w:pPr>
            <w:r>
              <w:rPr>
                <w:rFonts w:eastAsia="Times New Roman" w:cs="Times New Roman"/>
              </w:rPr>
              <w:t>---</w:t>
            </w:r>
            <w:r w:rsidRPr="00FE2393">
              <w:rPr>
                <w:rFonts w:eastAsia="Times New Roman" w:cs="Times New Roman"/>
                <w:i/>
                <w:iCs/>
              </w:rPr>
              <w:t>The Two and the One</w:t>
            </w:r>
            <w:r w:rsidRPr="00FE2393">
              <w:rPr>
                <w:rFonts w:eastAsia="Times New Roman" w:cs="Times New Roman"/>
              </w:rPr>
              <w:t xml:space="preserve"> (New York: Harper &amp; Row, 1969) </w:t>
            </w:r>
          </w:p>
          <w:p w:rsidR="00D5582C" w:rsidRPr="0040798C" w:rsidRDefault="00D5582C" w:rsidP="008D6268">
            <w:pPr>
              <w:pStyle w:val="ListParagraph"/>
              <w:rPr>
                <w:rFonts w:eastAsia="Times New Roman" w:cs="Times New Roman"/>
              </w:rPr>
            </w:pPr>
          </w:p>
          <w:p w:rsidR="00D5582C" w:rsidRDefault="00D5582C" w:rsidP="00D5582C">
            <w:pPr>
              <w:pStyle w:val="ListParagraph"/>
              <w:numPr>
                <w:ilvl w:val="0"/>
                <w:numId w:val="14"/>
              </w:numPr>
              <w:autoSpaceDE/>
              <w:autoSpaceDN/>
              <w:adjustRightInd/>
              <w:rPr>
                <w:rFonts w:eastAsia="Times New Roman" w:cs="Times New Roman"/>
              </w:rPr>
            </w:pPr>
            <w:r w:rsidRPr="0040798C">
              <w:rPr>
                <w:rFonts w:eastAsia="Times New Roman" w:cs="Times New Roman"/>
              </w:rPr>
              <w:t xml:space="preserve">Hegel, Georg W. F., </w:t>
            </w:r>
            <w:r w:rsidRPr="0040798C">
              <w:rPr>
                <w:rFonts w:eastAsia="Times New Roman" w:cs="Times New Roman"/>
                <w:i/>
                <w:iCs/>
              </w:rPr>
              <w:t>Lectures on the Philosophy of History</w:t>
            </w:r>
            <w:r w:rsidRPr="0040798C">
              <w:rPr>
                <w:rFonts w:eastAsia="Times New Roman" w:cs="Times New Roman"/>
              </w:rPr>
              <w:t xml:space="preserve"> (London: G. Bell and Sons Ltd., 1914)</w:t>
            </w:r>
          </w:p>
          <w:p w:rsidR="00D5582C" w:rsidRPr="00124265" w:rsidRDefault="00D5582C" w:rsidP="008D6268">
            <w:pPr>
              <w:rPr>
                <w:rFonts w:eastAsia="Times New Roman" w:cs="Times New Roman"/>
                <w:b/>
                <w:bCs/>
                <w:sz w:val="24"/>
                <w:szCs w:val="24"/>
                <w:lang w:bidi="ar-AE"/>
              </w:rPr>
            </w:pPr>
          </w:p>
        </w:tc>
      </w:tr>
      <w:tr w:rsidR="00D5582C" w:rsidTr="008D6268">
        <w:tc>
          <w:tcPr>
            <w:tcW w:w="9576" w:type="dxa"/>
            <w:gridSpan w:val="3"/>
          </w:tcPr>
          <w:p w:rsidR="00D5582C" w:rsidRDefault="00D5582C" w:rsidP="008D6268">
            <w:pPr>
              <w:tabs>
                <w:tab w:val="left" w:pos="5300"/>
              </w:tabs>
              <w:spacing w:before="100" w:beforeAutospacing="1"/>
              <w:jc w:val="center"/>
              <w:rPr>
                <w:rFonts w:eastAsia="Times New Roman" w:cs="Times New Roman"/>
                <w:b/>
                <w:bCs/>
                <w:sz w:val="24"/>
                <w:szCs w:val="24"/>
                <w:lang w:bidi="ar-AE"/>
              </w:rPr>
            </w:pPr>
          </w:p>
          <w:p w:rsidR="00D5582C" w:rsidRDefault="00D5582C" w:rsidP="008D6268">
            <w:pPr>
              <w:tabs>
                <w:tab w:val="left" w:pos="5300"/>
              </w:tabs>
              <w:jc w:val="center"/>
              <w:rPr>
                <w:rFonts w:eastAsia="Times New Roman" w:cs="Times New Roman"/>
                <w:b/>
                <w:bCs/>
                <w:sz w:val="24"/>
                <w:szCs w:val="24"/>
                <w:lang w:bidi="ar-AE"/>
              </w:rPr>
            </w:pPr>
            <w:r w:rsidRPr="00417E59">
              <w:rPr>
                <w:rFonts w:eastAsia="Times New Roman" w:cs="Times New Roman"/>
                <w:b/>
                <w:bCs/>
                <w:sz w:val="24"/>
                <w:szCs w:val="24"/>
                <w:lang w:bidi="ar-AE"/>
              </w:rPr>
              <w:t>Cosmology</w:t>
            </w:r>
            <w:r>
              <w:rPr>
                <w:rFonts w:eastAsia="Times New Roman" w:cs="Times New Roman"/>
                <w:b/>
                <w:bCs/>
                <w:sz w:val="24"/>
                <w:szCs w:val="24"/>
                <w:lang w:bidi="ar-AE"/>
              </w:rPr>
              <w:t>, Sociology, Philosophy &amp; Eschatology</w:t>
            </w:r>
          </w:p>
          <w:p w:rsidR="00D5582C" w:rsidRPr="00417E59" w:rsidRDefault="00D5582C" w:rsidP="008D6268">
            <w:pPr>
              <w:tabs>
                <w:tab w:val="left" w:pos="5300"/>
              </w:tabs>
              <w:jc w:val="center"/>
              <w:rPr>
                <w:rFonts w:eastAsia="Times New Roman" w:cs="Times New Roman"/>
                <w:b/>
                <w:bCs/>
                <w:sz w:val="24"/>
                <w:szCs w:val="24"/>
                <w:lang w:bidi="ar-AE"/>
              </w:rPr>
            </w:pPr>
          </w:p>
        </w:tc>
      </w:tr>
      <w:tr w:rsidR="00D5582C" w:rsidTr="008D6268">
        <w:tc>
          <w:tcPr>
            <w:tcW w:w="9576" w:type="dxa"/>
            <w:gridSpan w:val="3"/>
          </w:tcPr>
          <w:p w:rsidR="00D5582C" w:rsidRDefault="00D5582C" w:rsidP="00D5582C">
            <w:pPr>
              <w:pStyle w:val="ListParagraph"/>
              <w:numPr>
                <w:ilvl w:val="0"/>
                <w:numId w:val="14"/>
              </w:numPr>
              <w:tabs>
                <w:tab w:val="left" w:pos="5300"/>
              </w:tabs>
              <w:autoSpaceDE/>
              <w:autoSpaceDN/>
              <w:adjustRightInd/>
              <w:spacing w:before="100" w:beforeAutospacing="1"/>
              <w:rPr>
                <w:rFonts w:eastAsia="Times New Roman" w:cs="Times New Roman"/>
                <w:lang w:bidi="ar-AE"/>
              </w:rPr>
            </w:pPr>
            <w:r w:rsidRPr="00417E59">
              <w:rPr>
                <w:rFonts w:eastAsia="Times New Roman" w:cs="Times New Roman"/>
                <w:lang w:bidi="ar-AE"/>
              </w:rPr>
              <w:t xml:space="preserve">Campion, Nicholas, </w:t>
            </w:r>
            <w:r w:rsidRPr="00C1720F">
              <w:rPr>
                <w:rFonts w:eastAsia="Times New Roman" w:cs="Times New Roman"/>
                <w:i/>
                <w:iCs/>
                <w:lang w:bidi="ar-AE"/>
              </w:rPr>
              <w:t>Astrology and Cosmology in the World’s Religions</w:t>
            </w:r>
            <w:r w:rsidRPr="00417E59">
              <w:rPr>
                <w:rFonts w:eastAsia="Times New Roman" w:cs="Times New Roman"/>
                <w:lang w:bidi="ar-AE"/>
              </w:rPr>
              <w:t xml:space="preserve"> (New York: New York University Press, 2012)</w:t>
            </w:r>
          </w:p>
          <w:p w:rsidR="00D5582C" w:rsidRDefault="00D5582C" w:rsidP="008D6268">
            <w:pPr>
              <w:pStyle w:val="ListParagraph"/>
              <w:tabs>
                <w:tab w:val="left" w:pos="5300"/>
              </w:tabs>
              <w:spacing w:before="100" w:beforeAutospacing="1"/>
              <w:ind w:left="1080"/>
              <w:rPr>
                <w:rFonts w:eastAsia="Times New Roman" w:cs="Times New Roman"/>
                <w:lang w:bidi="ar-AE"/>
              </w:rPr>
            </w:pPr>
          </w:p>
          <w:p w:rsidR="00D5582C" w:rsidRDefault="00D5582C" w:rsidP="00D5582C">
            <w:pPr>
              <w:pStyle w:val="ListParagraph"/>
              <w:numPr>
                <w:ilvl w:val="0"/>
                <w:numId w:val="14"/>
              </w:numPr>
              <w:tabs>
                <w:tab w:val="left" w:pos="5300"/>
              </w:tabs>
              <w:autoSpaceDE/>
              <w:autoSpaceDN/>
              <w:adjustRightInd/>
              <w:spacing w:before="100" w:beforeAutospacing="1"/>
              <w:rPr>
                <w:rFonts w:eastAsia="Times New Roman" w:cs="Times New Roman"/>
                <w:lang w:bidi="ar-AE"/>
              </w:rPr>
            </w:pPr>
            <w:r w:rsidRPr="00417E59">
              <w:rPr>
                <w:rFonts w:eastAsia="Times New Roman" w:cs="Times New Roman"/>
                <w:lang w:bidi="ar-AE"/>
              </w:rPr>
              <w:t xml:space="preserve">Mathews, Freya, </w:t>
            </w:r>
            <w:r w:rsidRPr="00C1720F">
              <w:rPr>
                <w:rFonts w:eastAsia="Times New Roman" w:cs="Times New Roman"/>
                <w:i/>
                <w:iCs/>
                <w:lang w:bidi="ar-AE"/>
              </w:rPr>
              <w:t>The Ecological Self</w:t>
            </w:r>
            <w:r w:rsidRPr="00417E59">
              <w:rPr>
                <w:rFonts w:eastAsia="Times New Roman" w:cs="Times New Roman"/>
                <w:lang w:bidi="ar-AE"/>
              </w:rPr>
              <w:t xml:space="preserve"> (London: Routledge, 1991)</w:t>
            </w:r>
          </w:p>
          <w:p w:rsidR="00D5582C" w:rsidRPr="007D0F81" w:rsidRDefault="00D5582C" w:rsidP="008D6268">
            <w:pPr>
              <w:pStyle w:val="ListParagraph"/>
              <w:rPr>
                <w:rFonts w:eastAsia="Times New Roman" w:cs="Times New Roman"/>
                <w:lang w:bidi="ar-AE"/>
              </w:rPr>
            </w:pPr>
          </w:p>
          <w:p w:rsidR="00D5582C" w:rsidRDefault="00D5582C" w:rsidP="00D5582C">
            <w:pPr>
              <w:pStyle w:val="ListParagraph"/>
              <w:numPr>
                <w:ilvl w:val="0"/>
                <w:numId w:val="14"/>
              </w:numPr>
              <w:tabs>
                <w:tab w:val="left" w:pos="5300"/>
              </w:tabs>
              <w:autoSpaceDE/>
              <w:autoSpaceDN/>
              <w:adjustRightInd/>
              <w:spacing w:before="100" w:beforeAutospacing="1"/>
              <w:rPr>
                <w:rFonts w:eastAsia="Times New Roman" w:cs="Times New Roman"/>
                <w:lang w:bidi="ar-AE"/>
              </w:rPr>
            </w:pPr>
            <w:r w:rsidRPr="007D0F81">
              <w:rPr>
                <w:rFonts w:eastAsia="Times New Roman" w:cs="Times New Roman"/>
                <w:lang w:bidi="ar-AE"/>
              </w:rPr>
              <w:t xml:space="preserve">Moltmann, Jürgen, 'Cosmos and Theosis: Eschatological Perspectives', in </w:t>
            </w:r>
            <w:r w:rsidRPr="00C1720F">
              <w:rPr>
                <w:rFonts w:eastAsia="Times New Roman" w:cs="Times New Roman"/>
                <w:i/>
                <w:iCs/>
                <w:lang w:bidi="ar-AE"/>
              </w:rPr>
              <w:t>The Far Future Universe: Eschatology from a Cosmic Perspective</w:t>
            </w:r>
            <w:r w:rsidRPr="007D0F81">
              <w:rPr>
                <w:rFonts w:eastAsia="Times New Roman" w:cs="Times New Roman"/>
                <w:lang w:bidi="ar-AE"/>
              </w:rPr>
              <w:t>, ed. by George Francis Rayner Ellis</w:t>
            </w:r>
            <w:r>
              <w:rPr>
                <w:rFonts w:eastAsia="Times New Roman" w:cs="Times New Roman"/>
                <w:lang w:bidi="ar-AE"/>
              </w:rPr>
              <w:t xml:space="preserve"> </w:t>
            </w:r>
            <w:r w:rsidRPr="007D0F81">
              <w:rPr>
                <w:rFonts w:eastAsia="Times New Roman" w:cs="Times New Roman"/>
                <w:lang w:bidi="ar-AE"/>
              </w:rPr>
              <w:t>(Philadelphia: Templeton Foundation Press, 2002), pp. 249-265</w:t>
            </w:r>
          </w:p>
          <w:p w:rsidR="00D5582C" w:rsidRPr="00B11FB6" w:rsidRDefault="00D5582C" w:rsidP="008D6268">
            <w:pPr>
              <w:pStyle w:val="ListParagraph"/>
              <w:rPr>
                <w:rFonts w:eastAsia="Times New Roman" w:cs="Times New Roman"/>
                <w:lang w:bidi="ar-AE"/>
              </w:rPr>
            </w:pPr>
          </w:p>
          <w:p w:rsidR="00D5582C"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3B7D8F">
              <w:rPr>
                <w:rFonts w:eastAsia="Times New Roman" w:cs="Times New Roman"/>
              </w:rPr>
              <w:t xml:space="preserve">Nasr, Seyyed H., </w:t>
            </w:r>
            <w:r w:rsidRPr="00E720A9">
              <w:rPr>
                <w:rFonts w:eastAsia="Times New Roman" w:cs="Times New Roman"/>
                <w:i/>
                <w:iCs/>
              </w:rPr>
              <w:t>An Introduction to Islamic Cosmological Doctrines</w:t>
            </w:r>
            <w:r w:rsidRPr="003B7D8F">
              <w:rPr>
                <w:rFonts w:eastAsia="Times New Roman" w:cs="Times New Roman"/>
              </w:rPr>
              <w:t xml:space="preserve"> (Bath: Thames and Hudson, 1978)</w:t>
            </w:r>
          </w:p>
          <w:p w:rsidR="00D5582C" w:rsidRDefault="00D5582C" w:rsidP="008D6268">
            <w:pPr>
              <w:pStyle w:val="ListParagraph"/>
              <w:tabs>
                <w:tab w:val="left" w:pos="5300"/>
              </w:tabs>
              <w:spacing w:before="100" w:beforeAutospacing="1"/>
              <w:ind w:left="1080"/>
              <w:rPr>
                <w:rFonts w:eastAsia="Times New Roman" w:cs="Times New Roman"/>
                <w:lang w:bidi="ar-AE"/>
              </w:rPr>
            </w:pPr>
          </w:p>
          <w:p w:rsidR="00D5582C" w:rsidRDefault="00D5582C" w:rsidP="00D5582C">
            <w:pPr>
              <w:pStyle w:val="ListParagraph"/>
              <w:numPr>
                <w:ilvl w:val="0"/>
                <w:numId w:val="14"/>
              </w:numPr>
              <w:tabs>
                <w:tab w:val="left" w:pos="5300"/>
              </w:tabs>
              <w:autoSpaceDE/>
              <w:autoSpaceDN/>
              <w:adjustRightInd/>
              <w:spacing w:before="100" w:beforeAutospacing="1"/>
              <w:rPr>
                <w:rFonts w:eastAsia="Times New Roman" w:cs="Times New Roman"/>
                <w:lang w:bidi="ar-AE"/>
              </w:rPr>
            </w:pPr>
            <w:r w:rsidRPr="00AA7CFA">
              <w:rPr>
                <w:rFonts w:eastAsia="Times New Roman" w:cs="Times New Roman"/>
                <w:lang w:bidi="ar-AE"/>
              </w:rPr>
              <w:t>Russell,</w:t>
            </w:r>
            <w:r>
              <w:rPr>
                <w:rFonts w:eastAsia="Times New Roman" w:cs="Times New Roman"/>
                <w:lang w:bidi="ar-AE"/>
              </w:rPr>
              <w:t xml:space="preserve"> Bertnard,</w:t>
            </w:r>
            <w:r w:rsidRPr="00AA7CFA">
              <w:rPr>
                <w:rFonts w:eastAsia="Times New Roman" w:cs="Times New Roman"/>
                <w:lang w:bidi="ar-AE"/>
              </w:rPr>
              <w:t xml:space="preserve"> 'The Free Man's Worship', </w:t>
            </w:r>
            <w:r w:rsidRPr="00AA7CFA">
              <w:rPr>
                <w:rFonts w:eastAsia="Times New Roman" w:cs="Times New Roman"/>
                <w:i/>
                <w:iCs/>
                <w:lang w:bidi="ar-AE"/>
              </w:rPr>
              <w:t>The Independent Review</w:t>
            </w:r>
            <w:r w:rsidRPr="00AA7CFA">
              <w:rPr>
                <w:rFonts w:eastAsia="Times New Roman" w:cs="Times New Roman"/>
                <w:lang w:bidi="ar-AE"/>
              </w:rPr>
              <w:t>, 1 (1903), 415-424</w:t>
            </w:r>
          </w:p>
          <w:p w:rsidR="00D5582C" w:rsidRPr="00AA7CFA" w:rsidRDefault="00D5582C" w:rsidP="008D6268">
            <w:pPr>
              <w:pStyle w:val="ListParagraph"/>
              <w:rPr>
                <w:rFonts w:eastAsia="Times New Roman" w:cs="Times New Roman"/>
                <w:lang w:bidi="ar-AE"/>
              </w:rPr>
            </w:pPr>
          </w:p>
          <w:p w:rsidR="00D5582C" w:rsidRDefault="00D5582C" w:rsidP="00D5582C">
            <w:pPr>
              <w:pStyle w:val="ListParagraph"/>
              <w:numPr>
                <w:ilvl w:val="0"/>
                <w:numId w:val="14"/>
              </w:numPr>
              <w:tabs>
                <w:tab w:val="left" w:pos="5300"/>
              </w:tabs>
              <w:autoSpaceDE/>
              <w:autoSpaceDN/>
              <w:adjustRightInd/>
              <w:spacing w:before="100" w:beforeAutospacing="1"/>
              <w:rPr>
                <w:rFonts w:eastAsia="Times New Roman" w:cs="Times New Roman"/>
                <w:lang w:bidi="ar-AE"/>
              </w:rPr>
            </w:pPr>
            <w:r w:rsidRPr="002F5656">
              <w:rPr>
                <w:rFonts w:eastAsia="Times New Roman" w:cs="Times New Roman"/>
                <w:lang w:bidi="ar-AE"/>
              </w:rPr>
              <w:t xml:space="preserve">Russell, Robert, 'Cosmology and Eschatology', in </w:t>
            </w:r>
            <w:r w:rsidRPr="002F5656">
              <w:rPr>
                <w:rFonts w:eastAsia="Times New Roman" w:cs="Times New Roman"/>
                <w:i/>
                <w:iCs/>
                <w:lang w:bidi="ar-AE"/>
              </w:rPr>
              <w:t>The Oxford Handbook of Eschatology</w:t>
            </w:r>
            <w:r w:rsidRPr="002F5656">
              <w:rPr>
                <w:rFonts w:eastAsia="Times New Roman" w:cs="Times New Roman"/>
                <w:lang w:bidi="ar-AE"/>
              </w:rPr>
              <w:t>, ed. by Jerry L. Walls(Oxford: Oxford University Press, 2008), pp. 563-580</w:t>
            </w:r>
          </w:p>
          <w:p w:rsidR="00D5582C" w:rsidRPr="002F5656" w:rsidRDefault="00D5582C" w:rsidP="008D6268">
            <w:pPr>
              <w:pStyle w:val="ListParagraph"/>
              <w:rPr>
                <w:rFonts w:eastAsia="Times New Roman" w:cs="Times New Roman"/>
                <w:lang w:bidi="ar-AE"/>
              </w:rPr>
            </w:pPr>
          </w:p>
          <w:p w:rsidR="00D5582C" w:rsidRDefault="00D5582C" w:rsidP="00D5582C">
            <w:pPr>
              <w:pStyle w:val="ListParagraph"/>
              <w:numPr>
                <w:ilvl w:val="0"/>
                <w:numId w:val="14"/>
              </w:numPr>
              <w:tabs>
                <w:tab w:val="left" w:pos="5300"/>
              </w:tabs>
              <w:autoSpaceDE/>
              <w:autoSpaceDN/>
              <w:adjustRightInd/>
              <w:spacing w:before="100" w:beforeAutospacing="1"/>
              <w:rPr>
                <w:rFonts w:eastAsia="Times New Roman" w:cs="Times New Roman"/>
                <w:lang w:bidi="ar-AE"/>
              </w:rPr>
            </w:pPr>
            <w:r w:rsidRPr="00105FDF">
              <w:rPr>
                <w:rFonts w:eastAsia="Times New Roman" w:cs="Times New Roman"/>
                <w:lang w:bidi="ar-AE"/>
              </w:rPr>
              <w:t xml:space="preserve">Weber, Max, </w:t>
            </w:r>
            <w:r w:rsidRPr="00105FDF">
              <w:rPr>
                <w:rFonts w:eastAsia="Times New Roman" w:cs="Times New Roman"/>
                <w:i/>
                <w:iCs/>
                <w:lang w:bidi="ar-AE"/>
              </w:rPr>
              <w:t>From Max Weber: Essays in Sociology</w:t>
            </w:r>
            <w:r w:rsidRPr="00105FDF">
              <w:rPr>
                <w:rFonts w:eastAsia="Times New Roman" w:cs="Times New Roman"/>
                <w:lang w:bidi="ar-AE"/>
              </w:rPr>
              <w:t>, trans. by Hans Heinrich Gerth and Charles Wright Mills (Oxford: New York, Oxford University Press, 1946)</w:t>
            </w:r>
          </w:p>
          <w:p w:rsidR="00D5582C" w:rsidRPr="001A5F89" w:rsidRDefault="00D5582C" w:rsidP="008D6268">
            <w:pPr>
              <w:pStyle w:val="ListParagraph"/>
              <w:rPr>
                <w:rFonts w:eastAsia="Times New Roman" w:cs="Times New Roman"/>
                <w:lang w:bidi="ar-AE"/>
              </w:rPr>
            </w:pPr>
          </w:p>
          <w:p w:rsidR="00D5582C" w:rsidRDefault="00D5582C" w:rsidP="00D5582C">
            <w:pPr>
              <w:pStyle w:val="ListParagraph"/>
              <w:numPr>
                <w:ilvl w:val="0"/>
                <w:numId w:val="14"/>
              </w:numPr>
              <w:tabs>
                <w:tab w:val="left" w:pos="5300"/>
              </w:tabs>
              <w:autoSpaceDE/>
              <w:autoSpaceDN/>
              <w:adjustRightInd/>
              <w:spacing w:before="100" w:beforeAutospacing="1"/>
              <w:rPr>
                <w:rFonts w:eastAsia="Times New Roman" w:cs="Times New Roman"/>
                <w:lang w:bidi="ar-AE"/>
              </w:rPr>
            </w:pPr>
            <w:r w:rsidRPr="001A5F89">
              <w:rPr>
                <w:rFonts w:eastAsia="Times New Roman" w:cs="Times New Roman"/>
                <w:lang w:bidi="ar-AE"/>
              </w:rPr>
              <w:t xml:space="preserve">Weinberg, Steven, </w:t>
            </w:r>
            <w:r w:rsidRPr="001A5F89">
              <w:rPr>
                <w:rFonts w:eastAsia="Times New Roman" w:cs="Times New Roman"/>
                <w:i/>
                <w:iCs/>
                <w:lang w:bidi="ar-AE"/>
              </w:rPr>
              <w:t>The First Three Minutes</w:t>
            </w:r>
            <w:r w:rsidRPr="001A5F89">
              <w:rPr>
                <w:rFonts w:eastAsia="Times New Roman" w:cs="Times New Roman"/>
                <w:lang w:bidi="ar-AE"/>
              </w:rPr>
              <w:t xml:space="preserve"> (n.p.: Fontana paperbacks, 1978) &lt;http://inis.jinr.ru/sl/P_Physics/PPop_Popular-level/Weinberg%20S.%20The%20first%20three%20minutes</w:t>
            </w:r>
            <w:r>
              <w:rPr>
                <w:rFonts w:eastAsia="Times New Roman" w:cs="Times New Roman"/>
                <w:lang w:bidi="ar-AE"/>
              </w:rPr>
              <w:t xml:space="preserve">%28168s%29.pdf&gt; [accessed 31 January </w:t>
            </w:r>
            <w:r w:rsidRPr="001A5F89">
              <w:rPr>
                <w:rFonts w:eastAsia="Times New Roman" w:cs="Times New Roman"/>
                <w:lang w:bidi="ar-AE"/>
              </w:rPr>
              <w:t>2016]</w:t>
            </w:r>
          </w:p>
          <w:p w:rsidR="00D5582C" w:rsidRPr="00ED25FB" w:rsidRDefault="00D5582C" w:rsidP="008D6268">
            <w:pPr>
              <w:pStyle w:val="ListParagraph"/>
              <w:rPr>
                <w:rFonts w:eastAsia="Times New Roman" w:cs="Times New Roman"/>
                <w:lang w:bidi="ar-AE"/>
              </w:rPr>
            </w:pPr>
          </w:p>
          <w:p w:rsidR="00D5582C" w:rsidRPr="00ED25FB" w:rsidRDefault="00D5582C" w:rsidP="008D6268">
            <w:pPr>
              <w:pStyle w:val="ListParagraph"/>
              <w:tabs>
                <w:tab w:val="left" w:pos="5300"/>
              </w:tabs>
              <w:spacing w:before="100" w:beforeAutospacing="1"/>
              <w:ind w:left="1080"/>
              <w:rPr>
                <w:rFonts w:eastAsia="Times New Roman" w:cs="Times New Roman"/>
                <w:lang w:bidi="ar-AE"/>
              </w:rPr>
            </w:pPr>
          </w:p>
        </w:tc>
      </w:tr>
      <w:tr w:rsidR="00D5582C" w:rsidTr="008D6268">
        <w:tc>
          <w:tcPr>
            <w:tcW w:w="9576" w:type="dxa"/>
            <w:gridSpan w:val="3"/>
          </w:tcPr>
          <w:p w:rsidR="00D5582C" w:rsidRPr="00513F40" w:rsidRDefault="00D5582C" w:rsidP="008D6268">
            <w:pPr>
              <w:tabs>
                <w:tab w:val="left" w:pos="5300"/>
              </w:tabs>
              <w:spacing w:before="100" w:beforeAutospacing="1"/>
              <w:rPr>
                <w:rFonts w:eastAsia="Times New Roman" w:cs="Times New Roman"/>
                <w:rtl/>
                <w:lang w:bidi="ar-AE"/>
              </w:rPr>
            </w:pPr>
            <w:r>
              <w:rPr>
                <w:rFonts w:eastAsia="Times New Roman" w:cs="Times New Roman"/>
                <w:lang w:bidi="ar-AE"/>
              </w:rPr>
              <w:lastRenderedPageBreak/>
              <w:tab/>
            </w:r>
          </w:p>
          <w:p w:rsidR="00D5582C" w:rsidRDefault="00D5582C" w:rsidP="008D6268">
            <w:pPr>
              <w:pStyle w:val="ListParagraph"/>
              <w:spacing w:after="100" w:afterAutospacing="1"/>
              <w:ind w:left="0"/>
              <w:jc w:val="center"/>
              <w:rPr>
                <w:rFonts w:eastAsia="Times New Roman" w:cs="Times New Roman"/>
                <w:b/>
                <w:bCs/>
                <w:sz w:val="24"/>
                <w:szCs w:val="24"/>
              </w:rPr>
            </w:pPr>
            <w:r>
              <w:rPr>
                <w:rFonts w:eastAsia="Times New Roman" w:cs="Times New Roman"/>
                <w:b/>
                <w:bCs/>
                <w:sz w:val="24"/>
                <w:szCs w:val="24"/>
              </w:rPr>
              <w:t>Science &amp; Religion</w:t>
            </w:r>
          </w:p>
          <w:p w:rsidR="00D5582C" w:rsidRPr="009A610F" w:rsidRDefault="00D5582C" w:rsidP="008D6268">
            <w:pPr>
              <w:pStyle w:val="ListParagraph"/>
              <w:spacing w:before="100" w:beforeAutospacing="1" w:after="100" w:afterAutospacing="1"/>
              <w:jc w:val="center"/>
              <w:rPr>
                <w:rFonts w:eastAsia="Times New Roman" w:cs="Times New Roman"/>
                <w:b/>
                <w:bCs/>
              </w:rPr>
            </w:pPr>
          </w:p>
        </w:tc>
      </w:tr>
      <w:tr w:rsidR="00D5582C" w:rsidTr="006313FE">
        <w:tc>
          <w:tcPr>
            <w:tcW w:w="9576" w:type="dxa"/>
            <w:gridSpan w:val="3"/>
            <w:tcBorders>
              <w:bottom w:val="single" w:sz="4" w:space="0" w:color="auto"/>
            </w:tcBorders>
          </w:tcPr>
          <w:p w:rsidR="00D5582C" w:rsidRPr="00B96E99"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803956">
              <w:rPr>
                <w:rFonts w:eastAsia="Times New Roman" w:cs="Times New Roman"/>
              </w:rPr>
              <w:t xml:space="preserve">Barbour, Ian G., </w:t>
            </w:r>
            <w:r w:rsidRPr="00803956">
              <w:rPr>
                <w:rFonts w:eastAsia="Times New Roman" w:cs="Times New Roman"/>
                <w:i/>
                <w:iCs/>
              </w:rPr>
              <w:t xml:space="preserve">When Science Meets Religion: Enemies, Strangers, </w:t>
            </w:r>
            <w:proofErr w:type="gramStart"/>
            <w:r w:rsidRPr="00803956">
              <w:rPr>
                <w:rFonts w:eastAsia="Times New Roman" w:cs="Times New Roman"/>
                <w:i/>
                <w:iCs/>
              </w:rPr>
              <w:t>Or</w:t>
            </w:r>
            <w:proofErr w:type="gramEnd"/>
            <w:r w:rsidRPr="00803956">
              <w:rPr>
                <w:rFonts w:eastAsia="Times New Roman" w:cs="Times New Roman"/>
                <w:i/>
                <w:iCs/>
              </w:rPr>
              <w:t xml:space="preserve"> Partners?</w:t>
            </w:r>
            <w:r w:rsidRPr="00803956">
              <w:rPr>
                <w:rFonts w:eastAsia="Times New Roman" w:cs="Times New Roman"/>
              </w:rPr>
              <w:t xml:space="preserve"> (San Francisco: Harper, 2000) </w:t>
            </w:r>
          </w:p>
          <w:p w:rsidR="00D5582C" w:rsidRPr="00B96E99" w:rsidRDefault="00D5582C" w:rsidP="008D6268">
            <w:pPr>
              <w:pStyle w:val="ListParagraph"/>
              <w:spacing w:before="100" w:beforeAutospacing="1" w:after="100" w:afterAutospacing="1"/>
              <w:ind w:left="1080"/>
              <w:rPr>
                <w:rFonts w:eastAsia="Times New Roman" w:cs="Times New Roman"/>
              </w:rPr>
            </w:pPr>
          </w:p>
          <w:p w:rsidR="00D5582C" w:rsidRPr="00B96E99"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B96E99">
              <w:rPr>
                <w:rFonts w:eastAsia="Times New Roman" w:cs="Times New Roman"/>
              </w:rPr>
              <w:t xml:space="preserve">Hasan, Haslin and Ab Hafiz Mat Tuah, 'Quranic Cosmogony: Impact of Contemporary Cosmology on the Interpretation of Quranic Passages Relating to the Origin of the Universe', </w:t>
            </w:r>
            <w:r w:rsidRPr="00B96E99">
              <w:rPr>
                <w:rFonts w:ascii="MS Gothic" w:eastAsia="Times New Roman" w:hAnsi="MS Gothic" w:cs="Times New Roman" w:hint="eastAsia"/>
              </w:rPr>
              <w:t>イスラーム世界研究</w:t>
            </w:r>
            <w:r w:rsidRPr="00B96E99">
              <w:rPr>
                <w:rFonts w:eastAsia="Times New Roman" w:cs="Times New Roman"/>
              </w:rPr>
              <w:t xml:space="preserve"> Or </w:t>
            </w:r>
            <w:r w:rsidRPr="001F7D43">
              <w:rPr>
                <w:rFonts w:eastAsia="Times New Roman" w:cs="Times New Roman"/>
                <w:i/>
                <w:iCs/>
              </w:rPr>
              <w:t>Kyoto Bulletin of Islamic Area Studies</w:t>
            </w:r>
            <w:r w:rsidRPr="00B96E99">
              <w:rPr>
                <w:rFonts w:eastAsia="Times New Roman" w:cs="Times New Roman"/>
              </w:rPr>
              <w:t>, 7 (2014), 124-140</w:t>
            </w:r>
          </w:p>
          <w:p w:rsidR="00D5582C" w:rsidRDefault="00D5582C" w:rsidP="008D6268">
            <w:pPr>
              <w:pStyle w:val="ListParagraph"/>
              <w:spacing w:before="100" w:beforeAutospacing="1" w:after="100" w:afterAutospacing="1"/>
              <w:ind w:left="1080"/>
              <w:rPr>
                <w:rFonts w:eastAsia="Times New Roman" w:cs="Times New Roman"/>
              </w:rPr>
            </w:pPr>
          </w:p>
          <w:p w:rsidR="00D5582C" w:rsidRPr="00B11FB6"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AA5613">
              <w:rPr>
                <w:rFonts w:eastAsia="Times New Roman" w:cs="Times New Roman"/>
              </w:rPr>
              <w:t xml:space="preserve">Hoodbhoy, Pervez, </w:t>
            </w:r>
            <w:r w:rsidRPr="00AA5613">
              <w:rPr>
                <w:rFonts w:eastAsia="Times New Roman" w:cs="Times New Roman"/>
                <w:i/>
                <w:iCs/>
              </w:rPr>
              <w:t>Islam and Science: Religious Orthodoxy and the Battle for Rationality</w:t>
            </w:r>
            <w:r w:rsidRPr="00AA5613">
              <w:rPr>
                <w:rFonts w:eastAsia="Times New Roman" w:cs="Times New Roman"/>
              </w:rPr>
              <w:t xml:space="preserve"> (London: Zed books Ltd., 1991) </w:t>
            </w:r>
          </w:p>
          <w:p w:rsidR="00D5582C" w:rsidRDefault="00D5582C" w:rsidP="008D6268">
            <w:pPr>
              <w:pStyle w:val="ListParagraph"/>
              <w:spacing w:before="100" w:beforeAutospacing="1" w:after="100" w:afterAutospacing="1"/>
              <w:ind w:left="1080"/>
              <w:rPr>
                <w:rFonts w:eastAsia="Times New Roman" w:cs="Times New Roman"/>
              </w:rPr>
            </w:pPr>
          </w:p>
          <w:p w:rsidR="00D5582C" w:rsidRPr="00E720A9"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Pr>
                <w:rFonts w:eastAsia="Times New Roman" w:cs="Times New Roman"/>
              </w:rPr>
              <w:t>Nasr, Seyyed H.,</w:t>
            </w:r>
            <w:r w:rsidRPr="00B91575">
              <w:rPr>
                <w:rFonts w:eastAsia="Times New Roman" w:cs="Times New Roman"/>
              </w:rPr>
              <w:t xml:space="preserve"> 'Science and Civilization in Islam', </w:t>
            </w:r>
            <w:r w:rsidRPr="001F7D43">
              <w:rPr>
                <w:rFonts w:eastAsia="Times New Roman" w:cs="Times New Roman"/>
                <w:i/>
                <w:iCs/>
              </w:rPr>
              <w:t>Canadian International Youth Letter</w:t>
            </w:r>
            <w:r w:rsidRPr="00B91575">
              <w:rPr>
                <w:rFonts w:eastAsia="Times New Roman" w:cs="Times New Roman"/>
              </w:rPr>
              <w:t>, , 1-8 &lt;http://www.paep.ca/en/CIYL/2004/doc/nasr_sci</w:t>
            </w:r>
            <w:r>
              <w:rPr>
                <w:rFonts w:eastAsia="Times New Roman" w:cs="Times New Roman"/>
              </w:rPr>
              <w:t xml:space="preserve">ence_in_islam.pdf&gt; [accessed 15 February </w:t>
            </w:r>
            <w:r w:rsidRPr="00B91575">
              <w:rPr>
                <w:rFonts w:eastAsia="Times New Roman" w:cs="Times New Roman"/>
              </w:rPr>
              <w:t>2016]</w:t>
            </w:r>
          </w:p>
          <w:p w:rsidR="00D5582C" w:rsidRDefault="00D5582C" w:rsidP="008D6268">
            <w:pPr>
              <w:pStyle w:val="ListParagraph"/>
              <w:spacing w:before="100" w:beforeAutospacing="1" w:after="100" w:afterAutospacing="1"/>
              <w:ind w:left="1080"/>
              <w:rPr>
                <w:rFonts w:eastAsia="Times New Roman" w:cs="Times New Roman"/>
              </w:rPr>
            </w:pPr>
          </w:p>
          <w:p w:rsidR="00D5582C" w:rsidRPr="00803956" w:rsidRDefault="00D5582C" w:rsidP="00D5582C">
            <w:pPr>
              <w:pStyle w:val="ListParagraph"/>
              <w:numPr>
                <w:ilvl w:val="0"/>
                <w:numId w:val="14"/>
              </w:numPr>
              <w:autoSpaceDE/>
              <w:autoSpaceDN/>
              <w:adjustRightInd/>
              <w:spacing w:before="100" w:beforeAutospacing="1" w:after="100" w:afterAutospacing="1"/>
              <w:rPr>
                <w:rFonts w:eastAsia="Times New Roman" w:cs="Times New Roman"/>
              </w:rPr>
            </w:pPr>
            <w:r w:rsidRPr="00B654E8">
              <w:rPr>
                <w:rFonts w:eastAsia="Times New Roman" w:cs="Times New Roman"/>
              </w:rPr>
              <w:t xml:space="preserve">Saliba, George, </w:t>
            </w:r>
            <w:r w:rsidRPr="00E720A9">
              <w:rPr>
                <w:rFonts w:eastAsia="Times New Roman" w:cs="Times New Roman"/>
                <w:i/>
                <w:iCs/>
              </w:rPr>
              <w:t>Islamic Science and the Making of the European Renaissance</w:t>
            </w:r>
            <w:r w:rsidRPr="00B654E8">
              <w:rPr>
                <w:rFonts w:eastAsia="Times New Roman" w:cs="Times New Roman"/>
              </w:rPr>
              <w:t xml:space="preserve"> (Massachusetts: MIT Press, 2007)</w:t>
            </w:r>
          </w:p>
          <w:p w:rsidR="00D5582C" w:rsidRDefault="00D5582C" w:rsidP="008D6268">
            <w:pPr>
              <w:pStyle w:val="ListParagraph"/>
              <w:spacing w:before="100" w:beforeAutospacing="1" w:after="100" w:afterAutospacing="1"/>
              <w:ind w:left="1080"/>
              <w:rPr>
                <w:rFonts w:eastAsia="Times New Roman" w:cs="Times New Roman"/>
              </w:rPr>
            </w:pPr>
          </w:p>
          <w:p w:rsidR="00D5582C" w:rsidRDefault="00D5582C" w:rsidP="008D6268">
            <w:pPr>
              <w:pStyle w:val="ListParagraph"/>
              <w:spacing w:before="100" w:beforeAutospacing="1" w:after="100" w:afterAutospacing="1"/>
              <w:ind w:left="1080"/>
              <w:rPr>
                <w:rFonts w:eastAsia="Times New Roman" w:cs="Times New Roman"/>
              </w:rPr>
            </w:pPr>
          </w:p>
          <w:p w:rsidR="006313FE" w:rsidRDefault="006313FE" w:rsidP="008D6268">
            <w:pPr>
              <w:pStyle w:val="ListParagraph"/>
              <w:spacing w:before="100" w:beforeAutospacing="1" w:after="100" w:afterAutospacing="1"/>
              <w:ind w:left="1080"/>
              <w:rPr>
                <w:rFonts w:eastAsia="Times New Roman" w:cs="Times New Roman"/>
              </w:rPr>
            </w:pPr>
          </w:p>
          <w:p w:rsidR="006313FE" w:rsidRDefault="006313FE" w:rsidP="008D6268">
            <w:pPr>
              <w:pStyle w:val="ListParagraph"/>
              <w:spacing w:before="100" w:beforeAutospacing="1" w:after="100" w:afterAutospacing="1"/>
              <w:ind w:left="1080"/>
              <w:rPr>
                <w:rFonts w:eastAsia="Times New Roman" w:cs="Times New Roman"/>
              </w:rPr>
            </w:pPr>
          </w:p>
        </w:tc>
      </w:tr>
      <w:tr w:rsidR="00D5582C" w:rsidTr="006313FE">
        <w:tc>
          <w:tcPr>
            <w:tcW w:w="9576" w:type="dxa"/>
            <w:gridSpan w:val="3"/>
            <w:tcBorders>
              <w:bottom w:val="single" w:sz="4" w:space="0" w:color="auto"/>
            </w:tcBorders>
          </w:tcPr>
          <w:p w:rsidR="00D5582C" w:rsidRDefault="00D5582C" w:rsidP="008D6268">
            <w:pPr>
              <w:pStyle w:val="ListParagraph"/>
              <w:bidi/>
              <w:spacing w:before="100" w:beforeAutospacing="1" w:after="100" w:afterAutospacing="1"/>
              <w:ind w:left="0"/>
              <w:rPr>
                <w:rFonts w:eastAsia="Times New Roman" w:cs="Times New Roman"/>
                <w:b/>
                <w:bCs/>
                <w:sz w:val="24"/>
                <w:szCs w:val="24"/>
                <w:rtl/>
                <w:lang w:bidi="ar-AE"/>
              </w:rPr>
            </w:pPr>
          </w:p>
          <w:p w:rsidR="00D5582C" w:rsidRDefault="00D5582C" w:rsidP="008D6268">
            <w:pPr>
              <w:pStyle w:val="ListParagraph"/>
              <w:bidi/>
              <w:spacing w:before="100" w:beforeAutospacing="1" w:after="100" w:afterAutospacing="1"/>
              <w:ind w:left="0"/>
              <w:jc w:val="center"/>
              <w:rPr>
                <w:rFonts w:eastAsia="Times New Roman" w:cs="Times New Roman"/>
                <w:b/>
                <w:bCs/>
                <w:sz w:val="24"/>
                <w:szCs w:val="24"/>
                <w:rtl/>
                <w:lang w:bidi="ar-AE"/>
              </w:rPr>
            </w:pPr>
          </w:p>
          <w:p w:rsidR="00D5582C" w:rsidRDefault="00D5582C" w:rsidP="008D6268">
            <w:pPr>
              <w:pStyle w:val="ListParagraph"/>
              <w:bidi/>
              <w:spacing w:before="100" w:beforeAutospacing="1" w:after="100" w:afterAutospacing="1"/>
              <w:ind w:left="0"/>
              <w:jc w:val="center"/>
              <w:rPr>
                <w:rFonts w:eastAsia="Times New Roman" w:cs="Times New Roman"/>
                <w:b/>
                <w:bCs/>
                <w:sz w:val="24"/>
                <w:szCs w:val="24"/>
                <w:lang w:bidi="ar-AE"/>
              </w:rPr>
            </w:pPr>
            <w:r>
              <w:rPr>
                <w:rFonts w:eastAsia="Times New Roman" w:cs="Times New Roman" w:hint="cs"/>
                <w:b/>
                <w:bCs/>
                <w:sz w:val="24"/>
                <w:szCs w:val="24"/>
                <w:rtl/>
                <w:lang w:bidi="ar-AE"/>
              </w:rPr>
              <w:t>محاضرات ومقابلات مرئية</w:t>
            </w:r>
          </w:p>
          <w:p w:rsidR="00D5582C" w:rsidRDefault="00D5582C" w:rsidP="006313FE">
            <w:pPr>
              <w:pStyle w:val="ListParagraph"/>
              <w:spacing w:before="100" w:beforeAutospacing="1" w:after="100" w:afterAutospacing="1"/>
              <w:ind w:left="0"/>
              <w:jc w:val="center"/>
              <w:rPr>
                <w:rFonts w:eastAsia="Times New Roman" w:cs="Times New Roman"/>
                <w:b/>
                <w:bCs/>
                <w:sz w:val="24"/>
                <w:szCs w:val="24"/>
              </w:rPr>
            </w:pPr>
            <w:r>
              <w:rPr>
                <w:rFonts w:eastAsia="Times New Roman" w:cs="Times New Roman"/>
                <w:b/>
                <w:bCs/>
                <w:sz w:val="24"/>
                <w:szCs w:val="24"/>
              </w:rPr>
              <w:t>Video Lectures</w:t>
            </w:r>
            <w:r>
              <w:rPr>
                <w:rFonts w:eastAsia="Times New Roman" w:cs="Times New Roman" w:hint="cs"/>
                <w:b/>
                <w:bCs/>
                <w:sz w:val="24"/>
                <w:szCs w:val="24"/>
                <w:rtl/>
              </w:rPr>
              <w:t xml:space="preserve"> </w:t>
            </w:r>
            <w:r w:rsidR="006313FE">
              <w:rPr>
                <w:rFonts w:eastAsia="Times New Roman" w:cs="Times New Roman"/>
                <w:b/>
                <w:bCs/>
                <w:sz w:val="24"/>
                <w:szCs w:val="24"/>
              </w:rPr>
              <w:t>&amp; Interviews</w:t>
            </w:r>
          </w:p>
          <w:p w:rsidR="006313FE" w:rsidRPr="006313FE" w:rsidRDefault="006313FE" w:rsidP="006313FE">
            <w:pPr>
              <w:pStyle w:val="ListParagraph"/>
              <w:spacing w:before="100" w:beforeAutospacing="1" w:after="100" w:afterAutospacing="1"/>
              <w:ind w:left="0"/>
              <w:jc w:val="center"/>
              <w:rPr>
                <w:rFonts w:eastAsia="Times New Roman" w:cs="Times New Roman"/>
                <w:b/>
                <w:bCs/>
                <w:sz w:val="24"/>
                <w:szCs w:val="24"/>
              </w:rPr>
            </w:pPr>
          </w:p>
        </w:tc>
      </w:tr>
      <w:tr w:rsidR="00D5582C" w:rsidTr="006313FE">
        <w:tc>
          <w:tcPr>
            <w:tcW w:w="9576" w:type="dxa"/>
            <w:gridSpan w:val="3"/>
            <w:tcBorders>
              <w:top w:val="single" w:sz="4" w:space="0" w:color="auto"/>
            </w:tcBorders>
          </w:tcPr>
          <w:p w:rsidR="006313FE" w:rsidRPr="006313FE" w:rsidRDefault="006313FE" w:rsidP="006313FE">
            <w:pPr>
              <w:pStyle w:val="ListParagraph"/>
              <w:numPr>
                <w:ilvl w:val="0"/>
                <w:numId w:val="14"/>
              </w:numPr>
              <w:autoSpaceDE/>
              <w:autoSpaceDN/>
              <w:adjustRightInd/>
              <w:ind w:right="720"/>
              <w:rPr>
                <w:lang w:bidi="ar-AE"/>
              </w:rPr>
            </w:pPr>
            <w:r w:rsidRPr="00B53D24">
              <w:rPr>
                <w:i/>
                <w:iCs/>
                <w:lang w:bidi="ar-AE"/>
              </w:rPr>
              <w:t xml:space="preserve">(NEW 2014) Earth </w:t>
            </w:r>
            <w:proofErr w:type="gramStart"/>
            <w:r w:rsidRPr="00B53D24">
              <w:rPr>
                <w:i/>
                <w:iCs/>
                <w:lang w:bidi="ar-AE"/>
              </w:rPr>
              <w:t>Without</w:t>
            </w:r>
            <w:proofErr w:type="gramEnd"/>
            <w:r w:rsidRPr="00B53D24">
              <w:rPr>
                <w:i/>
                <w:iCs/>
                <w:lang w:bidi="ar-AE"/>
              </w:rPr>
              <w:t xml:space="preserve"> A Moon! New Full Documentary!</w:t>
            </w:r>
            <w:r>
              <w:rPr>
                <w:lang w:bidi="ar-AE"/>
              </w:rPr>
              <w:t xml:space="preserve"> [YouTube video], Posted by TheSmartLab, 25 March 2014 &lt;</w:t>
            </w:r>
            <w:r w:rsidRPr="00771D2A">
              <w:rPr>
                <w:lang w:bidi="ar-AE"/>
              </w:rPr>
              <w:t>https://www.youtube.com/watch?v=LygCTL6b7YU</w:t>
            </w:r>
            <w:r>
              <w:rPr>
                <w:lang w:bidi="ar-AE"/>
              </w:rPr>
              <w:t>&gt; [accessed 20 August 2015]</w:t>
            </w:r>
          </w:p>
          <w:p w:rsidR="006313FE" w:rsidRPr="006313FE" w:rsidRDefault="006313FE" w:rsidP="006313FE">
            <w:pPr>
              <w:pStyle w:val="ListParagraph"/>
              <w:autoSpaceDE/>
              <w:autoSpaceDN/>
              <w:bidi/>
              <w:adjustRightInd/>
              <w:ind w:left="1080"/>
              <w:rPr>
                <w:lang w:bidi="ar-AE"/>
              </w:rPr>
            </w:pPr>
          </w:p>
          <w:p w:rsidR="00D5582C" w:rsidRPr="00474B68" w:rsidRDefault="00D5582C" w:rsidP="006313FE">
            <w:pPr>
              <w:pStyle w:val="ListParagraph"/>
              <w:numPr>
                <w:ilvl w:val="0"/>
                <w:numId w:val="14"/>
              </w:numPr>
              <w:autoSpaceDE/>
              <w:autoSpaceDN/>
              <w:bidi/>
              <w:adjustRightInd/>
              <w:rPr>
                <w:lang w:bidi="ar-AE"/>
              </w:rPr>
            </w:pPr>
            <w:r w:rsidRPr="00474B68">
              <w:rPr>
                <w:rFonts w:hint="cs"/>
                <w:b/>
                <w:bCs/>
                <w:rtl/>
                <w:lang w:bidi="ar-AE"/>
              </w:rPr>
              <w:t>يوم القيامة | د. مصطفى محمود</w:t>
            </w:r>
            <w:r w:rsidRPr="00474B68">
              <w:rPr>
                <w:rFonts w:hint="cs"/>
                <w:rtl/>
                <w:lang w:bidi="ar-AE"/>
              </w:rPr>
              <w:t xml:space="preserve"> [فيديو يوتيوب]، حمل بواسطة مصطفى محمود، 10 يناير 2015 &lt;</w:t>
            </w:r>
            <w:r w:rsidRPr="00474B68">
              <w:rPr>
                <w:lang w:bidi="ar-AE"/>
              </w:rPr>
              <w:t>https://www.youtube.com/watch?v=WsLw6Qql2OA</w:t>
            </w:r>
            <w:r w:rsidRPr="00474B68">
              <w:rPr>
                <w:rFonts w:hint="cs"/>
                <w:rtl/>
                <w:lang w:bidi="ar-AE"/>
              </w:rPr>
              <w:t>&gt; [تمت المعاينة بتاريخ 20 أغسطس 2015]</w:t>
            </w:r>
          </w:p>
          <w:p w:rsidR="00D5582C" w:rsidRPr="00474B68" w:rsidRDefault="00D5582C" w:rsidP="008D6268">
            <w:pPr>
              <w:pStyle w:val="ListParagraph"/>
              <w:bidi/>
              <w:ind w:left="1080"/>
              <w:rPr>
                <w:lang w:bidi="ar-AE"/>
              </w:rPr>
            </w:pPr>
          </w:p>
          <w:p w:rsidR="00D5582C" w:rsidRPr="00474B68" w:rsidRDefault="00D5582C" w:rsidP="006313FE">
            <w:pPr>
              <w:pStyle w:val="ListParagraph"/>
              <w:numPr>
                <w:ilvl w:val="0"/>
                <w:numId w:val="14"/>
              </w:numPr>
              <w:autoSpaceDE/>
              <w:autoSpaceDN/>
              <w:bidi/>
              <w:adjustRightInd/>
              <w:rPr>
                <w:lang w:bidi="ar-AE"/>
              </w:rPr>
            </w:pPr>
            <w:r w:rsidRPr="00474B68">
              <w:rPr>
                <w:rFonts w:hint="cs"/>
                <w:b/>
                <w:bCs/>
                <w:rtl/>
                <w:lang w:bidi="ar-AE"/>
              </w:rPr>
              <w:t>محاولة فهم يوم القيامة فلكيا | د. مصطفى محمود</w:t>
            </w:r>
            <w:r w:rsidRPr="00474B68">
              <w:rPr>
                <w:rFonts w:hint="cs"/>
                <w:rtl/>
                <w:lang w:bidi="ar-AE"/>
              </w:rPr>
              <w:t xml:space="preserve"> [فيديو يوتيوب]، حمل بواسطة مصطفي محمود، 24 نوفمبر 2014 &lt;</w:t>
            </w:r>
            <w:r w:rsidRPr="00474B68">
              <w:rPr>
                <w:lang w:bidi="ar-AE"/>
              </w:rPr>
              <w:t>https://www.youtube.com/watch?v=_cLBv4Vd8LQ</w:t>
            </w:r>
            <w:r w:rsidRPr="00474B68">
              <w:rPr>
                <w:rFonts w:hint="cs"/>
                <w:rtl/>
                <w:lang w:bidi="ar-AE"/>
              </w:rPr>
              <w:t>&gt; [تمت المعاينة بتاريخ 20 أغسطس 2015]</w:t>
            </w:r>
          </w:p>
          <w:p w:rsidR="00D5582C" w:rsidRPr="005B4E44" w:rsidRDefault="00D5582C" w:rsidP="008D6268">
            <w:pPr>
              <w:bidi/>
              <w:rPr>
                <w:rtl/>
                <w:lang w:bidi="ar-AE"/>
              </w:rPr>
            </w:pPr>
          </w:p>
          <w:p w:rsidR="00D5582C" w:rsidRDefault="00D5582C" w:rsidP="008D6268">
            <w:pPr>
              <w:rPr>
                <w:rtl/>
                <w:lang w:bidi="ar-AE"/>
              </w:rPr>
            </w:pPr>
          </w:p>
          <w:p w:rsidR="00D5582C" w:rsidRDefault="00D5582C" w:rsidP="008D6268">
            <w:pPr>
              <w:pStyle w:val="ListParagraph"/>
              <w:ind w:left="450" w:right="720" w:hanging="450"/>
              <w:rPr>
                <w:lang w:bidi="ar-AE"/>
              </w:rPr>
            </w:pPr>
            <w:r w:rsidRPr="00542210">
              <w:rPr>
                <w:i/>
                <w:iCs/>
                <w:lang w:bidi="ar-AE"/>
              </w:rPr>
              <w:t>The Day of Resurrection | Dr.  Mustafa Mahmoud</w:t>
            </w:r>
            <w:r>
              <w:rPr>
                <w:lang w:bidi="ar-AE"/>
              </w:rPr>
              <w:t xml:space="preserve"> [YouTube video], Posted by Mustafa Mahmoud, 10 January 2015 &lt;</w:t>
            </w:r>
            <w:r w:rsidRPr="005B4E44">
              <w:rPr>
                <w:lang w:bidi="ar-AE"/>
              </w:rPr>
              <w:t>https://www.youtube.com/watch?v=WsLw6Qql2OA</w:t>
            </w:r>
            <w:r>
              <w:rPr>
                <w:lang w:bidi="ar-AE"/>
              </w:rPr>
              <w:t>&gt; [accessed 20 August 2015]</w:t>
            </w:r>
          </w:p>
          <w:p w:rsidR="00D5582C" w:rsidRDefault="00D5582C" w:rsidP="008D6268">
            <w:pPr>
              <w:ind w:right="720"/>
              <w:rPr>
                <w:lang w:bidi="ar-AE"/>
              </w:rPr>
            </w:pPr>
          </w:p>
          <w:p w:rsidR="00D5582C" w:rsidRDefault="00D5582C" w:rsidP="008D6268">
            <w:pPr>
              <w:pStyle w:val="ListParagraph"/>
              <w:ind w:left="450" w:right="720" w:hanging="450"/>
              <w:rPr>
                <w:lang w:bidi="ar-AE"/>
              </w:rPr>
            </w:pPr>
            <w:r w:rsidRPr="00524564">
              <w:rPr>
                <w:i/>
                <w:iCs/>
                <w:lang w:bidi="ar-AE"/>
              </w:rPr>
              <w:t>An Attempt to Understand the Day of Resurrection Astronomically</w:t>
            </w:r>
            <w:r>
              <w:rPr>
                <w:lang w:bidi="ar-AE"/>
              </w:rPr>
              <w:t xml:space="preserve"> | Dr. Mustafa Mahmoud [YouTube video], Posted by Mustafa Mahmoud, 24 November 2014 &lt;</w:t>
            </w:r>
            <w:hyperlink r:id="rId41" w:history="1">
              <w:r w:rsidRPr="005767D8">
                <w:rPr>
                  <w:rStyle w:val="Hyperlink"/>
                  <w:lang w:bidi="ar-AE"/>
                </w:rPr>
                <w:t>https://www.youtube.com/watch?v=_cLBv4Vd8LQ</w:t>
              </w:r>
            </w:hyperlink>
            <w:r>
              <w:rPr>
                <w:lang w:bidi="ar-AE"/>
              </w:rPr>
              <w:t>&gt;  [accessed 20 August 2015]</w:t>
            </w:r>
          </w:p>
          <w:p w:rsidR="00D5582C" w:rsidRDefault="00D5582C" w:rsidP="008D6268">
            <w:pPr>
              <w:pStyle w:val="ListParagraph"/>
              <w:ind w:left="450" w:right="720" w:hanging="450"/>
              <w:rPr>
                <w:lang w:bidi="ar-AE"/>
              </w:rPr>
            </w:pPr>
          </w:p>
          <w:p w:rsidR="00D5582C" w:rsidRDefault="00D5582C" w:rsidP="008D6268">
            <w:pPr>
              <w:ind w:right="720"/>
              <w:rPr>
                <w:rtl/>
                <w:lang w:bidi="ar-AE"/>
              </w:rPr>
            </w:pPr>
          </w:p>
          <w:p w:rsidR="00D5582C" w:rsidRDefault="00D5582C" w:rsidP="008D6268">
            <w:pPr>
              <w:pStyle w:val="ListParagraph"/>
              <w:ind w:left="450" w:right="720" w:hanging="450"/>
              <w:rPr>
                <w:rFonts w:eastAsia="Times New Roman" w:cs="Times New Roman"/>
              </w:rPr>
            </w:pPr>
          </w:p>
        </w:tc>
      </w:tr>
      <w:tr w:rsidR="00D5582C" w:rsidTr="008D6268">
        <w:tc>
          <w:tcPr>
            <w:tcW w:w="9576" w:type="dxa"/>
            <w:gridSpan w:val="3"/>
          </w:tcPr>
          <w:p w:rsidR="00D5582C" w:rsidRDefault="00D5582C" w:rsidP="008D6268">
            <w:pPr>
              <w:pStyle w:val="ListParagraph"/>
              <w:bidi/>
              <w:ind w:left="1080"/>
              <w:jc w:val="center"/>
              <w:rPr>
                <w:b/>
                <w:bCs/>
                <w:lang w:bidi="ar-AE"/>
              </w:rPr>
            </w:pPr>
          </w:p>
          <w:p w:rsidR="00D5582C" w:rsidRPr="001874AF" w:rsidRDefault="00D5582C" w:rsidP="008D6268">
            <w:pPr>
              <w:pStyle w:val="ListParagraph"/>
              <w:bidi/>
              <w:ind w:left="0"/>
              <w:jc w:val="center"/>
              <w:rPr>
                <w:b/>
                <w:bCs/>
                <w:sz w:val="24"/>
                <w:szCs w:val="24"/>
                <w:rtl/>
                <w:lang w:bidi="ar-AE"/>
              </w:rPr>
            </w:pPr>
            <w:r w:rsidRPr="001874AF">
              <w:rPr>
                <w:rFonts w:hint="cs"/>
                <w:b/>
                <w:bCs/>
                <w:sz w:val="24"/>
                <w:szCs w:val="24"/>
                <w:rtl/>
                <w:lang w:bidi="ar-AE"/>
              </w:rPr>
              <w:t>مواقع ألكترونية</w:t>
            </w:r>
          </w:p>
          <w:p w:rsidR="00D5582C" w:rsidRDefault="00D5582C" w:rsidP="008D6268">
            <w:pPr>
              <w:pStyle w:val="ListParagraph"/>
              <w:bidi/>
              <w:ind w:left="0"/>
              <w:jc w:val="center"/>
              <w:rPr>
                <w:b/>
                <w:bCs/>
                <w:sz w:val="24"/>
                <w:szCs w:val="24"/>
                <w:lang w:bidi="ar-AE"/>
              </w:rPr>
            </w:pPr>
            <w:r w:rsidRPr="001874AF">
              <w:rPr>
                <w:b/>
                <w:bCs/>
                <w:sz w:val="24"/>
                <w:szCs w:val="24"/>
                <w:lang w:bidi="ar-AE"/>
              </w:rPr>
              <w:t>Websites</w:t>
            </w:r>
          </w:p>
          <w:p w:rsidR="00D5582C" w:rsidRPr="005B4E44" w:rsidRDefault="00D5582C" w:rsidP="008D6268">
            <w:pPr>
              <w:pStyle w:val="ListParagraph"/>
              <w:bidi/>
              <w:ind w:left="0"/>
              <w:jc w:val="center"/>
              <w:rPr>
                <w:b/>
                <w:bCs/>
                <w:rtl/>
                <w:lang w:bidi="ar-AE"/>
              </w:rPr>
            </w:pPr>
          </w:p>
        </w:tc>
      </w:tr>
      <w:tr w:rsidR="00D5582C" w:rsidTr="008D6268">
        <w:tc>
          <w:tcPr>
            <w:tcW w:w="9576" w:type="dxa"/>
            <w:gridSpan w:val="3"/>
          </w:tcPr>
          <w:p w:rsidR="00D5582C" w:rsidRPr="00474B68" w:rsidRDefault="00D5582C" w:rsidP="006313FE">
            <w:pPr>
              <w:pStyle w:val="ListParagraph"/>
              <w:numPr>
                <w:ilvl w:val="0"/>
                <w:numId w:val="14"/>
              </w:numPr>
              <w:autoSpaceDE/>
              <w:autoSpaceDN/>
              <w:adjustRightInd/>
              <w:rPr>
                <w:rStyle w:val="selectable"/>
                <w:lang w:bidi="ar-AE"/>
              </w:rPr>
            </w:pPr>
            <w:r w:rsidRPr="00474B68">
              <w:rPr>
                <w:rStyle w:val="selectable"/>
              </w:rPr>
              <w:t>NASA, 'National Aeronautics And Space Administration', 2015 &lt;https://www.nasa.gov/&gt; [accessed 27 August 2015]</w:t>
            </w:r>
          </w:p>
          <w:p w:rsidR="00D5582C" w:rsidRPr="00474B68" w:rsidRDefault="00D5582C" w:rsidP="008D6268">
            <w:pPr>
              <w:pStyle w:val="ListParagraph"/>
              <w:ind w:left="1080"/>
              <w:rPr>
                <w:rStyle w:val="selectable"/>
                <w:lang w:bidi="ar-AE"/>
              </w:rPr>
            </w:pPr>
          </w:p>
          <w:p w:rsidR="00D5582C" w:rsidRPr="001874AF" w:rsidRDefault="00D5582C" w:rsidP="006313FE">
            <w:pPr>
              <w:pStyle w:val="ListParagraph"/>
              <w:numPr>
                <w:ilvl w:val="0"/>
                <w:numId w:val="14"/>
              </w:numPr>
              <w:autoSpaceDE/>
              <w:autoSpaceDN/>
              <w:adjustRightInd/>
              <w:rPr>
                <w:lang w:bidi="ar-AE"/>
              </w:rPr>
            </w:pPr>
            <w:r w:rsidRPr="00474B68">
              <w:rPr>
                <w:rStyle w:val="selectable"/>
              </w:rPr>
              <w:t>Eajaz.org, 'World Commission on Scientific Signs in the Quran and Sunnah',</w:t>
            </w:r>
            <w:r w:rsidRPr="00474B68">
              <w:rPr>
                <w:rStyle w:val="selectable"/>
                <w:rtl/>
              </w:rPr>
              <w:t xml:space="preserve">2015 </w:t>
            </w:r>
            <w:r w:rsidRPr="00474B68">
              <w:rPr>
                <w:rStyle w:val="selectable"/>
              </w:rPr>
              <w:t>&lt;http://www.eajaz.org&gt; [accessed 4 September 2015]</w:t>
            </w:r>
          </w:p>
        </w:tc>
      </w:tr>
    </w:tbl>
    <w:p w:rsidR="00D5582C" w:rsidRPr="00360DEB" w:rsidRDefault="00D5582C" w:rsidP="00D5582C">
      <w:pPr>
        <w:bidi/>
        <w:rPr>
          <w:rtl/>
          <w:lang w:bidi="ar-AE"/>
        </w:rPr>
      </w:pPr>
    </w:p>
    <w:p w:rsidR="00D5582C" w:rsidRPr="009D794A" w:rsidRDefault="00D5582C" w:rsidP="00781306">
      <w:pPr>
        <w:rPr>
          <w:lang w:bidi="ar-AE"/>
        </w:rPr>
      </w:pPr>
    </w:p>
    <w:sectPr w:rsidR="00D5582C" w:rsidRPr="009D794A" w:rsidSect="006313FE">
      <w:headerReference w:type="even" r:id="rId42"/>
      <w:headerReference w:type="default" r:id="rId43"/>
      <w:footerReference w:type="even" r:id="rId44"/>
      <w:footerReference w:type="default" r:id="rId45"/>
      <w:headerReference w:type="first" r:id="rId46"/>
      <w:footerReference w:type="first" r:id="rId47"/>
      <w:pgSz w:w="11907" w:h="16839" w:code="9"/>
      <w:pgMar w:top="1440" w:right="1440" w:bottom="1440" w:left="226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2365" w:rsidRDefault="00D52365" w:rsidP="005455A6">
      <w:r>
        <w:separator/>
      </w:r>
    </w:p>
    <w:p w:rsidR="00D52365" w:rsidRDefault="00D52365"/>
    <w:p w:rsidR="00D52365" w:rsidRDefault="00D52365"/>
  </w:endnote>
  <w:endnote w:type="continuationSeparator" w:id="0">
    <w:p w:rsidR="00D52365" w:rsidRDefault="00D52365" w:rsidP="005455A6">
      <w:r>
        <w:continuationSeparator/>
      </w:r>
    </w:p>
    <w:p w:rsidR="00D52365" w:rsidRDefault="00D52365"/>
    <w:p w:rsidR="00D52365" w:rsidRDefault="00D523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CS Basmalah normal.">
    <w:panose1 w:val="00000000000000000000"/>
    <w:charset w:val="00"/>
    <w:family w:val="auto"/>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 w:name="AGA Arabesque">
    <w:panose1 w:val="05000000000000000000"/>
    <w:charset w:val="02"/>
    <w:family w:val="auto"/>
    <w:pitch w:val="variable"/>
    <w:sig w:usb0="00000000" w:usb1="10000000" w:usb2="00000000" w:usb3="00000000" w:csb0="80000000" w:csb1="00000000"/>
  </w:font>
  <w:font w:name="Traditional Arabic">
    <w:panose1 w:val="02020603050405020304"/>
    <w:charset w:val="00"/>
    <w:family w:val="roman"/>
    <w:pitch w:val="variable"/>
    <w:sig w:usb0="00002003" w:usb1="80000000" w:usb2="00000008" w:usb3="00000000" w:csb0="00000041" w:csb1="00000000"/>
  </w:font>
  <w:font w:name="Baskerville Old Face">
    <w:panose1 w:val="02020602080505020303"/>
    <w:charset w:val="00"/>
    <w:family w:val="roman"/>
    <w:pitch w:val="variable"/>
    <w:sig w:usb0="00000003" w:usb1="00000000" w:usb2="00000000" w:usb3="00000000" w:csb0="00000001" w:csb1="00000000"/>
  </w:font>
  <w:font w:name="TimesNewRomanPS-BoldMT">
    <w:altName w:val="Times New Roman"/>
    <w:panose1 w:val="00000000000000000000"/>
    <w:charset w:val="00"/>
    <w:family w:val="roman"/>
    <w:notTrueType/>
    <w:pitch w:val="default"/>
    <w:sig w:usb0="00000003" w:usb1="00000000" w:usb2="00000000" w:usb3="00000000" w:csb0="00000001" w:csb1="00000000"/>
  </w:font>
  <w:font w:name="PalatinoLinotype-Roman">
    <w:altName w:val="Times New Roman"/>
    <w:panose1 w:val="00000000000000000000"/>
    <w:charset w:val="00"/>
    <w:family w:val="roman"/>
    <w:notTrueType/>
    <w:pitch w:val="default"/>
    <w:sig w:usb0="00000003" w:usb1="00000000" w:usb2="00000000" w:usb3="00000000" w:csb0="00000001" w:csb1="00000000"/>
  </w:font>
  <w:font w:name="Ehrhardt-Fraction">
    <w:panose1 w:val="00000000000000000000"/>
    <w:charset w:val="B2"/>
    <w:family w:val="auto"/>
    <w:notTrueType/>
    <w:pitch w:val="default"/>
    <w:sig w:usb0="00002001" w:usb1="00000000" w:usb2="00000000" w:usb3="00000000" w:csb0="00000040" w:csb1="00000000"/>
  </w:font>
  <w:font w:name="Fd311241-Identity-H">
    <w:altName w:val="MS Gothic"/>
    <w:panose1 w:val="00000000000000000000"/>
    <w:charset w:val="80"/>
    <w:family w:val="auto"/>
    <w:notTrueType/>
    <w:pitch w:val="default"/>
    <w:sig w:usb0="00000001" w:usb1="08070000" w:usb2="00000010" w:usb3="00000000" w:csb0="00020000" w:csb1="00000000"/>
  </w:font>
  <w:font w:name="Fd441381-Identity-H">
    <w:panose1 w:val="00000000000000000000"/>
    <w:charset w:val="B2"/>
    <w:family w:val="auto"/>
    <w:notTrueType/>
    <w:pitch w:val="default"/>
    <w:sig w:usb0="00002001" w:usb1="00000000" w:usb2="00000000" w:usb3="00000000" w:csb0="00000040"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TimesNRMT">
    <w:panose1 w:val="00000000000000000000"/>
    <w:charset w:val="B2"/>
    <w:family w:val="auto"/>
    <w:notTrueType/>
    <w:pitch w:val="default"/>
    <w:sig w:usb0="00002001" w:usb1="00000000" w:usb2="00000000" w:usb3="00000000" w:csb0="00000040" w:csb1="00000000"/>
  </w:font>
  <w:font w:name="AdvTT5843c571">
    <w:altName w:val="Times New Roman"/>
    <w:panose1 w:val="00000000000000000000"/>
    <w:charset w:val="00"/>
    <w:family w:val="roman"/>
    <w:notTrueType/>
    <w:pitch w:val="default"/>
    <w:sig w:usb0="00000003" w:usb1="00000000" w:usb2="00000000" w:usb3="00000000" w:csb0="00000001" w:csb1="00000000"/>
  </w:font>
  <w:font w:name="AdvTTf90d833a.I">
    <w:altName w:val="Times New Roman"/>
    <w:panose1 w:val="00000000000000000000"/>
    <w:charset w:val="00"/>
    <w:family w:val="roman"/>
    <w:notTrueType/>
    <w:pitch w:val="default"/>
    <w:sig w:usb0="00000003" w:usb1="00000000" w:usb2="00000000" w:usb3="00000000" w:csb0="00000001" w:csb1="00000000"/>
  </w:font>
  <w:font w:name="EhrhardtMT">
    <w:panose1 w:val="00000000000000000000"/>
    <w:charset w:val="B2"/>
    <w:family w:val="auto"/>
    <w:notTrueType/>
    <w:pitch w:val="default"/>
    <w:sig w:usb0="00002001" w:usb1="00000000" w:usb2="00000000" w:usb3="00000000" w:csb0="00000040" w:csb1="00000000"/>
  </w:font>
  <w:font w:name="Islamic Symbols">
    <w:panose1 w:val="00000000000000000000"/>
    <w:charset w:val="B2"/>
    <w:family w:val="auto"/>
    <w:pitch w:val="variable"/>
    <w:sig w:usb0="00002001" w:usb1="00000000" w:usb2="00000000" w:usb3="00000000" w:csb0="00000040" w:csb1="00000000"/>
  </w:font>
  <w:font w:name="AdvTimes">
    <w:altName w:val="MS Gothic"/>
    <w:panose1 w:val="00000000000000000000"/>
    <w:charset w:val="80"/>
    <w:family w:val="auto"/>
    <w:notTrueType/>
    <w:pitch w:val="default"/>
    <w:sig w:usb0="00000001" w:usb1="08070000" w:usb2="00000010" w:usb3="00000000" w:csb0="00020000" w:csb1="00000000"/>
  </w:font>
  <w:font w:name="Arabic Typesetting">
    <w:panose1 w:val="03020402040406030203"/>
    <w:charset w:val="00"/>
    <w:family w:val="script"/>
    <w:pitch w:val="variable"/>
    <w:sig w:usb0="80002007" w:usb1="80000000" w:usb2="00000008" w:usb3="00000000" w:csb0="000000D3" w:csb1="00000000"/>
  </w:font>
  <w:font w:name="Simplified Arabic">
    <w:panose1 w:val="02020603050405020304"/>
    <w:charset w:val="00"/>
    <w:family w:val="roman"/>
    <w:pitch w:val="variable"/>
    <w:sig w:usb0="00002003" w:usb1="00000000" w:usb2="00000008" w:usb3="00000000" w:csb0="00000041" w:csb1="00000000"/>
  </w:font>
  <w:font w:name="MS Gothic">
    <w:altName w:val="ＭＳ ゴシック"/>
    <w:panose1 w:val="020B0609070205080204"/>
    <w:charset w:val="80"/>
    <w:family w:val="modern"/>
    <w:pitch w:val="fixed"/>
    <w:sig w:usb0="E00002FF" w:usb1="6AC7FDFB" w:usb2="08000012" w:usb3="00000000" w:csb0="0002009F" w:csb1="00000000"/>
  </w:font>
  <w:font w:name="Elephant">
    <w:panose1 w:val="020209040905050203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AGA Mashq Bold">
    <w:panose1 w:val="00000000000000000000"/>
    <w:charset w:val="B2"/>
    <w:family w:val="auto"/>
    <w:pitch w:val="variable"/>
    <w:sig w:usb0="00002001" w:usb1="00000000" w:usb2="00000000" w:usb3="00000000" w:csb0="00000040" w:csb1="00000000"/>
  </w:font>
  <w:font w:name="Arial Narrow">
    <w:panose1 w:val="020B0606020202030204"/>
    <w:charset w:val="00"/>
    <w:family w:val="swiss"/>
    <w:pitch w:val="variable"/>
    <w:sig w:usb0="00000287" w:usb1="00000800" w:usb2="00000000" w:usb3="00000000" w:csb0="0000009F" w:csb1="00000000"/>
  </w:font>
  <w:font w:name="Adobe نسخ Medium">
    <w:panose1 w:val="00000000000000000000"/>
    <w:charset w:val="00"/>
    <w:family w:val="modern"/>
    <w:notTrueType/>
    <w:pitch w:val="variable"/>
    <w:sig w:usb0="00002003" w:usb1="00000000" w:usb2="00000000" w:usb3="00000000" w:csb0="00000041" w:csb1="00000000"/>
  </w:font>
  <w:font w:name="Palatino-Italic">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313FE" w:rsidRDefault="006313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rsidP="00CA7FF5">
    <w:pPr>
      <w:pStyle w:val="Footer"/>
    </w:pPr>
  </w:p>
  <w:p w:rsidR="008D6268" w:rsidRDefault="008D6268" w:rsidP="00CA7FF5">
    <w:pPr>
      <w:pStyle w:val="Footer"/>
      <w:tabs>
        <w:tab w:val="clear" w:pos="4320"/>
        <w:tab w:val="clear" w:pos="8640"/>
        <w:tab w:val="left" w:pos="7350"/>
      </w:tabs>
    </w:pPr>
    <w:r>
      <w:tab/>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rsidP="00103350">
    <w:pPr>
      <w:pStyle w:val="Footer"/>
    </w:pPr>
  </w:p>
  <w:p w:rsidR="008D6268" w:rsidRDefault="008D6268">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rsidP="008D7E2A">
    <w:pPr>
      <w:pStyle w:val="Footer"/>
      <w:jc w:val="center"/>
    </w:pPr>
  </w:p>
  <w:p w:rsidR="008D6268" w:rsidRDefault="008D6268">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3972714"/>
      <w:docPartObj>
        <w:docPartGallery w:val="Page Numbers (Bottom of Page)"/>
        <w:docPartUnique/>
      </w:docPartObj>
    </w:sdtPr>
    <w:sdtEndPr>
      <w:rPr>
        <w:noProof/>
      </w:rPr>
    </w:sdtEndPr>
    <w:sdtContent>
      <w:p w:rsidR="008D6268" w:rsidRDefault="008D6268">
        <w:pPr>
          <w:pStyle w:val="Footer"/>
          <w:jc w:val="center"/>
        </w:pPr>
        <w:r>
          <w:fldChar w:fldCharType="begin"/>
        </w:r>
        <w:r>
          <w:instrText xml:space="preserve"> PAGE   \* MERGEFORMAT </w:instrText>
        </w:r>
        <w:r>
          <w:fldChar w:fldCharType="separate"/>
        </w:r>
        <w:r>
          <w:rPr>
            <w:noProof/>
          </w:rPr>
          <w:t>57</w:t>
        </w:r>
        <w:r>
          <w:rPr>
            <w:noProof/>
          </w:rPr>
          <w:fldChar w:fldCharType="end"/>
        </w:r>
      </w:p>
    </w:sdtContent>
  </w:sdt>
  <w:p w:rsidR="008D6268" w:rsidRDefault="008D6268">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rsidP="002B256D">
    <w:pPr>
      <w:pStyle w:val="Footer"/>
    </w:pPr>
  </w:p>
  <w:p w:rsidR="008D6268" w:rsidRDefault="008D6268" w:rsidP="00CA7FF5">
    <w:pPr>
      <w:pStyle w:val="Footer"/>
      <w:tabs>
        <w:tab w:val="clear" w:pos="4320"/>
        <w:tab w:val="clear" w:pos="8640"/>
        <w:tab w:val="left" w:pos="7350"/>
      </w:tabs>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19784032"/>
      <w:docPartObj>
        <w:docPartGallery w:val="Page Numbers (Bottom of Page)"/>
        <w:docPartUnique/>
      </w:docPartObj>
    </w:sdtPr>
    <w:sdtEndPr>
      <w:rPr>
        <w:noProof/>
      </w:rPr>
    </w:sdtEndPr>
    <w:sdtContent>
      <w:p w:rsidR="008D6268" w:rsidRDefault="008D6268">
        <w:pPr>
          <w:pStyle w:val="Footer"/>
          <w:jc w:val="center"/>
        </w:pPr>
        <w:r>
          <w:fldChar w:fldCharType="begin"/>
        </w:r>
        <w:r>
          <w:instrText xml:space="preserve"> PAGE   \* MERGEFORMAT </w:instrText>
        </w:r>
        <w:r>
          <w:fldChar w:fldCharType="separate"/>
        </w:r>
        <w:r>
          <w:rPr>
            <w:noProof/>
          </w:rPr>
          <w:t>i</w:t>
        </w:r>
        <w:r>
          <w:rPr>
            <w:noProof/>
          </w:rPr>
          <w:fldChar w:fldCharType="end"/>
        </w:r>
      </w:p>
    </w:sdtContent>
  </w:sdt>
  <w:p w:rsidR="008D6268" w:rsidRDefault="008D6268">
    <w:pPr>
      <w:pStyle w:val="Footer"/>
    </w:pP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7053719"/>
      <w:docPartObj>
        <w:docPartGallery w:val="Page Numbers (Bottom of Page)"/>
        <w:docPartUnique/>
      </w:docPartObj>
    </w:sdtPr>
    <w:sdtEndPr>
      <w:rPr>
        <w:noProof/>
      </w:rPr>
    </w:sdtEndPr>
    <w:sdtContent>
      <w:p w:rsidR="008D6268" w:rsidRDefault="008D6268">
        <w:pPr>
          <w:pStyle w:val="Footer"/>
          <w:jc w:val="center"/>
        </w:pPr>
        <w:r>
          <w:fldChar w:fldCharType="begin"/>
        </w:r>
        <w:r>
          <w:instrText xml:space="preserve"> PAGE   \* MERGEFORMAT </w:instrText>
        </w:r>
        <w:r>
          <w:fldChar w:fldCharType="separate"/>
        </w:r>
        <w:r w:rsidR="0093527B">
          <w:rPr>
            <w:noProof/>
          </w:rPr>
          <w:t>ii</w:t>
        </w:r>
        <w:r>
          <w:rPr>
            <w:noProof/>
          </w:rPr>
          <w:fldChar w:fldCharType="end"/>
        </w:r>
      </w:p>
    </w:sdtContent>
  </w:sdt>
  <w:p w:rsidR="008D6268" w:rsidRDefault="008D6268">
    <w:pPr>
      <w:pStyle w:val="Footer"/>
    </w:pP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67598239"/>
      <w:docPartObj>
        <w:docPartGallery w:val="Page Numbers (Bottom of Page)"/>
        <w:docPartUnique/>
      </w:docPartObj>
    </w:sdtPr>
    <w:sdtEndPr>
      <w:rPr>
        <w:noProof/>
      </w:rPr>
    </w:sdtEndPr>
    <w:sdtContent>
      <w:p w:rsidR="008D6268" w:rsidRDefault="008D6268">
        <w:pPr>
          <w:pStyle w:val="Footer"/>
          <w:jc w:val="center"/>
        </w:pPr>
        <w:r>
          <w:fldChar w:fldCharType="begin"/>
        </w:r>
        <w:r>
          <w:instrText xml:space="preserve"> PAGE   \* MERGEFORMAT </w:instrText>
        </w:r>
        <w:r>
          <w:fldChar w:fldCharType="separate"/>
        </w:r>
        <w:r w:rsidR="006313FE">
          <w:rPr>
            <w:noProof/>
          </w:rPr>
          <w:t>i</w:t>
        </w:r>
        <w:r>
          <w:rPr>
            <w:noProof/>
          </w:rPr>
          <w:fldChar w:fldCharType="end"/>
        </w:r>
      </w:p>
    </w:sdtContent>
  </w:sdt>
  <w:p w:rsidR="008D6268" w:rsidRDefault="008D6268">
    <w:pPr>
      <w:pStyle w:val="Footer"/>
    </w:pP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rsidP="008D7E2A">
    <w:pPr>
      <w:pStyle w:val="Footer"/>
      <w:jc w:val="center"/>
    </w:pPr>
  </w:p>
  <w:p w:rsidR="008D6268" w:rsidRDefault="008D6268">
    <w:pPr>
      <w:pStyle w:val="Footer"/>
    </w:pP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8202135"/>
      <w:docPartObj>
        <w:docPartGallery w:val="Page Numbers (Bottom of Page)"/>
        <w:docPartUnique/>
      </w:docPartObj>
    </w:sdtPr>
    <w:sdtEndPr>
      <w:rPr>
        <w:noProof/>
      </w:rPr>
    </w:sdtEndPr>
    <w:sdtContent>
      <w:p w:rsidR="008D6268" w:rsidRDefault="008D6268">
        <w:pPr>
          <w:pStyle w:val="Footer"/>
          <w:jc w:val="center"/>
        </w:pPr>
        <w:r>
          <w:fldChar w:fldCharType="begin"/>
        </w:r>
        <w:r>
          <w:instrText xml:space="preserve"> PAGE   \* MERGEFORMAT </w:instrText>
        </w:r>
        <w:r>
          <w:fldChar w:fldCharType="separate"/>
        </w:r>
        <w:r w:rsidR="006313FE">
          <w:rPr>
            <w:noProof/>
          </w:rPr>
          <w:t>61</w:t>
        </w:r>
        <w:r>
          <w:rPr>
            <w:noProof/>
          </w:rPr>
          <w:fldChar w:fldCharType="end"/>
        </w:r>
      </w:p>
    </w:sdtContent>
  </w:sdt>
  <w:p w:rsidR="008D6268" w:rsidRDefault="008D6268">
    <w:pPr>
      <w:pStyle w:val="Footer"/>
    </w:pP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rsidP="00311603">
    <w:pPr>
      <w:pStyle w:val="Footer"/>
    </w:pPr>
  </w:p>
  <w:p w:rsidR="008D6268" w:rsidRDefault="008D6268">
    <w:pPr>
      <w:pStyle w:val="Footer"/>
    </w:pPr>
  </w:p>
</w:ftr>
</file>

<file path=word/footer1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pPr>
      <w:pStyle w:val="Footer"/>
    </w:pPr>
  </w:p>
</w:ftr>
</file>

<file path=word/footer1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8373658"/>
      <w:docPartObj>
        <w:docPartGallery w:val="Page Numbers (Bottom of Page)"/>
        <w:docPartUnique/>
      </w:docPartObj>
    </w:sdtPr>
    <w:sdtContent>
      <w:p w:rsidR="008D6268" w:rsidRDefault="008D6268">
        <w:pPr>
          <w:pStyle w:val="Footer"/>
        </w:pPr>
        <w:r>
          <w:rPr>
            <w:noProof/>
          </w:rPr>
          <mc:AlternateContent>
            <mc:Choice Requires="wps">
              <w:drawing>
                <wp:anchor distT="0" distB="0" distL="114300" distR="114300" simplePos="0" relativeHeight="251660288" behindDoc="0" locked="0" layoutInCell="1" allowOverlap="1" wp14:anchorId="29826A50" wp14:editId="0B35492C">
                  <wp:simplePos x="0" y="0"/>
                  <wp:positionH relativeFrom="margin">
                    <wp:align>center</wp:align>
                  </wp:positionH>
                  <wp:positionV relativeFrom="bottomMargin">
                    <wp:align>center</wp:align>
                  </wp:positionV>
                  <wp:extent cx="551815" cy="238760"/>
                  <wp:effectExtent l="19050" t="19050" r="23495" b="18415"/>
                  <wp:wrapNone/>
                  <wp:docPr id="556"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8D6268" w:rsidRDefault="008D6268">
                              <w:pPr>
                                <w:jc w:val="center"/>
                              </w:pPr>
                              <w:r>
                                <w:fldChar w:fldCharType="begin"/>
                              </w:r>
                              <w:r>
                                <w:instrText xml:space="preserve"> PAGE    \* MERGEFORMAT </w:instrText>
                              </w:r>
                              <w:r>
                                <w:fldChar w:fldCharType="separate"/>
                              </w:r>
                              <w:r w:rsidR="006F48EF">
                                <w:rPr>
                                  <w:noProof/>
                                </w:rPr>
                                <w:t>67</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" filled="t" strokecolor="gray" strokeweight="2.25pt">
                  <v:textbox inset=",0,,0">
                    <w:txbxContent>
                      <w:p w:rsidR="008D6268" w:rsidRDefault="008D6268">
                        <w:pPr>
                          <w:jc w:val="center"/>
                        </w:pPr>
                        <w:r>
                          <w:fldChar w:fldCharType="begin"/>
                        </w:r>
                        <w:r>
                          <w:instrText xml:space="preserve"> PAGE    \* MERGEFORMAT </w:instrText>
                        </w:r>
                        <w:r>
                          <w:fldChar w:fldCharType="separate"/>
                        </w:r>
                        <w:r w:rsidR="006F48EF">
                          <w:rPr>
                            <w:noProof/>
                          </w:rPr>
                          <w:t>67</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644C2C0" wp14:editId="66F00834">
                  <wp:simplePos x="0" y="0"/>
                  <wp:positionH relativeFrom="margin">
                    <wp:align>center</wp:align>
                  </wp:positionH>
                  <wp:positionV relativeFrom="bottomMargin">
                    <wp:align>center</wp:align>
                  </wp:positionV>
                  <wp:extent cx="5518150" cy="0"/>
                  <wp:effectExtent l="9525" t="9525" r="6350" b="9525"/>
                  <wp:wrapNone/>
                  <wp:docPr id="557"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a:graphicData>
                  </a:graphic>
                  <wp14:sizeRelH relativeFrom="page">
                    <wp14:pctWidth>0</wp14:pctWidth>
                  </wp14:sizeRelH>
                  <wp14:sizeRelV relativeFrom="bottomMargin">
                    <wp14:pctHeight>0</wp14:pctHeight>
                  </wp14:sizeRelV>
                </wp:anchor>
              </w:drawing>
            </mc:Choice>
            <mc:Fallback>
              <w:pict>
                <v:shapetype id="_x0000_t32" coordsize="21600,21600" o:spt="32" o:oned="t" path="m,l21600,21600e" filled="f">
                  <v:path arrowok="t" fillok="f" o:connecttype="none"/>
                  <o:lock v:ext="edit" shapetype="t"/>
                </v:shapetype>
                <v:shape id="AutoShape 2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" strokecolor="gray" strokeweight="1pt">
                  <w10:wrap anchorx="margin" anchory="margin"/>
                </v:shape>
              </w:pict>
            </mc:Fallback>
          </mc:AlternateContent>
        </w:r>
      </w:p>
    </w:sdtContent>
  </w:sdt>
</w:ftr>
</file>

<file path=word/footer1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2365" w:rsidRDefault="00D52365" w:rsidP="00DC17AD">
      <w:r>
        <w:separator/>
      </w:r>
    </w:p>
  </w:footnote>
  <w:footnote w:type="continuationSeparator" w:id="0">
    <w:p w:rsidR="00D52365" w:rsidRDefault="00D52365" w:rsidP="005455A6">
      <w:r>
        <w:continuationSeparator/>
      </w:r>
    </w:p>
    <w:p w:rsidR="00D52365" w:rsidRDefault="00D52365"/>
    <w:p w:rsidR="00D52365" w:rsidRDefault="00D52365"/>
  </w:footnote>
  <w:footnote w:id="1">
    <w:p w:rsidR="008D6268" w:rsidRDefault="008D6268" w:rsidP="00565FBF">
      <w:pPr>
        <w:pStyle w:val="FootnoteText"/>
      </w:pPr>
      <w:r>
        <w:rPr>
          <w:rStyle w:val="FootnoteReference"/>
        </w:rPr>
        <w:footnoteRef/>
      </w:r>
      <w:r>
        <w:t xml:space="preserve"> Jerry L. Walls, 'Introduction', in </w:t>
      </w:r>
      <w:r w:rsidRPr="00E422F6">
        <w:rPr>
          <w:i/>
        </w:rPr>
        <w:t>The Oxford Handbook of Eschatology</w:t>
      </w:r>
      <w:r>
        <w:t xml:space="preserve">, ed. by Jerry L. Walls (Oxford: Oxford University Press, 2008), [hereafter Walls, 'Introduction']: p.10; David Cook, </w:t>
      </w:r>
      <w:r w:rsidRPr="00BA73D2">
        <w:rPr>
          <w:i/>
        </w:rPr>
        <w:t>Contemporary Muslim Apocalyptic Literature</w:t>
      </w:r>
      <w:r>
        <w:t xml:space="preserve"> (Syracuse: Syracuse University Press, 2005), [hereafter Cook, </w:t>
      </w:r>
      <w:r w:rsidRPr="00BA73D2">
        <w:rPr>
          <w:i/>
        </w:rPr>
        <w:t>Contemporary Muslim Apocalyptic Literature</w:t>
      </w:r>
      <w:r>
        <w:rPr>
          <w:iCs/>
        </w:rPr>
        <w:t xml:space="preserve">]: pp.172-183; </w:t>
      </w:r>
      <w:r>
        <w:t xml:space="preserve">David, Cook, 'Suicide Attacks or "Martyrdom Operations" in Contemporary Jihad Literature', </w:t>
      </w:r>
      <w:r>
        <w:rPr>
          <w:i/>
          <w:iCs/>
        </w:rPr>
        <w:t>Nova Religio: The Journal of Alternative and Emergent Religions</w:t>
      </w:r>
      <w:r>
        <w:t xml:space="preserve"> 6, no. 1 (October 2002), pp.10-13;  David Cook, </w:t>
      </w:r>
      <w:r w:rsidRPr="00BA2244">
        <w:rPr>
          <w:i/>
          <w:iCs/>
        </w:rPr>
        <w:t>Understanding Jihad</w:t>
      </w:r>
      <w:r>
        <w:t xml:space="preserve"> (Oakland, University of California Press, 2015) , pp.22-25; Catherine Wessinger, 'Apocalypse and Violence', in The Oxford Handbook of Apocalyptic Literature, ed. by John J. Collins (New York: Oxford University Press, 2014), pp.426-427; pp.435-437</w:t>
      </w:r>
    </w:p>
  </w:footnote>
  <w:footnote w:id="2">
    <w:p w:rsidR="008D6268" w:rsidRDefault="008D6268" w:rsidP="007E4995">
      <w:pPr>
        <w:pStyle w:val="FootnoteText"/>
      </w:pPr>
      <w:r>
        <w:rPr>
          <w:rStyle w:val="FootnoteReference"/>
        </w:rPr>
        <w:footnoteRef/>
      </w:r>
      <w:r>
        <w:t xml:space="preserve"> James Fromson and Steven Simon, 'ISIS: The Dubious Paradise of Apocalypse Now', </w:t>
      </w:r>
      <w:r>
        <w:rPr>
          <w:i/>
        </w:rPr>
        <w:t>Survival</w:t>
      </w:r>
      <w:r w:rsidRPr="001E66DE">
        <w:rPr>
          <w:i/>
        </w:rPr>
        <w:t xml:space="preserve"> </w:t>
      </w:r>
      <w:r>
        <w:t>57, no.3 (June-July 2015), p.28; p.37</w:t>
      </w:r>
    </w:p>
  </w:footnote>
  <w:footnote w:id="3">
    <w:p w:rsidR="008D6268" w:rsidRDefault="008D6268" w:rsidP="0071521C">
      <w:pPr>
        <w:spacing w:line="240" w:lineRule="auto"/>
      </w:pPr>
      <w:r>
        <w:rPr>
          <w:rStyle w:val="FootnoteReference"/>
        </w:rPr>
        <w:footnoteRef/>
      </w:r>
      <w:r>
        <w:t xml:space="preserve"> </w:t>
      </w:r>
      <w:r w:rsidRPr="00003C41">
        <w:rPr>
          <w:sz w:val="20"/>
          <w:szCs w:val="20"/>
        </w:rPr>
        <w:t xml:space="preserve">Kasra Naji, </w:t>
      </w:r>
      <w:r w:rsidRPr="00003C41">
        <w:rPr>
          <w:i/>
          <w:sz w:val="20"/>
          <w:szCs w:val="20"/>
        </w:rPr>
        <w:t>Ahmadinejad: The Secret History of Iran's Radical Leader</w:t>
      </w:r>
      <w:r w:rsidRPr="00003C41">
        <w:rPr>
          <w:sz w:val="20"/>
          <w:szCs w:val="20"/>
        </w:rPr>
        <w:t xml:space="preserve"> (Berkeley: University of Callifornia Pr</w:t>
      </w:r>
      <w:r>
        <w:rPr>
          <w:sz w:val="20"/>
          <w:szCs w:val="20"/>
        </w:rPr>
        <w:t>ess, 2008),</w:t>
      </w:r>
      <w:r w:rsidRPr="00003C41">
        <w:rPr>
          <w:sz w:val="20"/>
          <w:szCs w:val="20"/>
        </w:rPr>
        <w:t xml:space="preserve"> pp.9</w:t>
      </w:r>
      <w:r>
        <w:rPr>
          <w:sz w:val="20"/>
          <w:szCs w:val="20"/>
        </w:rPr>
        <w:t>1-94</w:t>
      </w:r>
      <w:r w:rsidRPr="00003C41">
        <w:rPr>
          <w:sz w:val="20"/>
          <w:szCs w:val="20"/>
        </w:rPr>
        <w:t xml:space="preserve">; </w:t>
      </w:r>
      <w:r w:rsidRPr="00003C41">
        <w:rPr>
          <w:rStyle w:val="selectable"/>
          <w:sz w:val="20"/>
          <w:szCs w:val="20"/>
        </w:rPr>
        <w:t>Patrick</w:t>
      </w:r>
      <w:r>
        <w:rPr>
          <w:rStyle w:val="selectable"/>
          <w:sz w:val="20"/>
          <w:szCs w:val="20"/>
        </w:rPr>
        <w:t xml:space="preserve"> Goodenough, '</w:t>
      </w:r>
      <w:r w:rsidRPr="00003C41">
        <w:rPr>
          <w:rStyle w:val="selectable"/>
          <w:sz w:val="20"/>
          <w:szCs w:val="20"/>
        </w:rPr>
        <w:t xml:space="preserve">Ahmadinejad Includes Shi’ite End-Times Beliefs In Speech To </w:t>
      </w:r>
      <w:r>
        <w:rPr>
          <w:rStyle w:val="selectable"/>
          <w:sz w:val="20"/>
          <w:szCs w:val="20"/>
        </w:rPr>
        <w:t>U.N',</w:t>
      </w:r>
      <w:r w:rsidRPr="00003C41">
        <w:rPr>
          <w:rStyle w:val="selectable"/>
          <w:sz w:val="20"/>
          <w:szCs w:val="20"/>
        </w:rPr>
        <w:t xml:space="preserve"> </w:t>
      </w:r>
      <w:r w:rsidRPr="00003C41">
        <w:rPr>
          <w:rStyle w:val="selectable"/>
          <w:i/>
          <w:iCs/>
          <w:sz w:val="20"/>
          <w:szCs w:val="20"/>
        </w:rPr>
        <w:t>CNS News</w:t>
      </w:r>
      <w:r>
        <w:rPr>
          <w:rStyle w:val="selectable"/>
          <w:sz w:val="20"/>
          <w:szCs w:val="20"/>
        </w:rPr>
        <w:t>,</w:t>
      </w:r>
      <w:r w:rsidRPr="00003C41">
        <w:rPr>
          <w:rStyle w:val="selectable"/>
          <w:sz w:val="20"/>
          <w:szCs w:val="20"/>
        </w:rPr>
        <w:t xml:space="preserve"> 27 September 2012, &lt;</w:t>
      </w:r>
      <w:hyperlink r:id="rId1" w:history="1">
        <w:r w:rsidRPr="00003C41">
          <w:rPr>
            <w:rStyle w:val="Hyperlink"/>
            <w:sz w:val="20"/>
            <w:szCs w:val="20"/>
          </w:rPr>
          <w:t>http://cnsnews.com/news/article/ahmadinejad-includes-shi-ite-end-times-beliefs-speech-un</w:t>
        </w:r>
      </w:hyperlink>
      <w:r w:rsidRPr="00003C41">
        <w:rPr>
          <w:rStyle w:val="selectable"/>
          <w:sz w:val="20"/>
          <w:szCs w:val="20"/>
        </w:rPr>
        <w:t>&gt;, [accessed 28 May 2016]</w:t>
      </w:r>
      <w:r>
        <w:rPr>
          <w:rStyle w:val="selectable"/>
          <w:sz w:val="20"/>
          <w:szCs w:val="20"/>
        </w:rPr>
        <w:t xml:space="preserve">; </w:t>
      </w:r>
      <w:r w:rsidRPr="00743890">
        <w:rPr>
          <w:rStyle w:val="selectable"/>
          <w:sz w:val="20"/>
          <w:szCs w:val="20"/>
        </w:rPr>
        <w:t>Al Arabiya, 'Ahmadinejad hails imminent arrival of "Ultimate Saviour, Jesus Christ"</w:t>
      </w:r>
      <w:r>
        <w:rPr>
          <w:rStyle w:val="selectable"/>
          <w:sz w:val="20"/>
          <w:szCs w:val="20"/>
        </w:rPr>
        <w:t>'</w:t>
      </w:r>
      <w:r w:rsidRPr="00743890">
        <w:rPr>
          <w:rStyle w:val="selectable"/>
          <w:sz w:val="20"/>
          <w:szCs w:val="20"/>
        </w:rPr>
        <w:t>, 26 September 2012, &lt;</w:t>
      </w:r>
      <w:hyperlink r:id="rId2" w:history="1">
        <w:r w:rsidRPr="00743890">
          <w:rPr>
            <w:rStyle w:val="Hyperlink"/>
            <w:sz w:val="20"/>
            <w:szCs w:val="20"/>
          </w:rPr>
          <w:t>https://english.alarabiya.net/articles/2012/09/26/240346.html</w:t>
        </w:r>
      </w:hyperlink>
      <w:r w:rsidRPr="00743890">
        <w:rPr>
          <w:rStyle w:val="selectable"/>
          <w:sz w:val="20"/>
          <w:szCs w:val="20"/>
        </w:rPr>
        <w:t>&gt;, [accessed 28 May 2016]</w:t>
      </w:r>
    </w:p>
  </w:footnote>
  <w:footnote w:id="4">
    <w:p w:rsidR="008D6268" w:rsidRPr="00065513" w:rsidRDefault="008D6268" w:rsidP="00F54697">
      <w:pPr>
        <w:spacing w:line="240" w:lineRule="auto"/>
        <w:rPr>
          <w:rFonts w:cs="PalatinoLinotype-Roman"/>
          <w:sz w:val="20"/>
          <w:szCs w:val="20"/>
        </w:rPr>
      </w:pPr>
      <w:r>
        <w:rPr>
          <w:rStyle w:val="FootnoteReference"/>
        </w:rPr>
        <w:footnoteRef/>
      </w:r>
      <w:r>
        <w:t xml:space="preserve"> </w:t>
      </w:r>
      <w:r>
        <w:rPr>
          <w:sz w:val="20"/>
          <w:szCs w:val="20"/>
        </w:rPr>
        <w:t xml:space="preserve">James Bell, </w:t>
      </w:r>
      <w:r w:rsidRPr="00065513">
        <w:rPr>
          <w:rFonts w:cs="PalatinoLinotype-Roman"/>
          <w:sz w:val="20"/>
          <w:szCs w:val="20"/>
        </w:rPr>
        <w:t>‘The World’s Muslims: Unity and Diversity’, Pew Research Center, Chapter 3: ‘Articles of Faith’, 9 August 2012, &lt;</w:t>
      </w:r>
      <w:hyperlink r:id="rId3" w:history="1">
        <w:r w:rsidRPr="00065513">
          <w:rPr>
            <w:rStyle w:val="Hyperlink"/>
            <w:rFonts w:cs="PalatinoLinotype-Roman"/>
            <w:sz w:val="20"/>
            <w:szCs w:val="20"/>
          </w:rPr>
          <w:t>http://www.pewforum.org/2012/08/09/the-worlds-muslims-unity-and-diversity-3-articles-of-faith/</w:t>
        </w:r>
      </w:hyperlink>
      <w:r w:rsidRPr="00065513">
        <w:rPr>
          <w:rFonts w:cs="PalatinoLinotype-Roman"/>
          <w:sz w:val="20"/>
          <w:szCs w:val="20"/>
        </w:rPr>
        <w:t>&gt;, [accessed 28 May 2016]</w:t>
      </w:r>
    </w:p>
  </w:footnote>
  <w:footnote w:id="5">
    <w:p w:rsidR="008D6268" w:rsidRPr="008A1371" w:rsidRDefault="008D6268" w:rsidP="007E4995">
      <w:pPr>
        <w:pStyle w:val="FootnoteText"/>
      </w:pPr>
      <w:r>
        <w:rPr>
          <w:rStyle w:val="FootnoteReference"/>
        </w:rPr>
        <w:footnoteRef/>
      </w:r>
      <w:r>
        <w:t xml:space="preserve"> Walls, 'Introduction', pp.10-11; </w:t>
      </w:r>
      <w:r w:rsidRPr="00E30DB8">
        <w:t xml:space="preserve">Cook, </w:t>
      </w:r>
      <w:r w:rsidRPr="00E30DB8">
        <w:rPr>
          <w:i/>
        </w:rPr>
        <w:t>Contemporary Muslim Apocalyptic Literature</w:t>
      </w:r>
      <w:r>
        <w:rPr>
          <w:iCs/>
        </w:rPr>
        <w:t xml:space="preserve">, pp.2-3; Richard </w:t>
      </w:r>
      <w:r>
        <w:t xml:space="preserve">Landes, </w:t>
      </w:r>
      <w:r w:rsidRPr="00EF28F7">
        <w:rPr>
          <w:i/>
          <w:iCs/>
        </w:rPr>
        <w:t>Heaven on Earth</w:t>
      </w:r>
      <w:r>
        <w:rPr>
          <w:i/>
          <w:iCs/>
        </w:rPr>
        <w:t>: The Varieties of the Millennial Experience</w:t>
      </w:r>
      <w:r>
        <w:t xml:space="preserve"> (Oxford: Oxford University Press, 2011), [hereafter Landes, </w:t>
      </w:r>
      <w:r w:rsidRPr="005C2ADB">
        <w:rPr>
          <w:i/>
          <w:iCs/>
        </w:rPr>
        <w:t>Heaven on Earth</w:t>
      </w:r>
      <w:r>
        <w:t xml:space="preserve">]: pp.424-425; Jean-Pierre Filiu, </w:t>
      </w:r>
      <w:r w:rsidRPr="00065461">
        <w:rPr>
          <w:i/>
        </w:rPr>
        <w:t>Apocalypse in Islam</w:t>
      </w:r>
      <w:r>
        <w:rPr>
          <w:i/>
        </w:rPr>
        <w:t xml:space="preserve">, </w:t>
      </w:r>
      <w:r>
        <w:t xml:space="preserve">trans. by M. B. DeBevoise (University of California Press, 2011), [hereafter Filiu, </w:t>
      </w:r>
      <w:r w:rsidRPr="00E26746">
        <w:rPr>
          <w:i/>
          <w:iCs/>
        </w:rPr>
        <w:t>Apocalypse in Islam</w:t>
      </w:r>
      <w:r>
        <w:t xml:space="preserve">]: p.x; Said Amir Arjomand, 'Islamic Apocalypticism in the Classic Period', in </w:t>
      </w:r>
      <w:r w:rsidRPr="009A0226">
        <w:rPr>
          <w:i/>
        </w:rPr>
        <w:t>The Encyclopedia of Apocalypticism: Volume 2, Apocalypticism in Western History and Culture</w:t>
      </w:r>
      <w:r>
        <w:t xml:space="preserve">, ed. by Bernard McGinn (New York: The Continuum Publishing Company, 1998), [hereafter Arjomand, 'Islamic Apocalypticism in the Classic Period']: p.238 </w:t>
      </w:r>
    </w:p>
  </w:footnote>
  <w:footnote w:id="6">
    <w:p w:rsidR="008D6268" w:rsidRDefault="008D6268" w:rsidP="007E4995">
      <w:pPr>
        <w:pStyle w:val="FootnoteText"/>
      </w:pPr>
      <w:r>
        <w:rPr>
          <w:rStyle w:val="FootnoteReference"/>
        </w:rPr>
        <w:footnoteRef/>
      </w:r>
      <w:r>
        <w:t xml:space="preserve"> David J. Hufford, 'The Scholarly Voice and the Personal Voice: Reflexivity in Belief Studies', </w:t>
      </w:r>
      <w:r>
        <w:rPr>
          <w:i/>
        </w:rPr>
        <w:t>Western Folklore</w:t>
      </w:r>
      <w:r w:rsidRPr="00664314">
        <w:rPr>
          <w:i/>
        </w:rPr>
        <w:t xml:space="preserve"> </w:t>
      </w:r>
      <w:r>
        <w:t>54, no.1 (January 1995), [hereafter Hufford, 'The Scholarly Voice and the Personal Voice']: pp.62-63</w:t>
      </w:r>
    </w:p>
  </w:footnote>
  <w:footnote w:id="7">
    <w:p w:rsidR="008D6268" w:rsidRDefault="008D6268" w:rsidP="007E4995">
      <w:pPr>
        <w:pStyle w:val="FootnoteText"/>
      </w:pPr>
      <w:r>
        <w:rPr>
          <w:rStyle w:val="FootnoteReference"/>
        </w:rPr>
        <w:footnoteRef/>
      </w:r>
      <w:r>
        <w:t xml:space="preserve"> Freya Mathews, </w:t>
      </w:r>
      <w:r w:rsidRPr="00986A9F">
        <w:rPr>
          <w:i/>
        </w:rPr>
        <w:t>The Ecological Self</w:t>
      </w:r>
      <w:r>
        <w:t xml:space="preserve"> (London: Routledge, 1991), [hereafter Mathews, </w:t>
      </w:r>
      <w:r w:rsidRPr="007F5EEF">
        <w:rPr>
          <w:i/>
          <w:iCs/>
        </w:rPr>
        <w:t>The Ecological Self</w:t>
      </w:r>
      <w:r>
        <w:t>]: p.12</w:t>
      </w:r>
    </w:p>
  </w:footnote>
  <w:footnote w:id="8">
    <w:p w:rsidR="008D6268" w:rsidRDefault="008D6268" w:rsidP="00C524EB">
      <w:pPr>
        <w:pStyle w:val="FootnoteText"/>
      </w:pPr>
      <w:r>
        <w:rPr>
          <w:rStyle w:val="FootnoteReference"/>
        </w:rPr>
        <w:footnoteRef/>
      </w:r>
      <w:r>
        <w:t xml:space="preserve"> Norman Cohn, </w:t>
      </w:r>
      <w:r w:rsidRPr="001C0E18">
        <w:rPr>
          <w:i/>
          <w:iCs/>
        </w:rPr>
        <w:t>Cosmos, Chaos and the World to Come: The Ancient Roots of Apocalyptic Faith</w:t>
      </w:r>
      <w:r>
        <w:t xml:space="preserve"> (New Haven: Yale University Press, 1993), [hereafter Cohn, </w:t>
      </w:r>
      <w:r w:rsidRPr="0098652C">
        <w:rPr>
          <w:i/>
          <w:iCs/>
        </w:rPr>
        <w:t>Cosmos, Chaos and the World to Come</w:t>
      </w:r>
      <w:r>
        <w:t xml:space="preserve">]; Mircea Eliade, </w:t>
      </w:r>
      <w:r w:rsidRPr="003D11EE">
        <w:rPr>
          <w:i/>
        </w:rPr>
        <w:t>Cosmos and History: The Myth of the Eternal Return</w:t>
      </w:r>
      <w:r>
        <w:t xml:space="preserve">, trans. by Willard R. Trask (New York: Harper Torchbooks, 1959), [hereafter Eliade, </w:t>
      </w:r>
      <w:r w:rsidRPr="003D11EE">
        <w:rPr>
          <w:i/>
          <w:iCs/>
        </w:rPr>
        <w:t>Cosmos and History</w:t>
      </w:r>
      <w:r>
        <w:t xml:space="preserve">]; Mircea Eliade, </w:t>
      </w:r>
      <w:r w:rsidRPr="008D2153">
        <w:rPr>
          <w:i/>
        </w:rPr>
        <w:t>Myth and Reality</w:t>
      </w:r>
      <w:r>
        <w:t xml:space="preserve">, trans. by Willard R. Trask (New York: Harper &amp; Row, 1963), [hereafter Eliade, </w:t>
      </w:r>
      <w:r w:rsidRPr="008D2153">
        <w:rPr>
          <w:i/>
          <w:iCs/>
        </w:rPr>
        <w:t>Myth and Reality</w:t>
      </w:r>
      <w:r>
        <w:t xml:space="preserve">]; </w:t>
      </w:r>
      <w:r w:rsidRPr="008D2153">
        <w:t xml:space="preserve">Mircea Eliade, </w:t>
      </w:r>
      <w:r w:rsidRPr="008D2153">
        <w:rPr>
          <w:i/>
        </w:rPr>
        <w:t>The Two and the One</w:t>
      </w:r>
      <w:r w:rsidRPr="008D2153">
        <w:t xml:space="preserve"> (</w:t>
      </w:r>
      <w:r>
        <w:t xml:space="preserve">London: Harvill Press, 1965), [hereafter Eliade, </w:t>
      </w:r>
      <w:r w:rsidRPr="00673E92">
        <w:rPr>
          <w:i/>
          <w:iCs/>
        </w:rPr>
        <w:t>The Two and the One</w:t>
      </w:r>
      <w:r>
        <w:t xml:space="preserve">]; Nicholas Campion, </w:t>
      </w:r>
      <w:r w:rsidRPr="001C0E18">
        <w:rPr>
          <w:i/>
          <w:iCs/>
        </w:rPr>
        <w:t>The Great Year: Astrology, Millenarianism and History in the Western Tradition</w:t>
      </w:r>
      <w:r>
        <w:t xml:space="preserve"> (London: Arkana Penguin Books, 1994)</w:t>
      </w:r>
    </w:p>
  </w:footnote>
  <w:footnote w:id="9">
    <w:p w:rsidR="008D6268" w:rsidRPr="003C7127" w:rsidRDefault="008D6268" w:rsidP="009D49B3">
      <w:pPr>
        <w:pStyle w:val="FootnoteText"/>
        <w:rPr>
          <w:rFonts w:eastAsia="Times New Roman" w:cs="Courier New"/>
        </w:rPr>
      </w:pPr>
      <w:r>
        <w:rPr>
          <w:rStyle w:val="FootnoteReference"/>
        </w:rPr>
        <w:footnoteRef/>
      </w:r>
      <w:r>
        <w:t xml:space="preserve"> David Cook, '</w:t>
      </w:r>
      <w:r>
        <w:rPr>
          <w:rFonts w:eastAsia="Times New Roman" w:cs="Times New Roman"/>
        </w:rPr>
        <w:t>Messianism and Astronomical Events d</w:t>
      </w:r>
      <w:r w:rsidRPr="005B5DBE">
        <w:rPr>
          <w:rFonts w:eastAsia="Times New Roman" w:cs="Times New Roman"/>
        </w:rPr>
        <w:t>uring th</w:t>
      </w:r>
      <w:r>
        <w:rPr>
          <w:rFonts w:eastAsia="Times New Roman" w:cs="Times New Roman"/>
        </w:rPr>
        <w:t>e First Four Centuries of Islam',</w:t>
      </w:r>
      <w:r w:rsidRPr="005B5DBE">
        <w:rPr>
          <w:rFonts w:eastAsia="Times New Roman" w:cs="Times New Roman"/>
        </w:rPr>
        <w:t xml:space="preserve"> </w:t>
      </w:r>
      <w:r w:rsidRPr="005B5DBE">
        <w:rPr>
          <w:rFonts w:eastAsia="Times New Roman" w:cs="Times New Roman"/>
          <w:i/>
          <w:iCs/>
        </w:rPr>
        <w:t>Revue des mondes musulmans et de la Méditerranée</w:t>
      </w:r>
      <w:r>
        <w:rPr>
          <w:rFonts w:eastAsia="Times New Roman" w:cs="Times New Roman"/>
        </w:rPr>
        <w:t xml:space="preserve"> 91-94 (July 2000), &lt;</w:t>
      </w:r>
      <w:hyperlink r:id="rId4" w:history="1">
        <w:r w:rsidRPr="00B4171D">
          <w:rPr>
            <w:rStyle w:val="Hyperlink"/>
            <w:rFonts w:eastAsia="Times New Roman" w:cs="Courier New"/>
          </w:rPr>
          <w:t>http://remmm.revues.org/247</w:t>
        </w:r>
      </w:hyperlink>
      <w:r>
        <w:rPr>
          <w:rFonts w:eastAsia="Times New Roman" w:cs="Courier New"/>
        </w:rPr>
        <w:t xml:space="preserve">&gt; [accessed 17 January 2011], [hereafter Cook, 'Messianism and Astronomical Events']; see also </w:t>
      </w:r>
      <w:r>
        <w:t xml:space="preserve">David Cook, 'Messianism in the Mid-11th/17th Century as Exemplified by Al-Barzanji (1040-1103/1630-1691)', </w:t>
      </w:r>
      <w:r w:rsidRPr="00604DBF">
        <w:rPr>
          <w:i/>
        </w:rPr>
        <w:t xml:space="preserve">Jerusalem Studies in Arabic and Islam, </w:t>
      </w:r>
      <w:r>
        <w:t>33 (2007), pp.261-278</w:t>
      </w:r>
    </w:p>
  </w:footnote>
  <w:footnote w:id="10">
    <w:p w:rsidR="008D6268" w:rsidRDefault="008D6268" w:rsidP="007E4995">
      <w:pPr>
        <w:pStyle w:val="FootnoteText"/>
      </w:pPr>
      <w:r>
        <w:rPr>
          <w:rStyle w:val="FootnoteReference"/>
        </w:rPr>
        <w:footnoteRef/>
      </w:r>
      <w:r>
        <w:t xml:space="preserve"> Cook, 'Messianism and Astronomical Events'</w:t>
      </w:r>
    </w:p>
  </w:footnote>
  <w:footnote w:id="11">
    <w:p w:rsidR="008D6268" w:rsidRPr="001E73EE" w:rsidRDefault="008D6268" w:rsidP="007E4995">
      <w:pPr>
        <w:spacing w:line="240" w:lineRule="auto"/>
        <w:rPr>
          <w:rFonts w:ascii="Arial" w:hAnsi="Arial" w:cs="Arial"/>
          <w:color w:val="000000"/>
          <w:sz w:val="18"/>
          <w:szCs w:val="18"/>
        </w:rPr>
      </w:pPr>
      <w:r>
        <w:rPr>
          <w:rStyle w:val="FootnoteReference"/>
        </w:rPr>
        <w:footnoteRef/>
      </w:r>
      <w:r>
        <w:t xml:space="preserve"> </w:t>
      </w:r>
      <w:r w:rsidRPr="001E73EE">
        <w:rPr>
          <w:sz w:val="20"/>
          <w:szCs w:val="20"/>
        </w:rPr>
        <w:t>Nicholas</w:t>
      </w:r>
      <w:r>
        <w:rPr>
          <w:sz w:val="20"/>
          <w:szCs w:val="20"/>
        </w:rPr>
        <w:t xml:space="preserve"> Campion</w:t>
      </w:r>
      <w:r w:rsidRPr="001E73EE">
        <w:rPr>
          <w:sz w:val="20"/>
          <w:szCs w:val="20"/>
        </w:rPr>
        <w:t>,</w:t>
      </w:r>
      <w:r>
        <w:rPr>
          <w:sz w:val="20"/>
          <w:szCs w:val="20"/>
        </w:rPr>
        <w:t xml:space="preserve"> </w:t>
      </w:r>
      <w:r w:rsidRPr="00F64EFC">
        <w:rPr>
          <w:i/>
          <w:iCs/>
          <w:sz w:val="20"/>
          <w:szCs w:val="20"/>
        </w:rPr>
        <w:t>Astrology and Cosmology</w:t>
      </w:r>
      <w:r>
        <w:rPr>
          <w:i/>
          <w:iCs/>
          <w:sz w:val="20"/>
          <w:szCs w:val="20"/>
        </w:rPr>
        <w:t xml:space="preserve"> in the World's Religion </w:t>
      </w:r>
      <w:r>
        <w:rPr>
          <w:sz w:val="20"/>
          <w:szCs w:val="20"/>
        </w:rPr>
        <w:t xml:space="preserve">(New York: New York University Press, 2012), [hereafter Campion, </w:t>
      </w:r>
      <w:r w:rsidRPr="008A1371">
        <w:rPr>
          <w:i/>
          <w:iCs/>
          <w:sz w:val="20"/>
          <w:szCs w:val="20"/>
        </w:rPr>
        <w:t>Astrology and Cosmology</w:t>
      </w:r>
      <w:r>
        <w:rPr>
          <w:sz w:val="20"/>
          <w:szCs w:val="20"/>
        </w:rPr>
        <w:t>]: p.10</w:t>
      </w:r>
    </w:p>
  </w:footnote>
  <w:footnote w:id="12">
    <w:p w:rsidR="008D6268" w:rsidRDefault="008D6268" w:rsidP="007E4995">
      <w:pPr>
        <w:pStyle w:val="FootnoteText"/>
      </w:pPr>
      <w:r>
        <w:rPr>
          <w:rStyle w:val="FootnoteReference"/>
        </w:rPr>
        <w:footnoteRef/>
      </w:r>
      <w:r>
        <w:t xml:space="preserve"> Walls, 'Introduction', p.10</w:t>
      </w:r>
    </w:p>
  </w:footnote>
  <w:footnote w:id="13">
    <w:p w:rsidR="008D6268" w:rsidRDefault="008D6268" w:rsidP="007E4995">
      <w:pPr>
        <w:pStyle w:val="FootnoteText"/>
      </w:pPr>
      <w:r>
        <w:rPr>
          <w:rStyle w:val="FootnoteReference"/>
        </w:rPr>
        <w:footnoteRef/>
      </w:r>
      <w:r>
        <w:t xml:space="preserve"> Eliade, </w:t>
      </w:r>
      <w:r w:rsidRPr="008D2153">
        <w:rPr>
          <w:i/>
        </w:rPr>
        <w:t>Myth and Reality</w:t>
      </w:r>
      <w:r>
        <w:t xml:space="preserve">, pp.54-64; </w:t>
      </w:r>
      <w:r w:rsidRPr="008D2153">
        <w:t xml:space="preserve">Eliade, </w:t>
      </w:r>
      <w:r w:rsidRPr="008D2153">
        <w:rPr>
          <w:i/>
        </w:rPr>
        <w:t>The Two and the One</w:t>
      </w:r>
      <w:r>
        <w:t xml:space="preserve">, pp.135-136; Eliade, </w:t>
      </w:r>
      <w:r>
        <w:rPr>
          <w:i/>
        </w:rPr>
        <w:t xml:space="preserve">Cosmos and History, </w:t>
      </w:r>
      <w:r>
        <w:t xml:space="preserve">p.62-73; see also </w:t>
      </w:r>
      <w:r>
        <w:rPr>
          <w:rStyle w:val="selectable"/>
        </w:rPr>
        <w:t xml:space="preserve">David Adams Leeming  and Margaret Adams Leeming, "Creation from Chaos" in </w:t>
      </w:r>
      <w:r>
        <w:rPr>
          <w:rStyle w:val="selectable"/>
          <w:i/>
          <w:iCs/>
        </w:rPr>
        <w:t>A Dictionary of Creation Myths</w:t>
      </w:r>
      <w:r>
        <w:rPr>
          <w:rStyle w:val="selectable"/>
        </w:rPr>
        <w:t xml:space="preserve"> (Oxford: Oxford University Press, 2009), [hereafter Leeming and Leeming, </w:t>
      </w:r>
      <w:r w:rsidRPr="002A00AE">
        <w:rPr>
          <w:rStyle w:val="selectable"/>
          <w:i/>
          <w:iCs/>
        </w:rPr>
        <w:t>A Dictionary of Creation Myths</w:t>
      </w:r>
      <w:r>
        <w:rPr>
          <w:rStyle w:val="selectable"/>
        </w:rPr>
        <w:t xml:space="preserve">] </w:t>
      </w:r>
    </w:p>
  </w:footnote>
  <w:footnote w:id="14">
    <w:p w:rsidR="008D6268" w:rsidRDefault="008D6268" w:rsidP="007E4995">
      <w:pPr>
        <w:pStyle w:val="FootnoteText"/>
      </w:pPr>
      <w:r>
        <w:rPr>
          <w:rStyle w:val="FootnoteReference"/>
        </w:rPr>
        <w:footnoteRef/>
      </w:r>
      <w:r>
        <w:t xml:space="preserve"> Eliade, </w:t>
      </w:r>
      <w:r w:rsidRPr="008C7374">
        <w:rPr>
          <w:i/>
          <w:iCs/>
        </w:rPr>
        <w:t>Myth and Reality</w:t>
      </w:r>
      <w:r>
        <w:t>, pp.54-60; pp.64-65</w:t>
      </w:r>
    </w:p>
  </w:footnote>
  <w:footnote w:id="15">
    <w:p w:rsidR="008D6268" w:rsidRDefault="008D6268" w:rsidP="007E4995">
      <w:pPr>
        <w:pStyle w:val="FootnoteText"/>
      </w:pPr>
      <w:r>
        <w:rPr>
          <w:rStyle w:val="FootnoteReference"/>
        </w:rPr>
        <w:footnoteRef/>
      </w:r>
      <w:r>
        <w:t xml:space="preserve"> William C. Chittick, 'Muslim Eschatology', in </w:t>
      </w:r>
      <w:r w:rsidRPr="00F772AB">
        <w:rPr>
          <w:i/>
        </w:rPr>
        <w:t>The Oxford Handbook of Eschatology</w:t>
      </w:r>
      <w:r>
        <w:t>, ed. by Jerry L. Walls (Oxford: Oxford University Press, 2008), [hereafter Chittick, 'Muslim Eschatology']: p.132</w:t>
      </w:r>
    </w:p>
  </w:footnote>
  <w:footnote w:id="16">
    <w:p w:rsidR="008D6268" w:rsidRDefault="008D6268" w:rsidP="007E4995">
      <w:pPr>
        <w:pStyle w:val="FootnoteText"/>
        <w:rPr>
          <w:rtl/>
          <w:lang w:bidi="ar-AE"/>
        </w:rPr>
      </w:pPr>
      <w:r>
        <w:rPr>
          <w:rStyle w:val="FootnoteReference"/>
        </w:rPr>
        <w:footnoteRef/>
      </w:r>
      <w:r>
        <w:t xml:space="preserve"> </w:t>
      </w:r>
      <w:r>
        <w:rPr>
          <w:rFonts w:hint="cs"/>
          <w:rtl/>
          <w:lang w:bidi="ar-AE"/>
        </w:rPr>
        <w:t>أبو الفداء اسماعيل بن عمر</w:t>
      </w:r>
      <w:r w:rsidRPr="00ED32D4">
        <w:rPr>
          <w:rFonts w:hint="cs"/>
          <w:rtl/>
          <w:lang w:bidi="ar-AE"/>
        </w:rPr>
        <w:t xml:space="preserve"> </w:t>
      </w:r>
      <w:r>
        <w:rPr>
          <w:rFonts w:hint="cs"/>
          <w:rtl/>
          <w:lang w:bidi="ar-AE"/>
        </w:rPr>
        <w:t xml:space="preserve">ابن كثير، </w:t>
      </w:r>
      <w:r w:rsidRPr="00152A84">
        <w:rPr>
          <w:rFonts w:hint="cs"/>
          <w:b/>
          <w:bCs/>
          <w:rtl/>
          <w:lang w:bidi="ar-AE"/>
        </w:rPr>
        <w:t>تفسير القرآن العظيم</w:t>
      </w:r>
      <w:r>
        <w:rPr>
          <w:rFonts w:hint="cs"/>
          <w:rtl/>
          <w:lang w:bidi="ar-AE"/>
        </w:rPr>
        <w:t>، مجلد 1 (بيروت دار الكتب العلمية، 1998): ص.18-19</w:t>
      </w:r>
    </w:p>
    <w:p w:rsidR="008D6268" w:rsidRDefault="008D6268" w:rsidP="007E4995">
      <w:pPr>
        <w:pStyle w:val="FootnoteText"/>
      </w:pPr>
      <w:r>
        <w:t>Abu al-Fida’ Isma’īl ibn ‘Omar</w:t>
      </w:r>
      <w:r w:rsidRPr="00002A08">
        <w:t xml:space="preserve"> </w:t>
      </w:r>
      <w:r>
        <w:t xml:space="preserve">ibn Kathīr, </w:t>
      </w:r>
      <w:r w:rsidRPr="00A70FF4">
        <w:rPr>
          <w:bCs/>
          <w:i/>
        </w:rPr>
        <w:t>Tafsir Al-Qur’an Al-Azīm</w:t>
      </w:r>
      <w:r>
        <w:rPr>
          <w:bCs/>
          <w:i/>
        </w:rPr>
        <w:t xml:space="preserve"> or The Commentary of ibn Kathīr</w:t>
      </w:r>
      <w:r>
        <w:t xml:space="preserve"> (Beirut: Dār al-Kutub al-‘Ilmīya, 1988), [hereafter ibn Kathīr, </w:t>
      </w:r>
      <w:r>
        <w:rPr>
          <w:bCs/>
          <w:i/>
        </w:rPr>
        <w:t>The Commentary of ibn Kathīr</w:t>
      </w:r>
      <w:r>
        <w:t>]: I:18-19;</w:t>
      </w:r>
    </w:p>
    <w:p w:rsidR="008D6268" w:rsidRDefault="008D6268" w:rsidP="007E4995">
      <w:pPr>
        <w:pStyle w:val="FootnoteText"/>
      </w:pPr>
      <w:r>
        <w:t xml:space="preserve">Abdal Hakim Murad, M. Badawi and U. Hutchinson, eds., </w:t>
      </w:r>
      <w:r>
        <w:rPr>
          <w:i/>
        </w:rPr>
        <w:t>The Majestic Qur’ān</w:t>
      </w:r>
      <w:r w:rsidRPr="00AE1ED7">
        <w:rPr>
          <w:i/>
        </w:rPr>
        <w:t>: An English Rendition of its Meanings</w:t>
      </w:r>
      <w:r>
        <w:t xml:space="preserve"> (Chicago, IL: Nawawi Foundation, 2000), [hereafter </w:t>
      </w:r>
      <w:r w:rsidRPr="000F4EC9">
        <w:rPr>
          <w:i/>
          <w:iCs/>
        </w:rPr>
        <w:t>The Majestic Qur'ān</w:t>
      </w:r>
      <w:r>
        <w:t>]:</w:t>
      </w:r>
      <w:r>
        <w:rPr>
          <w:iCs/>
        </w:rPr>
        <w:t xml:space="preserve"> 1:1-7</w:t>
      </w:r>
    </w:p>
  </w:footnote>
  <w:footnote w:id="17">
    <w:p w:rsidR="008D6268" w:rsidRDefault="008D6268" w:rsidP="007E4995">
      <w:pPr>
        <w:pStyle w:val="NormalWeb"/>
        <w:spacing w:before="0" w:beforeAutospacing="0" w:after="0" w:afterAutospacing="0"/>
        <w:rPr>
          <w:rFonts w:ascii="Calibri" w:hAnsi="Calibri"/>
          <w:sz w:val="20"/>
          <w:szCs w:val="20"/>
          <w:rtl/>
          <w:lang w:bidi="ar-AE"/>
        </w:rPr>
      </w:pPr>
      <w:r>
        <w:rPr>
          <w:rStyle w:val="FootnoteReference"/>
          <w:rFonts w:ascii="Calibri" w:hAnsi="Calibri"/>
          <w:sz w:val="20"/>
          <w:szCs w:val="20"/>
        </w:rPr>
        <w:footnoteRef/>
      </w:r>
      <w:r>
        <w:rPr>
          <w:rFonts w:ascii="Calibri" w:hAnsi="Calibri" w:hint="cs"/>
          <w:sz w:val="20"/>
          <w:szCs w:val="20"/>
          <w:rtl/>
          <w:lang w:bidi="ar-AE"/>
        </w:rPr>
        <w:t xml:space="preserve">محمد بن عيسى الضحاك الترمذي، </w:t>
      </w:r>
      <w:r w:rsidRPr="00DE7DF7">
        <w:rPr>
          <w:rFonts w:ascii="Calibri" w:hAnsi="Calibri" w:hint="cs"/>
          <w:b/>
          <w:bCs/>
          <w:sz w:val="20"/>
          <w:szCs w:val="20"/>
          <w:rtl/>
          <w:lang w:bidi="ar-AE"/>
        </w:rPr>
        <w:t>جامع الترمذي</w:t>
      </w:r>
      <w:r>
        <w:rPr>
          <w:rFonts w:ascii="Calibri" w:hAnsi="Calibri" w:hint="cs"/>
          <w:sz w:val="20"/>
          <w:szCs w:val="20"/>
          <w:rtl/>
          <w:lang w:bidi="ar-AE"/>
        </w:rPr>
        <w:t xml:space="preserve">، كتاب تفسير القرآن عن رسول الله صلى الله عليه وسلم (بيروت: دار الغرب الإسلامي، 1998)، حديث 3653 </w:t>
      </w:r>
      <w:r>
        <w:rPr>
          <w:rFonts w:ascii="Calibri" w:hAnsi="Calibri"/>
          <w:sz w:val="20"/>
          <w:szCs w:val="20"/>
          <w:lang w:bidi="ar-AE"/>
        </w:rPr>
        <w:t xml:space="preserve"> </w:t>
      </w:r>
      <w:r>
        <w:rPr>
          <w:rFonts w:ascii="Calibri" w:hAnsi="Calibri" w:hint="cs"/>
          <w:sz w:val="20"/>
          <w:szCs w:val="20"/>
          <w:rtl/>
          <w:lang w:bidi="ar-AE"/>
        </w:rPr>
        <w:t xml:space="preserve">  </w:t>
      </w:r>
      <w:r>
        <w:rPr>
          <w:rFonts w:ascii="Calibri" w:hAnsi="Calibri"/>
          <w:sz w:val="20"/>
          <w:szCs w:val="20"/>
        </w:rPr>
        <w:t xml:space="preserve"> </w:t>
      </w:r>
    </w:p>
    <w:p w:rsidR="008D6268" w:rsidRDefault="008D6268" w:rsidP="007E4995">
      <w:pPr>
        <w:pStyle w:val="NormalWeb"/>
        <w:spacing w:before="0" w:beforeAutospacing="0" w:after="0" w:afterAutospacing="0"/>
        <w:rPr>
          <w:rFonts w:ascii="Calibri" w:hAnsi="Calibri"/>
          <w:sz w:val="20"/>
          <w:szCs w:val="20"/>
          <w:lang w:bidi="ar-AE"/>
        </w:rPr>
      </w:pPr>
      <w:r>
        <w:rPr>
          <w:rFonts w:ascii="Calibri" w:hAnsi="Calibri"/>
          <w:sz w:val="20"/>
          <w:szCs w:val="20"/>
        </w:rPr>
        <w:t xml:space="preserve">Muḥammad b. ‘Issā b. al-Dhaḥāk al-Tirmidhī, </w:t>
      </w:r>
      <w:r>
        <w:rPr>
          <w:rFonts w:ascii="Calibri" w:hAnsi="Calibri"/>
          <w:i/>
          <w:iCs/>
          <w:sz w:val="20"/>
          <w:szCs w:val="20"/>
          <w:lang w:bidi="ar-AE"/>
        </w:rPr>
        <w:t>The Great Compilation of al-Tirmidhī,</w:t>
      </w:r>
      <w:r>
        <w:rPr>
          <w:rFonts w:ascii="Calibri" w:hAnsi="Calibri"/>
          <w:sz w:val="20"/>
          <w:szCs w:val="20"/>
          <w:lang w:bidi="ar-AE"/>
        </w:rPr>
        <w:t xml:space="preserve"> book 47 on </w:t>
      </w:r>
      <w:r>
        <w:rPr>
          <w:rFonts w:ascii="Calibri" w:hAnsi="Calibri"/>
          <w:i/>
          <w:iCs/>
          <w:sz w:val="20"/>
          <w:szCs w:val="20"/>
          <w:lang w:bidi="ar-AE"/>
        </w:rPr>
        <w:t xml:space="preserve">Qur'ān Interpretation </w:t>
      </w:r>
      <w:r>
        <w:rPr>
          <w:rFonts w:ascii="Calibri" w:hAnsi="Calibri"/>
          <w:sz w:val="20"/>
          <w:szCs w:val="20"/>
          <w:lang w:bidi="ar-AE"/>
        </w:rPr>
        <w:t xml:space="preserve">(Beirut: Dār al-Gharb al-Islāmī, 1998), [hereafter </w:t>
      </w:r>
      <w:r>
        <w:rPr>
          <w:rFonts w:ascii="Calibri" w:hAnsi="Calibri"/>
          <w:sz w:val="20"/>
          <w:szCs w:val="20"/>
        </w:rPr>
        <w:t>al-Tirmidhī,</w:t>
      </w:r>
      <w:r>
        <w:rPr>
          <w:rFonts w:ascii="Calibri" w:hAnsi="Calibri"/>
          <w:sz w:val="20"/>
          <w:szCs w:val="20"/>
          <w:lang w:bidi="ar-AE"/>
        </w:rPr>
        <w:t xml:space="preserve"> </w:t>
      </w:r>
      <w:r>
        <w:rPr>
          <w:rFonts w:ascii="Calibri" w:hAnsi="Calibri"/>
          <w:i/>
          <w:iCs/>
          <w:sz w:val="20"/>
          <w:szCs w:val="20"/>
          <w:lang w:bidi="ar-AE"/>
        </w:rPr>
        <w:t>The Great Compilation of al-Tirmidhī</w:t>
      </w:r>
      <w:r>
        <w:rPr>
          <w:rFonts w:ascii="Calibri" w:hAnsi="Calibri"/>
          <w:sz w:val="20"/>
          <w:szCs w:val="20"/>
          <w:lang w:bidi="ar-AE"/>
        </w:rPr>
        <w:t>]:</w:t>
      </w:r>
      <w:r>
        <w:rPr>
          <w:rFonts w:ascii="Calibri" w:hAnsi="Calibri"/>
          <w:i/>
          <w:iCs/>
          <w:sz w:val="20"/>
          <w:szCs w:val="20"/>
          <w:lang w:bidi="ar-AE"/>
        </w:rPr>
        <w:t xml:space="preserve"> </w:t>
      </w:r>
      <w:r>
        <w:rPr>
          <w:rFonts w:ascii="Calibri" w:hAnsi="Calibri"/>
          <w:sz w:val="20"/>
          <w:szCs w:val="20"/>
          <w:lang w:bidi="ar-AE"/>
        </w:rPr>
        <w:t>ḥadīth 3653:</w:t>
      </w:r>
    </w:p>
    <w:p w:rsidR="008D6268" w:rsidRDefault="008D6268" w:rsidP="007E4995">
      <w:pPr>
        <w:pStyle w:val="NormalWeb"/>
        <w:bidi/>
        <w:spacing w:before="0" w:beforeAutospacing="0" w:after="0" w:afterAutospacing="0"/>
        <w:rPr>
          <w:rFonts w:ascii="Calibri" w:hAnsi="Calibri"/>
          <w:sz w:val="16"/>
          <w:szCs w:val="16"/>
          <w:lang w:bidi="ar-AE"/>
        </w:rPr>
      </w:pPr>
      <w:r>
        <w:rPr>
          <w:rStyle w:val="arabictextdetails"/>
          <w:rFonts w:eastAsia="Calibri" w:hint="cs"/>
          <w:sz w:val="20"/>
          <w:szCs w:val="20"/>
          <w:rtl/>
        </w:rPr>
        <w:t>قَالَ رَسُولُ اللَّهِ صلى الله عليه وسلم ‏"‏ مَنْ سَرَّهُ أَنْ يَنْظُرَ إِلَى يَوْمِ الْقِيَامَةِ كَأَنَّهُ رَأْىُ عَيْنٍ فَلْيَقْرَأْ ‏</w:t>
      </w:r>
      <w:bookmarkStart w:id="11" w:name="q55"/>
      <w:r>
        <w:rPr>
          <w:rStyle w:val="arabictextdetails"/>
          <w:rFonts w:eastAsia="Calibri" w:hint="cs"/>
          <w:sz w:val="20"/>
          <w:szCs w:val="20"/>
          <w:rtl/>
        </w:rPr>
        <w:t>(إِذَا الشَّمْسُ كُوِّرَتْ</w:t>
      </w:r>
      <w:bookmarkEnd w:id="11"/>
      <w:r>
        <w:rPr>
          <w:rStyle w:val="arabictextdetails"/>
          <w:rFonts w:eastAsia="Calibri" w:hint="cs"/>
          <w:sz w:val="20"/>
          <w:szCs w:val="20"/>
          <w:rtl/>
        </w:rPr>
        <w:t>) و ‏</w:t>
      </w:r>
      <w:bookmarkStart w:id="12" w:name="q56"/>
      <w:r>
        <w:rPr>
          <w:rStyle w:val="arabictextdetails"/>
          <w:rFonts w:eastAsia="Calibri" w:hint="cs"/>
          <w:sz w:val="20"/>
          <w:szCs w:val="20"/>
          <w:rtl/>
        </w:rPr>
        <w:t>(‏إِذَا السَّمَاءُ انْفَطَرَتْ</w:t>
      </w:r>
      <w:bookmarkEnd w:id="12"/>
      <w:r>
        <w:rPr>
          <w:rStyle w:val="arabictextdetails"/>
          <w:rFonts w:eastAsia="Calibri" w:hint="cs"/>
          <w:sz w:val="20"/>
          <w:szCs w:val="20"/>
          <w:rtl/>
        </w:rPr>
        <w:t>) وَ ‏</w:t>
      </w:r>
      <w:bookmarkStart w:id="13" w:name="q57"/>
      <w:r>
        <w:rPr>
          <w:rStyle w:val="arabictextdetails"/>
          <w:rFonts w:eastAsia="Calibri" w:hint="cs"/>
          <w:sz w:val="20"/>
          <w:szCs w:val="20"/>
          <w:rtl/>
        </w:rPr>
        <w:t>(إذَا السَّمَاءُ انْشَقَّتْ</w:t>
      </w:r>
      <w:bookmarkEnd w:id="13"/>
      <w:r>
        <w:rPr>
          <w:rStyle w:val="arabictextdetails"/>
          <w:rFonts w:eastAsia="Calibri" w:hint="cs"/>
          <w:sz w:val="20"/>
          <w:szCs w:val="20"/>
          <w:rtl/>
        </w:rPr>
        <w:t>)‏"‏‏‏.‏</w:t>
      </w:r>
    </w:p>
  </w:footnote>
  <w:footnote w:id="18">
    <w:p w:rsidR="008D6268" w:rsidRDefault="008D6268" w:rsidP="007E4995">
      <w:pPr>
        <w:pStyle w:val="FootnoteText"/>
      </w:pPr>
      <w:r>
        <w:rPr>
          <w:rStyle w:val="FootnoteReference"/>
        </w:rPr>
        <w:footnoteRef/>
      </w:r>
      <w:r>
        <w:t xml:space="preserve"> </w:t>
      </w:r>
      <w:r w:rsidRPr="002E4C0B">
        <w:rPr>
          <w:i/>
        </w:rPr>
        <w:t>The Meaning of the Holy Qur’ān</w:t>
      </w:r>
      <w:r>
        <w:rPr>
          <w:i/>
        </w:rPr>
        <w:t xml:space="preserve">, </w:t>
      </w:r>
      <w:r w:rsidRPr="002E4C0B">
        <w:rPr>
          <w:iCs/>
        </w:rPr>
        <w:t>trans. by Abdullah Yusuf Ali and Muhammad Marmaduke Pickthall</w:t>
      </w:r>
      <w:r>
        <w:rPr>
          <w:i/>
        </w:rPr>
        <w:t xml:space="preserve"> </w:t>
      </w:r>
      <w:r w:rsidRPr="002E4C0B">
        <w:rPr>
          <w:iCs/>
        </w:rPr>
        <w:t>(Beltsville: Amana Publications, 1997),</w:t>
      </w:r>
      <w:r>
        <w:rPr>
          <w:iCs/>
        </w:rPr>
        <w:t xml:space="preserve"> [hereafter </w:t>
      </w:r>
      <w:r w:rsidRPr="00875269">
        <w:rPr>
          <w:i/>
        </w:rPr>
        <w:t>The Meaning of the Holy Qur'ān</w:t>
      </w:r>
      <w:r>
        <w:rPr>
          <w:iCs/>
        </w:rPr>
        <w:t>], 81:1-14</w:t>
      </w:r>
    </w:p>
  </w:footnote>
  <w:footnote w:id="19">
    <w:p w:rsidR="008D6268" w:rsidRDefault="008D6268" w:rsidP="00ED48C3">
      <w:pPr>
        <w:pStyle w:val="FootnoteText"/>
      </w:pPr>
      <w:r>
        <w:rPr>
          <w:rStyle w:val="FootnoteReference"/>
        </w:rPr>
        <w:footnoteRef/>
      </w:r>
      <w:r>
        <w:t xml:space="preserve"> </w:t>
      </w:r>
      <w:r w:rsidRPr="006F52BB">
        <w:t xml:space="preserve">H. G. Liddell and R. Scott, </w:t>
      </w:r>
      <w:r>
        <w:t>"</w:t>
      </w:r>
      <w:r>
        <w:rPr>
          <w:rFonts w:cs="TimesNewRomanPS-BoldMT"/>
          <w:bCs/>
        </w:rPr>
        <w:t>ἐ</w:t>
      </w:r>
      <w:r w:rsidRPr="00502DCE">
        <w:rPr>
          <w:rFonts w:cs="TimesNewRomanPS-BoldMT"/>
          <w:bCs/>
        </w:rPr>
        <w:t>σχατο</w:t>
      </w:r>
      <w:r w:rsidRPr="007B15BF">
        <w:rPr>
          <w:rFonts w:cs="TimesNewRomanPS-BoldMT"/>
          <w:bCs/>
          <w:lang w:val="el-GR"/>
        </w:rPr>
        <w:t>ς</w:t>
      </w:r>
      <w:r>
        <w:rPr>
          <w:rFonts w:cs="TimesNewRomanPS-BoldMT"/>
          <w:bCs/>
        </w:rPr>
        <w:t xml:space="preserve">" in </w:t>
      </w:r>
      <w:r w:rsidRPr="006F52BB">
        <w:rPr>
          <w:i/>
        </w:rPr>
        <w:t>An Intermediate Greek-English Lexicon</w:t>
      </w:r>
      <w:r w:rsidRPr="006F52BB">
        <w:t xml:space="preserve"> (Connecticut: Martino Publishing, 2013), [herea</w:t>
      </w:r>
      <w:r>
        <w:t xml:space="preserve">fter Liddell and Scott, </w:t>
      </w:r>
      <w:r w:rsidRPr="006F52BB">
        <w:rPr>
          <w:i/>
        </w:rPr>
        <w:t>An Intermediate Greek-English Lexicon</w:t>
      </w:r>
      <w:r>
        <w:t>]</w:t>
      </w:r>
    </w:p>
  </w:footnote>
  <w:footnote w:id="20">
    <w:p w:rsidR="008D6268" w:rsidRDefault="008D6268" w:rsidP="00926EDD">
      <w:pPr>
        <w:pStyle w:val="FootnoteText"/>
      </w:pPr>
      <w:r>
        <w:rPr>
          <w:rStyle w:val="FootnoteReference"/>
        </w:rPr>
        <w:footnoteRef/>
      </w:r>
      <w:r>
        <w:t xml:space="preserve"> Eliade, </w:t>
      </w:r>
      <w:r w:rsidRPr="008D2153">
        <w:rPr>
          <w:i/>
        </w:rPr>
        <w:t>Myth and Reality</w:t>
      </w:r>
      <w:r>
        <w:t xml:space="preserve">, pp.54-64; </w:t>
      </w:r>
      <w:r w:rsidRPr="008D2153">
        <w:t xml:space="preserve">Eliade, </w:t>
      </w:r>
      <w:r w:rsidRPr="00E87DA1">
        <w:rPr>
          <w:i/>
          <w:iCs/>
        </w:rPr>
        <w:t>The Two and the One</w:t>
      </w:r>
      <w:r>
        <w:t xml:space="preserve">, pp.135-136; Eliade, </w:t>
      </w:r>
      <w:r>
        <w:rPr>
          <w:i/>
        </w:rPr>
        <w:t>Cosmos and History,</w:t>
      </w:r>
      <w:r w:rsidRPr="003D11EE">
        <w:rPr>
          <w:i/>
        </w:rPr>
        <w:t xml:space="preserve"> </w:t>
      </w:r>
      <w:r>
        <w:t xml:space="preserve">p.62-73; See also </w:t>
      </w:r>
      <w:r>
        <w:rPr>
          <w:rStyle w:val="selectable"/>
        </w:rPr>
        <w:t xml:space="preserve">Leeming  and Leeming, "Creation from Chaos" in </w:t>
      </w:r>
      <w:r w:rsidRPr="005D39E7">
        <w:rPr>
          <w:rStyle w:val="selectable"/>
          <w:i/>
          <w:iCs/>
        </w:rPr>
        <w:t>An Intermediate Greek-English Lexicon</w:t>
      </w:r>
    </w:p>
  </w:footnote>
  <w:footnote w:id="21">
    <w:p w:rsidR="008D6268" w:rsidRDefault="008D6268" w:rsidP="00A4616D">
      <w:pPr>
        <w:pStyle w:val="FootnoteText"/>
      </w:pPr>
      <w:r>
        <w:rPr>
          <w:rStyle w:val="FootnoteReference"/>
        </w:rPr>
        <w:footnoteRef/>
      </w:r>
      <w:r>
        <w:t xml:space="preserve"> Landes, </w:t>
      </w:r>
      <w:r w:rsidRPr="00A8439E">
        <w:rPr>
          <w:i/>
          <w:iCs/>
        </w:rPr>
        <w:t>Heaven on Earth</w:t>
      </w:r>
      <w:r>
        <w:t>, pp.17-22</w:t>
      </w:r>
    </w:p>
  </w:footnote>
  <w:footnote w:id="22">
    <w:p w:rsidR="008D6268" w:rsidRDefault="008D6268" w:rsidP="00ED48C3">
      <w:pPr>
        <w:pStyle w:val="FootnoteText"/>
      </w:pPr>
      <w:r>
        <w:rPr>
          <w:rStyle w:val="FootnoteReference"/>
        </w:rPr>
        <w:footnoteRef/>
      </w:r>
      <w:r>
        <w:t xml:space="preserve"> Liddell and </w:t>
      </w:r>
      <w:r w:rsidRPr="006F52BB">
        <w:t xml:space="preserve">Scott, </w:t>
      </w:r>
      <w:r>
        <w:t>"ἀ</w:t>
      </w:r>
      <w:r w:rsidRPr="007B15BF">
        <w:rPr>
          <w:lang w:val="el-GR"/>
        </w:rPr>
        <w:t>π</w:t>
      </w:r>
      <w:r w:rsidRPr="00502DCE">
        <w:t>οκάλυψις</w:t>
      </w:r>
      <w:r>
        <w:rPr>
          <w:rFonts w:cs="TimesNewRomanPS-BoldMT"/>
          <w:bCs/>
        </w:rPr>
        <w:t xml:space="preserve">" in </w:t>
      </w:r>
      <w:r w:rsidRPr="00FD2E20">
        <w:rPr>
          <w:rFonts w:cs="TimesNewRomanPS-BoldMT"/>
          <w:bCs/>
          <w:i/>
          <w:iCs/>
        </w:rPr>
        <w:t>An Intermediate Greek-English Lexicon</w:t>
      </w:r>
      <w:r>
        <w:rPr>
          <w:rFonts w:cs="TimesNewRomanPS-BoldMT"/>
          <w:bCs/>
        </w:rPr>
        <w:t xml:space="preserve">; </w:t>
      </w:r>
      <w:r>
        <w:t xml:space="preserve">John J. Collins, 'Apocalyptic Eschatology in the Ancient World', in </w:t>
      </w:r>
      <w:r w:rsidRPr="00AB7083">
        <w:rPr>
          <w:i/>
        </w:rPr>
        <w:t>The Oxford Handbook of Eschatology</w:t>
      </w:r>
      <w:r>
        <w:t>, ed. by Jerry L. Walls (Oxford: Oxford University Press, 2008), [hereafter Collins, 'Apocalyptic Eschatology in the Ancient World']: p.40</w:t>
      </w:r>
    </w:p>
  </w:footnote>
  <w:footnote w:id="23">
    <w:p w:rsidR="008D6268" w:rsidRDefault="008D6268" w:rsidP="008B66A4">
      <w:pPr>
        <w:pStyle w:val="FootnoteText"/>
      </w:pPr>
      <w:r>
        <w:rPr>
          <w:rStyle w:val="FootnoteReference"/>
        </w:rPr>
        <w:footnoteRef/>
      </w:r>
      <w:r>
        <w:t xml:space="preserve"> Landes, </w:t>
      </w:r>
      <w:r w:rsidRPr="00311BF0">
        <w:rPr>
          <w:i/>
          <w:iCs/>
        </w:rPr>
        <w:t>Heaven on Earth</w:t>
      </w:r>
      <w:r>
        <w:t xml:space="preserve">, p.18; Barbara F. Stowasser, 'The End is Near: Minor and Major Signs of the Hour in Islamic Texts and Contexts', in </w:t>
      </w:r>
      <w:r>
        <w:rPr>
          <w:i/>
          <w:iCs/>
        </w:rPr>
        <w:t>Apocalypse and Violence</w:t>
      </w:r>
      <w:r>
        <w:t>, ed. by John J. Collins and Abbas Amanat (New Haven: Yale Center for International and Area Studies, 2004), &lt;</w:t>
      </w:r>
      <w:hyperlink r:id="rId5" w:tgtFrame="_blank" w:history="1">
        <w:r>
          <w:rPr>
            <w:rStyle w:val="Hyperlink"/>
          </w:rPr>
          <w:t>http://edoc1.bibliothek.uni-halle.de/servlets/MCRFileNodeServlet/HALCoRe_derivate_00002753/The%20End%20is%20Near.pdf</w:t>
        </w:r>
      </w:hyperlink>
      <w:r>
        <w:t xml:space="preserve">&gt; [accessed 10 December 2015], [hereafter Stowasser, 'The End is Near']: p.1; Cook, </w:t>
      </w:r>
      <w:r w:rsidRPr="00BA73D2">
        <w:rPr>
          <w:i/>
        </w:rPr>
        <w:t>Contemporary Muslim Apocalyptic Literature</w:t>
      </w:r>
      <w:r>
        <w:t xml:space="preserve">, </w:t>
      </w:r>
      <w:r>
        <w:rPr>
          <w:sz w:val="18"/>
          <w:szCs w:val="18"/>
        </w:rPr>
        <w:t>p.3</w:t>
      </w:r>
      <w:r>
        <w:t xml:space="preserve"> </w:t>
      </w:r>
    </w:p>
  </w:footnote>
  <w:footnote w:id="24">
    <w:p w:rsidR="008D6268" w:rsidRPr="00D74B42" w:rsidRDefault="008D6268" w:rsidP="00A81FDC">
      <w:pPr>
        <w:pStyle w:val="FootnoteText"/>
      </w:pPr>
      <w:r>
        <w:rPr>
          <w:rStyle w:val="FootnoteReference"/>
        </w:rPr>
        <w:footnoteRef/>
      </w:r>
      <w:r w:rsidRPr="00D74B42">
        <w:t xml:space="preserve"> Stowasser, </w:t>
      </w:r>
      <w:r>
        <w:t xml:space="preserve">'The End is Near', </w:t>
      </w:r>
      <w:r w:rsidRPr="00D74B42">
        <w:t>p.</w:t>
      </w:r>
      <w:r>
        <w:t>1</w:t>
      </w:r>
      <w:r w:rsidRPr="00D74B42">
        <w:t xml:space="preserve">; Landes, </w:t>
      </w:r>
      <w:r w:rsidRPr="00D74B42">
        <w:rPr>
          <w:i/>
          <w:iCs/>
        </w:rPr>
        <w:t>Heaven on Earth</w:t>
      </w:r>
      <w:r w:rsidRPr="00D74B42">
        <w:t>, p.31</w:t>
      </w:r>
    </w:p>
  </w:footnote>
  <w:footnote w:id="25">
    <w:p w:rsidR="008D6268" w:rsidRDefault="008D6268" w:rsidP="008F68C8">
      <w:pPr>
        <w:pStyle w:val="FootnoteText"/>
      </w:pPr>
      <w:r>
        <w:rPr>
          <w:rStyle w:val="FootnoteReference"/>
        </w:rPr>
        <w:footnoteRef/>
      </w:r>
      <w:r>
        <w:t xml:space="preserve"> </w:t>
      </w:r>
      <w:r w:rsidRPr="000F4EC9">
        <w:rPr>
          <w:i/>
          <w:iCs/>
        </w:rPr>
        <w:t>The Majestic Qur'ān</w:t>
      </w:r>
      <w:r>
        <w:t xml:space="preserve">, 6:31; 6:40; 7:187; 12:107; 15:85; 16:77; 18:21; 20:15; 21:49; 22:1; 22:7; 22:55; 25:11; 30:12; 30:14; 30:55; 31:34; 33:63; 34:3; 40:46; 40:59; 41:47; 41:50; 42:17; 42:18; 43:61; 43:66; 43:85; 45:27; 45:32; 47:18, 54:1; 54:46; 79:42 </w:t>
      </w:r>
    </w:p>
  </w:footnote>
  <w:footnote w:id="26">
    <w:p w:rsidR="008D6268" w:rsidRDefault="008D6268" w:rsidP="00A4616D">
      <w:pPr>
        <w:pStyle w:val="FootnoteText"/>
        <w:rPr>
          <w:rtl/>
          <w:lang w:bidi="ar-AE"/>
        </w:rPr>
      </w:pPr>
      <w:r>
        <w:rPr>
          <w:rStyle w:val="FootnoteReference"/>
        </w:rPr>
        <w:footnoteRef/>
      </w:r>
      <w:r>
        <w:t xml:space="preserve"> </w:t>
      </w:r>
      <w:r>
        <w:rPr>
          <w:rFonts w:hint="cs"/>
          <w:rtl/>
          <w:lang w:bidi="ar-AE"/>
        </w:rPr>
        <w:t xml:space="preserve">أبو الفضل جمال الدين محمد بن مكرم بن منظور، </w:t>
      </w:r>
      <w:r w:rsidRPr="004F032E">
        <w:rPr>
          <w:rFonts w:hint="cs"/>
          <w:b/>
          <w:bCs/>
          <w:rtl/>
          <w:lang w:bidi="ar-AE"/>
        </w:rPr>
        <w:t>لسان العرب</w:t>
      </w:r>
      <w:r>
        <w:rPr>
          <w:rFonts w:hint="cs"/>
          <w:rtl/>
          <w:lang w:bidi="ar-AE"/>
        </w:rPr>
        <w:t xml:space="preserve">، مجلد 8 (بيروت: دار صادر، 1994): ص.169 </w:t>
      </w:r>
    </w:p>
    <w:p w:rsidR="008D6268" w:rsidRDefault="008D6268" w:rsidP="00A81FDC">
      <w:pPr>
        <w:pStyle w:val="FootnoteText"/>
      </w:pPr>
      <w:r>
        <w:t>Abū al-Fadl Jamāl al-Dīn Muhammad b. Mukarram</w:t>
      </w:r>
      <w:r w:rsidRPr="004F032E">
        <w:t xml:space="preserve"> </w:t>
      </w:r>
      <w:r>
        <w:t xml:space="preserve">ibn Manẓūr, </w:t>
      </w:r>
      <w:r>
        <w:rPr>
          <w:i/>
        </w:rPr>
        <w:t>Lisān Al-‘Arab Or T</w:t>
      </w:r>
      <w:r w:rsidRPr="0033447A">
        <w:rPr>
          <w:i/>
        </w:rPr>
        <w:t>he Arabic Tongue</w:t>
      </w:r>
      <w:r>
        <w:rPr>
          <w:rFonts w:hint="cs"/>
          <w:rtl/>
        </w:rPr>
        <w:t xml:space="preserve"> </w:t>
      </w:r>
      <w:r>
        <w:t xml:space="preserve">(Beirut: Dār Sāder, 1994), [hereafter ibn Manẓūr, </w:t>
      </w:r>
      <w:r>
        <w:rPr>
          <w:i/>
          <w:iCs/>
        </w:rPr>
        <w:t>The Arabic Tongue</w:t>
      </w:r>
      <w:r>
        <w:t>]: VIII:169</w:t>
      </w:r>
    </w:p>
  </w:footnote>
  <w:footnote w:id="27">
    <w:p w:rsidR="008D6268" w:rsidRDefault="008D6268" w:rsidP="00A4616D">
      <w:pPr>
        <w:pStyle w:val="FootnoteText"/>
        <w:rPr>
          <w:rtl/>
          <w:lang w:bidi="ar-AE"/>
        </w:rPr>
      </w:pPr>
      <w:r>
        <w:rPr>
          <w:rStyle w:val="FootnoteReference"/>
        </w:rPr>
        <w:footnoteRef/>
      </w:r>
      <w:r>
        <w:t xml:space="preserve"> </w:t>
      </w:r>
      <w:r>
        <w:rPr>
          <w:i/>
          <w:iCs/>
        </w:rPr>
        <w:t>The Majestic Qur’ān</w:t>
      </w:r>
      <w:r>
        <w:t>, 16:77</w:t>
      </w:r>
    </w:p>
  </w:footnote>
  <w:footnote w:id="28">
    <w:p w:rsidR="008D6268" w:rsidRDefault="008D6268" w:rsidP="00401B3C">
      <w:pPr>
        <w:pStyle w:val="FootnoteText"/>
      </w:pPr>
      <w:r>
        <w:rPr>
          <w:rStyle w:val="FootnoteReference"/>
        </w:rPr>
        <w:footnoteRef/>
      </w:r>
      <w:r>
        <w:t xml:space="preserve"> Norman Cohn, </w:t>
      </w:r>
      <w:r w:rsidRPr="002B4842">
        <w:rPr>
          <w:i/>
          <w:iCs/>
        </w:rPr>
        <w:t>The Pursuit of the Millennium</w:t>
      </w:r>
      <w:r>
        <w:rPr>
          <w:i/>
          <w:iCs/>
        </w:rPr>
        <w:t>: Revolutionary Millenarians and Mystical Anarchists of the Middle Ages</w:t>
      </w:r>
      <w:r>
        <w:t xml:space="preserve"> (London: Granada Publishing, 1970), [hereafter Cohn, The Pursuit of the Millennium, 1970]: pp.13-14; Stowasser, 'The End is Near', p.1; Landes, </w:t>
      </w:r>
      <w:r w:rsidRPr="002B4842">
        <w:rPr>
          <w:i/>
          <w:iCs/>
        </w:rPr>
        <w:t>Heaven on Earth</w:t>
      </w:r>
      <w:r>
        <w:t>, pp.12-17</w:t>
      </w:r>
    </w:p>
  </w:footnote>
  <w:footnote w:id="29">
    <w:p w:rsidR="008D6268" w:rsidRDefault="008D6268" w:rsidP="00401B3C">
      <w:pPr>
        <w:pStyle w:val="FootnoteText"/>
      </w:pPr>
      <w:r>
        <w:rPr>
          <w:rStyle w:val="FootnoteReference"/>
        </w:rPr>
        <w:footnoteRef/>
      </w:r>
      <w:r>
        <w:t xml:space="preserve"> Landes, </w:t>
      </w:r>
      <w:r w:rsidRPr="00311BF0">
        <w:rPr>
          <w:i/>
          <w:iCs/>
        </w:rPr>
        <w:t>Heaven on Earth</w:t>
      </w:r>
      <w:r>
        <w:t>, pp.12-18</w:t>
      </w:r>
    </w:p>
  </w:footnote>
  <w:footnote w:id="30">
    <w:p w:rsidR="008D6268" w:rsidRDefault="008D6268" w:rsidP="001C311E">
      <w:pPr>
        <w:pStyle w:val="FootnoteText"/>
      </w:pPr>
      <w:r>
        <w:rPr>
          <w:rStyle w:val="FootnoteReference"/>
        </w:rPr>
        <w:footnoteRef/>
      </w:r>
      <w:r>
        <w:t xml:space="preserve"> Cohn, </w:t>
      </w:r>
      <w:r w:rsidRPr="00C24D4D">
        <w:rPr>
          <w:i/>
          <w:iCs/>
        </w:rPr>
        <w:t>The Pursuit of the Millennium</w:t>
      </w:r>
      <w:r>
        <w:t xml:space="preserve">, 1970, p.9; Norman Cohn, </w:t>
      </w:r>
      <w:r w:rsidRPr="001C311E">
        <w:rPr>
          <w:i/>
          <w:iCs/>
        </w:rPr>
        <w:t>The Pursuit of the Millennium: Revolutionary Messianism in Medieval and Reformation Europe and its bearing on Modern Totalitarian Movements</w:t>
      </w:r>
      <w:r>
        <w:t xml:space="preserve"> (New York: Harper Torchbooks, 1961), [hereafter Cohn, </w:t>
      </w:r>
      <w:r w:rsidRPr="001C311E">
        <w:rPr>
          <w:i/>
          <w:iCs/>
        </w:rPr>
        <w:t>The Pursuit of the Millennium</w:t>
      </w:r>
      <w:r>
        <w:t xml:space="preserve">, 1961]:  pp.v-vii; Bernard McGinn, </w:t>
      </w:r>
      <w:r w:rsidRPr="004A5380">
        <w:rPr>
          <w:i/>
          <w:iCs/>
        </w:rPr>
        <w:t>Visions of the End: Apocalyptic Traditions in the Middle Ages</w:t>
      </w:r>
      <w:r>
        <w:t xml:space="preserve"> (New York: Columbia University Press, 1998), p.28</w:t>
      </w:r>
    </w:p>
  </w:footnote>
  <w:footnote w:id="31">
    <w:p w:rsidR="008D6268" w:rsidRDefault="008D6268" w:rsidP="00311E9A">
      <w:pPr>
        <w:pStyle w:val="FootnoteText"/>
      </w:pPr>
      <w:r>
        <w:rPr>
          <w:rStyle w:val="FootnoteReference"/>
        </w:rPr>
        <w:footnoteRef/>
      </w:r>
      <w:r>
        <w:t xml:space="preserve"> Cohn, </w:t>
      </w:r>
      <w:r w:rsidRPr="00311E9A">
        <w:rPr>
          <w:i/>
          <w:iCs/>
        </w:rPr>
        <w:t>The Pursuit of the Millennium</w:t>
      </w:r>
      <w:r w:rsidRPr="00311E9A">
        <w:t xml:space="preserve">, </w:t>
      </w:r>
      <w:r>
        <w:t xml:space="preserve">1970, </w:t>
      </w:r>
      <w:r w:rsidRPr="00311E9A">
        <w:t>pp.13-14</w:t>
      </w:r>
      <w:r>
        <w:t xml:space="preserve">; pp.19-29; Cohn, </w:t>
      </w:r>
      <w:r w:rsidRPr="00E3057B">
        <w:rPr>
          <w:i/>
          <w:iCs/>
        </w:rPr>
        <w:t>The Pursuit of the Millennium</w:t>
      </w:r>
      <w:r>
        <w:t>, 1961, p.xiii</w:t>
      </w:r>
    </w:p>
  </w:footnote>
  <w:footnote w:id="32">
    <w:p w:rsidR="008D6268" w:rsidRDefault="008D6268" w:rsidP="009C128B">
      <w:pPr>
        <w:pStyle w:val="FootnoteText"/>
      </w:pPr>
      <w:r>
        <w:rPr>
          <w:rStyle w:val="FootnoteReference"/>
        </w:rPr>
        <w:footnoteRef/>
      </w:r>
      <w:r>
        <w:t xml:space="preserve"> Cohn, </w:t>
      </w:r>
      <w:r w:rsidRPr="009C128B">
        <w:rPr>
          <w:i/>
          <w:iCs/>
        </w:rPr>
        <w:t>The Pursuit of the Millennium</w:t>
      </w:r>
      <w:r>
        <w:t xml:space="preserve">, 1970, p.21; Cohn, </w:t>
      </w:r>
      <w:r w:rsidRPr="00E3057B">
        <w:rPr>
          <w:i/>
          <w:iCs/>
        </w:rPr>
        <w:t>The Pursuit of the Millennium</w:t>
      </w:r>
      <w:r>
        <w:t>, 1961, p.xiii; p.308</w:t>
      </w:r>
    </w:p>
  </w:footnote>
  <w:footnote w:id="33">
    <w:p w:rsidR="008D6268" w:rsidRDefault="008D6268" w:rsidP="00845497">
      <w:pPr>
        <w:pStyle w:val="FootnoteText"/>
      </w:pPr>
      <w:r>
        <w:rPr>
          <w:rStyle w:val="FootnoteReference"/>
        </w:rPr>
        <w:footnoteRef/>
      </w:r>
      <w:r>
        <w:t xml:space="preserve"> Cohn, </w:t>
      </w:r>
      <w:r w:rsidRPr="00E3057B">
        <w:rPr>
          <w:i/>
          <w:iCs/>
        </w:rPr>
        <w:t>The Pursuit of the Millennium</w:t>
      </w:r>
      <w:r>
        <w:t xml:space="preserve">, 1970, p.282; Cohn, </w:t>
      </w:r>
      <w:r w:rsidRPr="008A07CA">
        <w:rPr>
          <w:i/>
          <w:iCs/>
        </w:rPr>
        <w:t>The Pursuit of the Millennium</w:t>
      </w:r>
      <w:r>
        <w:t>, 1961, p.v</w:t>
      </w:r>
    </w:p>
  </w:footnote>
  <w:footnote w:id="34">
    <w:p w:rsidR="008D6268" w:rsidRDefault="008D6268" w:rsidP="008C6959">
      <w:pPr>
        <w:pStyle w:val="FootnoteText"/>
      </w:pPr>
      <w:r>
        <w:rPr>
          <w:rStyle w:val="FootnoteReference"/>
        </w:rPr>
        <w:footnoteRef/>
      </w:r>
      <w:r>
        <w:t xml:space="preserve"> Cohn, The Pursuit of the Millennium, 1970, p.282</w:t>
      </w:r>
    </w:p>
  </w:footnote>
  <w:footnote w:id="35">
    <w:p w:rsidR="008D6268" w:rsidRDefault="008D6268">
      <w:pPr>
        <w:pStyle w:val="FootnoteText"/>
      </w:pPr>
      <w:r>
        <w:rPr>
          <w:rStyle w:val="FootnoteReference"/>
        </w:rPr>
        <w:footnoteRef/>
      </w:r>
      <w:r>
        <w:t xml:space="preserve"> Cohn, The Pursuit of the Millennium, 1961, pp.308-310; Cohn, </w:t>
      </w:r>
      <w:r w:rsidRPr="00E3057B">
        <w:rPr>
          <w:i/>
          <w:iCs/>
        </w:rPr>
        <w:t>The Pursuit of the Millennium</w:t>
      </w:r>
      <w:r>
        <w:t>, 1970, p.285</w:t>
      </w:r>
    </w:p>
  </w:footnote>
  <w:footnote w:id="36">
    <w:p w:rsidR="008D6268" w:rsidRDefault="008D6268" w:rsidP="00A3247D">
      <w:pPr>
        <w:pStyle w:val="FootnoteText"/>
      </w:pPr>
      <w:r>
        <w:rPr>
          <w:rStyle w:val="FootnoteReference"/>
        </w:rPr>
        <w:footnoteRef/>
      </w:r>
      <w:r>
        <w:t xml:space="preserve"> Eliade, </w:t>
      </w:r>
      <w:r w:rsidRPr="008D2153">
        <w:rPr>
          <w:i/>
        </w:rPr>
        <w:t>Myth and Reality</w:t>
      </w:r>
      <w:r>
        <w:t xml:space="preserve">; </w:t>
      </w:r>
      <w:r w:rsidRPr="008D2153">
        <w:t xml:space="preserve">Eliade, </w:t>
      </w:r>
      <w:r w:rsidRPr="008D2153">
        <w:rPr>
          <w:i/>
        </w:rPr>
        <w:t>The Two and the One</w:t>
      </w:r>
      <w:r>
        <w:t xml:space="preserve">; Eliade, </w:t>
      </w:r>
      <w:r>
        <w:rPr>
          <w:i/>
        </w:rPr>
        <w:t>Cosmos and History</w:t>
      </w:r>
    </w:p>
  </w:footnote>
  <w:footnote w:id="37">
    <w:p w:rsidR="008D6268" w:rsidRDefault="008D6268">
      <w:pPr>
        <w:pStyle w:val="FootnoteText"/>
      </w:pPr>
      <w:r>
        <w:rPr>
          <w:rStyle w:val="FootnoteReference"/>
        </w:rPr>
        <w:footnoteRef/>
      </w:r>
      <w:r>
        <w:t xml:space="preserve"> Eliade, </w:t>
      </w:r>
      <w:r w:rsidRPr="009E701D">
        <w:rPr>
          <w:i/>
          <w:iCs/>
        </w:rPr>
        <w:t>Cosmos and History</w:t>
      </w:r>
      <w:r>
        <w:t>, pp.35-36; p.75; p.85; pp.91-92; pp.111-112; pp.141-142</w:t>
      </w:r>
    </w:p>
  </w:footnote>
  <w:footnote w:id="38">
    <w:p w:rsidR="008D6268" w:rsidRDefault="008D6268" w:rsidP="003A7E4C">
      <w:pPr>
        <w:pStyle w:val="FootnoteText"/>
      </w:pPr>
      <w:r>
        <w:rPr>
          <w:rStyle w:val="FootnoteReference"/>
        </w:rPr>
        <w:footnoteRef/>
      </w:r>
      <w:r>
        <w:t xml:space="preserve"> Eliade, </w:t>
      </w:r>
      <w:r w:rsidRPr="00380975">
        <w:rPr>
          <w:i/>
          <w:iCs/>
        </w:rPr>
        <w:t>Cosmos and History</w:t>
      </w:r>
      <w:r>
        <w:t xml:space="preserve">, pp.112-114; p.128; Eliade, </w:t>
      </w:r>
      <w:r w:rsidRPr="00380975">
        <w:rPr>
          <w:i/>
          <w:iCs/>
        </w:rPr>
        <w:t xml:space="preserve">Myth and </w:t>
      </w:r>
      <w:r>
        <w:rPr>
          <w:i/>
          <w:iCs/>
        </w:rPr>
        <w:t>Realit</w:t>
      </w:r>
      <w:r w:rsidRPr="00380975">
        <w:rPr>
          <w:i/>
          <w:iCs/>
        </w:rPr>
        <w:t>y</w:t>
      </w:r>
      <w:r>
        <w:t>, p.60</w:t>
      </w:r>
    </w:p>
  </w:footnote>
  <w:footnote w:id="39">
    <w:p w:rsidR="008D6268" w:rsidRDefault="008D6268">
      <w:pPr>
        <w:pStyle w:val="FootnoteText"/>
      </w:pPr>
      <w:r>
        <w:rPr>
          <w:rStyle w:val="FootnoteReference"/>
        </w:rPr>
        <w:footnoteRef/>
      </w:r>
      <w:r>
        <w:t xml:space="preserve"> Eliade, Cosmos and History, pp.122-128; Eliade, The Two and the One, pp.133-136 </w:t>
      </w:r>
    </w:p>
  </w:footnote>
  <w:footnote w:id="40">
    <w:p w:rsidR="008D6268" w:rsidRDefault="008D6268" w:rsidP="00BA0B46">
      <w:pPr>
        <w:pStyle w:val="FootnoteText"/>
      </w:pPr>
      <w:r>
        <w:rPr>
          <w:rStyle w:val="FootnoteReference"/>
        </w:rPr>
        <w:footnoteRef/>
      </w:r>
      <w:r>
        <w:t xml:space="preserve"> Eliade, Cosmos and History, pp.102-104</w:t>
      </w:r>
    </w:p>
  </w:footnote>
  <w:footnote w:id="41">
    <w:p w:rsidR="008D6268" w:rsidRDefault="008D6268">
      <w:pPr>
        <w:pStyle w:val="FootnoteText"/>
      </w:pPr>
      <w:r>
        <w:rPr>
          <w:rStyle w:val="FootnoteReference"/>
        </w:rPr>
        <w:footnoteRef/>
      </w:r>
      <w:r>
        <w:t xml:space="preserve"> Eliade, </w:t>
      </w:r>
      <w:r w:rsidRPr="007960E6">
        <w:rPr>
          <w:i/>
          <w:iCs/>
        </w:rPr>
        <w:t>Cosmos and History</w:t>
      </w:r>
      <w:r>
        <w:t>, pp.151-152</w:t>
      </w:r>
    </w:p>
  </w:footnote>
  <w:footnote w:id="42">
    <w:p w:rsidR="008D6268" w:rsidRDefault="008D6268" w:rsidP="00E851A5">
      <w:pPr>
        <w:pStyle w:val="FootnoteText"/>
      </w:pPr>
      <w:r>
        <w:rPr>
          <w:rStyle w:val="FootnoteReference"/>
        </w:rPr>
        <w:footnoteRef/>
      </w:r>
      <w:r>
        <w:t xml:space="preserve"> Sarah Harvey and Suzanne Newcombe, 'From the Extraordinary to the Ordinary: An Overview of Prophecy', in </w:t>
      </w:r>
      <w:r w:rsidRPr="00527FAA">
        <w:rPr>
          <w:i/>
        </w:rPr>
        <w:t>Prophecy in the New Millennium</w:t>
      </w:r>
      <w:r>
        <w:t>, ed. by Sarah Harvey and Suzanne Newcombe (Surrey: Ashgate Publishing, Ltd., 2013), [hereafter Harvey and Newcombe, 'From the Extraordinary to the Ordinary']: p.8; p.11</w:t>
      </w:r>
    </w:p>
  </w:footnote>
  <w:footnote w:id="43">
    <w:p w:rsidR="008D6268" w:rsidRDefault="008D6268" w:rsidP="00E851A5">
      <w:pPr>
        <w:pStyle w:val="FootnoteText"/>
      </w:pPr>
      <w:r>
        <w:rPr>
          <w:rStyle w:val="FootnoteReference"/>
        </w:rPr>
        <w:footnoteRef/>
      </w:r>
      <w:r>
        <w:t xml:space="preserve"> Walls, 'Introduction', p.6</w:t>
      </w:r>
    </w:p>
  </w:footnote>
  <w:footnote w:id="44">
    <w:p w:rsidR="008D6268" w:rsidRDefault="008D6268" w:rsidP="00E851A5">
      <w:pPr>
        <w:pStyle w:val="FootnoteText"/>
      </w:pPr>
      <w:r>
        <w:rPr>
          <w:rStyle w:val="FootnoteReference"/>
        </w:rPr>
        <w:footnoteRef/>
      </w:r>
      <w:r>
        <w:t xml:space="preserve"> Cook, </w:t>
      </w:r>
      <w:r w:rsidRPr="00C61B59">
        <w:rPr>
          <w:i/>
          <w:iCs/>
        </w:rPr>
        <w:t>Contemporary Muslim Apocalyptic Literature</w:t>
      </w:r>
      <w:r>
        <w:t>, p.3</w:t>
      </w:r>
    </w:p>
  </w:footnote>
  <w:footnote w:id="45">
    <w:p w:rsidR="008D6268" w:rsidRPr="000F29C7" w:rsidRDefault="008D6268" w:rsidP="00E851A5">
      <w:pPr>
        <w:spacing w:line="240" w:lineRule="auto"/>
      </w:pPr>
      <w:r>
        <w:rPr>
          <w:rStyle w:val="FootnoteReference"/>
        </w:rPr>
        <w:footnoteRef/>
      </w:r>
      <w:r>
        <w:t xml:space="preserve"> </w:t>
      </w:r>
      <w:r w:rsidRPr="000F29C7">
        <w:rPr>
          <w:sz w:val="20"/>
          <w:szCs w:val="20"/>
        </w:rPr>
        <w:t xml:space="preserve">R. Scott Appleby, 'The Unholy Uses of the Apocalyptic Imagination: Twentieth Century Patterns', in </w:t>
      </w:r>
      <w:r w:rsidRPr="000F29C7">
        <w:rPr>
          <w:i/>
          <w:sz w:val="20"/>
          <w:szCs w:val="20"/>
        </w:rPr>
        <w:t>Apocalypse and Violence</w:t>
      </w:r>
      <w:r w:rsidRPr="000F29C7">
        <w:rPr>
          <w:sz w:val="20"/>
          <w:szCs w:val="20"/>
        </w:rPr>
        <w:t>, ed. by Abbas Amanat and John Joseph Collins (2002), [hereafter Appleby</w:t>
      </w:r>
      <w:r>
        <w:rPr>
          <w:sz w:val="20"/>
          <w:szCs w:val="20"/>
        </w:rPr>
        <w:t>, '</w:t>
      </w:r>
      <w:r w:rsidRPr="000F29C7">
        <w:rPr>
          <w:sz w:val="20"/>
          <w:szCs w:val="20"/>
        </w:rPr>
        <w:t>'The Unholy Uses of the Apocalyptic Imagination</w:t>
      </w:r>
      <w:r>
        <w:rPr>
          <w:sz w:val="20"/>
          <w:szCs w:val="20"/>
        </w:rPr>
        <w:t>'</w:t>
      </w:r>
      <w:r w:rsidRPr="000F29C7">
        <w:rPr>
          <w:sz w:val="20"/>
          <w:szCs w:val="20"/>
        </w:rPr>
        <w:t>]: p.75</w:t>
      </w:r>
    </w:p>
  </w:footnote>
  <w:footnote w:id="46">
    <w:p w:rsidR="008D6268" w:rsidRDefault="008D6268" w:rsidP="00A271F0">
      <w:pPr>
        <w:pStyle w:val="FootnoteText"/>
      </w:pPr>
      <w:r>
        <w:rPr>
          <w:rStyle w:val="FootnoteReference"/>
        </w:rPr>
        <w:footnoteRef/>
      </w:r>
      <w:r>
        <w:t xml:space="preserve"> James C. Scott, </w:t>
      </w:r>
      <w:r w:rsidRPr="00F34ED4">
        <w:rPr>
          <w:i/>
        </w:rPr>
        <w:t>Domination and the Arts of Resistance: Hidden Transcripts</w:t>
      </w:r>
      <w:r>
        <w:t xml:space="preserve"> (New Haven: Yale University Press, 1990), [hereafter Scott, </w:t>
      </w:r>
      <w:r w:rsidRPr="00851E75">
        <w:rPr>
          <w:i/>
          <w:iCs/>
        </w:rPr>
        <w:t>Domination and the Arts of Resistance</w:t>
      </w:r>
      <w:r>
        <w:t>]: pp.41-42</w:t>
      </w:r>
    </w:p>
  </w:footnote>
  <w:footnote w:id="47">
    <w:p w:rsidR="008D6268" w:rsidRDefault="008D6268" w:rsidP="00935C7B">
      <w:pPr>
        <w:pStyle w:val="FootnoteText"/>
      </w:pPr>
      <w:r>
        <w:rPr>
          <w:rStyle w:val="FootnoteReference"/>
        </w:rPr>
        <w:footnoteRef/>
      </w:r>
      <w:r>
        <w:t xml:space="preserve"> Scott, </w:t>
      </w:r>
      <w:r w:rsidRPr="00851E75">
        <w:rPr>
          <w:i/>
          <w:iCs/>
        </w:rPr>
        <w:t>Domination and the Arts of Resistance</w:t>
      </w:r>
      <w:r>
        <w:t>, pp.xii-xiii; pp.2-4</w:t>
      </w:r>
    </w:p>
  </w:footnote>
  <w:footnote w:id="48">
    <w:p w:rsidR="008D6268" w:rsidRDefault="008D6268">
      <w:pPr>
        <w:pStyle w:val="FootnoteText"/>
      </w:pPr>
      <w:r>
        <w:rPr>
          <w:rStyle w:val="FootnoteReference"/>
        </w:rPr>
        <w:footnoteRef/>
      </w:r>
      <w:r>
        <w:t xml:space="preserve"> Scott, </w:t>
      </w:r>
      <w:r w:rsidRPr="00935C7B">
        <w:rPr>
          <w:i/>
          <w:iCs/>
        </w:rPr>
        <w:t>Domination and the Arts of Resistance</w:t>
      </w:r>
      <w:r>
        <w:t>, p.199</w:t>
      </w:r>
    </w:p>
  </w:footnote>
  <w:footnote w:id="49">
    <w:p w:rsidR="008D6268" w:rsidRDefault="008D6268" w:rsidP="00DC0DE6">
      <w:pPr>
        <w:pStyle w:val="FootnoteText"/>
      </w:pPr>
      <w:r>
        <w:rPr>
          <w:rStyle w:val="FootnoteReference"/>
        </w:rPr>
        <w:footnoteRef/>
      </w:r>
      <w:r>
        <w:t xml:space="preserve"> Landes, </w:t>
      </w:r>
      <w:r w:rsidRPr="00F14720">
        <w:rPr>
          <w:i/>
          <w:iCs/>
        </w:rPr>
        <w:t>Heaven on Earth</w:t>
      </w:r>
      <w:r>
        <w:t>, pp.17-36</w:t>
      </w:r>
    </w:p>
  </w:footnote>
  <w:footnote w:id="50">
    <w:p w:rsidR="008D6268" w:rsidRDefault="008D6268">
      <w:pPr>
        <w:pStyle w:val="FootnoteText"/>
      </w:pPr>
      <w:r>
        <w:rPr>
          <w:rStyle w:val="FootnoteReference"/>
        </w:rPr>
        <w:footnoteRef/>
      </w:r>
      <w:r>
        <w:t xml:space="preserve"> Landes, </w:t>
      </w:r>
      <w:r w:rsidRPr="00614D20">
        <w:rPr>
          <w:i/>
          <w:iCs/>
        </w:rPr>
        <w:t>Heaven on Earth</w:t>
      </w:r>
      <w:r>
        <w:t>, pp.22-36</w:t>
      </w:r>
    </w:p>
  </w:footnote>
  <w:footnote w:id="51">
    <w:p w:rsidR="008D6268" w:rsidRDefault="008D6268">
      <w:pPr>
        <w:pStyle w:val="FootnoteText"/>
      </w:pPr>
      <w:r>
        <w:rPr>
          <w:rStyle w:val="FootnoteReference"/>
        </w:rPr>
        <w:footnoteRef/>
      </w:r>
      <w:r>
        <w:t xml:space="preserve"> Landes, </w:t>
      </w:r>
      <w:r w:rsidRPr="004D68C7">
        <w:rPr>
          <w:i/>
          <w:iCs/>
        </w:rPr>
        <w:t>Heaven on Earth</w:t>
      </w:r>
      <w:r>
        <w:t>, pp.22-25</w:t>
      </w:r>
    </w:p>
  </w:footnote>
  <w:footnote w:id="52">
    <w:p w:rsidR="008D6268" w:rsidRDefault="008D6268">
      <w:pPr>
        <w:pStyle w:val="FootnoteText"/>
      </w:pPr>
      <w:r>
        <w:rPr>
          <w:rStyle w:val="FootnoteReference"/>
        </w:rPr>
        <w:footnoteRef/>
      </w:r>
      <w:r>
        <w:t xml:space="preserve"> Landes, </w:t>
      </w:r>
      <w:r w:rsidRPr="009D5610">
        <w:rPr>
          <w:i/>
          <w:iCs/>
        </w:rPr>
        <w:t>Heaven on Earth</w:t>
      </w:r>
      <w:r>
        <w:t>, pp.26-27</w:t>
      </w:r>
    </w:p>
  </w:footnote>
  <w:footnote w:id="53">
    <w:p w:rsidR="008D6268" w:rsidRDefault="008D6268">
      <w:pPr>
        <w:pStyle w:val="FootnoteText"/>
      </w:pPr>
      <w:r>
        <w:rPr>
          <w:rStyle w:val="FootnoteReference"/>
        </w:rPr>
        <w:footnoteRef/>
      </w:r>
      <w:r>
        <w:t xml:space="preserve"> Landes, </w:t>
      </w:r>
      <w:r w:rsidRPr="005D2DC9">
        <w:rPr>
          <w:i/>
          <w:iCs/>
        </w:rPr>
        <w:t>Heaven on Earth</w:t>
      </w:r>
      <w:r>
        <w:t>, pp.27-29</w:t>
      </w:r>
    </w:p>
  </w:footnote>
  <w:footnote w:id="54">
    <w:p w:rsidR="008D6268" w:rsidRDefault="008D6268">
      <w:pPr>
        <w:pStyle w:val="FootnoteText"/>
      </w:pPr>
      <w:r>
        <w:rPr>
          <w:rStyle w:val="FootnoteReference"/>
        </w:rPr>
        <w:footnoteRef/>
      </w:r>
      <w:r>
        <w:t xml:space="preserve"> Landes, </w:t>
      </w:r>
      <w:r w:rsidRPr="00973E19">
        <w:rPr>
          <w:i/>
          <w:iCs/>
        </w:rPr>
        <w:t>Heaven on Earth</w:t>
      </w:r>
      <w:r>
        <w:t>, pp.31-36</w:t>
      </w:r>
    </w:p>
  </w:footnote>
  <w:footnote w:id="55">
    <w:p w:rsidR="008D6268" w:rsidRDefault="008D6268" w:rsidP="005D7E8C">
      <w:pPr>
        <w:pStyle w:val="FootnoteText"/>
      </w:pPr>
      <w:r>
        <w:rPr>
          <w:rStyle w:val="FootnoteReference"/>
        </w:rPr>
        <w:footnoteRef/>
      </w:r>
      <w:r>
        <w:t xml:space="preserve"> Georg Wilhelm Friedrich Hegel, </w:t>
      </w:r>
      <w:r w:rsidRPr="000B06BA">
        <w:rPr>
          <w:i/>
        </w:rPr>
        <w:t>Lectures on the Philosophy of History</w:t>
      </w:r>
      <w:r>
        <w:rPr>
          <w:i/>
        </w:rPr>
        <w:t xml:space="preserve">, </w:t>
      </w:r>
      <w:r>
        <w:rPr>
          <w:iCs/>
        </w:rPr>
        <w:t>trans. by J. Sibree</w:t>
      </w:r>
      <w:r>
        <w:t xml:space="preserve"> (London: G. Bell and Sons Ltd., 1914), [hereafter Hegel, </w:t>
      </w:r>
      <w:r w:rsidRPr="00196FA4">
        <w:rPr>
          <w:i/>
          <w:iCs/>
        </w:rPr>
        <w:t>Lectures on the Philosophy of History</w:t>
      </w:r>
      <w:r>
        <w:t>]:pp.4-9</w:t>
      </w:r>
    </w:p>
  </w:footnote>
  <w:footnote w:id="56">
    <w:p w:rsidR="008D6268" w:rsidRDefault="008D6268" w:rsidP="00196FA4">
      <w:pPr>
        <w:pStyle w:val="FootnoteText"/>
      </w:pPr>
      <w:r>
        <w:rPr>
          <w:rStyle w:val="FootnoteReference"/>
        </w:rPr>
        <w:footnoteRef/>
      </w:r>
      <w:r>
        <w:t xml:space="preserve"> Hegel, </w:t>
      </w:r>
      <w:r w:rsidRPr="00196FA4">
        <w:rPr>
          <w:i/>
          <w:iCs/>
        </w:rPr>
        <w:t>Lectures on the Philosophy of History</w:t>
      </w:r>
      <w:r>
        <w:t>, p.4</w:t>
      </w:r>
    </w:p>
  </w:footnote>
  <w:footnote w:id="57">
    <w:p w:rsidR="008D6268" w:rsidRDefault="008D6268">
      <w:pPr>
        <w:pStyle w:val="FootnoteText"/>
      </w:pPr>
      <w:r>
        <w:rPr>
          <w:rStyle w:val="FootnoteReference"/>
        </w:rPr>
        <w:footnoteRef/>
      </w:r>
      <w:r>
        <w:t xml:space="preserve"> Hegel, </w:t>
      </w:r>
      <w:r w:rsidRPr="00196FA4">
        <w:rPr>
          <w:i/>
          <w:iCs/>
        </w:rPr>
        <w:t>Lectures on the Philosophy of History</w:t>
      </w:r>
      <w:r>
        <w:t xml:space="preserve">, p.7; Edgar Krentz, </w:t>
      </w:r>
      <w:r w:rsidRPr="003A176E">
        <w:rPr>
          <w:i/>
        </w:rPr>
        <w:t>The Historical-Critical Method</w:t>
      </w:r>
      <w:r>
        <w:t xml:space="preserve"> (Philadelphia: Fortress Press, 1977), [hereafter Krentz, </w:t>
      </w:r>
      <w:r w:rsidRPr="00196FA4">
        <w:rPr>
          <w:i/>
          <w:iCs/>
        </w:rPr>
        <w:t>The Historical-Critical Method</w:t>
      </w:r>
      <w:r>
        <w:t>]: p.42</w:t>
      </w:r>
    </w:p>
  </w:footnote>
  <w:footnote w:id="58">
    <w:p w:rsidR="008D6268" w:rsidRDefault="008D6268" w:rsidP="004B3CBE">
      <w:pPr>
        <w:pStyle w:val="FootnoteText"/>
      </w:pPr>
      <w:r>
        <w:rPr>
          <w:rStyle w:val="FootnoteReference"/>
        </w:rPr>
        <w:footnoteRef/>
      </w:r>
      <w:r>
        <w:t xml:space="preserve"> Krentz, </w:t>
      </w:r>
      <w:r w:rsidRPr="004D7635">
        <w:rPr>
          <w:i/>
          <w:iCs/>
        </w:rPr>
        <w:t>The Historical Critical Method</w:t>
      </w:r>
      <w:r>
        <w:t>, p.42</w:t>
      </w:r>
    </w:p>
  </w:footnote>
  <w:footnote w:id="59">
    <w:p w:rsidR="008D6268" w:rsidRDefault="008D6268" w:rsidP="005D7E8C">
      <w:pPr>
        <w:pStyle w:val="FootnoteText"/>
      </w:pPr>
      <w:r>
        <w:rPr>
          <w:rStyle w:val="FootnoteReference"/>
        </w:rPr>
        <w:footnoteRef/>
      </w:r>
      <w:r>
        <w:t xml:space="preserve"> Hegel, </w:t>
      </w:r>
      <w:r w:rsidRPr="004D7635">
        <w:rPr>
          <w:i/>
          <w:iCs/>
        </w:rPr>
        <w:t>The Philosophy of History</w:t>
      </w:r>
      <w:r>
        <w:t>, pp.8-9</w:t>
      </w:r>
    </w:p>
  </w:footnote>
  <w:footnote w:id="60">
    <w:p w:rsidR="008D6268" w:rsidRPr="00C61B59" w:rsidRDefault="008D6268">
      <w:pPr>
        <w:pStyle w:val="FootnoteText"/>
      </w:pPr>
      <w:r>
        <w:rPr>
          <w:rStyle w:val="FootnoteReference"/>
        </w:rPr>
        <w:footnoteRef/>
      </w:r>
      <w:r>
        <w:t xml:space="preserve"> Cook, </w:t>
      </w:r>
      <w:r w:rsidRPr="00C61B59">
        <w:rPr>
          <w:i/>
          <w:iCs/>
        </w:rPr>
        <w:t>Contemporary Muslim Apocalyptic Literature</w:t>
      </w:r>
      <w:r>
        <w:rPr>
          <w:i/>
          <w:iCs/>
        </w:rPr>
        <w:t xml:space="preserve">, </w:t>
      </w:r>
      <w:r>
        <w:t>p.2</w:t>
      </w:r>
    </w:p>
  </w:footnote>
  <w:footnote w:id="61">
    <w:p w:rsidR="008D6268" w:rsidRDefault="008D6268" w:rsidP="00606E0C">
      <w:pPr>
        <w:pStyle w:val="FootnoteText"/>
      </w:pPr>
      <w:r>
        <w:rPr>
          <w:rStyle w:val="FootnoteReference"/>
        </w:rPr>
        <w:footnoteRef/>
      </w:r>
      <w:r>
        <w:t xml:space="preserve"> Brenda K. Marshall, </w:t>
      </w:r>
      <w:r w:rsidRPr="00C56867">
        <w:rPr>
          <w:i/>
        </w:rPr>
        <w:t>Teaching the Postmodern: Fiction and Theory</w:t>
      </w:r>
      <w:r>
        <w:t xml:space="preserve"> (New York: Routledge, 1992), p.4</w:t>
      </w:r>
    </w:p>
  </w:footnote>
  <w:footnote w:id="62">
    <w:p w:rsidR="008D6268" w:rsidRDefault="008D6268" w:rsidP="003B0982">
      <w:pPr>
        <w:pStyle w:val="FootnoteText"/>
      </w:pPr>
      <w:r>
        <w:rPr>
          <w:rStyle w:val="FootnoteReference"/>
        </w:rPr>
        <w:footnoteRef/>
      </w:r>
      <w:r>
        <w:t xml:space="preserve"> Jean-François Lyotard, </w:t>
      </w:r>
      <w:r w:rsidRPr="003552C0">
        <w:rPr>
          <w:i/>
        </w:rPr>
        <w:t>The Postmodern Condition: A Report on Knowledge</w:t>
      </w:r>
      <w:r>
        <w:t>, trans. by Geoff Bennington and Brian Massumi (Manchester: Manchester University Press, 1984), p.xxiv</w:t>
      </w:r>
    </w:p>
  </w:footnote>
  <w:footnote w:id="63">
    <w:p w:rsidR="008D6268" w:rsidRDefault="008D6268">
      <w:pPr>
        <w:pStyle w:val="FootnoteText"/>
      </w:pPr>
      <w:r>
        <w:rPr>
          <w:rStyle w:val="FootnoteReference"/>
        </w:rPr>
        <w:footnoteRef/>
      </w:r>
      <w:r>
        <w:t xml:space="preserve"> Ninian Smart, 'The Exploration of Religion and Education', </w:t>
      </w:r>
      <w:r w:rsidRPr="004379B1">
        <w:rPr>
          <w:i/>
        </w:rPr>
        <w:t xml:space="preserve">Oxford Review of Education, </w:t>
      </w:r>
      <w:r>
        <w:t>1, no.2 (1975), [hereafter Smart, 'The Exploration of Religion and Education']: p.100</w:t>
      </w:r>
    </w:p>
  </w:footnote>
  <w:footnote w:id="64">
    <w:p w:rsidR="008D6268" w:rsidRDefault="008D6268">
      <w:pPr>
        <w:pStyle w:val="FootnoteText"/>
      </w:pPr>
      <w:r>
        <w:rPr>
          <w:rStyle w:val="FootnoteReference"/>
        </w:rPr>
        <w:footnoteRef/>
      </w:r>
      <w:r>
        <w:t xml:space="preserve"> Monique Hennink, Inge Hutter and Ajay Bailey, </w:t>
      </w:r>
      <w:r w:rsidRPr="003017B6">
        <w:rPr>
          <w:i/>
        </w:rPr>
        <w:t>Qualitative Research Methods</w:t>
      </w:r>
      <w:r>
        <w:t xml:space="preserve"> (London: Sage Publications, 2012), [hereafter Hennink et al., </w:t>
      </w:r>
      <w:r w:rsidRPr="003B0982">
        <w:rPr>
          <w:i/>
          <w:iCs/>
        </w:rPr>
        <w:t>Qualitative Research Methods</w:t>
      </w:r>
      <w:r>
        <w:t>]: p.18</w:t>
      </w:r>
    </w:p>
  </w:footnote>
  <w:footnote w:id="65">
    <w:p w:rsidR="008D6268" w:rsidRDefault="008D6268">
      <w:pPr>
        <w:pStyle w:val="FootnoteText"/>
      </w:pPr>
      <w:r>
        <w:rPr>
          <w:rStyle w:val="FootnoteReference"/>
        </w:rPr>
        <w:footnoteRef/>
      </w:r>
      <w:r>
        <w:t xml:space="preserve"> Hennink et al., </w:t>
      </w:r>
      <w:r w:rsidRPr="003B0982">
        <w:rPr>
          <w:i/>
          <w:iCs/>
        </w:rPr>
        <w:t>Qualitative Research Methods</w:t>
      </w:r>
      <w:r>
        <w:rPr>
          <w:i/>
          <w:iCs/>
        </w:rPr>
        <w:t>,</w:t>
      </w:r>
      <w:r>
        <w:t xml:space="preserve"> p.18</w:t>
      </w:r>
    </w:p>
  </w:footnote>
  <w:footnote w:id="66">
    <w:p w:rsidR="008D6268" w:rsidRDefault="008D6268" w:rsidP="00144231">
      <w:pPr>
        <w:pStyle w:val="FootnoteText"/>
      </w:pPr>
      <w:r>
        <w:rPr>
          <w:rStyle w:val="FootnoteReference"/>
        </w:rPr>
        <w:footnoteRef/>
      </w:r>
      <w:r>
        <w:t xml:space="preserve"> Hufford, 'The Scholarly Voice and the Personal Voice', p.60; p.66</w:t>
      </w:r>
    </w:p>
  </w:footnote>
  <w:footnote w:id="67">
    <w:p w:rsidR="008D6268" w:rsidRPr="00C31E5F" w:rsidRDefault="008D6268" w:rsidP="004707A9">
      <w:pPr>
        <w:pStyle w:val="FootnoteText"/>
      </w:pPr>
      <w:r>
        <w:rPr>
          <w:rStyle w:val="FootnoteReference"/>
        </w:rPr>
        <w:footnoteRef/>
      </w:r>
      <w:r w:rsidRPr="00C31E5F">
        <w:t xml:space="preserve"> Arjomand, </w:t>
      </w:r>
      <w:r>
        <w:t xml:space="preserve">'Islamic Apocalypticism in the Classic Period', </w:t>
      </w:r>
      <w:r w:rsidRPr="00C31E5F">
        <w:t>p.238</w:t>
      </w:r>
    </w:p>
  </w:footnote>
  <w:footnote w:id="68">
    <w:p w:rsidR="008D6268" w:rsidRPr="00C31E5F" w:rsidRDefault="008D6268" w:rsidP="00880DB2">
      <w:pPr>
        <w:pStyle w:val="FootnoteText"/>
      </w:pPr>
      <w:r>
        <w:rPr>
          <w:rStyle w:val="FootnoteReference"/>
        </w:rPr>
        <w:footnoteRef/>
      </w:r>
      <w:r w:rsidRPr="00C31E5F">
        <w:t xml:space="preserve"> Smart, </w:t>
      </w:r>
      <w:r>
        <w:t xml:space="preserve">'The Exploration of Religion and Education', </w:t>
      </w:r>
      <w:r w:rsidRPr="00C31E5F">
        <w:t>p.100</w:t>
      </w:r>
    </w:p>
  </w:footnote>
  <w:footnote w:id="69">
    <w:p w:rsidR="008D6268" w:rsidRPr="003B0982" w:rsidRDefault="008D6268">
      <w:pPr>
        <w:pStyle w:val="FootnoteText"/>
      </w:pPr>
      <w:r>
        <w:rPr>
          <w:rStyle w:val="FootnoteReference"/>
        </w:rPr>
        <w:footnoteRef/>
      </w:r>
      <w:r w:rsidRPr="003B0982">
        <w:t xml:space="preserve"> Krentz, </w:t>
      </w:r>
      <w:r w:rsidRPr="004D7635">
        <w:rPr>
          <w:i/>
          <w:iCs/>
        </w:rPr>
        <w:t>The Historical Critical Method</w:t>
      </w:r>
      <w:r>
        <w:rPr>
          <w:i/>
          <w:iCs/>
        </w:rPr>
        <w:t>,</w:t>
      </w:r>
      <w:r w:rsidRPr="003B0982">
        <w:t xml:space="preserve"> p.39</w:t>
      </w:r>
    </w:p>
  </w:footnote>
  <w:footnote w:id="70">
    <w:p w:rsidR="008D6268" w:rsidRDefault="008D6268">
      <w:pPr>
        <w:pStyle w:val="FootnoteText"/>
      </w:pPr>
      <w:r>
        <w:rPr>
          <w:rStyle w:val="FootnoteReference"/>
        </w:rPr>
        <w:footnoteRef/>
      </w:r>
      <w:r>
        <w:t xml:space="preserve"> Abobaker Ali and others, 'Some Linguistic Difficulties in Translating the Holy Quran from Arabic into English', </w:t>
      </w:r>
      <w:r w:rsidRPr="005C538C">
        <w:rPr>
          <w:i/>
        </w:rPr>
        <w:t xml:space="preserve">International Journal of Social Science and Humanity, </w:t>
      </w:r>
      <w:r>
        <w:t>2, no.6 (2012), [hereafter Ali et al., 'Some Linguistic Difficulties in Translating the Holy Quran']: p.588</w:t>
      </w:r>
    </w:p>
  </w:footnote>
  <w:footnote w:id="71">
    <w:p w:rsidR="008D6268" w:rsidRDefault="008D6268">
      <w:pPr>
        <w:pStyle w:val="FootnoteText"/>
      </w:pPr>
      <w:r>
        <w:rPr>
          <w:rStyle w:val="FootnoteReference"/>
        </w:rPr>
        <w:footnoteRef/>
      </w:r>
      <w:r>
        <w:t xml:space="preserve"> Ali et al., 'Some Linguistic Difficulties in Translating the Holy Quran', p.588</w:t>
      </w:r>
    </w:p>
  </w:footnote>
  <w:footnote w:id="72">
    <w:p w:rsidR="008D6268" w:rsidRDefault="008D6268" w:rsidP="00F41A36">
      <w:pPr>
        <w:pStyle w:val="FootnoteText"/>
      </w:pPr>
      <w:r>
        <w:rPr>
          <w:rStyle w:val="FootnoteReference"/>
        </w:rPr>
        <w:footnoteRef/>
      </w:r>
      <w:r>
        <w:t xml:space="preserve"> Richard J. Evans, </w:t>
      </w:r>
      <w:r w:rsidRPr="00CA3649">
        <w:rPr>
          <w:i/>
        </w:rPr>
        <w:t>In Defen</w:t>
      </w:r>
      <w:r>
        <w:rPr>
          <w:i/>
        </w:rPr>
        <w:t>s</w:t>
      </w:r>
      <w:r w:rsidRPr="00CA3649">
        <w:rPr>
          <w:i/>
        </w:rPr>
        <w:t>e of History</w:t>
      </w:r>
      <w:r>
        <w:t xml:space="preserve"> (New York: W. W. Norton &amp; Company, 1999), [hereafter Evans, </w:t>
      </w:r>
      <w:r w:rsidRPr="00C31E5F">
        <w:rPr>
          <w:i/>
          <w:iCs/>
        </w:rPr>
        <w:t>In Defense of History</w:t>
      </w:r>
      <w:r>
        <w:t>]: p.78</w:t>
      </w:r>
    </w:p>
  </w:footnote>
  <w:footnote w:id="73">
    <w:p w:rsidR="008D6268" w:rsidRDefault="008D6268">
      <w:pPr>
        <w:pStyle w:val="FootnoteText"/>
      </w:pPr>
      <w:r>
        <w:rPr>
          <w:rStyle w:val="FootnoteReference"/>
        </w:rPr>
        <w:footnoteRef/>
      </w:r>
      <w:r>
        <w:t xml:space="preserve"> Krentz, </w:t>
      </w:r>
      <w:r w:rsidRPr="004D7635">
        <w:rPr>
          <w:i/>
          <w:iCs/>
        </w:rPr>
        <w:t>The Historical Critical Method</w:t>
      </w:r>
      <w:r>
        <w:rPr>
          <w:i/>
          <w:iCs/>
        </w:rPr>
        <w:t>,</w:t>
      </w:r>
      <w:r>
        <w:t xml:space="preserve"> p.49</w:t>
      </w:r>
    </w:p>
  </w:footnote>
  <w:footnote w:id="74">
    <w:p w:rsidR="008D6268" w:rsidRPr="00B0488E" w:rsidRDefault="008D6268" w:rsidP="0040790E">
      <w:pPr>
        <w:pStyle w:val="FootnoteText"/>
        <w:rPr>
          <w:rStyle w:val="FootnoteReference"/>
          <w:iCs/>
          <w:vertAlign w:val="baseline"/>
        </w:rPr>
      </w:pPr>
      <w:r>
        <w:rPr>
          <w:rStyle w:val="FootnoteReference"/>
        </w:rPr>
        <w:footnoteRef/>
      </w:r>
      <w:r>
        <w:t xml:space="preserve"> </w:t>
      </w:r>
      <w:r w:rsidRPr="002E4C0B">
        <w:rPr>
          <w:i/>
        </w:rPr>
        <w:t>The Qur'</w:t>
      </w:r>
      <w:r>
        <w:rPr>
          <w:i/>
        </w:rPr>
        <w:t>ā</w:t>
      </w:r>
      <w:r w:rsidRPr="002E4C0B">
        <w:rPr>
          <w:i/>
        </w:rPr>
        <w:t>n</w:t>
      </w:r>
      <w:r>
        <w:rPr>
          <w:i/>
        </w:rPr>
        <w:t xml:space="preserve">, </w:t>
      </w:r>
      <w:r w:rsidRPr="00875269">
        <w:rPr>
          <w:iCs/>
        </w:rPr>
        <w:t>trans. by Abdel Haleem, M. A. S. (Oxford: Oxford University Press, 200</w:t>
      </w:r>
      <w:r>
        <w:rPr>
          <w:iCs/>
        </w:rPr>
        <w:t xml:space="preserve">5), [hereafter </w:t>
      </w:r>
      <w:r w:rsidRPr="00875269">
        <w:rPr>
          <w:i/>
        </w:rPr>
        <w:t>The Qur'ān</w:t>
      </w:r>
      <w:r>
        <w:rPr>
          <w:iCs/>
        </w:rPr>
        <w:t xml:space="preserve">]; </w:t>
      </w:r>
      <w:r w:rsidRPr="002E4C0B">
        <w:rPr>
          <w:i/>
        </w:rPr>
        <w:t>The Meaning of the Holy Qur’ān</w:t>
      </w:r>
      <w:r>
        <w:rPr>
          <w:iCs/>
        </w:rPr>
        <w:t xml:space="preserve">; </w:t>
      </w:r>
      <w:r w:rsidRPr="000F4EC9">
        <w:rPr>
          <w:i/>
          <w:iCs/>
        </w:rPr>
        <w:t>The Majestic Qur'ān</w:t>
      </w:r>
    </w:p>
  </w:footnote>
  <w:footnote w:id="75">
    <w:p w:rsidR="008D6268" w:rsidRPr="008C2F4D" w:rsidRDefault="008D6268" w:rsidP="00845C00">
      <w:pPr>
        <w:pStyle w:val="NormalWeb"/>
        <w:spacing w:before="0" w:beforeAutospacing="0" w:after="0" w:afterAutospacing="0"/>
        <w:rPr>
          <w:rFonts w:asciiTheme="minorHAnsi" w:hAnsiTheme="minorHAnsi"/>
          <w:sz w:val="20"/>
          <w:szCs w:val="20"/>
          <w:rtl/>
          <w:lang w:bidi="ar-AE"/>
        </w:rPr>
      </w:pPr>
      <w:r w:rsidRPr="0000554B">
        <w:rPr>
          <w:rStyle w:val="FootnoteReference"/>
          <w:sz w:val="20"/>
          <w:szCs w:val="20"/>
        </w:rPr>
        <w:footnoteRef/>
      </w:r>
      <w:r>
        <w:rPr>
          <w:rFonts w:asciiTheme="minorHAnsi" w:hAnsiTheme="minorHAnsi" w:hint="cs"/>
          <w:sz w:val="20"/>
          <w:szCs w:val="20"/>
          <w:rtl/>
          <w:lang w:bidi="ar-AE"/>
        </w:rPr>
        <w:t xml:space="preserve"> </w:t>
      </w:r>
      <w:r w:rsidRPr="007F497B">
        <w:rPr>
          <w:rFonts w:asciiTheme="minorHAnsi" w:hAnsiTheme="minorHAnsi" w:hint="cs"/>
          <w:sz w:val="20"/>
          <w:szCs w:val="20"/>
          <w:rtl/>
          <w:lang w:bidi="ar-AE"/>
        </w:rPr>
        <w:t>محمد بن أحمد الأزهري،</w:t>
      </w:r>
      <w:r w:rsidRPr="007F497B">
        <w:rPr>
          <w:rFonts w:asciiTheme="minorHAnsi" w:hAnsiTheme="minorHAnsi" w:hint="cs"/>
          <w:b/>
          <w:bCs/>
          <w:sz w:val="20"/>
          <w:szCs w:val="20"/>
          <w:rtl/>
          <w:lang w:bidi="ar-AE"/>
        </w:rPr>
        <w:t xml:space="preserve"> تهذيب اللغة </w:t>
      </w:r>
      <w:r w:rsidRPr="007F497B">
        <w:rPr>
          <w:rFonts w:asciiTheme="minorHAnsi" w:hAnsiTheme="minorHAnsi" w:hint="cs"/>
          <w:sz w:val="20"/>
          <w:szCs w:val="20"/>
          <w:rtl/>
          <w:lang w:bidi="ar-AE"/>
        </w:rPr>
        <w:t xml:space="preserve">(بيروت: دار إحياء التراث العربي، 2001)؛ </w:t>
      </w:r>
      <w:r w:rsidRPr="007F497B">
        <w:rPr>
          <w:rFonts w:hint="cs"/>
          <w:sz w:val="20"/>
          <w:szCs w:val="20"/>
          <w:rtl/>
          <w:lang w:bidi="ar-AE"/>
        </w:rPr>
        <w:t>أبو الحسن علي بن إسماعيل</w:t>
      </w:r>
      <w:r>
        <w:rPr>
          <w:rFonts w:hint="cs"/>
          <w:sz w:val="20"/>
          <w:szCs w:val="20"/>
          <w:rtl/>
          <w:lang w:bidi="ar-AE"/>
        </w:rPr>
        <w:t xml:space="preserve"> ابن سيده</w:t>
      </w:r>
      <w:r w:rsidRPr="007F497B">
        <w:rPr>
          <w:rFonts w:hint="cs"/>
          <w:sz w:val="20"/>
          <w:szCs w:val="20"/>
          <w:rtl/>
          <w:lang w:bidi="ar-AE"/>
        </w:rPr>
        <w:t xml:space="preserve">، </w:t>
      </w:r>
      <w:r>
        <w:rPr>
          <w:rFonts w:hint="cs"/>
          <w:b/>
          <w:bCs/>
          <w:sz w:val="20"/>
          <w:szCs w:val="20"/>
          <w:rtl/>
          <w:lang w:bidi="ar-AE"/>
        </w:rPr>
        <w:t>المحكم والمحيط الأعظم</w:t>
      </w:r>
      <w:r w:rsidRPr="007F497B">
        <w:rPr>
          <w:rFonts w:hint="cs"/>
          <w:sz w:val="20"/>
          <w:szCs w:val="20"/>
          <w:rtl/>
          <w:lang w:bidi="ar-AE"/>
        </w:rPr>
        <w:t xml:space="preserve"> (بيروت: دار </w:t>
      </w:r>
      <w:r>
        <w:rPr>
          <w:rFonts w:hint="cs"/>
          <w:sz w:val="20"/>
          <w:szCs w:val="20"/>
          <w:rtl/>
          <w:lang w:bidi="ar-AE"/>
        </w:rPr>
        <w:t>الكتب العلمية</w:t>
      </w:r>
      <w:r w:rsidRPr="007F497B">
        <w:rPr>
          <w:rFonts w:hint="cs"/>
          <w:sz w:val="20"/>
          <w:szCs w:val="20"/>
          <w:rtl/>
          <w:lang w:bidi="ar-AE"/>
        </w:rPr>
        <w:t xml:space="preserve">، </w:t>
      </w:r>
      <w:r>
        <w:rPr>
          <w:rFonts w:asciiTheme="minorHAnsi" w:hAnsiTheme="minorHAnsi" w:hint="cs"/>
          <w:sz w:val="20"/>
          <w:szCs w:val="20"/>
          <w:rtl/>
          <w:lang w:bidi="ar-AE"/>
        </w:rPr>
        <w:t>2000</w:t>
      </w:r>
      <w:r>
        <w:rPr>
          <w:rFonts w:hint="cs"/>
          <w:sz w:val="22"/>
          <w:szCs w:val="22"/>
          <w:rtl/>
          <w:lang w:bidi="ar-AE"/>
        </w:rPr>
        <w:t>)</w:t>
      </w:r>
    </w:p>
    <w:p w:rsidR="008D6268" w:rsidRPr="007009ED" w:rsidRDefault="008D6268" w:rsidP="0067480C">
      <w:pPr>
        <w:pStyle w:val="NormalWeb"/>
        <w:spacing w:before="0" w:beforeAutospacing="0" w:after="0" w:afterAutospacing="0"/>
        <w:ind w:right="720"/>
        <w:rPr>
          <w:rFonts w:ascii="Calibri" w:hAnsi="Calibri"/>
          <w:sz w:val="20"/>
          <w:szCs w:val="20"/>
          <w:lang w:bidi="ar-AE"/>
        </w:rPr>
      </w:pPr>
      <w:r w:rsidRPr="007009ED">
        <w:rPr>
          <w:rFonts w:ascii="Calibri" w:hAnsi="Calibri"/>
          <w:sz w:val="20"/>
          <w:szCs w:val="20"/>
          <w:lang w:bidi="ar-AE"/>
        </w:rPr>
        <w:t xml:space="preserve">Muḥammad b. Aḥmad al-Azharī, </w:t>
      </w:r>
      <w:r w:rsidRPr="007009ED">
        <w:rPr>
          <w:rFonts w:ascii="Calibri" w:hAnsi="Calibri"/>
          <w:i/>
          <w:iCs/>
          <w:sz w:val="20"/>
          <w:szCs w:val="20"/>
          <w:lang w:bidi="ar-AE"/>
        </w:rPr>
        <w:t>Tahthīb al-Loghah</w:t>
      </w:r>
      <w:r w:rsidRPr="007009ED">
        <w:rPr>
          <w:rFonts w:ascii="Calibri" w:hAnsi="Calibri"/>
          <w:sz w:val="20"/>
          <w:szCs w:val="20"/>
          <w:lang w:bidi="ar-AE"/>
        </w:rPr>
        <w:t xml:space="preserve"> or </w:t>
      </w:r>
      <w:r w:rsidRPr="007009ED">
        <w:rPr>
          <w:rFonts w:ascii="Calibri" w:hAnsi="Calibri"/>
          <w:i/>
          <w:iCs/>
          <w:sz w:val="20"/>
          <w:szCs w:val="20"/>
          <w:lang w:bidi="ar-AE"/>
        </w:rPr>
        <w:t>The Refinement of the Language</w:t>
      </w:r>
      <w:r w:rsidRPr="007009ED">
        <w:rPr>
          <w:rFonts w:ascii="Calibri" w:hAnsi="Calibri"/>
          <w:sz w:val="20"/>
          <w:szCs w:val="20"/>
          <w:lang w:bidi="ar-AE"/>
        </w:rPr>
        <w:t xml:space="preserve"> (Beirut: Dār Ihyā’ al-Turāth al-‘Arabī, 2001)</w:t>
      </w:r>
      <w:r>
        <w:rPr>
          <w:rFonts w:ascii="Calibri" w:hAnsi="Calibri"/>
          <w:sz w:val="20"/>
          <w:szCs w:val="20"/>
          <w:lang w:bidi="ar-AE"/>
        </w:rPr>
        <w:t xml:space="preserve">, [hereafter </w:t>
      </w:r>
      <w:r w:rsidRPr="007009ED">
        <w:rPr>
          <w:rFonts w:ascii="Calibri" w:hAnsi="Calibri"/>
          <w:sz w:val="20"/>
          <w:szCs w:val="20"/>
          <w:lang w:bidi="ar-AE"/>
        </w:rPr>
        <w:t>al-Azharī</w:t>
      </w:r>
      <w:r>
        <w:rPr>
          <w:rFonts w:ascii="Calibri" w:hAnsi="Calibri"/>
          <w:sz w:val="20"/>
          <w:szCs w:val="20"/>
          <w:lang w:bidi="ar-AE"/>
        </w:rPr>
        <w:t xml:space="preserve">, </w:t>
      </w:r>
      <w:r w:rsidRPr="007009ED">
        <w:rPr>
          <w:rFonts w:ascii="Calibri" w:hAnsi="Calibri"/>
          <w:i/>
          <w:iCs/>
          <w:sz w:val="20"/>
          <w:szCs w:val="20"/>
          <w:lang w:bidi="ar-AE"/>
        </w:rPr>
        <w:t>The Refinement of the Language</w:t>
      </w:r>
      <w:r>
        <w:rPr>
          <w:rFonts w:ascii="Calibri" w:hAnsi="Calibri"/>
          <w:sz w:val="20"/>
          <w:szCs w:val="20"/>
          <w:lang w:bidi="ar-AE"/>
        </w:rPr>
        <w:t xml:space="preserve"> ]; </w:t>
      </w:r>
      <w:r w:rsidRPr="007009ED">
        <w:rPr>
          <w:rFonts w:ascii="Calibri" w:hAnsi="Calibri"/>
          <w:sz w:val="20"/>
          <w:szCs w:val="20"/>
          <w:lang w:bidi="ar-AE"/>
        </w:rPr>
        <w:t xml:space="preserve">abū al-Hasan ‘Alī b. ‘Ismā’īl ibn Sīdah, </w:t>
      </w:r>
      <w:r>
        <w:rPr>
          <w:rFonts w:ascii="Calibri" w:hAnsi="Calibri"/>
          <w:i/>
          <w:iCs/>
          <w:sz w:val="20"/>
          <w:szCs w:val="20"/>
          <w:lang w:bidi="ar-AE"/>
        </w:rPr>
        <w:t>al-Muḥkam</w:t>
      </w:r>
      <w:r w:rsidRPr="007009ED">
        <w:rPr>
          <w:rFonts w:ascii="Calibri" w:hAnsi="Calibri"/>
          <w:i/>
          <w:iCs/>
          <w:sz w:val="20"/>
          <w:szCs w:val="20"/>
          <w:lang w:bidi="ar-AE"/>
        </w:rPr>
        <w:t xml:space="preserve"> </w:t>
      </w:r>
      <w:r>
        <w:rPr>
          <w:rFonts w:ascii="Calibri" w:hAnsi="Calibri"/>
          <w:i/>
          <w:iCs/>
          <w:sz w:val="20"/>
          <w:szCs w:val="20"/>
          <w:lang w:bidi="ar-AE"/>
        </w:rPr>
        <w:t xml:space="preserve">wal-Muḥīṭ al-'A'tham or The Precise Book </w:t>
      </w:r>
      <w:r w:rsidRPr="007009ED">
        <w:rPr>
          <w:rFonts w:ascii="Calibri" w:hAnsi="Calibri"/>
          <w:i/>
          <w:iCs/>
          <w:sz w:val="20"/>
          <w:szCs w:val="20"/>
          <w:lang w:bidi="ar-AE"/>
        </w:rPr>
        <w:t>on Arabic Philology</w:t>
      </w:r>
      <w:r w:rsidRPr="007009ED">
        <w:rPr>
          <w:rFonts w:ascii="Calibri" w:hAnsi="Calibri"/>
          <w:sz w:val="20"/>
          <w:szCs w:val="20"/>
          <w:rtl/>
          <w:lang w:bidi="ar-AE"/>
        </w:rPr>
        <w:t xml:space="preserve"> </w:t>
      </w:r>
      <w:r w:rsidRPr="007009ED">
        <w:rPr>
          <w:rFonts w:ascii="Calibri" w:hAnsi="Calibri"/>
          <w:sz w:val="20"/>
          <w:szCs w:val="20"/>
          <w:lang w:bidi="ar-AE"/>
        </w:rPr>
        <w:t xml:space="preserve">(Beirut: Dār </w:t>
      </w:r>
      <w:r>
        <w:rPr>
          <w:rFonts w:ascii="Calibri" w:hAnsi="Calibri"/>
          <w:sz w:val="20"/>
          <w:szCs w:val="20"/>
          <w:lang w:bidi="ar-AE"/>
        </w:rPr>
        <w:t>al-Kotob al-'Ilmīya</w:t>
      </w:r>
      <w:r w:rsidRPr="007009ED">
        <w:rPr>
          <w:rFonts w:ascii="Calibri" w:hAnsi="Calibri"/>
          <w:sz w:val="20"/>
          <w:szCs w:val="20"/>
          <w:lang w:bidi="ar-AE"/>
        </w:rPr>
        <w:t xml:space="preserve">, </w:t>
      </w:r>
      <w:r>
        <w:rPr>
          <w:rFonts w:ascii="Calibri" w:hAnsi="Calibri"/>
          <w:sz w:val="20"/>
          <w:szCs w:val="20"/>
          <w:lang w:bidi="ar-AE"/>
        </w:rPr>
        <w:t>2000</w:t>
      </w:r>
      <w:r w:rsidRPr="007009ED">
        <w:rPr>
          <w:rFonts w:ascii="Calibri" w:hAnsi="Calibri"/>
          <w:sz w:val="20"/>
          <w:szCs w:val="20"/>
          <w:lang w:bidi="ar-AE"/>
        </w:rPr>
        <w:t>)</w:t>
      </w:r>
      <w:r>
        <w:rPr>
          <w:rFonts w:ascii="Calibri" w:hAnsi="Calibri"/>
          <w:sz w:val="20"/>
          <w:szCs w:val="20"/>
          <w:lang w:bidi="ar-AE"/>
        </w:rPr>
        <w:t xml:space="preserve">, [hereafter </w:t>
      </w:r>
      <w:r w:rsidRPr="007009ED">
        <w:rPr>
          <w:rFonts w:ascii="Calibri" w:hAnsi="Calibri"/>
          <w:sz w:val="20"/>
          <w:szCs w:val="20"/>
          <w:lang w:bidi="ar-AE"/>
        </w:rPr>
        <w:t>ibn</w:t>
      </w:r>
      <w:r>
        <w:rPr>
          <w:rFonts w:ascii="Calibri" w:hAnsi="Calibri"/>
          <w:sz w:val="20"/>
          <w:szCs w:val="20"/>
          <w:lang w:bidi="ar-AE"/>
        </w:rPr>
        <w:t xml:space="preserve"> </w:t>
      </w:r>
      <w:r w:rsidRPr="007009ED">
        <w:rPr>
          <w:rFonts w:ascii="Calibri" w:hAnsi="Calibri"/>
          <w:sz w:val="20"/>
          <w:szCs w:val="20"/>
          <w:lang w:bidi="ar-AE"/>
        </w:rPr>
        <w:t>Sīdah</w:t>
      </w:r>
      <w:r>
        <w:rPr>
          <w:rFonts w:ascii="Calibri" w:hAnsi="Calibri"/>
          <w:sz w:val="20"/>
          <w:szCs w:val="20"/>
          <w:lang w:bidi="ar-AE"/>
        </w:rPr>
        <w:t xml:space="preserve">, </w:t>
      </w:r>
      <w:r w:rsidRPr="007009ED">
        <w:rPr>
          <w:rFonts w:ascii="Calibri" w:hAnsi="Calibri"/>
          <w:i/>
          <w:iCs/>
          <w:sz w:val="20"/>
          <w:szCs w:val="20"/>
          <w:lang w:bidi="ar-AE"/>
        </w:rPr>
        <w:t>The Precise Book on Arabic Philology</w:t>
      </w:r>
      <w:r>
        <w:rPr>
          <w:rFonts w:ascii="Calibri" w:hAnsi="Calibri"/>
          <w:sz w:val="20"/>
          <w:szCs w:val="20"/>
          <w:lang w:bidi="ar-AE"/>
        </w:rPr>
        <w:t xml:space="preserve">]; </w:t>
      </w:r>
      <w:r w:rsidRPr="007009ED">
        <w:rPr>
          <w:rFonts w:ascii="Calibri" w:hAnsi="Calibri"/>
          <w:iCs/>
          <w:sz w:val="20"/>
          <w:szCs w:val="20"/>
        </w:rPr>
        <w:t xml:space="preserve">ibn Manẓūr, </w:t>
      </w:r>
      <w:r w:rsidRPr="007009ED">
        <w:rPr>
          <w:rFonts w:ascii="Calibri" w:hAnsi="Calibri"/>
          <w:i/>
          <w:iCs/>
          <w:sz w:val="20"/>
          <w:szCs w:val="20"/>
        </w:rPr>
        <w:t>The Arabic Tongue</w:t>
      </w:r>
      <w:r w:rsidRPr="007009ED">
        <w:rPr>
          <w:rFonts w:ascii="Calibri" w:hAnsi="Calibri"/>
          <w:sz w:val="20"/>
          <w:szCs w:val="20"/>
        </w:rPr>
        <w:tab/>
      </w:r>
    </w:p>
  </w:footnote>
  <w:footnote w:id="76">
    <w:p w:rsidR="008D6268" w:rsidRDefault="008D6268">
      <w:pPr>
        <w:pStyle w:val="FootnoteText"/>
      </w:pPr>
      <w:r>
        <w:rPr>
          <w:rStyle w:val="FootnoteReference"/>
        </w:rPr>
        <w:footnoteRef/>
      </w:r>
      <w:r>
        <w:t xml:space="preserve"> Krentz, </w:t>
      </w:r>
      <w:r w:rsidRPr="004D7635">
        <w:rPr>
          <w:i/>
          <w:iCs/>
        </w:rPr>
        <w:t>The Historical Critical Method</w:t>
      </w:r>
      <w:r>
        <w:rPr>
          <w:i/>
          <w:iCs/>
        </w:rPr>
        <w:t>,</w:t>
      </w:r>
      <w:r>
        <w:t xml:space="preserve"> pp.36-37; p.42</w:t>
      </w:r>
    </w:p>
  </w:footnote>
  <w:footnote w:id="77">
    <w:p w:rsidR="008D6268" w:rsidRDefault="008D6268" w:rsidP="00311D2E">
      <w:pPr>
        <w:pStyle w:val="FootnoteText"/>
      </w:pPr>
      <w:r>
        <w:rPr>
          <w:rStyle w:val="FootnoteReference"/>
        </w:rPr>
        <w:footnoteRef/>
      </w:r>
      <w:r>
        <w:t xml:space="preserve"> Evans, </w:t>
      </w:r>
      <w:r w:rsidRPr="00C31E5F">
        <w:rPr>
          <w:i/>
          <w:iCs/>
        </w:rPr>
        <w:t>In Defense of History</w:t>
      </w:r>
      <w:r>
        <w:t>, p.217</w:t>
      </w:r>
    </w:p>
  </w:footnote>
  <w:footnote w:id="78">
    <w:p w:rsidR="008D6268" w:rsidRDefault="008D6268" w:rsidP="004D02F1">
      <w:pPr>
        <w:pStyle w:val="FootnoteText"/>
      </w:pPr>
      <w:r>
        <w:rPr>
          <w:rStyle w:val="FootnoteReference"/>
        </w:rPr>
        <w:footnoteRef/>
      </w:r>
      <w:r>
        <w:t xml:space="preserve"> Cohn, </w:t>
      </w:r>
      <w:r w:rsidRPr="00E3057B">
        <w:rPr>
          <w:i/>
          <w:iCs/>
        </w:rPr>
        <w:t>The Pursuit of the Millennium</w:t>
      </w:r>
      <w:r>
        <w:t xml:space="preserve">, 1970, p.282; Cohn, </w:t>
      </w:r>
      <w:r w:rsidRPr="008A07CA">
        <w:rPr>
          <w:i/>
          <w:iCs/>
        </w:rPr>
        <w:t>The Pursuit of the Millennium</w:t>
      </w:r>
      <w:r>
        <w:t>, 1961, p.v</w:t>
      </w:r>
    </w:p>
  </w:footnote>
  <w:footnote w:id="79">
    <w:p w:rsidR="008D6268" w:rsidRDefault="008D6268" w:rsidP="00F411E0">
      <w:pPr>
        <w:pStyle w:val="FootnoteText"/>
        <w:rPr>
          <w:lang w:val="de-DE"/>
        </w:rPr>
      </w:pPr>
      <w:r w:rsidRPr="00121D52">
        <w:rPr>
          <w:rStyle w:val="FootnoteReference"/>
        </w:rPr>
        <w:footnoteRef/>
      </w:r>
      <w:r w:rsidRPr="000A740C">
        <w:rPr>
          <w:lang w:val="de-DE"/>
        </w:rPr>
        <w:t xml:space="preserve"> </w:t>
      </w:r>
      <w:r>
        <w:rPr>
          <w:rFonts w:hint="cs"/>
          <w:rtl/>
          <w:lang w:bidi="ar-AE"/>
        </w:rPr>
        <w:t xml:space="preserve">إسرائيل ولفسون، </w:t>
      </w:r>
      <w:r w:rsidRPr="00105D81">
        <w:rPr>
          <w:rFonts w:hint="cs"/>
          <w:b/>
          <w:bCs/>
          <w:rtl/>
          <w:lang w:bidi="ar-AE"/>
        </w:rPr>
        <w:t xml:space="preserve">تاريخ اليهود في بلاد العرب في الجاهلية وصدر الإسلام </w:t>
      </w:r>
      <w:r>
        <w:rPr>
          <w:rFonts w:hint="cs"/>
          <w:rtl/>
          <w:lang w:bidi="ar-AE"/>
        </w:rPr>
        <w:t>(القاهرة: لجنة التأليف والترجمة والنشر، 1914): ص.74-75</w:t>
      </w:r>
    </w:p>
    <w:p w:rsidR="008D6268" w:rsidRPr="00C94C47" w:rsidRDefault="008D6268" w:rsidP="00B066B4">
      <w:pPr>
        <w:pStyle w:val="FootnoteText"/>
        <w:rPr>
          <w:iCs/>
        </w:rPr>
      </w:pPr>
      <w:r>
        <w:rPr>
          <w:iCs/>
        </w:rPr>
        <w:t xml:space="preserve">Israel Wolfson, </w:t>
      </w:r>
      <w:r w:rsidRPr="00105D81">
        <w:rPr>
          <w:i/>
        </w:rPr>
        <w:t>The History of Jews in Arabia in the Pre-Islamic and Early-Islamic Eras</w:t>
      </w:r>
      <w:r>
        <w:rPr>
          <w:iCs/>
        </w:rPr>
        <w:t xml:space="preserve"> (Cairo: Lajnat al-Ta'līf wal-Tarjamah wal-Nashr, 1914), [hereafter Wolfson, </w:t>
      </w:r>
      <w:r w:rsidRPr="001677A5">
        <w:rPr>
          <w:i/>
        </w:rPr>
        <w:t>The History of Jews in Arabia</w:t>
      </w:r>
      <w:r>
        <w:rPr>
          <w:iCs/>
        </w:rPr>
        <w:t xml:space="preserve">]: pp.74-75; </w:t>
      </w:r>
      <w:r w:rsidRPr="00121D52">
        <w:t xml:space="preserve">Jonathan P. Berkey, </w:t>
      </w:r>
      <w:r w:rsidRPr="00121D52">
        <w:rPr>
          <w:i/>
        </w:rPr>
        <w:t>The Formation of Islam: Religion and Society in the Near East, 600-1800</w:t>
      </w:r>
      <w:r w:rsidRPr="00121D52">
        <w:t xml:space="preserve"> (Cambridge: Cambridge University Pres</w:t>
      </w:r>
      <w:r>
        <w:t xml:space="preserve">s, 2003), [hereafter Berkey, </w:t>
      </w:r>
      <w:r w:rsidRPr="008D6752">
        <w:rPr>
          <w:i/>
          <w:iCs/>
        </w:rPr>
        <w:t>The Formation of Islam</w:t>
      </w:r>
      <w:r>
        <w:t xml:space="preserve">]: pp.3-9; Irfan Shahid, 'Pre-Islamic Arabia', in </w:t>
      </w:r>
      <w:r w:rsidRPr="007238C5">
        <w:rPr>
          <w:i/>
          <w:iCs/>
        </w:rPr>
        <w:t>The Cambridge History of Islam</w:t>
      </w:r>
      <w:r>
        <w:t>, ed. by P. M. Holt, Anne K. S. Lambton and Bernard Lewis, vol.1A (Cambridge: Cambridge University Press, 1977), [hereafter Shahid, 'Pre-Islamic Arabia']: pp.10-15; Shutao Wang, 'The Origins of Islam in the Arabian Context' (Master's Thesis, The University of Bergen, 2016), pp.7-9</w:t>
      </w:r>
    </w:p>
  </w:footnote>
  <w:footnote w:id="80">
    <w:p w:rsidR="008D6268" w:rsidRPr="00121D52" w:rsidRDefault="008D6268" w:rsidP="00F411E0">
      <w:pPr>
        <w:pStyle w:val="FootnoteText"/>
        <w:rPr>
          <w:rtl/>
          <w:lang w:bidi="ar-AE"/>
        </w:rPr>
      </w:pPr>
      <w:r>
        <w:rPr>
          <w:rStyle w:val="FootnoteReference"/>
        </w:rPr>
        <w:footnoteRef/>
      </w:r>
      <w:r>
        <w:t xml:space="preserve"> </w:t>
      </w:r>
      <w:r w:rsidRPr="00121D52">
        <w:rPr>
          <w:rtl/>
          <w:lang w:bidi="ar-AE"/>
        </w:rPr>
        <w:t xml:space="preserve">محمود شكري الألوسي، </w:t>
      </w:r>
      <w:r w:rsidRPr="00121D52">
        <w:rPr>
          <w:b/>
          <w:bCs/>
          <w:rtl/>
          <w:lang w:bidi="ar-AE"/>
        </w:rPr>
        <w:t>بلوغ الأرب في معرفة أحوال العرب</w:t>
      </w:r>
      <w:r w:rsidRPr="00121D52">
        <w:rPr>
          <w:rtl/>
          <w:lang w:bidi="ar-AE"/>
        </w:rPr>
        <w:t>، تحقيق يوسف إبراهيم سلوم (بيروت: المكتبة العصرية، 2009): 2/</w:t>
      </w:r>
      <w:r>
        <w:rPr>
          <w:rFonts w:hint="cs"/>
          <w:rtl/>
          <w:lang w:bidi="ar-AE"/>
        </w:rPr>
        <w:t>193-196</w:t>
      </w:r>
    </w:p>
    <w:p w:rsidR="008D6268" w:rsidRPr="00194544" w:rsidRDefault="008D6268" w:rsidP="00BB0AB9">
      <w:pPr>
        <w:pStyle w:val="FootnoteText"/>
        <w:rPr>
          <w:iCs/>
          <w:rtl/>
          <w:lang w:bidi="ar-AE"/>
        </w:rPr>
      </w:pPr>
      <w:r w:rsidRPr="00121D52">
        <w:t>Ma</w:t>
      </w:r>
      <w:r w:rsidRPr="00121D52">
        <w:rPr>
          <w:rFonts w:cs="Arial"/>
        </w:rPr>
        <w:t>ḥ</w:t>
      </w:r>
      <w:r w:rsidRPr="00121D52">
        <w:t xml:space="preserve">mūd Shukrī al-Alūsī, </w:t>
      </w:r>
      <w:r w:rsidRPr="00121D52">
        <w:rPr>
          <w:i/>
        </w:rPr>
        <w:t>Bulūgh Al-Arab Fī Ma'Rifat A</w:t>
      </w:r>
      <w:r w:rsidRPr="00121D52">
        <w:rPr>
          <w:rFonts w:cs="Arial"/>
          <w:i/>
        </w:rPr>
        <w:t>ḥ</w:t>
      </w:r>
      <w:r w:rsidRPr="00121D52">
        <w:rPr>
          <w:i/>
        </w:rPr>
        <w:t>wāl Al-'Arab Or the Fulfillment of Desire on Knowledge of the Affairs of Pagan Arabs</w:t>
      </w:r>
      <w:r w:rsidRPr="00121D52">
        <w:t>, ed. by Yusuf Ibrahīm Sallūm (Beirut: al-Maktaba al-'A</w:t>
      </w:r>
      <w:r w:rsidRPr="00121D52">
        <w:rPr>
          <w:rFonts w:cs="Arial"/>
        </w:rPr>
        <w:t>ṣ</w:t>
      </w:r>
      <w:r w:rsidRPr="00121D52">
        <w:t xml:space="preserve">rīyah, 2009), [hereafter al-Alūsī, </w:t>
      </w:r>
      <w:r w:rsidRPr="00121D52">
        <w:rPr>
          <w:i/>
        </w:rPr>
        <w:t>On Knowledge of the Affairs of Pagan Arabs</w:t>
      </w:r>
      <w:r w:rsidRPr="00121D52">
        <w:rPr>
          <w:iCs/>
        </w:rPr>
        <w:t xml:space="preserve">]: II: </w:t>
      </w:r>
      <w:r>
        <w:rPr>
          <w:iCs/>
        </w:rPr>
        <w:t xml:space="preserve">193-196; </w:t>
      </w:r>
      <w:r>
        <w:rPr>
          <w:rStyle w:val="selectable"/>
        </w:rPr>
        <w:t xml:space="preserve">Glen W. Bowersock, 'The Rise and Fall of </w:t>
      </w:r>
      <w:r w:rsidRPr="007D07F4">
        <w:rPr>
          <w:rStyle w:val="selectable"/>
        </w:rPr>
        <w:t xml:space="preserve">a Jewish Kingdom In Arabia', </w:t>
      </w:r>
      <w:r w:rsidRPr="007D07F4">
        <w:rPr>
          <w:rStyle w:val="selectable"/>
          <w:i/>
          <w:iCs/>
        </w:rPr>
        <w:t>The Institute For Advanced Studies Letter</w:t>
      </w:r>
      <w:r w:rsidRPr="007D07F4">
        <w:rPr>
          <w:rStyle w:val="selectable"/>
        </w:rPr>
        <w:t xml:space="preserve"> </w:t>
      </w:r>
      <w:r>
        <w:rPr>
          <w:rStyle w:val="selectable"/>
        </w:rPr>
        <w:t xml:space="preserve">(Fall 2011) </w:t>
      </w:r>
      <w:r w:rsidRPr="007D07F4">
        <w:rPr>
          <w:rStyle w:val="selectable"/>
        </w:rPr>
        <w:t>&lt;https://www.ias.edu/sites/default/files/documents/publications/G11-11360_IAS_Newsletter.pdf&gt; [accessed 3 January 2017],</w:t>
      </w:r>
      <w:r>
        <w:rPr>
          <w:rStyle w:val="selectable"/>
        </w:rPr>
        <w:t xml:space="preserve"> p.8; Reuven Firestone, 'Muslim-Jewish Relations', </w:t>
      </w:r>
      <w:r>
        <w:rPr>
          <w:rStyle w:val="selectable"/>
          <w:i/>
          <w:iCs/>
        </w:rPr>
        <w:t>Oxford Research Encyclopedia Of Religion</w:t>
      </w:r>
      <w:r>
        <w:rPr>
          <w:rStyle w:val="selectable"/>
        </w:rPr>
        <w:t xml:space="preserve">, 2016 &lt;https://doi.org/10.1093/acrefore/9780199340378.013.17&gt; [accessed 3 January 2017]; </w:t>
      </w:r>
      <w:r>
        <w:rPr>
          <w:iCs/>
        </w:rPr>
        <w:t>Berkey, The Formation of Islam, pp.45-48; Shahid, 'Pre-Islamic Arabia', pp</w:t>
      </w:r>
      <w:r>
        <w:rPr>
          <w:iCs/>
          <w:vanish/>
        </w:rPr>
        <w:t>pnlrn Arabia, whereas the latter</w:t>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vanish/>
        </w:rPr>
        <w:pgNum/>
      </w:r>
      <w:r>
        <w:rPr>
          <w:iCs/>
        </w:rPr>
        <w:t xml:space="preserve">.14-20; Wolfson, </w:t>
      </w:r>
      <w:r w:rsidRPr="001677A5">
        <w:rPr>
          <w:i/>
        </w:rPr>
        <w:t>The History of Jews in Arabia</w:t>
      </w:r>
      <w:r>
        <w:rPr>
          <w:iCs/>
        </w:rPr>
        <w:t>, pp.74-75</w:t>
      </w:r>
    </w:p>
  </w:footnote>
  <w:footnote w:id="81">
    <w:p w:rsidR="008D6268" w:rsidRDefault="008D6268" w:rsidP="00F411E0">
      <w:pPr>
        <w:pStyle w:val="FootnoteText"/>
      </w:pPr>
      <w:r>
        <w:rPr>
          <w:rStyle w:val="FootnoteReference"/>
        </w:rPr>
        <w:footnoteRef/>
      </w:r>
      <w:r>
        <w:t xml:space="preserve"> Shahid, 'Pre-Islamic Arabia', p.10; pp.15-24</w:t>
      </w:r>
    </w:p>
  </w:footnote>
  <w:footnote w:id="82">
    <w:p w:rsidR="008D6268" w:rsidRDefault="008D6268" w:rsidP="00F411E0">
      <w:pPr>
        <w:pStyle w:val="FootnoteText"/>
        <w:rPr>
          <w:lang w:bidi="ar-AE"/>
        </w:rPr>
      </w:pPr>
      <w:r>
        <w:rPr>
          <w:rStyle w:val="FootnoteReference"/>
        </w:rPr>
        <w:footnoteRef/>
      </w:r>
      <w:r>
        <w:t xml:space="preserve"> </w:t>
      </w:r>
      <w:r>
        <w:rPr>
          <w:rFonts w:hint="cs"/>
          <w:rtl/>
          <w:lang w:bidi="ar-AE"/>
        </w:rPr>
        <w:t xml:space="preserve">محمد بن عبدالله الأزرقي، </w:t>
      </w:r>
      <w:r w:rsidRPr="0009465D">
        <w:rPr>
          <w:rFonts w:hint="cs"/>
          <w:b/>
          <w:bCs/>
          <w:rtl/>
          <w:lang w:bidi="ar-AE"/>
        </w:rPr>
        <w:t xml:space="preserve">أخبار مكة و ما جاء فيها من الآثار </w:t>
      </w:r>
      <w:r>
        <w:rPr>
          <w:rFonts w:hint="cs"/>
          <w:rtl/>
          <w:lang w:bidi="ar-AE"/>
        </w:rPr>
        <w:t>(بيروت: دار الأندلس، 1983): 1/165-169</w:t>
      </w:r>
    </w:p>
    <w:p w:rsidR="008D6268" w:rsidRDefault="008D6268" w:rsidP="00DF2AA0">
      <w:pPr>
        <w:pStyle w:val="FootnoteText"/>
        <w:rPr>
          <w:rtl/>
          <w:lang w:bidi="ar-AE"/>
        </w:rPr>
      </w:pPr>
      <w:r>
        <w:rPr>
          <w:rFonts w:eastAsia="Times New Roman"/>
        </w:rPr>
        <w:t xml:space="preserve">Muḥammad bin ‘Abdulla al-Azruqī, </w:t>
      </w:r>
      <w:r>
        <w:rPr>
          <w:rFonts w:eastAsia="Times New Roman"/>
          <w:i/>
          <w:iCs/>
        </w:rPr>
        <w:t>Akhbār Makkah W Ma Jā’ Fīha Min Al-Āthār Or the History of Makkah</w:t>
      </w:r>
      <w:r>
        <w:rPr>
          <w:rFonts w:eastAsia="Times New Roman"/>
        </w:rPr>
        <w:t xml:space="preserve"> (Beirut: Dār al-Andalus, 1983), I:165-169</w:t>
      </w:r>
    </w:p>
  </w:footnote>
  <w:footnote w:id="83">
    <w:p w:rsidR="008D6268" w:rsidRPr="00121D52" w:rsidRDefault="008D6268" w:rsidP="00F411E0">
      <w:pPr>
        <w:pStyle w:val="FootnoteText"/>
      </w:pPr>
      <w:r w:rsidRPr="00121D52">
        <w:rPr>
          <w:rStyle w:val="FootnoteReference"/>
        </w:rPr>
        <w:footnoteRef/>
      </w:r>
      <w:r w:rsidRPr="00121D52">
        <w:t xml:space="preserve"> </w:t>
      </w:r>
      <w:r w:rsidRPr="00121D52">
        <w:rPr>
          <w:i/>
          <w:iCs/>
        </w:rPr>
        <w:t xml:space="preserve">The Majestic Qur’ān, </w:t>
      </w:r>
      <w:r w:rsidRPr="00121D52">
        <w:t>106:1-4</w:t>
      </w:r>
    </w:p>
  </w:footnote>
  <w:footnote w:id="84">
    <w:p w:rsidR="008D6268" w:rsidRDefault="008D6268" w:rsidP="00F411E0">
      <w:pPr>
        <w:pStyle w:val="FootnoteText"/>
        <w:rPr>
          <w:rtl/>
          <w:lang w:bidi="ar-AE"/>
        </w:rPr>
      </w:pPr>
      <w:r>
        <w:rPr>
          <w:rStyle w:val="FootnoteReference"/>
        </w:rPr>
        <w:footnoteRef/>
      </w:r>
      <w:r>
        <w:t xml:space="preserve"> </w:t>
      </w:r>
      <w:r w:rsidRPr="00EB1347">
        <w:rPr>
          <w:rFonts w:hint="cs"/>
          <w:rtl/>
          <w:lang w:bidi="ar-AE"/>
        </w:rPr>
        <w:t xml:space="preserve">أبو عبدالله محمد بن أحمد القرطبي، </w:t>
      </w:r>
      <w:r w:rsidRPr="00EB1347">
        <w:rPr>
          <w:rFonts w:hint="cs"/>
          <w:b/>
          <w:bCs/>
          <w:rtl/>
          <w:lang w:bidi="ar-AE"/>
        </w:rPr>
        <w:t>الجامع لأحكام القرآن</w:t>
      </w:r>
      <w:r w:rsidRPr="00EB1347">
        <w:rPr>
          <w:rFonts w:hint="cs"/>
          <w:rtl/>
          <w:lang w:bidi="ar-AE"/>
        </w:rPr>
        <w:t xml:space="preserve"> (القاهرة: دار الكتب المصرية، 1964)</w:t>
      </w:r>
      <w:r>
        <w:rPr>
          <w:rFonts w:hint="cs"/>
          <w:rtl/>
          <w:lang w:bidi="ar-AE"/>
        </w:rPr>
        <w:t>: 20/200-205</w:t>
      </w:r>
    </w:p>
    <w:p w:rsidR="008D6268" w:rsidRDefault="008D6268" w:rsidP="00F411E0">
      <w:pPr>
        <w:pStyle w:val="FootnoteText"/>
        <w:rPr>
          <w:rtl/>
          <w:lang w:bidi="ar-AE"/>
        </w:rPr>
      </w:pPr>
      <w:r w:rsidRPr="008044BC">
        <w:rPr>
          <w:rFonts w:hint="cs"/>
          <w:rtl/>
          <w:lang w:bidi="ar-AE"/>
        </w:rPr>
        <w:t>أبو عبدالله محمد بن عمر</w:t>
      </w:r>
      <w:r>
        <w:rPr>
          <w:rFonts w:hint="cs"/>
          <w:rtl/>
          <w:lang w:bidi="ar-AE"/>
        </w:rPr>
        <w:t xml:space="preserve"> الرازي</w:t>
      </w:r>
      <w:r w:rsidRPr="008044BC">
        <w:rPr>
          <w:rFonts w:hint="cs"/>
          <w:rtl/>
          <w:lang w:bidi="ar-AE"/>
        </w:rPr>
        <w:t xml:space="preserve">، </w:t>
      </w:r>
      <w:r w:rsidRPr="008044BC">
        <w:rPr>
          <w:rFonts w:hint="cs"/>
          <w:b/>
          <w:bCs/>
          <w:rtl/>
          <w:lang w:bidi="ar-AE"/>
        </w:rPr>
        <w:t>التفسير الكبير</w:t>
      </w:r>
      <w:r w:rsidRPr="008044BC">
        <w:rPr>
          <w:rFonts w:hint="cs"/>
          <w:rtl/>
          <w:lang w:bidi="ar-AE"/>
        </w:rPr>
        <w:t xml:space="preserve"> (بيروت: دار إحياء التراث العربي، 1999)</w:t>
      </w:r>
      <w:r>
        <w:rPr>
          <w:rFonts w:hint="cs"/>
          <w:rtl/>
          <w:lang w:bidi="ar-AE"/>
        </w:rPr>
        <w:t>: 32/294-297</w:t>
      </w:r>
    </w:p>
    <w:p w:rsidR="008D6268" w:rsidRDefault="008D6268" w:rsidP="00F411E0">
      <w:pPr>
        <w:pStyle w:val="FootnoteText"/>
      </w:pPr>
      <w:r w:rsidRPr="00EB1347">
        <w:t>abū ‘Abdullah b. Muḥammad b. Aḥmad</w:t>
      </w:r>
      <w:r>
        <w:t xml:space="preserve"> </w:t>
      </w:r>
      <w:r w:rsidRPr="00EB1347">
        <w:t>al-Q</w:t>
      </w:r>
      <w:r>
        <w:t>u</w:t>
      </w:r>
      <w:r w:rsidRPr="00EB1347">
        <w:t>rṭ</w:t>
      </w:r>
      <w:r>
        <w:t>ubī</w:t>
      </w:r>
      <w:r w:rsidRPr="00EB1347">
        <w:t xml:space="preserve">, </w:t>
      </w:r>
      <w:r w:rsidRPr="00EB1347">
        <w:rPr>
          <w:i/>
          <w:iCs/>
        </w:rPr>
        <w:t>The Comprehensive Book on the Provisions of the Qur’ān</w:t>
      </w:r>
      <w:r w:rsidRPr="00EB1347">
        <w:t xml:space="preserve"> (Cairo: Dār al-Kotob al-Maṣrīyah, 1964)</w:t>
      </w:r>
      <w:r>
        <w:t xml:space="preserve">, [hereafter </w:t>
      </w:r>
      <w:r w:rsidRPr="00EB1347">
        <w:t>al-Q</w:t>
      </w:r>
      <w:r>
        <w:t>u</w:t>
      </w:r>
      <w:r w:rsidRPr="00EB1347">
        <w:t>rṭ</w:t>
      </w:r>
      <w:r>
        <w:t>u</w:t>
      </w:r>
      <w:r w:rsidRPr="00EB1347">
        <w:t>bī,</w:t>
      </w:r>
      <w:r>
        <w:t xml:space="preserve"> </w:t>
      </w:r>
      <w:r w:rsidRPr="00EB1347">
        <w:rPr>
          <w:i/>
          <w:iCs/>
        </w:rPr>
        <w:t>The Comprehensive Book on the Provisions of the Qur’ān</w:t>
      </w:r>
      <w:r>
        <w:t xml:space="preserve">]: XX: 200-205; </w:t>
      </w:r>
      <w:r w:rsidRPr="008044BC">
        <w:t xml:space="preserve">abū ‘Abdullah Muḥammad b. ‘Umar </w:t>
      </w:r>
      <w:r>
        <w:t>Al-Rāzī</w:t>
      </w:r>
      <w:r w:rsidRPr="008044BC">
        <w:t xml:space="preserve">, </w:t>
      </w:r>
      <w:r w:rsidRPr="008044BC">
        <w:rPr>
          <w:i/>
          <w:iCs/>
        </w:rPr>
        <w:t>The Great Commentary</w:t>
      </w:r>
      <w:r w:rsidRPr="008044BC">
        <w:t xml:space="preserve"> (Beirut: Dār Ihiā’ al-Turāth al-‘Arabī, 1999)</w:t>
      </w:r>
      <w:r>
        <w:t xml:space="preserve">, [hereafter al-Rāzī, </w:t>
      </w:r>
      <w:r w:rsidRPr="00C93C37">
        <w:rPr>
          <w:i/>
          <w:iCs/>
        </w:rPr>
        <w:t>The Great Commentary</w:t>
      </w:r>
      <w:r>
        <w:t xml:space="preserve">]: XXXII: 294-297; </w:t>
      </w:r>
      <w:r w:rsidRPr="00121D52">
        <w:t xml:space="preserve">ibn Kathīr, </w:t>
      </w:r>
      <w:r w:rsidRPr="00121D52">
        <w:rPr>
          <w:bCs/>
          <w:i/>
        </w:rPr>
        <w:t>The Commentary of ibn Kathīr,</w:t>
      </w:r>
      <w:r w:rsidRPr="00121D52">
        <w:t xml:space="preserve"> VIII:</w:t>
      </w:r>
      <w:r w:rsidRPr="00121D52">
        <w:rPr>
          <w:rtl/>
        </w:rPr>
        <w:t xml:space="preserve"> </w:t>
      </w:r>
      <w:r w:rsidRPr="00121D52">
        <w:t>466</w:t>
      </w:r>
    </w:p>
  </w:footnote>
  <w:footnote w:id="85">
    <w:p w:rsidR="008D6268" w:rsidRDefault="008D6268" w:rsidP="00F411E0">
      <w:pPr>
        <w:pStyle w:val="FootnoteText"/>
        <w:rPr>
          <w:rtl/>
          <w:lang w:bidi="ar-AE"/>
        </w:rPr>
      </w:pPr>
      <w:r>
        <w:rPr>
          <w:rStyle w:val="FootnoteReference"/>
        </w:rPr>
        <w:footnoteRef/>
      </w:r>
      <w:r>
        <w:t xml:space="preserve"> </w:t>
      </w:r>
      <w:r>
        <w:rPr>
          <w:rFonts w:hint="cs"/>
          <w:rtl/>
          <w:lang w:bidi="ar-AE"/>
        </w:rPr>
        <w:t xml:space="preserve">أبو عبدالله الحاكم النيسابوري، </w:t>
      </w:r>
      <w:r w:rsidRPr="009C3BB3">
        <w:rPr>
          <w:rFonts w:hint="cs"/>
          <w:b/>
          <w:bCs/>
          <w:rtl/>
          <w:lang w:bidi="ar-AE"/>
        </w:rPr>
        <w:t>المستدرك على الصحيحين</w:t>
      </w:r>
      <w:r>
        <w:rPr>
          <w:rFonts w:hint="cs"/>
          <w:rtl/>
          <w:lang w:bidi="ar-AE"/>
        </w:rPr>
        <w:t>، مجلد 3، كتاب معرفة الصحابة رضي الله عنهم (القاهرة: دار الحرمين للطباعة والنشر والتوزيع، 1997)، حديث 5833</w:t>
      </w:r>
    </w:p>
    <w:p w:rsidR="008D6268" w:rsidRPr="00121D52" w:rsidRDefault="008D6268" w:rsidP="00F411E0">
      <w:pPr>
        <w:pStyle w:val="NormalWeb"/>
        <w:spacing w:before="0" w:beforeAutospacing="0" w:after="0" w:afterAutospacing="0"/>
        <w:rPr>
          <w:rFonts w:ascii="Calibri" w:hAnsi="Calibri"/>
          <w:sz w:val="20"/>
          <w:szCs w:val="20"/>
          <w:lang w:bidi="ar-AE"/>
        </w:rPr>
      </w:pPr>
      <w:r w:rsidRPr="00121D52">
        <w:rPr>
          <w:rFonts w:ascii="Calibri" w:hAnsi="Calibri"/>
          <w:sz w:val="20"/>
          <w:szCs w:val="20"/>
        </w:rPr>
        <w:t xml:space="preserve">Abū 'Abdulla </w:t>
      </w:r>
      <w:r>
        <w:rPr>
          <w:rFonts w:ascii="Calibri" w:hAnsi="Calibri"/>
          <w:sz w:val="20"/>
          <w:szCs w:val="20"/>
        </w:rPr>
        <w:t>al-Ḥākim al-Naīsābūrī</w:t>
      </w:r>
      <w:r w:rsidRPr="00121D52">
        <w:rPr>
          <w:rFonts w:ascii="Calibri" w:hAnsi="Calibri"/>
          <w:sz w:val="20"/>
          <w:szCs w:val="20"/>
        </w:rPr>
        <w:t xml:space="preserve">, </w:t>
      </w:r>
      <w:r>
        <w:rPr>
          <w:rFonts w:ascii="Calibri" w:hAnsi="Calibri"/>
          <w:sz w:val="20"/>
          <w:szCs w:val="20"/>
        </w:rPr>
        <w:t>al-</w:t>
      </w:r>
      <w:r>
        <w:rPr>
          <w:rFonts w:ascii="Calibri" w:hAnsi="Calibri"/>
          <w:i/>
          <w:iCs/>
          <w:sz w:val="20"/>
          <w:szCs w:val="20"/>
        </w:rPr>
        <w:t>Mustadrak 'alā al-Ṣaḥīḥaīn</w:t>
      </w:r>
      <w:r w:rsidRPr="00121D52">
        <w:rPr>
          <w:rFonts w:ascii="Calibri" w:hAnsi="Calibri"/>
          <w:sz w:val="20"/>
          <w:szCs w:val="20"/>
        </w:rPr>
        <w:t xml:space="preserve"> or </w:t>
      </w:r>
      <w:r w:rsidRPr="00121D52">
        <w:rPr>
          <w:rFonts w:ascii="Calibri" w:hAnsi="Calibri"/>
          <w:i/>
          <w:iCs/>
          <w:sz w:val="20"/>
          <w:szCs w:val="20"/>
          <w:lang w:bidi="ar-AE"/>
        </w:rPr>
        <w:t xml:space="preserve">The Compilation of </w:t>
      </w:r>
      <w:r>
        <w:rPr>
          <w:rFonts w:ascii="Calibri" w:hAnsi="Calibri"/>
          <w:i/>
          <w:iCs/>
          <w:sz w:val="20"/>
          <w:szCs w:val="20"/>
          <w:lang w:bidi="ar-AE"/>
        </w:rPr>
        <w:t>al-Ḥākim</w:t>
      </w:r>
      <w:r w:rsidRPr="00121D52">
        <w:rPr>
          <w:rFonts w:ascii="Calibri" w:hAnsi="Calibri"/>
          <w:i/>
          <w:iCs/>
          <w:sz w:val="20"/>
          <w:szCs w:val="20"/>
          <w:lang w:bidi="ar-AE"/>
        </w:rPr>
        <w:t>,</w:t>
      </w:r>
      <w:r w:rsidRPr="00121D52">
        <w:rPr>
          <w:rFonts w:ascii="Calibri" w:hAnsi="Calibri"/>
          <w:sz w:val="20"/>
          <w:szCs w:val="20"/>
          <w:lang w:bidi="ar-AE"/>
        </w:rPr>
        <w:t xml:space="preserve"> </w:t>
      </w:r>
      <w:r>
        <w:rPr>
          <w:rFonts w:ascii="Calibri" w:hAnsi="Calibri"/>
          <w:sz w:val="20"/>
          <w:szCs w:val="20"/>
          <w:lang w:bidi="ar-AE"/>
        </w:rPr>
        <w:t xml:space="preserve">vol.3, </w:t>
      </w:r>
      <w:r w:rsidRPr="00121D52">
        <w:rPr>
          <w:rFonts w:ascii="Calibri" w:hAnsi="Calibri"/>
          <w:sz w:val="20"/>
          <w:szCs w:val="20"/>
          <w:lang w:bidi="ar-AE"/>
        </w:rPr>
        <w:t xml:space="preserve">book </w:t>
      </w:r>
      <w:r>
        <w:rPr>
          <w:rFonts w:ascii="Calibri" w:hAnsi="Calibri"/>
          <w:sz w:val="20"/>
          <w:szCs w:val="20"/>
          <w:lang w:bidi="ar-AE"/>
        </w:rPr>
        <w:t>31</w:t>
      </w:r>
      <w:r w:rsidRPr="00121D52">
        <w:rPr>
          <w:rFonts w:ascii="Calibri" w:hAnsi="Calibri"/>
          <w:sz w:val="20"/>
          <w:szCs w:val="20"/>
          <w:lang w:bidi="ar-AE"/>
        </w:rPr>
        <w:t xml:space="preserve"> </w:t>
      </w:r>
      <w:r w:rsidRPr="006A21B6">
        <w:rPr>
          <w:rFonts w:ascii="Calibri" w:hAnsi="Calibri"/>
          <w:i/>
          <w:iCs/>
          <w:sz w:val="20"/>
          <w:szCs w:val="20"/>
          <w:lang w:bidi="ar-AE"/>
        </w:rPr>
        <w:t>of</w:t>
      </w:r>
      <w:r w:rsidRPr="00121D52">
        <w:rPr>
          <w:rFonts w:ascii="Calibri" w:hAnsi="Calibri"/>
          <w:sz w:val="20"/>
          <w:szCs w:val="20"/>
          <w:lang w:bidi="ar-AE"/>
        </w:rPr>
        <w:t xml:space="preserve"> </w:t>
      </w:r>
      <w:r>
        <w:rPr>
          <w:rFonts w:ascii="Calibri" w:hAnsi="Calibri"/>
          <w:i/>
          <w:iCs/>
          <w:sz w:val="20"/>
          <w:szCs w:val="20"/>
          <w:lang w:bidi="ar-AE"/>
        </w:rPr>
        <w:t>Knowing the Companions May Allah be Pleased with Them</w:t>
      </w:r>
      <w:r w:rsidRPr="00121D52">
        <w:rPr>
          <w:rFonts w:ascii="Calibri" w:hAnsi="Calibri"/>
          <w:i/>
          <w:iCs/>
          <w:sz w:val="20"/>
          <w:szCs w:val="20"/>
          <w:lang w:bidi="ar-AE"/>
        </w:rPr>
        <w:t xml:space="preserve"> </w:t>
      </w:r>
      <w:r w:rsidRPr="00121D52">
        <w:rPr>
          <w:rFonts w:ascii="Calibri" w:hAnsi="Calibri"/>
          <w:sz w:val="20"/>
          <w:szCs w:val="20"/>
          <w:lang w:bidi="ar-AE"/>
        </w:rPr>
        <w:t>(</w:t>
      </w:r>
      <w:r>
        <w:rPr>
          <w:rFonts w:ascii="Calibri" w:hAnsi="Calibri"/>
          <w:sz w:val="20"/>
          <w:szCs w:val="20"/>
          <w:lang w:bidi="ar-AE"/>
        </w:rPr>
        <w:t>Cairo</w:t>
      </w:r>
      <w:r w:rsidRPr="00121D52">
        <w:rPr>
          <w:rFonts w:ascii="Calibri" w:hAnsi="Calibri"/>
          <w:sz w:val="20"/>
          <w:szCs w:val="20"/>
          <w:lang w:bidi="ar-AE"/>
        </w:rPr>
        <w:t>: Dār al-</w:t>
      </w:r>
      <w:r>
        <w:rPr>
          <w:rFonts w:ascii="Calibri" w:hAnsi="Calibri"/>
          <w:sz w:val="20"/>
          <w:szCs w:val="20"/>
          <w:lang w:bidi="ar-AE"/>
        </w:rPr>
        <w:t>Ḥaramaīn</w:t>
      </w:r>
      <w:r w:rsidRPr="00121D52">
        <w:rPr>
          <w:rFonts w:ascii="Calibri" w:hAnsi="Calibri"/>
          <w:sz w:val="20"/>
          <w:szCs w:val="20"/>
          <w:lang w:bidi="ar-AE"/>
        </w:rPr>
        <w:t xml:space="preserve"> </w:t>
      </w:r>
      <w:r>
        <w:rPr>
          <w:rFonts w:ascii="Calibri" w:hAnsi="Calibri"/>
          <w:sz w:val="20"/>
          <w:szCs w:val="20"/>
          <w:lang w:bidi="ar-AE"/>
        </w:rPr>
        <w:t>lil-Ṭibā'ah wal-Nashr wal-Tawzī'</w:t>
      </w:r>
      <w:r w:rsidRPr="00121D52">
        <w:rPr>
          <w:rFonts w:ascii="Calibri" w:hAnsi="Calibri"/>
          <w:sz w:val="20"/>
          <w:szCs w:val="20"/>
          <w:lang w:bidi="ar-AE"/>
        </w:rPr>
        <w:t xml:space="preserve">, </w:t>
      </w:r>
      <w:r>
        <w:rPr>
          <w:rFonts w:ascii="Calibri" w:hAnsi="Calibri"/>
          <w:sz w:val="20"/>
          <w:szCs w:val="20"/>
          <w:lang w:bidi="ar-AE"/>
        </w:rPr>
        <w:t>1997),</w:t>
      </w:r>
      <w:r w:rsidRPr="00121D52">
        <w:rPr>
          <w:rFonts w:ascii="Calibri" w:hAnsi="Calibri"/>
          <w:sz w:val="20"/>
          <w:szCs w:val="20"/>
          <w:lang w:bidi="ar-AE"/>
        </w:rPr>
        <w:t xml:space="preserve"> </w:t>
      </w:r>
      <w:r w:rsidRPr="00121D52">
        <w:rPr>
          <w:rFonts w:ascii="Calibri" w:hAnsi="Calibri" w:cs="Arial"/>
          <w:sz w:val="20"/>
          <w:szCs w:val="20"/>
          <w:lang w:bidi="ar-AE"/>
        </w:rPr>
        <w:t>ḥ</w:t>
      </w:r>
      <w:r w:rsidRPr="00121D52">
        <w:rPr>
          <w:rFonts w:ascii="Calibri" w:hAnsi="Calibri"/>
          <w:sz w:val="20"/>
          <w:szCs w:val="20"/>
          <w:lang w:bidi="ar-AE"/>
        </w:rPr>
        <w:t>ad</w:t>
      </w:r>
      <w:r w:rsidRPr="00121D52">
        <w:rPr>
          <w:rFonts w:ascii="Calibri" w:hAnsi="Calibri" w:cs="Candara"/>
          <w:sz w:val="20"/>
          <w:szCs w:val="20"/>
          <w:lang w:bidi="ar-AE"/>
        </w:rPr>
        <w:t>ī</w:t>
      </w:r>
      <w:r w:rsidRPr="00121D52">
        <w:rPr>
          <w:rFonts w:ascii="Calibri" w:hAnsi="Calibri"/>
          <w:sz w:val="20"/>
          <w:szCs w:val="20"/>
          <w:lang w:bidi="ar-AE"/>
        </w:rPr>
        <w:t xml:space="preserve">th </w:t>
      </w:r>
      <w:r>
        <w:rPr>
          <w:rFonts w:ascii="Calibri" w:hAnsi="Calibri"/>
          <w:sz w:val="20"/>
          <w:szCs w:val="20"/>
          <w:lang w:bidi="ar-AE"/>
        </w:rPr>
        <w:t>5833</w:t>
      </w:r>
      <w:r w:rsidRPr="00121D52">
        <w:rPr>
          <w:rFonts w:ascii="Calibri" w:hAnsi="Calibri"/>
          <w:sz w:val="20"/>
          <w:szCs w:val="20"/>
          <w:lang w:bidi="ar-AE"/>
        </w:rPr>
        <w:t>:</w:t>
      </w:r>
    </w:p>
    <w:p w:rsidR="008D6268" w:rsidRDefault="008D6268" w:rsidP="00F411E0">
      <w:pPr>
        <w:pStyle w:val="FootnoteText"/>
        <w:bidi/>
        <w:rPr>
          <w:lang w:bidi="ar-AE"/>
        </w:rPr>
      </w:pPr>
      <w:r>
        <w:rPr>
          <w:rStyle w:val="arabictextdetails"/>
          <w:rFonts w:hint="cs"/>
          <w:rtl/>
          <w:lang w:bidi="ar-AE"/>
        </w:rPr>
        <w:t>"</w:t>
      </w:r>
      <w:r>
        <w:rPr>
          <w:rStyle w:val="hadethegeneral"/>
          <w:rtl/>
        </w:rPr>
        <w:t xml:space="preserve">عَنْ </w:t>
      </w:r>
      <w:r w:rsidRPr="004A63DF">
        <w:rPr>
          <w:rStyle w:val="rawyname"/>
          <w:rtl/>
        </w:rPr>
        <w:t xml:space="preserve">سَلَمَةَ بْنِ سَلَامَةَ بْنِ وَقْشٍ </w:t>
      </w:r>
      <w:r>
        <w:rPr>
          <w:rStyle w:val="hadethegeneral"/>
          <w:rtl/>
        </w:rPr>
        <w:t xml:space="preserve">، قَالَ : كَانَ لَنَا جَارٌ مِنْ يَهُودٍ فِي بَنِي عَبْدِ الْأَشْهَلِ قَالَ : فَخَرَجَ عَلَيْنَا يَوْمًا مِنْ بَيْتِهِ حَتَّى وَقَفَ عَلَى بَنِي عَبْدِ الْأَشْهَلِ ، قَالَ سَلَمَةُ </w:t>
      </w:r>
      <w:r>
        <w:rPr>
          <w:rStyle w:val="hadethegeneral"/>
        </w:rPr>
        <w:t xml:space="preserve">: </w:t>
      </w:r>
      <w:r>
        <w:rPr>
          <w:rStyle w:val="hadethegeneral"/>
          <w:rtl/>
        </w:rPr>
        <w:t xml:space="preserve">وَأَنَا يَوْمَئِذٍ حَدَثٌ عَلَيَّ </w:t>
      </w:r>
      <w:r>
        <w:rPr>
          <w:rStyle w:val="gareeb"/>
          <w:rtl/>
        </w:rPr>
        <w:t xml:space="preserve">بُرْدَةٌ </w:t>
      </w:r>
      <w:r>
        <w:rPr>
          <w:rStyle w:val="hadethegeneral"/>
          <w:rtl/>
        </w:rPr>
        <w:t xml:space="preserve">لِي مُضْطَجِعٌ فِيهَا بِفِنَاءِ أَهْلِي ، فَذَكَرَ الْقِيَامَةَ وَالْبَعْثَ وَالْحِسَابَ وَالْمِيزَانَ وَالْجَنَّةَ وَالنَّارَ </w:t>
      </w:r>
      <w:r>
        <w:rPr>
          <w:rStyle w:val="hadethegeneral"/>
        </w:rPr>
        <w:t xml:space="preserve">. </w:t>
      </w:r>
      <w:r>
        <w:rPr>
          <w:rStyle w:val="hadethegeneral"/>
          <w:rtl/>
        </w:rPr>
        <w:t xml:space="preserve">قَالَ : فَقَالَ ذَلِكَ فِي أَهْلِ يَثْرِبَ ، وَالْقَوْمُ أَصْحَابُ </w:t>
      </w:r>
      <w:r>
        <w:rPr>
          <w:rStyle w:val="gareeb"/>
          <w:rtl/>
        </w:rPr>
        <w:t xml:space="preserve">أَوْثَانٍ </w:t>
      </w:r>
      <w:r>
        <w:rPr>
          <w:rStyle w:val="hadethegeneral"/>
          <w:rtl/>
        </w:rPr>
        <w:t>لَا يَرَوْنَ بَعْثًا كَائِنًا عِنْدَ الْمَوْتِ</w:t>
      </w:r>
      <w:r>
        <w:rPr>
          <w:rStyle w:val="hadethegeneral"/>
          <w:rFonts w:hint="cs"/>
          <w:rtl/>
        </w:rPr>
        <w:t>."</w:t>
      </w:r>
    </w:p>
  </w:footnote>
  <w:footnote w:id="86">
    <w:p w:rsidR="008D6268" w:rsidRPr="0052118F" w:rsidRDefault="008D6268" w:rsidP="00F411E0">
      <w:pPr>
        <w:pStyle w:val="FootnoteText"/>
      </w:pPr>
      <w:r w:rsidRPr="00121D52">
        <w:rPr>
          <w:rStyle w:val="FootnoteReference"/>
        </w:rPr>
        <w:footnoteRef/>
      </w:r>
      <w:r w:rsidRPr="00121D52">
        <w:t xml:space="preserve"> al-Alūsī, </w:t>
      </w:r>
      <w:r w:rsidRPr="00121D52">
        <w:rPr>
          <w:i/>
        </w:rPr>
        <w:t>On Knowledge of the Affairs of Pagan Arabs</w:t>
      </w:r>
      <w:r w:rsidRPr="00121D52">
        <w:rPr>
          <w:iCs/>
        </w:rPr>
        <w:t>: II: 158-172</w:t>
      </w:r>
    </w:p>
  </w:footnote>
  <w:footnote w:id="87">
    <w:p w:rsidR="008D6268" w:rsidRPr="00847508" w:rsidRDefault="008D6268" w:rsidP="00F411E0">
      <w:pPr>
        <w:pStyle w:val="FootnoteText"/>
        <w:rPr>
          <w:iCs/>
          <w:lang w:bidi="ar-AE"/>
        </w:rPr>
      </w:pPr>
      <w:r>
        <w:rPr>
          <w:rStyle w:val="FootnoteReference"/>
        </w:rPr>
        <w:footnoteRef/>
      </w:r>
      <w:r>
        <w:t xml:space="preserve"> </w:t>
      </w:r>
      <w:r w:rsidRPr="002E4C0B">
        <w:rPr>
          <w:i/>
        </w:rPr>
        <w:t>The Meaning of the Holy Qur’ān</w:t>
      </w:r>
      <w:r>
        <w:rPr>
          <w:i/>
        </w:rPr>
        <w:t xml:space="preserve">, </w:t>
      </w:r>
      <w:r>
        <w:rPr>
          <w:iCs/>
          <w:lang w:bidi="ar-AE"/>
        </w:rPr>
        <w:t>39:71-73</w:t>
      </w:r>
    </w:p>
  </w:footnote>
  <w:footnote w:id="88">
    <w:p w:rsidR="008D6268" w:rsidRPr="00121D52" w:rsidRDefault="008D6268" w:rsidP="00F411E0">
      <w:pPr>
        <w:pStyle w:val="FootnoteText"/>
      </w:pPr>
      <w:r w:rsidRPr="00121D52">
        <w:rPr>
          <w:rStyle w:val="FootnoteReference"/>
        </w:rPr>
        <w:footnoteRef/>
      </w:r>
      <w:r w:rsidRPr="00121D52">
        <w:t xml:space="preserve"> </w:t>
      </w:r>
      <w:r w:rsidRPr="00121D52">
        <w:rPr>
          <w:i/>
          <w:iCs/>
        </w:rPr>
        <w:t xml:space="preserve">The Majestic Qur’ān, </w:t>
      </w:r>
      <w:r w:rsidRPr="00121D52">
        <w:t>2:170</w:t>
      </w:r>
    </w:p>
  </w:footnote>
  <w:footnote w:id="89">
    <w:p w:rsidR="008D6268" w:rsidRPr="00121D52" w:rsidRDefault="008D6268" w:rsidP="00F411E0">
      <w:pPr>
        <w:pStyle w:val="FootnoteText"/>
      </w:pPr>
      <w:r w:rsidRPr="00121D52">
        <w:rPr>
          <w:rStyle w:val="FootnoteReference"/>
        </w:rPr>
        <w:footnoteRef/>
      </w:r>
      <w:r w:rsidRPr="00121D52">
        <w:t xml:space="preserve"> Berkey, </w:t>
      </w:r>
      <w:r w:rsidRPr="008D6752">
        <w:rPr>
          <w:i/>
          <w:iCs/>
        </w:rPr>
        <w:t>The Formation of Islam</w:t>
      </w:r>
      <w:r>
        <w:rPr>
          <w:i/>
          <w:iCs/>
        </w:rPr>
        <w:t>,</w:t>
      </w:r>
      <w:r w:rsidRPr="00121D52">
        <w:t xml:space="preserve"> p.40</w:t>
      </w:r>
    </w:p>
  </w:footnote>
  <w:footnote w:id="90">
    <w:p w:rsidR="008D6268" w:rsidRPr="00D46388" w:rsidRDefault="008D6268" w:rsidP="00F411E0">
      <w:pPr>
        <w:pStyle w:val="FootnoteText"/>
      </w:pPr>
      <w:r>
        <w:rPr>
          <w:rStyle w:val="FootnoteReference"/>
        </w:rPr>
        <w:footnoteRef/>
      </w:r>
      <w:r>
        <w:t xml:space="preserve"> </w:t>
      </w:r>
      <w:r w:rsidRPr="00121D52">
        <w:rPr>
          <w:i/>
          <w:iCs/>
        </w:rPr>
        <w:t>The Majestic Qur’ān,</w:t>
      </w:r>
      <w:r>
        <w:rPr>
          <w:i/>
          <w:iCs/>
        </w:rPr>
        <w:t xml:space="preserve"> </w:t>
      </w:r>
      <w:r>
        <w:t>2:212</w:t>
      </w:r>
    </w:p>
  </w:footnote>
  <w:footnote w:id="91">
    <w:p w:rsidR="008D6268" w:rsidRPr="00121D52" w:rsidRDefault="008D6268" w:rsidP="00E86046">
      <w:pPr>
        <w:pStyle w:val="FootnoteText"/>
      </w:pPr>
      <w:r w:rsidRPr="00121D52">
        <w:rPr>
          <w:rStyle w:val="FootnoteReference"/>
        </w:rPr>
        <w:footnoteRef/>
      </w:r>
      <w:r w:rsidRPr="00121D52">
        <w:t xml:space="preserve"> Montgomery Watt, 'Mu</w:t>
      </w:r>
      <w:r w:rsidRPr="00121D52">
        <w:rPr>
          <w:rFonts w:cs="Arial"/>
        </w:rPr>
        <w:t>ḥ</w:t>
      </w:r>
      <w:r w:rsidRPr="00121D52">
        <w:t xml:space="preserve">ammad', in </w:t>
      </w:r>
      <w:r w:rsidRPr="00121D52">
        <w:rPr>
          <w:i/>
        </w:rPr>
        <w:t>The Cambridge History of Islam</w:t>
      </w:r>
      <w:r w:rsidRPr="00121D52">
        <w:t>, ed. by P. M. Holt, Anne K. S. Lambton and Bernard Lewis , vol.1A (Cambridge: Cambridge University Press, 2008), pp.51-5</w:t>
      </w:r>
      <w:r w:rsidRPr="00121D52">
        <w:rPr>
          <w:rtl/>
        </w:rPr>
        <w:t>4</w:t>
      </w:r>
    </w:p>
  </w:footnote>
  <w:footnote w:id="92">
    <w:p w:rsidR="008D6268" w:rsidRPr="00121D52" w:rsidRDefault="008D6268" w:rsidP="00F411E0">
      <w:pPr>
        <w:pStyle w:val="FootnoteText"/>
        <w:rPr>
          <w:rtl/>
          <w:lang w:bidi="ar-AE"/>
        </w:rPr>
      </w:pPr>
      <w:r w:rsidRPr="00121D52">
        <w:rPr>
          <w:rStyle w:val="FootnoteReference"/>
        </w:rPr>
        <w:footnoteRef/>
      </w:r>
      <w:r w:rsidRPr="00121D52">
        <w:t xml:space="preserve"> </w:t>
      </w:r>
      <w:r w:rsidRPr="00121D52">
        <w:rPr>
          <w:rtl/>
          <w:lang w:bidi="ar-AE"/>
        </w:rPr>
        <w:t xml:space="preserve">أبو الفتح محمد بن عبدالكريم الشهرستاني، </w:t>
      </w:r>
      <w:r w:rsidRPr="00121D52">
        <w:rPr>
          <w:b/>
          <w:bCs/>
          <w:rtl/>
          <w:lang w:bidi="ar-AE"/>
        </w:rPr>
        <w:t xml:space="preserve">الملل والنحل </w:t>
      </w:r>
      <w:r w:rsidRPr="00121D52">
        <w:rPr>
          <w:rtl/>
          <w:lang w:bidi="ar-AE"/>
        </w:rPr>
        <w:t>(بيروت: دار الكتب العلمية، 1992): 1/13-21</w:t>
      </w:r>
    </w:p>
    <w:p w:rsidR="008D6268" w:rsidRPr="00121D52" w:rsidRDefault="008D6268" w:rsidP="00F411E0">
      <w:pPr>
        <w:pStyle w:val="FootnoteText"/>
      </w:pPr>
      <w:r w:rsidRPr="00121D52">
        <w:t>abū al-Fath Mu</w:t>
      </w:r>
      <w:r w:rsidRPr="00121D52">
        <w:rPr>
          <w:rFonts w:cs="Arial"/>
        </w:rPr>
        <w:t>ḥ</w:t>
      </w:r>
      <w:r w:rsidRPr="00121D52">
        <w:t xml:space="preserve">ammad ibn `abd al-Karīm al-Shahrastānī, </w:t>
      </w:r>
      <w:r w:rsidRPr="00121D52">
        <w:rPr>
          <w:i/>
        </w:rPr>
        <w:t>Al-Milal Wal-Ni</w:t>
      </w:r>
      <w:r w:rsidRPr="00121D52">
        <w:rPr>
          <w:rFonts w:cs="Arial"/>
          <w:i/>
        </w:rPr>
        <w:t>ḥ</w:t>
      </w:r>
      <w:r w:rsidRPr="00121D52">
        <w:rPr>
          <w:i/>
        </w:rPr>
        <w:t>al Or Book of Sects and Creeds</w:t>
      </w:r>
      <w:r w:rsidRPr="00121D52">
        <w:t xml:space="preserve"> (Beirut: Dār al-Kotob al-Ilmīya, 1992), [hereafter al-Shahrastānī</w:t>
      </w:r>
      <w:r>
        <w:t xml:space="preserve">, </w:t>
      </w:r>
      <w:r w:rsidRPr="00121D52">
        <w:rPr>
          <w:i/>
        </w:rPr>
        <w:t>Book of Sects and Creeds</w:t>
      </w:r>
      <w:r w:rsidRPr="00121D52">
        <w:t>]: I:</w:t>
      </w:r>
      <w:r w:rsidRPr="00121D52">
        <w:rPr>
          <w:rtl/>
        </w:rPr>
        <w:t xml:space="preserve"> </w:t>
      </w:r>
      <w:r w:rsidRPr="00121D52">
        <w:t xml:space="preserve">13-21; Philip K. Hitti, </w:t>
      </w:r>
      <w:r w:rsidRPr="00121D52">
        <w:rPr>
          <w:i/>
        </w:rPr>
        <w:t>The Near East in History</w:t>
      </w:r>
      <w:r w:rsidRPr="00121D52">
        <w:t xml:space="preserve"> (New Jersey: D. Van Nostrand Company, Inc., 1961), [hereafter Hitti, </w:t>
      </w:r>
      <w:r w:rsidRPr="00121D52">
        <w:rPr>
          <w:i/>
          <w:iCs/>
        </w:rPr>
        <w:t>The Near East in History</w:t>
      </w:r>
      <w:r w:rsidRPr="00121D52">
        <w:t>]: p</w:t>
      </w:r>
      <w:r>
        <w:t>p</w:t>
      </w:r>
      <w:r w:rsidRPr="00121D52">
        <w:t>.206</w:t>
      </w:r>
      <w:r>
        <w:t>-207</w:t>
      </w:r>
      <w:r w:rsidRPr="00121D52">
        <w:t>; p</w:t>
      </w:r>
      <w:r>
        <w:t>p</w:t>
      </w:r>
      <w:r w:rsidRPr="00121D52">
        <w:t>.</w:t>
      </w:r>
      <w:r>
        <w:t>215-</w:t>
      </w:r>
      <w:r w:rsidRPr="00121D52">
        <w:t xml:space="preserve">217; Laura Veccia Valieri, 'The Patriaichal and Umayyad Caliphates', in </w:t>
      </w:r>
      <w:r w:rsidRPr="00121D52">
        <w:rPr>
          <w:i/>
        </w:rPr>
        <w:t>The Cambridge History of Islam</w:t>
      </w:r>
      <w:r w:rsidRPr="00121D52">
        <w:t>, ed. by P. M. Holt, Anne K. S. Lambton and Bernard Lewis , vol.1A (Cambrdige: Cambridge University Press, 1970), [hereafter Valieri</w:t>
      </w:r>
      <w:r>
        <w:t xml:space="preserve">, </w:t>
      </w:r>
      <w:r w:rsidRPr="00121D52">
        <w:t>'The Patriaichal and Umayyad Caliphates']: p</w:t>
      </w:r>
      <w:r>
        <w:t>p</w:t>
      </w:r>
      <w:r w:rsidRPr="00121D52">
        <w:t>.</w:t>
      </w:r>
      <w:r>
        <w:t>67-</w:t>
      </w:r>
      <w:r w:rsidRPr="00121D52">
        <w:t>72</w:t>
      </w:r>
    </w:p>
  </w:footnote>
  <w:footnote w:id="93">
    <w:p w:rsidR="008D6268" w:rsidRPr="00121D52" w:rsidRDefault="008D6268" w:rsidP="00F411E0">
      <w:pPr>
        <w:pStyle w:val="FootnoteText"/>
        <w:rPr>
          <w:rtl/>
          <w:lang w:bidi="ar-AE"/>
        </w:rPr>
      </w:pPr>
      <w:r w:rsidRPr="00121D52">
        <w:rPr>
          <w:rStyle w:val="FootnoteReference"/>
        </w:rPr>
        <w:footnoteRef/>
      </w:r>
      <w:r w:rsidRPr="00121D52">
        <w:t xml:space="preserve"> </w:t>
      </w:r>
      <w:r w:rsidRPr="00121D52">
        <w:rPr>
          <w:rtl/>
          <w:lang w:bidi="ar-AE"/>
        </w:rPr>
        <w:t>أبو الفداء إسماعيل بن عمر القريشي ابن كثير،</w:t>
      </w:r>
      <w:r w:rsidRPr="00121D52">
        <w:rPr>
          <w:b/>
          <w:bCs/>
          <w:rtl/>
          <w:lang w:bidi="ar-AE"/>
        </w:rPr>
        <w:t xml:space="preserve"> البداية والنهاية</w:t>
      </w:r>
      <w:r w:rsidRPr="00121D52">
        <w:rPr>
          <w:rtl/>
          <w:lang w:bidi="ar-AE"/>
        </w:rPr>
        <w:t xml:space="preserve">، تحقيق عبدالله بن عبدالمحسن التركي (القاهرة: دار هجر للطباعة والنشر والتوزيع، 1997): 10/ 305–319؛ 10/431-470؛ 11/ 5-16؛ محمد بن جرير بن يزيد الطبري، </w:t>
      </w:r>
      <w:r w:rsidRPr="00121D52">
        <w:rPr>
          <w:b/>
          <w:bCs/>
          <w:rtl/>
          <w:lang w:bidi="ar-AE"/>
        </w:rPr>
        <w:t>تاريخ الرسل والملوك</w:t>
      </w:r>
      <w:r w:rsidRPr="00121D52">
        <w:rPr>
          <w:rtl/>
          <w:lang w:bidi="ar-AE"/>
        </w:rPr>
        <w:t xml:space="preserve"> (بيروت: دار التراث، 1387</w:t>
      </w:r>
      <w:r>
        <w:rPr>
          <w:rtl/>
          <w:lang w:bidi="ar-AE"/>
        </w:rPr>
        <w:t xml:space="preserve"> هـ): 4/ 365-396؛ 4/455-535؛ 5/</w:t>
      </w:r>
      <w:r w:rsidRPr="00121D52">
        <w:rPr>
          <w:rtl/>
          <w:lang w:bidi="ar-AE"/>
        </w:rPr>
        <w:t xml:space="preserve">143-152؛ أبو الحسن علي بن أبي الكرم بن الأثير، </w:t>
      </w:r>
      <w:r w:rsidRPr="00121D52">
        <w:rPr>
          <w:b/>
          <w:bCs/>
          <w:rtl/>
          <w:lang w:bidi="ar-AE"/>
        </w:rPr>
        <w:t>الكامل في التاريخ</w:t>
      </w:r>
      <w:r w:rsidRPr="00121D52">
        <w:rPr>
          <w:rtl/>
          <w:lang w:bidi="ar-AE"/>
        </w:rPr>
        <w:t>، تحقيق عمر عبدالسلام تدمري (بيروت: دار الكتاب العربي، 1997): 2/536-</w:t>
      </w:r>
      <w:r>
        <w:rPr>
          <w:rFonts w:hint="cs"/>
          <w:rtl/>
          <w:lang w:bidi="ar-AE"/>
        </w:rPr>
        <w:t>5</w:t>
      </w:r>
      <w:r w:rsidRPr="00121D52">
        <w:rPr>
          <w:rtl/>
          <w:lang w:bidi="ar-AE"/>
        </w:rPr>
        <w:t>54؛ 2/5</w:t>
      </w:r>
      <w:r>
        <w:rPr>
          <w:rFonts w:hint="cs"/>
          <w:rtl/>
          <w:lang w:bidi="ar-AE"/>
        </w:rPr>
        <w:t>68</w:t>
      </w:r>
      <w:r w:rsidRPr="00121D52">
        <w:rPr>
          <w:rtl/>
          <w:lang w:bidi="ar-AE"/>
        </w:rPr>
        <w:t>-</w:t>
      </w:r>
      <w:r>
        <w:rPr>
          <w:rFonts w:hint="cs"/>
          <w:rtl/>
          <w:lang w:bidi="ar-AE"/>
        </w:rPr>
        <w:t>637</w:t>
      </w:r>
      <w:r w:rsidRPr="00121D52">
        <w:rPr>
          <w:rtl/>
          <w:lang w:bidi="ar-AE"/>
        </w:rPr>
        <w:t>؛ 2/736-7</w:t>
      </w:r>
      <w:r>
        <w:rPr>
          <w:rFonts w:hint="cs"/>
          <w:rtl/>
          <w:lang w:bidi="ar-AE"/>
        </w:rPr>
        <w:t>46</w:t>
      </w:r>
    </w:p>
    <w:p w:rsidR="008D6268" w:rsidRPr="00121D52" w:rsidRDefault="008D6268" w:rsidP="00F411E0">
      <w:pPr>
        <w:pStyle w:val="FootnoteText"/>
        <w:rPr>
          <w:iCs/>
        </w:rPr>
      </w:pPr>
      <w:r w:rsidRPr="00121D52">
        <w:t xml:space="preserve">Abū al-Fidā' 'Ismā'īl b 'Umar al-Qurashī ibn Kathīr, </w:t>
      </w:r>
      <w:r w:rsidRPr="00121D52">
        <w:rPr>
          <w:i/>
        </w:rPr>
        <w:t>Al-Bidāya Wal-Nihāya Or The Beginning and the End</w:t>
      </w:r>
      <w:r w:rsidRPr="00121D52">
        <w:t>, ed. by 'Abdulla b. 'Abd al-Mu</w:t>
      </w:r>
      <w:r w:rsidRPr="00121D52">
        <w:rPr>
          <w:rFonts w:cs="Arial"/>
        </w:rPr>
        <w:t>ḥ</w:t>
      </w:r>
      <w:r w:rsidRPr="00121D52">
        <w:t>sin al-Tirkī (Cairo: Dār Hajar lil-</w:t>
      </w:r>
      <w:r w:rsidRPr="00121D52">
        <w:rPr>
          <w:rFonts w:cs="Arial"/>
        </w:rPr>
        <w:t>Ṭ</w:t>
      </w:r>
      <w:r w:rsidRPr="00121D52">
        <w:t xml:space="preserve">ibā'a wal-Nashr wal-Tawzī', 1997), [hereafter ibn Kathīr, </w:t>
      </w:r>
      <w:r w:rsidRPr="00121D52">
        <w:rPr>
          <w:i/>
        </w:rPr>
        <w:t>The Beginning and the End</w:t>
      </w:r>
      <w:r>
        <w:rPr>
          <w:iCs/>
        </w:rPr>
        <w:t>]: X: 305-319; 431-470</w:t>
      </w:r>
      <w:r w:rsidRPr="00121D52">
        <w:rPr>
          <w:iCs/>
        </w:rPr>
        <w:t>; XI:.5-16; Mu</w:t>
      </w:r>
      <w:r w:rsidRPr="00121D52">
        <w:rPr>
          <w:rFonts w:cs="Arial"/>
          <w:iCs/>
        </w:rPr>
        <w:t>ḥ</w:t>
      </w:r>
      <w:r w:rsidRPr="00121D52">
        <w:rPr>
          <w:iCs/>
        </w:rPr>
        <w:t>ammad b. Jarīr (Beirut: Dār al-Turāth, 1387 hijri), [hereafter al-</w:t>
      </w:r>
      <w:r w:rsidRPr="00121D52">
        <w:rPr>
          <w:rFonts w:cs="Arial"/>
          <w:iCs/>
        </w:rPr>
        <w:t>Ṭ</w:t>
      </w:r>
      <w:r w:rsidRPr="00121D52">
        <w:rPr>
          <w:iCs/>
        </w:rPr>
        <w:t xml:space="preserve">abarī, </w:t>
      </w:r>
      <w:r w:rsidRPr="00121D52">
        <w:rPr>
          <w:i/>
        </w:rPr>
        <w:t>History of Prophets and Kings</w:t>
      </w:r>
      <w:r w:rsidRPr="00121D52">
        <w:rPr>
          <w:iCs/>
        </w:rPr>
        <w:t>]:</w:t>
      </w:r>
      <w:r w:rsidRPr="00121D52">
        <w:rPr>
          <w:i/>
        </w:rPr>
        <w:t xml:space="preserve"> </w:t>
      </w:r>
      <w:r w:rsidRPr="00121D52">
        <w:rPr>
          <w:iCs/>
        </w:rPr>
        <w:t>IV: 365-396; 455-535; V: 143-152; Abū al-</w:t>
      </w:r>
      <w:r w:rsidRPr="00121D52">
        <w:rPr>
          <w:rFonts w:cs="Arial"/>
          <w:iCs/>
        </w:rPr>
        <w:t>Ḥ</w:t>
      </w:r>
      <w:r w:rsidRPr="00121D52">
        <w:rPr>
          <w:iCs/>
        </w:rPr>
        <w:t xml:space="preserve">asan 'Alī b. Abī al-Karam b. al-Athīr, al-Kāmil fī'l-Tārīkh or </w:t>
      </w:r>
      <w:r w:rsidRPr="00121D52">
        <w:rPr>
          <w:i/>
        </w:rPr>
        <w:t>The Complete History</w:t>
      </w:r>
      <w:r w:rsidRPr="00121D52">
        <w:rPr>
          <w:iCs/>
        </w:rPr>
        <w:t xml:space="preserve"> (Beirut: Dār al-Kitāb al-'Arabī, 1997), [hereafter ibn al-Athīr, </w:t>
      </w:r>
      <w:r w:rsidRPr="00121D52">
        <w:rPr>
          <w:i/>
        </w:rPr>
        <w:t>The Complete History</w:t>
      </w:r>
      <w:r w:rsidRPr="00121D52">
        <w:rPr>
          <w:iCs/>
        </w:rPr>
        <w:t>]: II: 536</w:t>
      </w:r>
      <w:r>
        <w:rPr>
          <w:iCs/>
        </w:rPr>
        <w:t>-554</w:t>
      </w:r>
      <w:r w:rsidRPr="00121D52">
        <w:rPr>
          <w:iCs/>
        </w:rPr>
        <w:t>; 5</w:t>
      </w:r>
      <w:r w:rsidRPr="00871CEC">
        <w:rPr>
          <w:rFonts w:hint="cs"/>
          <w:i/>
          <w:rtl/>
        </w:rPr>
        <w:t>68</w:t>
      </w:r>
      <w:r w:rsidRPr="00121D52">
        <w:rPr>
          <w:iCs/>
        </w:rPr>
        <w:t>-</w:t>
      </w:r>
      <w:r w:rsidRPr="00382ACC">
        <w:rPr>
          <w:rFonts w:hint="cs"/>
          <w:i/>
          <w:rtl/>
        </w:rPr>
        <w:t>637</w:t>
      </w:r>
      <w:r>
        <w:rPr>
          <w:iCs/>
        </w:rPr>
        <w:t>;</w:t>
      </w:r>
      <w:r w:rsidRPr="00121D52">
        <w:rPr>
          <w:iCs/>
        </w:rPr>
        <w:t xml:space="preserve"> 736-7</w:t>
      </w:r>
      <w:r>
        <w:rPr>
          <w:iCs/>
        </w:rPr>
        <w:t>46</w:t>
      </w:r>
    </w:p>
  </w:footnote>
  <w:footnote w:id="94">
    <w:p w:rsidR="008D6268" w:rsidRPr="00346522" w:rsidRDefault="008D6268" w:rsidP="00F411E0">
      <w:pPr>
        <w:pStyle w:val="FootnoteText"/>
      </w:pPr>
      <w:r w:rsidRPr="00121D52">
        <w:rPr>
          <w:rStyle w:val="FootnoteReference"/>
        </w:rPr>
        <w:footnoteRef/>
      </w:r>
      <w:r w:rsidRPr="00346522">
        <w:t xml:space="preserve"> ibn Man</w:t>
      </w:r>
      <w:r w:rsidRPr="00346522">
        <w:rPr>
          <w:rFonts w:cs="Arial"/>
        </w:rPr>
        <w:t>ẓ</w:t>
      </w:r>
      <w:r w:rsidRPr="00346522">
        <w:t xml:space="preserve">ūr, </w:t>
      </w:r>
      <w:r>
        <w:rPr>
          <w:i/>
          <w:iCs/>
        </w:rPr>
        <w:t>The Arabic Tongue,</w:t>
      </w:r>
      <w:r w:rsidRPr="00346522">
        <w:t xml:space="preserve"> XIII: 317-320</w:t>
      </w:r>
    </w:p>
  </w:footnote>
  <w:footnote w:id="95">
    <w:p w:rsidR="008D6268" w:rsidRDefault="008D6268" w:rsidP="00F411E0">
      <w:pPr>
        <w:pStyle w:val="FootnoteText"/>
      </w:pPr>
      <w:r>
        <w:rPr>
          <w:rStyle w:val="FootnoteReference"/>
        </w:rPr>
        <w:footnoteRef/>
      </w:r>
      <w:r>
        <w:t xml:space="preserve"> a</w:t>
      </w:r>
      <w:r w:rsidRPr="001C06AA">
        <w:t>bū ‘Abd Allāh Mu</w:t>
      </w:r>
      <w:r w:rsidRPr="001C06AA">
        <w:rPr>
          <w:rFonts w:cs="Arial"/>
        </w:rPr>
        <w:t>ḥ</w:t>
      </w:r>
      <w:r w:rsidRPr="001C06AA">
        <w:t>ammad b. Ism</w:t>
      </w:r>
      <w:r w:rsidRPr="001C06AA">
        <w:rPr>
          <w:rFonts w:cs="Candara"/>
        </w:rPr>
        <w:t>ā‘ī</w:t>
      </w:r>
      <w:r w:rsidRPr="001C06AA">
        <w:t xml:space="preserve">l al-Bukhārī,, </w:t>
      </w:r>
      <w:r w:rsidRPr="001C06AA">
        <w:rPr>
          <w:i/>
          <w:iCs/>
        </w:rPr>
        <w:t xml:space="preserve">Sahih </w:t>
      </w:r>
      <w:r>
        <w:rPr>
          <w:i/>
          <w:iCs/>
        </w:rPr>
        <w:t>a</w:t>
      </w:r>
      <w:r w:rsidRPr="001C06AA">
        <w:rPr>
          <w:i/>
          <w:iCs/>
        </w:rPr>
        <w:t>l-Bukhari</w:t>
      </w:r>
      <w:r w:rsidRPr="001C06AA">
        <w:t>, trans. by Muhammad Muhsin Khan</w:t>
      </w:r>
      <w:r>
        <w:t xml:space="preserve">, </w:t>
      </w:r>
      <w:r w:rsidRPr="001C06AA">
        <w:t xml:space="preserve"> </w:t>
      </w:r>
      <w:r w:rsidRPr="00121D52">
        <w:t xml:space="preserve">book </w:t>
      </w:r>
      <w:r>
        <w:t>88</w:t>
      </w:r>
      <w:r w:rsidRPr="00121D52">
        <w:t xml:space="preserve"> </w:t>
      </w:r>
      <w:r w:rsidRPr="00121D52">
        <w:rPr>
          <w:i/>
          <w:iCs/>
        </w:rPr>
        <w:t xml:space="preserve">of </w:t>
      </w:r>
      <w:r>
        <w:rPr>
          <w:i/>
          <w:iCs/>
        </w:rPr>
        <w:t>Afflictions and the End of the World</w:t>
      </w:r>
      <w:r w:rsidRPr="001C06AA">
        <w:t xml:space="preserve"> (Virginia: al-Saadawi Publications, 1996)</w:t>
      </w:r>
      <w:r>
        <w:t xml:space="preserve">, [hereafter </w:t>
      </w:r>
      <w:r w:rsidRPr="005C6636">
        <w:t>al-Bukhārī</w:t>
      </w:r>
      <w:r>
        <w:rPr>
          <w:i/>
          <w:iCs/>
        </w:rPr>
        <w:t>,</w:t>
      </w:r>
      <w:r w:rsidRPr="00121D52">
        <w:rPr>
          <w:i/>
          <w:iCs/>
        </w:rPr>
        <w:t xml:space="preserve"> Sahīh </w:t>
      </w:r>
      <w:r>
        <w:rPr>
          <w:i/>
          <w:iCs/>
        </w:rPr>
        <w:t>al-Bukhārī</w:t>
      </w:r>
      <w:r>
        <w:t xml:space="preserve">] </w:t>
      </w:r>
      <w:r w:rsidRPr="00121D52">
        <w:t xml:space="preserve">hadīth no. </w:t>
      </w:r>
      <w:r>
        <w:t>182</w:t>
      </w:r>
      <w:r w:rsidRPr="00121D52">
        <w:t>:</w:t>
      </w:r>
    </w:p>
    <w:p w:rsidR="008D6268" w:rsidRDefault="008D6268" w:rsidP="00F411E0">
      <w:pPr>
        <w:pStyle w:val="FootnoteText"/>
        <w:bidi/>
      </w:pPr>
      <w:r>
        <w:rPr>
          <w:rStyle w:val="arabictextdetails"/>
        </w:rPr>
        <w:t>"</w:t>
      </w:r>
      <w:r>
        <w:rPr>
          <w:rStyle w:val="arabictextdetails"/>
          <w:rtl/>
        </w:rPr>
        <w:t>أَشْرَفَ النَّبِيُّ صلى الله عليه وسلم عَلَى أُطُمٍ مِنْ آطَامِ الْمَدِينَةِ فَقَالَ ‏"‏ هَلْ تَرَوْنَ مَا أَرَى ‏"‏‏.‏ قَالُوا لاَ‏.‏ قَالَ ‏"‏ فَإِنِّي لأَرَى الْفِتَنَ تَقَعُ خِلاَلَ بُيُوتِكُمْ كَوَقْعِ الْقَطْرِ‏</w:t>
      </w:r>
      <w:r>
        <w:rPr>
          <w:rStyle w:val="arabictextdetails"/>
        </w:rPr>
        <w:t>"</w:t>
      </w:r>
    </w:p>
  </w:footnote>
  <w:footnote w:id="96">
    <w:p w:rsidR="008D6268" w:rsidRPr="00121D52" w:rsidRDefault="008D6268" w:rsidP="00F411E0">
      <w:pPr>
        <w:pStyle w:val="FootnoteText"/>
        <w:rPr>
          <w:iCs/>
        </w:rPr>
      </w:pPr>
      <w:r w:rsidRPr="00121D52">
        <w:rPr>
          <w:rStyle w:val="FootnoteReference"/>
        </w:rPr>
        <w:footnoteRef/>
      </w:r>
      <w:r w:rsidRPr="00121D52">
        <w:t xml:space="preserve"> ibn Kathīr, </w:t>
      </w:r>
      <w:r w:rsidRPr="00121D52">
        <w:rPr>
          <w:i/>
        </w:rPr>
        <w:t>The Beginning and the End</w:t>
      </w:r>
      <w:r w:rsidRPr="00121D52">
        <w:rPr>
          <w:iCs/>
        </w:rPr>
        <w:t>, XIII: 249-256; al-</w:t>
      </w:r>
      <w:r w:rsidRPr="00121D52">
        <w:rPr>
          <w:rFonts w:cs="Arial"/>
          <w:iCs/>
        </w:rPr>
        <w:t>Ṭ</w:t>
      </w:r>
      <w:r w:rsidRPr="00121D52">
        <w:rPr>
          <w:iCs/>
        </w:rPr>
        <w:t xml:space="preserve">abarī, </w:t>
      </w:r>
      <w:r w:rsidRPr="00121D52">
        <w:rPr>
          <w:i/>
        </w:rPr>
        <w:t>History of Prophets and King</w:t>
      </w:r>
      <w:r>
        <w:rPr>
          <w:i/>
        </w:rPr>
        <w:t>s</w:t>
      </w:r>
      <w:r w:rsidRPr="00121D52">
        <w:rPr>
          <w:i/>
        </w:rPr>
        <w:t xml:space="preserve">, </w:t>
      </w:r>
      <w:r>
        <w:rPr>
          <w:iCs/>
        </w:rPr>
        <w:t>V</w:t>
      </w:r>
      <w:r w:rsidRPr="00121D52">
        <w:rPr>
          <w:iCs/>
        </w:rPr>
        <w:t xml:space="preserve">II: 421-443; ibn al-Athīr, </w:t>
      </w:r>
      <w:r w:rsidRPr="00121D52">
        <w:rPr>
          <w:i/>
        </w:rPr>
        <w:t xml:space="preserve">The Complete History, </w:t>
      </w:r>
      <w:r>
        <w:rPr>
          <w:iCs/>
        </w:rPr>
        <w:t>V</w:t>
      </w:r>
      <w:r w:rsidRPr="00121D52">
        <w:rPr>
          <w:iCs/>
        </w:rPr>
        <w:t xml:space="preserve">: 13-16; </w:t>
      </w:r>
      <w:r w:rsidRPr="00121D52">
        <w:t>Valieri, 'The Patriaichal and Umayyad Caliphates'</w:t>
      </w:r>
      <w:r>
        <w:t xml:space="preserve">, </w:t>
      </w:r>
      <w:r w:rsidRPr="00121D52">
        <w:t>p</w:t>
      </w:r>
      <w:r>
        <w:t>p.101-103</w:t>
      </w:r>
      <w:r w:rsidRPr="00121D52">
        <w:t xml:space="preserve">, Hitti, </w:t>
      </w:r>
      <w:r w:rsidRPr="00121D52">
        <w:rPr>
          <w:i/>
          <w:iCs/>
        </w:rPr>
        <w:t>The Near East in History</w:t>
      </w:r>
      <w:r w:rsidRPr="00121D52">
        <w:t>, pp.239-240</w:t>
      </w:r>
    </w:p>
  </w:footnote>
  <w:footnote w:id="97">
    <w:p w:rsidR="008D6268" w:rsidRPr="00121D52" w:rsidRDefault="008D6268" w:rsidP="00F411E0">
      <w:pPr>
        <w:pStyle w:val="FootnoteText"/>
      </w:pPr>
      <w:r w:rsidRPr="00121D52">
        <w:rPr>
          <w:rStyle w:val="FootnoteReference"/>
        </w:rPr>
        <w:footnoteRef/>
      </w:r>
      <w:r w:rsidRPr="00121D52">
        <w:t xml:space="preserve"> Moshe Sharon, </w:t>
      </w:r>
      <w:r w:rsidRPr="00121D52">
        <w:rPr>
          <w:i/>
        </w:rPr>
        <w:t>Black Banners from the East: The Establishment of the 'Abbāsid State, Incubation of a Revolt</w:t>
      </w:r>
      <w:r w:rsidRPr="00121D52">
        <w:t xml:space="preserve"> (Jerusalem: The Magnes Press, The Hebrew Univ</w:t>
      </w:r>
      <w:r>
        <w:t>ersity, 1983),</w:t>
      </w:r>
      <w:r w:rsidRPr="00121D52">
        <w:t xml:space="preserve"> p.19</w:t>
      </w:r>
    </w:p>
  </w:footnote>
  <w:footnote w:id="98">
    <w:p w:rsidR="008D6268" w:rsidRPr="00C33715" w:rsidRDefault="008D6268" w:rsidP="00F411E0">
      <w:pPr>
        <w:pStyle w:val="NormalWeb"/>
        <w:spacing w:before="0" w:beforeAutospacing="0" w:after="0" w:afterAutospacing="0"/>
        <w:rPr>
          <w:rFonts w:ascii="Calibri" w:hAnsi="Calibri"/>
        </w:rPr>
      </w:pPr>
      <w:r w:rsidRPr="00121D52">
        <w:rPr>
          <w:rStyle w:val="FootnoteReference"/>
          <w:rFonts w:ascii="Calibri" w:hAnsi="Calibri"/>
        </w:rPr>
        <w:footnoteRef/>
      </w:r>
      <w:r w:rsidRPr="00121D52">
        <w:rPr>
          <w:rFonts w:ascii="Calibri" w:hAnsi="Calibri"/>
        </w:rPr>
        <w:t xml:space="preserve"> </w:t>
      </w:r>
      <w:r w:rsidRPr="00121D52">
        <w:rPr>
          <w:rFonts w:ascii="Calibri" w:hAnsi="Calibri"/>
          <w:sz w:val="20"/>
          <w:szCs w:val="20"/>
          <w:rtl/>
          <w:lang w:bidi="ar-AE"/>
        </w:rPr>
        <w:t xml:space="preserve">أبو عبدالله محمد بن يزيد القزويني الشهير بابن ماجه ، </w:t>
      </w:r>
      <w:r w:rsidRPr="00121D52">
        <w:rPr>
          <w:rFonts w:ascii="Calibri" w:hAnsi="Calibri"/>
          <w:b/>
          <w:bCs/>
          <w:sz w:val="20"/>
          <w:szCs w:val="20"/>
          <w:rtl/>
          <w:lang w:bidi="ar-AE"/>
        </w:rPr>
        <w:t>سنن ابن ماجه</w:t>
      </w:r>
      <w:r w:rsidRPr="00121D52">
        <w:rPr>
          <w:rFonts w:ascii="Calibri" w:hAnsi="Calibri"/>
          <w:sz w:val="20"/>
          <w:szCs w:val="20"/>
          <w:rtl/>
          <w:lang w:bidi="ar-AE"/>
        </w:rPr>
        <w:t xml:space="preserve">، كتاب الفتن، تحقيق شعب الأرناؤوط وآخرين (ب. م.: دار الرسالة العالمية، 2009)، حديث 159 </w:t>
      </w:r>
      <w:r w:rsidRPr="00121D52">
        <w:rPr>
          <w:rFonts w:ascii="Calibri" w:hAnsi="Calibri"/>
          <w:sz w:val="20"/>
          <w:szCs w:val="20"/>
          <w:lang w:bidi="ar-AE"/>
        </w:rPr>
        <w:t xml:space="preserve"> </w:t>
      </w:r>
      <w:r w:rsidRPr="00121D52">
        <w:rPr>
          <w:rFonts w:ascii="Calibri" w:hAnsi="Calibri"/>
          <w:sz w:val="20"/>
          <w:szCs w:val="20"/>
          <w:rtl/>
          <w:lang w:bidi="ar-AE"/>
        </w:rPr>
        <w:t xml:space="preserve">  </w:t>
      </w:r>
      <w:r w:rsidRPr="00121D52">
        <w:rPr>
          <w:rFonts w:ascii="Calibri" w:hAnsi="Calibri"/>
          <w:sz w:val="20"/>
          <w:szCs w:val="20"/>
        </w:rPr>
        <w:t xml:space="preserve"> </w:t>
      </w:r>
    </w:p>
    <w:p w:rsidR="008D6268" w:rsidRPr="00121D52" w:rsidRDefault="008D6268" w:rsidP="00F411E0">
      <w:pPr>
        <w:pStyle w:val="NormalWeb"/>
        <w:spacing w:before="0" w:beforeAutospacing="0" w:after="0" w:afterAutospacing="0"/>
        <w:rPr>
          <w:rFonts w:ascii="Calibri" w:hAnsi="Calibri"/>
          <w:sz w:val="20"/>
          <w:szCs w:val="20"/>
          <w:lang w:bidi="ar-AE"/>
        </w:rPr>
      </w:pPr>
      <w:r w:rsidRPr="00121D52">
        <w:rPr>
          <w:rFonts w:ascii="Calibri" w:hAnsi="Calibri"/>
          <w:sz w:val="20"/>
          <w:szCs w:val="20"/>
        </w:rPr>
        <w:t>Abū 'Abdulla Mu</w:t>
      </w:r>
      <w:r w:rsidRPr="00121D52">
        <w:rPr>
          <w:rFonts w:ascii="Calibri" w:hAnsi="Calibri" w:cs="Arial"/>
          <w:sz w:val="20"/>
          <w:szCs w:val="20"/>
        </w:rPr>
        <w:t>ḥ</w:t>
      </w:r>
      <w:r w:rsidRPr="00121D52">
        <w:rPr>
          <w:rFonts w:ascii="Calibri" w:hAnsi="Calibri"/>
          <w:sz w:val="20"/>
          <w:szCs w:val="20"/>
        </w:rPr>
        <w:t>ammad b. Yaz</w:t>
      </w:r>
      <w:r w:rsidRPr="00121D52">
        <w:rPr>
          <w:rFonts w:ascii="Calibri" w:hAnsi="Calibri" w:cs="Candara"/>
          <w:sz w:val="20"/>
          <w:szCs w:val="20"/>
        </w:rPr>
        <w:t>ī</w:t>
      </w:r>
      <w:r w:rsidRPr="00121D52">
        <w:rPr>
          <w:rFonts w:ascii="Calibri" w:hAnsi="Calibri"/>
          <w:sz w:val="20"/>
          <w:szCs w:val="20"/>
        </w:rPr>
        <w:t>d al-Qazw</w:t>
      </w:r>
      <w:r w:rsidRPr="00121D52">
        <w:rPr>
          <w:rFonts w:ascii="Calibri" w:hAnsi="Calibri" w:cs="Candara"/>
          <w:sz w:val="20"/>
          <w:szCs w:val="20"/>
        </w:rPr>
        <w:t>ī</w:t>
      </w:r>
      <w:r w:rsidRPr="00121D52">
        <w:rPr>
          <w:rFonts w:ascii="Calibri" w:hAnsi="Calibri"/>
          <w:sz w:val="20"/>
          <w:szCs w:val="20"/>
        </w:rPr>
        <w:t>n</w:t>
      </w:r>
      <w:r w:rsidRPr="00121D52">
        <w:rPr>
          <w:rFonts w:ascii="Calibri" w:hAnsi="Calibri" w:cs="Candara"/>
          <w:sz w:val="20"/>
          <w:szCs w:val="20"/>
        </w:rPr>
        <w:t>ī</w:t>
      </w:r>
      <w:r w:rsidRPr="00121D52">
        <w:rPr>
          <w:rFonts w:ascii="Calibri" w:hAnsi="Calibri"/>
          <w:sz w:val="20"/>
          <w:szCs w:val="20"/>
        </w:rPr>
        <w:t xml:space="preserve"> ibn M</w:t>
      </w:r>
      <w:r w:rsidRPr="00121D52">
        <w:rPr>
          <w:rFonts w:ascii="Calibri" w:hAnsi="Calibri" w:cs="Candara"/>
          <w:sz w:val="20"/>
          <w:szCs w:val="20"/>
        </w:rPr>
        <w:t>ā</w:t>
      </w:r>
      <w:r w:rsidRPr="00121D52">
        <w:rPr>
          <w:rFonts w:ascii="Calibri" w:hAnsi="Calibri"/>
          <w:sz w:val="20"/>
          <w:szCs w:val="20"/>
        </w:rPr>
        <w:t xml:space="preserve">jah, </w:t>
      </w:r>
      <w:r w:rsidRPr="00121D52">
        <w:rPr>
          <w:rFonts w:ascii="Calibri" w:hAnsi="Calibri"/>
          <w:i/>
          <w:iCs/>
          <w:sz w:val="20"/>
          <w:szCs w:val="20"/>
        </w:rPr>
        <w:t>Sunan ibn Mājah</w:t>
      </w:r>
      <w:r w:rsidRPr="00121D52">
        <w:rPr>
          <w:rFonts w:ascii="Calibri" w:hAnsi="Calibri"/>
          <w:sz w:val="20"/>
          <w:szCs w:val="20"/>
        </w:rPr>
        <w:t xml:space="preserve"> or </w:t>
      </w:r>
      <w:r w:rsidRPr="00121D52">
        <w:rPr>
          <w:rFonts w:ascii="Calibri" w:hAnsi="Calibri"/>
          <w:i/>
          <w:iCs/>
          <w:sz w:val="20"/>
          <w:szCs w:val="20"/>
          <w:lang w:bidi="ar-AE"/>
        </w:rPr>
        <w:t>The Compilation of ibn Mājah,</w:t>
      </w:r>
      <w:r w:rsidRPr="00121D52">
        <w:rPr>
          <w:rFonts w:ascii="Calibri" w:hAnsi="Calibri"/>
          <w:sz w:val="20"/>
          <w:szCs w:val="20"/>
          <w:lang w:bidi="ar-AE"/>
        </w:rPr>
        <w:t xml:space="preserve"> book </w:t>
      </w:r>
      <w:r>
        <w:rPr>
          <w:rFonts w:ascii="Calibri" w:hAnsi="Calibri"/>
          <w:sz w:val="20"/>
          <w:szCs w:val="20"/>
          <w:lang w:bidi="ar-AE"/>
        </w:rPr>
        <w:t>36</w:t>
      </w:r>
      <w:r w:rsidRPr="00121D52">
        <w:rPr>
          <w:rFonts w:ascii="Calibri" w:hAnsi="Calibri"/>
          <w:sz w:val="20"/>
          <w:szCs w:val="20"/>
          <w:lang w:bidi="ar-AE"/>
        </w:rPr>
        <w:t xml:space="preserve"> </w:t>
      </w:r>
      <w:r w:rsidRPr="006A21B6">
        <w:rPr>
          <w:rFonts w:ascii="Calibri" w:hAnsi="Calibri"/>
          <w:i/>
          <w:iCs/>
          <w:sz w:val="20"/>
          <w:szCs w:val="20"/>
          <w:lang w:bidi="ar-AE"/>
        </w:rPr>
        <w:t>of</w:t>
      </w:r>
      <w:r w:rsidRPr="00121D52">
        <w:rPr>
          <w:rFonts w:ascii="Calibri" w:hAnsi="Calibri"/>
          <w:sz w:val="20"/>
          <w:szCs w:val="20"/>
          <w:lang w:bidi="ar-AE"/>
        </w:rPr>
        <w:t xml:space="preserve"> </w:t>
      </w:r>
      <w:r>
        <w:rPr>
          <w:rFonts w:ascii="Calibri" w:hAnsi="Calibri"/>
          <w:i/>
          <w:iCs/>
          <w:sz w:val="20"/>
          <w:szCs w:val="20"/>
          <w:lang w:bidi="ar-AE"/>
        </w:rPr>
        <w:t>Tribulations</w:t>
      </w:r>
      <w:r w:rsidRPr="00121D52">
        <w:rPr>
          <w:rFonts w:ascii="Calibri" w:hAnsi="Calibri"/>
          <w:i/>
          <w:iCs/>
          <w:sz w:val="20"/>
          <w:szCs w:val="20"/>
          <w:lang w:bidi="ar-AE"/>
        </w:rPr>
        <w:t xml:space="preserve"> </w:t>
      </w:r>
      <w:r w:rsidRPr="00121D52">
        <w:rPr>
          <w:rFonts w:ascii="Calibri" w:hAnsi="Calibri"/>
          <w:sz w:val="20"/>
          <w:szCs w:val="20"/>
          <w:lang w:bidi="ar-AE"/>
        </w:rPr>
        <w:t xml:space="preserve">(Beirut: Dār al-Gharb al-Islāmī, </w:t>
      </w:r>
      <w:r w:rsidRPr="00121D52">
        <w:rPr>
          <w:rFonts w:ascii="Calibri" w:hAnsi="Calibri"/>
          <w:sz w:val="20"/>
          <w:szCs w:val="20"/>
          <w:rtl/>
          <w:lang w:bidi="ar-AE"/>
        </w:rPr>
        <w:t>2009</w:t>
      </w:r>
      <w:r w:rsidRPr="00121D52">
        <w:rPr>
          <w:rFonts w:ascii="Calibri" w:hAnsi="Calibri"/>
          <w:sz w:val="20"/>
          <w:szCs w:val="20"/>
          <w:lang w:bidi="ar-AE"/>
        </w:rPr>
        <w:t xml:space="preserve">), [hereafter </w:t>
      </w:r>
      <w:r>
        <w:rPr>
          <w:rFonts w:ascii="Calibri" w:hAnsi="Calibri"/>
          <w:sz w:val="20"/>
          <w:szCs w:val="20"/>
          <w:lang w:bidi="ar-AE"/>
        </w:rPr>
        <w:t xml:space="preserve">ibn Mājah, </w:t>
      </w:r>
      <w:r w:rsidRPr="00121D52">
        <w:rPr>
          <w:rFonts w:ascii="Calibri" w:hAnsi="Calibri"/>
          <w:i/>
          <w:iCs/>
          <w:sz w:val="20"/>
          <w:szCs w:val="20"/>
          <w:lang w:bidi="ar-AE"/>
        </w:rPr>
        <w:t xml:space="preserve">The Compilation of ibn </w:t>
      </w:r>
      <w:r>
        <w:rPr>
          <w:rFonts w:ascii="Calibri" w:hAnsi="Calibri"/>
          <w:sz w:val="20"/>
          <w:szCs w:val="20"/>
          <w:lang w:bidi="ar-AE"/>
        </w:rPr>
        <w:t>Mājah],</w:t>
      </w:r>
      <w:r w:rsidRPr="00121D52">
        <w:rPr>
          <w:rFonts w:ascii="Calibri" w:hAnsi="Calibri"/>
          <w:sz w:val="20"/>
          <w:szCs w:val="20"/>
          <w:lang w:bidi="ar-AE"/>
        </w:rPr>
        <w:t xml:space="preserve"> </w:t>
      </w:r>
      <w:r w:rsidRPr="00121D52">
        <w:rPr>
          <w:rFonts w:ascii="Calibri" w:hAnsi="Calibri" w:cs="Arial"/>
          <w:sz w:val="20"/>
          <w:szCs w:val="20"/>
          <w:lang w:bidi="ar-AE"/>
        </w:rPr>
        <w:t>ḥ</w:t>
      </w:r>
      <w:r w:rsidRPr="00121D52">
        <w:rPr>
          <w:rFonts w:ascii="Calibri" w:hAnsi="Calibri"/>
          <w:sz w:val="20"/>
          <w:szCs w:val="20"/>
          <w:lang w:bidi="ar-AE"/>
        </w:rPr>
        <w:t>ad</w:t>
      </w:r>
      <w:r w:rsidRPr="00121D52">
        <w:rPr>
          <w:rFonts w:ascii="Calibri" w:hAnsi="Calibri" w:cs="Candara"/>
          <w:sz w:val="20"/>
          <w:szCs w:val="20"/>
          <w:lang w:bidi="ar-AE"/>
        </w:rPr>
        <w:t>ī</w:t>
      </w:r>
      <w:r w:rsidRPr="00121D52">
        <w:rPr>
          <w:rFonts w:ascii="Calibri" w:hAnsi="Calibri"/>
          <w:sz w:val="20"/>
          <w:szCs w:val="20"/>
          <w:lang w:bidi="ar-AE"/>
        </w:rPr>
        <w:t xml:space="preserve">th </w:t>
      </w:r>
      <w:r w:rsidRPr="00121D52">
        <w:rPr>
          <w:rFonts w:ascii="Calibri" w:hAnsi="Calibri"/>
          <w:sz w:val="20"/>
          <w:szCs w:val="20"/>
          <w:rtl/>
          <w:lang w:bidi="ar-AE"/>
        </w:rPr>
        <w:t>159</w:t>
      </w:r>
      <w:r w:rsidRPr="00121D52">
        <w:rPr>
          <w:rFonts w:ascii="Calibri" w:hAnsi="Calibri"/>
          <w:sz w:val="20"/>
          <w:szCs w:val="20"/>
          <w:lang w:bidi="ar-AE"/>
        </w:rPr>
        <w:t>:</w:t>
      </w:r>
    </w:p>
    <w:p w:rsidR="008D6268" w:rsidRDefault="008D6268" w:rsidP="00F411E0">
      <w:pPr>
        <w:pStyle w:val="FootnoteText"/>
        <w:bidi/>
        <w:rPr>
          <w:rStyle w:val="arabictextdetails"/>
        </w:rPr>
      </w:pPr>
      <w:r w:rsidRPr="00121D52">
        <w:rPr>
          <w:rStyle w:val="arabictextdetails"/>
          <w:rtl/>
        </w:rPr>
        <w:t xml:space="preserve">‏"‏ثُمَّ تَطْلُعُ الرَّايَاتُ السُّودُ مِنْ قِبَلِ الْمَشْرِقِ فَيَقْتُلُونَكُمْ قَتْلاً لَمْ يُقْتَلْهُ قَوْمٌ </w:t>
      </w:r>
      <w:r w:rsidRPr="00121D52">
        <w:rPr>
          <w:rStyle w:val="arabictextdetails"/>
        </w:rPr>
        <w:t>…</w:t>
      </w:r>
      <w:r w:rsidRPr="00121D52">
        <w:rPr>
          <w:rStyle w:val="arabictextdetails"/>
          <w:rtl/>
        </w:rPr>
        <w:t>‏ فَإِذَا رَأَيْتُمُوهُ فَبَايِعُوهُ وَلَوْ حَبْوًا عَلَى الثَّلْجِ فَإِنَّهُ خَلِيفَةُ اللَّهِ الْمَهْدِيُّ‏"‏</w:t>
      </w:r>
      <w:r>
        <w:rPr>
          <w:rStyle w:val="arabictextdetails"/>
          <w:rFonts w:hint="cs"/>
          <w:rtl/>
          <w:lang w:bidi="ar-AE"/>
        </w:rPr>
        <w:t>؛</w:t>
      </w:r>
      <w:r w:rsidRPr="00121D52">
        <w:rPr>
          <w:rStyle w:val="arabictextdetails"/>
          <w:rtl/>
        </w:rPr>
        <w:t xml:space="preserve"> </w:t>
      </w:r>
    </w:p>
    <w:p w:rsidR="008D6268" w:rsidRPr="00121D52" w:rsidRDefault="008D6268" w:rsidP="00F411E0">
      <w:pPr>
        <w:pStyle w:val="FootnoteText"/>
        <w:rPr>
          <w:rtl/>
          <w:lang w:bidi="ar-AE"/>
        </w:rPr>
      </w:pPr>
      <w:r w:rsidRPr="00121D52">
        <w:t xml:space="preserve">Khalil </w:t>
      </w:r>
      <w:r w:rsidRPr="00121D52">
        <w:rPr>
          <w:rFonts w:cs="Arial"/>
        </w:rPr>
        <w:t>ʿ</w:t>
      </w:r>
      <w:r w:rsidRPr="00121D52">
        <w:t xml:space="preserve">Athamina, 'The Black Banners and the Socio-Political Significance of Flags and Slogans in Medieval Islam', </w:t>
      </w:r>
      <w:r w:rsidRPr="00121D52">
        <w:rPr>
          <w:i/>
        </w:rPr>
        <w:t xml:space="preserve">Arabica, </w:t>
      </w:r>
      <w:r w:rsidRPr="00121D52">
        <w:t>36 (N</w:t>
      </w:r>
      <w:r>
        <w:t>ov., 1989),</w:t>
      </w:r>
      <w:r w:rsidRPr="00121D52">
        <w:t xml:space="preserve"> </w:t>
      </w:r>
      <w:r>
        <w:t xml:space="preserve">pp.307-309; Valieri, </w:t>
      </w:r>
      <w:r w:rsidRPr="00121D52">
        <w:t>'The Patriaichal and Umayyad Caliphates'</w:t>
      </w:r>
      <w:r>
        <w:t>, p.102</w:t>
      </w:r>
    </w:p>
  </w:footnote>
  <w:footnote w:id="99">
    <w:p w:rsidR="008D6268" w:rsidRDefault="008D6268" w:rsidP="00F411E0">
      <w:pPr>
        <w:pStyle w:val="FootnoteText"/>
      </w:pPr>
      <w:r>
        <w:rPr>
          <w:rStyle w:val="FootnoteReference"/>
        </w:rPr>
        <w:footnoteRef/>
      </w:r>
      <w:r>
        <w:t xml:space="preserve"> Scott, </w:t>
      </w:r>
      <w:r w:rsidRPr="00935C7B">
        <w:rPr>
          <w:i/>
          <w:iCs/>
        </w:rPr>
        <w:t>Domination and the Arts of Resistance</w:t>
      </w:r>
      <w:r>
        <w:t>, p.80</w:t>
      </w:r>
    </w:p>
  </w:footnote>
  <w:footnote w:id="100">
    <w:p w:rsidR="008D6268" w:rsidRDefault="008D6268" w:rsidP="00F411E0">
      <w:pPr>
        <w:pStyle w:val="NormalWeb"/>
        <w:spacing w:before="0" w:beforeAutospacing="0" w:after="0" w:afterAutospacing="0"/>
        <w:rPr>
          <w:sz w:val="20"/>
          <w:szCs w:val="20"/>
        </w:rPr>
      </w:pPr>
      <w:r w:rsidRPr="00DF67F9">
        <w:rPr>
          <w:rStyle w:val="FootnoteReference"/>
          <w:rFonts w:ascii="Calibri" w:hAnsi="Calibri"/>
          <w:sz w:val="20"/>
          <w:szCs w:val="20"/>
        </w:rPr>
        <w:footnoteRef/>
      </w:r>
      <w:r w:rsidRPr="00DF67F9">
        <w:rPr>
          <w:rFonts w:ascii="Calibri" w:hAnsi="Calibri"/>
          <w:sz w:val="20"/>
          <w:szCs w:val="20"/>
        </w:rPr>
        <w:t xml:space="preserve"> See for instance Yūsuf b. Yaḥyā b. ‘Alī al-Maqdisī al-Shāfi’ī</w:t>
      </w:r>
      <w:r>
        <w:rPr>
          <w:rFonts w:ascii="Calibri" w:hAnsi="Calibri"/>
          <w:sz w:val="20"/>
          <w:szCs w:val="20"/>
        </w:rPr>
        <w:t>,</w:t>
      </w:r>
      <w:r w:rsidRPr="00DF67F9">
        <w:rPr>
          <w:rFonts w:ascii="Calibri" w:hAnsi="Calibri"/>
          <w:sz w:val="20"/>
          <w:szCs w:val="20"/>
        </w:rPr>
        <w:t xml:space="preserve"> </w:t>
      </w:r>
      <w:r w:rsidRPr="00DF67F9">
        <w:rPr>
          <w:rFonts w:ascii="Calibri" w:hAnsi="Calibri"/>
          <w:i/>
          <w:iCs/>
          <w:sz w:val="20"/>
          <w:szCs w:val="20"/>
        </w:rPr>
        <w:t xml:space="preserve">The Necklace of Pearls on the </w:t>
      </w:r>
      <w:r w:rsidRPr="00DF67F9">
        <w:rPr>
          <w:rFonts w:ascii="Calibri" w:hAnsi="Calibri"/>
          <w:i/>
          <w:iCs/>
          <w:sz w:val="20"/>
          <w:szCs w:val="20"/>
          <w:lang w:bidi="ar-AE"/>
        </w:rPr>
        <w:t>Messiah</w:t>
      </w:r>
      <w:r w:rsidRPr="00DF67F9">
        <w:rPr>
          <w:rFonts w:ascii="Calibri" w:hAnsi="Calibri"/>
          <w:sz w:val="20"/>
          <w:szCs w:val="20"/>
          <w:lang w:bidi="ar-AE"/>
        </w:rPr>
        <w:t>, ed. by Muhīb b. Ṣāleḥ b. ‘Abd al-Raḥmān al-Būrīnī (al-Zarqa: Maktabat al-Manār, 1989)</w:t>
      </w:r>
      <w:r>
        <w:rPr>
          <w:rFonts w:ascii="Calibri" w:hAnsi="Calibri"/>
          <w:sz w:val="20"/>
          <w:szCs w:val="20"/>
          <w:lang w:bidi="ar-AE"/>
        </w:rPr>
        <w:t xml:space="preserve">; </w:t>
      </w:r>
      <w:r w:rsidRPr="00DF67F9">
        <w:rPr>
          <w:rFonts w:ascii="Calibri" w:hAnsi="Calibri"/>
          <w:sz w:val="20"/>
          <w:szCs w:val="20"/>
        </w:rPr>
        <w:t>abū ‘Abdullah b. Muḥammad b. Aḥmad al-Qurṭu</w:t>
      </w:r>
      <w:r>
        <w:rPr>
          <w:rFonts w:ascii="Calibri" w:hAnsi="Calibri"/>
          <w:sz w:val="20"/>
          <w:szCs w:val="20"/>
        </w:rPr>
        <w:t>bī,</w:t>
      </w:r>
      <w:r w:rsidRPr="00DF67F9">
        <w:rPr>
          <w:rFonts w:ascii="Calibri" w:hAnsi="Calibri"/>
          <w:sz w:val="20"/>
          <w:szCs w:val="20"/>
        </w:rPr>
        <w:t xml:space="preserve"> </w:t>
      </w:r>
      <w:r w:rsidRPr="00DF67F9">
        <w:rPr>
          <w:rFonts w:ascii="Calibri" w:hAnsi="Calibri"/>
          <w:i/>
          <w:iCs/>
          <w:sz w:val="20"/>
          <w:szCs w:val="20"/>
        </w:rPr>
        <w:t>The Reminder on the Affairs of the Dead and</w:t>
      </w:r>
      <w:r w:rsidRPr="00DF67F9">
        <w:rPr>
          <w:rFonts w:ascii="Calibri" w:hAnsi="Calibri"/>
          <w:i/>
          <w:iCs/>
          <w:sz w:val="20"/>
          <w:szCs w:val="20"/>
          <w:lang w:bidi="ar-AE"/>
        </w:rPr>
        <w:t xml:space="preserve"> Afterlife</w:t>
      </w:r>
      <w:r w:rsidRPr="00DF67F9">
        <w:rPr>
          <w:rFonts w:ascii="Calibri" w:hAnsi="Calibri"/>
          <w:sz w:val="20"/>
          <w:szCs w:val="20"/>
          <w:lang w:bidi="ar-AE"/>
        </w:rPr>
        <w:t>, ed. by al-Ṣādiq b. Muḥammad b. Ibrāhīm (Riyadh: Matabat Dār al-Minhāj lil-Nashr wal-Tawzī’, 1425 Hijrī)</w:t>
      </w:r>
      <w:r>
        <w:rPr>
          <w:rFonts w:ascii="Calibri" w:hAnsi="Calibri"/>
          <w:sz w:val="20"/>
          <w:szCs w:val="20"/>
          <w:lang w:bidi="ar-AE"/>
        </w:rPr>
        <w:t xml:space="preserve">, [hereafter </w:t>
      </w:r>
      <w:r w:rsidRPr="00DF67F9">
        <w:rPr>
          <w:rFonts w:ascii="Calibri" w:hAnsi="Calibri"/>
          <w:sz w:val="20"/>
          <w:szCs w:val="20"/>
        </w:rPr>
        <w:t>al-Qurṭu</w:t>
      </w:r>
      <w:r>
        <w:rPr>
          <w:rFonts w:ascii="Calibri" w:hAnsi="Calibri"/>
          <w:sz w:val="20"/>
          <w:szCs w:val="20"/>
        </w:rPr>
        <w:t>bī,</w:t>
      </w:r>
      <w:r w:rsidRPr="00DF67F9">
        <w:rPr>
          <w:rFonts w:ascii="Calibri" w:hAnsi="Calibri"/>
          <w:sz w:val="20"/>
          <w:szCs w:val="20"/>
        </w:rPr>
        <w:t xml:space="preserve"> </w:t>
      </w:r>
      <w:r w:rsidRPr="00DF67F9">
        <w:rPr>
          <w:rFonts w:ascii="Calibri" w:hAnsi="Calibri"/>
          <w:i/>
          <w:iCs/>
          <w:sz w:val="20"/>
          <w:szCs w:val="20"/>
        </w:rPr>
        <w:t>The Reminde</w:t>
      </w:r>
      <w:r>
        <w:rPr>
          <w:rFonts w:ascii="Calibri" w:hAnsi="Calibri"/>
          <w:i/>
          <w:iCs/>
          <w:sz w:val="20"/>
          <w:szCs w:val="20"/>
        </w:rPr>
        <w:t>r on the Affairs of the Dead</w:t>
      </w:r>
      <w:r>
        <w:rPr>
          <w:rFonts w:ascii="Calibri" w:hAnsi="Calibri"/>
          <w:sz w:val="20"/>
          <w:szCs w:val="20"/>
          <w:lang w:bidi="ar-AE"/>
        </w:rPr>
        <w:t xml:space="preserve">]; </w:t>
      </w:r>
      <w:r w:rsidRPr="00DF67F9">
        <w:rPr>
          <w:rFonts w:ascii="Calibri" w:hAnsi="Calibri"/>
          <w:sz w:val="20"/>
          <w:szCs w:val="20"/>
        </w:rPr>
        <w:t>abū al-Fidā’ Ismā’īl b. ‘Umar ibn Kathī</w:t>
      </w:r>
      <w:r>
        <w:rPr>
          <w:rFonts w:ascii="Calibri" w:hAnsi="Calibri"/>
          <w:sz w:val="20"/>
          <w:szCs w:val="20"/>
        </w:rPr>
        <w:t xml:space="preserve">r, </w:t>
      </w:r>
      <w:r w:rsidRPr="00DF67F9">
        <w:rPr>
          <w:rFonts w:ascii="Calibri" w:hAnsi="Calibri"/>
          <w:i/>
          <w:iCs/>
          <w:sz w:val="20"/>
          <w:szCs w:val="20"/>
          <w:lang w:bidi="ar-AE"/>
        </w:rPr>
        <w:t>The Book of the End on Tribulations and Battles</w:t>
      </w:r>
      <w:r w:rsidRPr="00DF67F9">
        <w:rPr>
          <w:rFonts w:ascii="Calibri" w:hAnsi="Calibri"/>
          <w:sz w:val="20"/>
          <w:szCs w:val="20"/>
          <w:lang w:bidi="ar-AE"/>
        </w:rPr>
        <w:t>, ed. by Muḥammad Aḥmad ‘Abd al-‘Azīz (Beirut: Dār al-Jabal, 1988)</w:t>
      </w:r>
      <w:r>
        <w:rPr>
          <w:rFonts w:ascii="Calibri" w:hAnsi="Calibri"/>
          <w:sz w:val="20"/>
          <w:szCs w:val="20"/>
          <w:lang w:bidi="ar-AE"/>
        </w:rPr>
        <w:t xml:space="preserve">, [hereafter ibn Kathīr, </w:t>
      </w:r>
      <w:r w:rsidRPr="00DF67F9">
        <w:rPr>
          <w:rFonts w:ascii="Calibri" w:hAnsi="Calibri"/>
          <w:i/>
          <w:iCs/>
          <w:sz w:val="20"/>
          <w:szCs w:val="20"/>
          <w:lang w:bidi="ar-AE"/>
        </w:rPr>
        <w:t>The Book of the End on Tribulations and Battles</w:t>
      </w:r>
      <w:r>
        <w:rPr>
          <w:rFonts w:ascii="Calibri" w:hAnsi="Calibri"/>
          <w:sz w:val="20"/>
          <w:szCs w:val="20"/>
          <w:lang w:bidi="ar-AE"/>
        </w:rPr>
        <w:t>];</w:t>
      </w:r>
      <w:r w:rsidRPr="00DF67F9">
        <w:rPr>
          <w:sz w:val="20"/>
          <w:szCs w:val="20"/>
        </w:rPr>
        <w:t xml:space="preserve"> </w:t>
      </w:r>
      <w:r w:rsidRPr="00DF67F9">
        <w:rPr>
          <w:rFonts w:ascii="Calibri" w:hAnsi="Calibri"/>
          <w:sz w:val="20"/>
          <w:szCs w:val="20"/>
        </w:rPr>
        <w:t>abū al-Fidā' 'Ismā'īl b</w:t>
      </w:r>
      <w:r>
        <w:rPr>
          <w:rFonts w:ascii="Calibri" w:hAnsi="Calibri"/>
          <w:sz w:val="20"/>
          <w:szCs w:val="20"/>
        </w:rPr>
        <w:t xml:space="preserve">. 'Umar </w:t>
      </w:r>
      <w:r w:rsidRPr="00DF67F9">
        <w:rPr>
          <w:rFonts w:ascii="Calibri" w:hAnsi="Calibri"/>
          <w:sz w:val="20"/>
          <w:szCs w:val="20"/>
        </w:rPr>
        <w:t xml:space="preserve">ibn </w:t>
      </w:r>
      <w:r>
        <w:rPr>
          <w:rFonts w:ascii="Calibri" w:hAnsi="Calibri"/>
          <w:sz w:val="20"/>
          <w:szCs w:val="20"/>
        </w:rPr>
        <w:t>Kathīr,</w:t>
      </w:r>
      <w:r w:rsidRPr="00DF67F9">
        <w:rPr>
          <w:rFonts w:ascii="Calibri" w:hAnsi="Calibri"/>
          <w:sz w:val="20"/>
          <w:szCs w:val="20"/>
        </w:rPr>
        <w:t xml:space="preserve"> 'Kitāb al-Fitan wal-Malāḥim wal-Umūr al-'Izām Yawm al-Qiyāmah Or The Book of Fierce Battles and Tribulations and the Great Things on the Day of Resurrection', in </w:t>
      </w:r>
      <w:r w:rsidRPr="00DF67F9">
        <w:rPr>
          <w:rFonts w:ascii="Calibri" w:hAnsi="Calibri"/>
          <w:i/>
          <w:iCs/>
          <w:sz w:val="20"/>
          <w:szCs w:val="20"/>
        </w:rPr>
        <w:t xml:space="preserve">al-Bidāya wal-Nihāya Or The Beginning and the End, </w:t>
      </w:r>
      <w:r w:rsidRPr="00DF67F9">
        <w:rPr>
          <w:rFonts w:ascii="Calibri" w:hAnsi="Calibri"/>
          <w:sz w:val="20"/>
          <w:szCs w:val="20"/>
        </w:rPr>
        <w:t xml:space="preserve">ed. by 'Abdulla b. 'Abd al-Muḥsin al-Tirkī, Vol. 19 (Cairot: Dār Hajar lil-Ṭibā'a wal-Nashr wal-Tawzī', 1997), </w:t>
      </w:r>
      <w:r>
        <w:rPr>
          <w:rFonts w:ascii="Calibri" w:hAnsi="Calibri"/>
          <w:sz w:val="20"/>
          <w:szCs w:val="20"/>
          <w:lang w:bidi="ar-AE"/>
        </w:rPr>
        <w:t>[hereafter ibn Kathīr, '</w:t>
      </w:r>
      <w:r w:rsidRPr="00DF67F9">
        <w:rPr>
          <w:rFonts w:ascii="Calibri" w:hAnsi="Calibri"/>
          <w:sz w:val="20"/>
          <w:szCs w:val="20"/>
        </w:rPr>
        <w:t>The Book of Fierce Battles and Tribulations</w:t>
      </w:r>
      <w:r>
        <w:rPr>
          <w:rFonts w:ascii="Calibri" w:hAnsi="Calibri"/>
          <w:sz w:val="20"/>
          <w:szCs w:val="20"/>
        </w:rPr>
        <w:t>']:</w:t>
      </w:r>
      <w:r w:rsidRPr="00DF67F9">
        <w:rPr>
          <w:rFonts w:ascii="Calibri" w:hAnsi="Calibri"/>
          <w:sz w:val="20"/>
          <w:szCs w:val="20"/>
        </w:rPr>
        <w:t xml:space="preserve"> pp.3-444</w:t>
      </w:r>
      <w:r w:rsidRPr="00DF67F9">
        <w:rPr>
          <w:sz w:val="20"/>
          <w:szCs w:val="20"/>
        </w:rPr>
        <w:t xml:space="preserve"> </w:t>
      </w:r>
    </w:p>
    <w:p w:rsidR="008D6268" w:rsidRPr="004B16C8" w:rsidRDefault="008D6268" w:rsidP="00F411E0">
      <w:pPr>
        <w:autoSpaceDE/>
        <w:autoSpaceDN/>
        <w:bidi/>
        <w:adjustRightInd/>
        <w:rPr>
          <w:sz w:val="20"/>
          <w:szCs w:val="20"/>
          <w:lang w:bidi="ar-AE"/>
        </w:rPr>
      </w:pPr>
      <w:r w:rsidRPr="004B16C8">
        <w:rPr>
          <w:rFonts w:hint="cs"/>
          <w:sz w:val="20"/>
          <w:szCs w:val="20"/>
          <w:rtl/>
          <w:lang w:bidi="ar-AE"/>
        </w:rPr>
        <w:t xml:space="preserve">يوسف بن يحيى بن علي المقدسي الشافعي، </w:t>
      </w:r>
      <w:r w:rsidRPr="004B16C8">
        <w:rPr>
          <w:rFonts w:hint="cs"/>
          <w:b/>
          <w:bCs/>
          <w:sz w:val="20"/>
          <w:szCs w:val="20"/>
          <w:rtl/>
          <w:lang w:bidi="ar-AE"/>
        </w:rPr>
        <w:t xml:space="preserve">عقد الدرر في أخبار المنتظر، </w:t>
      </w:r>
      <w:r w:rsidRPr="004B16C8">
        <w:rPr>
          <w:rFonts w:hint="cs"/>
          <w:sz w:val="20"/>
          <w:szCs w:val="20"/>
          <w:rtl/>
          <w:lang w:bidi="ar-AE"/>
        </w:rPr>
        <w:t xml:space="preserve">تحقيق مهيب بن صالح بن عبدالرحمن البوريني (الزرقاء: مكتبة المنار، 1989)؛ أبو عبدالله  محمد بن أحمد القرطبي، </w:t>
      </w:r>
      <w:r w:rsidRPr="004B16C8">
        <w:rPr>
          <w:rFonts w:hint="cs"/>
          <w:b/>
          <w:bCs/>
          <w:sz w:val="20"/>
          <w:szCs w:val="20"/>
          <w:rtl/>
          <w:lang w:bidi="ar-AE"/>
        </w:rPr>
        <w:t>كتاب</w:t>
      </w:r>
      <w:r w:rsidRPr="004B16C8">
        <w:rPr>
          <w:rFonts w:hint="cs"/>
          <w:sz w:val="20"/>
          <w:szCs w:val="20"/>
          <w:rtl/>
          <w:lang w:bidi="ar-AE"/>
        </w:rPr>
        <w:t xml:space="preserve"> </w:t>
      </w:r>
      <w:r w:rsidRPr="004B16C8">
        <w:rPr>
          <w:rFonts w:hint="cs"/>
          <w:b/>
          <w:bCs/>
          <w:sz w:val="20"/>
          <w:szCs w:val="20"/>
          <w:rtl/>
          <w:lang w:bidi="ar-AE"/>
        </w:rPr>
        <w:t xml:space="preserve">التذكرة في أحوال الموتى وأمور الآخرة، </w:t>
      </w:r>
      <w:r w:rsidRPr="004B16C8">
        <w:rPr>
          <w:rFonts w:hint="cs"/>
          <w:sz w:val="20"/>
          <w:szCs w:val="20"/>
          <w:rtl/>
          <w:lang w:bidi="ar-AE"/>
        </w:rPr>
        <w:t xml:space="preserve">تحقيق الصادق بن محمد بن إبراهيم (الرياض: مكتبة دار المنهاج للنشر والتوزيع، 1425 هـ)؛ أبو الفداء إسماعيل بن عمر بن كثير، </w:t>
      </w:r>
      <w:r w:rsidRPr="004B16C8">
        <w:rPr>
          <w:rFonts w:hint="cs"/>
          <w:b/>
          <w:bCs/>
          <w:sz w:val="20"/>
          <w:szCs w:val="20"/>
          <w:rtl/>
          <w:lang w:bidi="ar-AE"/>
        </w:rPr>
        <w:t xml:space="preserve">النهاية في الفتن والملاحم، </w:t>
      </w:r>
      <w:r w:rsidRPr="004B16C8">
        <w:rPr>
          <w:rFonts w:hint="cs"/>
          <w:sz w:val="20"/>
          <w:szCs w:val="20"/>
          <w:rtl/>
          <w:lang w:bidi="ar-AE"/>
        </w:rPr>
        <w:t>تحقيق محمد أحمد عبدالعزيز (بيروت: دار الجبل، 1988)؛ أبو الفداء اسماعيل بن عمر بن كثير،</w:t>
      </w:r>
      <w:r w:rsidRPr="004B16C8">
        <w:rPr>
          <w:sz w:val="20"/>
          <w:szCs w:val="20"/>
          <w:lang w:bidi="ar-AE"/>
        </w:rPr>
        <w:t xml:space="preserve"> </w:t>
      </w:r>
      <w:r w:rsidRPr="004B16C8">
        <w:rPr>
          <w:rFonts w:hint="cs"/>
          <w:sz w:val="20"/>
          <w:szCs w:val="20"/>
          <w:rtl/>
          <w:lang w:bidi="ar-AE"/>
        </w:rPr>
        <w:t xml:space="preserve">"كتاب الفتن والملاحم وأشراط الساعة والأمور العظام يوم القيامة"،  في </w:t>
      </w:r>
      <w:r w:rsidRPr="004B16C8">
        <w:rPr>
          <w:rFonts w:hint="cs"/>
          <w:b/>
          <w:bCs/>
          <w:sz w:val="20"/>
          <w:szCs w:val="20"/>
          <w:rtl/>
          <w:lang w:bidi="ar-AE"/>
        </w:rPr>
        <w:t xml:space="preserve">البداية والنهاية، </w:t>
      </w:r>
      <w:r w:rsidRPr="004B16C8">
        <w:rPr>
          <w:rFonts w:hint="cs"/>
          <w:sz w:val="20"/>
          <w:szCs w:val="20"/>
          <w:rtl/>
          <w:lang w:bidi="ar-AE"/>
        </w:rPr>
        <w:t>تحقيق عبدالله بن عبدالمحسن التركي، مجلد 19 (القاهرة: دار هجر للطباعة والنشر والتوزيع والإعلان، 1997)</w:t>
      </w:r>
      <w:r>
        <w:rPr>
          <w:rFonts w:hint="cs"/>
          <w:sz w:val="20"/>
          <w:szCs w:val="20"/>
          <w:rtl/>
          <w:lang w:bidi="ar-AE"/>
        </w:rPr>
        <w:t>، ص. 3-444</w:t>
      </w:r>
    </w:p>
  </w:footnote>
  <w:footnote w:id="101">
    <w:p w:rsidR="008D6268" w:rsidRPr="00F20234" w:rsidRDefault="008D6268" w:rsidP="00F411E0">
      <w:pPr>
        <w:pStyle w:val="FootnoteText"/>
      </w:pPr>
      <w:r>
        <w:rPr>
          <w:rStyle w:val="FootnoteReference"/>
        </w:rPr>
        <w:footnoteRef/>
      </w:r>
      <w:r>
        <w:t xml:space="preserve"> Cohn, </w:t>
      </w:r>
      <w:r w:rsidRPr="00C54CC3">
        <w:rPr>
          <w:i/>
          <w:iCs/>
        </w:rPr>
        <w:t>The Pursuit of the Millennium</w:t>
      </w:r>
      <w:r>
        <w:rPr>
          <w:i/>
          <w:iCs/>
        </w:rPr>
        <w:t xml:space="preserve">, </w:t>
      </w:r>
      <w:r w:rsidRPr="00D92E3C">
        <w:t>1970</w:t>
      </w:r>
      <w:r>
        <w:rPr>
          <w:i/>
          <w:iCs/>
        </w:rPr>
        <w:t>,</w:t>
      </w:r>
      <w:r>
        <w:t xml:space="preserve"> p.21; p.282; Cohn, </w:t>
      </w:r>
      <w:r w:rsidRPr="00427478">
        <w:rPr>
          <w:i/>
          <w:iCs/>
        </w:rPr>
        <w:t>The Pursuit of The Millennium</w:t>
      </w:r>
      <w:r>
        <w:t>, 1961, p.xiii</w:t>
      </w:r>
    </w:p>
  </w:footnote>
  <w:footnote w:id="102">
    <w:p w:rsidR="008D6268" w:rsidRPr="00670DED" w:rsidRDefault="008D6268" w:rsidP="00F411E0">
      <w:pPr>
        <w:pStyle w:val="FootnoteText"/>
      </w:pPr>
      <w:r>
        <w:rPr>
          <w:rStyle w:val="FootnoteReference"/>
        </w:rPr>
        <w:footnoteRef/>
      </w:r>
      <w:r>
        <w:t xml:space="preserve"> </w:t>
      </w:r>
      <w:r w:rsidRPr="00121D52">
        <w:rPr>
          <w:i/>
          <w:iCs/>
        </w:rPr>
        <w:t>The Majestic Qur'ān</w:t>
      </w:r>
      <w:r>
        <w:rPr>
          <w:i/>
          <w:iCs/>
        </w:rPr>
        <w:t xml:space="preserve">, </w:t>
      </w:r>
      <w:r>
        <w:t>2:214</w:t>
      </w:r>
    </w:p>
  </w:footnote>
  <w:footnote w:id="103">
    <w:p w:rsidR="008D6268" w:rsidRPr="00121D52" w:rsidRDefault="008D6268" w:rsidP="00F411E0">
      <w:pPr>
        <w:pStyle w:val="FootnoteText"/>
      </w:pPr>
      <w:r w:rsidRPr="00121D52">
        <w:rPr>
          <w:rStyle w:val="FootnoteReference"/>
        </w:rPr>
        <w:footnoteRef/>
      </w:r>
      <w:r w:rsidRPr="00121D52">
        <w:t xml:space="preserve"> al-Shahrastānī, </w:t>
      </w:r>
      <w:r w:rsidRPr="00121D52">
        <w:rPr>
          <w:i/>
        </w:rPr>
        <w:t>Book of Sects and Creeds</w:t>
      </w:r>
      <w:r>
        <w:rPr>
          <w:i/>
        </w:rPr>
        <w:t>,</w:t>
      </w:r>
      <w:r w:rsidRPr="00121D52">
        <w:t xml:space="preserve"> III: 651-65</w:t>
      </w:r>
      <w:r>
        <w:t>5</w:t>
      </w:r>
    </w:p>
  </w:footnote>
  <w:footnote w:id="104">
    <w:p w:rsidR="008D6268" w:rsidRPr="00121D52" w:rsidRDefault="008D6268" w:rsidP="00F411E0">
      <w:pPr>
        <w:pStyle w:val="FootnoteText"/>
      </w:pPr>
      <w:r w:rsidRPr="00121D52">
        <w:rPr>
          <w:rStyle w:val="FootnoteReference"/>
        </w:rPr>
        <w:footnoteRef/>
      </w:r>
      <w:r w:rsidRPr="00121D52">
        <w:t xml:space="preserve"> al-Shahrastānī, </w:t>
      </w:r>
      <w:r w:rsidRPr="00121D52">
        <w:rPr>
          <w:i/>
        </w:rPr>
        <w:t>Book of Sects and Creeds</w:t>
      </w:r>
      <w:r>
        <w:rPr>
          <w:i/>
        </w:rPr>
        <w:t>,</w:t>
      </w:r>
      <w:r w:rsidRPr="00121D52">
        <w:t xml:space="preserve"> III: 651-652</w:t>
      </w:r>
    </w:p>
  </w:footnote>
  <w:footnote w:id="105">
    <w:p w:rsidR="008D6268" w:rsidRPr="00121D52" w:rsidRDefault="008D6268" w:rsidP="00F411E0">
      <w:pPr>
        <w:pStyle w:val="FootnoteText"/>
      </w:pPr>
      <w:r w:rsidRPr="00121D52">
        <w:rPr>
          <w:rStyle w:val="FootnoteReference"/>
        </w:rPr>
        <w:footnoteRef/>
      </w:r>
      <w:r w:rsidRPr="00121D52">
        <w:t xml:space="preserve"> al-Shahrastānī, </w:t>
      </w:r>
      <w:r w:rsidRPr="00121D52">
        <w:rPr>
          <w:i/>
        </w:rPr>
        <w:t>Book of Sects and Creeds</w:t>
      </w:r>
      <w:r>
        <w:rPr>
          <w:i/>
        </w:rPr>
        <w:t>,</w:t>
      </w:r>
      <w:r w:rsidRPr="00121D52">
        <w:t xml:space="preserve"> III: 651-652; al-Alūsi, II:pp.177-179</w:t>
      </w:r>
    </w:p>
  </w:footnote>
  <w:footnote w:id="106">
    <w:p w:rsidR="008D6268" w:rsidRPr="00121D52" w:rsidRDefault="008D6268" w:rsidP="00F411E0">
      <w:pPr>
        <w:pStyle w:val="FootnoteText"/>
      </w:pPr>
      <w:r w:rsidRPr="00121D52">
        <w:rPr>
          <w:rStyle w:val="FootnoteReference"/>
        </w:rPr>
        <w:footnoteRef/>
      </w:r>
      <w:r w:rsidRPr="00121D52">
        <w:t xml:space="preserve"> </w:t>
      </w:r>
      <w:r w:rsidRPr="00121D52">
        <w:rPr>
          <w:i/>
          <w:iCs/>
        </w:rPr>
        <w:t>The Majestic Qur'ān</w:t>
      </w:r>
      <w:r w:rsidRPr="00121D52">
        <w:t>, 45:24</w:t>
      </w:r>
    </w:p>
  </w:footnote>
  <w:footnote w:id="107">
    <w:p w:rsidR="008D6268" w:rsidRPr="00121D52" w:rsidRDefault="008D6268" w:rsidP="00F411E0">
      <w:pPr>
        <w:pStyle w:val="FootnoteText"/>
        <w:rPr>
          <w:lang w:bidi="ar-AE"/>
        </w:rPr>
      </w:pPr>
      <w:r w:rsidRPr="00121D52">
        <w:rPr>
          <w:rStyle w:val="FootnoteReference"/>
        </w:rPr>
        <w:footnoteRef/>
      </w:r>
      <w:r w:rsidRPr="00121D52">
        <w:t xml:space="preserve"> </w:t>
      </w:r>
      <w:r w:rsidRPr="00121D52">
        <w:rPr>
          <w:i/>
          <w:iCs/>
        </w:rPr>
        <w:t xml:space="preserve">The Majestic Qur'ān, </w:t>
      </w:r>
      <w:r w:rsidRPr="00121D52">
        <w:rPr>
          <w:lang w:bidi="ar-AE"/>
        </w:rPr>
        <w:t>36:7</w:t>
      </w:r>
      <w:r>
        <w:rPr>
          <w:lang w:bidi="ar-AE"/>
        </w:rPr>
        <w:t>8</w:t>
      </w:r>
      <w:r w:rsidRPr="00121D52">
        <w:rPr>
          <w:lang w:bidi="ar-AE"/>
        </w:rPr>
        <w:t>-79</w:t>
      </w:r>
    </w:p>
  </w:footnote>
  <w:footnote w:id="108">
    <w:p w:rsidR="008D6268" w:rsidRPr="00121D52" w:rsidRDefault="008D6268" w:rsidP="00F411E0">
      <w:pPr>
        <w:pStyle w:val="FootnoteText"/>
        <w:rPr>
          <w:iCs/>
        </w:rPr>
      </w:pPr>
      <w:r w:rsidRPr="00121D52">
        <w:rPr>
          <w:rStyle w:val="FootnoteReference"/>
        </w:rPr>
        <w:footnoteRef/>
      </w:r>
      <w:r w:rsidRPr="00121D52">
        <w:t xml:space="preserve"> ibn Kathīr, </w:t>
      </w:r>
      <w:r w:rsidRPr="00121D52">
        <w:rPr>
          <w:bCs/>
          <w:i/>
        </w:rPr>
        <w:t xml:space="preserve">The Commentary of ibn Kathīr, </w:t>
      </w:r>
      <w:r w:rsidRPr="00121D52">
        <w:rPr>
          <w:bCs/>
          <w:iCs/>
        </w:rPr>
        <w:t>VI: 529</w:t>
      </w:r>
    </w:p>
  </w:footnote>
  <w:footnote w:id="109">
    <w:p w:rsidR="008D6268" w:rsidRPr="00121D52" w:rsidRDefault="008D6268" w:rsidP="003657AE">
      <w:pPr>
        <w:pStyle w:val="FootnoteText"/>
      </w:pPr>
      <w:r w:rsidRPr="00121D52">
        <w:rPr>
          <w:rStyle w:val="FootnoteReference"/>
        </w:rPr>
        <w:footnoteRef/>
      </w:r>
      <w:r w:rsidRPr="00121D52">
        <w:t xml:space="preserve"> </w:t>
      </w:r>
      <w:r w:rsidRPr="00121D52">
        <w:rPr>
          <w:rStyle w:val="selectable"/>
        </w:rPr>
        <w:t xml:space="preserve">Simon Blackburn, ed., "Naturalism" in </w:t>
      </w:r>
      <w:r w:rsidRPr="00121D52">
        <w:rPr>
          <w:rStyle w:val="selectable"/>
          <w:i/>
          <w:iCs/>
        </w:rPr>
        <w:t>The Oxford Dictionary of Philosophy</w:t>
      </w:r>
      <w:r w:rsidRPr="00121D52">
        <w:rPr>
          <w:rStyle w:val="selectable"/>
        </w:rPr>
        <w:t xml:space="preserve"> (Oxford: Oxford Uni</w:t>
      </w:r>
      <w:r>
        <w:rPr>
          <w:rStyle w:val="selectable"/>
        </w:rPr>
        <w:t>versity Press, 2016)</w:t>
      </w:r>
    </w:p>
  </w:footnote>
  <w:footnote w:id="110">
    <w:p w:rsidR="008D6268" w:rsidRDefault="008D6268" w:rsidP="00361340">
      <w:pPr>
        <w:pStyle w:val="FootnoteText"/>
      </w:pPr>
      <w:r>
        <w:rPr>
          <w:rStyle w:val="FootnoteReference"/>
        </w:rPr>
        <w:footnoteRef/>
      </w:r>
      <w:r>
        <w:t xml:space="preserve"> Patricia Crone, 'The Quranic Mushrikūn and the Resurrection (Part II)', </w:t>
      </w:r>
      <w:r w:rsidRPr="000323D9">
        <w:rPr>
          <w:i/>
        </w:rPr>
        <w:t xml:space="preserve">Bulletin of the School </w:t>
      </w:r>
      <w:r>
        <w:rPr>
          <w:i/>
        </w:rPr>
        <w:t>of Oriental and African Studies</w:t>
      </w:r>
      <w:r w:rsidRPr="000323D9">
        <w:rPr>
          <w:i/>
        </w:rPr>
        <w:t xml:space="preserve"> </w:t>
      </w:r>
      <w:r>
        <w:t>76, no.1 (2013), p.16</w:t>
      </w:r>
    </w:p>
  </w:footnote>
  <w:footnote w:id="111">
    <w:p w:rsidR="008D6268" w:rsidRPr="00121D52" w:rsidRDefault="008D6268" w:rsidP="00F411E0">
      <w:pPr>
        <w:pStyle w:val="FootnoteText"/>
        <w:rPr>
          <w:rtl/>
          <w:lang w:bidi="ar-AE"/>
        </w:rPr>
      </w:pPr>
      <w:r w:rsidRPr="00121D52">
        <w:rPr>
          <w:rStyle w:val="FootnoteReference"/>
        </w:rPr>
        <w:footnoteRef/>
      </w:r>
      <w:r w:rsidRPr="00121D52">
        <w:t xml:space="preserve"> </w:t>
      </w:r>
      <w:r w:rsidRPr="00121D52">
        <w:rPr>
          <w:rtl/>
          <w:lang w:bidi="ar-AE"/>
        </w:rPr>
        <w:t>امرؤ القيس،</w:t>
      </w:r>
      <w:r w:rsidRPr="00121D52">
        <w:rPr>
          <w:b/>
          <w:bCs/>
          <w:rtl/>
          <w:lang w:bidi="ar-AE"/>
        </w:rPr>
        <w:t xml:space="preserve"> ديوان امرئ القيس</w:t>
      </w:r>
      <w:r w:rsidRPr="00121D52">
        <w:rPr>
          <w:rtl/>
          <w:lang w:bidi="ar-AE"/>
        </w:rPr>
        <w:t>، تحقيق مصطفى عبدالشافي (بيروت: دار الكتب العلمية، 2004)، ص.150</w:t>
      </w:r>
    </w:p>
    <w:p w:rsidR="008D6268" w:rsidRPr="00121D52" w:rsidRDefault="008D6268" w:rsidP="00F411E0">
      <w:pPr>
        <w:pStyle w:val="FootnoteText"/>
        <w:rPr>
          <w:lang w:bidi="ar-AE"/>
        </w:rPr>
      </w:pPr>
      <w:r w:rsidRPr="00121D52">
        <w:rPr>
          <w:lang w:bidi="ar-AE"/>
        </w:rPr>
        <w:t xml:space="preserve">Imru' al-Qaīs, </w:t>
      </w:r>
      <w:r w:rsidRPr="00121D52">
        <w:rPr>
          <w:i/>
          <w:iCs/>
          <w:lang w:bidi="ar-AE"/>
        </w:rPr>
        <w:t xml:space="preserve">The Dīwān of Imru' al-Qaīs, </w:t>
      </w:r>
      <w:r w:rsidRPr="00121D52">
        <w:rPr>
          <w:lang w:bidi="ar-AE"/>
        </w:rPr>
        <w:t>ed. by Mustafa Abdul-Shafi (Beirut: Dār al-Kotob al-'Ilmīya, 2004), p.150:</w:t>
      </w:r>
    </w:p>
    <w:p w:rsidR="008D6268" w:rsidRPr="00121D52" w:rsidRDefault="008D6268" w:rsidP="00F411E0">
      <w:pPr>
        <w:pStyle w:val="FootnoteText"/>
        <w:bidi/>
        <w:rPr>
          <w:rtl/>
          <w:lang w:bidi="ar-AE"/>
        </w:rPr>
      </w:pPr>
      <w:r w:rsidRPr="00121D52">
        <w:rPr>
          <w:rFonts w:eastAsia="Times New Roman" w:cs="Times New Roman"/>
          <w:rtl/>
        </w:rPr>
        <w:t>ألَمْ أُخْبِرْكَ أنّ الدّهْرَ غُولٌ</w:t>
      </w:r>
      <w:r w:rsidRPr="00121D52">
        <w:rPr>
          <w:rFonts w:eastAsia="Times New Roman" w:cs="Times New Roman"/>
        </w:rPr>
        <w:t xml:space="preserve">       </w:t>
      </w:r>
      <w:r w:rsidRPr="00121D52">
        <w:rPr>
          <w:rFonts w:eastAsia="Times New Roman" w:cs="Times New Roman"/>
          <w:rtl/>
        </w:rPr>
        <w:t>خَتُورُ العَهْدِ يَلْتَهِمُ الرّجَالا</w:t>
      </w:r>
      <w:r w:rsidRPr="00121D52">
        <w:rPr>
          <w:rFonts w:eastAsia="Times New Roman" w:cs="Times New Roman"/>
        </w:rPr>
        <w:t>            </w:t>
      </w:r>
    </w:p>
  </w:footnote>
  <w:footnote w:id="112">
    <w:p w:rsidR="008D6268" w:rsidRPr="00121D52" w:rsidRDefault="008D6268" w:rsidP="00F411E0">
      <w:pPr>
        <w:pStyle w:val="FootnoteText"/>
      </w:pPr>
      <w:r w:rsidRPr="00121D52">
        <w:rPr>
          <w:rStyle w:val="FootnoteReference"/>
        </w:rPr>
        <w:footnoteRef/>
      </w:r>
      <w:r w:rsidRPr="00121D52">
        <w:t xml:space="preserve"> </w:t>
      </w:r>
      <w:r>
        <w:t xml:space="preserve">Hans Jonas, </w:t>
      </w:r>
      <w:r w:rsidRPr="0037465D">
        <w:rPr>
          <w:i/>
          <w:iCs/>
        </w:rPr>
        <w:t>The Gnostic Religion: The Message of the Alien God and the Beginnings of Christianity</w:t>
      </w:r>
      <w:r>
        <w:t xml:space="preserve"> (Boston: Beacon Press, 2001), pp.252-253</w:t>
      </w:r>
    </w:p>
  </w:footnote>
  <w:footnote w:id="113">
    <w:p w:rsidR="008D6268" w:rsidRPr="00121D52" w:rsidRDefault="008D6268" w:rsidP="00F411E0">
      <w:pPr>
        <w:pStyle w:val="FootnoteText"/>
      </w:pPr>
      <w:r w:rsidRPr="00121D52">
        <w:rPr>
          <w:rStyle w:val="FootnoteReference"/>
        </w:rPr>
        <w:footnoteRef/>
      </w:r>
      <w:r w:rsidRPr="00121D52">
        <w:t xml:space="preserve"> Muslim ibn al-</w:t>
      </w:r>
      <w:r w:rsidRPr="00121D52">
        <w:rPr>
          <w:rFonts w:cs="Arial"/>
        </w:rPr>
        <w:t>Ḥ</w:t>
      </w:r>
      <w:r w:rsidRPr="00121D52">
        <w:t>ajjāj Abū al-</w:t>
      </w:r>
      <w:r w:rsidRPr="00121D52">
        <w:rPr>
          <w:rFonts w:cs="Arial"/>
        </w:rPr>
        <w:t>Ḥ</w:t>
      </w:r>
      <w:r w:rsidRPr="00121D52">
        <w:t xml:space="preserve">asan al-Qushaīrī al-Naīsābūrī, </w:t>
      </w:r>
      <w:r w:rsidRPr="00121D52">
        <w:rPr>
          <w:i/>
          <w:iCs/>
        </w:rPr>
        <w:t>Sahīh Muslim</w:t>
      </w:r>
      <w:r w:rsidRPr="00121D52">
        <w:t>, trans. Abdul Hamid Siddiqui,</w:t>
      </w:r>
      <w:r w:rsidRPr="00121D52">
        <w:rPr>
          <w:i/>
          <w:iCs/>
        </w:rPr>
        <w:t xml:space="preserve"> </w:t>
      </w:r>
      <w:r>
        <w:t xml:space="preserve">book 27 </w:t>
      </w:r>
      <w:r w:rsidRPr="006A21B6">
        <w:rPr>
          <w:i/>
          <w:iCs/>
        </w:rPr>
        <w:t>of</w:t>
      </w:r>
      <w:r>
        <w:t xml:space="preserve"> </w:t>
      </w:r>
      <w:r w:rsidRPr="00121D52">
        <w:rPr>
          <w:i/>
          <w:iCs/>
        </w:rPr>
        <w:t xml:space="preserve">Concerning the Use of Correct Words </w:t>
      </w:r>
      <w:r w:rsidRPr="00121D52">
        <w:t xml:space="preserve">(Lahore: Ashraf, 1981), [hereafter </w:t>
      </w:r>
      <w:r>
        <w:t xml:space="preserve">Muslim, </w:t>
      </w:r>
      <w:r w:rsidRPr="00121D52">
        <w:rPr>
          <w:i/>
          <w:iCs/>
        </w:rPr>
        <w:t>Sahīh Muslim</w:t>
      </w:r>
      <w:r w:rsidRPr="00121D52">
        <w:t>]: hadīth no. 5584:</w:t>
      </w:r>
    </w:p>
    <w:p w:rsidR="008D6268" w:rsidRPr="00121D52" w:rsidRDefault="008D6268" w:rsidP="00F411E0">
      <w:pPr>
        <w:pStyle w:val="FootnoteText"/>
        <w:bidi/>
      </w:pPr>
      <w:r w:rsidRPr="00121D52">
        <w:rPr>
          <w:rStyle w:val="arabictextdetails"/>
        </w:rPr>
        <w:t>"</w:t>
      </w:r>
      <w:r w:rsidRPr="00121D52">
        <w:rPr>
          <w:rStyle w:val="arabictextdetails"/>
          <w:rtl/>
        </w:rPr>
        <w:t>‏لاَ تَسُبُّوا الدَّهْرَ فَإِنَّ اللَّهَ هُوَ الدَّهْرُ‏</w:t>
      </w:r>
      <w:r w:rsidRPr="00121D52">
        <w:rPr>
          <w:rStyle w:val="arabictextdetails"/>
        </w:rPr>
        <w:t>"</w:t>
      </w:r>
      <w:r w:rsidRPr="00121D52">
        <w:rPr>
          <w:rStyle w:val="arabicsanad"/>
          <w:rtl/>
        </w:rPr>
        <w:t>‏</w:t>
      </w:r>
    </w:p>
  </w:footnote>
  <w:footnote w:id="114">
    <w:p w:rsidR="008D6268" w:rsidRPr="00121D52" w:rsidRDefault="008D6268" w:rsidP="00F411E0">
      <w:pPr>
        <w:pStyle w:val="FootnoteText"/>
      </w:pPr>
      <w:r w:rsidRPr="00121D52">
        <w:rPr>
          <w:rStyle w:val="FootnoteReference"/>
        </w:rPr>
        <w:footnoteRef/>
      </w:r>
      <w:r w:rsidRPr="00121D52">
        <w:t xml:space="preserve"> André-Jean Festugière, </w:t>
      </w:r>
      <w:r w:rsidRPr="00121D52">
        <w:rPr>
          <w:i/>
        </w:rPr>
        <w:t>Personal Religion among the Greeks</w:t>
      </w:r>
      <w:r w:rsidRPr="00121D52">
        <w:t xml:space="preserve"> (Berkeley: University of Cali</w:t>
      </w:r>
      <w:r>
        <w:t>fornia Press, 1954),</w:t>
      </w:r>
      <w:r w:rsidRPr="00121D52">
        <w:t xml:space="preserve"> p.134</w:t>
      </w:r>
    </w:p>
  </w:footnote>
  <w:footnote w:id="115">
    <w:p w:rsidR="008D6268" w:rsidRPr="00121D52" w:rsidRDefault="008D6268" w:rsidP="00F411E0">
      <w:pPr>
        <w:pStyle w:val="FootnoteText"/>
      </w:pPr>
      <w:r w:rsidRPr="00121D52">
        <w:rPr>
          <w:rStyle w:val="FootnoteReference"/>
        </w:rPr>
        <w:footnoteRef/>
      </w:r>
      <w:r w:rsidRPr="00121D52">
        <w:t xml:space="preserve"> Seyyed Hossein Nasr, </w:t>
      </w:r>
      <w:r w:rsidRPr="00121D52">
        <w:rPr>
          <w:i/>
        </w:rPr>
        <w:t>An Introduction to Islamic Cosmological Doctrines</w:t>
      </w:r>
      <w:r w:rsidRPr="00121D52">
        <w:t xml:space="preserve"> (Bath: Thames and Hudson, 1978), [hereafter Nasr</w:t>
      </w:r>
      <w:r>
        <w:t xml:space="preserve">, </w:t>
      </w:r>
      <w:r w:rsidRPr="00204786">
        <w:rPr>
          <w:i/>
          <w:iCs/>
        </w:rPr>
        <w:t>An Introduction to Islamic Cosmological Doctrines</w:t>
      </w:r>
      <w:r w:rsidRPr="00121D52">
        <w:t>]: pp.4-5</w:t>
      </w:r>
    </w:p>
  </w:footnote>
  <w:footnote w:id="116">
    <w:p w:rsidR="008D6268" w:rsidRPr="00121D52" w:rsidRDefault="008D6268" w:rsidP="00F411E0">
      <w:pPr>
        <w:pStyle w:val="FootnoteText"/>
        <w:rPr>
          <w:rtl/>
          <w:lang w:bidi="ar-AE"/>
        </w:rPr>
      </w:pPr>
      <w:r w:rsidRPr="00121D52">
        <w:rPr>
          <w:rStyle w:val="FootnoteReference"/>
        </w:rPr>
        <w:footnoteRef/>
      </w:r>
      <w:r w:rsidRPr="00121D52">
        <w:t xml:space="preserve"> </w:t>
      </w:r>
      <w:r>
        <w:t xml:space="preserve">Muslim, </w:t>
      </w:r>
      <w:r w:rsidRPr="00121D52">
        <w:rPr>
          <w:i/>
          <w:iCs/>
        </w:rPr>
        <w:t>Sahīh Muslim</w:t>
      </w:r>
      <w:r w:rsidRPr="00121D52">
        <w:t xml:space="preserve">, book 1 </w:t>
      </w:r>
      <w:r w:rsidRPr="00121D52">
        <w:rPr>
          <w:i/>
          <w:iCs/>
        </w:rPr>
        <w:t xml:space="preserve">of </w:t>
      </w:r>
      <w:r>
        <w:rPr>
          <w:i/>
          <w:iCs/>
        </w:rPr>
        <w:t>Faith</w:t>
      </w:r>
      <w:r w:rsidRPr="00121D52">
        <w:t>, hadīth no. 220:</w:t>
      </w:r>
    </w:p>
    <w:p w:rsidR="008D6268" w:rsidRPr="00121D52" w:rsidRDefault="008D6268" w:rsidP="00F411E0">
      <w:pPr>
        <w:pStyle w:val="FootnoteText"/>
        <w:bidi/>
      </w:pPr>
      <w:r w:rsidRPr="00121D52">
        <w:rPr>
          <w:rStyle w:val="arabictextdetails"/>
          <w:rtl/>
          <w:lang w:bidi="ar-AE"/>
        </w:rPr>
        <w:t>"ا</w:t>
      </w:r>
      <w:r w:rsidRPr="00121D52">
        <w:rPr>
          <w:rStyle w:val="arabictextdetails"/>
          <w:rtl/>
        </w:rPr>
        <w:t>لإِسْلاَمَ يَهْدِمُ مَا كَانَ قَبْلَهُ"</w:t>
      </w:r>
    </w:p>
  </w:footnote>
  <w:footnote w:id="117">
    <w:p w:rsidR="008D6268" w:rsidRPr="00121D52" w:rsidRDefault="008D6268" w:rsidP="00F411E0">
      <w:pPr>
        <w:pStyle w:val="FootnoteText"/>
      </w:pPr>
      <w:r w:rsidRPr="00121D52">
        <w:rPr>
          <w:rStyle w:val="FootnoteReference"/>
        </w:rPr>
        <w:footnoteRef/>
      </w:r>
      <w:r w:rsidRPr="00121D52">
        <w:t xml:space="preserve"> Nasr, </w:t>
      </w:r>
      <w:r w:rsidRPr="00204786">
        <w:rPr>
          <w:i/>
          <w:iCs/>
        </w:rPr>
        <w:t>An Introduction to Islamic Cosmological Doctrines</w:t>
      </w:r>
      <w:r>
        <w:rPr>
          <w:i/>
          <w:iCs/>
        </w:rPr>
        <w:t>,</w:t>
      </w:r>
      <w:r>
        <w:t xml:space="preserve"> </w:t>
      </w:r>
      <w:r w:rsidRPr="00121D52">
        <w:t>pp.4-5; pp. 276-277; pp.279-281</w:t>
      </w:r>
    </w:p>
  </w:footnote>
  <w:footnote w:id="118">
    <w:p w:rsidR="008D6268" w:rsidRPr="00121D52" w:rsidRDefault="008D6268" w:rsidP="00F411E0">
      <w:pPr>
        <w:pStyle w:val="FootnoteText"/>
      </w:pPr>
      <w:r w:rsidRPr="00121D52">
        <w:rPr>
          <w:rStyle w:val="FootnoteReference"/>
        </w:rPr>
        <w:footnoteRef/>
      </w:r>
      <w:r w:rsidRPr="00121D52">
        <w:t xml:space="preserve"> The Majestic Qur'an, 3:1</w:t>
      </w:r>
      <w:r>
        <w:t>90</w:t>
      </w:r>
      <w:r w:rsidRPr="00121D52">
        <w:t>-191</w:t>
      </w:r>
    </w:p>
  </w:footnote>
  <w:footnote w:id="119">
    <w:p w:rsidR="008D6268" w:rsidRPr="00121D52" w:rsidRDefault="008D6268" w:rsidP="00F411E0">
      <w:pPr>
        <w:pStyle w:val="FootnoteText"/>
      </w:pPr>
      <w:r w:rsidRPr="00121D52">
        <w:rPr>
          <w:rStyle w:val="FootnoteReference"/>
        </w:rPr>
        <w:footnoteRef/>
      </w:r>
      <w:r w:rsidRPr="00121D52">
        <w:t xml:space="preserve"> </w:t>
      </w:r>
      <w:r w:rsidRPr="00121D52">
        <w:rPr>
          <w:rFonts w:eastAsia="Times New Roman"/>
          <w:rtl/>
          <w:lang w:bidi="ar-AE"/>
        </w:rPr>
        <w:t>أبو جعفر الطبري،</w:t>
      </w:r>
      <w:r w:rsidRPr="00121D52">
        <w:rPr>
          <w:rFonts w:eastAsia="Times New Roman"/>
          <w:b/>
          <w:bCs/>
          <w:rtl/>
          <w:lang w:bidi="ar-AE"/>
        </w:rPr>
        <w:t xml:space="preserve"> تفسير الطبري: جامع البيان عن تأويل آي القرآن</w:t>
      </w:r>
      <w:r w:rsidRPr="00121D52">
        <w:rPr>
          <w:rFonts w:eastAsia="Times New Roman"/>
          <w:rtl/>
          <w:lang w:bidi="ar-AE"/>
        </w:rPr>
        <w:t xml:space="preserve"> (القاهرة: دار هجر للطباعة والنشر والتوزيع، 2001)، 6/309</w:t>
      </w:r>
      <w:r w:rsidRPr="00121D52">
        <w:rPr>
          <w:rtl/>
          <w:lang w:bidi="ar-AE"/>
        </w:rPr>
        <w:t xml:space="preserve"> </w:t>
      </w:r>
    </w:p>
    <w:p w:rsidR="008D6268" w:rsidRPr="00121D52" w:rsidRDefault="008D6268" w:rsidP="00F411E0">
      <w:pPr>
        <w:pStyle w:val="FootnoteText"/>
        <w:rPr>
          <w:rFonts w:eastAsia="Times New Roman"/>
        </w:rPr>
      </w:pPr>
      <w:r w:rsidRPr="00121D52">
        <w:rPr>
          <w:rFonts w:eastAsia="Times New Roman"/>
        </w:rPr>
        <w:t xml:space="preserve">Abū Ja’far al-Tabarī, </w:t>
      </w:r>
      <w:r>
        <w:rPr>
          <w:rFonts w:eastAsia="Times New Roman"/>
          <w:i/>
          <w:iCs/>
        </w:rPr>
        <w:t>a</w:t>
      </w:r>
      <w:r w:rsidRPr="00121D52">
        <w:rPr>
          <w:rFonts w:eastAsia="Times New Roman"/>
          <w:i/>
          <w:iCs/>
        </w:rPr>
        <w:t>l-Tabarī</w:t>
      </w:r>
      <w:r w:rsidRPr="00121D52">
        <w:rPr>
          <w:rFonts w:eastAsia="Times New Roman"/>
          <w:i/>
          <w:iCs/>
          <w:rtl/>
        </w:rPr>
        <w:t xml:space="preserve"> </w:t>
      </w:r>
      <w:r w:rsidRPr="00121D52">
        <w:rPr>
          <w:rFonts w:eastAsia="Times New Roman"/>
          <w:i/>
          <w:iCs/>
        </w:rPr>
        <w:t>Qur’ān Commentary: The Complete Elucidation about the Interpretation of the Verses of the Qur’ān</w:t>
      </w:r>
      <w:r w:rsidRPr="00121D52">
        <w:rPr>
          <w:rFonts w:eastAsia="Times New Roman"/>
        </w:rPr>
        <w:t xml:space="preserve"> (Cairo: Dār Hajr l’ al-Tibā’a wa’l-Nahsr wa’l-Tawzī’, 2001), [hereafter al-Tabarī</w:t>
      </w:r>
      <w:r>
        <w:rPr>
          <w:rFonts w:eastAsia="Times New Roman"/>
        </w:rPr>
        <w:t xml:space="preserve">, </w:t>
      </w:r>
      <w:r>
        <w:rPr>
          <w:rFonts w:eastAsia="Times New Roman"/>
          <w:i/>
          <w:iCs/>
        </w:rPr>
        <w:t>a</w:t>
      </w:r>
      <w:r w:rsidRPr="00121D52">
        <w:rPr>
          <w:rFonts w:eastAsia="Times New Roman"/>
          <w:i/>
          <w:iCs/>
        </w:rPr>
        <w:t>l-Tabarī</w:t>
      </w:r>
      <w:r w:rsidRPr="00121D52">
        <w:rPr>
          <w:rFonts w:eastAsia="Times New Roman"/>
          <w:i/>
          <w:iCs/>
          <w:rtl/>
        </w:rPr>
        <w:t xml:space="preserve"> </w:t>
      </w:r>
      <w:r w:rsidRPr="00121D52">
        <w:rPr>
          <w:rFonts w:eastAsia="Times New Roman"/>
          <w:i/>
          <w:iCs/>
        </w:rPr>
        <w:t>Qur’ān Commentary</w:t>
      </w:r>
      <w:r w:rsidRPr="00121D52">
        <w:rPr>
          <w:rFonts w:eastAsia="Times New Roman"/>
        </w:rPr>
        <w:t>]: VI: 309:</w:t>
      </w:r>
    </w:p>
    <w:p w:rsidR="008D6268" w:rsidRPr="00121D52" w:rsidRDefault="008D6268" w:rsidP="00F411E0">
      <w:pPr>
        <w:pStyle w:val="FootnoteText"/>
        <w:bidi/>
        <w:rPr>
          <w:rFonts w:eastAsia="Times New Roman"/>
        </w:rPr>
      </w:pPr>
      <w:r w:rsidRPr="00121D52">
        <w:rPr>
          <w:rFonts w:eastAsia="Times New Roman"/>
        </w:rPr>
        <w:t>"</w:t>
      </w:r>
      <w:r w:rsidRPr="00121D52">
        <w:rPr>
          <w:rtl/>
        </w:rPr>
        <w:t>فَيَعْلَمُونَ أَنَّهُ لَا يَصْنَعُ ذَلِكَ إِلَّا مَنْ لَيْسَ كَمِثْلِهِ شَيْءٌ، وَمَنْ هُوَ مَالِكُ كُلِّ شَيْءٍ وَرَازِقُهُ، وَخَالِقُ كُلِّ شَيْءٍ وَمُدَبِّرُهُ، مَنْ هُوَ عَلَى كُلِّ شَيْءٍ قَدِيرٌ، وَبِيَدِهِ الْإِغْنَاءُ وَالْإِفْقَارُ، وَالْإِعْزَازُ وَالْإِذْلَالُ، وَالْإِحْيَاءُ وَالْإِمَاتَةُ، وَالشَّقَاءُ وَالسَّعَادَةُ</w:t>
      </w:r>
      <w:r w:rsidRPr="00121D52">
        <w:t>"</w:t>
      </w:r>
    </w:p>
  </w:footnote>
  <w:footnote w:id="120">
    <w:p w:rsidR="008D6268" w:rsidRPr="00121D52" w:rsidRDefault="008D6268" w:rsidP="00F411E0">
      <w:pPr>
        <w:pStyle w:val="FootnoteText"/>
      </w:pPr>
      <w:r w:rsidRPr="00121D52">
        <w:rPr>
          <w:rStyle w:val="FootnoteReference"/>
        </w:rPr>
        <w:footnoteRef/>
      </w:r>
      <w:r w:rsidRPr="00121D52">
        <w:t xml:space="preserve"> The Majestic Qur'an, 36:81-83</w:t>
      </w:r>
    </w:p>
  </w:footnote>
  <w:footnote w:id="121">
    <w:p w:rsidR="008D6268" w:rsidRPr="003405EB" w:rsidRDefault="008D6268" w:rsidP="00F411E0">
      <w:pPr>
        <w:pStyle w:val="FootnoteText"/>
      </w:pPr>
      <w:r>
        <w:rPr>
          <w:rStyle w:val="FootnoteReference"/>
        </w:rPr>
        <w:footnoteRef/>
      </w:r>
      <w:r>
        <w:t xml:space="preserve"> Stowasser, p.1</w:t>
      </w:r>
      <w:r w:rsidRPr="007038AE">
        <w:t xml:space="preserve">; </w:t>
      </w:r>
      <w:r w:rsidRPr="003405EB">
        <w:t xml:space="preserve">also see for instance </w:t>
      </w:r>
      <w:r w:rsidRPr="003405EB">
        <w:rPr>
          <w:lang w:bidi="ar-AE"/>
        </w:rPr>
        <w:t>Na'īm b. Ḥammad al-Marwazī</w:t>
      </w:r>
      <w:r w:rsidRPr="003405EB">
        <w:rPr>
          <w:i/>
          <w:iCs/>
          <w:lang w:bidi="ar-AE"/>
        </w:rPr>
        <w:t>, Kitāb al-Fitan or Book of Tribulations</w:t>
      </w:r>
      <w:r w:rsidRPr="003405EB">
        <w:rPr>
          <w:lang w:bidi="ar-AE"/>
        </w:rPr>
        <w:t xml:space="preserve">, ed. by Samir Amin al-Zuhairi (Cairo: Maktabat al-Tawḥīd, 1412 hijrī), [hereafter ibn Ḥammad, </w:t>
      </w:r>
      <w:r w:rsidRPr="003405EB">
        <w:rPr>
          <w:i/>
          <w:iCs/>
          <w:lang w:bidi="ar-AE"/>
        </w:rPr>
        <w:t>Book of Tribulations</w:t>
      </w:r>
      <w:r>
        <w:rPr>
          <w:lang w:bidi="ar-AE"/>
        </w:rPr>
        <w:t>]</w:t>
      </w:r>
    </w:p>
    <w:p w:rsidR="008D6268" w:rsidRDefault="008D6268" w:rsidP="00F411E0">
      <w:pPr>
        <w:pStyle w:val="FootnoteText"/>
      </w:pPr>
      <w:r w:rsidRPr="003405EB">
        <w:rPr>
          <w:rFonts w:hint="cs"/>
          <w:rtl/>
        </w:rPr>
        <w:t xml:space="preserve">نعيم بن حماد المروزي، </w:t>
      </w:r>
      <w:r w:rsidRPr="003405EB">
        <w:rPr>
          <w:rFonts w:hint="cs"/>
          <w:b/>
          <w:bCs/>
          <w:rtl/>
        </w:rPr>
        <w:t>كتاب الفتن</w:t>
      </w:r>
      <w:r w:rsidRPr="003405EB">
        <w:rPr>
          <w:rFonts w:hint="cs"/>
          <w:rtl/>
        </w:rPr>
        <w:t>، تحقيق سمير أمين الزهيري (القاهرة: مكتبة التوحيد، 1412 هجرية)</w:t>
      </w:r>
    </w:p>
  </w:footnote>
  <w:footnote w:id="122">
    <w:p w:rsidR="008D6268" w:rsidRDefault="008D6268" w:rsidP="00F411E0">
      <w:pPr>
        <w:pStyle w:val="FootnoteText"/>
      </w:pPr>
      <w:r>
        <w:rPr>
          <w:rStyle w:val="FootnoteReference"/>
        </w:rPr>
        <w:footnoteRef/>
      </w:r>
      <w:r>
        <w:rPr>
          <w:rFonts w:hint="cs"/>
          <w:rtl/>
          <w:lang w:bidi="ar-AE"/>
        </w:rPr>
        <w:t xml:space="preserve">أبو زيد ولي الدين عبدالرحمن  بن محمد الشهير بابن خلدون، </w:t>
      </w:r>
      <w:r w:rsidRPr="00931935">
        <w:rPr>
          <w:rFonts w:hint="cs"/>
          <w:b/>
          <w:bCs/>
          <w:rtl/>
          <w:lang w:bidi="ar-AE"/>
        </w:rPr>
        <w:t>تاريخ ابن خلدون</w:t>
      </w:r>
      <w:r>
        <w:rPr>
          <w:rFonts w:hint="cs"/>
          <w:rtl/>
          <w:lang w:bidi="ar-AE"/>
        </w:rPr>
        <w:t>، تحقيق أبو صهيب الكرمي (الرياض: بيت الأفكار الدولية، ب.ت.)</w:t>
      </w:r>
      <w:r>
        <w:rPr>
          <w:lang w:bidi="ar-AE"/>
        </w:rPr>
        <w:t xml:space="preserve"> </w:t>
      </w:r>
      <w:r>
        <w:t xml:space="preserve"> </w:t>
      </w:r>
    </w:p>
    <w:p w:rsidR="008D6268" w:rsidRDefault="008D6268" w:rsidP="00F411E0">
      <w:pPr>
        <w:pStyle w:val="FootnoteText"/>
      </w:pPr>
      <w:r>
        <w:t xml:space="preserve">ibn Khaldūn, abū Zaīd Walī al-Dīn 'Abd al-Raḥmān b. Muḥammad, </w:t>
      </w:r>
      <w:r>
        <w:rPr>
          <w:i/>
        </w:rPr>
        <w:t>Tarīkh Ibn Khaldūn Or T</w:t>
      </w:r>
      <w:r w:rsidRPr="00931935">
        <w:rPr>
          <w:i/>
        </w:rPr>
        <w:t>he History of Ibn Khaldūn</w:t>
      </w:r>
      <w:r>
        <w:t xml:space="preserve">, ed. by abū Șuhaīb al-Karmī (Riyadh: Baīt al-Afkār al-Dawlīya), [hereafter ibn Khaldūn, </w:t>
      </w:r>
      <w:r>
        <w:rPr>
          <w:i/>
        </w:rPr>
        <w:t>T</w:t>
      </w:r>
      <w:r w:rsidRPr="00931935">
        <w:rPr>
          <w:i/>
        </w:rPr>
        <w:t>he History of Ibn Khaldūn</w:t>
      </w:r>
      <w:r>
        <w:t>]: pp.223-224</w:t>
      </w:r>
    </w:p>
  </w:footnote>
  <w:footnote w:id="123">
    <w:p w:rsidR="008D6268" w:rsidRDefault="008D6268" w:rsidP="00F411E0">
      <w:pPr>
        <w:pStyle w:val="FootnoteText"/>
        <w:rPr>
          <w:rFonts w:eastAsia="Times New Roman"/>
        </w:rPr>
      </w:pPr>
      <w:r>
        <w:rPr>
          <w:rStyle w:val="FootnoteReference"/>
        </w:rPr>
        <w:footnoteRef/>
      </w:r>
      <w:r>
        <w:t xml:space="preserve"> </w:t>
      </w:r>
      <w:r w:rsidRPr="00AE382C">
        <w:rPr>
          <w:rFonts w:eastAsia="Times New Roman"/>
        </w:rPr>
        <w:t>al-Bukhārī</w:t>
      </w:r>
      <w:r>
        <w:rPr>
          <w:rFonts w:eastAsia="Times New Roman"/>
          <w:i/>
          <w:iCs/>
        </w:rPr>
        <w:t>,  Sahīh al-Bukhārī</w:t>
      </w:r>
      <w:r>
        <w:rPr>
          <w:rFonts w:eastAsia="Times New Roman"/>
        </w:rPr>
        <w:t xml:space="preserve">, book 92 </w:t>
      </w:r>
      <w:r>
        <w:rPr>
          <w:rFonts w:eastAsia="Times New Roman"/>
          <w:i/>
          <w:iCs/>
        </w:rPr>
        <w:t>of Holding fast to the Qur'ān and Sunnah</w:t>
      </w:r>
      <w:r>
        <w:rPr>
          <w:rFonts w:eastAsia="Times New Roman"/>
        </w:rPr>
        <w:t>, ḥadīth no. 460:</w:t>
      </w:r>
    </w:p>
    <w:p w:rsidR="008D6268" w:rsidRDefault="008D6268" w:rsidP="00F411E0">
      <w:pPr>
        <w:pStyle w:val="FootnoteText"/>
        <w:bidi/>
      </w:pPr>
      <w:r>
        <w:rPr>
          <w:rFonts w:eastAsia="Times New Roman" w:hint="cs"/>
          <w:rtl/>
          <w:lang w:bidi="ar-AE"/>
        </w:rPr>
        <w:t>"</w:t>
      </w:r>
      <w:r>
        <w:rPr>
          <w:rStyle w:val="arabictextdetails"/>
          <w:rtl/>
        </w:rPr>
        <w:t xml:space="preserve">كَانَ أَهْلُ الْكِتَابِ يَقْرَءُونَ التَّوْرَاةَ بِالْعِبْرَانِيَّةِ وَيُفَسِّرُونَهَا بِالْعَرَبِيَّةِ لأَهْلِ الإِسْلاَمِ فَقَالَ رَسُولُ اللَّهِ صلى الله عليه وسلم ‏"‏ لاَ تُصَدِّقُوا أَهْلَ الْكِتَابِ، وَلاَ تُكَذِّبُوهُمْ وَقُولُوا </w:t>
      </w:r>
      <w:bookmarkStart w:id="26" w:name="q28"/>
      <w:r>
        <w:rPr>
          <w:rStyle w:val="arabictextdetails"/>
          <w:rtl/>
        </w:rPr>
        <w:t>‏</w:t>
      </w:r>
      <w:r>
        <w:rPr>
          <w:rStyle w:val="arabictextdetails"/>
          <w:rFonts w:hint="cs"/>
          <w:rtl/>
        </w:rPr>
        <w:t>((</w:t>
      </w:r>
      <w:r w:rsidRPr="00A70FF4">
        <w:rPr>
          <w:rStyle w:val="arabictextdetails"/>
          <w:rtl/>
        </w:rPr>
        <w:t>آمَنَّا بِاللَّهِ وَمَا أُنْزِلَ إِلَيْنَا وَمَا أُنْزِلَ إِلَيْكُمْ‏</w:t>
      </w:r>
      <w:bookmarkEnd w:id="26"/>
      <w:r>
        <w:rPr>
          <w:rStyle w:val="arabictextdetails"/>
          <w:rFonts w:hint="cs"/>
          <w:rtl/>
        </w:rPr>
        <w:t>))</w:t>
      </w:r>
      <w:r>
        <w:rPr>
          <w:rStyle w:val="arabictextdetails"/>
          <w:rtl/>
        </w:rPr>
        <w:t>‏"‏‏</w:t>
      </w:r>
      <w:r>
        <w:t xml:space="preserve"> </w:t>
      </w:r>
    </w:p>
  </w:footnote>
  <w:footnote w:id="124">
    <w:p w:rsidR="008D6268" w:rsidRDefault="008D6268" w:rsidP="00F411E0">
      <w:pPr>
        <w:pStyle w:val="FootnoteText"/>
        <w:rPr>
          <w:rtl/>
          <w:lang w:bidi="ar-AE"/>
        </w:rPr>
      </w:pPr>
      <w:r>
        <w:rPr>
          <w:rStyle w:val="FootnoteReference"/>
        </w:rPr>
        <w:footnoteRef/>
      </w:r>
      <w:r>
        <w:t xml:space="preserve"> </w:t>
      </w:r>
      <w:r>
        <w:rPr>
          <w:rFonts w:hint="cs"/>
          <w:rtl/>
          <w:lang w:bidi="ar-AE"/>
        </w:rPr>
        <w:t xml:space="preserve">محمد حسين الذهبي، </w:t>
      </w:r>
      <w:r w:rsidRPr="00C37E89">
        <w:rPr>
          <w:rFonts w:hint="cs"/>
          <w:b/>
          <w:bCs/>
          <w:rtl/>
          <w:lang w:bidi="ar-AE"/>
        </w:rPr>
        <w:t xml:space="preserve">التفسير والمفسرون </w:t>
      </w:r>
      <w:r>
        <w:rPr>
          <w:rFonts w:hint="cs"/>
          <w:rtl/>
          <w:lang w:bidi="ar-AE"/>
        </w:rPr>
        <w:t>(القاهرة: مكتبة وهبة، ب.ت): 1/121</w:t>
      </w:r>
    </w:p>
    <w:p w:rsidR="008D6268" w:rsidRDefault="008D6268" w:rsidP="00F411E0">
      <w:pPr>
        <w:pStyle w:val="FootnoteText"/>
      </w:pPr>
      <w:r>
        <w:t xml:space="preserve">Muḥammad Ḥussaīn al-Thahabī, </w:t>
      </w:r>
      <w:r w:rsidRPr="00A70B0C">
        <w:rPr>
          <w:i/>
          <w:iCs/>
        </w:rPr>
        <w:t>al-Tafsīr w'al-Mufassirūn</w:t>
      </w:r>
      <w:r>
        <w:t xml:space="preserve"> </w:t>
      </w:r>
      <w:r w:rsidRPr="00A70B0C">
        <w:rPr>
          <w:i/>
          <w:iCs/>
        </w:rPr>
        <w:t>Or Exegesis and Exegetes</w:t>
      </w:r>
      <w:r>
        <w:rPr>
          <w:i/>
          <w:iCs/>
        </w:rPr>
        <w:t xml:space="preserve"> </w:t>
      </w:r>
      <w:r>
        <w:t xml:space="preserve">(Cairo: Maktabat Wahbah, n.d.), [hereafter al-Thahabī, </w:t>
      </w:r>
      <w:r w:rsidRPr="00A70B0C">
        <w:rPr>
          <w:i/>
          <w:iCs/>
        </w:rPr>
        <w:t>Exegesis and Exegetes</w:t>
      </w:r>
      <w:r>
        <w:t>]: I:121</w:t>
      </w:r>
    </w:p>
  </w:footnote>
  <w:footnote w:id="125">
    <w:p w:rsidR="008D6268" w:rsidRPr="006A5BC7" w:rsidRDefault="008D6268" w:rsidP="00F411E0">
      <w:pPr>
        <w:pStyle w:val="FootnoteText"/>
      </w:pPr>
      <w:r>
        <w:rPr>
          <w:rStyle w:val="FootnoteReference"/>
        </w:rPr>
        <w:footnoteRef/>
      </w:r>
      <w:r w:rsidRPr="006A5BC7">
        <w:t xml:space="preserve"> </w:t>
      </w:r>
      <w:r w:rsidRPr="000F4FDC">
        <w:t xml:space="preserve">Isaiah 2.2-4; 9.1-7; 11.1-16; 24.21-23; 26.19-21; 35.1-10; 42.1-6; 65.16-25; </w:t>
      </w:r>
      <w:r w:rsidRPr="00663DE8">
        <w:t>Ezekiel 37.1-14; Daniel 7.13-14; 12.2-3; Zechariah 14.1-9</w:t>
      </w:r>
      <w:r w:rsidRPr="006A5BC7">
        <w:t>;</w:t>
      </w:r>
      <w:r>
        <w:t xml:space="preserve"> Cohn, </w:t>
      </w:r>
      <w:r w:rsidRPr="0098652C">
        <w:rPr>
          <w:i/>
          <w:iCs/>
        </w:rPr>
        <w:t>Cosmos, Chaos and the World to Come</w:t>
      </w:r>
      <w:r>
        <w:rPr>
          <w:i/>
          <w:iCs/>
        </w:rPr>
        <w:t xml:space="preserve">, </w:t>
      </w:r>
      <w:r>
        <w:t xml:space="preserve">pp.165-175; Cohn, </w:t>
      </w:r>
      <w:r w:rsidRPr="00BA50DB">
        <w:rPr>
          <w:i/>
          <w:iCs/>
        </w:rPr>
        <w:t>The Pursuit of the Millennium</w:t>
      </w:r>
      <w:r>
        <w:t xml:space="preserve">, 1970, pp.19-22; </w:t>
      </w:r>
      <w:r w:rsidRPr="006A5BC7">
        <w:t xml:space="preserve">David Novak, </w:t>
      </w:r>
      <w:r>
        <w:t xml:space="preserve">'Jewish Eschatology', in The Oxford Handbook of Eschatology, ed. by Jerry L. Walls (Oxford: Oxford University Press, 2008), [hereafter Novak, 'Jewish Eschatology', </w:t>
      </w:r>
      <w:r w:rsidRPr="006A5BC7">
        <w:t>pp.113-114</w:t>
      </w:r>
      <w:r>
        <w:t>; pp.117-126</w:t>
      </w:r>
    </w:p>
  </w:footnote>
  <w:footnote w:id="126">
    <w:p w:rsidR="008D6268" w:rsidRDefault="008D6268" w:rsidP="00F411E0">
      <w:pPr>
        <w:pStyle w:val="FootnoteText"/>
      </w:pPr>
      <w:r>
        <w:rPr>
          <w:rStyle w:val="FootnoteReference"/>
        </w:rPr>
        <w:footnoteRef/>
      </w:r>
      <w:r>
        <w:t xml:space="preserve"> Cohn, </w:t>
      </w:r>
      <w:r w:rsidRPr="00ED78A1">
        <w:rPr>
          <w:i/>
          <w:iCs/>
        </w:rPr>
        <w:t>Cosmos Chaos and the World to Come</w:t>
      </w:r>
      <w:r>
        <w:t>, pp.165-166</w:t>
      </w:r>
    </w:p>
  </w:footnote>
  <w:footnote w:id="127">
    <w:p w:rsidR="008D6268" w:rsidRPr="00121D52" w:rsidRDefault="008D6268" w:rsidP="00F411E0">
      <w:pPr>
        <w:pStyle w:val="FootnoteText"/>
      </w:pPr>
      <w:r w:rsidRPr="00121D52">
        <w:rPr>
          <w:rStyle w:val="FootnoteReference"/>
        </w:rPr>
        <w:footnoteRef/>
      </w:r>
      <w:r w:rsidRPr="00121D52">
        <w:t xml:space="preserve"> ibn Kathīr, </w:t>
      </w:r>
      <w:r w:rsidRPr="00121D52">
        <w:rPr>
          <w:bCs/>
          <w:i/>
        </w:rPr>
        <w:t>The Commentary of ibn Kathīr</w:t>
      </w:r>
      <w:r w:rsidRPr="00121D52">
        <w:t>, I: 9-10</w:t>
      </w:r>
    </w:p>
  </w:footnote>
  <w:footnote w:id="128">
    <w:p w:rsidR="008D6268" w:rsidRDefault="008D6268" w:rsidP="00F411E0">
      <w:pPr>
        <w:pStyle w:val="FootnoteText"/>
        <w:rPr>
          <w:rtl/>
          <w:lang w:bidi="ar-AE"/>
        </w:rPr>
      </w:pPr>
      <w:r>
        <w:rPr>
          <w:rStyle w:val="FootnoteReference"/>
        </w:rPr>
        <w:footnoteRef/>
      </w:r>
      <w:r>
        <w:t xml:space="preserve"> </w:t>
      </w:r>
      <w:r w:rsidRPr="00F60032">
        <w:rPr>
          <w:rFonts w:cs="Arial" w:hint="cs"/>
          <w:rtl/>
          <w:lang w:bidi="ar-AE"/>
        </w:rPr>
        <w:t>الحسين</w:t>
      </w:r>
      <w:r w:rsidRPr="00F60032">
        <w:rPr>
          <w:rFonts w:cs="Arial"/>
          <w:rtl/>
          <w:lang w:bidi="ar-AE"/>
        </w:rPr>
        <w:t xml:space="preserve"> </w:t>
      </w:r>
      <w:r w:rsidRPr="00F60032">
        <w:rPr>
          <w:rFonts w:cs="Arial" w:hint="cs"/>
          <w:rtl/>
          <w:lang w:bidi="ar-AE"/>
        </w:rPr>
        <w:t>بن</w:t>
      </w:r>
      <w:r w:rsidRPr="00F60032">
        <w:rPr>
          <w:rFonts w:cs="Arial"/>
          <w:rtl/>
          <w:lang w:bidi="ar-AE"/>
        </w:rPr>
        <w:t xml:space="preserve"> </w:t>
      </w:r>
      <w:r w:rsidRPr="00F60032">
        <w:rPr>
          <w:rFonts w:cs="Arial" w:hint="cs"/>
          <w:rtl/>
          <w:lang w:bidi="ar-AE"/>
        </w:rPr>
        <w:t>مسعود</w:t>
      </w:r>
      <w:r w:rsidRPr="00F60032">
        <w:rPr>
          <w:rFonts w:cs="Arial"/>
          <w:rtl/>
          <w:lang w:bidi="ar-AE"/>
        </w:rPr>
        <w:t xml:space="preserve"> </w:t>
      </w:r>
      <w:r w:rsidRPr="00F60032">
        <w:rPr>
          <w:rFonts w:cs="Arial" w:hint="cs"/>
          <w:rtl/>
          <w:lang w:bidi="ar-AE"/>
        </w:rPr>
        <w:t>بن</w:t>
      </w:r>
      <w:r w:rsidRPr="00F60032">
        <w:rPr>
          <w:rFonts w:cs="Arial"/>
          <w:rtl/>
          <w:lang w:bidi="ar-AE"/>
        </w:rPr>
        <w:t xml:space="preserve"> </w:t>
      </w:r>
      <w:r w:rsidRPr="00F60032">
        <w:rPr>
          <w:rFonts w:cs="Arial" w:hint="cs"/>
          <w:rtl/>
          <w:lang w:bidi="ar-AE"/>
        </w:rPr>
        <w:t>محمد</w:t>
      </w:r>
      <w:r w:rsidRPr="00F60032">
        <w:rPr>
          <w:rFonts w:cs="Arial"/>
          <w:rtl/>
          <w:lang w:bidi="ar-AE"/>
        </w:rPr>
        <w:t xml:space="preserve"> </w:t>
      </w:r>
      <w:r w:rsidRPr="00F60032">
        <w:rPr>
          <w:rFonts w:cs="Arial" w:hint="cs"/>
          <w:rtl/>
          <w:lang w:bidi="ar-AE"/>
        </w:rPr>
        <w:t>بن</w:t>
      </w:r>
      <w:r w:rsidRPr="00F60032">
        <w:rPr>
          <w:rFonts w:cs="Arial"/>
          <w:rtl/>
          <w:lang w:bidi="ar-AE"/>
        </w:rPr>
        <w:t xml:space="preserve"> </w:t>
      </w:r>
      <w:r w:rsidRPr="00F60032">
        <w:rPr>
          <w:rFonts w:cs="Arial" w:hint="cs"/>
          <w:rtl/>
          <w:lang w:bidi="ar-AE"/>
        </w:rPr>
        <w:t>الفراء</w:t>
      </w:r>
      <w:r w:rsidRPr="00F60032">
        <w:rPr>
          <w:rFonts w:cs="Arial"/>
          <w:rtl/>
          <w:lang w:bidi="ar-AE"/>
        </w:rPr>
        <w:t xml:space="preserve"> </w:t>
      </w:r>
      <w:r w:rsidRPr="00F60032">
        <w:rPr>
          <w:rFonts w:cs="Arial" w:hint="cs"/>
          <w:rtl/>
          <w:lang w:bidi="ar-AE"/>
        </w:rPr>
        <w:t>البغوي</w:t>
      </w:r>
      <w:r>
        <w:rPr>
          <w:rFonts w:cs="Arial" w:hint="cs"/>
          <w:rtl/>
          <w:lang w:bidi="ar-AE"/>
        </w:rPr>
        <w:t xml:space="preserve">، </w:t>
      </w:r>
      <w:r w:rsidRPr="00F60032">
        <w:rPr>
          <w:rFonts w:cs="Arial" w:hint="cs"/>
          <w:b/>
          <w:bCs/>
          <w:rtl/>
          <w:lang w:bidi="ar-AE"/>
        </w:rPr>
        <w:t>معالم التنزيل في تفسير القرآن أو تفسير البغوي</w:t>
      </w:r>
      <w:r>
        <w:rPr>
          <w:rFonts w:cs="Arial" w:hint="cs"/>
          <w:rtl/>
          <w:lang w:bidi="ar-AE"/>
        </w:rPr>
        <w:t>، تحقيق عبدالرازق المهدي (بيروت: دار إحياء التراث العربي، 1420 هـ): 5/129</w:t>
      </w:r>
    </w:p>
    <w:p w:rsidR="008D6268" w:rsidRDefault="008D6268" w:rsidP="00F411E0">
      <w:pPr>
        <w:pStyle w:val="FootnoteText"/>
      </w:pPr>
      <w:r w:rsidRPr="00816334">
        <w:t>al-Ḥussaīn b. Mas'ūd b. Muḥammad b.</w:t>
      </w:r>
      <w:r>
        <w:rPr>
          <w:rFonts w:hint="cs"/>
          <w:rtl/>
        </w:rPr>
        <w:t xml:space="preserve"> </w:t>
      </w:r>
      <w:r>
        <w:t xml:space="preserve">al-Farrā' al-Baghawī, </w:t>
      </w:r>
      <w:r w:rsidRPr="004E651F">
        <w:rPr>
          <w:i/>
          <w:iCs/>
        </w:rPr>
        <w:t xml:space="preserve">Ma'ālim al-Tanzīl fi Tafsīr al-Qur'ān or </w:t>
      </w:r>
      <w:r w:rsidRPr="004E651F">
        <w:rPr>
          <w:i/>
          <w:iCs/>
          <w:lang w:bidi="ar-AE"/>
        </w:rPr>
        <w:t xml:space="preserve">Signs of the Revelation in Qurānic Interpretation or </w:t>
      </w:r>
      <w:r>
        <w:rPr>
          <w:i/>
          <w:iCs/>
          <w:lang w:bidi="ar-AE"/>
        </w:rPr>
        <w:t>T</w:t>
      </w:r>
      <w:r w:rsidRPr="004E651F">
        <w:rPr>
          <w:i/>
          <w:iCs/>
          <w:lang w:bidi="ar-AE"/>
        </w:rPr>
        <w:t>he Commentary of al-Baghawī</w:t>
      </w:r>
      <w:r>
        <w:rPr>
          <w:lang w:bidi="ar-AE"/>
        </w:rPr>
        <w:t xml:space="preserve">, ed. by Abdulrāziq al-Mahdī (Beirut: Dār Iḥyā' al-Turāth al-'Arabī, 1420 AH), [hereafter </w:t>
      </w:r>
      <w:r>
        <w:t xml:space="preserve">al-Baghawī, </w:t>
      </w:r>
      <w:r>
        <w:rPr>
          <w:i/>
          <w:iCs/>
          <w:lang w:bidi="ar-AE"/>
        </w:rPr>
        <w:t>T</w:t>
      </w:r>
      <w:r w:rsidRPr="004E651F">
        <w:rPr>
          <w:i/>
          <w:iCs/>
          <w:lang w:bidi="ar-AE"/>
        </w:rPr>
        <w:t>he Commentary of al-Baghawī</w:t>
      </w:r>
      <w:r>
        <w:rPr>
          <w:lang w:bidi="ar-AE"/>
        </w:rPr>
        <w:t xml:space="preserve">]: V:129-130; </w:t>
      </w:r>
      <w:r w:rsidRPr="00121D52">
        <w:rPr>
          <w:rFonts w:eastAsia="Times New Roman"/>
        </w:rPr>
        <w:t>al-Tabarī</w:t>
      </w:r>
      <w:r>
        <w:rPr>
          <w:rFonts w:eastAsia="Times New Roman"/>
        </w:rPr>
        <w:t xml:space="preserve">, </w:t>
      </w:r>
      <w:r w:rsidRPr="00121D52">
        <w:rPr>
          <w:rFonts w:eastAsia="Times New Roman"/>
          <w:i/>
          <w:iCs/>
        </w:rPr>
        <w:t>Al-Tabarī</w:t>
      </w:r>
      <w:r w:rsidRPr="00121D52">
        <w:rPr>
          <w:rFonts w:eastAsia="Times New Roman"/>
          <w:i/>
          <w:iCs/>
          <w:rtl/>
        </w:rPr>
        <w:t xml:space="preserve"> </w:t>
      </w:r>
      <w:r w:rsidRPr="00121D52">
        <w:rPr>
          <w:rFonts w:eastAsia="Times New Roman"/>
          <w:i/>
          <w:iCs/>
        </w:rPr>
        <w:t>Qur’ān Commentary</w:t>
      </w:r>
      <w:r>
        <w:rPr>
          <w:rFonts w:eastAsia="Times New Roman"/>
          <w:i/>
          <w:iCs/>
        </w:rPr>
        <w:t>,</w:t>
      </w:r>
      <w:r w:rsidRPr="00121D52">
        <w:t xml:space="preserve"> </w:t>
      </w:r>
      <w:r>
        <w:t xml:space="preserve">XXIII:140-142; </w:t>
      </w:r>
      <w:r w:rsidRPr="00EB1347">
        <w:t>al-Q</w:t>
      </w:r>
      <w:r>
        <w:t>u</w:t>
      </w:r>
      <w:r w:rsidRPr="00EB1347">
        <w:t>rṭ</w:t>
      </w:r>
      <w:r>
        <w:t>u</w:t>
      </w:r>
      <w:r w:rsidRPr="00EB1347">
        <w:t>bī,</w:t>
      </w:r>
      <w:r>
        <w:t xml:space="preserve"> </w:t>
      </w:r>
      <w:r w:rsidRPr="00EB1347">
        <w:rPr>
          <w:i/>
          <w:iCs/>
        </w:rPr>
        <w:t>The Comprehensive Book on the Provisions of the Qur’ān</w:t>
      </w:r>
      <w:r>
        <w:rPr>
          <w:i/>
          <w:iCs/>
        </w:rPr>
        <w:t xml:space="preserve">, </w:t>
      </w:r>
      <w:r>
        <w:t>XVIII:223-224;</w:t>
      </w:r>
      <w:r w:rsidRPr="00121D52">
        <w:t xml:space="preserve"> ibn Kathīr, </w:t>
      </w:r>
      <w:r w:rsidRPr="00121D52">
        <w:rPr>
          <w:bCs/>
          <w:i/>
        </w:rPr>
        <w:t>The Commentary of ibn Kathīr</w:t>
      </w:r>
      <w:r>
        <w:t>, VIII</w:t>
      </w:r>
      <w:r w:rsidRPr="00121D52">
        <w:t xml:space="preserve">: </w:t>
      </w:r>
      <w:r>
        <w:t xml:space="preserve">203-204; </w:t>
      </w:r>
    </w:p>
  </w:footnote>
  <w:footnote w:id="129">
    <w:p w:rsidR="008D6268" w:rsidRDefault="008D6268" w:rsidP="00F411E0">
      <w:pPr>
        <w:pStyle w:val="FootnoteText"/>
      </w:pPr>
      <w:r>
        <w:rPr>
          <w:rStyle w:val="FootnoteReference"/>
        </w:rPr>
        <w:footnoteRef/>
      </w:r>
      <w:r>
        <w:t xml:space="preserve"> al-Baghawī, </w:t>
      </w:r>
      <w:r>
        <w:rPr>
          <w:i/>
          <w:iCs/>
          <w:lang w:bidi="ar-AE"/>
        </w:rPr>
        <w:t>T</w:t>
      </w:r>
      <w:r w:rsidRPr="004E651F">
        <w:rPr>
          <w:i/>
          <w:iCs/>
          <w:lang w:bidi="ar-AE"/>
        </w:rPr>
        <w:t>he Commentary of al-Baghawī</w:t>
      </w:r>
      <w:r>
        <w:rPr>
          <w:lang w:bidi="ar-AE"/>
        </w:rPr>
        <w:t>, V:129</w:t>
      </w:r>
      <w:r>
        <w:t>;</w:t>
      </w:r>
      <w:r w:rsidRPr="00121D52">
        <w:t xml:space="preserve"> ibn Kathīr, </w:t>
      </w:r>
      <w:r w:rsidRPr="00121D52">
        <w:rPr>
          <w:bCs/>
          <w:i/>
        </w:rPr>
        <w:t>The Commentary of ibn Kathīr</w:t>
      </w:r>
      <w:r>
        <w:t>, VIII:204</w:t>
      </w:r>
    </w:p>
  </w:footnote>
  <w:footnote w:id="130">
    <w:p w:rsidR="008D6268" w:rsidRPr="00121D52" w:rsidRDefault="008D6268" w:rsidP="00F411E0">
      <w:pPr>
        <w:pStyle w:val="FootnoteText"/>
      </w:pPr>
      <w:r w:rsidRPr="00121D52">
        <w:rPr>
          <w:rStyle w:val="FootnoteReference"/>
        </w:rPr>
        <w:footnoteRef/>
      </w:r>
      <w:r w:rsidRPr="00121D52">
        <w:t xml:space="preserve"> </w:t>
      </w:r>
      <w:r>
        <w:t xml:space="preserve">al-Baghawī, </w:t>
      </w:r>
      <w:r>
        <w:rPr>
          <w:i/>
          <w:iCs/>
          <w:lang w:bidi="ar-AE"/>
        </w:rPr>
        <w:t>T</w:t>
      </w:r>
      <w:r w:rsidRPr="004E651F">
        <w:rPr>
          <w:i/>
          <w:iCs/>
          <w:lang w:bidi="ar-AE"/>
        </w:rPr>
        <w:t>he Commentary of al-Baghawī</w:t>
      </w:r>
      <w:r>
        <w:rPr>
          <w:lang w:bidi="ar-AE"/>
        </w:rPr>
        <w:t xml:space="preserve">, V:129; </w:t>
      </w:r>
      <w:r w:rsidRPr="00EB1347">
        <w:t>al-Q</w:t>
      </w:r>
      <w:r>
        <w:t>u</w:t>
      </w:r>
      <w:r w:rsidRPr="00EB1347">
        <w:t>rṭ</w:t>
      </w:r>
      <w:r>
        <w:t>u</w:t>
      </w:r>
      <w:r w:rsidRPr="00EB1347">
        <w:t>bī,</w:t>
      </w:r>
      <w:r>
        <w:t xml:space="preserve"> </w:t>
      </w:r>
      <w:r w:rsidRPr="00EB1347">
        <w:rPr>
          <w:i/>
          <w:iCs/>
        </w:rPr>
        <w:t>The Comprehensive Book on the Provisions of the Qur’ān</w:t>
      </w:r>
      <w:r>
        <w:rPr>
          <w:i/>
          <w:iCs/>
        </w:rPr>
        <w:t xml:space="preserve">, </w:t>
      </w:r>
      <w:r>
        <w:t xml:space="preserve">XVIII:224; </w:t>
      </w:r>
      <w:r w:rsidRPr="00121D52">
        <w:t>Job 40.15-24; Job 41.1-34</w:t>
      </w:r>
    </w:p>
  </w:footnote>
  <w:footnote w:id="131">
    <w:p w:rsidR="008D6268" w:rsidRPr="00121D52" w:rsidRDefault="008D6268" w:rsidP="00F411E0">
      <w:pPr>
        <w:pStyle w:val="FootnoteText"/>
      </w:pPr>
      <w:r w:rsidRPr="00121D52">
        <w:rPr>
          <w:rStyle w:val="FootnoteReference"/>
        </w:rPr>
        <w:footnoteRef/>
      </w:r>
      <w:r w:rsidRPr="00121D52">
        <w:t xml:space="preserve"> Campion, </w:t>
      </w:r>
      <w:r w:rsidRPr="00F64EFC">
        <w:rPr>
          <w:i/>
          <w:iCs/>
        </w:rPr>
        <w:t>Astrology and Cosmology</w:t>
      </w:r>
      <w:r>
        <w:rPr>
          <w:i/>
          <w:iCs/>
        </w:rPr>
        <w:t>,</w:t>
      </w:r>
      <w:r w:rsidRPr="00121D52">
        <w:t xml:space="preserve"> p.173</w:t>
      </w:r>
    </w:p>
  </w:footnote>
  <w:footnote w:id="132">
    <w:p w:rsidR="008D6268" w:rsidRDefault="008D6268" w:rsidP="00F411E0">
      <w:pPr>
        <w:pStyle w:val="FootnoteText"/>
      </w:pPr>
      <w:r>
        <w:rPr>
          <w:rStyle w:val="FootnoteReference"/>
        </w:rPr>
        <w:footnoteRef/>
      </w:r>
      <w:r>
        <w:t xml:space="preserve"> Campion, </w:t>
      </w:r>
      <w:r w:rsidRPr="00F64EFC">
        <w:rPr>
          <w:i/>
          <w:iCs/>
        </w:rPr>
        <w:t>Astrology and Cosmology</w:t>
      </w:r>
      <w:r>
        <w:rPr>
          <w:i/>
          <w:iCs/>
        </w:rPr>
        <w:t>,</w:t>
      </w:r>
      <w:r>
        <w:t xml:space="preserve"> p.173</w:t>
      </w:r>
    </w:p>
  </w:footnote>
  <w:footnote w:id="133">
    <w:p w:rsidR="008D6268" w:rsidRPr="00121D52" w:rsidRDefault="008D6268" w:rsidP="00F411E0">
      <w:pPr>
        <w:pStyle w:val="FootnoteText"/>
        <w:rPr>
          <w:rtl/>
          <w:lang w:bidi="ar-AE"/>
        </w:rPr>
      </w:pPr>
      <w:r w:rsidRPr="00121D52">
        <w:rPr>
          <w:rStyle w:val="FootnoteReference"/>
        </w:rPr>
        <w:footnoteRef/>
      </w:r>
      <w:r w:rsidRPr="00121D52">
        <w:t xml:space="preserve"> </w:t>
      </w:r>
      <w:r w:rsidRPr="00121D52">
        <w:rPr>
          <w:rtl/>
          <w:lang w:bidi="ar-AE"/>
        </w:rPr>
        <w:t xml:space="preserve">الحسين بن علي ابن سينا، </w:t>
      </w:r>
      <w:r w:rsidRPr="00121D52">
        <w:rPr>
          <w:b/>
          <w:bCs/>
          <w:rtl/>
          <w:lang w:bidi="ar-AE"/>
        </w:rPr>
        <w:t>كتاب النجاة في الحكمة المنطقية والطبيعية والإلهية</w:t>
      </w:r>
      <w:r w:rsidRPr="00121D52">
        <w:rPr>
          <w:rtl/>
          <w:lang w:bidi="ar-AE"/>
        </w:rPr>
        <w:t xml:space="preserve">، تحقيق ماجد فخري (بيروت: منشورات دار الآفاق الجديدة، 1982)، ص. 235-343 </w:t>
      </w:r>
    </w:p>
    <w:p w:rsidR="008D6268" w:rsidRPr="00121D52" w:rsidRDefault="008D6268" w:rsidP="00F411E0">
      <w:pPr>
        <w:pStyle w:val="FootnoteText"/>
      </w:pPr>
      <w:r w:rsidRPr="00121D52">
        <w:t>al-</w:t>
      </w:r>
      <w:r w:rsidRPr="00121D52">
        <w:rPr>
          <w:rFonts w:cs="Arial"/>
        </w:rPr>
        <w:t>Ḥ</w:t>
      </w:r>
      <w:r w:rsidRPr="00121D52">
        <w:t xml:space="preserve">ussaīn 'Alī ibn Sīnā, </w:t>
      </w:r>
      <w:r w:rsidRPr="00121D52">
        <w:rPr>
          <w:i/>
          <w:iCs/>
        </w:rPr>
        <w:t xml:space="preserve">Kitāb al-Najāt or </w:t>
      </w:r>
      <w:r>
        <w:rPr>
          <w:i/>
          <w:iCs/>
        </w:rPr>
        <w:t>T</w:t>
      </w:r>
      <w:r w:rsidRPr="00121D52">
        <w:rPr>
          <w:i/>
          <w:iCs/>
        </w:rPr>
        <w:t>he Book of Salvation</w:t>
      </w:r>
      <w:r w:rsidRPr="00121D52">
        <w:t>, ed. by Majid Fakhri (Beirut: Manshūrāt Dār al-'Āfāq al-Jadīda, 1982), [hereafter ibn Sīna</w:t>
      </w:r>
      <w:r>
        <w:t xml:space="preserve">, </w:t>
      </w:r>
      <w:r>
        <w:rPr>
          <w:i/>
          <w:iCs/>
        </w:rPr>
        <w:t>T</w:t>
      </w:r>
      <w:r w:rsidRPr="00121D52">
        <w:rPr>
          <w:i/>
          <w:iCs/>
        </w:rPr>
        <w:t>he Book of Salvation</w:t>
      </w:r>
      <w:r w:rsidRPr="00121D52">
        <w:t xml:space="preserve">]: pp.235-343; Nasr, </w:t>
      </w:r>
      <w:r w:rsidRPr="00204786">
        <w:rPr>
          <w:i/>
          <w:iCs/>
        </w:rPr>
        <w:t>An Introduction to Islamic Cosmological Doctrines</w:t>
      </w:r>
      <w:r>
        <w:rPr>
          <w:i/>
          <w:iCs/>
        </w:rPr>
        <w:t>,</w:t>
      </w:r>
      <w:r w:rsidRPr="00121D52">
        <w:t xml:space="preserve"> p</w:t>
      </w:r>
      <w:r>
        <w:t>p</w:t>
      </w:r>
      <w:r w:rsidRPr="00121D52">
        <w:t>.184</w:t>
      </w:r>
      <w:r>
        <w:t>-185</w:t>
      </w:r>
      <w:r w:rsidRPr="00121D52">
        <w:t xml:space="preserve">; p.276; Campion, </w:t>
      </w:r>
      <w:r w:rsidRPr="00F64EFC">
        <w:rPr>
          <w:i/>
          <w:iCs/>
        </w:rPr>
        <w:t>Astrology and Cosmology</w:t>
      </w:r>
      <w:r>
        <w:rPr>
          <w:i/>
          <w:iCs/>
        </w:rPr>
        <w:t>,</w:t>
      </w:r>
      <w:r w:rsidRPr="00121D52">
        <w:t xml:space="preserve"> p.180</w:t>
      </w:r>
    </w:p>
  </w:footnote>
  <w:footnote w:id="134">
    <w:p w:rsidR="008D6268" w:rsidRPr="00121D52" w:rsidRDefault="008D6268" w:rsidP="00F411E0">
      <w:pPr>
        <w:pStyle w:val="FootnoteText"/>
      </w:pPr>
      <w:r w:rsidRPr="00121D52">
        <w:rPr>
          <w:rStyle w:val="FootnoteReference"/>
        </w:rPr>
        <w:footnoteRef/>
      </w:r>
      <w:r w:rsidRPr="00121D52">
        <w:t xml:space="preserve"> ibn Sīnā, </w:t>
      </w:r>
      <w:r>
        <w:rPr>
          <w:i/>
          <w:iCs/>
        </w:rPr>
        <w:t>T</w:t>
      </w:r>
      <w:r w:rsidRPr="00121D52">
        <w:rPr>
          <w:i/>
          <w:iCs/>
        </w:rPr>
        <w:t>he Book of Salvation</w:t>
      </w:r>
      <w:r>
        <w:t xml:space="preserve">, </w:t>
      </w:r>
      <w:r w:rsidRPr="00121D52">
        <w:t xml:space="preserve">pp.310-314; pp.334-335; Nasr, </w:t>
      </w:r>
      <w:r w:rsidRPr="00204786">
        <w:rPr>
          <w:i/>
          <w:iCs/>
        </w:rPr>
        <w:t>An Introduction to Islamic Cosmological Doctrines</w:t>
      </w:r>
      <w:r>
        <w:rPr>
          <w:i/>
          <w:iCs/>
        </w:rPr>
        <w:t>,</w:t>
      </w:r>
      <w:r w:rsidRPr="00121D52">
        <w:t xml:space="preserve"> pp.202-20</w:t>
      </w:r>
      <w:r>
        <w:t>5</w:t>
      </w:r>
      <w:r w:rsidRPr="00121D52">
        <w:t xml:space="preserve">; p.236; Campion, </w:t>
      </w:r>
      <w:r w:rsidRPr="00F64EFC">
        <w:rPr>
          <w:i/>
          <w:iCs/>
        </w:rPr>
        <w:t>Astrology and Cosmology</w:t>
      </w:r>
      <w:r>
        <w:rPr>
          <w:i/>
          <w:iCs/>
        </w:rPr>
        <w:t>,</w:t>
      </w:r>
      <w:r w:rsidRPr="00121D52">
        <w:t xml:space="preserve"> p.180</w:t>
      </w:r>
    </w:p>
  </w:footnote>
  <w:footnote w:id="135">
    <w:p w:rsidR="008D6268" w:rsidRPr="00121D52" w:rsidRDefault="008D6268" w:rsidP="00F411E0">
      <w:pPr>
        <w:spacing w:line="240" w:lineRule="auto"/>
        <w:rPr>
          <w:sz w:val="20"/>
          <w:szCs w:val="20"/>
          <w:highlight w:val="yellow"/>
        </w:rPr>
      </w:pPr>
      <w:r w:rsidRPr="007D3FA5">
        <w:rPr>
          <w:rStyle w:val="FootnoteReference"/>
          <w:sz w:val="20"/>
          <w:szCs w:val="20"/>
        </w:rPr>
        <w:footnoteRef/>
      </w:r>
      <w:r w:rsidRPr="00121D52">
        <w:t xml:space="preserve"> </w:t>
      </w:r>
      <w:r>
        <w:rPr>
          <w:sz w:val="20"/>
          <w:szCs w:val="20"/>
        </w:rPr>
        <w:t xml:space="preserve">Campion, </w:t>
      </w:r>
      <w:r w:rsidRPr="00F64EFC">
        <w:rPr>
          <w:i/>
          <w:iCs/>
          <w:sz w:val="20"/>
          <w:szCs w:val="20"/>
        </w:rPr>
        <w:t>Astrology and Cosmology</w:t>
      </w:r>
      <w:r>
        <w:rPr>
          <w:i/>
          <w:iCs/>
          <w:sz w:val="20"/>
          <w:szCs w:val="20"/>
        </w:rPr>
        <w:t>,</w:t>
      </w:r>
      <w:r>
        <w:rPr>
          <w:sz w:val="20"/>
          <w:szCs w:val="20"/>
        </w:rPr>
        <w:t xml:space="preserve"> p.180</w:t>
      </w:r>
    </w:p>
  </w:footnote>
  <w:footnote w:id="136">
    <w:p w:rsidR="008D6268" w:rsidRPr="00121D52" w:rsidRDefault="008D6268" w:rsidP="00F411E0">
      <w:pPr>
        <w:pStyle w:val="FootnoteText"/>
      </w:pPr>
      <w:r w:rsidRPr="00121D52">
        <w:rPr>
          <w:rStyle w:val="FootnoteReference"/>
        </w:rPr>
        <w:footnoteRef/>
      </w:r>
      <w:r w:rsidRPr="00121D52">
        <w:t xml:space="preserve"> Campion, </w:t>
      </w:r>
      <w:r w:rsidRPr="00F64EFC">
        <w:rPr>
          <w:i/>
          <w:iCs/>
        </w:rPr>
        <w:t>Astrology and Cosmology</w:t>
      </w:r>
      <w:r>
        <w:rPr>
          <w:i/>
          <w:iCs/>
        </w:rPr>
        <w:t>,</w:t>
      </w:r>
      <w:r>
        <w:t xml:space="preserve"> p.180</w:t>
      </w:r>
    </w:p>
  </w:footnote>
  <w:footnote w:id="137">
    <w:p w:rsidR="008D6268" w:rsidRPr="00121D52" w:rsidRDefault="008D6268" w:rsidP="00F411E0">
      <w:pPr>
        <w:pStyle w:val="FootnoteText"/>
      </w:pPr>
      <w:r w:rsidRPr="00121D52">
        <w:rPr>
          <w:rStyle w:val="FootnoteReference"/>
        </w:rPr>
        <w:footnoteRef/>
      </w:r>
      <w:r w:rsidRPr="00121D52">
        <w:t xml:space="preserve"> Campion, </w:t>
      </w:r>
      <w:r w:rsidRPr="00F64EFC">
        <w:rPr>
          <w:i/>
          <w:iCs/>
        </w:rPr>
        <w:t>Astrology and Cosmology</w:t>
      </w:r>
      <w:r>
        <w:rPr>
          <w:i/>
          <w:iCs/>
        </w:rPr>
        <w:t>,</w:t>
      </w:r>
      <w:r>
        <w:t xml:space="preserve"> p.180</w:t>
      </w:r>
    </w:p>
  </w:footnote>
  <w:footnote w:id="138">
    <w:p w:rsidR="008D6268" w:rsidRDefault="008D6268" w:rsidP="00F411E0">
      <w:pPr>
        <w:pStyle w:val="FootnoteText"/>
      </w:pPr>
      <w:r>
        <w:rPr>
          <w:rStyle w:val="FootnoteReference"/>
        </w:rPr>
        <w:footnoteRef/>
      </w:r>
      <w:r>
        <w:t xml:space="preserve"> ibn Sīnā, </w:t>
      </w:r>
      <w:r>
        <w:rPr>
          <w:i/>
          <w:iCs/>
        </w:rPr>
        <w:t>T</w:t>
      </w:r>
      <w:r w:rsidRPr="00121D52">
        <w:rPr>
          <w:i/>
          <w:iCs/>
        </w:rPr>
        <w:t>he Book of Salvation</w:t>
      </w:r>
      <w:r>
        <w:rPr>
          <w:i/>
          <w:iCs/>
        </w:rPr>
        <w:t>,</w:t>
      </w:r>
      <w:r>
        <w:t xml:space="preserve"> pp.292-306; 310-314; 326-338</w:t>
      </w:r>
    </w:p>
  </w:footnote>
  <w:footnote w:id="139">
    <w:p w:rsidR="008D6268" w:rsidRDefault="008D6268" w:rsidP="00F411E0">
      <w:pPr>
        <w:pStyle w:val="FootnoteText"/>
      </w:pPr>
      <w:r w:rsidRPr="00121D52">
        <w:rPr>
          <w:rStyle w:val="FootnoteReference"/>
        </w:rPr>
        <w:footnoteRef/>
      </w:r>
      <w:r w:rsidRPr="00121D52">
        <w:t xml:space="preserve"> </w:t>
      </w:r>
      <w:r w:rsidRPr="00121D52">
        <w:rPr>
          <w:rtl/>
          <w:lang w:bidi="ar-AE"/>
        </w:rPr>
        <w:t xml:space="preserve">أبو حامد الغزالي، </w:t>
      </w:r>
      <w:r w:rsidRPr="00121D52">
        <w:rPr>
          <w:b/>
          <w:bCs/>
          <w:rtl/>
          <w:lang w:bidi="ar-AE"/>
        </w:rPr>
        <w:t>تهافت الفلاسفة</w:t>
      </w:r>
      <w:r w:rsidRPr="00121D52">
        <w:rPr>
          <w:rtl/>
          <w:lang w:bidi="ar-AE"/>
        </w:rPr>
        <w:t>، تحقيق سليمان دن</w:t>
      </w:r>
      <w:r>
        <w:rPr>
          <w:rtl/>
          <w:lang w:bidi="ar-AE"/>
        </w:rPr>
        <w:t>يا (القاهرة: دار المعارف، 1972</w:t>
      </w:r>
      <w:r>
        <w:rPr>
          <w:rFonts w:hint="cs"/>
          <w:rtl/>
          <w:lang w:bidi="ar-AE"/>
        </w:rPr>
        <w:t xml:space="preserve">)؛ </w:t>
      </w:r>
      <w:r w:rsidRPr="00121D52">
        <w:rPr>
          <w:rtl/>
          <w:lang w:bidi="ar-AE"/>
        </w:rPr>
        <w:t xml:space="preserve">أبوحامد الغزالي، </w:t>
      </w:r>
      <w:r w:rsidRPr="00121D52">
        <w:rPr>
          <w:b/>
          <w:bCs/>
          <w:rtl/>
          <w:lang w:bidi="ar-AE"/>
        </w:rPr>
        <w:t>المنقذ من الضلال</w:t>
      </w:r>
      <w:r w:rsidRPr="00121D52">
        <w:rPr>
          <w:rtl/>
          <w:lang w:bidi="ar-AE"/>
        </w:rPr>
        <w:t>، تحقيق جميل صليبا و كمال عياد (بيروت: دار الأندلس، 1967)</w:t>
      </w:r>
      <w:r>
        <w:rPr>
          <w:rFonts w:hint="cs"/>
          <w:rtl/>
          <w:lang w:bidi="ar-AE"/>
        </w:rPr>
        <w:t xml:space="preserve">؛ أبو حامد الغزالي، </w:t>
      </w:r>
      <w:r w:rsidRPr="00D46F30">
        <w:rPr>
          <w:rFonts w:hint="cs"/>
          <w:b/>
          <w:bCs/>
          <w:rtl/>
          <w:lang w:bidi="ar-AE"/>
        </w:rPr>
        <w:t>إحياء علوم الدين</w:t>
      </w:r>
      <w:r>
        <w:rPr>
          <w:rFonts w:hint="cs"/>
          <w:rtl/>
          <w:lang w:bidi="ar-AE"/>
        </w:rPr>
        <w:t xml:space="preserve">، تحقيق محمد الدالي بلطة (بيروت: المكتبة العصرية، 2015) </w:t>
      </w:r>
    </w:p>
    <w:p w:rsidR="008D6268" w:rsidRPr="00D46F30" w:rsidRDefault="008D6268" w:rsidP="00F411E0">
      <w:pPr>
        <w:pStyle w:val="FootnoteText"/>
        <w:rPr>
          <w:iCs/>
        </w:rPr>
      </w:pPr>
      <w:r w:rsidRPr="00121D52">
        <w:t xml:space="preserve">Abū </w:t>
      </w:r>
      <w:r w:rsidRPr="00121D52">
        <w:rPr>
          <w:rFonts w:cs="Arial"/>
        </w:rPr>
        <w:t>Ḥ</w:t>
      </w:r>
      <w:r w:rsidRPr="00121D52">
        <w:t xml:space="preserve">āmid al-Ghazālī, </w:t>
      </w:r>
      <w:r w:rsidRPr="00121D52">
        <w:rPr>
          <w:i/>
        </w:rPr>
        <w:t xml:space="preserve">Tahāfut Al-Falāsifah Or </w:t>
      </w:r>
      <w:r>
        <w:rPr>
          <w:i/>
        </w:rPr>
        <w:t>T</w:t>
      </w:r>
      <w:r w:rsidRPr="00121D52">
        <w:rPr>
          <w:i/>
        </w:rPr>
        <w:t>he Incoherence of the Philosophers</w:t>
      </w:r>
      <w:r w:rsidRPr="00121D52">
        <w:t>, ed. by Sulayman Dunya (Cair</w:t>
      </w:r>
      <w:r>
        <w:t xml:space="preserve">o: Dār al-Ma’ārif, 1972), [hereafter al-Ghazālī, </w:t>
      </w:r>
      <w:r>
        <w:rPr>
          <w:i/>
        </w:rPr>
        <w:t>T</w:t>
      </w:r>
      <w:r w:rsidRPr="00121D52">
        <w:rPr>
          <w:i/>
        </w:rPr>
        <w:t>he Incoherence of the Philosophers</w:t>
      </w:r>
      <w:r>
        <w:rPr>
          <w:iCs/>
        </w:rPr>
        <w:t xml:space="preserve">]; </w:t>
      </w:r>
      <w:r w:rsidRPr="00121D52">
        <w:t xml:space="preserve">Abū </w:t>
      </w:r>
      <w:r w:rsidRPr="00121D52">
        <w:rPr>
          <w:rFonts w:cs="Arial"/>
        </w:rPr>
        <w:t>Ḥ</w:t>
      </w:r>
      <w:r w:rsidRPr="00121D52">
        <w:t xml:space="preserve">āmid al-Ghazālī, </w:t>
      </w:r>
      <w:r w:rsidRPr="00121D52">
        <w:rPr>
          <w:i/>
        </w:rPr>
        <w:t>Al-Munqith Min Al-</w:t>
      </w:r>
      <w:r w:rsidRPr="00121D52">
        <w:rPr>
          <w:rFonts w:cs="Arial"/>
          <w:i/>
        </w:rPr>
        <w:t>Ḍ</w:t>
      </w:r>
      <w:r w:rsidRPr="00121D52">
        <w:rPr>
          <w:i/>
        </w:rPr>
        <w:t>alāl Or Deliverance from Error</w:t>
      </w:r>
      <w:r w:rsidRPr="00121D52">
        <w:t>, ed. by Jamil Saliba and Kamil Ayyad (Beirut: Dār al-Andalus, 1967)</w:t>
      </w:r>
      <w:r>
        <w:t xml:space="preserve">, [hereafter al-Ghazālī, </w:t>
      </w:r>
      <w:r>
        <w:rPr>
          <w:i/>
          <w:iCs/>
        </w:rPr>
        <w:t>Deliverance from Error</w:t>
      </w:r>
      <w:r>
        <w:t xml:space="preserve">]; </w:t>
      </w:r>
      <w:r w:rsidRPr="00121D52">
        <w:t xml:space="preserve">Abū </w:t>
      </w:r>
      <w:r w:rsidRPr="00121D52">
        <w:rPr>
          <w:rFonts w:cs="Arial"/>
        </w:rPr>
        <w:t>Ḥ</w:t>
      </w:r>
      <w:r w:rsidRPr="00121D52">
        <w:t xml:space="preserve">āmid al-Ghazālī, </w:t>
      </w:r>
      <w:r>
        <w:rPr>
          <w:i/>
        </w:rPr>
        <w:t>'Iḥyā' 'Ulūm al-Dīn Or Revival of the Religious Science</w:t>
      </w:r>
      <w:r w:rsidRPr="00121D52">
        <w:t>, ed.</w:t>
      </w:r>
      <w:r>
        <w:t xml:space="preserve"> by Muhammad al-Dali Balta (Beirut: al-Maktaba al-'Aṣrīyya, 2015</w:t>
      </w:r>
      <w:r w:rsidRPr="00121D52">
        <w:t>)</w:t>
      </w:r>
      <w:r>
        <w:t xml:space="preserve">, [hereafter al-Ghazālī, </w:t>
      </w:r>
      <w:r>
        <w:rPr>
          <w:i/>
          <w:iCs/>
        </w:rPr>
        <w:t>Revival of the Religious Sciences</w:t>
      </w:r>
      <w:r>
        <w:t>]</w:t>
      </w:r>
    </w:p>
  </w:footnote>
  <w:footnote w:id="140">
    <w:p w:rsidR="008D6268" w:rsidRDefault="008D6268" w:rsidP="00F411E0">
      <w:pPr>
        <w:pStyle w:val="FootnoteText"/>
      </w:pPr>
      <w:r w:rsidRPr="00121D52">
        <w:rPr>
          <w:rStyle w:val="FootnoteReference"/>
        </w:rPr>
        <w:footnoteRef/>
      </w:r>
      <w:r>
        <w:t xml:space="preserve"> </w:t>
      </w:r>
      <w:r w:rsidRPr="00121D52">
        <w:t xml:space="preserve">al-Ghazālī, </w:t>
      </w:r>
      <w:r>
        <w:rPr>
          <w:i/>
        </w:rPr>
        <w:t>The</w:t>
      </w:r>
      <w:r w:rsidRPr="00121D52">
        <w:rPr>
          <w:i/>
        </w:rPr>
        <w:t xml:space="preserve"> Incoherence of the Philosophers</w:t>
      </w:r>
      <w:r w:rsidRPr="00121D52">
        <w:t>, p.239</w:t>
      </w:r>
      <w:r>
        <w:t>:</w:t>
      </w:r>
    </w:p>
    <w:p w:rsidR="008D6268" w:rsidRPr="0006102F" w:rsidRDefault="008D6268" w:rsidP="00F411E0">
      <w:pPr>
        <w:pStyle w:val="FootnoteText"/>
        <w:bidi/>
        <w:rPr>
          <w:rtl/>
          <w:lang w:bidi="ar-AE"/>
        </w:rPr>
      </w:pPr>
      <w:r>
        <w:rPr>
          <w:rFonts w:cs="Arial" w:hint="cs"/>
          <w:rtl/>
          <w:lang w:bidi="ar-AE"/>
        </w:rPr>
        <w:t>"</w:t>
      </w:r>
      <w:r w:rsidRPr="0006102F">
        <w:rPr>
          <w:rFonts w:cs="Arial" w:hint="cs"/>
          <w:rtl/>
          <w:lang w:bidi="ar-AE"/>
        </w:rPr>
        <w:t>الاقتران</w:t>
      </w:r>
      <w:r w:rsidRPr="0006102F">
        <w:rPr>
          <w:rFonts w:cs="Arial"/>
          <w:rtl/>
          <w:lang w:bidi="ar-AE"/>
        </w:rPr>
        <w:t xml:space="preserve"> </w:t>
      </w:r>
      <w:r w:rsidRPr="0006102F">
        <w:rPr>
          <w:rFonts w:cs="Arial" w:hint="cs"/>
          <w:rtl/>
          <w:lang w:bidi="ar-AE"/>
        </w:rPr>
        <w:t>بين</w:t>
      </w:r>
      <w:r w:rsidRPr="0006102F">
        <w:rPr>
          <w:rFonts w:cs="Arial"/>
          <w:rtl/>
          <w:lang w:bidi="ar-AE"/>
        </w:rPr>
        <w:t xml:space="preserve"> </w:t>
      </w:r>
      <w:r w:rsidRPr="0006102F">
        <w:rPr>
          <w:rFonts w:cs="Arial" w:hint="cs"/>
          <w:rtl/>
          <w:lang w:bidi="ar-AE"/>
        </w:rPr>
        <w:t>ما</w:t>
      </w:r>
      <w:r w:rsidRPr="0006102F">
        <w:rPr>
          <w:rFonts w:cs="Arial"/>
          <w:rtl/>
          <w:lang w:bidi="ar-AE"/>
        </w:rPr>
        <w:t xml:space="preserve"> </w:t>
      </w:r>
      <w:r w:rsidRPr="0006102F">
        <w:rPr>
          <w:rFonts w:cs="Arial" w:hint="cs"/>
          <w:rtl/>
          <w:lang w:bidi="ar-AE"/>
        </w:rPr>
        <w:t>يعتقد</w:t>
      </w:r>
      <w:r w:rsidRPr="0006102F">
        <w:rPr>
          <w:rFonts w:cs="Arial"/>
          <w:rtl/>
          <w:lang w:bidi="ar-AE"/>
        </w:rPr>
        <w:t xml:space="preserve"> </w:t>
      </w:r>
      <w:r w:rsidRPr="0006102F">
        <w:rPr>
          <w:rFonts w:cs="Arial" w:hint="cs"/>
          <w:rtl/>
          <w:lang w:bidi="ar-AE"/>
        </w:rPr>
        <w:t>في</w:t>
      </w:r>
      <w:r w:rsidRPr="0006102F">
        <w:rPr>
          <w:rFonts w:cs="Arial"/>
          <w:rtl/>
          <w:lang w:bidi="ar-AE"/>
        </w:rPr>
        <w:t xml:space="preserve"> </w:t>
      </w:r>
      <w:r w:rsidRPr="0006102F">
        <w:rPr>
          <w:rFonts w:cs="Arial" w:hint="cs"/>
          <w:rtl/>
          <w:lang w:bidi="ar-AE"/>
        </w:rPr>
        <w:t>العادة</w:t>
      </w:r>
      <w:r w:rsidRPr="0006102F">
        <w:rPr>
          <w:rFonts w:cs="Arial"/>
          <w:rtl/>
          <w:lang w:bidi="ar-AE"/>
        </w:rPr>
        <w:t xml:space="preserve"> </w:t>
      </w:r>
      <w:r w:rsidRPr="0006102F">
        <w:rPr>
          <w:rFonts w:cs="Arial" w:hint="cs"/>
          <w:rtl/>
          <w:lang w:bidi="ar-AE"/>
        </w:rPr>
        <w:t>سببا</w:t>
      </w:r>
      <w:r>
        <w:rPr>
          <w:rFonts w:cs="Arial" w:hint="cs"/>
          <w:rtl/>
          <w:lang w:bidi="ar-AE"/>
        </w:rPr>
        <w:t>ً</w:t>
      </w:r>
      <w:r w:rsidRPr="0006102F">
        <w:rPr>
          <w:rFonts w:cs="Arial" w:hint="cs"/>
          <w:rtl/>
          <w:lang w:bidi="ar-AE"/>
        </w:rPr>
        <w:t>،</w:t>
      </w:r>
      <w:r w:rsidRPr="0006102F">
        <w:rPr>
          <w:rFonts w:cs="Arial"/>
          <w:rtl/>
          <w:lang w:bidi="ar-AE"/>
        </w:rPr>
        <w:t xml:space="preserve"> </w:t>
      </w:r>
      <w:r w:rsidRPr="0006102F">
        <w:rPr>
          <w:rFonts w:cs="Arial" w:hint="cs"/>
          <w:rtl/>
          <w:lang w:bidi="ar-AE"/>
        </w:rPr>
        <w:t>وبين</w:t>
      </w:r>
      <w:r w:rsidRPr="0006102F">
        <w:rPr>
          <w:rFonts w:cs="Arial"/>
          <w:rtl/>
          <w:lang w:bidi="ar-AE"/>
        </w:rPr>
        <w:t xml:space="preserve"> </w:t>
      </w:r>
      <w:r w:rsidRPr="0006102F">
        <w:rPr>
          <w:rFonts w:cs="Arial" w:hint="cs"/>
          <w:rtl/>
          <w:lang w:bidi="ar-AE"/>
        </w:rPr>
        <w:t>ما</w:t>
      </w:r>
      <w:r w:rsidRPr="0006102F">
        <w:rPr>
          <w:rFonts w:cs="Arial"/>
          <w:rtl/>
          <w:lang w:bidi="ar-AE"/>
        </w:rPr>
        <w:t xml:space="preserve"> </w:t>
      </w:r>
      <w:r w:rsidRPr="0006102F">
        <w:rPr>
          <w:rFonts w:cs="Arial" w:hint="cs"/>
          <w:rtl/>
          <w:lang w:bidi="ar-AE"/>
        </w:rPr>
        <w:t>يعتقد</w:t>
      </w:r>
      <w:r w:rsidRPr="0006102F">
        <w:rPr>
          <w:rFonts w:cs="Arial"/>
          <w:rtl/>
          <w:lang w:bidi="ar-AE"/>
        </w:rPr>
        <w:t xml:space="preserve"> </w:t>
      </w:r>
      <w:r w:rsidRPr="0006102F">
        <w:rPr>
          <w:rFonts w:cs="Arial" w:hint="cs"/>
          <w:rtl/>
          <w:lang w:bidi="ar-AE"/>
        </w:rPr>
        <w:t>مسببا</w:t>
      </w:r>
      <w:r>
        <w:rPr>
          <w:rFonts w:cs="Arial" w:hint="cs"/>
          <w:rtl/>
          <w:lang w:bidi="ar-AE"/>
        </w:rPr>
        <w:t>ً</w:t>
      </w:r>
      <w:r w:rsidRPr="0006102F">
        <w:rPr>
          <w:rFonts w:cs="Arial" w:hint="cs"/>
          <w:rtl/>
          <w:lang w:bidi="ar-AE"/>
        </w:rPr>
        <w:t>،</w:t>
      </w:r>
      <w:r w:rsidRPr="0006102F">
        <w:rPr>
          <w:rFonts w:cs="Arial"/>
          <w:rtl/>
          <w:lang w:bidi="ar-AE"/>
        </w:rPr>
        <w:t xml:space="preserve"> </w:t>
      </w:r>
      <w:r w:rsidRPr="0006102F">
        <w:rPr>
          <w:rFonts w:cs="Arial" w:hint="cs"/>
          <w:rtl/>
          <w:lang w:bidi="ar-AE"/>
        </w:rPr>
        <w:t>ليس</w:t>
      </w:r>
      <w:r w:rsidRPr="0006102F">
        <w:rPr>
          <w:rFonts w:cs="Arial"/>
          <w:rtl/>
          <w:lang w:bidi="ar-AE"/>
        </w:rPr>
        <w:t xml:space="preserve"> </w:t>
      </w:r>
      <w:r w:rsidRPr="0006102F">
        <w:rPr>
          <w:rFonts w:cs="Arial" w:hint="cs"/>
          <w:rtl/>
          <w:lang w:bidi="ar-AE"/>
        </w:rPr>
        <w:t>ضروريا</w:t>
      </w:r>
      <w:r>
        <w:rPr>
          <w:rFonts w:cs="Arial" w:hint="cs"/>
          <w:rtl/>
          <w:lang w:bidi="ar-AE"/>
        </w:rPr>
        <w:t>ً</w:t>
      </w:r>
      <w:r w:rsidRPr="0006102F">
        <w:rPr>
          <w:rFonts w:cs="Arial"/>
          <w:rtl/>
          <w:lang w:bidi="ar-AE"/>
        </w:rPr>
        <w:t xml:space="preserve"> </w:t>
      </w:r>
      <w:r>
        <w:rPr>
          <w:rFonts w:cs="Arial" w:hint="cs"/>
          <w:rtl/>
          <w:lang w:bidi="ar-AE"/>
        </w:rPr>
        <w:t>عندنا [...]</w:t>
      </w:r>
      <w:r w:rsidRPr="0006102F">
        <w:rPr>
          <w:rFonts w:cs="Arial"/>
          <w:rtl/>
          <w:lang w:bidi="ar-AE"/>
        </w:rPr>
        <w:t xml:space="preserve"> </w:t>
      </w:r>
      <w:r w:rsidRPr="0006102F">
        <w:rPr>
          <w:rFonts w:cs="Arial" w:hint="cs"/>
          <w:rtl/>
          <w:lang w:bidi="ar-AE"/>
        </w:rPr>
        <w:t>مثل</w:t>
      </w:r>
      <w:r w:rsidRPr="0006102F">
        <w:rPr>
          <w:rFonts w:cs="Arial"/>
          <w:rtl/>
          <w:lang w:bidi="ar-AE"/>
        </w:rPr>
        <w:t xml:space="preserve"> </w:t>
      </w:r>
      <w:r w:rsidRPr="0006102F">
        <w:rPr>
          <w:rFonts w:cs="Arial" w:hint="cs"/>
          <w:rtl/>
          <w:lang w:bidi="ar-AE"/>
        </w:rPr>
        <w:t>الري</w:t>
      </w:r>
      <w:r w:rsidRPr="0006102F">
        <w:rPr>
          <w:rFonts w:cs="Arial"/>
          <w:rtl/>
          <w:lang w:bidi="ar-AE"/>
        </w:rPr>
        <w:t xml:space="preserve"> </w:t>
      </w:r>
      <w:r w:rsidRPr="0006102F">
        <w:rPr>
          <w:rFonts w:cs="Arial" w:hint="cs"/>
          <w:rtl/>
          <w:lang w:bidi="ar-AE"/>
        </w:rPr>
        <w:t>والشرب،</w:t>
      </w:r>
      <w:r w:rsidRPr="0006102F">
        <w:rPr>
          <w:rFonts w:cs="Arial"/>
          <w:rtl/>
          <w:lang w:bidi="ar-AE"/>
        </w:rPr>
        <w:t xml:space="preserve"> </w:t>
      </w:r>
      <w:r w:rsidRPr="0006102F">
        <w:rPr>
          <w:rFonts w:cs="Arial" w:hint="cs"/>
          <w:rtl/>
          <w:lang w:bidi="ar-AE"/>
        </w:rPr>
        <w:t>والشبع</w:t>
      </w:r>
      <w:r w:rsidRPr="0006102F">
        <w:rPr>
          <w:rFonts w:cs="Arial"/>
          <w:rtl/>
          <w:lang w:bidi="ar-AE"/>
        </w:rPr>
        <w:t xml:space="preserve"> </w:t>
      </w:r>
      <w:r w:rsidRPr="0006102F">
        <w:rPr>
          <w:rFonts w:cs="Arial" w:hint="cs"/>
          <w:rtl/>
          <w:lang w:bidi="ar-AE"/>
        </w:rPr>
        <w:t>والأكل،</w:t>
      </w:r>
      <w:r w:rsidRPr="0006102F">
        <w:rPr>
          <w:rFonts w:cs="Arial"/>
          <w:rtl/>
          <w:lang w:bidi="ar-AE"/>
        </w:rPr>
        <w:t xml:space="preserve"> </w:t>
      </w:r>
      <w:r w:rsidRPr="0006102F">
        <w:rPr>
          <w:rFonts w:cs="Arial" w:hint="cs"/>
          <w:rtl/>
          <w:lang w:bidi="ar-AE"/>
        </w:rPr>
        <w:t>ولقاء</w:t>
      </w:r>
      <w:r w:rsidRPr="0006102F">
        <w:rPr>
          <w:rFonts w:cs="Arial"/>
          <w:rtl/>
          <w:lang w:bidi="ar-AE"/>
        </w:rPr>
        <w:t xml:space="preserve"> </w:t>
      </w:r>
      <w:r w:rsidRPr="0006102F">
        <w:rPr>
          <w:rFonts w:cs="Arial" w:hint="cs"/>
          <w:rtl/>
          <w:lang w:bidi="ar-AE"/>
        </w:rPr>
        <w:t>النار</w:t>
      </w:r>
      <w:r w:rsidRPr="0006102F">
        <w:rPr>
          <w:rFonts w:cs="Arial"/>
          <w:rtl/>
          <w:lang w:bidi="ar-AE"/>
        </w:rPr>
        <w:t xml:space="preserve"> </w:t>
      </w:r>
      <w:r>
        <w:rPr>
          <w:rFonts w:cs="Arial" w:hint="cs"/>
          <w:rtl/>
          <w:lang w:bidi="ar-AE"/>
        </w:rPr>
        <w:t xml:space="preserve">والاحتراق [...] </w:t>
      </w:r>
      <w:r w:rsidRPr="0006102F">
        <w:rPr>
          <w:rFonts w:cs="Arial" w:hint="cs"/>
          <w:rtl/>
          <w:lang w:bidi="ar-AE"/>
        </w:rPr>
        <w:t>فإن</w:t>
      </w:r>
      <w:r w:rsidRPr="0006102F">
        <w:rPr>
          <w:rFonts w:cs="Arial"/>
          <w:rtl/>
          <w:lang w:bidi="ar-AE"/>
        </w:rPr>
        <w:t xml:space="preserve"> </w:t>
      </w:r>
      <w:r w:rsidRPr="0006102F">
        <w:rPr>
          <w:rFonts w:cs="Arial" w:hint="cs"/>
          <w:rtl/>
          <w:lang w:bidi="ar-AE"/>
        </w:rPr>
        <w:t>اقترانها</w:t>
      </w:r>
      <w:r w:rsidRPr="0006102F">
        <w:rPr>
          <w:rFonts w:cs="Arial"/>
          <w:rtl/>
          <w:lang w:bidi="ar-AE"/>
        </w:rPr>
        <w:t xml:space="preserve"> </w:t>
      </w:r>
      <w:r w:rsidRPr="0006102F">
        <w:rPr>
          <w:rFonts w:cs="Arial" w:hint="cs"/>
          <w:rtl/>
          <w:lang w:bidi="ar-AE"/>
        </w:rPr>
        <w:t>لما</w:t>
      </w:r>
      <w:r w:rsidRPr="0006102F">
        <w:rPr>
          <w:rFonts w:cs="Arial"/>
          <w:rtl/>
          <w:lang w:bidi="ar-AE"/>
        </w:rPr>
        <w:t xml:space="preserve"> </w:t>
      </w:r>
      <w:r w:rsidRPr="0006102F">
        <w:rPr>
          <w:rFonts w:cs="Arial" w:hint="cs"/>
          <w:rtl/>
          <w:lang w:bidi="ar-AE"/>
        </w:rPr>
        <w:t>سبق</w:t>
      </w:r>
      <w:r w:rsidRPr="0006102F">
        <w:rPr>
          <w:rFonts w:cs="Arial"/>
          <w:rtl/>
          <w:lang w:bidi="ar-AE"/>
        </w:rPr>
        <w:t xml:space="preserve"> </w:t>
      </w:r>
      <w:r w:rsidRPr="0006102F">
        <w:rPr>
          <w:rFonts w:cs="Arial" w:hint="cs"/>
          <w:rtl/>
          <w:lang w:bidi="ar-AE"/>
        </w:rPr>
        <w:t>من</w:t>
      </w:r>
      <w:r w:rsidRPr="0006102F">
        <w:rPr>
          <w:rFonts w:cs="Arial"/>
          <w:rtl/>
          <w:lang w:bidi="ar-AE"/>
        </w:rPr>
        <w:t xml:space="preserve"> </w:t>
      </w:r>
      <w:r w:rsidRPr="0006102F">
        <w:rPr>
          <w:rFonts w:cs="Arial" w:hint="cs"/>
          <w:rtl/>
          <w:lang w:bidi="ar-AE"/>
        </w:rPr>
        <w:t>تقدير</w:t>
      </w:r>
      <w:r w:rsidRPr="0006102F">
        <w:rPr>
          <w:rFonts w:cs="Arial"/>
          <w:rtl/>
          <w:lang w:bidi="ar-AE"/>
        </w:rPr>
        <w:t xml:space="preserve"> </w:t>
      </w:r>
      <w:r w:rsidRPr="0006102F">
        <w:rPr>
          <w:rFonts w:cs="Arial" w:hint="cs"/>
          <w:rtl/>
          <w:lang w:bidi="ar-AE"/>
        </w:rPr>
        <w:t>الله</w:t>
      </w:r>
      <w:r w:rsidRPr="0006102F">
        <w:rPr>
          <w:rFonts w:cs="Arial"/>
          <w:rtl/>
          <w:lang w:bidi="ar-AE"/>
        </w:rPr>
        <w:t xml:space="preserve"> </w:t>
      </w:r>
      <w:r w:rsidRPr="0006102F">
        <w:rPr>
          <w:rFonts w:cs="Arial" w:hint="cs"/>
          <w:rtl/>
          <w:lang w:bidi="ar-AE"/>
        </w:rPr>
        <w:t>سبحانه</w:t>
      </w:r>
      <w:r>
        <w:rPr>
          <w:rFonts w:cs="Arial" w:hint="cs"/>
          <w:rtl/>
          <w:lang w:bidi="ar-AE"/>
        </w:rPr>
        <w:t>"</w:t>
      </w:r>
    </w:p>
  </w:footnote>
  <w:footnote w:id="141">
    <w:p w:rsidR="008D6268" w:rsidRPr="00522141" w:rsidRDefault="008D6268" w:rsidP="00F411E0">
      <w:pPr>
        <w:pStyle w:val="FootnoteText"/>
        <w:rPr>
          <w:lang w:bidi="ar-AE"/>
        </w:rPr>
      </w:pPr>
      <w:r>
        <w:rPr>
          <w:rStyle w:val="FootnoteReference"/>
        </w:rPr>
        <w:footnoteRef/>
      </w:r>
      <w:r>
        <w:t xml:space="preserve"> al-Ghazālī, </w:t>
      </w:r>
      <w:r>
        <w:rPr>
          <w:i/>
          <w:iCs/>
        </w:rPr>
        <w:t xml:space="preserve">Revival of the Religious Sciences, </w:t>
      </w:r>
      <w:r>
        <w:rPr>
          <w:lang w:bidi="ar-AE"/>
        </w:rPr>
        <w:t xml:space="preserve">4:323; 328-330; </w:t>
      </w:r>
      <w:r>
        <w:t xml:space="preserve">al-Ghazālī, </w:t>
      </w:r>
      <w:r>
        <w:rPr>
          <w:i/>
          <w:iCs/>
        </w:rPr>
        <w:t xml:space="preserve">Deliverance from Error, </w:t>
      </w:r>
      <w:r>
        <w:t xml:space="preserve">p.83; ibn Manẓūr, </w:t>
      </w:r>
      <w:r w:rsidRPr="00204786">
        <w:rPr>
          <w:i/>
          <w:iCs/>
        </w:rPr>
        <w:t>The Arabic Tongue</w:t>
      </w:r>
      <w:r>
        <w:t>, X:449-450</w:t>
      </w:r>
    </w:p>
  </w:footnote>
  <w:footnote w:id="142">
    <w:p w:rsidR="008D6268" w:rsidRDefault="008D6268" w:rsidP="00F411E0">
      <w:pPr>
        <w:pStyle w:val="FootnoteText"/>
      </w:pPr>
      <w:r>
        <w:rPr>
          <w:rStyle w:val="FootnoteReference"/>
        </w:rPr>
        <w:footnoteRef/>
      </w:r>
      <w:r>
        <w:t xml:space="preserve"> al-Ghazālī, </w:t>
      </w:r>
      <w:r>
        <w:rPr>
          <w:i/>
          <w:iCs/>
        </w:rPr>
        <w:t xml:space="preserve">Deliverance from Error, </w:t>
      </w:r>
      <w:r>
        <w:t>pp.83-84</w:t>
      </w:r>
    </w:p>
  </w:footnote>
  <w:footnote w:id="143">
    <w:p w:rsidR="008D6268" w:rsidRPr="00120862" w:rsidRDefault="008D6268" w:rsidP="00F411E0">
      <w:pPr>
        <w:autoSpaceDE/>
        <w:autoSpaceDN/>
        <w:adjustRightInd/>
        <w:spacing w:line="240" w:lineRule="auto"/>
        <w:rPr>
          <w:rFonts w:eastAsia="Times New Roman" w:cs="Times New Roman"/>
          <w:sz w:val="20"/>
          <w:szCs w:val="20"/>
        </w:rPr>
      </w:pPr>
      <w:r>
        <w:rPr>
          <w:rStyle w:val="FootnoteReference"/>
        </w:rPr>
        <w:footnoteRef/>
      </w:r>
      <w:r>
        <w:t xml:space="preserve"> </w:t>
      </w:r>
      <w:r w:rsidRPr="00120862">
        <w:rPr>
          <w:sz w:val="20"/>
          <w:szCs w:val="20"/>
        </w:rPr>
        <w:t xml:space="preserve">Seyyed Hossein Nasr, 'Science and Civilization in Islam', </w:t>
      </w:r>
      <w:r w:rsidRPr="00120862">
        <w:rPr>
          <w:i/>
          <w:iCs/>
          <w:sz w:val="20"/>
          <w:szCs w:val="20"/>
        </w:rPr>
        <w:t>Canadian International Youth Letter,</w:t>
      </w:r>
      <w:r w:rsidRPr="00120862">
        <w:rPr>
          <w:sz w:val="20"/>
          <w:szCs w:val="20"/>
        </w:rPr>
        <w:t xml:space="preserve"> (n.d.), &lt;</w:t>
      </w:r>
      <w:hyperlink r:id="rId6" w:tgtFrame="_blank" w:history="1">
        <w:r w:rsidRPr="00120862">
          <w:rPr>
            <w:rStyle w:val="Hyperlink"/>
            <w:sz w:val="20"/>
            <w:szCs w:val="20"/>
          </w:rPr>
          <w:t>http://www.paep.ca/en/CIYL/2004/doc/nasr_science_in_islam.pdf</w:t>
        </w:r>
      </w:hyperlink>
      <w:r w:rsidRPr="00120862">
        <w:rPr>
          <w:sz w:val="20"/>
          <w:szCs w:val="20"/>
        </w:rPr>
        <w:t>&gt; [accessed 15 Februa</w:t>
      </w:r>
      <w:r>
        <w:rPr>
          <w:sz w:val="20"/>
          <w:szCs w:val="20"/>
        </w:rPr>
        <w:t>ry 2016],</w:t>
      </w:r>
      <w:r w:rsidRPr="00120862">
        <w:rPr>
          <w:sz w:val="20"/>
          <w:szCs w:val="20"/>
        </w:rPr>
        <w:t xml:space="preserve"> p.3; </w:t>
      </w:r>
      <w:r w:rsidRPr="0097661D">
        <w:rPr>
          <w:rFonts w:eastAsia="Times New Roman" w:cs="Times New Roman"/>
          <w:sz w:val="20"/>
          <w:szCs w:val="20"/>
        </w:rPr>
        <w:t>Pervez</w:t>
      </w:r>
      <w:r w:rsidRPr="00120862">
        <w:rPr>
          <w:rFonts w:eastAsia="Times New Roman" w:cs="Times New Roman"/>
          <w:sz w:val="20"/>
          <w:szCs w:val="20"/>
        </w:rPr>
        <w:t xml:space="preserve"> </w:t>
      </w:r>
      <w:r>
        <w:rPr>
          <w:rFonts w:eastAsia="Times New Roman" w:cs="Times New Roman"/>
          <w:sz w:val="20"/>
          <w:szCs w:val="20"/>
        </w:rPr>
        <w:t>Hoodbhoy</w:t>
      </w:r>
      <w:r w:rsidRPr="0097661D">
        <w:rPr>
          <w:rFonts w:eastAsia="Times New Roman" w:cs="Times New Roman"/>
          <w:sz w:val="20"/>
          <w:szCs w:val="20"/>
        </w:rPr>
        <w:t xml:space="preserve">, </w:t>
      </w:r>
      <w:r w:rsidRPr="0097661D">
        <w:rPr>
          <w:rFonts w:eastAsia="Times New Roman" w:cs="Times New Roman"/>
          <w:i/>
          <w:iCs/>
          <w:sz w:val="20"/>
          <w:szCs w:val="20"/>
        </w:rPr>
        <w:t>Islam and Science: Religious Orthodoxy and the Battle for Rationality</w:t>
      </w:r>
      <w:r>
        <w:rPr>
          <w:rFonts w:eastAsia="Times New Roman" w:cs="Times New Roman"/>
          <w:sz w:val="20"/>
          <w:szCs w:val="20"/>
        </w:rPr>
        <w:t xml:space="preserve"> (London: Zed books Ltd., 1991), pp.104-107</w:t>
      </w:r>
    </w:p>
  </w:footnote>
  <w:footnote w:id="144">
    <w:p w:rsidR="008D6268" w:rsidRDefault="008D6268" w:rsidP="00804318">
      <w:pPr>
        <w:pStyle w:val="FootnoteText"/>
      </w:pPr>
      <w:r>
        <w:rPr>
          <w:rStyle w:val="FootnoteReference"/>
        </w:rPr>
        <w:footnoteRef/>
      </w:r>
      <w:r>
        <w:t xml:space="preserve"> Abdullah Saeed, </w:t>
      </w:r>
      <w:r w:rsidRPr="007417CA">
        <w:rPr>
          <w:i/>
        </w:rPr>
        <w:t>The Qur'an: An Introduction</w:t>
      </w:r>
      <w:r>
        <w:t xml:space="preserve"> (London: Routledge, 2008), [hereafter Saeed, </w:t>
      </w:r>
      <w:r w:rsidRPr="007417CA">
        <w:rPr>
          <w:i/>
          <w:iCs/>
        </w:rPr>
        <w:t>The Qur'an: An Introduction</w:t>
      </w:r>
      <w:r>
        <w:t>]: pp.30-31</w:t>
      </w:r>
    </w:p>
  </w:footnote>
  <w:footnote w:id="145">
    <w:p w:rsidR="008D6268" w:rsidRDefault="008D6268">
      <w:pPr>
        <w:pStyle w:val="FootnoteText"/>
      </w:pPr>
      <w:r>
        <w:rPr>
          <w:rStyle w:val="FootnoteReference"/>
        </w:rPr>
        <w:footnoteRef/>
      </w:r>
      <w:r>
        <w:t xml:space="preserve"> </w:t>
      </w:r>
      <w:r w:rsidRPr="00EB1347">
        <w:t>al-Q</w:t>
      </w:r>
      <w:r>
        <w:t>u</w:t>
      </w:r>
      <w:r w:rsidRPr="00EB1347">
        <w:t>rṭ</w:t>
      </w:r>
      <w:r>
        <w:t>u</w:t>
      </w:r>
      <w:r w:rsidRPr="00EB1347">
        <w:t>bī,</w:t>
      </w:r>
      <w:r>
        <w:t xml:space="preserve"> </w:t>
      </w:r>
      <w:r w:rsidRPr="00EB1347">
        <w:rPr>
          <w:i/>
          <w:iCs/>
        </w:rPr>
        <w:t>The Comprehensive Book</w:t>
      </w:r>
      <w:r>
        <w:rPr>
          <w:i/>
          <w:iCs/>
        </w:rPr>
        <w:t xml:space="preserve"> on the Provisions of the Qur’ān, </w:t>
      </w:r>
      <w:r>
        <w:t>I:4:</w:t>
      </w:r>
    </w:p>
    <w:p w:rsidR="008D6268" w:rsidRPr="008D3AF3" w:rsidRDefault="008D6268" w:rsidP="008D3AF3">
      <w:pPr>
        <w:pStyle w:val="FootnoteText"/>
        <w:bidi/>
      </w:pPr>
      <w:r w:rsidRPr="008D3AF3">
        <w:t>"</w:t>
      </w:r>
      <w:r w:rsidRPr="008D3AF3">
        <w:rPr>
          <w:rtl/>
        </w:rPr>
        <w:t>أَنَّهُ كَلَامُ رَبِّ الْعَالَمِينَ، غَيْرُ مخلوق، كلام من ليس كمثله شي، وَصِفَةُ مَنْ لَيْسَ لَهُ شَبِيهٌ وَلَا نِدٌّ، فَهُوَ مِنْ نُورِ ذَاتِهِ جَلَّ وَعَزَّ"</w:t>
      </w:r>
    </w:p>
  </w:footnote>
  <w:footnote w:id="146">
    <w:p w:rsidR="008D6268" w:rsidRPr="00A70B0C" w:rsidRDefault="008D6268" w:rsidP="00804318">
      <w:pPr>
        <w:pStyle w:val="FootnoteText"/>
        <w:rPr>
          <w:rtl/>
        </w:rPr>
      </w:pPr>
      <w:r>
        <w:rPr>
          <w:rStyle w:val="FootnoteReference"/>
        </w:rPr>
        <w:footnoteRef/>
      </w:r>
      <w:r>
        <w:t xml:space="preserve"> al-Thahabī, </w:t>
      </w:r>
      <w:r w:rsidRPr="00A70B0C">
        <w:rPr>
          <w:i/>
          <w:iCs/>
        </w:rPr>
        <w:t>Exegesis and Exegetes</w:t>
      </w:r>
      <w:r>
        <w:rPr>
          <w:i/>
          <w:iCs/>
        </w:rPr>
        <w:t xml:space="preserve">, </w:t>
      </w:r>
      <w:r>
        <w:t xml:space="preserve">I:104; </w:t>
      </w:r>
      <w:r w:rsidRPr="00375114">
        <w:t>Jane Dammen McAuliffe, 'The Tasks a</w:t>
      </w:r>
      <w:r>
        <w:t>nd Traditions of Interpretation</w:t>
      </w:r>
      <w:r w:rsidRPr="00375114">
        <w:t>'</w:t>
      </w:r>
      <w:r>
        <w:t>,</w:t>
      </w:r>
      <w:r w:rsidRPr="00375114">
        <w:t xml:space="preserve"> in </w:t>
      </w:r>
      <w:r w:rsidRPr="00375114">
        <w:rPr>
          <w:i/>
        </w:rPr>
        <w:t>The Cambridge Companion to the Qur'ān</w:t>
      </w:r>
      <w:r w:rsidRPr="00375114">
        <w:t>, ed. by Jane Dammen McAuliffe (Cambridge: Cambridge University Press, 2006), [hereafter McAuliffe</w:t>
      </w:r>
      <w:r>
        <w:t>, '</w:t>
      </w:r>
      <w:r w:rsidRPr="00375114">
        <w:t>The Tasks a</w:t>
      </w:r>
      <w:r>
        <w:t>nd Traditions of Interpretation</w:t>
      </w:r>
      <w:r w:rsidRPr="00375114">
        <w:t>']:</w:t>
      </w:r>
      <w:r>
        <w:t xml:space="preserve"> p.189; Saeed, </w:t>
      </w:r>
      <w:r w:rsidRPr="00E35DA7">
        <w:rPr>
          <w:i/>
          <w:iCs/>
        </w:rPr>
        <w:t>The Qur'an: An Introduction</w:t>
      </w:r>
      <w:r>
        <w:t>, p.194</w:t>
      </w:r>
    </w:p>
  </w:footnote>
  <w:footnote w:id="147">
    <w:p w:rsidR="008D6268" w:rsidRDefault="008D6268" w:rsidP="00804318">
      <w:pPr>
        <w:pStyle w:val="FootnoteText"/>
      </w:pPr>
      <w:r>
        <w:rPr>
          <w:rStyle w:val="FootnoteReference"/>
        </w:rPr>
        <w:footnoteRef/>
      </w:r>
      <w:r>
        <w:t xml:space="preserve"> al-Thahabī, </w:t>
      </w:r>
      <w:r w:rsidRPr="00A70B0C">
        <w:rPr>
          <w:i/>
          <w:iCs/>
        </w:rPr>
        <w:t>Exegesis and Exegetes</w:t>
      </w:r>
      <w:r>
        <w:rPr>
          <w:i/>
          <w:iCs/>
        </w:rPr>
        <w:t xml:space="preserve">, </w:t>
      </w:r>
      <w:r>
        <w:t xml:space="preserve">I:104-105; McAuliffe, 'The Tasks and Traditions of Interpretation', p.189; Saeed, </w:t>
      </w:r>
      <w:r w:rsidRPr="005E38C4">
        <w:rPr>
          <w:i/>
          <w:iCs/>
        </w:rPr>
        <w:t>The Qur'an: An Introduction</w:t>
      </w:r>
      <w:r>
        <w:t>, pp.195-196</w:t>
      </w:r>
    </w:p>
  </w:footnote>
  <w:footnote w:id="148">
    <w:p w:rsidR="008D6268" w:rsidRDefault="008D6268" w:rsidP="006808D1">
      <w:pPr>
        <w:pStyle w:val="FootnoteText"/>
      </w:pPr>
      <w:r>
        <w:rPr>
          <w:rStyle w:val="FootnoteReference"/>
        </w:rPr>
        <w:footnoteRef/>
      </w:r>
      <w:r>
        <w:t xml:space="preserve"> Saeed, </w:t>
      </w:r>
      <w:r w:rsidRPr="00B224CD">
        <w:rPr>
          <w:i/>
          <w:iCs/>
        </w:rPr>
        <w:t>The Qur'an: An Introduction</w:t>
      </w:r>
      <w:r>
        <w:t>, pp.178-182</w:t>
      </w:r>
    </w:p>
  </w:footnote>
  <w:footnote w:id="149">
    <w:p w:rsidR="008D6268" w:rsidRDefault="008D6268" w:rsidP="00804318">
      <w:pPr>
        <w:pStyle w:val="FootnoteText"/>
      </w:pPr>
      <w:r>
        <w:rPr>
          <w:rStyle w:val="FootnoteReference"/>
        </w:rPr>
        <w:footnoteRef/>
      </w:r>
      <w:r>
        <w:t xml:space="preserve"> al-Thahabī, </w:t>
      </w:r>
      <w:r w:rsidRPr="00A70B0C">
        <w:rPr>
          <w:i/>
          <w:iCs/>
        </w:rPr>
        <w:t>Exegesis and Exegetes</w:t>
      </w:r>
      <w:r>
        <w:rPr>
          <w:i/>
          <w:iCs/>
        </w:rPr>
        <w:t xml:space="preserve">, </w:t>
      </w:r>
      <w:r>
        <w:t xml:space="preserve">I:112; Saeed, </w:t>
      </w:r>
      <w:r w:rsidRPr="00B224CD">
        <w:rPr>
          <w:i/>
          <w:iCs/>
        </w:rPr>
        <w:t>The Qur'an: An Introduction</w:t>
      </w:r>
      <w:r>
        <w:t>, pp.178-180; p.182; McAuliffe, 'The Tasks and Traditions of Interpretation', pp.189-190</w:t>
      </w:r>
    </w:p>
  </w:footnote>
  <w:footnote w:id="150">
    <w:p w:rsidR="008D6268" w:rsidRDefault="008D6268" w:rsidP="00804318">
      <w:pPr>
        <w:pStyle w:val="FootnoteText"/>
      </w:pPr>
      <w:r>
        <w:rPr>
          <w:rStyle w:val="FootnoteReference"/>
        </w:rPr>
        <w:footnoteRef/>
      </w:r>
      <w:r>
        <w:t xml:space="preserve"> Saeed, </w:t>
      </w:r>
      <w:r w:rsidRPr="00B224CD">
        <w:rPr>
          <w:i/>
          <w:iCs/>
        </w:rPr>
        <w:t>The Qur'an: An Introduction</w:t>
      </w:r>
      <w:r>
        <w:t>, pp.181-182</w:t>
      </w:r>
    </w:p>
  </w:footnote>
  <w:footnote w:id="151">
    <w:p w:rsidR="008D6268" w:rsidRPr="008044BC" w:rsidRDefault="008D6268" w:rsidP="00804318">
      <w:pPr>
        <w:autoSpaceDE/>
        <w:autoSpaceDN/>
        <w:adjustRightInd/>
        <w:spacing w:line="240" w:lineRule="auto"/>
        <w:rPr>
          <w:sz w:val="20"/>
          <w:szCs w:val="20"/>
          <w:rtl/>
          <w:lang w:bidi="ar-AE"/>
        </w:rPr>
      </w:pPr>
      <w:r w:rsidRPr="008044BC">
        <w:rPr>
          <w:rStyle w:val="FootnoteReference"/>
          <w:sz w:val="20"/>
          <w:szCs w:val="20"/>
        </w:rPr>
        <w:footnoteRef/>
      </w:r>
      <w:r w:rsidRPr="008044BC">
        <w:rPr>
          <w:sz w:val="20"/>
          <w:szCs w:val="20"/>
        </w:rPr>
        <w:t xml:space="preserve"> </w:t>
      </w:r>
      <w:r w:rsidRPr="008044BC">
        <w:rPr>
          <w:sz w:val="20"/>
          <w:szCs w:val="20"/>
          <w:rtl/>
        </w:rPr>
        <w:t xml:space="preserve">أبو العباس شمس الدين أحمد بن محمد ابن خلكان، </w:t>
      </w:r>
      <w:r w:rsidRPr="008044BC">
        <w:rPr>
          <w:b/>
          <w:bCs/>
          <w:sz w:val="20"/>
          <w:szCs w:val="20"/>
          <w:rtl/>
        </w:rPr>
        <w:t>وفيات الأعيان وأنباء أبناء الزمان</w:t>
      </w:r>
      <w:r w:rsidRPr="008044BC">
        <w:rPr>
          <w:sz w:val="20"/>
          <w:szCs w:val="20"/>
          <w:rtl/>
        </w:rPr>
        <w:t xml:space="preserve"> (بيروت: دار صادر، 1971): </w:t>
      </w:r>
      <w:r>
        <w:rPr>
          <w:rFonts w:hint="cs"/>
          <w:sz w:val="20"/>
          <w:szCs w:val="20"/>
          <w:rtl/>
        </w:rPr>
        <w:t>4/248-252</w:t>
      </w:r>
      <w:r w:rsidRPr="008044BC">
        <w:rPr>
          <w:sz w:val="20"/>
          <w:szCs w:val="20"/>
          <w:rtl/>
        </w:rPr>
        <w:t xml:space="preserve">؛ شمس الدين محمد بن علي الداوودي، </w:t>
      </w:r>
      <w:r w:rsidRPr="000120BA">
        <w:rPr>
          <w:b/>
          <w:bCs/>
          <w:sz w:val="20"/>
          <w:szCs w:val="20"/>
          <w:rtl/>
        </w:rPr>
        <w:t xml:space="preserve">طبقات المفسرين للداوودي </w:t>
      </w:r>
      <w:r w:rsidRPr="008044BC">
        <w:rPr>
          <w:sz w:val="20"/>
          <w:szCs w:val="20"/>
          <w:rtl/>
        </w:rPr>
        <w:t>(بيروت: دار الكتب العلمية ، 1983): 2/215-218</w:t>
      </w:r>
    </w:p>
    <w:p w:rsidR="008D6268" w:rsidRPr="008044BC" w:rsidRDefault="008D6268" w:rsidP="00FB6A18">
      <w:pPr>
        <w:tabs>
          <w:tab w:val="left" w:pos="8640"/>
        </w:tabs>
        <w:spacing w:line="240" w:lineRule="auto"/>
        <w:ind w:right="630"/>
        <w:rPr>
          <w:sz w:val="20"/>
          <w:szCs w:val="20"/>
        </w:rPr>
      </w:pPr>
      <w:r w:rsidRPr="008044BC">
        <w:rPr>
          <w:sz w:val="20"/>
          <w:szCs w:val="20"/>
        </w:rPr>
        <w:t>Abū al-'Abbās Shams al-Dīn Aḥmad b. Muḥammad ibn Khal</w:t>
      </w:r>
      <w:r>
        <w:rPr>
          <w:sz w:val="20"/>
          <w:szCs w:val="20"/>
          <w:lang w:bidi="ar-AE"/>
        </w:rPr>
        <w:t>l</w:t>
      </w:r>
      <w:r>
        <w:rPr>
          <w:sz w:val="20"/>
          <w:szCs w:val="20"/>
        </w:rPr>
        <w:t>i</w:t>
      </w:r>
      <w:r w:rsidRPr="008044BC">
        <w:rPr>
          <w:sz w:val="20"/>
          <w:szCs w:val="20"/>
        </w:rPr>
        <w:t xml:space="preserve">kān, </w:t>
      </w:r>
      <w:r w:rsidRPr="007939AC">
        <w:rPr>
          <w:i/>
          <w:iCs/>
          <w:sz w:val="20"/>
          <w:szCs w:val="20"/>
        </w:rPr>
        <w:t>Wafīyāt al-'Ayān w Anbā' Abnā' al-Zamān Or Deaths of Eminent Men and History of the Sons of the Epoch</w:t>
      </w:r>
      <w:r>
        <w:rPr>
          <w:sz w:val="20"/>
          <w:szCs w:val="20"/>
        </w:rPr>
        <w:t xml:space="preserve"> </w:t>
      </w:r>
      <w:r w:rsidRPr="008044BC">
        <w:rPr>
          <w:sz w:val="20"/>
          <w:szCs w:val="20"/>
        </w:rPr>
        <w:t xml:space="preserve">(Beirut: Dār Ṣāder, 1971): </w:t>
      </w:r>
      <w:r>
        <w:rPr>
          <w:sz w:val="20"/>
          <w:szCs w:val="20"/>
        </w:rPr>
        <w:t>IV:</w:t>
      </w:r>
      <w:r w:rsidRPr="008044BC">
        <w:rPr>
          <w:sz w:val="20"/>
          <w:szCs w:val="20"/>
        </w:rPr>
        <w:t>2</w:t>
      </w:r>
      <w:r>
        <w:rPr>
          <w:sz w:val="20"/>
          <w:szCs w:val="20"/>
        </w:rPr>
        <w:t>48</w:t>
      </w:r>
      <w:r w:rsidRPr="008044BC">
        <w:rPr>
          <w:sz w:val="20"/>
          <w:szCs w:val="20"/>
        </w:rPr>
        <w:t>-25</w:t>
      </w:r>
      <w:r>
        <w:rPr>
          <w:sz w:val="20"/>
          <w:szCs w:val="20"/>
        </w:rPr>
        <w:t>2</w:t>
      </w:r>
      <w:r w:rsidRPr="008044BC">
        <w:rPr>
          <w:sz w:val="20"/>
          <w:szCs w:val="20"/>
        </w:rPr>
        <w:t xml:space="preserve">; Shams al-Dīn Muḥammad b. 'Alī al-Dāwūdī, </w:t>
      </w:r>
      <w:r w:rsidRPr="007939AC">
        <w:rPr>
          <w:i/>
          <w:iCs/>
          <w:sz w:val="20"/>
          <w:szCs w:val="20"/>
        </w:rPr>
        <w:t>Ṭabaqāt al-Mufassirīn lil-Dāwūdī Or The Ranks of Commentators by al-Dāwūdī</w:t>
      </w:r>
      <w:r w:rsidRPr="008044BC">
        <w:rPr>
          <w:sz w:val="20"/>
          <w:szCs w:val="20"/>
        </w:rPr>
        <w:t xml:space="preserve"> (Beirūt: Dār al-Kotob al-'Ilmīyyah, 1983), [hereafter al-Dāwūdī</w:t>
      </w:r>
      <w:r>
        <w:rPr>
          <w:sz w:val="20"/>
          <w:szCs w:val="20"/>
        </w:rPr>
        <w:t xml:space="preserve">, </w:t>
      </w:r>
      <w:r w:rsidRPr="0086296E">
        <w:rPr>
          <w:i/>
          <w:iCs/>
          <w:sz w:val="20"/>
          <w:szCs w:val="20"/>
        </w:rPr>
        <w:t>The Ranks of Commentators</w:t>
      </w:r>
      <w:r w:rsidRPr="008044BC">
        <w:rPr>
          <w:sz w:val="20"/>
          <w:szCs w:val="20"/>
        </w:rPr>
        <w:t xml:space="preserve">]: II:215-218; al-Thahabī, </w:t>
      </w:r>
      <w:r w:rsidRPr="00C26968">
        <w:rPr>
          <w:i/>
          <w:iCs/>
          <w:sz w:val="20"/>
          <w:szCs w:val="20"/>
        </w:rPr>
        <w:t>Exegesis and Exegetes</w:t>
      </w:r>
      <w:r w:rsidRPr="001229B7">
        <w:rPr>
          <w:i/>
          <w:iCs/>
          <w:sz w:val="20"/>
          <w:szCs w:val="20"/>
        </w:rPr>
        <w:t xml:space="preserve">, </w:t>
      </w:r>
      <w:r w:rsidRPr="001229B7">
        <w:rPr>
          <w:sz w:val="20"/>
          <w:szCs w:val="20"/>
        </w:rPr>
        <w:t>I:206-210</w:t>
      </w:r>
      <w:r>
        <w:rPr>
          <w:sz w:val="20"/>
          <w:szCs w:val="20"/>
        </w:rPr>
        <w:t>; G. C. Anawati, 'Fakhr al-Dīn al-Rāz</w:t>
      </w:r>
      <w:r w:rsidRPr="00153BE6">
        <w:rPr>
          <w:sz w:val="20"/>
          <w:szCs w:val="20"/>
        </w:rPr>
        <w:t xml:space="preserve">ī' in </w:t>
      </w:r>
      <w:r w:rsidRPr="00153BE6">
        <w:rPr>
          <w:i/>
          <w:iCs/>
          <w:sz w:val="20"/>
          <w:szCs w:val="20"/>
        </w:rPr>
        <w:t>The Encyclopaedia of Islam</w:t>
      </w:r>
      <w:r w:rsidRPr="00153BE6">
        <w:rPr>
          <w:sz w:val="20"/>
          <w:szCs w:val="20"/>
        </w:rPr>
        <w:t xml:space="preserve"> [hereafter </w:t>
      </w:r>
      <w:r w:rsidRPr="00153BE6">
        <w:rPr>
          <w:i/>
          <w:iCs/>
          <w:sz w:val="20"/>
          <w:szCs w:val="20"/>
        </w:rPr>
        <w:t>E.I.</w:t>
      </w:r>
      <w:r w:rsidRPr="00153BE6">
        <w:rPr>
          <w:sz w:val="20"/>
          <w:szCs w:val="20"/>
        </w:rPr>
        <w:t>], ed. by P. Bearman et al. (Leiden: Brill, 2004), vol.</w:t>
      </w:r>
      <w:r>
        <w:rPr>
          <w:sz w:val="20"/>
          <w:szCs w:val="20"/>
        </w:rPr>
        <w:t>2</w:t>
      </w:r>
      <w:r w:rsidRPr="00153BE6">
        <w:rPr>
          <w:sz w:val="20"/>
          <w:szCs w:val="20"/>
        </w:rPr>
        <w:t>, pp.</w:t>
      </w:r>
      <w:r>
        <w:rPr>
          <w:sz w:val="20"/>
          <w:szCs w:val="20"/>
        </w:rPr>
        <w:t>751-755</w:t>
      </w:r>
    </w:p>
  </w:footnote>
  <w:footnote w:id="152">
    <w:p w:rsidR="008D6268" w:rsidRDefault="008D6268" w:rsidP="00804318">
      <w:pPr>
        <w:pStyle w:val="FootnoteText"/>
      </w:pPr>
      <w:r>
        <w:rPr>
          <w:rStyle w:val="FootnoteReference"/>
        </w:rPr>
        <w:footnoteRef/>
      </w:r>
      <w:r>
        <w:t xml:space="preserve"> </w:t>
      </w:r>
      <w:r w:rsidRPr="00121D52">
        <w:t xml:space="preserve">ibn Kathīr, </w:t>
      </w:r>
      <w:r w:rsidRPr="00121D52">
        <w:rPr>
          <w:bCs/>
          <w:i/>
        </w:rPr>
        <w:t>The Commentary of ibn Kathīr</w:t>
      </w:r>
      <w:r>
        <w:t xml:space="preserve">, I:8-14; al-Dāwūdī, </w:t>
      </w:r>
      <w:r w:rsidRPr="0086296E">
        <w:rPr>
          <w:i/>
          <w:iCs/>
        </w:rPr>
        <w:t>The Ranks of Commentators</w:t>
      </w:r>
      <w:r>
        <w:rPr>
          <w:i/>
          <w:iCs/>
        </w:rPr>
        <w:t>,</w:t>
      </w:r>
      <w:r>
        <w:t xml:space="preserve"> I:111-113; al-Thahabī, </w:t>
      </w:r>
      <w:r w:rsidRPr="00B50388">
        <w:rPr>
          <w:i/>
          <w:iCs/>
        </w:rPr>
        <w:t>Exegesis and Exeget</w:t>
      </w:r>
      <w:r>
        <w:rPr>
          <w:i/>
          <w:iCs/>
        </w:rPr>
        <w:t>e</w:t>
      </w:r>
      <w:r w:rsidRPr="00B50388">
        <w:rPr>
          <w:i/>
          <w:iCs/>
        </w:rPr>
        <w:t>s</w:t>
      </w:r>
      <w:r>
        <w:t xml:space="preserve">, I:173-176; Filiu, </w:t>
      </w:r>
      <w:r w:rsidRPr="007044E5">
        <w:rPr>
          <w:i/>
          <w:iCs/>
        </w:rPr>
        <w:t>Apocalypse in Islam</w:t>
      </w:r>
      <w:r>
        <w:t xml:space="preserve">, pp.37-41; </w:t>
      </w:r>
      <w:r w:rsidRPr="00A2152C">
        <w:t>McAuliffe, '</w:t>
      </w:r>
      <w:r w:rsidRPr="00375114">
        <w:t>The Tasks a</w:t>
      </w:r>
      <w:r>
        <w:t>nd Traditions of Interpretation</w:t>
      </w:r>
      <w:r w:rsidRPr="00375114">
        <w:t>'</w:t>
      </w:r>
      <w:r>
        <w:t>,</w:t>
      </w:r>
      <w:r w:rsidRPr="00A2152C">
        <w:t>pp.196-198</w:t>
      </w:r>
      <w:r>
        <w:t>; H. Laoust, 'ibn Kath</w:t>
      </w:r>
      <w:r w:rsidRPr="00163742">
        <w:t>ī</w:t>
      </w:r>
      <w:r>
        <w:t xml:space="preserve">r' in </w:t>
      </w:r>
      <w:r w:rsidRPr="00163742">
        <w:rPr>
          <w:i/>
          <w:iCs/>
        </w:rPr>
        <w:t>E.I.</w:t>
      </w:r>
      <w:r>
        <w:t xml:space="preserve">, vol.3, pp.817-818 </w:t>
      </w:r>
    </w:p>
  </w:footnote>
  <w:footnote w:id="153">
    <w:p w:rsidR="008D6268" w:rsidRPr="00163742" w:rsidRDefault="008D6268" w:rsidP="00804318">
      <w:pPr>
        <w:autoSpaceDE/>
        <w:autoSpaceDN/>
        <w:adjustRightInd/>
        <w:spacing w:line="240" w:lineRule="auto"/>
      </w:pPr>
      <w:r>
        <w:rPr>
          <w:rStyle w:val="FootnoteReference"/>
        </w:rPr>
        <w:footnoteRef/>
      </w:r>
      <w:r w:rsidRPr="00163742">
        <w:t xml:space="preserve"> </w:t>
      </w:r>
      <w:r w:rsidRPr="00E951AA">
        <w:rPr>
          <w:sz w:val="20"/>
          <w:szCs w:val="20"/>
        </w:rPr>
        <w:t xml:space="preserve">al-Qurṭubī, </w:t>
      </w:r>
      <w:r w:rsidRPr="00E951AA">
        <w:rPr>
          <w:i/>
          <w:iCs/>
          <w:sz w:val="20"/>
          <w:szCs w:val="20"/>
        </w:rPr>
        <w:t>The Comprehensive Book on the Provisions of the Qur’ān</w:t>
      </w:r>
      <w:r>
        <w:rPr>
          <w:sz w:val="20"/>
          <w:szCs w:val="20"/>
        </w:rPr>
        <w:t>, I: 33-34</w:t>
      </w:r>
      <w:r w:rsidRPr="00E951AA">
        <w:rPr>
          <w:sz w:val="20"/>
          <w:szCs w:val="20"/>
        </w:rPr>
        <w:t xml:space="preserve">; al-Dāwūdī, </w:t>
      </w:r>
      <w:r w:rsidRPr="007044E5">
        <w:rPr>
          <w:i/>
          <w:iCs/>
          <w:sz w:val="20"/>
          <w:szCs w:val="20"/>
        </w:rPr>
        <w:t>The Ranks of Commentators</w:t>
      </w:r>
      <w:r w:rsidRPr="007044E5">
        <w:rPr>
          <w:sz w:val="20"/>
          <w:szCs w:val="20"/>
        </w:rPr>
        <w:t>,</w:t>
      </w:r>
      <w:r>
        <w:rPr>
          <w:sz w:val="20"/>
          <w:szCs w:val="20"/>
        </w:rPr>
        <w:t xml:space="preserve"> </w:t>
      </w:r>
      <w:r w:rsidRPr="00E951AA">
        <w:rPr>
          <w:sz w:val="20"/>
          <w:szCs w:val="20"/>
        </w:rPr>
        <w:t xml:space="preserve">II:69-70; </w:t>
      </w:r>
      <w:r w:rsidRPr="008044BC">
        <w:rPr>
          <w:sz w:val="20"/>
          <w:szCs w:val="20"/>
        </w:rPr>
        <w:t xml:space="preserve">al-Thahabī, </w:t>
      </w:r>
      <w:r w:rsidRPr="00C26968">
        <w:rPr>
          <w:i/>
          <w:iCs/>
          <w:sz w:val="20"/>
          <w:szCs w:val="20"/>
        </w:rPr>
        <w:t>Exegesis and Exegetes,</w:t>
      </w:r>
      <w:r>
        <w:rPr>
          <w:i/>
          <w:iCs/>
          <w:sz w:val="20"/>
          <w:szCs w:val="20"/>
        </w:rPr>
        <w:t xml:space="preserve"> </w:t>
      </w:r>
      <w:r>
        <w:rPr>
          <w:sz w:val="20"/>
          <w:szCs w:val="20"/>
        </w:rPr>
        <w:t>II:336-341;</w:t>
      </w:r>
      <w:r w:rsidRPr="00163742">
        <w:rPr>
          <w:sz w:val="20"/>
          <w:szCs w:val="20"/>
        </w:rPr>
        <w:t xml:space="preserve"> R. Arnaldez, 'al-Ḳurṭubī' in </w:t>
      </w:r>
      <w:r w:rsidRPr="00163742">
        <w:rPr>
          <w:i/>
          <w:iCs/>
          <w:sz w:val="20"/>
          <w:szCs w:val="20"/>
        </w:rPr>
        <w:t>E.I.</w:t>
      </w:r>
      <w:r w:rsidRPr="00163742">
        <w:rPr>
          <w:sz w:val="20"/>
          <w:szCs w:val="20"/>
        </w:rPr>
        <w:t>, vol.5, pp.512-513</w:t>
      </w:r>
    </w:p>
  </w:footnote>
  <w:footnote w:id="154">
    <w:p w:rsidR="008D6268" w:rsidRDefault="008D6268" w:rsidP="00804318">
      <w:pPr>
        <w:pStyle w:val="FootnoteText"/>
      </w:pPr>
      <w:r>
        <w:rPr>
          <w:rStyle w:val="FootnoteReference"/>
        </w:rPr>
        <w:footnoteRef/>
      </w:r>
      <w:r>
        <w:t xml:space="preserve"> </w:t>
      </w:r>
      <w:r>
        <w:rPr>
          <w:lang w:bidi="ar-AE"/>
        </w:rPr>
        <w:t xml:space="preserve">al-Qurṭubī, </w:t>
      </w:r>
      <w:r w:rsidRPr="00A473A9">
        <w:rPr>
          <w:i/>
          <w:iCs/>
        </w:rPr>
        <w:t>The Reminder on the Affairs of the Dead</w:t>
      </w:r>
      <w:r>
        <w:rPr>
          <w:lang w:bidi="ar-AE"/>
        </w:rPr>
        <w:t xml:space="preserve">; </w:t>
      </w:r>
      <w:r w:rsidRPr="00A473A9">
        <w:t>ibn Kathī</w:t>
      </w:r>
      <w:r>
        <w:t>r</w:t>
      </w:r>
      <w:r w:rsidRPr="00A473A9">
        <w:t xml:space="preserve">, </w:t>
      </w:r>
      <w:r w:rsidRPr="00FD45D6">
        <w:rPr>
          <w:i/>
          <w:iCs/>
          <w:lang w:bidi="ar-AE"/>
        </w:rPr>
        <w:t>The Book of the End on Tribulations and Battles</w:t>
      </w:r>
      <w:r>
        <w:rPr>
          <w:i/>
          <w:iCs/>
          <w:lang w:bidi="ar-AE"/>
        </w:rPr>
        <w:t xml:space="preserve">; </w:t>
      </w:r>
      <w:r w:rsidRPr="00A473A9">
        <w:t>ibn Kathīr,</w:t>
      </w:r>
      <w:r>
        <w:t xml:space="preserve"> '</w:t>
      </w:r>
      <w:r w:rsidRPr="00A473A9">
        <w:t>The Book of Fierce Battles and Tribulations</w:t>
      </w:r>
      <w:r>
        <w:t>',</w:t>
      </w:r>
      <w:r w:rsidRPr="00A473A9">
        <w:t xml:space="preserve"> pp.3-444</w:t>
      </w:r>
    </w:p>
  </w:footnote>
  <w:footnote w:id="155">
    <w:p w:rsidR="008D6268" w:rsidRDefault="008D6268" w:rsidP="00804318">
      <w:pPr>
        <w:pStyle w:val="FootnoteText"/>
      </w:pPr>
      <w:r>
        <w:rPr>
          <w:rStyle w:val="FootnoteReference"/>
        </w:rPr>
        <w:footnoteRef/>
      </w:r>
      <w:r>
        <w:t xml:space="preserve"> </w:t>
      </w:r>
      <w:r w:rsidRPr="00121D52">
        <w:t xml:space="preserve">ibn Kathīr, </w:t>
      </w:r>
      <w:r w:rsidRPr="00121D52">
        <w:rPr>
          <w:i/>
        </w:rPr>
        <w:t>The Beginning and the End</w:t>
      </w:r>
      <w:r>
        <w:t xml:space="preserve">, XVII:356-739; Filiu, </w:t>
      </w:r>
      <w:r w:rsidRPr="00E23F58">
        <w:rPr>
          <w:i/>
          <w:iCs/>
        </w:rPr>
        <w:t>Apocalypse in Islam</w:t>
      </w:r>
      <w:r>
        <w:t xml:space="preserve">, pp.34-41; </w:t>
      </w:r>
      <w:r w:rsidRPr="002963FD">
        <w:t>McAuliffe,</w:t>
      </w:r>
      <w:r>
        <w:t xml:space="preserve"> '</w:t>
      </w:r>
      <w:r w:rsidRPr="00375114">
        <w:t>The Tasks a</w:t>
      </w:r>
      <w:r>
        <w:t>nd Traditions of Interpretation</w:t>
      </w:r>
      <w:r w:rsidRPr="00375114">
        <w:t>'</w:t>
      </w:r>
      <w:r>
        <w:t>,</w:t>
      </w:r>
      <w:r w:rsidRPr="002963FD">
        <w:t xml:space="preserve"> p.196</w:t>
      </w:r>
      <w:r>
        <w:t xml:space="preserve"> </w:t>
      </w:r>
    </w:p>
  </w:footnote>
  <w:footnote w:id="156">
    <w:p w:rsidR="008D6268" w:rsidRDefault="008D6268" w:rsidP="00804318">
      <w:pPr>
        <w:pStyle w:val="FootnoteText"/>
      </w:pPr>
      <w:r>
        <w:rPr>
          <w:rStyle w:val="FootnoteReference"/>
        </w:rPr>
        <w:footnoteRef/>
      </w:r>
      <w:r>
        <w:t xml:space="preserve"> </w:t>
      </w:r>
      <w:r w:rsidRPr="00121D52">
        <w:t xml:space="preserve">ibn Kathīr, </w:t>
      </w:r>
      <w:r w:rsidRPr="00121D52">
        <w:rPr>
          <w:i/>
        </w:rPr>
        <w:t>The Beginning and the End</w:t>
      </w:r>
      <w:r>
        <w:t>, XVII:362:</w:t>
      </w:r>
    </w:p>
    <w:p w:rsidR="008D6268" w:rsidRPr="00A2152C" w:rsidRDefault="008D6268" w:rsidP="00804318">
      <w:pPr>
        <w:bidi/>
        <w:spacing w:line="240" w:lineRule="auto"/>
        <w:jc w:val="lowKashida"/>
        <w:rPr>
          <w:sz w:val="20"/>
          <w:szCs w:val="20"/>
          <w:lang w:bidi="ar-AE"/>
        </w:rPr>
      </w:pPr>
      <w:r>
        <w:rPr>
          <w:rFonts w:hint="cs"/>
          <w:sz w:val="20"/>
          <w:szCs w:val="20"/>
          <w:rtl/>
        </w:rPr>
        <w:t>"</w:t>
      </w:r>
      <w:r w:rsidRPr="000C034B">
        <w:rPr>
          <w:sz w:val="20"/>
          <w:szCs w:val="20"/>
          <w:rtl/>
        </w:rPr>
        <w:t>وَلَمَّا انْقَضَى أَمَدُ الْأَمْرِ الْمَقْدُورِ، وَانْقَضَتِ الْأَرْبَعُونَ يَوْمًا بَقِيَتْ بَغْدَادُ خَاوِيَةً عَلَى عُرُوشِهَا، لَيْسَ بِهَا أَحَدٌ إِلَّا الشَّاذُّ مِنَ النَّاسِ، وَالْقَتْلَى فِي الطُّرُقَاتِ كَأَنَّهَا التُّلُولُ، وَقَدْ سَقَطَ عَلَيْهِمُ الْمَطَرُ، فَتَغَيَّرَتْ صُوَرُهُمْ، وَأَنْتَنَتِ الْبَلَدُ مِنْ جِيَفِهِمْ، وَتَغَيَّرَ الْهَوَاءُ، فَحَصَلَ بِسَبَبِهِ الْوَبَاءُ الشَّدِيدُ، حَتَّى تَعَدَّى وَسَرَى فِي الْهَوَاءِ إِلَى بِلَادِ الشَّامِ، فَمَاتَ خَلْقٌ كَثِيرٌ مِنْ تَغَيُّرِ الْجَوِّ وَفَسَادِ الرِّيحِ، فَاجْتَمَعَ عَلَى النَّاسِ الْغَلَاءُ وَالْوَبَاءُ وَالْفِنَاءُ وَالطَّعْنُ وَالطَّاعُونُ، فَإِنَّا لِلَّهِ وَإِنَّا إِلَيْهِ رَاجِعُونَ</w:t>
      </w:r>
      <w:r w:rsidRPr="000C034B">
        <w:rPr>
          <w:sz w:val="20"/>
          <w:szCs w:val="20"/>
        </w:rPr>
        <w:t>.</w:t>
      </w:r>
      <w:r>
        <w:rPr>
          <w:rFonts w:hint="cs"/>
          <w:sz w:val="20"/>
          <w:szCs w:val="20"/>
          <w:rtl/>
        </w:rPr>
        <w:t>"</w:t>
      </w:r>
    </w:p>
  </w:footnote>
  <w:footnote w:id="157">
    <w:p w:rsidR="008D6268" w:rsidRDefault="008D6268" w:rsidP="00804318">
      <w:pPr>
        <w:pStyle w:val="FootnoteText"/>
      </w:pPr>
      <w:r>
        <w:rPr>
          <w:rStyle w:val="FootnoteReference"/>
        </w:rPr>
        <w:footnoteRef/>
      </w:r>
      <w:r>
        <w:t xml:space="preserve"> Cohn, </w:t>
      </w:r>
      <w:r w:rsidRPr="00DE1848">
        <w:rPr>
          <w:i/>
          <w:iCs/>
        </w:rPr>
        <w:t>The Pursuit of the Millennium</w:t>
      </w:r>
      <w:r>
        <w:t>, 1970, p.282</w:t>
      </w:r>
    </w:p>
  </w:footnote>
  <w:footnote w:id="158">
    <w:p w:rsidR="008D6268" w:rsidRDefault="008D6268" w:rsidP="00804318">
      <w:pPr>
        <w:pStyle w:val="NormalWeb"/>
        <w:spacing w:before="0" w:beforeAutospacing="0" w:after="0" w:afterAutospacing="0"/>
        <w:rPr>
          <w:rFonts w:ascii="Calibri" w:hAnsi="Calibri"/>
          <w:sz w:val="16"/>
          <w:szCs w:val="16"/>
          <w:lang w:bidi="ar-AE"/>
        </w:rPr>
      </w:pPr>
      <w:r>
        <w:rPr>
          <w:rStyle w:val="FootnoteReference"/>
          <w:rFonts w:ascii="Calibri" w:hAnsi="Calibri"/>
          <w:sz w:val="20"/>
          <w:szCs w:val="20"/>
        </w:rPr>
        <w:footnoteRef/>
      </w:r>
      <w:r>
        <w:rPr>
          <w:rFonts w:ascii="Calibri" w:hAnsi="Calibri"/>
          <w:sz w:val="20"/>
          <w:szCs w:val="20"/>
        </w:rPr>
        <w:t xml:space="preserve"> </w:t>
      </w:r>
      <w:r w:rsidRPr="00C775BF">
        <w:rPr>
          <w:rFonts w:ascii="Calibri" w:hAnsi="Calibri"/>
          <w:sz w:val="20"/>
          <w:szCs w:val="20"/>
          <w:lang w:bidi="ar-AE"/>
        </w:rPr>
        <w:t>al-Tirmidhī,</w:t>
      </w:r>
      <w:r>
        <w:rPr>
          <w:rFonts w:ascii="Calibri" w:hAnsi="Calibri"/>
          <w:i/>
          <w:iCs/>
          <w:sz w:val="20"/>
          <w:szCs w:val="20"/>
          <w:lang w:bidi="ar-AE"/>
        </w:rPr>
        <w:t xml:space="preserve"> The Great Compilation of al-Tirmidhī,</w:t>
      </w:r>
      <w:r>
        <w:rPr>
          <w:rFonts w:ascii="Calibri" w:hAnsi="Calibri"/>
          <w:sz w:val="20"/>
          <w:szCs w:val="20"/>
          <w:lang w:bidi="ar-AE"/>
        </w:rPr>
        <w:t xml:space="preserve"> book 47 on </w:t>
      </w:r>
      <w:r>
        <w:rPr>
          <w:rFonts w:ascii="Calibri" w:hAnsi="Calibri"/>
          <w:i/>
          <w:iCs/>
          <w:sz w:val="20"/>
          <w:szCs w:val="20"/>
          <w:lang w:bidi="ar-AE"/>
        </w:rPr>
        <w:t>Qur'ān Interpretation</w:t>
      </w:r>
      <w:r>
        <w:rPr>
          <w:rFonts w:ascii="Calibri" w:hAnsi="Calibri"/>
          <w:sz w:val="20"/>
          <w:szCs w:val="20"/>
          <w:lang w:bidi="ar-AE"/>
        </w:rPr>
        <w:t>,</w:t>
      </w:r>
      <w:r>
        <w:rPr>
          <w:rFonts w:ascii="Calibri" w:hAnsi="Calibri"/>
          <w:i/>
          <w:iCs/>
          <w:sz w:val="20"/>
          <w:szCs w:val="20"/>
          <w:lang w:bidi="ar-AE"/>
        </w:rPr>
        <w:t xml:space="preserve"> </w:t>
      </w:r>
      <w:r>
        <w:rPr>
          <w:rFonts w:ascii="Calibri" w:hAnsi="Calibri"/>
          <w:sz w:val="20"/>
          <w:szCs w:val="20"/>
          <w:lang w:bidi="ar-AE"/>
        </w:rPr>
        <w:t>ḥadīth no. 3653</w:t>
      </w:r>
    </w:p>
  </w:footnote>
  <w:footnote w:id="159">
    <w:p w:rsidR="008D6268" w:rsidRDefault="008D6268" w:rsidP="00804318">
      <w:pPr>
        <w:pStyle w:val="FootnoteText"/>
      </w:pPr>
      <w:r>
        <w:rPr>
          <w:rStyle w:val="FootnoteReference"/>
        </w:rPr>
        <w:footnoteRef/>
      </w:r>
      <w:r>
        <w:t xml:space="preserve"> </w:t>
      </w:r>
      <w:r w:rsidRPr="00684D4A">
        <w:rPr>
          <w:i/>
          <w:iCs/>
        </w:rPr>
        <w:t>The Meaning of the Holy Qur'an</w:t>
      </w:r>
      <w:r>
        <w:t>, 81:1-29</w:t>
      </w:r>
    </w:p>
  </w:footnote>
  <w:footnote w:id="160">
    <w:p w:rsidR="008D6268" w:rsidRDefault="008D6268" w:rsidP="00804318">
      <w:pPr>
        <w:pStyle w:val="FootnoteText"/>
      </w:pPr>
      <w:r>
        <w:rPr>
          <w:rStyle w:val="FootnoteReference"/>
        </w:rPr>
        <w:footnoteRef/>
      </w:r>
      <w:r>
        <w:t xml:space="preserve"> </w:t>
      </w:r>
      <w:r w:rsidRPr="00684D4A">
        <w:rPr>
          <w:i/>
          <w:iCs/>
        </w:rPr>
        <w:t>The Meaning of the Holy Qur'an</w:t>
      </w:r>
      <w:r>
        <w:t>, 82:1-19</w:t>
      </w:r>
    </w:p>
  </w:footnote>
  <w:footnote w:id="161">
    <w:p w:rsidR="008D6268" w:rsidRDefault="008D6268" w:rsidP="00804318">
      <w:pPr>
        <w:pStyle w:val="FootnoteText"/>
      </w:pPr>
      <w:r>
        <w:rPr>
          <w:rStyle w:val="FootnoteReference"/>
        </w:rPr>
        <w:footnoteRef/>
      </w:r>
      <w:r>
        <w:t xml:space="preserve"> </w:t>
      </w:r>
      <w:r w:rsidRPr="00684D4A">
        <w:rPr>
          <w:i/>
          <w:iCs/>
        </w:rPr>
        <w:t>The Meaning of the Holy Qur'an</w:t>
      </w:r>
      <w:r>
        <w:t>, 84:1-25</w:t>
      </w:r>
    </w:p>
  </w:footnote>
  <w:footnote w:id="162">
    <w:p w:rsidR="008D6268" w:rsidRDefault="008D6268" w:rsidP="00804318">
      <w:pPr>
        <w:pStyle w:val="FootnoteText"/>
      </w:pPr>
      <w:r>
        <w:rPr>
          <w:rStyle w:val="FootnoteReference"/>
        </w:rPr>
        <w:footnoteRef/>
      </w:r>
      <w:r>
        <w:t xml:space="preserve"> </w:t>
      </w:r>
      <w:r>
        <w:rPr>
          <w:rFonts w:eastAsia="Times New Roman" w:cs="Times New Roman"/>
          <w:i/>
          <w:iCs/>
        </w:rPr>
        <w:t>The Meaning of the</w:t>
      </w:r>
      <w:r w:rsidRPr="00C113F4">
        <w:rPr>
          <w:rFonts w:eastAsia="Times New Roman" w:cs="Times New Roman"/>
          <w:i/>
          <w:iCs/>
        </w:rPr>
        <w:t xml:space="preserve"> Qur'ān</w:t>
      </w:r>
      <w:r>
        <w:rPr>
          <w:rFonts w:eastAsia="Times New Roman" w:cs="Times New Roman"/>
        </w:rPr>
        <w:t>, 81:1-2</w:t>
      </w:r>
    </w:p>
  </w:footnote>
  <w:footnote w:id="163">
    <w:p w:rsidR="008D6268" w:rsidRDefault="008D6268" w:rsidP="00804318">
      <w:pPr>
        <w:pStyle w:val="FootnoteText"/>
      </w:pPr>
      <w:r>
        <w:rPr>
          <w:rStyle w:val="FootnoteReference"/>
        </w:rPr>
        <w:footnoteRef/>
      </w:r>
      <w:r>
        <w:t xml:space="preserve"> </w:t>
      </w:r>
      <w:r>
        <w:rPr>
          <w:rFonts w:eastAsia="Times New Roman" w:cs="Times New Roman"/>
          <w:i/>
          <w:iCs/>
        </w:rPr>
        <w:t xml:space="preserve">The Meaning of the </w:t>
      </w:r>
      <w:r w:rsidRPr="00C113F4">
        <w:rPr>
          <w:rFonts w:eastAsia="Times New Roman" w:cs="Times New Roman"/>
          <w:i/>
          <w:iCs/>
        </w:rPr>
        <w:t xml:space="preserve"> Qur'ān</w:t>
      </w:r>
      <w:r>
        <w:rPr>
          <w:rFonts w:eastAsia="Times New Roman" w:cs="Times New Roman"/>
        </w:rPr>
        <w:t>, 82:1-2</w:t>
      </w:r>
      <w:r w:rsidRPr="00C113F4">
        <w:rPr>
          <w:rFonts w:eastAsia="Times New Roman" w:cs="Times New Roman"/>
        </w:rPr>
        <w:t xml:space="preserve"> </w:t>
      </w:r>
      <w:r w:rsidRPr="00C113F4">
        <w:rPr>
          <w:rFonts w:eastAsia="Times New Roman" w:cs="Times New Roman"/>
          <w:sz w:val="18"/>
          <w:szCs w:val="18"/>
        </w:rPr>
        <w:t xml:space="preserve"> </w:t>
      </w:r>
    </w:p>
  </w:footnote>
  <w:footnote w:id="164">
    <w:p w:rsidR="008D6268" w:rsidRDefault="008D6268" w:rsidP="00804318">
      <w:pPr>
        <w:pStyle w:val="FootnoteText"/>
      </w:pPr>
      <w:r>
        <w:rPr>
          <w:rStyle w:val="FootnoteReference"/>
        </w:rPr>
        <w:footnoteRef/>
      </w:r>
      <w:r>
        <w:t xml:space="preserve"> </w:t>
      </w:r>
      <w:r>
        <w:rPr>
          <w:rFonts w:eastAsia="Times New Roman" w:cs="Times New Roman"/>
          <w:i/>
          <w:iCs/>
        </w:rPr>
        <w:t>The Meaning of the</w:t>
      </w:r>
      <w:r w:rsidRPr="00C113F4">
        <w:rPr>
          <w:rFonts w:eastAsia="Times New Roman" w:cs="Times New Roman"/>
          <w:i/>
          <w:iCs/>
        </w:rPr>
        <w:t xml:space="preserve"> Qur'ān</w:t>
      </w:r>
      <w:r>
        <w:rPr>
          <w:rFonts w:eastAsia="Times New Roman" w:cs="Times New Roman"/>
        </w:rPr>
        <w:t>, 84:1-2</w:t>
      </w:r>
      <w:r w:rsidRPr="00C113F4">
        <w:rPr>
          <w:rFonts w:eastAsia="Times New Roman" w:cs="Times New Roman"/>
        </w:rPr>
        <w:t xml:space="preserve"> </w:t>
      </w:r>
      <w:r w:rsidRPr="00C113F4">
        <w:rPr>
          <w:rFonts w:eastAsia="Times New Roman" w:cs="Times New Roman"/>
          <w:sz w:val="18"/>
          <w:szCs w:val="18"/>
        </w:rPr>
        <w:t xml:space="preserve"> </w:t>
      </w:r>
    </w:p>
  </w:footnote>
  <w:footnote w:id="165">
    <w:p w:rsidR="008D6268" w:rsidRDefault="008D6268" w:rsidP="00804318">
      <w:pPr>
        <w:pStyle w:val="FootnoteText"/>
      </w:pPr>
      <w:r>
        <w:rPr>
          <w:rStyle w:val="FootnoteReference"/>
        </w:rPr>
        <w:footnoteRef/>
      </w:r>
      <w:r>
        <w:t xml:space="preserve"> ibn Manẓūr, </w:t>
      </w:r>
      <w:r>
        <w:rPr>
          <w:i/>
          <w:iCs/>
        </w:rPr>
        <w:t>The Arabic Tongue,</w:t>
      </w:r>
      <w:r>
        <w:t xml:space="preserve"> V:156 </w:t>
      </w:r>
    </w:p>
  </w:footnote>
  <w:footnote w:id="166">
    <w:p w:rsidR="008D6268" w:rsidRDefault="008D6268" w:rsidP="00804318">
      <w:pPr>
        <w:pStyle w:val="FootnoteText"/>
        <w:rPr>
          <w:rtl/>
          <w:lang w:bidi="ar-AE"/>
        </w:rPr>
      </w:pPr>
      <w:r>
        <w:rPr>
          <w:rStyle w:val="FootnoteReference"/>
        </w:rPr>
        <w:footnoteRef/>
      </w:r>
      <w:r>
        <w:t xml:space="preserve"> ibn Manẓūr, </w:t>
      </w:r>
      <w:r>
        <w:rPr>
          <w:i/>
          <w:iCs/>
        </w:rPr>
        <w:t>The Arabic Tongue</w:t>
      </w:r>
      <w:r>
        <w:t xml:space="preserve">, V:156; </w:t>
      </w:r>
      <w:r w:rsidRPr="00121D52">
        <w:t xml:space="preserve">ibn Kathīr, </w:t>
      </w:r>
      <w:r w:rsidRPr="00121D52">
        <w:rPr>
          <w:bCs/>
          <w:i/>
        </w:rPr>
        <w:t>The Commentary of ibn Kathīr</w:t>
      </w:r>
      <w:r>
        <w:t xml:space="preserve">, VIII:328; </w:t>
      </w:r>
      <w:r w:rsidRPr="00EB1347">
        <w:t>al-Q</w:t>
      </w:r>
      <w:r>
        <w:t>u</w:t>
      </w:r>
      <w:r w:rsidRPr="00EB1347">
        <w:t>rṭ</w:t>
      </w:r>
      <w:r>
        <w:t>u</w:t>
      </w:r>
      <w:r w:rsidRPr="00EB1347">
        <w:t>bī,</w:t>
      </w:r>
      <w:r>
        <w:t xml:space="preserve"> </w:t>
      </w:r>
      <w:r w:rsidRPr="00EB1347">
        <w:rPr>
          <w:i/>
          <w:iCs/>
        </w:rPr>
        <w:t>The Comprehensive Book on the Provisions of the Qur’ān</w:t>
      </w:r>
      <w:r>
        <w:t xml:space="preserve">, XIX:227; al-Rāzī, </w:t>
      </w:r>
      <w:r w:rsidRPr="00E23F58">
        <w:rPr>
          <w:i/>
          <w:iCs/>
        </w:rPr>
        <w:t>The Great Commentary</w:t>
      </w:r>
      <w:r>
        <w:t>, XXXI: 63</w:t>
      </w:r>
    </w:p>
  </w:footnote>
  <w:footnote w:id="167">
    <w:p w:rsidR="008D6268" w:rsidRDefault="008D6268" w:rsidP="00804318">
      <w:pPr>
        <w:pStyle w:val="FootnoteText"/>
        <w:rPr>
          <w:rFonts w:eastAsia="Times New Roman"/>
          <w:rtl/>
          <w:lang w:bidi="ar-AE"/>
        </w:rPr>
      </w:pPr>
      <w:r>
        <w:rPr>
          <w:rStyle w:val="FootnoteReference"/>
        </w:rPr>
        <w:footnoteRef/>
      </w:r>
      <w:r>
        <w:t xml:space="preserve"> </w:t>
      </w:r>
      <w:r w:rsidRPr="00121D52">
        <w:t xml:space="preserve">ibn Kathīr, </w:t>
      </w:r>
      <w:r w:rsidRPr="00121D52">
        <w:rPr>
          <w:bCs/>
          <w:i/>
        </w:rPr>
        <w:t>The Commentary of ibn Kathīr</w:t>
      </w:r>
      <w:r>
        <w:t xml:space="preserve">, VIII:329; al-Bukhārī, </w:t>
      </w:r>
      <w:r>
        <w:rPr>
          <w:rFonts w:eastAsia="Times New Roman"/>
          <w:i/>
          <w:iCs/>
        </w:rPr>
        <w:t>Sahīh Al-Bukhārī</w:t>
      </w:r>
      <w:r>
        <w:rPr>
          <w:rFonts w:eastAsia="Times New Roman"/>
        </w:rPr>
        <w:t xml:space="preserve">, vol.4, book 54 </w:t>
      </w:r>
      <w:r>
        <w:rPr>
          <w:rFonts w:eastAsia="Times New Roman"/>
          <w:i/>
          <w:iCs/>
        </w:rPr>
        <w:t>of Beginning of Creation</w:t>
      </w:r>
      <w:r>
        <w:rPr>
          <w:rFonts w:eastAsia="Times New Roman"/>
        </w:rPr>
        <w:t>, ḥadīth no. 4</w:t>
      </w:r>
      <w:r>
        <w:rPr>
          <w:rFonts w:eastAsia="Times New Roman" w:hint="cs"/>
          <w:rtl/>
        </w:rPr>
        <w:t>2</w:t>
      </w:r>
      <w:r>
        <w:rPr>
          <w:rFonts w:eastAsia="Times New Roman"/>
        </w:rPr>
        <w:t>2:</w:t>
      </w:r>
    </w:p>
    <w:p w:rsidR="008D6268" w:rsidRDefault="008D6268" w:rsidP="00804318">
      <w:pPr>
        <w:pStyle w:val="FootnoteText"/>
        <w:bidi/>
      </w:pPr>
      <w:r>
        <w:rPr>
          <w:rStyle w:val="arabicsanad"/>
          <w:rtl/>
        </w:rPr>
        <w:t>‏</w:t>
      </w:r>
      <w:r>
        <w:rPr>
          <w:rStyle w:val="arabictextdetails"/>
        </w:rPr>
        <w:t>"</w:t>
      </w:r>
      <w:r>
        <w:rPr>
          <w:rStyle w:val="arabictextdetails"/>
          <w:rtl/>
        </w:rPr>
        <w:t>‏الشَّمْسُ وَالْقَمَرُ مُكَوَّرَانِ يَوْمَ الْقِيَامَةِ‏</w:t>
      </w:r>
      <w:r>
        <w:rPr>
          <w:rStyle w:val="arabictextdetails"/>
        </w:rPr>
        <w:t>"</w:t>
      </w:r>
      <w:r>
        <w:rPr>
          <w:rStyle w:val="arabicsanad"/>
          <w:rtl/>
        </w:rPr>
        <w:t>‏‏</w:t>
      </w:r>
    </w:p>
  </w:footnote>
  <w:footnote w:id="168">
    <w:p w:rsidR="008D6268" w:rsidRDefault="008D6268" w:rsidP="00804318">
      <w:pPr>
        <w:pStyle w:val="FootnoteText"/>
      </w:pPr>
      <w:r>
        <w:rPr>
          <w:rStyle w:val="FootnoteReference"/>
        </w:rPr>
        <w:footnoteRef/>
      </w:r>
      <w:r>
        <w:t xml:space="preserve"> al-Rāzī, </w:t>
      </w:r>
      <w:r w:rsidRPr="00E23F58">
        <w:rPr>
          <w:i/>
          <w:iCs/>
        </w:rPr>
        <w:t>The Great Commentary</w:t>
      </w:r>
      <w:r>
        <w:rPr>
          <w:i/>
          <w:iCs/>
        </w:rPr>
        <w:t>,</w:t>
      </w:r>
      <w:r>
        <w:t xml:space="preserve"> XXXI:63:</w:t>
      </w:r>
    </w:p>
    <w:p w:rsidR="008D6268" w:rsidRDefault="008D6268" w:rsidP="003B6066">
      <w:pPr>
        <w:pStyle w:val="FootnoteText"/>
        <w:bidi/>
        <w:rPr>
          <w:rtl/>
          <w:lang w:bidi="ar-AE"/>
        </w:rPr>
      </w:pPr>
      <w:r>
        <w:rPr>
          <w:rFonts w:hint="cs"/>
          <w:rtl/>
          <w:lang w:bidi="ar-AE"/>
        </w:rPr>
        <w:t>"</w:t>
      </w:r>
      <w:r>
        <w:rPr>
          <w:rtl/>
        </w:rPr>
        <w:t>إِنَّ الشَّمْسَ وَالْقَمَرَ ثَوْرَانِ مُكَوَّرَانِ فِي النَّارِ يوم القيامة</w:t>
      </w:r>
      <w:r>
        <w:rPr>
          <w:rFonts w:hint="cs"/>
          <w:rtl/>
        </w:rPr>
        <w:t>"</w:t>
      </w:r>
    </w:p>
  </w:footnote>
  <w:footnote w:id="169">
    <w:p w:rsidR="008D6268" w:rsidRDefault="008D6268" w:rsidP="00804318">
      <w:pPr>
        <w:pStyle w:val="FootnoteText"/>
      </w:pPr>
      <w:r>
        <w:rPr>
          <w:rStyle w:val="FootnoteReference"/>
        </w:rPr>
        <w:footnoteRef/>
      </w:r>
      <w:r>
        <w:t xml:space="preserve"> al-Rāzī, </w:t>
      </w:r>
      <w:r w:rsidRPr="00E23F58">
        <w:rPr>
          <w:i/>
          <w:iCs/>
        </w:rPr>
        <w:t>The Great Commentary</w:t>
      </w:r>
      <w:r>
        <w:rPr>
          <w:i/>
          <w:iCs/>
        </w:rPr>
        <w:t>,</w:t>
      </w:r>
      <w:r>
        <w:t xml:space="preserve"> XXXI:63</w:t>
      </w:r>
    </w:p>
  </w:footnote>
  <w:footnote w:id="170">
    <w:p w:rsidR="008D6268" w:rsidRPr="00B616F7" w:rsidRDefault="008D6268" w:rsidP="00804318">
      <w:pPr>
        <w:autoSpaceDE/>
        <w:autoSpaceDN/>
        <w:adjustRightInd/>
        <w:spacing w:line="240" w:lineRule="auto"/>
        <w:rPr>
          <w:sz w:val="20"/>
          <w:szCs w:val="20"/>
          <w:lang w:bidi="ar-AE"/>
        </w:rPr>
      </w:pPr>
      <w:r w:rsidRPr="00F24D58">
        <w:rPr>
          <w:rStyle w:val="FootnoteReference"/>
          <w:sz w:val="20"/>
          <w:szCs w:val="20"/>
        </w:rPr>
        <w:footnoteRef/>
      </w:r>
      <w:r w:rsidRPr="00F24D58">
        <w:rPr>
          <w:sz w:val="20"/>
          <w:szCs w:val="20"/>
        </w:rPr>
        <w:t xml:space="preserve"> </w:t>
      </w:r>
      <w:r w:rsidRPr="00B616F7">
        <w:rPr>
          <w:sz w:val="20"/>
          <w:szCs w:val="20"/>
        </w:rPr>
        <w:t xml:space="preserve">al-Qurṭubī, </w:t>
      </w:r>
      <w:r w:rsidRPr="00B616F7">
        <w:rPr>
          <w:i/>
          <w:iCs/>
          <w:sz w:val="20"/>
          <w:szCs w:val="20"/>
        </w:rPr>
        <w:t>The Remi</w:t>
      </w:r>
      <w:r>
        <w:rPr>
          <w:i/>
          <w:iCs/>
          <w:sz w:val="20"/>
          <w:szCs w:val="20"/>
        </w:rPr>
        <w:t xml:space="preserve">nder on the Affairs of the Dead, </w:t>
      </w:r>
      <w:r>
        <w:rPr>
          <w:sz w:val="20"/>
          <w:szCs w:val="20"/>
          <w:lang w:bidi="ar-AE"/>
        </w:rPr>
        <w:t>II:855-856</w:t>
      </w:r>
    </w:p>
  </w:footnote>
  <w:footnote w:id="171">
    <w:p w:rsidR="008D6268" w:rsidRDefault="008D6268" w:rsidP="00804318">
      <w:pPr>
        <w:pStyle w:val="FootnoteText"/>
      </w:pPr>
      <w:r>
        <w:rPr>
          <w:rStyle w:val="FootnoteReference"/>
        </w:rPr>
        <w:footnoteRef/>
      </w:r>
      <w:r>
        <w:t xml:space="preserve"> </w:t>
      </w:r>
      <w:r w:rsidRPr="00121D52">
        <w:t xml:space="preserve">ibn Kathīr, </w:t>
      </w:r>
      <w:r w:rsidRPr="00121D52">
        <w:rPr>
          <w:bCs/>
          <w:i/>
        </w:rPr>
        <w:t>The Commentary of ibn Kathīr</w:t>
      </w:r>
      <w:r>
        <w:t xml:space="preserve">, VIII:329; </w:t>
      </w:r>
      <w:r w:rsidRPr="00EB1347">
        <w:t>al-Q</w:t>
      </w:r>
      <w:r>
        <w:t>u</w:t>
      </w:r>
      <w:r w:rsidRPr="00EB1347">
        <w:t>rṭ</w:t>
      </w:r>
      <w:r>
        <w:t>u</w:t>
      </w:r>
      <w:r w:rsidRPr="00EB1347">
        <w:t>bī,</w:t>
      </w:r>
      <w:r>
        <w:t xml:space="preserve"> </w:t>
      </w:r>
      <w:r w:rsidRPr="00EB1347">
        <w:rPr>
          <w:i/>
          <w:iCs/>
        </w:rPr>
        <w:t>The Comprehensive Book on the Provisions of the Qur’ān</w:t>
      </w:r>
      <w:r>
        <w:t xml:space="preserve">, XIX:227;244; al-Rāzī, </w:t>
      </w:r>
      <w:r w:rsidRPr="00E23F58">
        <w:rPr>
          <w:i/>
          <w:iCs/>
        </w:rPr>
        <w:t>The Great Commentary</w:t>
      </w:r>
      <w:r>
        <w:rPr>
          <w:i/>
          <w:iCs/>
        </w:rPr>
        <w:t>,</w:t>
      </w:r>
      <w:r>
        <w:t xml:space="preserve"> XXXI:63-64; 72; ibn Manẓūr, </w:t>
      </w:r>
      <w:r w:rsidRPr="00E23F58">
        <w:rPr>
          <w:i/>
          <w:iCs/>
        </w:rPr>
        <w:t>The Arabic Tongue</w:t>
      </w:r>
      <w:r>
        <w:t>, V: 134; 191</w:t>
      </w:r>
    </w:p>
  </w:footnote>
  <w:footnote w:id="172">
    <w:p w:rsidR="008D6268" w:rsidRDefault="008D6268" w:rsidP="00804318">
      <w:pPr>
        <w:pStyle w:val="FootnoteText"/>
      </w:pPr>
      <w:r>
        <w:rPr>
          <w:rStyle w:val="FootnoteReference"/>
        </w:rPr>
        <w:footnoteRef/>
      </w:r>
      <w:r>
        <w:t xml:space="preserve"> </w:t>
      </w:r>
      <w:r w:rsidRPr="00121D52">
        <w:t xml:space="preserve">ibn Kathīr, </w:t>
      </w:r>
      <w:r w:rsidRPr="00121D52">
        <w:rPr>
          <w:bCs/>
          <w:i/>
        </w:rPr>
        <w:t>The Commentary of ibn Kathīr</w:t>
      </w:r>
      <w:r>
        <w:t>, VIII:330:</w:t>
      </w:r>
    </w:p>
    <w:p w:rsidR="008D6268" w:rsidRPr="00AB48A3" w:rsidRDefault="008D6268" w:rsidP="00804318">
      <w:pPr>
        <w:pStyle w:val="FootnoteText"/>
        <w:bidi/>
      </w:pPr>
      <w:r>
        <w:t>"</w:t>
      </w:r>
      <w:r w:rsidRPr="00AB48A3">
        <w:rPr>
          <w:rtl/>
        </w:rPr>
        <w:t xml:space="preserve">وَإِذَا النُّجُومُ انْكَدَرَتْ قَالَ </w:t>
      </w:r>
      <w:r>
        <w:rPr>
          <w:rtl/>
        </w:rPr>
        <w:t>انْكَدَرَتْ</w:t>
      </w:r>
      <w:r w:rsidRPr="00AB48A3">
        <w:rPr>
          <w:rtl/>
        </w:rPr>
        <w:t xml:space="preserve"> فِي جَهَنَّمَ وَكُلُّ مَنْ عَبَدَ مَنْ دُونِ اللَّهِ فَهُوَ فِي جَهَنَّمَ إِلَّا مَا كَانَ مِنْ عِيسَى وَأُمِّهِ وَلَوْ رَضِ</w:t>
      </w:r>
      <w:r>
        <w:rPr>
          <w:rtl/>
        </w:rPr>
        <w:t>يَا أَنْ يُعْبَدَا لَدَخَلَاهَ</w:t>
      </w:r>
      <w:r>
        <w:t>"</w:t>
      </w:r>
      <w:r w:rsidRPr="00AB48A3">
        <w:t>.</w:t>
      </w:r>
    </w:p>
  </w:footnote>
  <w:footnote w:id="173">
    <w:p w:rsidR="008D6268" w:rsidRDefault="008D6268" w:rsidP="00804318">
      <w:pPr>
        <w:pStyle w:val="FootnoteText"/>
      </w:pPr>
      <w:r>
        <w:rPr>
          <w:rStyle w:val="FootnoteReference"/>
        </w:rPr>
        <w:footnoteRef/>
      </w:r>
      <w:r>
        <w:t xml:space="preserve"> </w:t>
      </w:r>
      <w:r w:rsidRPr="00EB1347">
        <w:t>al-Q</w:t>
      </w:r>
      <w:r>
        <w:t>u</w:t>
      </w:r>
      <w:r w:rsidRPr="00EB1347">
        <w:t>rṭ</w:t>
      </w:r>
      <w:r>
        <w:t>u</w:t>
      </w:r>
      <w:r w:rsidRPr="00EB1347">
        <w:t>bī,</w:t>
      </w:r>
      <w:r>
        <w:t xml:space="preserve"> </w:t>
      </w:r>
      <w:r w:rsidRPr="00EB1347">
        <w:rPr>
          <w:i/>
          <w:iCs/>
        </w:rPr>
        <w:t>The Comprehensive Book on the Provisions of the Qur’ān</w:t>
      </w:r>
      <w:r>
        <w:t>, XIX:228</w:t>
      </w:r>
    </w:p>
  </w:footnote>
  <w:footnote w:id="174">
    <w:p w:rsidR="008D6268" w:rsidRDefault="008D6268" w:rsidP="00804318">
      <w:pPr>
        <w:pStyle w:val="FootnoteText"/>
      </w:pPr>
      <w:r>
        <w:rPr>
          <w:rStyle w:val="FootnoteReference"/>
        </w:rPr>
        <w:footnoteRef/>
      </w:r>
      <w:r>
        <w:t xml:space="preserve"> </w:t>
      </w:r>
      <w:r w:rsidRPr="00121D52">
        <w:t xml:space="preserve">ibn Kathīr, </w:t>
      </w:r>
      <w:r w:rsidRPr="00121D52">
        <w:rPr>
          <w:bCs/>
          <w:i/>
        </w:rPr>
        <w:t>The Commentary of ibn Kathīr</w:t>
      </w:r>
      <w:r>
        <w:t xml:space="preserve">, VIII:339; </w:t>
      </w:r>
      <w:r w:rsidRPr="00EB1347">
        <w:t>al-Q</w:t>
      </w:r>
      <w:r>
        <w:t>u</w:t>
      </w:r>
      <w:r w:rsidRPr="00EB1347">
        <w:t>rṭ</w:t>
      </w:r>
      <w:r>
        <w:t>u</w:t>
      </w:r>
      <w:r w:rsidRPr="00EB1347">
        <w:t>bī,</w:t>
      </w:r>
      <w:r>
        <w:t xml:space="preserve"> </w:t>
      </w:r>
      <w:r w:rsidRPr="00EB1347">
        <w:rPr>
          <w:i/>
          <w:iCs/>
        </w:rPr>
        <w:t>The Comprehensive Book on the Provisions of the Qur’ān</w:t>
      </w:r>
      <w:r>
        <w:t xml:space="preserve">, XIX:244; al-Rāzī, </w:t>
      </w:r>
      <w:r w:rsidRPr="00E23F58">
        <w:rPr>
          <w:i/>
          <w:iCs/>
        </w:rPr>
        <w:t>The Great Commentary</w:t>
      </w:r>
      <w:r>
        <w:rPr>
          <w:i/>
          <w:iCs/>
        </w:rPr>
        <w:t>,</w:t>
      </w:r>
      <w:r>
        <w:t xml:space="preserve"> XXXI: 72; ibn Manẓūr, </w:t>
      </w:r>
      <w:r w:rsidRPr="00E23F58">
        <w:rPr>
          <w:i/>
          <w:iCs/>
        </w:rPr>
        <w:t>The Arabic Tongue</w:t>
      </w:r>
      <w:r>
        <w:t>, V:55</w:t>
      </w:r>
    </w:p>
  </w:footnote>
  <w:footnote w:id="175">
    <w:p w:rsidR="008D6268" w:rsidRDefault="008D6268" w:rsidP="00804318">
      <w:pPr>
        <w:pStyle w:val="FootnoteText"/>
      </w:pPr>
      <w:r>
        <w:rPr>
          <w:rStyle w:val="FootnoteReference"/>
        </w:rPr>
        <w:footnoteRef/>
      </w:r>
      <w:r>
        <w:rPr>
          <w:rFonts w:eastAsia="Times New Roman" w:cs="Times New Roman"/>
          <w:i/>
          <w:iCs/>
        </w:rPr>
        <w:t xml:space="preserve"> </w:t>
      </w:r>
      <w:r w:rsidRPr="00EB1347">
        <w:t>al-Q</w:t>
      </w:r>
      <w:r>
        <w:t>u</w:t>
      </w:r>
      <w:r w:rsidRPr="00EB1347">
        <w:t>rṭ</w:t>
      </w:r>
      <w:r>
        <w:t>u</w:t>
      </w:r>
      <w:r w:rsidRPr="00EB1347">
        <w:t>bī,</w:t>
      </w:r>
      <w:r>
        <w:t xml:space="preserve"> </w:t>
      </w:r>
      <w:r w:rsidRPr="00EB1347">
        <w:rPr>
          <w:i/>
          <w:iCs/>
        </w:rPr>
        <w:t>The Comprehensive Book on the Provisions of the Qur’ān</w:t>
      </w:r>
      <w:r>
        <w:t>, XIX:244;</w:t>
      </w:r>
      <w:r w:rsidRPr="004A2EE4">
        <w:rPr>
          <w:rFonts w:eastAsia="Times New Roman" w:cs="Times New Roman"/>
          <w:i/>
          <w:iCs/>
        </w:rPr>
        <w:t>The Meaning of the Holy Qur’ān</w:t>
      </w:r>
      <w:r>
        <w:rPr>
          <w:rFonts w:eastAsia="Times New Roman" w:cs="Times New Roman"/>
          <w:i/>
          <w:iCs/>
        </w:rPr>
        <w:t xml:space="preserve">, </w:t>
      </w:r>
      <w:r w:rsidRPr="00757287">
        <w:rPr>
          <w:rFonts w:eastAsia="Times New Roman" w:cs="Times New Roman"/>
        </w:rPr>
        <w:t>25:</w:t>
      </w:r>
      <w:r>
        <w:rPr>
          <w:rFonts w:eastAsia="Times New Roman" w:cs="Times New Roman"/>
        </w:rPr>
        <w:t>2</w:t>
      </w:r>
      <w:r w:rsidRPr="00757287">
        <w:rPr>
          <w:rFonts w:eastAsia="Times New Roman" w:cs="Times New Roman"/>
        </w:rPr>
        <w:t>5</w:t>
      </w:r>
    </w:p>
  </w:footnote>
  <w:footnote w:id="176">
    <w:p w:rsidR="008D6268" w:rsidRPr="00C25C0A" w:rsidRDefault="008D6268" w:rsidP="00804318">
      <w:pPr>
        <w:pStyle w:val="FootnoteText"/>
        <w:rPr>
          <w:sz w:val="18"/>
          <w:szCs w:val="18"/>
        </w:rPr>
      </w:pPr>
      <w:r>
        <w:rPr>
          <w:rStyle w:val="FootnoteReference"/>
        </w:rPr>
        <w:footnoteRef/>
      </w:r>
      <w:r>
        <w:t xml:space="preserve"> al-Rāzī, </w:t>
      </w:r>
      <w:r w:rsidRPr="00E23F58">
        <w:rPr>
          <w:i/>
          <w:iCs/>
        </w:rPr>
        <w:t>The Great Commentary</w:t>
      </w:r>
      <w:r>
        <w:rPr>
          <w:i/>
          <w:iCs/>
        </w:rPr>
        <w:t>,</w:t>
      </w:r>
      <w:r>
        <w:t xml:space="preserve"> XXXI:72-73:</w:t>
      </w:r>
    </w:p>
    <w:p w:rsidR="008D6268" w:rsidRDefault="008D6268" w:rsidP="00804318">
      <w:pPr>
        <w:pStyle w:val="ListParagraph"/>
        <w:bidi/>
        <w:spacing w:line="240" w:lineRule="auto"/>
        <w:ind w:left="0"/>
      </w:pPr>
      <w:r w:rsidRPr="00C25C0A">
        <w:rPr>
          <w:sz w:val="20"/>
          <w:szCs w:val="20"/>
        </w:rPr>
        <w:t>"</w:t>
      </w:r>
      <w:r w:rsidRPr="00C25C0A">
        <w:rPr>
          <w:sz w:val="20"/>
          <w:szCs w:val="20"/>
          <w:rtl/>
        </w:rPr>
        <w:t>وَاعْلَمْ أَنَّ الْمُرَادَ مِنْ هَذِهِ الْآيَاتِ بَيَانُ تَخْرِيبِ الْعَالَمِ وَفَنَاءِ الدُّنْيَا، وَانْقِطَاعِ التَّكَالِيفِ، وَالسَّمَاءُ كَالسَّقْفِ، وَالْأَرْضُ كَالْبِنَاءِ، وَمَنْ أَرَادَ تَخْرِيبَ دَارٍ، فَإِنَّهُ يَبْدَأُ أَوَّلًا بِتَخْرِيبِ السَّقْفِ، وَذَلِكَ هُوَ قَوْلُهُ: إِذَا السَّماءُ انْفَطَرَتْ ثُمَّ يَلْزَمُ مِنْ تَخْرِيبِ السَّمَاءِ انْتِثَارُ الْكَوَاكِبِ، وَذَلِكَ هُوَ قَوْلُهُ</w:t>
      </w:r>
      <w:r w:rsidRPr="00C25C0A">
        <w:rPr>
          <w:sz w:val="20"/>
          <w:szCs w:val="20"/>
        </w:rPr>
        <w:t xml:space="preserve">: </w:t>
      </w:r>
      <w:r w:rsidRPr="00C25C0A">
        <w:rPr>
          <w:sz w:val="20"/>
          <w:szCs w:val="20"/>
          <w:rtl/>
        </w:rPr>
        <w:t>وَإِذَا الْكَواكِبُ انْتَثَرَتْ ثُمَّ إِنَّهُ تَعَالَى بَعْدَ تَخْرِيبِ السَّمَاءِ وَالْكَوَاكِبِ يُخَرِّبُ كُلَّ مَا عَلَى وَجْهِ الْأَرْضِ</w:t>
      </w:r>
      <w:r w:rsidRPr="00C25C0A">
        <w:rPr>
          <w:sz w:val="20"/>
          <w:szCs w:val="20"/>
        </w:rPr>
        <w:t>".</w:t>
      </w:r>
    </w:p>
  </w:footnote>
  <w:footnote w:id="177">
    <w:p w:rsidR="008D6268" w:rsidRDefault="008D6268" w:rsidP="00804318">
      <w:pPr>
        <w:pStyle w:val="FootnoteText"/>
      </w:pPr>
      <w:r>
        <w:rPr>
          <w:rStyle w:val="FootnoteReference"/>
        </w:rPr>
        <w:footnoteRef/>
      </w:r>
      <w:r>
        <w:t xml:space="preserve"> Jürgen Moltmann, 'Cosmos and Theosis: Eschatological Perspectives', in </w:t>
      </w:r>
      <w:r w:rsidRPr="004A4A31">
        <w:rPr>
          <w:i/>
        </w:rPr>
        <w:t>The Far Future Universe: Eschatology from a Cosmic Perspective</w:t>
      </w:r>
      <w:r>
        <w:t>, ed. by George Francis Rayner Ellis (Philadelphia: Templeton Foundation Press, 2002), p.256</w:t>
      </w:r>
    </w:p>
  </w:footnote>
  <w:footnote w:id="178">
    <w:p w:rsidR="008D6268" w:rsidRDefault="008D6268" w:rsidP="00804318">
      <w:pPr>
        <w:pStyle w:val="FootnoteText"/>
      </w:pPr>
      <w:r>
        <w:rPr>
          <w:rStyle w:val="FootnoteReference"/>
        </w:rPr>
        <w:footnoteRef/>
      </w:r>
      <w:r>
        <w:t xml:space="preserve"> The Qur'an, 41:37</w:t>
      </w:r>
    </w:p>
  </w:footnote>
  <w:footnote w:id="179">
    <w:p w:rsidR="008D6268" w:rsidRPr="00347E83" w:rsidRDefault="008D6268" w:rsidP="00804318">
      <w:pPr>
        <w:pStyle w:val="FootnoteText"/>
        <w:rPr>
          <w:lang w:bidi="ar-AE"/>
        </w:rPr>
      </w:pPr>
      <w:r>
        <w:rPr>
          <w:rStyle w:val="FootnoteReference"/>
        </w:rPr>
        <w:footnoteRef/>
      </w:r>
      <w:r>
        <w:t xml:space="preserve"> </w:t>
      </w:r>
      <w:r w:rsidRPr="00160185">
        <w:rPr>
          <w:iCs/>
        </w:rPr>
        <w:t>ibn Manẓūr</w:t>
      </w:r>
      <w:r>
        <w:rPr>
          <w:iCs/>
        </w:rPr>
        <w:t xml:space="preserve">, </w:t>
      </w:r>
      <w:r>
        <w:rPr>
          <w:i/>
          <w:iCs/>
        </w:rPr>
        <w:t>The Arabic Tongue,</w:t>
      </w:r>
      <w:r>
        <w:rPr>
          <w:rFonts w:hint="cs"/>
          <w:i/>
          <w:iCs/>
          <w:rtl/>
        </w:rPr>
        <w:t xml:space="preserve"> </w:t>
      </w:r>
      <w:r>
        <w:t xml:space="preserve"> III:204-206; </w:t>
      </w:r>
      <w:r w:rsidRPr="007009ED">
        <w:rPr>
          <w:lang w:bidi="ar-AE"/>
        </w:rPr>
        <w:t>ibn</w:t>
      </w:r>
      <w:r>
        <w:rPr>
          <w:lang w:bidi="ar-AE"/>
        </w:rPr>
        <w:t xml:space="preserve"> </w:t>
      </w:r>
      <w:r w:rsidRPr="007009ED">
        <w:rPr>
          <w:lang w:bidi="ar-AE"/>
        </w:rPr>
        <w:t>Sīdah</w:t>
      </w:r>
      <w:r>
        <w:rPr>
          <w:lang w:bidi="ar-AE"/>
        </w:rPr>
        <w:t xml:space="preserve">, </w:t>
      </w:r>
      <w:r w:rsidRPr="007009ED">
        <w:rPr>
          <w:i/>
          <w:iCs/>
          <w:lang w:bidi="ar-AE"/>
        </w:rPr>
        <w:t>The Precise Book on Arabic Philology</w:t>
      </w:r>
      <w:r>
        <w:rPr>
          <w:i/>
          <w:iCs/>
          <w:lang w:bidi="ar-AE"/>
        </w:rPr>
        <w:t xml:space="preserve">, </w:t>
      </w:r>
      <w:r>
        <w:rPr>
          <w:lang w:bidi="ar-AE"/>
        </w:rPr>
        <w:t xml:space="preserve">VII:261-262; </w:t>
      </w:r>
      <w:r w:rsidRPr="007009ED">
        <w:rPr>
          <w:lang w:bidi="ar-AE"/>
        </w:rPr>
        <w:t>al-Azharī</w:t>
      </w:r>
      <w:r>
        <w:rPr>
          <w:lang w:bidi="ar-AE"/>
        </w:rPr>
        <w:t xml:space="preserve">, </w:t>
      </w:r>
      <w:r w:rsidRPr="007009ED">
        <w:rPr>
          <w:i/>
          <w:iCs/>
          <w:lang w:bidi="ar-AE"/>
        </w:rPr>
        <w:t>The Refinement of the Language</w:t>
      </w:r>
      <w:r>
        <w:rPr>
          <w:i/>
          <w:iCs/>
          <w:lang w:bidi="ar-AE"/>
        </w:rPr>
        <w:t xml:space="preserve">, </w:t>
      </w:r>
      <w:r>
        <w:rPr>
          <w:lang w:bidi="ar-AE"/>
        </w:rPr>
        <w:t>X:300-302</w:t>
      </w:r>
    </w:p>
  </w:footnote>
  <w:footnote w:id="180">
    <w:p w:rsidR="008D6268" w:rsidRPr="00A53275" w:rsidRDefault="008D6268" w:rsidP="00804318">
      <w:pPr>
        <w:pStyle w:val="FootnoteText"/>
      </w:pPr>
      <w:r>
        <w:rPr>
          <w:rStyle w:val="FootnoteReference"/>
        </w:rPr>
        <w:footnoteRef/>
      </w:r>
      <w:r>
        <w:t xml:space="preserve"> al-Rāzī, </w:t>
      </w:r>
      <w:r w:rsidRPr="00E23F58">
        <w:rPr>
          <w:i/>
          <w:iCs/>
        </w:rPr>
        <w:t>The Great Commentary</w:t>
      </w:r>
      <w:r>
        <w:rPr>
          <w:i/>
          <w:iCs/>
        </w:rPr>
        <w:t>,</w:t>
      </w:r>
      <w:r>
        <w:t xml:space="preserve"> XXVII:566</w:t>
      </w:r>
    </w:p>
  </w:footnote>
  <w:footnote w:id="181">
    <w:p w:rsidR="008D6268" w:rsidRDefault="008D6268" w:rsidP="00804318">
      <w:pPr>
        <w:pStyle w:val="FootnoteText"/>
      </w:pPr>
      <w:r>
        <w:rPr>
          <w:rStyle w:val="FootnoteReference"/>
        </w:rPr>
        <w:footnoteRef/>
      </w:r>
      <w:r>
        <w:t xml:space="preserve"> </w:t>
      </w:r>
      <w:r w:rsidRPr="00121D52">
        <w:t xml:space="preserve">ibn Kathīr, </w:t>
      </w:r>
      <w:r w:rsidRPr="00121D52">
        <w:rPr>
          <w:bCs/>
          <w:i/>
        </w:rPr>
        <w:t>The Commentary of ibn Kathīr</w:t>
      </w:r>
      <w:r>
        <w:t>, VII:166:</w:t>
      </w:r>
    </w:p>
    <w:p w:rsidR="008D6268" w:rsidRPr="009A5691" w:rsidRDefault="008D6268" w:rsidP="00804318">
      <w:pPr>
        <w:bidi/>
        <w:jc w:val="lowKashida"/>
        <w:rPr>
          <w:sz w:val="20"/>
          <w:szCs w:val="20"/>
        </w:rPr>
      </w:pPr>
      <w:r>
        <w:rPr>
          <w:sz w:val="20"/>
          <w:szCs w:val="20"/>
        </w:rPr>
        <w:t>"</w:t>
      </w:r>
      <w:r w:rsidRPr="009A5691">
        <w:rPr>
          <w:sz w:val="20"/>
          <w:szCs w:val="20"/>
          <w:rtl/>
        </w:rPr>
        <w:t>وَمِنْ آياتِهِ اللَّيْلُ وَالنَّهارُ وَالشَّمْسُ وَالْقَمَرُ أَيْ أَنَّهُ خَلَقَ اللَّيْلَ بِظَلَامِهِ وَالنَّهَارَ بضيائه وهما متعاقبان لا يفترقان، وَالشَّمْسَ وَنُورَهَا وَإِشْرَاقَهَا وَالْقَمَرَ وَضِيَاءَهُ وَتَقْدِيرَ مَنَازِلِهِ فِي فَلَكِهِ وَاخْتِلَافَ سَيْرِهِ فِي سَمَائِهِ لِيُعْرَفَ بِاخْتِلَافِ سَيْرِهِ وَسَيْرِ الشَّمْسِ مَقَادِيرُ اللَّيْلِ وَالنَّهَارِ وَالْجُمَعُ وَالشُّهُورُ وَالْأَعْوَامُ، وَيَتَبَيَّنُ بِذَلِكَ حُلُولُ الْحُقُوقِ وَأَوْقَاتُ الْعِبَادَاتِ وَالْمُعَامَلَاتِ. ثُمَّ لَمَّا كَانَ الشَّمْسُ وَالْقَمَرُ أَحْسَنَ الْأَجْرَامِ الْمُشَاهَدَةِ فِي الْعَالَمِ الْعُلْوِيِّ وَالسُّفْلِيِّ نَبَّهَ تَعَالَى عَلَى أَنَّهُمَا مَخْلُوقَانِ عَبْدَانِ مِنْ عَبِيدِه</w:t>
      </w:r>
      <w:r>
        <w:rPr>
          <w:sz w:val="20"/>
          <w:szCs w:val="20"/>
          <w:rtl/>
        </w:rPr>
        <w:t>ِ تَحْتَ قَهْرِهِ وَتَسْخِيرِهِ</w:t>
      </w:r>
      <w:r>
        <w:rPr>
          <w:sz w:val="20"/>
          <w:szCs w:val="20"/>
        </w:rPr>
        <w:t>"</w:t>
      </w:r>
    </w:p>
  </w:footnote>
  <w:footnote w:id="182">
    <w:p w:rsidR="008D6268" w:rsidRPr="002A4068" w:rsidRDefault="008D6268" w:rsidP="00804318">
      <w:pPr>
        <w:pStyle w:val="FootnoteText"/>
      </w:pPr>
      <w:r>
        <w:rPr>
          <w:rStyle w:val="FootnoteReference"/>
        </w:rPr>
        <w:footnoteRef/>
      </w:r>
      <w:r>
        <w:t xml:space="preserve"> al-Ghazālī, </w:t>
      </w:r>
      <w:r>
        <w:rPr>
          <w:i/>
          <w:iCs/>
        </w:rPr>
        <w:t xml:space="preserve">Revival of the Religious Sciences, </w:t>
      </w:r>
      <w:r>
        <w:t>I:43-44</w:t>
      </w:r>
    </w:p>
  </w:footnote>
  <w:footnote w:id="183">
    <w:p w:rsidR="008D6268" w:rsidRDefault="008D6268" w:rsidP="00804318">
      <w:pPr>
        <w:pStyle w:val="FootnoteText"/>
      </w:pPr>
      <w:r>
        <w:rPr>
          <w:rStyle w:val="FootnoteReference"/>
        </w:rPr>
        <w:footnoteRef/>
      </w:r>
      <w:r>
        <w:t xml:space="preserve"> al-Ghazālī, </w:t>
      </w:r>
      <w:r>
        <w:rPr>
          <w:i/>
          <w:iCs/>
        </w:rPr>
        <w:t xml:space="preserve">Revival of the Religious Sciences, </w:t>
      </w:r>
      <w:r>
        <w:t>I:44:</w:t>
      </w:r>
    </w:p>
    <w:p w:rsidR="008D6268" w:rsidRPr="0015220F" w:rsidRDefault="008D6268" w:rsidP="00804318">
      <w:pPr>
        <w:pStyle w:val="FootnoteText"/>
        <w:bidi/>
        <w:rPr>
          <w:lang w:bidi="ar-AE"/>
        </w:rPr>
      </w:pPr>
      <w:r>
        <w:rPr>
          <w:rFonts w:hint="cs"/>
          <w:rtl/>
          <w:lang w:bidi="ar-AE"/>
        </w:rPr>
        <w:t>"</w:t>
      </w:r>
      <w:r>
        <w:rPr>
          <w:rtl/>
        </w:rPr>
        <w:t>أنه مضر بأكثر الخلق فإنه إذا ألقي إليهم أن هذه الآثار تحدث عقيب سير الكواكب وقع في نفوسهم أن الكواكب هي المؤثرة وأنها الآلهة المدبرة لأنها جواهر شريفة سماوية ويعظم وقعها في القلوب فيبقى القلب ملتفتاً إليها ويرى الخير والشر محذوراً أو مرجوا من جهتها</w:t>
      </w:r>
      <w:r>
        <w:rPr>
          <w:rFonts w:hint="cs"/>
          <w:rtl/>
        </w:rPr>
        <w:t xml:space="preserve"> </w:t>
      </w:r>
      <w:r>
        <w:rPr>
          <w:rtl/>
        </w:rPr>
        <w:t>وينمحي ذكر الله سبحانه عن القلب فإنه الضعيف يقصر نظره على الوسائط والعالم الراسخ هو الذي يطلع على أن الشمس والقمر والنجوم مسخرات بأمره سبحانه وتعالى</w:t>
      </w:r>
      <w:r>
        <w:rPr>
          <w:rFonts w:hint="cs"/>
          <w:rtl/>
        </w:rPr>
        <w:t>"</w:t>
      </w:r>
    </w:p>
  </w:footnote>
  <w:footnote w:id="184">
    <w:p w:rsidR="008D6268" w:rsidRDefault="008D6268" w:rsidP="00804318">
      <w:pPr>
        <w:pStyle w:val="FootnoteText"/>
        <w:rPr>
          <w:rtl/>
          <w:lang w:bidi="ar-AE"/>
        </w:rPr>
      </w:pPr>
      <w:r>
        <w:rPr>
          <w:rStyle w:val="FootnoteReference"/>
        </w:rPr>
        <w:footnoteRef/>
      </w:r>
      <w:r>
        <w:t xml:space="preserve"> al-Rāzī, </w:t>
      </w:r>
      <w:r w:rsidRPr="00E23F58">
        <w:rPr>
          <w:i/>
          <w:iCs/>
        </w:rPr>
        <w:t>The Great Commentary</w:t>
      </w:r>
      <w:r>
        <w:rPr>
          <w:i/>
          <w:iCs/>
        </w:rPr>
        <w:t>,</w:t>
      </w:r>
      <w:r>
        <w:t xml:space="preserve"> XXXI:65; </w:t>
      </w:r>
      <w:r w:rsidRPr="00EB1347">
        <w:t>al-Q</w:t>
      </w:r>
      <w:r>
        <w:t>ur</w:t>
      </w:r>
      <w:r w:rsidRPr="00EB1347">
        <w:t>ṭ</w:t>
      </w:r>
      <w:r>
        <w:t>u</w:t>
      </w:r>
      <w:r w:rsidRPr="00EB1347">
        <w:t>bī,</w:t>
      </w:r>
      <w:r>
        <w:t xml:space="preserve"> </w:t>
      </w:r>
      <w:r w:rsidRPr="00EB1347">
        <w:rPr>
          <w:i/>
          <w:iCs/>
        </w:rPr>
        <w:t>The Comprehensive Book on the Provisions of the Qur’ān</w:t>
      </w:r>
      <w:r>
        <w:t xml:space="preserve">, XIX:227-230; 250;  </w:t>
      </w:r>
      <w:r w:rsidRPr="00121D52">
        <w:t xml:space="preserve">ibn Kathīr, </w:t>
      </w:r>
      <w:r w:rsidRPr="00121D52">
        <w:rPr>
          <w:bCs/>
          <w:i/>
        </w:rPr>
        <w:t>The Commentary of ibn Kathīr</w:t>
      </w:r>
      <w:r>
        <w:t>, VIII:328; 330-333</w:t>
      </w:r>
    </w:p>
  </w:footnote>
  <w:footnote w:id="185">
    <w:p w:rsidR="008D6268" w:rsidRDefault="008D6268" w:rsidP="00804318">
      <w:pPr>
        <w:pStyle w:val="FootnoteText"/>
      </w:pPr>
      <w:r>
        <w:rPr>
          <w:rStyle w:val="FootnoteReference"/>
        </w:rPr>
        <w:footnoteRef/>
      </w:r>
      <w:r>
        <w:t xml:space="preserve"> R. H. Charles, </w:t>
      </w:r>
      <w:r w:rsidRPr="007B28D9">
        <w:rPr>
          <w:i/>
        </w:rPr>
        <w:t>The Book of Jubilees Or the Little Genesis</w:t>
      </w:r>
      <w:r>
        <w:t xml:space="preserve"> (London: Adam and Charles Black, 1902), 2:2; R. H. Charles, </w:t>
      </w:r>
      <w:r w:rsidRPr="00AA08E3">
        <w:rPr>
          <w:i/>
        </w:rPr>
        <w:t>The Book of Enoch</w:t>
      </w:r>
      <w:r>
        <w:t xml:space="preserve"> (London: S.P.C.K, 1952), [hereafter </w:t>
      </w:r>
      <w:r w:rsidRPr="00E23F58">
        <w:rPr>
          <w:i/>
          <w:iCs/>
        </w:rPr>
        <w:t>I</w:t>
      </w:r>
      <w:r>
        <w:t xml:space="preserve"> </w:t>
      </w:r>
      <w:r w:rsidRPr="00AA08E3">
        <w:rPr>
          <w:i/>
          <w:iCs/>
        </w:rPr>
        <w:t>Enoch</w:t>
      </w:r>
      <w:r>
        <w:t xml:space="preserve">]: </w:t>
      </w:r>
      <w:r w:rsidRPr="00D433AD">
        <w:rPr>
          <w:i/>
          <w:iCs/>
        </w:rPr>
        <w:t xml:space="preserve">I </w:t>
      </w:r>
      <w:r w:rsidRPr="00E43233">
        <w:rPr>
          <w:i/>
          <w:iCs/>
        </w:rPr>
        <w:t>Enoch</w:t>
      </w:r>
      <w:r>
        <w:t xml:space="preserve"> 82:8</w:t>
      </w:r>
    </w:p>
  </w:footnote>
  <w:footnote w:id="186">
    <w:p w:rsidR="008D6268" w:rsidRDefault="008D6268" w:rsidP="00804318">
      <w:pPr>
        <w:pStyle w:val="FootnoteText"/>
      </w:pPr>
      <w:r>
        <w:rPr>
          <w:rStyle w:val="FootnoteReference"/>
        </w:rPr>
        <w:footnoteRef/>
      </w:r>
      <w:r>
        <w:t xml:space="preserve"> </w:t>
      </w:r>
      <w:r w:rsidRPr="004675F6">
        <w:rPr>
          <w:i/>
          <w:iCs/>
        </w:rPr>
        <w:t>I Enoch</w:t>
      </w:r>
      <w:r>
        <w:t xml:space="preserve"> 21:3-6</w:t>
      </w:r>
    </w:p>
  </w:footnote>
  <w:footnote w:id="187">
    <w:p w:rsidR="008D6268" w:rsidRDefault="008D6268" w:rsidP="00804318">
      <w:pPr>
        <w:pStyle w:val="FootnoteText"/>
      </w:pPr>
      <w:r>
        <w:rPr>
          <w:rStyle w:val="FootnoteReference"/>
        </w:rPr>
        <w:footnoteRef/>
      </w:r>
      <w:r>
        <w:t xml:space="preserve"> Cohn, Cosmos, </w:t>
      </w:r>
      <w:r w:rsidRPr="005E152F">
        <w:rPr>
          <w:i/>
          <w:iCs/>
        </w:rPr>
        <w:t>Chaos and the World to Come</w:t>
      </w:r>
      <w:r>
        <w:t>, p.178</w:t>
      </w:r>
    </w:p>
  </w:footnote>
  <w:footnote w:id="188">
    <w:p w:rsidR="008D6268" w:rsidRDefault="008D6268" w:rsidP="00804318">
      <w:pPr>
        <w:pStyle w:val="FootnoteText"/>
      </w:pPr>
      <w:r>
        <w:rPr>
          <w:rStyle w:val="FootnoteReference"/>
        </w:rPr>
        <w:footnoteRef/>
      </w:r>
      <w:r>
        <w:t xml:space="preserve"> </w:t>
      </w:r>
      <w:r>
        <w:rPr>
          <w:rFonts w:eastAsia="Times New Roman" w:cs="Times New Roman"/>
          <w:i/>
          <w:iCs/>
        </w:rPr>
        <w:t>The Meaning of the</w:t>
      </w:r>
      <w:r w:rsidRPr="00C113F4">
        <w:rPr>
          <w:rFonts w:eastAsia="Times New Roman" w:cs="Times New Roman"/>
          <w:i/>
          <w:iCs/>
        </w:rPr>
        <w:t xml:space="preserve"> Qur'ān</w:t>
      </w:r>
      <w:r>
        <w:rPr>
          <w:rFonts w:eastAsia="Times New Roman" w:cs="Times New Roman"/>
        </w:rPr>
        <w:t>, 84:16-19</w:t>
      </w:r>
    </w:p>
  </w:footnote>
  <w:footnote w:id="189">
    <w:p w:rsidR="008D6268" w:rsidRDefault="008D6268" w:rsidP="00804318">
      <w:pPr>
        <w:pStyle w:val="FootnoteText"/>
      </w:pPr>
      <w:r>
        <w:rPr>
          <w:rStyle w:val="FootnoteReference"/>
        </w:rPr>
        <w:footnoteRef/>
      </w:r>
      <w:r>
        <w:t xml:space="preserve"> al-Rāzī, </w:t>
      </w:r>
      <w:r w:rsidRPr="00E23F58">
        <w:rPr>
          <w:i/>
          <w:iCs/>
        </w:rPr>
        <w:t>The Great Commentary</w:t>
      </w:r>
      <w:r>
        <w:rPr>
          <w:i/>
          <w:iCs/>
        </w:rPr>
        <w:t>,</w:t>
      </w:r>
      <w:r>
        <w:t xml:space="preserve"> XXXI:103</w:t>
      </w:r>
    </w:p>
  </w:footnote>
  <w:footnote w:id="190">
    <w:p w:rsidR="008D6268" w:rsidRDefault="008D6268" w:rsidP="00804318">
      <w:pPr>
        <w:pStyle w:val="FootnoteText"/>
      </w:pPr>
      <w:r>
        <w:rPr>
          <w:rStyle w:val="FootnoteReference"/>
        </w:rPr>
        <w:footnoteRef/>
      </w:r>
      <w:r>
        <w:t xml:space="preserve"> al-Rāzī, </w:t>
      </w:r>
      <w:r w:rsidRPr="00E23F58">
        <w:rPr>
          <w:i/>
          <w:iCs/>
        </w:rPr>
        <w:t>The Great Commentary</w:t>
      </w:r>
      <w:r>
        <w:rPr>
          <w:i/>
          <w:iCs/>
        </w:rPr>
        <w:t>,</w:t>
      </w:r>
      <w:r>
        <w:t xml:space="preserve"> XXXI:103</w:t>
      </w:r>
    </w:p>
  </w:footnote>
  <w:footnote w:id="191">
    <w:p w:rsidR="008D6268" w:rsidRDefault="008D6268" w:rsidP="00804318">
      <w:pPr>
        <w:pStyle w:val="FootnoteText"/>
      </w:pPr>
      <w:r>
        <w:rPr>
          <w:rStyle w:val="FootnoteReference"/>
        </w:rPr>
        <w:footnoteRef/>
      </w:r>
      <w:r>
        <w:t xml:space="preserve"> al-Rāzī, </w:t>
      </w:r>
      <w:r w:rsidRPr="00E23F58">
        <w:rPr>
          <w:i/>
          <w:iCs/>
        </w:rPr>
        <w:t>The Great Commentary</w:t>
      </w:r>
      <w:r>
        <w:rPr>
          <w:i/>
          <w:iCs/>
        </w:rPr>
        <w:t>,</w:t>
      </w:r>
      <w:r>
        <w:t xml:space="preserve"> XXXI:103</w:t>
      </w:r>
    </w:p>
  </w:footnote>
  <w:footnote w:id="192">
    <w:p w:rsidR="008D6268" w:rsidRDefault="008D6268" w:rsidP="00804318">
      <w:pPr>
        <w:pStyle w:val="FootnoteText"/>
      </w:pPr>
      <w:r>
        <w:rPr>
          <w:rStyle w:val="FootnoteReference"/>
        </w:rPr>
        <w:footnoteRef/>
      </w:r>
      <w:r>
        <w:t xml:space="preserve"> Nasr Abu Zayd, 'Towards Understanding the Qur'ān's Worldview', in </w:t>
      </w:r>
      <w:r w:rsidRPr="00B231E6">
        <w:rPr>
          <w:i/>
        </w:rPr>
        <w:t>New Perspectives on the Qur'</w:t>
      </w:r>
      <w:r>
        <w:rPr>
          <w:i/>
        </w:rPr>
        <w:t>ā</w:t>
      </w:r>
      <w:r w:rsidRPr="00B231E6">
        <w:rPr>
          <w:i/>
        </w:rPr>
        <w:t>n: The Qur'</w:t>
      </w:r>
      <w:r>
        <w:rPr>
          <w:i/>
        </w:rPr>
        <w:t>ā</w:t>
      </w:r>
      <w:r w:rsidRPr="00B231E6">
        <w:rPr>
          <w:i/>
        </w:rPr>
        <w:t>n in its Historical Context 2</w:t>
      </w:r>
      <w:r>
        <w:t>, ed. by Gabreil Said Reynolds (Oxon: Routledge, 2011), [hereafter Abu Zayd, 'Towards Understanding the Qur'ān's Worldview']: p.56</w:t>
      </w:r>
    </w:p>
  </w:footnote>
  <w:footnote w:id="193">
    <w:p w:rsidR="008D6268" w:rsidRDefault="008D6268" w:rsidP="00804318">
      <w:pPr>
        <w:pStyle w:val="FootnoteText"/>
      </w:pPr>
      <w:r>
        <w:rPr>
          <w:rStyle w:val="FootnoteReference"/>
        </w:rPr>
        <w:footnoteRef/>
      </w:r>
      <w:r>
        <w:t xml:space="preserve"> Abu Zayd, 'Towards Understanding the Qur'ān's Worldview', p.56</w:t>
      </w:r>
    </w:p>
  </w:footnote>
  <w:footnote w:id="194">
    <w:p w:rsidR="008D6268" w:rsidRDefault="008D6268" w:rsidP="00804318">
      <w:pPr>
        <w:pStyle w:val="FootnoteText"/>
      </w:pPr>
      <w:r>
        <w:rPr>
          <w:rStyle w:val="FootnoteReference"/>
        </w:rPr>
        <w:footnoteRef/>
      </w:r>
      <w:r>
        <w:t xml:space="preserve"> Abu Zayd, 'Towards Understanding the Qur'ān's Worldview', p.56; al-Rāzī, </w:t>
      </w:r>
      <w:r w:rsidRPr="00E23F58">
        <w:rPr>
          <w:i/>
          <w:iCs/>
        </w:rPr>
        <w:t>The Great Commentary</w:t>
      </w:r>
      <w:r>
        <w:rPr>
          <w:i/>
          <w:iCs/>
        </w:rPr>
        <w:t>,</w:t>
      </w:r>
      <w:r>
        <w:t xml:space="preserve"> XXXI:103:</w:t>
      </w:r>
    </w:p>
    <w:p w:rsidR="008D6268" w:rsidRDefault="008D6268" w:rsidP="00804318">
      <w:pPr>
        <w:pStyle w:val="FootnoteText"/>
        <w:bidi/>
      </w:pPr>
      <w:r>
        <w:rPr>
          <w:rFonts w:hint="cs"/>
          <w:rtl/>
        </w:rPr>
        <w:t>"</w:t>
      </w:r>
      <w:r>
        <w:rPr>
          <w:rtl/>
        </w:rPr>
        <w:t>لِأَنَّ الْقَادِرَ عَلَى تَغْيِيرِ الْأَجْرَامِ الْعُلْوِيَّةِ وَالسُّفْلِيَّةِ مِنْ حَالٍ إِلَى حَالٍ وَصِفَةٍ إِلَى صِفَةٍ بِحَسَبِ الْمَصَالِحِ، لَا بُدَّ وَأَنْ يَكُونَ فِي نَفْسِهِ قَادِرًا عَلَى جَمِيعِ الْمُمْكِنَاتِ عَالِمًا بِجَمِيعِ الْمَعْلُومَاتِ. وَمَنْ كَانَ كَذَلِكَ كَانَ لَا مَحَالَةَ قَادِرًا عَلَى الْبَعْثِ وَالْقِيَامَةِ</w:t>
      </w:r>
      <w:r>
        <w:rPr>
          <w:rFonts w:hint="cs"/>
          <w:rtl/>
        </w:rPr>
        <w:t>"</w:t>
      </w:r>
    </w:p>
  </w:footnote>
  <w:footnote w:id="195">
    <w:p w:rsidR="008D6268" w:rsidRDefault="008D6268" w:rsidP="00804318">
      <w:pPr>
        <w:pStyle w:val="FootnoteText"/>
      </w:pPr>
      <w:r>
        <w:rPr>
          <w:rStyle w:val="FootnoteReference"/>
        </w:rPr>
        <w:footnoteRef/>
      </w:r>
      <w:r>
        <w:t xml:space="preserve"> </w:t>
      </w:r>
      <w:r w:rsidRPr="00121D52">
        <w:t xml:space="preserve">ibn Kathīr, </w:t>
      </w:r>
      <w:r w:rsidRPr="00121D52">
        <w:rPr>
          <w:bCs/>
          <w:i/>
        </w:rPr>
        <w:t>The Commentary of ibn Kathīr</w:t>
      </w:r>
      <w:r>
        <w:t>, VIII:354-356</w:t>
      </w:r>
    </w:p>
  </w:footnote>
  <w:footnote w:id="196">
    <w:p w:rsidR="008D6268" w:rsidRDefault="008D6268" w:rsidP="00804318">
      <w:pPr>
        <w:pStyle w:val="FootnoteText"/>
      </w:pPr>
      <w:r>
        <w:rPr>
          <w:rStyle w:val="FootnoteReference"/>
        </w:rPr>
        <w:footnoteRef/>
      </w:r>
      <w:r>
        <w:t xml:space="preserve"> Chittick, 'Muslim Eschatology', pp.137-138</w:t>
      </w:r>
    </w:p>
  </w:footnote>
  <w:footnote w:id="197">
    <w:p w:rsidR="008D6268" w:rsidRDefault="008D6268" w:rsidP="00804318">
      <w:pPr>
        <w:pStyle w:val="FootnoteText"/>
        <w:rPr>
          <w:lang w:bidi="ar-AE"/>
        </w:rPr>
      </w:pPr>
      <w:r>
        <w:rPr>
          <w:rStyle w:val="FootnoteReference"/>
        </w:rPr>
        <w:footnoteRef/>
      </w:r>
      <w:r>
        <w:t xml:space="preserve"> Filiu, </w:t>
      </w:r>
      <w:r w:rsidRPr="00E23F58">
        <w:rPr>
          <w:i/>
          <w:iCs/>
        </w:rPr>
        <w:t>Apocalypse in Islam</w:t>
      </w:r>
      <w:r>
        <w:t xml:space="preserve">, p.37; McAuliffe, 'The Tasks and Traditions of Interpretation', p.196; </w:t>
      </w:r>
      <w:r w:rsidRPr="00121D52">
        <w:t xml:space="preserve">ibn Kathīr, </w:t>
      </w:r>
      <w:r w:rsidRPr="00121D52">
        <w:rPr>
          <w:bCs/>
          <w:i/>
        </w:rPr>
        <w:t>The Commentary of ibn Kathīr</w:t>
      </w:r>
      <w:r>
        <w:t xml:space="preserve">, VIII:354; al-Bukhārī, </w:t>
      </w:r>
      <w:r w:rsidRPr="005162BF">
        <w:rPr>
          <w:i/>
          <w:iCs/>
        </w:rPr>
        <w:t>Saḥīh al-Bukhārī</w:t>
      </w:r>
      <w:r>
        <w:t xml:space="preserve">, </w:t>
      </w:r>
      <w:r>
        <w:rPr>
          <w:lang w:bidi="ar-AE"/>
        </w:rPr>
        <w:t xml:space="preserve">book 88 on </w:t>
      </w:r>
      <w:r>
        <w:rPr>
          <w:i/>
          <w:iCs/>
          <w:lang w:bidi="ar-AE"/>
        </w:rPr>
        <w:t>Afflictions and the End of the World</w:t>
      </w:r>
      <w:r>
        <w:rPr>
          <w:lang w:bidi="ar-AE"/>
        </w:rPr>
        <w:t>, ḥadīth no. 188:</w:t>
      </w:r>
    </w:p>
    <w:p w:rsidR="008D6268" w:rsidRDefault="008D6268" w:rsidP="00804318">
      <w:pPr>
        <w:pStyle w:val="FootnoteText"/>
        <w:jc w:val="right"/>
      </w:pPr>
      <w:r>
        <w:rPr>
          <w:lang w:bidi="ar-AE"/>
        </w:rPr>
        <w:t>"</w:t>
      </w:r>
      <w:r>
        <w:rPr>
          <w:rStyle w:val="arabictextdetails"/>
          <w:rtl/>
        </w:rPr>
        <w:t>اصْبِرُوا، فَإِنَّهُ لاَ يَأْتِي عَلَيْكُمْ زَمَانٌ إِلاَّ الَّذِي بَعْدَهُ شَرٌّ مِنْهُ، حَتَّى تَلْقَوْا رَبَّكُمْ‏</w:t>
      </w:r>
      <w:r>
        <w:rPr>
          <w:rStyle w:val="arabictextdetails"/>
        </w:rPr>
        <w:t>"</w:t>
      </w:r>
      <w:r>
        <w:rPr>
          <w:rStyle w:val="arabicsanad"/>
          <w:rtl/>
        </w:rPr>
        <w:t>‏‏</w:t>
      </w:r>
    </w:p>
  </w:footnote>
  <w:footnote w:id="198">
    <w:p w:rsidR="008D6268" w:rsidRPr="001977AE" w:rsidRDefault="008D6268" w:rsidP="00804318">
      <w:pPr>
        <w:pStyle w:val="FootnoteText"/>
      </w:pPr>
      <w:r>
        <w:rPr>
          <w:rStyle w:val="FootnoteReference"/>
        </w:rPr>
        <w:footnoteRef/>
      </w:r>
      <w:r>
        <w:t xml:space="preserve"> Eliade, </w:t>
      </w:r>
      <w:r w:rsidRPr="009E701D">
        <w:rPr>
          <w:i/>
          <w:iCs/>
        </w:rPr>
        <w:t>Cosmos and History</w:t>
      </w:r>
      <w:r>
        <w:rPr>
          <w:i/>
          <w:iCs/>
        </w:rPr>
        <w:t xml:space="preserve">, </w:t>
      </w:r>
      <w:r>
        <w:t>pp.35-36; pp.91-92; pp.111-112; pp.141-142</w:t>
      </w:r>
    </w:p>
  </w:footnote>
  <w:footnote w:id="199">
    <w:p w:rsidR="008D6268" w:rsidRDefault="008D6268" w:rsidP="00804318">
      <w:pPr>
        <w:pStyle w:val="FootnoteText"/>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82:13-19</w:t>
      </w:r>
    </w:p>
  </w:footnote>
  <w:footnote w:id="200">
    <w:p w:rsidR="008D6268" w:rsidRDefault="008D6268" w:rsidP="00804318">
      <w:pPr>
        <w:pStyle w:val="FootnoteText"/>
      </w:pPr>
      <w:r>
        <w:rPr>
          <w:rStyle w:val="FootnoteReference"/>
        </w:rPr>
        <w:footnoteRef/>
      </w:r>
      <w:r>
        <w:t xml:space="preserve"> </w:t>
      </w:r>
      <w:r w:rsidRPr="00121D52">
        <w:t xml:space="preserve">ibn Kathīr, </w:t>
      </w:r>
      <w:r w:rsidRPr="00121D52">
        <w:rPr>
          <w:bCs/>
          <w:i/>
        </w:rPr>
        <w:t>The Commentary of ibn Kathīr</w:t>
      </w:r>
      <w:r>
        <w:t>, VII:</w:t>
      </w:r>
      <w:r>
        <w:rPr>
          <w:rFonts w:hint="cs"/>
          <w:rtl/>
          <w:lang w:bidi="ar-AE"/>
        </w:rPr>
        <w:t>410</w:t>
      </w:r>
      <w:r>
        <w:rPr>
          <w:lang w:bidi="ar-AE"/>
        </w:rPr>
        <w:t xml:space="preserve">; </w:t>
      </w:r>
      <w:r w:rsidRPr="00EB1347">
        <w:t>al-Q</w:t>
      </w:r>
      <w:r>
        <w:t>u</w:t>
      </w:r>
      <w:r w:rsidRPr="00EB1347">
        <w:t>rṭ</w:t>
      </w:r>
      <w:r>
        <w:t>u</w:t>
      </w:r>
      <w:r w:rsidRPr="00EB1347">
        <w:t>bī,</w:t>
      </w:r>
      <w:r>
        <w:t xml:space="preserve"> </w:t>
      </w:r>
      <w:r w:rsidRPr="00EB1347">
        <w:rPr>
          <w:i/>
          <w:iCs/>
        </w:rPr>
        <w:t>The Comprehensive Book on the Provisions of the Qur’ān</w:t>
      </w:r>
      <w:r>
        <w:t>, XVII:81</w:t>
      </w:r>
    </w:p>
  </w:footnote>
  <w:footnote w:id="201">
    <w:p w:rsidR="008D6268" w:rsidRDefault="008D6268" w:rsidP="00804318">
      <w:pPr>
        <w:pStyle w:val="FootnoteText"/>
        <w:rPr>
          <w:rtl/>
          <w:lang w:bidi="ar-AE"/>
        </w:rPr>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53:56-62</w:t>
      </w:r>
    </w:p>
  </w:footnote>
  <w:footnote w:id="202">
    <w:p w:rsidR="008D6268" w:rsidRDefault="008D6268" w:rsidP="00804318">
      <w:pPr>
        <w:rPr>
          <w:sz w:val="20"/>
          <w:szCs w:val="20"/>
          <w:lang w:bidi="ar-AE"/>
        </w:rPr>
      </w:pPr>
      <w:r>
        <w:rPr>
          <w:rStyle w:val="FootnoteReference"/>
        </w:rPr>
        <w:footnoteRef/>
      </w:r>
      <w:r>
        <w:t xml:space="preserve"> </w:t>
      </w:r>
      <w:r w:rsidRPr="00BB48EE">
        <w:rPr>
          <w:sz w:val="20"/>
          <w:szCs w:val="20"/>
        </w:rPr>
        <w:t xml:space="preserve">ibn Kathīr, </w:t>
      </w:r>
      <w:r w:rsidRPr="00BB48EE">
        <w:rPr>
          <w:bCs/>
          <w:i/>
          <w:sz w:val="20"/>
          <w:szCs w:val="20"/>
        </w:rPr>
        <w:t>The Commentary of ibn Kathīr</w:t>
      </w:r>
      <w:r w:rsidRPr="00BB48EE">
        <w:rPr>
          <w:sz w:val="20"/>
          <w:szCs w:val="20"/>
        </w:rPr>
        <w:t xml:space="preserve">, </w:t>
      </w:r>
      <w:r>
        <w:rPr>
          <w:sz w:val="20"/>
          <w:szCs w:val="20"/>
        </w:rPr>
        <w:t>V</w:t>
      </w:r>
      <w:r w:rsidRPr="00BB48EE">
        <w:rPr>
          <w:sz w:val="20"/>
          <w:szCs w:val="20"/>
        </w:rPr>
        <w:t>II:</w:t>
      </w:r>
      <w:r w:rsidRPr="00BB48EE">
        <w:rPr>
          <w:rFonts w:hint="cs"/>
          <w:sz w:val="20"/>
          <w:szCs w:val="20"/>
          <w:rtl/>
          <w:lang w:bidi="ar-AE"/>
        </w:rPr>
        <w:t>410</w:t>
      </w:r>
      <w:r w:rsidRPr="00BB48EE">
        <w:rPr>
          <w:sz w:val="20"/>
          <w:szCs w:val="20"/>
          <w:lang w:bidi="ar-AE"/>
        </w:rPr>
        <w:t xml:space="preserve">; </w:t>
      </w:r>
      <w:r w:rsidRPr="00BB48EE">
        <w:rPr>
          <w:sz w:val="20"/>
          <w:szCs w:val="20"/>
        </w:rPr>
        <w:t xml:space="preserve">al-Qurṭubī, </w:t>
      </w:r>
      <w:r w:rsidRPr="00BB48EE">
        <w:rPr>
          <w:i/>
          <w:iCs/>
          <w:sz w:val="20"/>
          <w:szCs w:val="20"/>
        </w:rPr>
        <w:t>The Comprehensive Book on the Provisions of the Qur’ān</w:t>
      </w:r>
      <w:r w:rsidRPr="00BB48EE">
        <w:rPr>
          <w:sz w:val="20"/>
          <w:szCs w:val="20"/>
        </w:rPr>
        <w:t>, XVII:81</w:t>
      </w:r>
      <w:r>
        <w:t xml:space="preserve">; </w:t>
      </w:r>
      <w:r w:rsidRPr="009A2D67">
        <w:rPr>
          <w:sz w:val="20"/>
          <w:szCs w:val="20"/>
        </w:rPr>
        <w:t xml:space="preserve">al-Bukhārī, </w:t>
      </w:r>
      <w:r w:rsidRPr="00082C6F">
        <w:rPr>
          <w:i/>
          <w:iCs/>
          <w:sz w:val="20"/>
          <w:szCs w:val="20"/>
          <w:lang w:bidi="ar-AE"/>
        </w:rPr>
        <w:t xml:space="preserve">Ṣaḥīḥ al-Bukhārī, </w:t>
      </w:r>
      <w:r w:rsidRPr="00082C6F">
        <w:rPr>
          <w:sz w:val="20"/>
          <w:szCs w:val="20"/>
          <w:lang w:bidi="ar-AE"/>
        </w:rPr>
        <w:t xml:space="preserve">book 19 on </w:t>
      </w:r>
      <w:r w:rsidRPr="00AD1BA3">
        <w:rPr>
          <w:rFonts w:eastAsia="Times New Roman" w:cs="Times New Roman"/>
          <w:sz w:val="20"/>
          <w:szCs w:val="20"/>
        </w:rPr>
        <w:t>Prostration During Recital of</w:t>
      </w:r>
      <w:r w:rsidRPr="00AD1BA3">
        <w:rPr>
          <w:rFonts w:ascii="Times New Roman" w:eastAsia="Times New Roman" w:hAnsi="Times New Roman" w:cs="Times New Roman"/>
          <w:sz w:val="24"/>
          <w:szCs w:val="24"/>
        </w:rPr>
        <w:t xml:space="preserve"> </w:t>
      </w:r>
      <w:r>
        <w:rPr>
          <w:i/>
          <w:iCs/>
          <w:sz w:val="20"/>
          <w:szCs w:val="20"/>
          <w:lang w:bidi="ar-AE"/>
        </w:rPr>
        <w:t>Qur'ān</w:t>
      </w:r>
      <w:r w:rsidRPr="00AD1BA3">
        <w:rPr>
          <w:sz w:val="20"/>
          <w:szCs w:val="20"/>
          <w:lang w:bidi="ar-AE"/>
        </w:rPr>
        <w:t xml:space="preserve">, ḥadīth </w:t>
      </w:r>
      <w:r>
        <w:rPr>
          <w:sz w:val="20"/>
          <w:szCs w:val="20"/>
          <w:lang w:bidi="ar-AE"/>
        </w:rPr>
        <w:t>no. 177</w:t>
      </w:r>
      <w:r w:rsidRPr="00AD1BA3">
        <w:rPr>
          <w:sz w:val="20"/>
          <w:szCs w:val="20"/>
          <w:lang w:bidi="ar-AE"/>
        </w:rPr>
        <w:t>:</w:t>
      </w:r>
    </w:p>
    <w:p w:rsidR="008D6268" w:rsidRPr="00AD1BA3" w:rsidRDefault="008D6268" w:rsidP="00804318">
      <w:pPr>
        <w:bidi/>
        <w:rPr>
          <w:rFonts w:ascii="Times New Roman" w:eastAsia="Times New Roman" w:hAnsi="Times New Roman" w:cs="Times New Roman"/>
          <w:sz w:val="20"/>
          <w:szCs w:val="20"/>
          <w:rtl/>
        </w:rPr>
      </w:pPr>
      <w:r w:rsidRPr="00AD1BA3">
        <w:rPr>
          <w:rFonts w:hint="cs"/>
          <w:sz w:val="18"/>
          <w:szCs w:val="18"/>
          <w:rtl/>
          <w:lang w:bidi="ar-AE"/>
        </w:rPr>
        <w:t>"</w:t>
      </w:r>
      <w:r w:rsidRPr="00AD1BA3">
        <w:rPr>
          <w:rStyle w:val="arabictextdetails"/>
          <w:sz w:val="20"/>
          <w:szCs w:val="20"/>
          <w:rtl/>
        </w:rPr>
        <w:t>عَنِ ابْنِ عَبَّاسٍ ـ رضى الله عنهما أَنَّ النَّبِيَّ صلى الله عليه وسلم سَجَدَ بِالنَّجْمِ وَسَجَدَ مَعَهُ الْمُسْلِمُونَ وَالْمُشْرِكُونَ وَالْجِنُّ وَالإِنْسُ</w:t>
      </w:r>
      <w:r w:rsidRPr="00AD1BA3">
        <w:rPr>
          <w:rStyle w:val="arabictextdetails"/>
          <w:rFonts w:hint="cs"/>
          <w:sz w:val="20"/>
          <w:szCs w:val="20"/>
          <w:rtl/>
        </w:rPr>
        <w:t>"</w:t>
      </w:r>
    </w:p>
  </w:footnote>
  <w:footnote w:id="203">
    <w:p w:rsidR="008D6268" w:rsidRDefault="008D6268" w:rsidP="00804318">
      <w:pPr>
        <w:pStyle w:val="FootnoteText"/>
        <w:rPr>
          <w:rtl/>
          <w:lang w:bidi="ar-AE"/>
        </w:rPr>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54:1</w:t>
      </w:r>
    </w:p>
  </w:footnote>
  <w:footnote w:id="204">
    <w:p w:rsidR="008D6268" w:rsidRDefault="008D6268" w:rsidP="00804318">
      <w:pPr>
        <w:pStyle w:val="FootnoteText"/>
        <w:rPr>
          <w:lang w:bidi="ar-AE"/>
        </w:rPr>
      </w:pPr>
      <w:r w:rsidRPr="002C5843">
        <w:rPr>
          <w:rStyle w:val="FootnoteReference"/>
        </w:rPr>
        <w:footnoteRef/>
      </w:r>
      <w:r w:rsidRPr="002C5843">
        <w:t xml:space="preserve"> </w:t>
      </w:r>
      <w:r w:rsidRPr="00121D52">
        <w:t xml:space="preserve">ibn Kathīr, </w:t>
      </w:r>
      <w:r w:rsidRPr="00121D52">
        <w:rPr>
          <w:bCs/>
          <w:i/>
        </w:rPr>
        <w:t>The Commentary of ibn Kathīr</w:t>
      </w:r>
      <w:r>
        <w:t>, VII:</w:t>
      </w:r>
      <w:r>
        <w:rPr>
          <w:rFonts w:hint="cs"/>
          <w:rtl/>
          <w:lang w:bidi="ar-AE"/>
        </w:rPr>
        <w:t>4</w:t>
      </w:r>
      <w:r>
        <w:rPr>
          <w:lang w:bidi="ar-AE"/>
        </w:rPr>
        <w:t xml:space="preserve">37-440; </w:t>
      </w:r>
      <w:r w:rsidRPr="00EB1347">
        <w:t>al-Q</w:t>
      </w:r>
      <w:r>
        <w:t>u</w:t>
      </w:r>
      <w:r w:rsidRPr="00EB1347">
        <w:t>rṭ</w:t>
      </w:r>
      <w:r>
        <w:t>u</w:t>
      </w:r>
      <w:r w:rsidRPr="00EB1347">
        <w:t>bī,</w:t>
      </w:r>
      <w:r>
        <w:t xml:space="preserve"> </w:t>
      </w:r>
      <w:r w:rsidRPr="00EB1347">
        <w:rPr>
          <w:i/>
          <w:iCs/>
        </w:rPr>
        <w:t>The Comprehensive Book on the Provisions of the Qur’ān</w:t>
      </w:r>
      <w:r>
        <w:t xml:space="preserve">, XVII:125-127; al-Rāzī, </w:t>
      </w:r>
      <w:r w:rsidRPr="00E23F58">
        <w:rPr>
          <w:i/>
          <w:iCs/>
        </w:rPr>
        <w:t>The Great Commentary</w:t>
      </w:r>
      <w:r>
        <w:rPr>
          <w:i/>
          <w:iCs/>
        </w:rPr>
        <w:t>,</w:t>
      </w:r>
      <w:r>
        <w:t xml:space="preserve"> XXIX:288</w:t>
      </w:r>
    </w:p>
  </w:footnote>
  <w:footnote w:id="205">
    <w:p w:rsidR="008D6268" w:rsidRDefault="008D6268" w:rsidP="00804318">
      <w:pPr>
        <w:pStyle w:val="FootnoteText"/>
        <w:rPr>
          <w:lang w:bidi="ar-AE"/>
        </w:rPr>
      </w:pPr>
      <w:r>
        <w:rPr>
          <w:rStyle w:val="FootnoteReference"/>
        </w:rPr>
        <w:footnoteRef/>
      </w:r>
      <w:r>
        <w:t xml:space="preserve"> al-Tirmidhī, </w:t>
      </w:r>
      <w:r>
        <w:rPr>
          <w:i/>
          <w:iCs/>
          <w:lang w:bidi="ar-AE"/>
        </w:rPr>
        <w:t xml:space="preserve">The Great Compilation of al-Tirmidhī, </w:t>
      </w:r>
      <w:r>
        <w:rPr>
          <w:lang w:bidi="ar-AE"/>
        </w:rPr>
        <w:t xml:space="preserve">book 47 on </w:t>
      </w:r>
      <w:r>
        <w:rPr>
          <w:i/>
          <w:iCs/>
          <w:lang w:bidi="ar-AE"/>
        </w:rPr>
        <w:t>Qur'ān Interpretation</w:t>
      </w:r>
      <w:r>
        <w:rPr>
          <w:lang w:bidi="ar-AE"/>
        </w:rPr>
        <w:t>, ḥadīth 3596:</w:t>
      </w:r>
    </w:p>
    <w:p w:rsidR="008D6268" w:rsidRDefault="008D6268" w:rsidP="00804318">
      <w:pPr>
        <w:pStyle w:val="FootnoteText"/>
        <w:bidi/>
      </w:pPr>
      <w:r>
        <w:rPr>
          <w:lang w:bidi="ar-AE"/>
        </w:rPr>
        <w:t>"</w:t>
      </w:r>
      <w:r>
        <w:rPr>
          <w:rStyle w:val="arabictextdetails"/>
          <w:rtl/>
        </w:rPr>
        <w:t>عَنِ ابْنِ مَسْعُودٍ، رَضِيَ اللَّهُ عَنْهُ قَالَ بَيْنَمَا نَحْنُ مَعَ رَسُولِ اللَّهِ صلى الله عليه وسلم بِمِنًى فَانْشَقَّ الْقَمَرُ فِلْقَتَيْنِ فِلْقَةٌ مِنْ وَرَاءِ الْجَبَلِ وَفِلْقَةٌ دُونَهُ فَقَالَ لَنَا رَسُولُ اللَّهِ صلى الله عليه وسلم ‏"‏ اشْهَدُوا ‏"‏.‏ يَعْنِي ‏:‏ ‏</w:t>
      </w:r>
      <w:bookmarkStart w:id="35" w:name="q13"/>
      <w:r w:rsidRPr="00B43A8F">
        <w:rPr>
          <w:rStyle w:val="arabictextdetails"/>
        </w:rPr>
        <w:t>)</w:t>
      </w:r>
      <w:r w:rsidRPr="00B43A8F">
        <w:rPr>
          <w:rStyle w:val="arabictextdetails"/>
          <w:rtl/>
        </w:rPr>
        <w:t>اقتَرَبَتِ السَّاعَةُ وَانْشَقَّ الْقَمَرُ</w:t>
      </w:r>
      <w:bookmarkEnd w:id="35"/>
      <w:r>
        <w:rPr>
          <w:rStyle w:val="arabictextdetails"/>
        </w:rPr>
        <w:t xml:space="preserve"> "(</w:t>
      </w:r>
    </w:p>
  </w:footnote>
  <w:footnote w:id="206">
    <w:p w:rsidR="008D6268" w:rsidRPr="00961995" w:rsidRDefault="008D6268" w:rsidP="00804318">
      <w:pPr>
        <w:pStyle w:val="FootnoteText"/>
      </w:pPr>
      <w:r>
        <w:rPr>
          <w:rStyle w:val="FootnoteReference"/>
        </w:rPr>
        <w:footnoteRef/>
      </w:r>
      <w:r w:rsidRPr="00961995">
        <w:t xml:space="preserve"> Landes, </w:t>
      </w:r>
      <w:r w:rsidRPr="00E81631">
        <w:rPr>
          <w:i/>
          <w:iCs/>
        </w:rPr>
        <w:t>Heaven on Earth</w:t>
      </w:r>
      <w:r>
        <w:t xml:space="preserve">, </w:t>
      </w:r>
      <w:r w:rsidRPr="00961995">
        <w:t>pp.46-47</w:t>
      </w:r>
    </w:p>
  </w:footnote>
  <w:footnote w:id="207">
    <w:p w:rsidR="008D6268" w:rsidRPr="00404134" w:rsidRDefault="008D6268" w:rsidP="00804318">
      <w:pPr>
        <w:pStyle w:val="FootnoteText"/>
        <w:rPr>
          <w:rFonts w:eastAsia="Times New Roman" w:cs="Times New Roman"/>
        </w:rPr>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21:5</w:t>
      </w:r>
    </w:p>
  </w:footnote>
  <w:footnote w:id="208">
    <w:p w:rsidR="008D6268" w:rsidRPr="005316F6" w:rsidRDefault="008D6268" w:rsidP="00C571A0">
      <w:pPr>
        <w:pStyle w:val="FootnoteText"/>
      </w:pPr>
      <w:r>
        <w:rPr>
          <w:rStyle w:val="FootnoteReference"/>
        </w:rPr>
        <w:footnoteRef/>
      </w:r>
      <w:r w:rsidRPr="005316F6">
        <w:t xml:space="preserve"> Landes, </w:t>
      </w:r>
      <w:r w:rsidRPr="00E81631">
        <w:rPr>
          <w:i/>
          <w:iCs/>
        </w:rPr>
        <w:t>Heaven on Earth</w:t>
      </w:r>
      <w:r>
        <w:rPr>
          <w:i/>
          <w:iCs/>
        </w:rPr>
        <w:t>,</w:t>
      </w:r>
      <w:r w:rsidRPr="005316F6">
        <w:t xml:space="preserve"> pp.22-25</w:t>
      </w:r>
    </w:p>
  </w:footnote>
  <w:footnote w:id="209">
    <w:p w:rsidR="008D6268" w:rsidRDefault="008D6268" w:rsidP="00804318">
      <w:pPr>
        <w:pStyle w:val="FootnoteText"/>
      </w:pPr>
      <w:r>
        <w:rPr>
          <w:rStyle w:val="FootnoteReference"/>
        </w:rPr>
        <w:footnoteRef/>
      </w:r>
      <w:r>
        <w:t xml:space="preserve"> </w:t>
      </w:r>
      <w:r w:rsidRPr="0064016E">
        <w:rPr>
          <w:rFonts w:eastAsia="Times New Roman"/>
        </w:rPr>
        <w:t xml:space="preserve">Mircea Eliade, </w:t>
      </w:r>
      <w:r w:rsidRPr="0064016E">
        <w:rPr>
          <w:rFonts w:eastAsia="Times New Roman"/>
          <w:i/>
          <w:iCs/>
        </w:rPr>
        <w:t>The Sacred and the Profane</w:t>
      </w:r>
      <w:r w:rsidRPr="0064016E">
        <w:rPr>
          <w:rFonts w:eastAsia="Times New Roman"/>
        </w:rPr>
        <w:t xml:space="preserve"> (London: Harcourt Brace Jovanovich London, 1959)</w:t>
      </w:r>
      <w:r>
        <w:rPr>
          <w:rFonts w:eastAsia="Times New Roman"/>
        </w:rPr>
        <w:t xml:space="preserve">, </w:t>
      </w:r>
      <w:r>
        <w:t>p.29; p.30-32</w:t>
      </w:r>
    </w:p>
  </w:footnote>
  <w:footnote w:id="210">
    <w:p w:rsidR="008D6268" w:rsidRDefault="008D6268">
      <w:pPr>
        <w:pStyle w:val="FootnoteText"/>
        <w:rPr>
          <w:rtl/>
          <w:lang w:bidi="ar-AE"/>
        </w:rPr>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2:119.</w:t>
      </w:r>
    </w:p>
  </w:footnote>
  <w:footnote w:id="211">
    <w:p w:rsidR="008D6268" w:rsidRDefault="008D6268" w:rsidP="00804318">
      <w:pPr>
        <w:pStyle w:val="FootnoteText"/>
      </w:pPr>
      <w:r>
        <w:rPr>
          <w:rStyle w:val="FootnoteReference"/>
        </w:rPr>
        <w:footnoteRef/>
      </w:r>
      <w:r>
        <w:t xml:space="preserve"> </w:t>
      </w:r>
      <w:r w:rsidRPr="00A02DFE">
        <w:t xml:space="preserve">Hegel, </w:t>
      </w:r>
      <w:r w:rsidRPr="00196FA4">
        <w:rPr>
          <w:i/>
          <w:iCs/>
        </w:rPr>
        <w:t>Lectures on the Philosophy of History</w:t>
      </w:r>
      <w:r>
        <w:rPr>
          <w:i/>
          <w:iCs/>
        </w:rPr>
        <w:t>,</w:t>
      </w:r>
      <w:r w:rsidRPr="00A02DFE">
        <w:t xml:space="preserve"> </w:t>
      </w:r>
      <w:r>
        <w:t>pp.30</w:t>
      </w:r>
      <w:r w:rsidRPr="00A02DFE">
        <w:t>-32</w:t>
      </w:r>
      <w:r>
        <w:t xml:space="preserve">; Cohn, </w:t>
      </w:r>
      <w:r w:rsidRPr="00795680">
        <w:rPr>
          <w:i/>
          <w:iCs/>
        </w:rPr>
        <w:t>The Pursuit of the Millennium</w:t>
      </w:r>
      <w:r>
        <w:t>, 1970, pp.284-285</w:t>
      </w:r>
    </w:p>
  </w:footnote>
  <w:footnote w:id="212">
    <w:p w:rsidR="008D6268" w:rsidRDefault="008D6268" w:rsidP="00804318">
      <w:pPr>
        <w:pStyle w:val="FootnoteText"/>
      </w:pPr>
      <w:r>
        <w:rPr>
          <w:rStyle w:val="FootnoteReference"/>
        </w:rPr>
        <w:footnoteRef/>
      </w:r>
      <w:r>
        <w:t xml:space="preserve"> </w:t>
      </w:r>
      <w:r w:rsidRPr="00A02DFE">
        <w:t xml:space="preserve">Hegel, </w:t>
      </w:r>
      <w:r w:rsidRPr="00196FA4">
        <w:rPr>
          <w:i/>
          <w:iCs/>
        </w:rPr>
        <w:t>Lectures on the Philosophy of History</w:t>
      </w:r>
      <w:r>
        <w:rPr>
          <w:i/>
          <w:iCs/>
        </w:rPr>
        <w:t>,</w:t>
      </w:r>
      <w:r w:rsidRPr="00A02DFE">
        <w:t xml:space="preserve"> </w:t>
      </w:r>
      <w:r>
        <w:t>pp.30</w:t>
      </w:r>
      <w:r w:rsidRPr="00A02DFE">
        <w:t>-32</w:t>
      </w:r>
    </w:p>
  </w:footnote>
  <w:footnote w:id="213">
    <w:p w:rsidR="008D6268" w:rsidRDefault="008D6268" w:rsidP="00804318">
      <w:pPr>
        <w:pStyle w:val="FootnoteText"/>
      </w:pPr>
      <w:r>
        <w:rPr>
          <w:rStyle w:val="FootnoteReference"/>
        </w:rPr>
        <w:footnoteRef/>
      </w:r>
      <w:r>
        <w:t xml:space="preserve"> Cohn, </w:t>
      </w:r>
      <w:r w:rsidRPr="00680D3B">
        <w:rPr>
          <w:i/>
          <w:iCs/>
        </w:rPr>
        <w:t>The Pursuit of the Millennium</w:t>
      </w:r>
      <w:r>
        <w:t>, 1970, p.285</w:t>
      </w:r>
    </w:p>
  </w:footnote>
  <w:footnote w:id="214">
    <w:p w:rsidR="008D6268" w:rsidRDefault="008D6268" w:rsidP="00804318">
      <w:pPr>
        <w:pStyle w:val="FootnoteText"/>
      </w:pPr>
      <w:r>
        <w:rPr>
          <w:rStyle w:val="FootnoteReference"/>
        </w:rPr>
        <w:footnoteRef/>
      </w:r>
      <w:r>
        <w:t xml:space="preserve"> Michael Barkun, 'Messages from Beyond: Prophecy in the Contemporary World', in </w:t>
      </w:r>
      <w:r w:rsidRPr="00FB730C">
        <w:rPr>
          <w:i/>
        </w:rPr>
        <w:t>Prophecy in the New Millennium</w:t>
      </w:r>
      <w:r>
        <w:t>, ed. by Sarah Harvey and Suzanne Newcombe (Surrey: Ashgate Publishing Ltd., 2013), p.17</w:t>
      </w:r>
    </w:p>
  </w:footnote>
  <w:footnote w:id="215">
    <w:p w:rsidR="008D6268" w:rsidRPr="00DF5187" w:rsidRDefault="008D6268" w:rsidP="003F747E">
      <w:pPr>
        <w:pStyle w:val="FootnoteText"/>
        <w:rPr>
          <w:rFonts w:eastAsia="Times New Roman" w:cs="Times New Roman"/>
          <w:rtl/>
        </w:rPr>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5</w:t>
      </w:r>
      <w:r>
        <w:rPr>
          <w:rFonts w:eastAsia="Times New Roman" w:cs="Times New Roman" w:hint="cs"/>
          <w:rtl/>
        </w:rPr>
        <w:t>3</w:t>
      </w:r>
      <w:r>
        <w:rPr>
          <w:rFonts w:eastAsia="Times New Roman" w:cs="Times New Roman"/>
        </w:rPr>
        <w:t>:2-5</w:t>
      </w:r>
    </w:p>
  </w:footnote>
  <w:footnote w:id="216">
    <w:p w:rsidR="008D6268" w:rsidRPr="00012124" w:rsidRDefault="008D6268" w:rsidP="00804318">
      <w:pPr>
        <w:autoSpaceDE/>
        <w:autoSpaceDN/>
        <w:adjustRightInd/>
        <w:spacing w:line="240" w:lineRule="auto"/>
        <w:rPr>
          <w:rFonts w:eastAsia="Times New Roman" w:cs="Times New Roman"/>
          <w:rtl/>
          <w:lang w:bidi="ar-AE"/>
        </w:rPr>
      </w:pPr>
      <w:r w:rsidRPr="00382452">
        <w:rPr>
          <w:rStyle w:val="FootnoteReference"/>
          <w:sz w:val="20"/>
          <w:szCs w:val="20"/>
        </w:rPr>
        <w:footnoteRef/>
      </w:r>
      <w:r>
        <w:t xml:space="preserve"> </w:t>
      </w:r>
      <w:r w:rsidRPr="00012124">
        <w:rPr>
          <w:rFonts w:eastAsia="Times New Roman" w:cs="Times New Roman" w:hint="cs"/>
          <w:sz w:val="20"/>
          <w:szCs w:val="20"/>
          <w:rtl/>
        </w:rPr>
        <w:t>أبو زكريا محي الدين يحيى</w:t>
      </w:r>
      <w:r>
        <w:rPr>
          <w:rFonts w:eastAsia="Times New Roman" w:cs="Times New Roman" w:hint="cs"/>
          <w:sz w:val="20"/>
          <w:szCs w:val="20"/>
          <w:rtl/>
        </w:rPr>
        <w:t xml:space="preserve"> النووي</w:t>
      </w:r>
      <w:r w:rsidRPr="00012124">
        <w:rPr>
          <w:rFonts w:eastAsia="Times New Roman" w:cs="Times New Roman" w:hint="cs"/>
          <w:sz w:val="20"/>
          <w:szCs w:val="20"/>
          <w:rtl/>
        </w:rPr>
        <w:t xml:space="preserve">، </w:t>
      </w:r>
      <w:r>
        <w:rPr>
          <w:rFonts w:eastAsia="Times New Roman" w:cs="Times New Roman" w:hint="cs"/>
          <w:b/>
          <w:bCs/>
          <w:sz w:val="20"/>
          <w:szCs w:val="20"/>
          <w:rtl/>
        </w:rPr>
        <w:t xml:space="preserve">المنهاج </w:t>
      </w:r>
      <w:r w:rsidRPr="00012124">
        <w:rPr>
          <w:rFonts w:eastAsia="Times New Roman" w:cs="Times New Roman" w:hint="cs"/>
          <w:b/>
          <w:bCs/>
          <w:sz w:val="20"/>
          <w:szCs w:val="20"/>
          <w:rtl/>
        </w:rPr>
        <w:t xml:space="preserve">شرح </w:t>
      </w:r>
      <w:r>
        <w:rPr>
          <w:rFonts w:eastAsia="Times New Roman" w:cs="Times New Roman" w:hint="cs"/>
          <w:b/>
          <w:bCs/>
          <w:sz w:val="20"/>
          <w:szCs w:val="20"/>
          <w:rtl/>
        </w:rPr>
        <w:t xml:space="preserve">صحيح </w:t>
      </w:r>
      <w:r w:rsidRPr="00012124">
        <w:rPr>
          <w:rFonts w:eastAsia="Times New Roman" w:cs="Times New Roman" w:hint="cs"/>
          <w:b/>
          <w:bCs/>
          <w:sz w:val="20"/>
          <w:szCs w:val="20"/>
          <w:rtl/>
        </w:rPr>
        <w:t>مسلم</w:t>
      </w:r>
      <w:r>
        <w:rPr>
          <w:rFonts w:eastAsia="Times New Roman" w:cs="Times New Roman" w:hint="cs"/>
          <w:b/>
          <w:bCs/>
          <w:sz w:val="20"/>
          <w:szCs w:val="20"/>
          <w:rtl/>
        </w:rPr>
        <w:t xml:space="preserve"> بن الحجاج</w:t>
      </w:r>
      <w:r w:rsidRPr="00012124">
        <w:rPr>
          <w:rFonts w:eastAsia="Times New Roman" w:cs="Times New Roman" w:hint="cs"/>
          <w:sz w:val="20"/>
          <w:szCs w:val="20"/>
          <w:rtl/>
        </w:rPr>
        <w:t xml:space="preserve"> (بيروت: دار إحياء التراث العربي، </w:t>
      </w:r>
      <w:r>
        <w:rPr>
          <w:rFonts w:eastAsia="Times New Roman" w:cs="Times New Roman" w:hint="cs"/>
          <w:sz w:val="20"/>
          <w:szCs w:val="20"/>
          <w:rtl/>
        </w:rPr>
        <w:t>1392 هجرية</w:t>
      </w:r>
      <w:r w:rsidRPr="00012124">
        <w:rPr>
          <w:rFonts w:eastAsia="Times New Roman" w:cs="Times New Roman" w:hint="cs"/>
          <w:sz w:val="20"/>
          <w:szCs w:val="20"/>
          <w:rtl/>
        </w:rPr>
        <w:t>)</w:t>
      </w:r>
      <w:r>
        <w:rPr>
          <w:rFonts w:eastAsia="Times New Roman" w:cs="Times New Roman" w:hint="cs"/>
          <w:sz w:val="20"/>
          <w:szCs w:val="20"/>
          <w:rtl/>
        </w:rPr>
        <w:t xml:space="preserve">:1/14؛ </w:t>
      </w:r>
      <w:r>
        <w:rPr>
          <w:rFonts w:hint="cs"/>
          <w:sz w:val="20"/>
          <w:szCs w:val="20"/>
          <w:rtl/>
          <w:lang w:bidi="ar-AE"/>
        </w:rPr>
        <w:t xml:space="preserve">؛ </w:t>
      </w:r>
      <w:r w:rsidRPr="004643CD">
        <w:rPr>
          <w:rFonts w:hint="cs"/>
          <w:sz w:val="20"/>
          <w:szCs w:val="20"/>
          <w:rtl/>
          <w:lang w:bidi="ar-AE"/>
        </w:rPr>
        <w:t>محمود الطحان،</w:t>
      </w:r>
      <w:r w:rsidRPr="004643CD">
        <w:rPr>
          <w:rFonts w:hint="cs"/>
          <w:b/>
          <w:bCs/>
          <w:sz w:val="20"/>
          <w:szCs w:val="20"/>
          <w:rtl/>
          <w:lang w:bidi="ar-AE"/>
        </w:rPr>
        <w:t xml:space="preserve"> أصول التخريج ودراسة الأسانيد</w:t>
      </w:r>
      <w:r w:rsidRPr="004643CD">
        <w:rPr>
          <w:rFonts w:hint="cs"/>
          <w:sz w:val="20"/>
          <w:szCs w:val="20"/>
          <w:rtl/>
          <w:lang w:bidi="ar-AE"/>
        </w:rPr>
        <w:t xml:space="preserve"> (الرياض: مكتبة المعارف </w:t>
      </w:r>
      <w:r>
        <w:rPr>
          <w:rFonts w:hint="cs"/>
          <w:sz w:val="20"/>
          <w:szCs w:val="20"/>
          <w:rtl/>
          <w:lang w:bidi="ar-AE"/>
        </w:rPr>
        <w:t>للنشر والتوزيع، 1996): ص.181-182</w:t>
      </w:r>
    </w:p>
    <w:p w:rsidR="008D6268" w:rsidRPr="00012124" w:rsidRDefault="008D6268" w:rsidP="00804318">
      <w:pPr>
        <w:spacing w:line="240" w:lineRule="auto"/>
        <w:ind w:right="720"/>
        <w:rPr>
          <w:rFonts w:eastAsia="Times New Roman" w:cs="Times New Roman"/>
          <w:sz w:val="18"/>
          <w:szCs w:val="18"/>
        </w:rPr>
      </w:pPr>
      <w:r w:rsidRPr="00012124">
        <w:rPr>
          <w:rFonts w:eastAsia="Times New Roman" w:cs="Times New Roman"/>
          <w:sz w:val="20"/>
          <w:szCs w:val="20"/>
        </w:rPr>
        <w:t>a</w:t>
      </w:r>
      <w:r>
        <w:rPr>
          <w:rFonts w:eastAsia="Times New Roman" w:cs="Times New Roman"/>
          <w:sz w:val="20"/>
          <w:szCs w:val="20"/>
        </w:rPr>
        <w:t xml:space="preserve">bū Zakarīya Muhīye al-Dīn Yaḥyā </w:t>
      </w:r>
      <w:r w:rsidRPr="00012124">
        <w:rPr>
          <w:rFonts w:eastAsia="Times New Roman" w:cs="Times New Roman"/>
          <w:sz w:val="20"/>
          <w:szCs w:val="20"/>
        </w:rPr>
        <w:t>al-</w:t>
      </w:r>
      <w:r>
        <w:rPr>
          <w:rFonts w:eastAsia="Times New Roman" w:cs="Times New Roman"/>
          <w:sz w:val="20"/>
          <w:szCs w:val="20"/>
        </w:rPr>
        <w:t>Nawawī,</w:t>
      </w:r>
      <w:r w:rsidRPr="00012124">
        <w:rPr>
          <w:rFonts w:eastAsia="Times New Roman" w:cs="Times New Roman"/>
          <w:sz w:val="20"/>
          <w:szCs w:val="20"/>
        </w:rPr>
        <w:t xml:space="preserve"> </w:t>
      </w:r>
      <w:r w:rsidRPr="00012124">
        <w:rPr>
          <w:rFonts w:eastAsia="Times New Roman" w:cs="Times New Roman"/>
          <w:i/>
          <w:iCs/>
          <w:sz w:val="20"/>
          <w:szCs w:val="20"/>
        </w:rPr>
        <w:t>al-Nawawī’s Commentary on Muslim</w:t>
      </w:r>
      <w:r w:rsidRPr="00012124">
        <w:rPr>
          <w:rFonts w:eastAsia="Times New Roman" w:cs="Times New Roman"/>
          <w:sz w:val="20"/>
          <w:szCs w:val="20"/>
        </w:rPr>
        <w:t xml:space="preserve"> (Beirut: Dār Ihiā’ al-Turāth al-‘Arabī, </w:t>
      </w:r>
      <w:r>
        <w:rPr>
          <w:rFonts w:eastAsia="Times New Roman" w:cs="Times New Roman"/>
          <w:sz w:val="20"/>
          <w:szCs w:val="20"/>
        </w:rPr>
        <w:t>1392 hijrī</w:t>
      </w:r>
      <w:r w:rsidRPr="00012124">
        <w:rPr>
          <w:rFonts w:eastAsia="Times New Roman" w:cs="Times New Roman"/>
          <w:sz w:val="20"/>
          <w:szCs w:val="20"/>
        </w:rPr>
        <w:t>)</w:t>
      </w:r>
      <w:r>
        <w:rPr>
          <w:rFonts w:eastAsia="Times New Roman" w:cs="Times New Roman"/>
          <w:sz w:val="20"/>
          <w:szCs w:val="20"/>
        </w:rPr>
        <w:t xml:space="preserve">, [hereafter </w:t>
      </w:r>
      <w:r w:rsidRPr="00012124">
        <w:rPr>
          <w:rFonts w:eastAsia="Times New Roman" w:cs="Times New Roman"/>
          <w:sz w:val="20"/>
          <w:szCs w:val="20"/>
        </w:rPr>
        <w:t>al-</w:t>
      </w:r>
      <w:r>
        <w:rPr>
          <w:rFonts w:eastAsia="Times New Roman" w:cs="Times New Roman"/>
          <w:sz w:val="20"/>
          <w:szCs w:val="20"/>
        </w:rPr>
        <w:t xml:space="preserve">Nawawī, </w:t>
      </w:r>
      <w:r w:rsidRPr="00012124">
        <w:rPr>
          <w:rFonts w:eastAsia="Times New Roman" w:cs="Times New Roman"/>
          <w:i/>
          <w:iCs/>
          <w:sz w:val="20"/>
          <w:szCs w:val="20"/>
        </w:rPr>
        <w:t>al-Nawawī’s Commentary</w:t>
      </w:r>
      <w:r>
        <w:rPr>
          <w:rFonts w:eastAsia="Times New Roman" w:cs="Times New Roman"/>
          <w:sz w:val="20"/>
          <w:szCs w:val="20"/>
        </w:rPr>
        <w:t>]: I:1</w:t>
      </w:r>
      <w:r>
        <w:rPr>
          <w:rFonts w:eastAsia="Times New Roman" w:cs="Times New Roman" w:hint="cs"/>
          <w:sz w:val="20"/>
          <w:szCs w:val="20"/>
          <w:rtl/>
        </w:rPr>
        <w:t>4</w:t>
      </w:r>
      <w:r>
        <w:rPr>
          <w:rFonts w:eastAsia="Times New Roman" w:cs="Times New Roman"/>
          <w:sz w:val="20"/>
          <w:szCs w:val="20"/>
        </w:rPr>
        <w:t xml:space="preserve">; </w:t>
      </w:r>
      <w:r w:rsidRPr="00A9170F">
        <w:rPr>
          <w:sz w:val="20"/>
          <w:szCs w:val="20"/>
          <w:lang w:bidi="ar-AE"/>
        </w:rPr>
        <w:t xml:space="preserve">Mahmoud al-Tahhan, </w:t>
      </w:r>
      <w:r w:rsidRPr="00A9170F">
        <w:rPr>
          <w:i/>
          <w:iCs/>
          <w:sz w:val="20"/>
          <w:szCs w:val="20"/>
          <w:lang w:bidi="ar-AE"/>
        </w:rPr>
        <w:t>Uṣūl al-Takhrīj wa Dirāsat al-Aḥādīth or The Fundamentals of the Extraction and Study of Ḥadīth</w:t>
      </w:r>
      <w:r w:rsidRPr="00A9170F">
        <w:rPr>
          <w:sz w:val="20"/>
          <w:szCs w:val="20"/>
          <w:lang w:bidi="ar-AE"/>
        </w:rPr>
        <w:t xml:space="preserve"> (Riyadh: Maktabat al-Ma'āref lil-Nashr wal-Tawzī', 1996), [hereafter al-Tahhan</w:t>
      </w:r>
      <w:r>
        <w:rPr>
          <w:sz w:val="20"/>
          <w:szCs w:val="20"/>
          <w:lang w:bidi="ar-AE"/>
        </w:rPr>
        <w:t xml:space="preserve">, </w:t>
      </w:r>
      <w:r w:rsidRPr="00A9170F">
        <w:rPr>
          <w:i/>
          <w:iCs/>
          <w:sz w:val="20"/>
          <w:szCs w:val="20"/>
          <w:lang w:bidi="ar-AE"/>
        </w:rPr>
        <w:t>The Fundamentals of the Extraction and Study of Ḥadīth</w:t>
      </w:r>
      <w:r w:rsidRPr="00A9170F">
        <w:rPr>
          <w:sz w:val="20"/>
          <w:szCs w:val="20"/>
          <w:lang w:bidi="ar-AE"/>
        </w:rPr>
        <w:t>]</w:t>
      </w:r>
      <w:r>
        <w:rPr>
          <w:sz w:val="20"/>
          <w:szCs w:val="20"/>
        </w:rPr>
        <w:t>: pp.181-182</w:t>
      </w:r>
    </w:p>
  </w:footnote>
  <w:footnote w:id="217">
    <w:p w:rsidR="008D6268" w:rsidRDefault="008D6268" w:rsidP="00804318">
      <w:pPr>
        <w:autoSpaceDE/>
        <w:autoSpaceDN/>
        <w:adjustRightInd/>
        <w:spacing w:line="240" w:lineRule="auto"/>
        <w:rPr>
          <w:sz w:val="20"/>
          <w:szCs w:val="20"/>
          <w:rtl/>
          <w:lang w:bidi="ar-AE"/>
        </w:rPr>
      </w:pPr>
      <w:r w:rsidRPr="00012124">
        <w:rPr>
          <w:rStyle w:val="FootnoteReference"/>
          <w:sz w:val="20"/>
          <w:szCs w:val="20"/>
        </w:rPr>
        <w:footnoteRef/>
      </w:r>
      <w:r w:rsidRPr="00012124">
        <w:rPr>
          <w:sz w:val="20"/>
          <w:szCs w:val="20"/>
        </w:rPr>
        <w:t xml:space="preserve"> </w:t>
      </w:r>
      <w:r w:rsidRPr="00CB4BBE">
        <w:rPr>
          <w:sz w:val="20"/>
          <w:szCs w:val="20"/>
          <w:rtl/>
          <w:lang w:bidi="ar-AE"/>
        </w:rPr>
        <w:t xml:space="preserve">أبو داود سليمان بن الأشعث السجستاني، </w:t>
      </w:r>
      <w:r w:rsidRPr="00CB4BBE">
        <w:rPr>
          <w:b/>
          <w:bCs/>
          <w:sz w:val="20"/>
          <w:szCs w:val="20"/>
          <w:rtl/>
          <w:lang w:bidi="ar-AE"/>
        </w:rPr>
        <w:t>سنن أبي داود</w:t>
      </w:r>
      <w:r w:rsidRPr="00CB4BBE">
        <w:rPr>
          <w:sz w:val="20"/>
          <w:szCs w:val="20"/>
          <w:rtl/>
          <w:lang w:bidi="ar-AE"/>
        </w:rPr>
        <w:t xml:space="preserve"> (بيروت: المكتبة العصرية، ب.ت.)</w:t>
      </w:r>
      <w:r>
        <w:rPr>
          <w:rFonts w:hint="cs"/>
          <w:sz w:val="20"/>
          <w:szCs w:val="20"/>
          <w:rtl/>
          <w:lang w:bidi="ar-AE"/>
        </w:rPr>
        <w:t xml:space="preserve">؛ </w:t>
      </w:r>
      <w:r w:rsidRPr="00CB4BBE">
        <w:rPr>
          <w:sz w:val="20"/>
          <w:szCs w:val="20"/>
          <w:rtl/>
          <w:lang w:bidi="ar-AE"/>
        </w:rPr>
        <w:t xml:space="preserve">ابن ماجه، أبو عبدالله محمد بن يزيد القزويني، </w:t>
      </w:r>
      <w:r w:rsidRPr="00CB4BBE">
        <w:rPr>
          <w:b/>
          <w:bCs/>
          <w:sz w:val="20"/>
          <w:szCs w:val="20"/>
          <w:rtl/>
          <w:lang w:bidi="ar-AE"/>
        </w:rPr>
        <w:t>سنن ابن ماجه</w:t>
      </w:r>
      <w:r w:rsidRPr="00CB4BBE">
        <w:rPr>
          <w:sz w:val="20"/>
          <w:szCs w:val="20"/>
          <w:rtl/>
          <w:lang w:bidi="ar-AE"/>
        </w:rPr>
        <w:t xml:space="preserve"> (بيروت: دار الرسالة العالمية، 2009</w:t>
      </w:r>
      <w:r>
        <w:rPr>
          <w:rFonts w:hint="cs"/>
          <w:sz w:val="20"/>
          <w:szCs w:val="20"/>
          <w:rtl/>
          <w:lang w:bidi="ar-AE"/>
        </w:rPr>
        <w:t>)؛</w:t>
      </w:r>
    </w:p>
    <w:p w:rsidR="008D6268" w:rsidRPr="00D95C5B" w:rsidRDefault="008D6268" w:rsidP="00804318">
      <w:pPr>
        <w:autoSpaceDE/>
        <w:autoSpaceDN/>
        <w:adjustRightInd/>
        <w:spacing w:line="240" w:lineRule="auto"/>
        <w:rPr>
          <w:sz w:val="20"/>
          <w:szCs w:val="20"/>
          <w:lang w:bidi="ar-AE"/>
        </w:rPr>
      </w:pPr>
      <w:r w:rsidRPr="00E94129">
        <w:rPr>
          <w:sz w:val="20"/>
          <w:szCs w:val="20"/>
        </w:rPr>
        <w:t xml:space="preserve">abū Dawūd Sulaīmān b. al-Ash'ath </w:t>
      </w:r>
      <w:r>
        <w:rPr>
          <w:sz w:val="20"/>
          <w:szCs w:val="20"/>
        </w:rPr>
        <w:t>al-Sijistānī</w:t>
      </w:r>
      <w:r w:rsidRPr="00E94129">
        <w:rPr>
          <w:sz w:val="20"/>
          <w:szCs w:val="20"/>
        </w:rPr>
        <w:t xml:space="preserve">, </w:t>
      </w:r>
      <w:r w:rsidRPr="00E94129">
        <w:rPr>
          <w:i/>
          <w:iCs/>
          <w:sz w:val="20"/>
          <w:szCs w:val="20"/>
        </w:rPr>
        <w:t>The Canonical Collection of Ḥadīth by Abū Dāwūd</w:t>
      </w:r>
      <w:r>
        <w:rPr>
          <w:i/>
          <w:iCs/>
          <w:sz w:val="20"/>
          <w:szCs w:val="20"/>
        </w:rPr>
        <w:t xml:space="preserve"> </w:t>
      </w:r>
      <w:r w:rsidRPr="00E94129">
        <w:rPr>
          <w:sz w:val="20"/>
          <w:szCs w:val="20"/>
        </w:rPr>
        <w:t>(Beirut: al-Maktabah al-‘Asrīyah, n.d.)</w:t>
      </w:r>
      <w:r>
        <w:rPr>
          <w:sz w:val="20"/>
          <w:szCs w:val="20"/>
        </w:rPr>
        <w:t xml:space="preserve">, [herafter Abū Dāwūd, </w:t>
      </w:r>
      <w:r w:rsidRPr="00E94129">
        <w:rPr>
          <w:i/>
          <w:iCs/>
          <w:sz w:val="20"/>
          <w:szCs w:val="20"/>
        </w:rPr>
        <w:t>The Canonical Collection of Ḥadīth by Abū Dāwūd</w:t>
      </w:r>
      <w:r>
        <w:rPr>
          <w:sz w:val="20"/>
          <w:szCs w:val="20"/>
          <w:lang w:bidi="ar-AE"/>
        </w:rPr>
        <w:t xml:space="preserve">]; </w:t>
      </w:r>
      <w:r w:rsidRPr="00E94129">
        <w:rPr>
          <w:i/>
          <w:iCs/>
          <w:sz w:val="20"/>
          <w:szCs w:val="20"/>
          <w:lang w:bidi="ar-AE"/>
        </w:rPr>
        <w:t xml:space="preserve">The </w:t>
      </w:r>
      <w:r w:rsidRPr="00E94129">
        <w:rPr>
          <w:i/>
          <w:iCs/>
          <w:sz w:val="20"/>
          <w:szCs w:val="20"/>
        </w:rPr>
        <w:t>Canonical Collection of Ḥadīth by ibn Mājah</w:t>
      </w:r>
      <w:r>
        <w:rPr>
          <w:i/>
          <w:iCs/>
          <w:sz w:val="20"/>
          <w:szCs w:val="20"/>
        </w:rPr>
        <w:t xml:space="preserve"> </w:t>
      </w:r>
      <w:r w:rsidRPr="00E94129">
        <w:rPr>
          <w:sz w:val="20"/>
          <w:szCs w:val="20"/>
          <w:lang w:bidi="ar-AE"/>
        </w:rPr>
        <w:t>(Beirut: Dār al-Risālah al-‘Ālamīyah, 2009)</w:t>
      </w:r>
      <w:r>
        <w:rPr>
          <w:sz w:val="20"/>
          <w:szCs w:val="20"/>
          <w:lang w:bidi="ar-AE"/>
        </w:rPr>
        <w:t xml:space="preserve">, [hereafter ibn Mājah, </w:t>
      </w:r>
      <w:r w:rsidRPr="00E94129">
        <w:rPr>
          <w:i/>
          <w:iCs/>
          <w:sz w:val="20"/>
          <w:szCs w:val="20"/>
          <w:lang w:bidi="ar-AE"/>
        </w:rPr>
        <w:t xml:space="preserve">The </w:t>
      </w:r>
      <w:r w:rsidRPr="00E94129">
        <w:rPr>
          <w:i/>
          <w:iCs/>
          <w:sz w:val="20"/>
          <w:szCs w:val="20"/>
        </w:rPr>
        <w:t>Canonical Collection of Ḥadīth by ibn Mājah</w:t>
      </w:r>
      <w:r>
        <w:rPr>
          <w:sz w:val="20"/>
          <w:szCs w:val="20"/>
        </w:rPr>
        <w:t xml:space="preserve">]; </w:t>
      </w:r>
      <w:r w:rsidRPr="00012124">
        <w:rPr>
          <w:rFonts w:eastAsia="Times New Roman" w:cs="Times New Roman"/>
          <w:sz w:val="20"/>
          <w:szCs w:val="20"/>
        </w:rPr>
        <w:t>al-Nawawī,</w:t>
      </w:r>
      <w:r>
        <w:rPr>
          <w:rFonts w:eastAsia="Times New Roman" w:cs="Times New Roman"/>
          <w:sz w:val="20"/>
          <w:szCs w:val="20"/>
        </w:rPr>
        <w:t xml:space="preserve"> </w:t>
      </w:r>
      <w:r w:rsidRPr="00012124">
        <w:rPr>
          <w:rFonts w:eastAsia="Times New Roman" w:cs="Times New Roman"/>
          <w:i/>
          <w:iCs/>
          <w:sz w:val="20"/>
          <w:szCs w:val="20"/>
        </w:rPr>
        <w:t>al-Nawawī’s Commentary</w:t>
      </w:r>
      <w:r>
        <w:rPr>
          <w:rFonts w:eastAsia="Times New Roman" w:cs="Times New Roman"/>
          <w:i/>
          <w:iCs/>
          <w:sz w:val="20"/>
          <w:szCs w:val="20"/>
        </w:rPr>
        <w:t>,</w:t>
      </w:r>
      <w:r w:rsidRPr="00012124">
        <w:rPr>
          <w:rFonts w:eastAsia="Times New Roman" w:cs="Times New Roman"/>
          <w:i/>
          <w:iCs/>
          <w:sz w:val="20"/>
          <w:szCs w:val="20"/>
        </w:rPr>
        <w:t xml:space="preserve"> </w:t>
      </w:r>
      <w:r>
        <w:rPr>
          <w:rFonts w:eastAsia="Times New Roman" w:cs="Times New Roman"/>
          <w:sz w:val="20"/>
          <w:szCs w:val="20"/>
        </w:rPr>
        <w:t xml:space="preserve">I:6; </w:t>
      </w:r>
      <w:r w:rsidRPr="008E0C92">
        <w:rPr>
          <w:sz w:val="20"/>
          <w:szCs w:val="20"/>
        </w:rPr>
        <w:t xml:space="preserve">al-Tahhan, </w:t>
      </w:r>
      <w:r w:rsidRPr="00A9170F">
        <w:rPr>
          <w:i/>
          <w:iCs/>
          <w:sz w:val="20"/>
          <w:szCs w:val="20"/>
          <w:lang w:bidi="ar-AE"/>
        </w:rPr>
        <w:t>The Fundamentals of the Extraction and Study of Ḥadīth</w:t>
      </w:r>
      <w:r>
        <w:rPr>
          <w:i/>
          <w:iCs/>
          <w:sz w:val="20"/>
          <w:szCs w:val="20"/>
          <w:lang w:bidi="ar-AE"/>
        </w:rPr>
        <w:t>,</w:t>
      </w:r>
      <w:r w:rsidRPr="008E0C92">
        <w:rPr>
          <w:sz w:val="20"/>
          <w:szCs w:val="20"/>
        </w:rPr>
        <w:t xml:space="preserve"> p.187</w:t>
      </w:r>
    </w:p>
  </w:footnote>
  <w:footnote w:id="218">
    <w:p w:rsidR="008D6268" w:rsidRDefault="008D6268" w:rsidP="00804318">
      <w:pPr>
        <w:pStyle w:val="FootnoteText"/>
      </w:pPr>
      <w:r>
        <w:rPr>
          <w:rStyle w:val="FootnoteReference"/>
        </w:rPr>
        <w:footnoteRef/>
      </w:r>
      <w:r>
        <w:t xml:space="preserve"> al-Tirmidhī, </w:t>
      </w:r>
      <w:r>
        <w:rPr>
          <w:i/>
          <w:iCs/>
          <w:lang w:bidi="ar-AE"/>
        </w:rPr>
        <w:t>The Great Compilation of al-Tirmidhī,</w:t>
      </w:r>
      <w:r>
        <w:rPr>
          <w:lang w:bidi="ar-AE"/>
        </w:rPr>
        <w:t xml:space="preserve"> book 33 on </w:t>
      </w:r>
      <w:r>
        <w:rPr>
          <w:i/>
          <w:iCs/>
          <w:lang w:bidi="ar-AE"/>
        </w:rPr>
        <w:t>Fitan</w:t>
      </w:r>
      <w:r>
        <w:rPr>
          <w:lang w:bidi="ar-AE"/>
        </w:rPr>
        <w:t>,</w:t>
      </w:r>
      <w:r>
        <w:rPr>
          <w:i/>
          <w:iCs/>
          <w:lang w:bidi="ar-AE"/>
        </w:rPr>
        <w:t xml:space="preserve"> </w:t>
      </w:r>
      <w:r>
        <w:rPr>
          <w:lang w:bidi="ar-AE"/>
        </w:rPr>
        <w:t>ḥadīth no. 2191</w:t>
      </w:r>
    </w:p>
  </w:footnote>
  <w:footnote w:id="219">
    <w:p w:rsidR="008D6268" w:rsidRDefault="008D6268" w:rsidP="00804318">
      <w:pPr>
        <w:pStyle w:val="FootnoteText"/>
        <w:rPr>
          <w:lang w:bidi="ar-AE"/>
        </w:rPr>
      </w:pPr>
      <w:r>
        <w:rPr>
          <w:rStyle w:val="FootnoteReference"/>
        </w:rPr>
        <w:footnoteRef/>
      </w:r>
      <w:r>
        <w:t xml:space="preserve"> Al-Tirmidhī, </w:t>
      </w:r>
      <w:r>
        <w:rPr>
          <w:i/>
          <w:iCs/>
          <w:lang w:bidi="ar-AE"/>
        </w:rPr>
        <w:t>The Great Compilation of al-Tirmidhī,</w:t>
      </w:r>
      <w:r>
        <w:rPr>
          <w:lang w:bidi="ar-AE"/>
        </w:rPr>
        <w:t xml:space="preserve"> book 33 on </w:t>
      </w:r>
      <w:r>
        <w:rPr>
          <w:i/>
          <w:iCs/>
          <w:lang w:bidi="ar-AE"/>
        </w:rPr>
        <w:t>Fitan</w:t>
      </w:r>
      <w:r>
        <w:rPr>
          <w:lang w:bidi="ar-AE"/>
        </w:rPr>
        <w:t>,</w:t>
      </w:r>
      <w:r>
        <w:rPr>
          <w:i/>
          <w:iCs/>
          <w:lang w:bidi="ar-AE"/>
        </w:rPr>
        <w:t xml:space="preserve"> </w:t>
      </w:r>
      <w:r>
        <w:rPr>
          <w:lang w:bidi="ar-AE"/>
        </w:rPr>
        <w:t>ḥadīth no. 2191:</w:t>
      </w:r>
    </w:p>
    <w:p w:rsidR="008D6268" w:rsidRDefault="008D6268" w:rsidP="00804318">
      <w:pPr>
        <w:pStyle w:val="FootnoteText"/>
        <w:bidi/>
      </w:pPr>
      <w:r>
        <w:t>"</w:t>
      </w:r>
      <w:r>
        <w:rPr>
          <w:rFonts w:eastAsia="Times New Roman" w:cs="Times New Roman"/>
          <w:rtl/>
        </w:rPr>
        <w:t>‏</w:t>
      </w:r>
      <w:r w:rsidRPr="00B919F1">
        <w:rPr>
          <w:rFonts w:eastAsia="Times New Roman" w:cs="Times New Roman"/>
          <w:rtl/>
        </w:rPr>
        <w:t>أَلاَ إِنَّهُ لَمْ يَبْقَ مِنَ الدُّنْيَا فِيمَا مَضَى مِنْهَا إِلاَّ كَمَا بَقِيَ مِنْ يَوْمِ</w:t>
      </w:r>
      <w:r>
        <w:rPr>
          <w:rFonts w:eastAsia="Times New Roman" w:cs="Times New Roman"/>
          <w:rtl/>
        </w:rPr>
        <w:t>كُمْ هَذَا فِيمَا مَضَى مِنْهُ</w:t>
      </w:r>
      <w:r w:rsidRPr="00B919F1">
        <w:rPr>
          <w:rFonts w:eastAsia="Times New Roman" w:cs="Times New Roman"/>
          <w:rtl/>
        </w:rPr>
        <w:t>"‏</w:t>
      </w:r>
    </w:p>
  </w:footnote>
  <w:footnote w:id="220">
    <w:p w:rsidR="008D6268" w:rsidRDefault="008D6268" w:rsidP="00804318">
      <w:pPr>
        <w:pStyle w:val="FootnoteText"/>
        <w:rPr>
          <w:rFonts w:eastAsia="Times New Roman"/>
        </w:rPr>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6:158</w:t>
      </w:r>
      <w:r>
        <w:rPr>
          <w:rFonts w:cs="Islamic Symbols"/>
          <w:sz w:val="22"/>
          <w:szCs w:val="22"/>
          <w:lang w:bidi="ar-AE"/>
        </w:rPr>
        <w:t xml:space="preserve">; </w:t>
      </w:r>
      <w:r>
        <w:rPr>
          <w:rFonts w:cs="Islamic Symbols"/>
          <w:lang w:bidi="ar-AE"/>
        </w:rPr>
        <w:t xml:space="preserve">al-Bukhārī, </w:t>
      </w:r>
      <w:r w:rsidRPr="00A65C0A">
        <w:rPr>
          <w:rFonts w:eastAsia="Times New Roman"/>
          <w:i/>
          <w:iCs/>
        </w:rPr>
        <w:t>Sahīh Al-Bukhārī</w:t>
      </w:r>
      <w:r>
        <w:rPr>
          <w:rFonts w:eastAsia="Times New Roman"/>
        </w:rPr>
        <w:t>,</w:t>
      </w:r>
      <w:r w:rsidRPr="00A65C0A">
        <w:rPr>
          <w:rFonts w:eastAsia="Times New Roman"/>
        </w:rPr>
        <w:t xml:space="preserve"> book </w:t>
      </w:r>
      <w:r>
        <w:rPr>
          <w:rFonts w:eastAsia="Times New Roman"/>
        </w:rPr>
        <w:t>60</w:t>
      </w:r>
      <w:r w:rsidRPr="00A65C0A">
        <w:rPr>
          <w:rFonts w:eastAsia="Times New Roman"/>
        </w:rPr>
        <w:t xml:space="preserve"> </w:t>
      </w:r>
      <w:r>
        <w:rPr>
          <w:rFonts w:eastAsia="Times New Roman"/>
        </w:rPr>
        <w:t xml:space="preserve">on </w:t>
      </w:r>
      <w:r w:rsidRPr="00A65C0A">
        <w:rPr>
          <w:i/>
          <w:iCs/>
        </w:rPr>
        <w:t>Prophetic Commentary on the Qur'an</w:t>
      </w:r>
      <w:r w:rsidRPr="00A65C0A">
        <w:rPr>
          <w:rFonts w:eastAsia="Times New Roman"/>
        </w:rPr>
        <w:t>,</w:t>
      </w:r>
      <w:r>
        <w:rPr>
          <w:rFonts w:eastAsia="Times New Roman"/>
        </w:rPr>
        <w:t xml:space="preserve"> ḥadīth no. 160:</w:t>
      </w:r>
    </w:p>
    <w:p w:rsidR="008D6268" w:rsidRDefault="008D6268" w:rsidP="00804318">
      <w:pPr>
        <w:pStyle w:val="FootnoteText"/>
        <w:bidi/>
      </w:pPr>
      <w:r>
        <w:rPr>
          <w:rStyle w:val="arabicsanad"/>
          <w:rtl/>
        </w:rPr>
        <w:t>‏</w:t>
      </w:r>
      <w:r>
        <w:rPr>
          <w:rtl/>
        </w:rPr>
        <w:t xml:space="preserve"> </w:t>
      </w:r>
      <w:r>
        <w:rPr>
          <w:rStyle w:val="arabictextdetails"/>
        </w:rPr>
        <w:t>"</w:t>
      </w:r>
      <w:r>
        <w:rPr>
          <w:rStyle w:val="arabictextdetails"/>
          <w:rtl/>
        </w:rPr>
        <w:t>‏لاَ تَقُومُ السَّاعَةُ حَتَّى تَطْلُعَ الشَّمْسُ مِنْ مَغْرِبِهَا فَإِذَا طَلَعَتْ وَرَآهَا النَّاسُ آمَنُوا أَجْمَعُونَ، وَذَلِكَ حِينَ لاَ يَنْفَعُ نَفْسًا إِيمَانُهَا</w:t>
      </w:r>
      <w:r>
        <w:rPr>
          <w:rStyle w:val="arabictextdetails"/>
        </w:rPr>
        <w:t>"</w:t>
      </w:r>
    </w:p>
  </w:footnote>
  <w:footnote w:id="221">
    <w:p w:rsidR="008D6268" w:rsidRPr="00AA33FF" w:rsidRDefault="008D6268" w:rsidP="00804318">
      <w:pPr>
        <w:pStyle w:val="NormalWeb"/>
        <w:spacing w:before="0" w:beforeAutospacing="0" w:after="0" w:afterAutospacing="0"/>
        <w:rPr>
          <w:rFonts w:ascii="Calibri" w:hAnsi="Calibri"/>
          <w:sz w:val="20"/>
          <w:szCs w:val="20"/>
          <w:lang w:bidi="ar-AE"/>
        </w:rPr>
      </w:pPr>
      <w:r w:rsidRPr="00CB4BBE">
        <w:rPr>
          <w:rStyle w:val="FootnoteReference"/>
          <w:rFonts w:ascii="Calibri" w:hAnsi="Calibri"/>
          <w:sz w:val="20"/>
          <w:szCs w:val="20"/>
        </w:rPr>
        <w:footnoteRef/>
      </w:r>
      <w:r w:rsidRPr="00CB4BBE">
        <w:rPr>
          <w:rFonts w:ascii="Calibri" w:hAnsi="Calibri"/>
          <w:sz w:val="20"/>
          <w:szCs w:val="20"/>
        </w:rPr>
        <w:t xml:space="preserve"> </w:t>
      </w:r>
      <w:r w:rsidRPr="000A2CDC">
        <w:rPr>
          <w:rFonts w:ascii="Calibri" w:hAnsi="Calibri"/>
          <w:sz w:val="20"/>
          <w:szCs w:val="20"/>
        </w:rPr>
        <w:t>Abū Dāwūd</w:t>
      </w:r>
      <w:r>
        <w:rPr>
          <w:rFonts w:ascii="Calibri" w:hAnsi="Calibri"/>
          <w:sz w:val="20"/>
          <w:szCs w:val="20"/>
        </w:rPr>
        <w:t>,</w:t>
      </w:r>
      <w:r w:rsidRPr="00E94129">
        <w:rPr>
          <w:rFonts w:ascii="Calibri" w:hAnsi="Calibri"/>
          <w:i/>
          <w:iCs/>
          <w:sz w:val="20"/>
          <w:szCs w:val="20"/>
        </w:rPr>
        <w:t xml:space="preserve"> The Canonical Collection of Ḥadīth by Abū Dāwūd</w:t>
      </w:r>
      <w:r>
        <w:rPr>
          <w:rFonts w:ascii="Calibri" w:hAnsi="Calibri"/>
          <w:sz w:val="20"/>
          <w:szCs w:val="20"/>
        </w:rPr>
        <w:t xml:space="preserve">, book 39 on </w:t>
      </w:r>
      <w:r>
        <w:rPr>
          <w:rFonts w:ascii="Calibri" w:hAnsi="Calibri"/>
          <w:i/>
          <w:iCs/>
          <w:sz w:val="20"/>
          <w:szCs w:val="20"/>
        </w:rPr>
        <w:t>Battles,</w:t>
      </w:r>
      <w:r w:rsidRPr="00E94129">
        <w:rPr>
          <w:rFonts w:ascii="Calibri" w:hAnsi="Calibri"/>
          <w:sz w:val="20"/>
          <w:szCs w:val="20"/>
        </w:rPr>
        <w:t xml:space="preserve"> </w:t>
      </w:r>
      <w:r>
        <w:rPr>
          <w:rFonts w:ascii="Calibri" w:hAnsi="Calibri"/>
          <w:sz w:val="20"/>
          <w:szCs w:val="20"/>
        </w:rPr>
        <w:t xml:space="preserve">ḥadīth nos. 4310; 4311; 4312; ibn Mājah, </w:t>
      </w:r>
      <w:r w:rsidRPr="00E94129">
        <w:rPr>
          <w:rFonts w:ascii="Calibri" w:hAnsi="Calibri"/>
          <w:i/>
          <w:iCs/>
          <w:sz w:val="20"/>
          <w:szCs w:val="20"/>
          <w:lang w:bidi="ar-AE"/>
        </w:rPr>
        <w:t xml:space="preserve">The </w:t>
      </w:r>
      <w:r w:rsidRPr="00E94129">
        <w:rPr>
          <w:rFonts w:ascii="Calibri" w:hAnsi="Calibri"/>
          <w:i/>
          <w:iCs/>
          <w:sz w:val="20"/>
          <w:szCs w:val="20"/>
        </w:rPr>
        <w:t>Canonical Collection of Ḥadīth by ibn Mājah</w:t>
      </w:r>
      <w:r>
        <w:rPr>
          <w:rFonts w:ascii="Calibri" w:hAnsi="Calibri"/>
          <w:sz w:val="20"/>
          <w:szCs w:val="20"/>
        </w:rPr>
        <w:t xml:space="preserve">, book 36 on </w:t>
      </w:r>
      <w:r w:rsidRPr="00E94129">
        <w:rPr>
          <w:rFonts w:ascii="Calibri" w:hAnsi="Calibri"/>
          <w:i/>
          <w:iCs/>
          <w:sz w:val="20"/>
          <w:szCs w:val="20"/>
        </w:rPr>
        <w:t>Tribulations</w:t>
      </w:r>
      <w:r>
        <w:rPr>
          <w:rFonts w:ascii="Calibri" w:hAnsi="Calibri"/>
          <w:i/>
          <w:iCs/>
          <w:sz w:val="20"/>
          <w:szCs w:val="20"/>
        </w:rPr>
        <w:t>,</w:t>
      </w:r>
      <w:r>
        <w:rPr>
          <w:rFonts w:ascii="Calibri" w:hAnsi="Calibri"/>
          <w:sz w:val="20"/>
          <w:szCs w:val="20"/>
          <w:lang w:bidi="ar-AE"/>
        </w:rPr>
        <w:t xml:space="preserve"> ḥadīth nos. 4068; 4069</w:t>
      </w:r>
      <w:r>
        <w:rPr>
          <w:rFonts w:asciiTheme="minorHAnsi" w:hAnsiTheme="minorHAnsi"/>
          <w:sz w:val="20"/>
          <w:szCs w:val="20"/>
          <w:lang w:bidi="ar-AE"/>
        </w:rPr>
        <w:t xml:space="preserve">; Muslim, </w:t>
      </w:r>
      <w:r w:rsidRPr="00C11181">
        <w:rPr>
          <w:rFonts w:ascii="Calibri" w:hAnsi="Calibri"/>
          <w:i/>
          <w:iCs/>
          <w:sz w:val="20"/>
          <w:szCs w:val="20"/>
        </w:rPr>
        <w:t>Sahīh Muslim</w:t>
      </w:r>
      <w:r w:rsidRPr="00C11181">
        <w:rPr>
          <w:rFonts w:ascii="Calibri" w:hAnsi="Calibri"/>
          <w:sz w:val="20"/>
          <w:szCs w:val="20"/>
        </w:rPr>
        <w:t xml:space="preserve">, book 1 on </w:t>
      </w:r>
      <w:r w:rsidRPr="00C11181">
        <w:rPr>
          <w:rFonts w:ascii="Calibri" w:hAnsi="Calibri"/>
          <w:i/>
          <w:iCs/>
          <w:sz w:val="20"/>
          <w:szCs w:val="20"/>
        </w:rPr>
        <w:t>Faith</w:t>
      </w:r>
      <w:r>
        <w:rPr>
          <w:rFonts w:ascii="Calibri" w:hAnsi="Calibri"/>
          <w:sz w:val="20"/>
          <w:szCs w:val="20"/>
        </w:rPr>
        <w:t>, hadith nos.</w:t>
      </w:r>
      <w:r w:rsidRPr="00C11181">
        <w:rPr>
          <w:rFonts w:ascii="Calibri" w:hAnsi="Calibri"/>
          <w:sz w:val="20"/>
          <w:szCs w:val="20"/>
        </w:rPr>
        <w:t xml:space="preserve"> 294; 295; 296; book 35 on</w:t>
      </w:r>
      <w:r w:rsidRPr="00022341">
        <w:rPr>
          <w:rFonts w:ascii="Calibri" w:hAnsi="Calibri"/>
          <w:i/>
          <w:iCs/>
          <w:sz w:val="20"/>
          <w:szCs w:val="20"/>
        </w:rPr>
        <w:t xml:space="preserve"> Remembrance of Allah, Supplication, Repentance and Seeking Forgiveness</w:t>
      </w:r>
      <w:r w:rsidRPr="00C11181">
        <w:rPr>
          <w:rFonts w:ascii="Calibri" w:hAnsi="Calibri"/>
          <w:sz w:val="20"/>
          <w:szCs w:val="20"/>
        </w:rPr>
        <w:t xml:space="preserve">, hadīth </w:t>
      </w:r>
      <w:r>
        <w:rPr>
          <w:rFonts w:ascii="Calibri" w:hAnsi="Calibri"/>
          <w:sz w:val="20"/>
          <w:szCs w:val="20"/>
        </w:rPr>
        <w:t xml:space="preserve">no. </w:t>
      </w:r>
      <w:r w:rsidRPr="00C11181">
        <w:rPr>
          <w:rFonts w:ascii="Calibri" w:hAnsi="Calibri"/>
          <w:sz w:val="20"/>
          <w:szCs w:val="20"/>
        </w:rPr>
        <w:t xml:space="preserve">6525; </w:t>
      </w:r>
      <w:r>
        <w:rPr>
          <w:rFonts w:ascii="Calibri" w:hAnsi="Calibri"/>
          <w:sz w:val="20"/>
          <w:szCs w:val="20"/>
        </w:rPr>
        <w:t xml:space="preserve">book 41 on </w:t>
      </w:r>
      <w:r w:rsidRPr="00022341">
        <w:rPr>
          <w:rFonts w:ascii="Calibri" w:hAnsi="Calibri"/>
          <w:i/>
          <w:iCs/>
          <w:sz w:val="20"/>
          <w:szCs w:val="20"/>
        </w:rPr>
        <w:t>Tribulations and Portents of the Last Hour</w:t>
      </w:r>
      <w:r>
        <w:rPr>
          <w:rFonts w:ascii="Calibri" w:hAnsi="Calibri"/>
          <w:sz w:val="20"/>
          <w:szCs w:val="20"/>
        </w:rPr>
        <w:t xml:space="preserve">, </w:t>
      </w:r>
      <w:r w:rsidRPr="00C11181">
        <w:rPr>
          <w:rFonts w:ascii="Calibri" w:hAnsi="Calibri"/>
          <w:sz w:val="20"/>
          <w:szCs w:val="20"/>
        </w:rPr>
        <w:t>hadīth</w:t>
      </w:r>
      <w:r>
        <w:rPr>
          <w:rFonts w:ascii="Calibri" w:hAnsi="Calibri"/>
          <w:sz w:val="20"/>
          <w:szCs w:val="20"/>
        </w:rPr>
        <w:t xml:space="preserve"> nos. 6931; 7025; 7039; al-Tirmidhī, </w:t>
      </w:r>
      <w:r w:rsidRPr="00C11181">
        <w:rPr>
          <w:rFonts w:ascii="Calibri" w:hAnsi="Calibri"/>
          <w:i/>
          <w:iCs/>
          <w:sz w:val="20"/>
          <w:szCs w:val="20"/>
          <w:lang w:bidi="ar-AE"/>
        </w:rPr>
        <w:t>The Great Compilation of al-Tirmidhī,</w:t>
      </w:r>
      <w:r w:rsidRPr="00C11181">
        <w:rPr>
          <w:rFonts w:ascii="Calibri" w:hAnsi="Calibri"/>
          <w:sz w:val="20"/>
          <w:szCs w:val="20"/>
          <w:lang w:bidi="ar-AE"/>
        </w:rPr>
        <w:t xml:space="preserve"> book 33 on </w:t>
      </w:r>
      <w:r w:rsidRPr="00C11181">
        <w:rPr>
          <w:rFonts w:ascii="Calibri" w:hAnsi="Calibri"/>
          <w:i/>
          <w:iCs/>
          <w:sz w:val="20"/>
          <w:szCs w:val="20"/>
          <w:lang w:bidi="ar-AE"/>
        </w:rPr>
        <w:t>Fitan</w:t>
      </w:r>
      <w:r w:rsidRPr="00C11181">
        <w:rPr>
          <w:rFonts w:ascii="Calibri" w:hAnsi="Calibri"/>
          <w:sz w:val="20"/>
          <w:szCs w:val="20"/>
          <w:lang w:bidi="ar-AE"/>
        </w:rPr>
        <w:t>,</w:t>
      </w:r>
      <w:r w:rsidRPr="00C11181">
        <w:rPr>
          <w:rFonts w:ascii="Calibri" w:hAnsi="Calibri"/>
          <w:i/>
          <w:iCs/>
          <w:sz w:val="20"/>
          <w:szCs w:val="20"/>
          <w:lang w:bidi="ar-AE"/>
        </w:rPr>
        <w:t xml:space="preserve"> </w:t>
      </w:r>
      <w:r w:rsidRPr="00C11181">
        <w:rPr>
          <w:rFonts w:ascii="Calibri" w:hAnsi="Calibri"/>
          <w:sz w:val="20"/>
          <w:szCs w:val="20"/>
          <w:lang w:bidi="ar-AE"/>
        </w:rPr>
        <w:t xml:space="preserve">ḥadīth </w:t>
      </w:r>
      <w:r>
        <w:rPr>
          <w:rFonts w:ascii="Calibri" w:hAnsi="Calibri"/>
          <w:sz w:val="20"/>
          <w:szCs w:val="20"/>
          <w:lang w:bidi="ar-AE"/>
        </w:rPr>
        <w:t xml:space="preserve">no. </w:t>
      </w:r>
      <w:r w:rsidRPr="00C11181">
        <w:rPr>
          <w:rFonts w:ascii="Calibri" w:hAnsi="Calibri"/>
          <w:sz w:val="20"/>
          <w:szCs w:val="20"/>
          <w:lang w:bidi="ar-AE"/>
        </w:rPr>
        <w:t>2186; book 4</w:t>
      </w:r>
      <w:r>
        <w:rPr>
          <w:rFonts w:ascii="Calibri" w:hAnsi="Calibri"/>
          <w:sz w:val="20"/>
          <w:szCs w:val="20"/>
          <w:lang w:bidi="ar-AE"/>
        </w:rPr>
        <w:t>7</w:t>
      </w:r>
      <w:r w:rsidRPr="00C11181">
        <w:rPr>
          <w:rFonts w:ascii="Calibri" w:hAnsi="Calibri"/>
          <w:sz w:val="20"/>
          <w:szCs w:val="20"/>
          <w:lang w:bidi="ar-AE"/>
        </w:rPr>
        <w:t xml:space="preserve"> on </w:t>
      </w:r>
      <w:r w:rsidRPr="00C11181">
        <w:rPr>
          <w:rFonts w:ascii="Calibri" w:hAnsi="Calibri"/>
          <w:i/>
          <w:iCs/>
          <w:sz w:val="20"/>
          <w:szCs w:val="20"/>
          <w:lang w:bidi="ar-AE"/>
        </w:rPr>
        <w:t>Qur'ān Interpretation,</w:t>
      </w:r>
      <w:r w:rsidRPr="00C11181">
        <w:rPr>
          <w:rFonts w:ascii="Calibri" w:hAnsi="Calibri"/>
          <w:sz w:val="20"/>
          <w:szCs w:val="20"/>
          <w:lang w:bidi="ar-AE"/>
        </w:rPr>
        <w:t xml:space="preserve"> </w:t>
      </w:r>
      <w:r>
        <w:rPr>
          <w:rFonts w:ascii="Calibri" w:hAnsi="Calibri"/>
          <w:sz w:val="20"/>
          <w:szCs w:val="20"/>
        </w:rPr>
        <w:t>ḥadīth no. 3350</w:t>
      </w:r>
    </w:p>
  </w:footnote>
  <w:footnote w:id="222">
    <w:p w:rsidR="008D6268" w:rsidRDefault="008D6268" w:rsidP="00804318">
      <w:pPr>
        <w:pStyle w:val="FootnoteText"/>
        <w:rPr>
          <w:rFonts w:eastAsia="Times New Roman"/>
        </w:rPr>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xml:space="preserve">, 36:38; al-Bukhārī, </w:t>
      </w:r>
      <w:r w:rsidRPr="00A65C0A">
        <w:rPr>
          <w:rFonts w:eastAsia="Times New Roman"/>
          <w:i/>
          <w:iCs/>
        </w:rPr>
        <w:t>Sahīh Al-Bukhārī</w:t>
      </w:r>
      <w:r>
        <w:rPr>
          <w:rFonts w:eastAsia="Times New Roman"/>
        </w:rPr>
        <w:t>,</w:t>
      </w:r>
      <w:r w:rsidRPr="00A65C0A">
        <w:rPr>
          <w:rFonts w:eastAsia="Times New Roman"/>
        </w:rPr>
        <w:t xml:space="preserve"> book </w:t>
      </w:r>
      <w:r>
        <w:rPr>
          <w:rFonts w:eastAsia="Times New Roman"/>
        </w:rPr>
        <w:t xml:space="preserve">54 on </w:t>
      </w:r>
      <w:r>
        <w:rPr>
          <w:i/>
          <w:iCs/>
        </w:rPr>
        <w:t>Beginning of Creation</w:t>
      </w:r>
      <w:r w:rsidRPr="00A65C0A">
        <w:rPr>
          <w:rFonts w:eastAsia="Times New Roman"/>
        </w:rPr>
        <w:t>,</w:t>
      </w:r>
      <w:r>
        <w:rPr>
          <w:rFonts w:eastAsia="Times New Roman"/>
        </w:rPr>
        <w:t xml:space="preserve"> ḥadīth no. 421:</w:t>
      </w:r>
    </w:p>
    <w:p w:rsidR="008D6268" w:rsidRDefault="008D6268" w:rsidP="00804318">
      <w:pPr>
        <w:pStyle w:val="FootnoteText"/>
        <w:bidi/>
      </w:pPr>
      <w:r>
        <w:rPr>
          <w:rStyle w:val="arabictextdetails"/>
          <w:rtl/>
        </w:rPr>
        <w:t>‏</w:t>
      </w:r>
      <w:r>
        <w:rPr>
          <w:rStyle w:val="arabictextdetails"/>
          <w:rFonts w:hint="cs"/>
          <w:rtl/>
        </w:rPr>
        <w:t>"</w:t>
      </w:r>
      <w:r>
        <w:rPr>
          <w:rStyle w:val="arabictextdetails"/>
          <w:rtl/>
        </w:rPr>
        <w:t xml:space="preserve">فَإِنَّهَا تَذْهَبُ حَتَّى تَسْجُدَ تَحْتَ الْعَرْشِ، فَتَسْتَأْذِنَ فَيُؤْذَنَ لَهَا، وَيُوشِكُ أَنْ تَسْجُدَ فَلاَ يُقْبَلَ مِنْهَا، وَتَسْتَأْذِنَ فَلاَ يُؤْذَنَ لَهَا، يُقَالُ لَهَا ارْجِعِي مِنْ حَيْثُ جِئْتِ‏.‏ فَتَطْلُعُ مِنْ مَغْرِبِهَا، فَذَلِكَ قَوْلُهُ تَعَالَى </w:t>
      </w:r>
      <w:r w:rsidRPr="00AA33FF">
        <w:rPr>
          <w:rStyle w:val="arabictextdetails"/>
          <w:rtl/>
        </w:rPr>
        <w:t>‏</w:t>
      </w:r>
      <w:bookmarkStart w:id="39" w:name="q9"/>
      <w:r w:rsidRPr="00AA33FF">
        <w:rPr>
          <w:rStyle w:val="arabictextdetails"/>
          <w:rFonts w:ascii="AGA Arabesque" w:hAnsi="AGA Arabesque"/>
        </w:rPr>
        <w:fldChar w:fldCharType="begin"/>
      </w:r>
      <w:r w:rsidRPr="00C867FC">
        <w:rPr>
          <w:rStyle w:val="arabictextdetails"/>
          <w:rFonts w:ascii="AGA Arabesque" w:hAnsi="AGA Arabesque"/>
        </w:rPr>
        <w:instrText xml:space="preserve"> HYPERLINK "javascript:openquran(35,38,38)" </w:instrText>
      </w:r>
      <w:r w:rsidRPr="00AA33FF">
        <w:rPr>
          <w:rStyle w:val="arabictextdetails"/>
          <w:rFonts w:ascii="AGA Arabesque" w:hAnsi="AGA Arabesque"/>
        </w:rPr>
        <w:fldChar w:fldCharType="separate"/>
      </w:r>
      <w:r>
        <w:rPr>
          <w:rStyle w:val="Hyperlink"/>
          <w:rFonts w:ascii="AGA Arabesque" w:hAnsi="AGA Arabesque"/>
          <w:color w:val="auto"/>
          <w:u w:val="none"/>
        </w:rPr>
        <w:t>]</w:t>
      </w:r>
      <w:r w:rsidRPr="00C867FC">
        <w:rPr>
          <w:rStyle w:val="Hyperlink"/>
          <w:rFonts w:ascii="AGA Arabesque" w:hAnsi="AGA Arabesque"/>
          <w:color w:val="auto"/>
          <w:u w:val="none"/>
          <w:rtl/>
        </w:rPr>
        <w:t>وَالشَّمْسُ</w:t>
      </w:r>
      <w:r w:rsidRPr="00AA33FF">
        <w:rPr>
          <w:rStyle w:val="Hyperlink"/>
          <w:color w:val="auto"/>
          <w:u w:val="none"/>
          <w:rtl/>
        </w:rPr>
        <w:t xml:space="preserve"> تَجْرِي لِمُسْتَقَرٍّ لَهَا ذَلِكَ </w:t>
      </w:r>
      <w:r>
        <w:rPr>
          <w:rStyle w:val="Hyperlink"/>
          <w:color w:val="auto"/>
          <w:u w:val="none"/>
          <w:rtl/>
        </w:rPr>
        <w:t>تَقْدِيرُ الْعَزِيزِ الْعَلِيمِ</w:t>
      </w:r>
      <w:r>
        <w:rPr>
          <w:rStyle w:val="Hyperlink"/>
          <w:rFonts w:ascii="AGA Arabesque" w:hAnsi="AGA Arabesque"/>
          <w:color w:val="auto"/>
          <w:u w:val="none"/>
        </w:rPr>
        <w:t>[</w:t>
      </w:r>
      <w:r w:rsidRPr="00AA33FF">
        <w:rPr>
          <w:rStyle w:val="arabictextdetails"/>
        </w:rPr>
        <w:fldChar w:fldCharType="end"/>
      </w:r>
      <w:bookmarkEnd w:id="39"/>
      <w:r>
        <w:rPr>
          <w:rStyle w:val="arabictextdetails"/>
          <w:rtl/>
        </w:rPr>
        <w:t>"‏‏</w:t>
      </w:r>
    </w:p>
  </w:footnote>
  <w:footnote w:id="223">
    <w:p w:rsidR="008D6268" w:rsidRDefault="008D6268" w:rsidP="00804318">
      <w:pPr>
        <w:pStyle w:val="FootnoteText"/>
      </w:pPr>
      <w:r>
        <w:rPr>
          <w:rStyle w:val="FootnoteReference"/>
        </w:rPr>
        <w:footnoteRef/>
      </w:r>
      <w:r>
        <w:t xml:space="preserve"> </w:t>
      </w:r>
      <w:r w:rsidRPr="004A2EE4">
        <w:rPr>
          <w:rFonts w:eastAsia="Times New Roman" w:cs="Times New Roman"/>
          <w:i/>
          <w:iCs/>
        </w:rPr>
        <w:t>The Meaning of the Holy Qur’ān</w:t>
      </w:r>
      <w:r>
        <w:rPr>
          <w:rFonts w:eastAsia="Times New Roman" w:cs="Times New Roman"/>
        </w:rPr>
        <w:t>: 22:18</w:t>
      </w:r>
    </w:p>
  </w:footnote>
  <w:footnote w:id="224">
    <w:p w:rsidR="008D6268" w:rsidRDefault="008D6268" w:rsidP="00804318">
      <w:pPr>
        <w:pStyle w:val="FootnoteText"/>
        <w:rPr>
          <w:rtl/>
          <w:lang w:bidi="ar-AE"/>
        </w:rPr>
      </w:pPr>
      <w:r>
        <w:rPr>
          <w:rStyle w:val="FootnoteReference"/>
        </w:rPr>
        <w:footnoteRef/>
      </w:r>
      <w:r>
        <w:t xml:space="preserve"> </w:t>
      </w:r>
      <w:r>
        <w:rPr>
          <w:rFonts w:hint="cs"/>
          <w:rtl/>
          <w:lang w:bidi="ar-AE"/>
        </w:rPr>
        <w:t xml:space="preserve">محمد بن أبي بكر بن قيم الجوزية، </w:t>
      </w:r>
      <w:r w:rsidRPr="00C54FE6">
        <w:rPr>
          <w:rFonts w:hint="cs"/>
          <w:b/>
          <w:bCs/>
          <w:rtl/>
          <w:lang w:bidi="ar-AE"/>
        </w:rPr>
        <w:t>مدارج السالكين بين إياك نعبد وإياك نستعين</w:t>
      </w:r>
      <w:r>
        <w:rPr>
          <w:rFonts w:hint="cs"/>
          <w:rtl/>
          <w:lang w:bidi="ar-AE"/>
        </w:rPr>
        <w:t>، تحقيق محمد المعتصم بالله البغدادي (بيروت: دار الكتاب العربي، 1996): 1/127-128</w:t>
      </w:r>
    </w:p>
    <w:p w:rsidR="008D6268" w:rsidRDefault="008D6268" w:rsidP="001F367A">
      <w:pPr>
        <w:pStyle w:val="FootnoteText"/>
        <w:rPr>
          <w:lang w:bidi="ar-AE"/>
        </w:rPr>
      </w:pPr>
      <w:r>
        <w:rPr>
          <w:lang w:bidi="ar-AE"/>
        </w:rPr>
        <w:t xml:space="preserve">Muḥammad b. abī Bakr ibn Qayyim al-Jawzīyya, </w:t>
      </w:r>
      <w:r w:rsidRPr="000A6FD8">
        <w:rPr>
          <w:i/>
          <w:iCs/>
          <w:lang w:bidi="ar-AE"/>
        </w:rPr>
        <w:t xml:space="preserve">Madārij al-Sālikīn Or The </w:t>
      </w:r>
      <w:r>
        <w:rPr>
          <w:i/>
          <w:iCs/>
          <w:lang w:bidi="ar-AE"/>
        </w:rPr>
        <w:t>Stages of the Wayfarer</w:t>
      </w:r>
      <w:r w:rsidRPr="000A6FD8">
        <w:rPr>
          <w:i/>
          <w:iCs/>
          <w:lang w:bidi="ar-AE"/>
        </w:rPr>
        <w:t>s</w:t>
      </w:r>
      <w:r>
        <w:rPr>
          <w:lang w:bidi="ar-AE"/>
        </w:rPr>
        <w:t xml:space="preserve">, ed. by Mohammad al-Mu'tasim bi'llah al-Baghdadi (Beirut: Dār al-Kitāb al-'Arabī, 1996): I:127-128 </w:t>
      </w:r>
    </w:p>
  </w:footnote>
  <w:footnote w:id="225">
    <w:p w:rsidR="008D6268" w:rsidRDefault="008D6268" w:rsidP="00804318">
      <w:pPr>
        <w:pStyle w:val="FootnoteText"/>
      </w:pPr>
      <w:r>
        <w:rPr>
          <w:rStyle w:val="FootnoteReference"/>
        </w:rPr>
        <w:footnoteRef/>
      </w:r>
      <w:r>
        <w:t xml:space="preserve"> al-Ghazālī, </w:t>
      </w:r>
      <w:r w:rsidRPr="00F34327">
        <w:rPr>
          <w:i/>
        </w:rPr>
        <w:t>Deliverance from Error</w:t>
      </w:r>
      <w:r>
        <w:t>, p.83:</w:t>
      </w:r>
    </w:p>
    <w:p w:rsidR="008D6268" w:rsidRPr="00F34327" w:rsidRDefault="008D6268" w:rsidP="00804318">
      <w:pPr>
        <w:pStyle w:val="FootnoteText"/>
        <w:bidi/>
        <w:rPr>
          <w:rtl/>
          <w:lang w:bidi="ar-AE"/>
        </w:rPr>
      </w:pPr>
      <w:r>
        <w:rPr>
          <w:rFonts w:hint="cs"/>
          <w:rtl/>
          <w:lang w:bidi="ar-AE"/>
        </w:rPr>
        <w:t>"الطبيعة مسخرة لله تعالى، لا تعمل بنفسها، بل هي مستعملة من جهة فاطرها. والشمس والقمر والنجوم والطبائع مسخرات بأمره لا فعل لشيء بذاته عن ذاته."</w:t>
      </w:r>
    </w:p>
  </w:footnote>
  <w:footnote w:id="226">
    <w:p w:rsidR="008D6268" w:rsidRDefault="008D6268" w:rsidP="00804318">
      <w:pPr>
        <w:pStyle w:val="FootnoteText"/>
      </w:pPr>
      <w:r>
        <w:rPr>
          <w:rStyle w:val="FootnoteReference"/>
        </w:rPr>
        <w:footnoteRef/>
      </w:r>
      <w:r>
        <w:t xml:space="preserve"> Job Y. Jindo, 'On Myth and History in Prophetic and Apocalyptic Eschatology', </w:t>
      </w:r>
      <w:r w:rsidRPr="00C32F24">
        <w:rPr>
          <w:i/>
        </w:rPr>
        <w:t xml:space="preserve">Vetus Testamentum, </w:t>
      </w:r>
      <w:r>
        <w:t>(2005), p.412</w:t>
      </w:r>
    </w:p>
  </w:footnote>
  <w:footnote w:id="227">
    <w:p w:rsidR="008D6268" w:rsidRDefault="008D6268" w:rsidP="00804318">
      <w:pPr>
        <w:pStyle w:val="FootnoteText"/>
      </w:pPr>
      <w:r>
        <w:rPr>
          <w:rStyle w:val="FootnoteReference"/>
        </w:rPr>
        <w:footnoteRef/>
      </w:r>
      <w:r>
        <w:t xml:space="preserve"> al-Tirmidhī, </w:t>
      </w:r>
      <w:r w:rsidRPr="00C11181">
        <w:rPr>
          <w:i/>
          <w:iCs/>
          <w:lang w:bidi="ar-AE"/>
        </w:rPr>
        <w:t>The Great Compilation of al-Tirmidhī,</w:t>
      </w:r>
      <w:r w:rsidRPr="00C11181">
        <w:rPr>
          <w:lang w:bidi="ar-AE"/>
        </w:rPr>
        <w:t xml:space="preserve"> book </w:t>
      </w:r>
      <w:r>
        <w:rPr>
          <w:lang w:bidi="ar-AE"/>
        </w:rPr>
        <w:t>48</w:t>
      </w:r>
      <w:r w:rsidRPr="00C11181">
        <w:rPr>
          <w:lang w:bidi="ar-AE"/>
        </w:rPr>
        <w:t xml:space="preserve"> on </w:t>
      </w:r>
      <w:r>
        <w:rPr>
          <w:i/>
          <w:iCs/>
          <w:lang w:bidi="ar-AE"/>
        </w:rPr>
        <w:t>Supplication</w:t>
      </w:r>
      <w:r w:rsidRPr="00C11181">
        <w:rPr>
          <w:lang w:bidi="ar-AE"/>
        </w:rPr>
        <w:t>,</w:t>
      </w:r>
      <w:r w:rsidRPr="00C11181">
        <w:rPr>
          <w:i/>
          <w:iCs/>
          <w:lang w:bidi="ar-AE"/>
        </w:rPr>
        <w:t xml:space="preserve"> </w:t>
      </w:r>
      <w:r>
        <w:t>hadith no. 3535</w:t>
      </w:r>
    </w:p>
  </w:footnote>
  <w:footnote w:id="228">
    <w:p w:rsidR="008D6268" w:rsidRDefault="008D6268" w:rsidP="00804318">
      <w:pPr>
        <w:pStyle w:val="FootnoteText"/>
        <w:rPr>
          <w:rtl/>
          <w:lang w:bidi="ar-AE"/>
        </w:rPr>
      </w:pPr>
      <w:r>
        <w:rPr>
          <w:rStyle w:val="FootnoteReference"/>
        </w:rPr>
        <w:footnoteRef/>
      </w:r>
      <w:r>
        <w:t xml:space="preserve"> </w:t>
      </w:r>
      <w:r>
        <w:rPr>
          <w:rFonts w:hint="cs"/>
          <w:rtl/>
          <w:lang w:bidi="ar-AE"/>
        </w:rPr>
        <w:t>أحمد بن محمد بن إبراهيم الثعلبي،</w:t>
      </w:r>
      <w:r w:rsidRPr="00053BB1">
        <w:rPr>
          <w:rFonts w:hint="cs"/>
          <w:b/>
          <w:bCs/>
          <w:rtl/>
          <w:lang w:bidi="ar-AE"/>
        </w:rPr>
        <w:t xml:space="preserve"> الكشف والبيان عن تفسير القرآن</w:t>
      </w:r>
      <w:r>
        <w:rPr>
          <w:rFonts w:hint="cs"/>
          <w:rtl/>
          <w:lang w:bidi="ar-AE"/>
        </w:rPr>
        <w:t>، تحقيق الإمام أبي محمد بن عاشور (بيروت: دار إحياء التراث العربي، 2002): 4/207-208</w:t>
      </w:r>
    </w:p>
    <w:p w:rsidR="008D6268" w:rsidRPr="003D1E0E" w:rsidRDefault="008D6268" w:rsidP="00804318">
      <w:pPr>
        <w:pStyle w:val="FootnoteText"/>
        <w:rPr>
          <w:rFonts w:eastAsia="Times New Roman" w:cs="Times New Roman"/>
        </w:rPr>
      </w:pPr>
      <w:r w:rsidRPr="00BC34FF">
        <w:rPr>
          <w:rFonts w:eastAsia="Times New Roman" w:cs="Times New Roman"/>
        </w:rPr>
        <w:t>Aḥmad</w:t>
      </w:r>
      <w:r>
        <w:rPr>
          <w:rFonts w:eastAsia="Times New Roman" w:cs="Times New Roman"/>
        </w:rPr>
        <w:t xml:space="preserve"> b. Muḥammad b. Ibrāhīm al-Tha'labī, </w:t>
      </w:r>
      <w:r w:rsidRPr="002E6E7B">
        <w:rPr>
          <w:rFonts w:eastAsia="Times New Roman" w:cs="Times New Roman"/>
          <w:i/>
          <w:iCs/>
        </w:rPr>
        <w:t>al-Kashf wa'l-Bayān 'an Taf</w:t>
      </w:r>
      <w:r>
        <w:rPr>
          <w:rFonts w:eastAsia="Times New Roman" w:cs="Times New Roman"/>
          <w:i/>
          <w:iCs/>
        </w:rPr>
        <w:t>s</w:t>
      </w:r>
      <w:r w:rsidRPr="002E6E7B">
        <w:rPr>
          <w:rFonts w:eastAsia="Times New Roman" w:cs="Times New Roman"/>
          <w:i/>
          <w:iCs/>
        </w:rPr>
        <w:t xml:space="preserve">īr al-Qur'ān Or </w:t>
      </w:r>
      <w:r w:rsidRPr="002E6E7B">
        <w:rPr>
          <w:rFonts w:eastAsia="Times New Roman" w:cs="Times New Roman"/>
          <w:i/>
          <w:iCs/>
          <w:lang w:bidi="ar-AE"/>
        </w:rPr>
        <w:t>The Unveiling and Clarification on Qur'ān</w:t>
      </w:r>
      <w:r>
        <w:rPr>
          <w:rFonts w:eastAsia="Times New Roman" w:cs="Times New Roman"/>
          <w:i/>
          <w:iCs/>
          <w:lang w:bidi="ar-AE"/>
        </w:rPr>
        <w:t>ic</w:t>
      </w:r>
      <w:r w:rsidRPr="002E6E7B">
        <w:rPr>
          <w:rFonts w:eastAsia="Times New Roman" w:cs="Times New Roman"/>
          <w:i/>
          <w:iCs/>
          <w:lang w:bidi="ar-AE"/>
        </w:rPr>
        <w:t xml:space="preserve"> </w:t>
      </w:r>
      <w:r>
        <w:rPr>
          <w:rFonts w:eastAsia="Times New Roman" w:cs="Times New Roman"/>
          <w:i/>
          <w:iCs/>
          <w:lang w:bidi="ar-AE"/>
        </w:rPr>
        <w:t>E</w:t>
      </w:r>
      <w:r w:rsidRPr="002E6E7B">
        <w:rPr>
          <w:rFonts w:eastAsia="Times New Roman" w:cs="Times New Roman"/>
          <w:i/>
          <w:iCs/>
          <w:lang w:bidi="ar-AE"/>
        </w:rPr>
        <w:t>xegesis</w:t>
      </w:r>
      <w:r>
        <w:rPr>
          <w:rFonts w:eastAsia="Times New Roman" w:cs="Times New Roman"/>
          <w:lang w:bidi="ar-AE"/>
        </w:rPr>
        <w:t xml:space="preserve">, ed. by Imām Abū Muḥammad b. 'Āshūr (Beirut: Dār Iḥyā' al-Turāth al-'Arabi, 2002), [hereafter </w:t>
      </w:r>
      <w:r>
        <w:rPr>
          <w:rFonts w:eastAsia="Times New Roman" w:cs="Times New Roman"/>
        </w:rPr>
        <w:t xml:space="preserve">al-Tha'labī, </w:t>
      </w:r>
      <w:r w:rsidRPr="002E6E7B">
        <w:rPr>
          <w:rFonts w:eastAsia="Times New Roman" w:cs="Times New Roman"/>
          <w:i/>
          <w:iCs/>
          <w:lang w:bidi="ar-AE"/>
        </w:rPr>
        <w:t>The Unveiling on Qur'ān</w:t>
      </w:r>
      <w:r>
        <w:rPr>
          <w:rFonts w:eastAsia="Times New Roman" w:cs="Times New Roman"/>
          <w:i/>
          <w:iCs/>
          <w:lang w:bidi="ar-AE"/>
        </w:rPr>
        <w:t>ic</w:t>
      </w:r>
      <w:r w:rsidRPr="002E6E7B">
        <w:rPr>
          <w:rFonts w:eastAsia="Times New Roman" w:cs="Times New Roman"/>
          <w:i/>
          <w:iCs/>
          <w:lang w:bidi="ar-AE"/>
        </w:rPr>
        <w:t xml:space="preserve"> </w:t>
      </w:r>
      <w:r>
        <w:rPr>
          <w:rFonts w:eastAsia="Times New Roman" w:cs="Times New Roman"/>
          <w:i/>
          <w:iCs/>
          <w:lang w:bidi="ar-AE"/>
        </w:rPr>
        <w:t>E</w:t>
      </w:r>
      <w:r w:rsidRPr="002E6E7B">
        <w:rPr>
          <w:rFonts w:eastAsia="Times New Roman" w:cs="Times New Roman"/>
          <w:i/>
          <w:iCs/>
          <w:lang w:bidi="ar-AE"/>
        </w:rPr>
        <w:t>xegesis</w:t>
      </w:r>
      <w:r>
        <w:rPr>
          <w:rFonts w:eastAsia="Times New Roman" w:cs="Times New Roman"/>
        </w:rPr>
        <w:t>]</w:t>
      </w:r>
      <w:r>
        <w:rPr>
          <w:rFonts w:eastAsia="Times New Roman" w:cs="Times New Roman"/>
          <w:lang w:bidi="ar-AE"/>
        </w:rPr>
        <w:t>: IV:207-208;</w:t>
      </w:r>
      <w:r w:rsidRPr="00BC34FF">
        <w:rPr>
          <w:rFonts w:eastAsia="Times New Roman" w:cs="Times New Roman"/>
        </w:rPr>
        <w:t xml:space="preserve"> </w:t>
      </w:r>
      <w:r w:rsidRPr="004A2EE4">
        <w:rPr>
          <w:rFonts w:eastAsia="Times New Roman" w:cs="Times New Roman"/>
          <w:i/>
          <w:iCs/>
        </w:rPr>
        <w:t>The Meaning of the Holy Qur’ān</w:t>
      </w:r>
      <w:r>
        <w:rPr>
          <w:rFonts w:eastAsia="Times New Roman" w:cs="Times New Roman"/>
        </w:rPr>
        <w:t>, 81:1; 75:9</w:t>
      </w:r>
    </w:p>
  </w:footnote>
  <w:footnote w:id="229">
    <w:p w:rsidR="008D6268" w:rsidRDefault="008D6268" w:rsidP="00804318">
      <w:pPr>
        <w:pStyle w:val="FootnoteText"/>
      </w:pPr>
      <w:r>
        <w:rPr>
          <w:rStyle w:val="FootnoteReference"/>
        </w:rPr>
        <w:footnoteRef/>
      </w:r>
      <w:r>
        <w:t xml:space="preserve"> </w:t>
      </w:r>
      <w:r>
        <w:rPr>
          <w:rFonts w:eastAsia="Times New Roman" w:cs="Times New Roman"/>
        </w:rPr>
        <w:t xml:space="preserve">al-Tha'labī, </w:t>
      </w:r>
      <w:r w:rsidRPr="002E6E7B">
        <w:rPr>
          <w:rFonts w:eastAsia="Times New Roman" w:cs="Times New Roman"/>
          <w:i/>
          <w:iCs/>
          <w:lang w:bidi="ar-AE"/>
        </w:rPr>
        <w:t>The Unveiling on Qur'ān</w:t>
      </w:r>
      <w:r>
        <w:rPr>
          <w:rFonts w:eastAsia="Times New Roman" w:cs="Times New Roman"/>
          <w:i/>
          <w:iCs/>
          <w:lang w:bidi="ar-AE"/>
        </w:rPr>
        <w:t>ic</w:t>
      </w:r>
      <w:r w:rsidRPr="002E6E7B">
        <w:rPr>
          <w:rFonts w:eastAsia="Times New Roman" w:cs="Times New Roman"/>
          <w:i/>
          <w:iCs/>
          <w:lang w:bidi="ar-AE"/>
        </w:rPr>
        <w:t xml:space="preserve"> </w:t>
      </w:r>
      <w:r>
        <w:rPr>
          <w:rFonts w:eastAsia="Times New Roman" w:cs="Times New Roman"/>
          <w:i/>
          <w:iCs/>
          <w:lang w:bidi="ar-AE"/>
        </w:rPr>
        <w:t>E</w:t>
      </w:r>
      <w:r w:rsidRPr="002E6E7B">
        <w:rPr>
          <w:rFonts w:eastAsia="Times New Roman" w:cs="Times New Roman"/>
          <w:i/>
          <w:iCs/>
          <w:lang w:bidi="ar-AE"/>
        </w:rPr>
        <w:t>xegesis</w:t>
      </w:r>
      <w:r>
        <w:rPr>
          <w:rFonts w:eastAsia="Times New Roman" w:cs="Times New Roman"/>
          <w:i/>
          <w:iCs/>
          <w:lang w:bidi="ar-AE"/>
        </w:rPr>
        <w:t>,</w:t>
      </w:r>
      <w:r>
        <w:rPr>
          <w:rFonts w:eastAsia="Times New Roman" w:cs="Times New Roman"/>
        </w:rPr>
        <w:t xml:space="preserve"> IV:208-209</w:t>
      </w:r>
    </w:p>
  </w:footnote>
  <w:footnote w:id="230">
    <w:p w:rsidR="008D6268" w:rsidRDefault="008D6268" w:rsidP="00804318">
      <w:pPr>
        <w:pStyle w:val="FootnoteText"/>
      </w:pPr>
      <w:r>
        <w:rPr>
          <w:rStyle w:val="FootnoteReference"/>
        </w:rPr>
        <w:footnoteRef/>
      </w:r>
      <w:r>
        <w:t xml:space="preserve"> John J. Collins, 'What is Apocalyptic Literature?', in </w:t>
      </w:r>
      <w:r w:rsidRPr="00132D18">
        <w:rPr>
          <w:i/>
        </w:rPr>
        <w:t>The Oxford Handbook of Apocalyptic Literature</w:t>
      </w:r>
      <w:r>
        <w:t xml:space="preserve">, ed. by John J. Collins (Oxford: Oxford University Press, 2014),  p.9; Eliade, </w:t>
      </w:r>
      <w:r w:rsidRPr="00C826D6">
        <w:rPr>
          <w:i/>
          <w:iCs/>
        </w:rPr>
        <w:t>Cosmos and History</w:t>
      </w:r>
      <w:r>
        <w:t>, p.104</w:t>
      </w:r>
    </w:p>
  </w:footnote>
  <w:footnote w:id="231">
    <w:p w:rsidR="008D6268" w:rsidRDefault="008D6268" w:rsidP="00804318">
      <w:pPr>
        <w:pStyle w:val="FootnoteText"/>
      </w:pPr>
      <w:r>
        <w:rPr>
          <w:rStyle w:val="FootnoteReference"/>
        </w:rPr>
        <w:footnoteRef/>
      </w:r>
      <w:r>
        <w:t xml:space="preserve"> Cook, </w:t>
      </w:r>
      <w:r w:rsidRPr="001367AF">
        <w:rPr>
          <w:i/>
          <w:iCs/>
        </w:rPr>
        <w:t>Contemporary Muslim Apocalyptic Literature</w:t>
      </w:r>
      <w:r>
        <w:t>, p.7</w:t>
      </w:r>
    </w:p>
  </w:footnote>
  <w:footnote w:id="232">
    <w:p w:rsidR="008D6268" w:rsidRDefault="008D6268" w:rsidP="00804318">
      <w:pPr>
        <w:pStyle w:val="FootnoteText"/>
      </w:pPr>
      <w:r>
        <w:rPr>
          <w:rStyle w:val="FootnoteReference"/>
        </w:rPr>
        <w:footnoteRef/>
      </w:r>
      <w:r>
        <w:t xml:space="preserve"> ibn Manẓūr, </w:t>
      </w:r>
      <w:r w:rsidRPr="00952C46">
        <w:rPr>
          <w:i/>
          <w:iCs/>
        </w:rPr>
        <w:t>The Arabic Tongue</w:t>
      </w:r>
      <w:r>
        <w:t>, 12:537</w:t>
      </w:r>
    </w:p>
  </w:footnote>
  <w:footnote w:id="233">
    <w:p w:rsidR="008D6268" w:rsidRDefault="008D6268" w:rsidP="00804318">
      <w:pPr>
        <w:pStyle w:val="FootnoteText"/>
      </w:pPr>
      <w:r>
        <w:rPr>
          <w:rStyle w:val="FootnoteReference"/>
        </w:rPr>
        <w:footnoteRef/>
      </w:r>
      <w:r>
        <w:t xml:space="preserve"> ibn Khaldūn, </w:t>
      </w:r>
      <w:r>
        <w:rPr>
          <w:i/>
        </w:rPr>
        <w:t>T</w:t>
      </w:r>
      <w:r w:rsidRPr="00931935">
        <w:rPr>
          <w:i/>
        </w:rPr>
        <w:t>he History of Ibn Khaldūn</w:t>
      </w:r>
      <w:r>
        <w:rPr>
          <w:i/>
        </w:rPr>
        <w:t>,</w:t>
      </w:r>
      <w:r>
        <w:t xml:space="preserve"> p.166</w:t>
      </w:r>
    </w:p>
  </w:footnote>
  <w:footnote w:id="234">
    <w:p w:rsidR="008D6268" w:rsidRDefault="008D6268" w:rsidP="00804318">
      <w:pPr>
        <w:pStyle w:val="FootnoteText"/>
        <w:rPr>
          <w:rStyle w:val="info-desc"/>
          <w:rtl/>
        </w:rPr>
      </w:pPr>
      <w:r>
        <w:rPr>
          <w:rStyle w:val="FootnoteReference"/>
        </w:rPr>
        <w:footnoteRef/>
      </w:r>
      <w:r>
        <w:t xml:space="preserve"> </w:t>
      </w:r>
      <w:r>
        <w:rPr>
          <w:rStyle w:val="info-desc"/>
          <w:rtl/>
        </w:rPr>
        <w:t>أبو الفضل أحمد بن علي بن حجر العسقلاني</w:t>
      </w:r>
      <w:r w:rsidRPr="00DF5AC1">
        <w:rPr>
          <w:rStyle w:val="info-desc"/>
          <w:rFonts w:hint="cs"/>
          <w:b/>
          <w:bCs/>
          <w:rtl/>
        </w:rPr>
        <w:t>، لسان الميزان</w:t>
      </w:r>
      <w:r>
        <w:rPr>
          <w:rStyle w:val="info-desc"/>
          <w:rFonts w:hint="cs"/>
          <w:rtl/>
        </w:rPr>
        <w:t>، تحقيق دائرة المعارف النظامية في الهند (بيروت: مؤسسة الأعلمي للمطبوعات</w:t>
      </w:r>
      <w:r>
        <w:rPr>
          <w:rStyle w:val="info-desc"/>
          <w:rFonts w:hint="cs"/>
          <w:rtl/>
          <w:lang w:bidi="ar-AE"/>
        </w:rPr>
        <w:t>، 1971</w:t>
      </w:r>
      <w:r>
        <w:rPr>
          <w:rStyle w:val="info-desc"/>
          <w:rFonts w:hint="cs"/>
          <w:rtl/>
        </w:rPr>
        <w:t>): 1/13</w:t>
      </w:r>
    </w:p>
    <w:p w:rsidR="008D6268" w:rsidRDefault="008D6268" w:rsidP="00804318">
      <w:pPr>
        <w:pStyle w:val="FootnoteText"/>
        <w:rPr>
          <w:lang w:bidi="ar-AE"/>
        </w:rPr>
      </w:pPr>
      <w:r>
        <w:rPr>
          <w:rStyle w:val="info-desc"/>
        </w:rPr>
        <w:t xml:space="preserve">Abū al-Faḍhl Aḥmad b. 'Alī b.Ḥajar al-'Asqalānī, </w:t>
      </w:r>
      <w:r w:rsidRPr="00DF5AC1">
        <w:rPr>
          <w:rStyle w:val="info-desc"/>
          <w:i/>
          <w:iCs/>
        </w:rPr>
        <w:t>Lisān al-Mīzān</w:t>
      </w:r>
      <w:r>
        <w:rPr>
          <w:rStyle w:val="info-desc"/>
        </w:rPr>
        <w:t xml:space="preserve"> </w:t>
      </w:r>
      <w:r>
        <w:rPr>
          <w:rStyle w:val="info-desc"/>
          <w:lang w:bidi="ar-AE"/>
        </w:rPr>
        <w:t xml:space="preserve">or </w:t>
      </w:r>
      <w:r w:rsidRPr="00DF5AC1">
        <w:rPr>
          <w:rStyle w:val="info-desc"/>
          <w:i/>
          <w:iCs/>
          <w:lang w:bidi="ar-AE"/>
        </w:rPr>
        <w:t>On Weak Narrators</w:t>
      </w:r>
      <w:r>
        <w:rPr>
          <w:rStyle w:val="info-desc"/>
        </w:rPr>
        <w:t xml:space="preserve">, ed. by </w:t>
      </w:r>
      <w:r>
        <w:rPr>
          <w:rStyle w:val="info-desc"/>
          <w:lang w:bidi="ar-AE"/>
        </w:rPr>
        <w:t>Nizami Encylopaedia of Islam (Beirut: Mu'asasat al-A'lamī lil-Maṭbū'āṭ, 1971): I:13</w:t>
      </w:r>
    </w:p>
  </w:footnote>
  <w:footnote w:id="235">
    <w:p w:rsidR="008D6268" w:rsidRDefault="008D6268" w:rsidP="00804318">
      <w:pPr>
        <w:pStyle w:val="FootnoteText"/>
      </w:pPr>
      <w:r>
        <w:rPr>
          <w:rStyle w:val="FootnoteReference"/>
        </w:rPr>
        <w:footnoteRef/>
      </w:r>
      <w:r>
        <w:t xml:space="preserve"> Landes, </w:t>
      </w:r>
      <w:r w:rsidRPr="00CC11C0">
        <w:rPr>
          <w:i/>
          <w:iCs/>
        </w:rPr>
        <w:t>Heaven on Earth</w:t>
      </w:r>
      <w:r>
        <w:t>, pp.40-46</w:t>
      </w:r>
    </w:p>
  </w:footnote>
  <w:footnote w:id="236">
    <w:p w:rsidR="008D6268" w:rsidRDefault="008D6268" w:rsidP="00F915A4">
      <w:pPr>
        <w:pStyle w:val="FootnoteText"/>
        <w:rPr>
          <w:rtl/>
        </w:rPr>
      </w:pPr>
      <w:r>
        <w:rPr>
          <w:rStyle w:val="FootnoteReference"/>
        </w:rPr>
        <w:footnoteRef/>
      </w:r>
      <w:r>
        <w:t xml:space="preserve"> </w:t>
      </w:r>
      <w:r>
        <w:rPr>
          <w:rFonts w:hint="cs"/>
          <w:rtl/>
          <w:lang w:bidi="ar-AE"/>
        </w:rPr>
        <w:t>شمس الدين أبو عبدالله محمد بن أحمد الذهبي،</w:t>
      </w:r>
      <w:r w:rsidRPr="005352D5">
        <w:rPr>
          <w:rFonts w:hint="cs"/>
          <w:b/>
          <w:bCs/>
          <w:rtl/>
          <w:lang w:bidi="ar-AE"/>
        </w:rPr>
        <w:t xml:space="preserve"> سير أعلام النبلاء</w:t>
      </w:r>
      <w:r>
        <w:rPr>
          <w:rFonts w:hint="cs"/>
          <w:rtl/>
          <w:lang w:bidi="ar-AE"/>
        </w:rPr>
        <w:t xml:space="preserve"> (دمشق: مؤسسة الرسالة، 1985): 10/609</w:t>
      </w:r>
    </w:p>
    <w:p w:rsidR="008D6268" w:rsidRDefault="008D6268" w:rsidP="00804318">
      <w:pPr>
        <w:pStyle w:val="FootnoteText"/>
        <w:rPr>
          <w:lang w:bidi="ar-AE"/>
        </w:rPr>
      </w:pPr>
      <w:r>
        <w:rPr>
          <w:lang w:bidi="ar-AE"/>
        </w:rPr>
        <w:t xml:space="preserve">Shams al-Dīn abū 'Abdulla Muḥammad b. </w:t>
      </w:r>
      <w:r w:rsidRPr="005A39CE">
        <w:rPr>
          <w:lang w:bidi="ar-AE"/>
        </w:rPr>
        <w:t>Aḥmad</w:t>
      </w:r>
      <w:r w:rsidRPr="00053804">
        <w:rPr>
          <w:i/>
          <w:iCs/>
          <w:lang w:bidi="ar-AE"/>
        </w:rPr>
        <w:t xml:space="preserve"> </w:t>
      </w:r>
      <w:r w:rsidRPr="006D7869">
        <w:rPr>
          <w:lang w:bidi="ar-AE"/>
        </w:rPr>
        <w:t>al-Thahabī,</w:t>
      </w:r>
      <w:r w:rsidRPr="00053804">
        <w:rPr>
          <w:i/>
          <w:iCs/>
          <w:lang w:bidi="ar-AE"/>
        </w:rPr>
        <w:t xml:space="preserve"> Sīyar 'Alām al-Nubalā' Or The Lives of Noble Figures</w:t>
      </w:r>
      <w:r>
        <w:rPr>
          <w:lang w:bidi="ar-AE"/>
        </w:rPr>
        <w:t xml:space="preserve"> (Damascus: Mu'asassat al-Risālah, 1985), [hereafter al-Thahabī, </w:t>
      </w:r>
      <w:r>
        <w:rPr>
          <w:i/>
          <w:iCs/>
          <w:lang w:bidi="ar-AE"/>
        </w:rPr>
        <w:t>The Lives of Noble Figures</w:t>
      </w:r>
      <w:r>
        <w:rPr>
          <w:lang w:bidi="ar-AE"/>
        </w:rPr>
        <w:t xml:space="preserve">]: X:609; ibn Ḥammad, </w:t>
      </w:r>
      <w:r w:rsidRPr="00952C46">
        <w:rPr>
          <w:i/>
          <w:iCs/>
          <w:lang w:bidi="ar-AE"/>
        </w:rPr>
        <w:t>Book of Tribulations</w:t>
      </w:r>
    </w:p>
  </w:footnote>
  <w:footnote w:id="237">
    <w:p w:rsidR="008D6268" w:rsidRDefault="008D6268" w:rsidP="00804318">
      <w:pPr>
        <w:pStyle w:val="NormalWeb"/>
        <w:spacing w:before="0" w:beforeAutospacing="0" w:after="0" w:afterAutospacing="0"/>
        <w:rPr>
          <w:rFonts w:ascii="Calibri" w:hAnsi="Calibri"/>
          <w:sz w:val="22"/>
          <w:szCs w:val="22"/>
          <w:lang w:bidi="ar-AE"/>
        </w:rPr>
      </w:pPr>
      <w:r w:rsidRPr="00F12DA8">
        <w:rPr>
          <w:rStyle w:val="FootnoteReference"/>
          <w:rFonts w:ascii="Calibri" w:hAnsi="Calibri"/>
          <w:sz w:val="20"/>
          <w:szCs w:val="20"/>
        </w:rPr>
        <w:footnoteRef/>
      </w:r>
      <w:r>
        <w:t xml:space="preserve"> </w:t>
      </w:r>
      <w:r w:rsidRPr="00301F9B">
        <w:rPr>
          <w:rFonts w:ascii="Calibri" w:hAnsi="Calibri"/>
          <w:sz w:val="20"/>
          <w:szCs w:val="20"/>
          <w:rtl/>
          <w:lang w:bidi="ar-AE"/>
        </w:rPr>
        <w:t xml:space="preserve">محمد بن عبدالرسول الحسيني البرزنجي، </w:t>
      </w:r>
      <w:r w:rsidRPr="00301F9B">
        <w:rPr>
          <w:rFonts w:ascii="Calibri" w:hAnsi="Calibri"/>
          <w:b/>
          <w:bCs/>
          <w:sz w:val="20"/>
          <w:szCs w:val="20"/>
          <w:rtl/>
          <w:lang w:bidi="ar-AE"/>
        </w:rPr>
        <w:t>كتاب</w:t>
      </w:r>
      <w:r w:rsidRPr="00301F9B">
        <w:rPr>
          <w:rFonts w:ascii="Calibri" w:hAnsi="Calibri"/>
          <w:sz w:val="20"/>
          <w:szCs w:val="20"/>
          <w:rtl/>
          <w:lang w:bidi="ar-AE"/>
        </w:rPr>
        <w:t xml:space="preserve"> </w:t>
      </w:r>
      <w:r w:rsidRPr="00301F9B">
        <w:rPr>
          <w:rFonts w:ascii="Calibri" w:hAnsi="Calibri"/>
          <w:b/>
          <w:bCs/>
          <w:sz w:val="20"/>
          <w:szCs w:val="20"/>
          <w:rtl/>
          <w:lang w:bidi="ar-AE"/>
        </w:rPr>
        <w:t xml:space="preserve">الإشاعة لأشراط الساعة، </w:t>
      </w:r>
      <w:r w:rsidRPr="00301F9B">
        <w:rPr>
          <w:rFonts w:ascii="Calibri" w:hAnsi="Calibri"/>
          <w:sz w:val="20"/>
          <w:szCs w:val="20"/>
          <w:rtl/>
          <w:lang w:bidi="ar-AE"/>
        </w:rPr>
        <w:t xml:space="preserve">تحقيق موفق فوزي الجبر (دمشق: دار النمير للطباعة والنشر والتوزيع، 1995) </w:t>
      </w:r>
    </w:p>
    <w:p w:rsidR="008D6268" w:rsidRPr="0072510C" w:rsidRDefault="008D6268" w:rsidP="00804318">
      <w:pPr>
        <w:pStyle w:val="NormalWeb"/>
        <w:spacing w:before="0" w:beforeAutospacing="0" w:after="0" w:afterAutospacing="0"/>
        <w:rPr>
          <w:rFonts w:ascii="Calibri" w:hAnsi="Calibri"/>
          <w:sz w:val="20"/>
          <w:szCs w:val="20"/>
          <w:lang w:bidi="ar-AE"/>
        </w:rPr>
      </w:pPr>
      <w:r w:rsidRPr="00301F9B">
        <w:rPr>
          <w:rFonts w:ascii="Calibri" w:hAnsi="Calibri"/>
          <w:sz w:val="20"/>
          <w:szCs w:val="20"/>
        </w:rPr>
        <w:t xml:space="preserve">Muḥammad b. ‘Abd al-Rasūl al-Ḥussaīnī al-Barzinjī, </w:t>
      </w:r>
      <w:r w:rsidRPr="00301F9B">
        <w:rPr>
          <w:rFonts w:ascii="Calibri" w:hAnsi="Calibri" w:cs="Arial"/>
          <w:i/>
          <w:iCs/>
          <w:color w:val="000000"/>
          <w:sz w:val="20"/>
          <w:szCs w:val="20"/>
        </w:rPr>
        <w:t>Kitāb al-Ishā'ah fī Ashrāṭ al-Sā'ah</w:t>
      </w:r>
      <w:r>
        <w:rPr>
          <w:rFonts w:cs="Arial"/>
          <w:color w:val="000000"/>
        </w:rPr>
        <w:t xml:space="preserve"> </w:t>
      </w:r>
      <w:r w:rsidRPr="005E17A9">
        <w:rPr>
          <w:rFonts w:ascii="Calibri" w:hAnsi="Calibri" w:cs="Arial"/>
          <w:i/>
          <w:iCs/>
          <w:color w:val="000000"/>
          <w:sz w:val="20"/>
          <w:szCs w:val="20"/>
        </w:rPr>
        <w:t xml:space="preserve">or </w:t>
      </w:r>
      <w:r w:rsidRPr="00301F9B">
        <w:rPr>
          <w:rFonts w:ascii="Calibri" w:hAnsi="Calibri"/>
          <w:i/>
          <w:iCs/>
          <w:sz w:val="20"/>
          <w:szCs w:val="20"/>
          <w:lang w:bidi="ar-AE"/>
        </w:rPr>
        <w:t>The Book of the Word On Last Day Portents</w:t>
      </w:r>
      <w:r w:rsidRPr="00301F9B">
        <w:rPr>
          <w:rFonts w:ascii="Calibri" w:hAnsi="Calibri"/>
          <w:sz w:val="20"/>
          <w:szCs w:val="20"/>
          <w:lang w:bidi="ar-AE"/>
        </w:rPr>
        <w:t>, ed. by Muwafaq Fawzī al-Jaber (Damascus: Dār al-Numaīr lil-Tibā’ah wal-Nashr wal-Tawzī’, 1995)</w:t>
      </w:r>
      <w:r>
        <w:rPr>
          <w:rFonts w:ascii="Calibri" w:hAnsi="Calibri"/>
          <w:sz w:val="20"/>
          <w:szCs w:val="20"/>
          <w:lang w:bidi="ar-AE"/>
        </w:rPr>
        <w:t xml:space="preserve">, [hereafter </w:t>
      </w:r>
      <w:r w:rsidRPr="00301F9B">
        <w:rPr>
          <w:rFonts w:ascii="Calibri" w:hAnsi="Calibri"/>
          <w:sz w:val="20"/>
          <w:szCs w:val="20"/>
        </w:rPr>
        <w:t>al-Barzinjī</w:t>
      </w:r>
      <w:r>
        <w:rPr>
          <w:rFonts w:ascii="Calibri" w:hAnsi="Calibri"/>
          <w:sz w:val="20"/>
          <w:szCs w:val="20"/>
        </w:rPr>
        <w:t xml:space="preserve">, </w:t>
      </w:r>
      <w:r>
        <w:rPr>
          <w:rFonts w:ascii="Calibri" w:hAnsi="Calibri"/>
          <w:i/>
          <w:iCs/>
          <w:sz w:val="20"/>
          <w:szCs w:val="20"/>
          <w:lang w:bidi="ar-AE"/>
        </w:rPr>
        <w:t>The Book of the Word o</w:t>
      </w:r>
      <w:r w:rsidRPr="00301F9B">
        <w:rPr>
          <w:rFonts w:ascii="Calibri" w:hAnsi="Calibri"/>
          <w:i/>
          <w:iCs/>
          <w:sz w:val="20"/>
          <w:szCs w:val="20"/>
          <w:lang w:bidi="ar-AE"/>
        </w:rPr>
        <w:t>n Last Day Portents</w:t>
      </w:r>
      <w:r>
        <w:rPr>
          <w:rFonts w:ascii="Calibri" w:hAnsi="Calibri"/>
          <w:sz w:val="20"/>
          <w:szCs w:val="20"/>
        </w:rPr>
        <w:t>]</w:t>
      </w:r>
    </w:p>
  </w:footnote>
  <w:footnote w:id="238">
    <w:p w:rsidR="008D6268" w:rsidRDefault="008D6268" w:rsidP="00804318">
      <w:pPr>
        <w:pStyle w:val="FootnoteText"/>
      </w:pPr>
      <w:r>
        <w:rPr>
          <w:rStyle w:val="FootnoteReference"/>
        </w:rPr>
        <w:footnoteRef/>
      </w:r>
      <w:r>
        <w:t xml:space="preserve"> </w:t>
      </w:r>
      <w:r>
        <w:rPr>
          <w:lang w:bidi="ar-AE"/>
        </w:rPr>
        <w:t xml:space="preserve">al-Thahabī, </w:t>
      </w:r>
      <w:r>
        <w:rPr>
          <w:i/>
          <w:iCs/>
          <w:lang w:bidi="ar-AE"/>
        </w:rPr>
        <w:t>The Lives of Noble Figures</w:t>
      </w:r>
      <w:r>
        <w:rPr>
          <w:lang w:bidi="ar-AE"/>
        </w:rPr>
        <w:t xml:space="preserve">: X:610-611; </w:t>
      </w:r>
      <w:r>
        <w:t xml:space="preserve">ibn Ḥammād, </w:t>
      </w:r>
      <w:r w:rsidRPr="005E7893">
        <w:rPr>
          <w:i/>
          <w:iCs/>
          <w:lang w:bidi="ar-AE"/>
        </w:rPr>
        <w:t>Book of Tribulations</w:t>
      </w:r>
      <w:r>
        <w:rPr>
          <w:i/>
          <w:iCs/>
          <w:lang w:bidi="ar-AE"/>
        </w:rPr>
        <w:t>,</w:t>
      </w:r>
      <w:r>
        <w:t xml:space="preserve"> I:224-232</w:t>
      </w:r>
    </w:p>
  </w:footnote>
  <w:footnote w:id="239">
    <w:p w:rsidR="008D6268" w:rsidRDefault="008D6268" w:rsidP="00804318">
      <w:pPr>
        <w:pStyle w:val="FootnoteText"/>
      </w:pPr>
      <w:r>
        <w:rPr>
          <w:rStyle w:val="FootnoteReference"/>
        </w:rPr>
        <w:footnoteRef/>
      </w:r>
      <w:r>
        <w:t xml:space="preserve"> ibn Ḥammād, </w:t>
      </w:r>
      <w:r w:rsidRPr="005E7893">
        <w:rPr>
          <w:i/>
          <w:iCs/>
          <w:lang w:bidi="ar-AE"/>
        </w:rPr>
        <w:t>Book of Tribulations</w:t>
      </w:r>
      <w:r>
        <w:rPr>
          <w:i/>
          <w:iCs/>
          <w:lang w:bidi="ar-AE"/>
        </w:rPr>
        <w:t>,</w:t>
      </w:r>
      <w:r>
        <w:t xml:space="preserve"> I:224, ḥadīth nos. 622-623; I:229, ḥadīth no. 640; I:230, ḥadīth no. 643</w:t>
      </w:r>
    </w:p>
  </w:footnote>
  <w:footnote w:id="240">
    <w:p w:rsidR="008D6268" w:rsidRDefault="008D6268" w:rsidP="00804318">
      <w:pPr>
        <w:pStyle w:val="FootnoteText"/>
      </w:pPr>
      <w:r>
        <w:rPr>
          <w:rStyle w:val="FootnoteReference"/>
        </w:rPr>
        <w:footnoteRef/>
      </w:r>
      <w:r>
        <w:t xml:space="preserve"> ibn Ḥammād, </w:t>
      </w:r>
      <w:r w:rsidRPr="005E7893">
        <w:rPr>
          <w:i/>
          <w:iCs/>
          <w:lang w:bidi="ar-AE"/>
        </w:rPr>
        <w:t>Book of Tribulations</w:t>
      </w:r>
      <w:r>
        <w:rPr>
          <w:i/>
          <w:iCs/>
          <w:lang w:bidi="ar-AE"/>
        </w:rPr>
        <w:t>,</w:t>
      </w:r>
      <w:r>
        <w:t xml:space="preserve"> I:229, ḥadīth no. 639:</w:t>
      </w:r>
    </w:p>
    <w:p w:rsidR="008D6268" w:rsidRDefault="008D6268" w:rsidP="00804318">
      <w:pPr>
        <w:pStyle w:val="FootnoteText"/>
        <w:bidi/>
      </w:pPr>
      <w:r>
        <w:t>"</w:t>
      </w:r>
      <w:r>
        <w:rPr>
          <w:rtl/>
        </w:rPr>
        <w:t>وَرَأَيْتُ نَجْمًا لَهُ ذَنَبٌ طَلَعَ فِي الْمُحَرَّمِ سَنَةَ خَمْسٍ وَأَرْبَعِينَ وَمِائَةٍ مَعَ الْفَجْرِ مِنَ الْمَشْرِقِ، فَكُنَّا نَرَاهُ بَيْنَ يَدَيِ الْفَجْرِ بَقِيَّةَ الْمُحَرَّمِ، ثُمَّ خَفِيَ، ثُمَّ رَأَيْنَاهُ بَعْدَ مَغِيبِ الشَّمْسِ فِي الشَّفَقِ، وَبَعْدَهُ فِيمَا بَيْنَ الْجَوْفِ وَالْفُرَاتِ شَهْرَيْنِ أَوْ ثَلَاثَةً، ثُمَّ خَفِيَ سَنَتَيْنِ أَوْ ثَلَاثًا، ثُمَّ رَأَيْنَا نَجْمًا خَفِيًّا لَهُ شُعْلَةٌ قَدْرُ الذِّرَاعِ رَأْيَ الْعَيْنِ قَرِيبًا مِنَ الْجَدْيِ، يَسْتَدِيرُ حَوْلَهُ بِدَوَرَانِ الْفَلَكِ فِي جَمَادَيْنِ وَأَيَّامًا مِنْ رَجَبٍ، ثُمَّ خَفِيَ، ثُمَّ رَأَيْنَا نَجْمًا لَيْسَ بِالْأَزْهَرِ طَلَعَ عَنْ يَمِينِ قِبْلَةِ الشَّامِ مَادًّا شُعْلَتَهُ مِنَ الْقِبْلَةِ إِلَى الْجَوْفِ إِلَى أَرْمِينِيَةَ، فَذَكَرْتُ ذَلِكَ لِشَيْخٍ قَدِيمٍ عِنْدَنَا مِنَ السَّكَاسِكِ، فَقَالَ: لَيْسَ هَذَا بِالنَّجْمِ الْمُنْتَظَرِ"</w:t>
      </w:r>
    </w:p>
  </w:footnote>
  <w:footnote w:id="241">
    <w:p w:rsidR="008D6268" w:rsidRDefault="008D6268" w:rsidP="00804318">
      <w:pPr>
        <w:pStyle w:val="FootnoteText"/>
        <w:rPr>
          <w:rFonts w:eastAsia="Times New Roman"/>
        </w:rPr>
      </w:pPr>
      <w:r>
        <w:rPr>
          <w:rStyle w:val="FootnoteReference"/>
        </w:rPr>
        <w:footnoteRef/>
      </w:r>
      <w:r>
        <w:t xml:space="preserve"> ibn Ḥammād, </w:t>
      </w:r>
      <w:r w:rsidRPr="00721A2C">
        <w:rPr>
          <w:i/>
          <w:iCs/>
        </w:rPr>
        <w:t>Book of Tribulations</w:t>
      </w:r>
      <w:r>
        <w:t xml:space="preserve">, I:229, ḥadīth no. 641; </w:t>
      </w:r>
      <w:r w:rsidRPr="004509DA">
        <w:t>Abū Dāwūd</w:t>
      </w:r>
      <w:r>
        <w:t>,</w:t>
      </w:r>
      <w:r w:rsidRPr="00E94129">
        <w:rPr>
          <w:i/>
          <w:iCs/>
        </w:rPr>
        <w:t xml:space="preserve"> The Canonical Collection of Ḥadīth by Abū Dāwūd</w:t>
      </w:r>
      <w:r>
        <w:rPr>
          <w:i/>
          <w:iCs/>
        </w:rPr>
        <w:t xml:space="preserve">, </w:t>
      </w:r>
      <w:r w:rsidRPr="00A65C0A">
        <w:rPr>
          <w:rFonts w:eastAsia="Times New Roman"/>
        </w:rPr>
        <w:t xml:space="preserve">book </w:t>
      </w:r>
      <w:r>
        <w:rPr>
          <w:rFonts w:eastAsia="Times New Roman"/>
        </w:rPr>
        <w:t xml:space="preserve">38 </w:t>
      </w:r>
      <w:r w:rsidRPr="00420768">
        <w:rPr>
          <w:rFonts w:eastAsia="Times New Roman"/>
        </w:rPr>
        <w:t xml:space="preserve">on </w:t>
      </w:r>
      <w:r>
        <w:rPr>
          <w:i/>
          <w:iCs/>
        </w:rPr>
        <w:t>al-Mahdī</w:t>
      </w:r>
      <w:r w:rsidRPr="00A65C0A">
        <w:rPr>
          <w:rFonts w:eastAsia="Times New Roman"/>
        </w:rPr>
        <w:t>,</w:t>
      </w:r>
      <w:r>
        <w:rPr>
          <w:rFonts w:eastAsia="Times New Roman"/>
        </w:rPr>
        <w:t xml:space="preserve"> ḥadīth no. 4282:</w:t>
      </w:r>
    </w:p>
    <w:p w:rsidR="008D6268" w:rsidRDefault="008D6268" w:rsidP="00804318">
      <w:pPr>
        <w:pStyle w:val="FootnoteText"/>
        <w:bidi/>
        <w:rPr>
          <w:rtl/>
          <w:lang w:bidi="ar-AE"/>
        </w:rPr>
      </w:pPr>
      <w:r>
        <w:rPr>
          <w:lang w:bidi="ar-AE"/>
        </w:rPr>
        <w:t>"</w:t>
      </w:r>
      <w:r>
        <w:rPr>
          <w:rStyle w:val="arabictextdetails"/>
          <w:rtl/>
        </w:rPr>
        <w:t>لَوْ لَمْ يَبْقَ مِنَ الدُّنْيَا إِلاَّ يَوْمٌ ‏"‏ ‏.‏ قَالَ زَائِدَةُ فِي حَدِيثِهِ ‏"‏ لَطَوَّلَ اللَّهُ ذَلِكَ الْيَوْمَ ‏"‏ ‏.‏ ثُمَّ اتَّفَقُوا ‏"‏ حَتَّى يَبْعَثَ فِيهِ رَجُلاً مِنِّي ‏"‏ ‏.‏ أَوْ ‏"‏ مِنْ أَهْلِ بَيْتِي يُوَاطِئُ اسْمُهُ اسْمِي وَاسْمُ أَبِيهِ اسْمَ أَبِي ‏"‏ ‏.‏ زَادَ فِي حَدِيثِ فِطْرٍ ‏"‏ يَمْلأُ الأَرْضَ قِسْطًا وَعَدْلاً كَمَا مُلِئَتْ ظُلْمًا وَجَوْرًا‏"‏</w:t>
      </w:r>
    </w:p>
  </w:footnote>
  <w:footnote w:id="242">
    <w:p w:rsidR="008D6268" w:rsidRDefault="008D6268" w:rsidP="00804318">
      <w:pPr>
        <w:pStyle w:val="FootnoteText"/>
      </w:pPr>
      <w:r>
        <w:rPr>
          <w:rStyle w:val="FootnoteReference"/>
        </w:rPr>
        <w:footnoteRef/>
      </w:r>
      <w:r>
        <w:t xml:space="preserve"> Cohn, </w:t>
      </w:r>
      <w:r w:rsidRPr="00BD716A">
        <w:rPr>
          <w:i/>
          <w:iCs/>
        </w:rPr>
        <w:t>The Pursuit of the Millennium</w:t>
      </w:r>
      <w:r>
        <w:t>, 1970, p.21; pp.281-282</w:t>
      </w:r>
    </w:p>
  </w:footnote>
  <w:footnote w:id="243">
    <w:p w:rsidR="008D6268" w:rsidRDefault="008D6268" w:rsidP="00804318">
      <w:pPr>
        <w:pStyle w:val="FootnoteText"/>
      </w:pPr>
      <w:r>
        <w:rPr>
          <w:rStyle w:val="FootnoteReference"/>
        </w:rPr>
        <w:footnoteRef/>
      </w:r>
      <w:r>
        <w:t xml:space="preserve"> Appleby, '</w:t>
      </w:r>
      <w:r w:rsidRPr="000F29C7">
        <w:t>The Unholy Uses of the Apocalyptic Imagination</w:t>
      </w:r>
      <w:r>
        <w:t>', p.75</w:t>
      </w:r>
    </w:p>
  </w:footnote>
  <w:footnote w:id="244">
    <w:p w:rsidR="008D6268" w:rsidRPr="009F45AA" w:rsidRDefault="008D6268" w:rsidP="00804318">
      <w:pPr>
        <w:pStyle w:val="FootnoteText"/>
      </w:pPr>
      <w:r>
        <w:rPr>
          <w:rStyle w:val="FootnoteReference"/>
        </w:rPr>
        <w:footnoteRef/>
      </w:r>
      <w:r w:rsidRPr="009F45AA">
        <w:t xml:space="preserve"> Landes, </w:t>
      </w:r>
      <w:r w:rsidRPr="0043575C">
        <w:rPr>
          <w:i/>
          <w:iCs/>
        </w:rPr>
        <w:t>Heaven on Earth</w:t>
      </w:r>
      <w:r>
        <w:t xml:space="preserve">, </w:t>
      </w:r>
      <w:r w:rsidRPr="009F45AA">
        <w:t>pp.33-34</w:t>
      </w:r>
    </w:p>
  </w:footnote>
  <w:footnote w:id="245">
    <w:p w:rsidR="008D6268" w:rsidRPr="009F45AA" w:rsidRDefault="008D6268" w:rsidP="00804318">
      <w:pPr>
        <w:pStyle w:val="FootnoteText"/>
      </w:pPr>
      <w:r>
        <w:rPr>
          <w:rStyle w:val="FootnoteReference"/>
        </w:rPr>
        <w:footnoteRef/>
      </w:r>
      <w:r w:rsidRPr="009F45AA">
        <w:t xml:space="preserve"> al-Barzinjī, </w:t>
      </w:r>
      <w:r>
        <w:rPr>
          <w:i/>
          <w:iCs/>
          <w:lang w:bidi="ar-AE"/>
        </w:rPr>
        <w:t>The Book of the Word o</w:t>
      </w:r>
      <w:r w:rsidRPr="00301F9B">
        <w:rPr>
          <w:i/>
          <w:iCs/>
          <w:lang w:bidi="ar-AE"/>
        </w:rPr>
        <w:t>n Last Day Portents</w:t>
      </w:r>
      <w:r>
        <w:rPr>
          <w:i/>
          <w:iCs/>
          <w:lang w:bidi="ar-AE"/>
        </w:rPr>
        <w:t>,</w:t>
      </w:r>
      <w:r w:rsidRPr="009F45AA">
        <w:t xml:space="preserve"> p.92:</w:t>
      </w:r>
    </w:p>
    <w:p w:rsidR="008D6268" w:rsidRDefault="008D6268" w:rsidP="00804318">
      <w:pPr>
        <w:pStyle w:val="FootnoteText"/>
        <w:bidi/>
      </w:pPr>
      <w:r>
        <w:t>"</w:t>
      </w:r>
      <w:r w:rsidRPr="000D14B6">
        <w:rPr>
          <w:rFonts w:cs="Arial" w:hint="cs"/>
          <w:rtl/>
        </w:rPr>
        <w:t>يا</w:t>
      </w:r>
      <w:r w:rsidRPr="000D14B6">
        <w:rPr>
          <w:rFonts w:cs="Arial"/>
          <w:rtl/>
        </w:rPr>
        <w:t xml:space="preserve"> </w:t>
      </w:r>
      <w:r w:rsidRPr="000D14B6">
        <w:rPr>
          <w:rFonts w:cs="Arial" w:hint="cs"/>
          <w:rtl/>
        </w:rPr>
        <w:t>سلمان</w:t>
      </w:r>
      <w:r w:rsidRPr="000D14B6">
        <w:rPr>
          <w:rFonts w:cs="Arial"/>
          <w:rtl/>
        </w:rPr>
        <w:t xml:space="preserve"> </w:t>
      </w:r>
      <w:r w:rsidRPr="000D14B6">
        <w:rPr>
          <w:rFonts w:cs="Arial" w:hint="cs"/>
          <w:rtl/>
        </w:rPr>
        <w:t>إذا</w:t>
      </w:r>
      <w:r w:rsidRPr="000D14B6">
        <w:rPr>
          <w:rFonts w:cs="Arial"/>
          <w:rtl/>
        </w:rPr>
        <w:t xml:space="preserve"> </w:t>
      </w:r>
      <w:r w:rsidRPr="000D14B6">
        <w:rPr>
          <w:rFonts w:cs="Arial" w:hint="cs"/>
          <w:rtl/>
        </w:rPr>
        <w:t>كان</w:t>
      </w:r>
      <w:r w:rsidRPr="000D14B6">
        <w:rPr>
          <w:rFonts w:cs="Arial"/>
          <w:rtl/>
        </w:rPr>
        <w:t xml:space="preserve"> </w:t>
      </w:r>
      <w:r w:rsidRPr="000D14B6">
        <w:rPr>
          <w:rFonts w:cs="Arial" w:hint="cs"/>
          <w:rtl/>
        </w:rPr>
        <w:t>حج</w:t>
      </w:r>
      <w:r w:rsidRPr="000D14B6">
        <w:rPr>
          <w:rFonts w:cs="Arial"/>
          <w:rtl/>
        </w:rPr>
        <w:t xml:space="preserve"> </w:t>
      </w:r>
      <w:r w:rsidRPr="000D14B6">
        <w:rPr>
          <w:rFonts w:cs="Arial" w:hint="cs"/>
          <w:rtl/>
        </w:rPr>
        <w:t>الملوك</w:t>
      </w:r>
      <w:r w:rsidRPr="000D14B6">
        <w:rPr>
          <w:rFonts w:cs="Arial"/>
          <w:rtl/>
        </w:rPr>
        <w:t xml:space="preserve"> </w:t>
      </w:r>
      <w:r w:rsidRPr="000D14B6">
        <w:rPr>
          <w:rFonts w:cs="Arial" w:hint="cs"/>
          <w:rtl/>
        </w:rPr>
        <w:t>تنزها</w:t>
      </w:r>
      <w:r w:rsidRPr="000D14B6">
        <w:rPr>
          <w:rFonts w:cs="Arial"/>
          <w:rtl/>
        </w:rPr>
        <w:t xml:space="preserve"> </w:t>
      </w:r>
      <w:r w:rsidRPr="000D14B6">
        <w:rPr>
          <w:rFonts w:cs="Arial" w:hint="cs"/>
          <w:rtl/>
        </w:rPr>
        <w:t>والأغنياء</w:t>
      </w:r>
      <w:r w:rsidRPr="000D14B6">
        <w:rPr>
          <w:rFonts w:cs="Arial"/>
          <w:rtl/>
        </w:rPr>
        <w:t xml:space="preserve"> </w:t>
      </w:r>
      <w:r w:rsidRPr="000D14B6">
        <w:rPr>
          <w:rFonts w:cs="Arial" w:hint="cs"/>
          <w:rtl/>
        </w:rPr>
        <w:t>للتجارة</w:t>
      </w:r>
      <w:r w:rsidRPr="000D14B6">
        <w:rPr>
          <w:rFonts w:cs="Arial"/>
          <w:rtl/>
        </w:rPr>
        <w:t xml:space="preserve"> </w:t>
      </w:r>
      <w:r w:rsidRPr="000D14B6">
        <w:rPr>
          <w:rFonts w:cs="Arial" w:hint="cs"/>
          <w:rtl/>
        </w:rPr>
        <w:t>والمساكين</w:t>
      </w:r>
      <w:r w:rsidRPr="000D14B6">
        <w:rPr>
          <w:rFonts w:cs="Arial"/>
          <w:rtl/>
        </w:rPr>
        <w:t xml:space="preserve"> </w:t>
      </w:r>
      <w:r w:rsidRPr="000D14B6">
        <w:rPr>
          <w:rFonts w:cs="Arial" w:hint="cs"/>
          <w:rtl/>
        </w:rPr>
        <w:t>للمسألة</w:t>
      </w:r>
      <w:r w:rsidRPr="000D14B6">
        <w:rPr>
          <w:rFonts w:cs="Arial"/>
          <w:rtl/>
        </w:rPr>
        <w:t xml:space="preserve"> </w:t>
      </w:r>
      <w:r w:rsidRPr="000D14B6">
        <w:rPr>
          <w:rFonts w:cs="Arial" w:hint="cs"/>
          <w:rtl/>
        </w:rPr>
        <w:t>والقراء</w:t>
      </w:r>
      <w:r w:rsidRPr="000D14B6">
        <w:rPr>
          <w:rFonts w:cs="Arial"/>
          <w:rtl/>
        </w:rPr>
        <w:t xml:space="preserve"> </w:t>
      </w:r>
      <w:r w:rsidRPr="000D14B6">
        <w:rPr>
          <w:rFonts w:cs="Arial" w:hint="cs"/>
          <w:rtl/>
        </w:rPr>
        <w:t>رياء</w:t>
      </w:r>
      <w:r w:rsidRPr="000D14B6">
        <w:rPr>
          <w:rFonts w:cs="Arial"/>
          <w:rtl/>
        </w:rPr>
        <w:t xml:space="preserve"> </w:t>
      </w:r>
      <w:r w:rsidRPr="000D14B6">
        <w:rPr>
          <w:rFonts w:cs="Arial" w:hint="cs"/>
          <w:rtl/>
        </w:rPr>
        <w:t>وسمعة</w:t>
      </w:r>
      <w:r w:rsidRPr="000D14B6">
        <w:rPr>
          <w:rFonts w:cs="Arial"/>
          <w:rtl/>
        </w:rPr>
        <w:t xml:space="preserve"> </w:t>
      </w:r>
      <w:r w:rsidRPr="000D14B6">
        <w:rPr>
          <w:rFonts w:cs="Arial" w:hint="cs"/>
          <w:rtl/>
        </w:rPr>
        <w:t>فعند</w:t>
      </w:r>
      <w:r w:rsidRPr="000D14B6">
        <w:rPr>
          <w:rFonts w:cs="Arial"/>
          <w:rtl/>
        </w:rPr>
        <w:t xml:space="preserve"> </w:t>
      </w:r>
      <w:r w:rsidRPr="000D14B6">
        <w:rPr>
          <w:rFonts w:cs="Arial" w:hint="cs"/>
          <w:rtl/>
        </w:rPr>
        <w:t>ذلك</w:t>
      </w:r>
      <w:r w:rsidRPr="000D14B6">
        <w:rPr>
          <w:rFonts w:cs="Arial"/>
          <w:rtl/>
        </w:rPr>
        <w:t xml:space="preserve"> </w:t>
      </w:r>
      <w:r w:rsidRPr="000D14B6">
        <w:rPr>
          <w:rFonts w:cs="Arial" w:hint="cs"/>
          <w:rtl/>
        </w:rPr>
        <w:t>يظهر</w:t>
      </w:r>
      <w:r w:rsidRPr="000D14B6">
        <w:rPr>
          <w:rFonts w:cs="Arial"/>
          <w:rtl/>
        </w:rPr>
        <w:t xml:space="preserve"> </w:t>
      </w:r>
      <w:r w:rsidRPr="000D14B6">
        <w:rPr>
          <w:rFonts w:cs="Arial" w:hint="cs"/>
          <w:rtl/>
        </w:rPr>
        <w:t>نجم</w:t>
      </w:r>
      <w:r w:rsidRPr="000D14B6">
        <w:rPr>
          <w:rFonts w:cs="Arial"/>
          <w:rtl/>
        </w:rPr>
        <w:t xml:space="preserve"> </w:t>
      </w:r>
      <w:r w:rsidRPr="000D14B6">
        <w:rPr>
          <w:rFonts w:cs="Arial" w:hint="cs"/>
          <w:rtl/>
        </w:rPr>
        <w:t>له</w:t>
      </w:r>
      <w:r w:rsidRPr="000D14B6">
        <w:rPr>
          <w:rFonts w:cs="Arial"/>
          <w:rtl/>
        </w:rPr>
        <w:t xml:space="preserve"> </w:t>
      </w:r>
      <w:r w:rsidRPr="000D14B6">
        <w:rPr>
          <w:rFonts w:cs="Arial" w:hint="cs"/>
          <w:rtl/>
        </w:rPr>
        <w:t>ذنب</w:t>
      </w:r>
      <w:r>
        <w:rPr>
          <w:rFonts w:cs="Arial"/>
        </w:rPr>
        <w:t>"</w:t>
      </w:r>
    </w:p>
  </w:footnote>
  <w:footnote w:id="246">
    <w:p w:rsidR="008D6268" w:rsidRDefault="008D6268" w:rsidP="00804318">
      <w:pPr>
        <w:pStyle w:val="FootnoteText"/>
      </w:pPr>
      <w:r>
        <w:rPr>
          <w:rStyle w:val="FootnoteReference"/>
        </w:rPr>
        <w:footnoteRef/>
      </w:r>
      <w:r>
        <w:t xml:space="preserve"> </w:t>
      </w:r>
      <w:r w:rsidRPr="00301F9B">
        <w:t>al-Barzinjī</w:t>
      </w:r>
      <w:r>
        <w:t xml:space="preserve">, </w:t>
      </w:r>
      <w:r>
        <w:rPr>
          <w:i/>
          <w:iCs/>
          <w:lang w:bidi="ar-AE"/>
        </w:rPr>
        <w:t>The Book of the Word o</w:t>
      </w:r>
      <w:r w:rsidRPr="00301F9B">
        <w:rPr>
          <w:i/>
          <w:iCs/>
          <w:lang w:bidi="ar-AE"/>
        </w:rPr>
        <w:t>n Last Day Portents</w:t>
      </w:r>
      <w:r>
        <w:rPr>
          <w:i/>
          <w:iCs/>
          <w:lang w:bidi="ar-AE"/>
        </w:rPr>
        <w:t>,</w:t>
      </w:r>
      <w:r>
        <w:t xml:space="preserve"> p.92</w:t>
      </w:r>
    </w:p>
  </w:footnote>
  <w:footnote w:id="247">
    <w:p w:rsidR="008D6268" w:rsidRDefault="008D6268" w:rsidP="00804318">
      <w:pPr>
        <w:pStyle w:val="FootnoteText"/>
      </w:pPr>
      <w:r>
        <w:rPr>
          <w:rStyle w:val="FootnoteReference"/>
        </w:rPr>
        <w:footnoteRef/>
      </w:r>
      <w:r>
        <w:t xml:space="preserve"> </w:t>
      </w:r>
      <w:r w:rsidRPr="00301F9B">
        <w:t>al-Barzinjī</w:t>
      </w:r>
      <w:r>
        <w:t xml:space="preserve">, </w:t>
      </w:r>
      <w:r>
        <w:rPr>
          <w:i/>
          <w:iCs/>
          <w:lang w:bidi="ar-AE"/>
        </w:rPr>
        <w:t>The Book of the Word o</w:t>
      </w:r>
      <w:r w:rsidRPr="00301F9B">
        <w:rPr>
          <w:i/>
          <w:iCs/>
          <w:lang w:bidi="ar-AE"/>
        </w:rPr>
        <w:t>n Last Day Portents</w:t>
      </w:r>
      <w:r>
        <w:rPr>
          <w:i/>
          <w:iCs/>
          <w:lang w:bidi="ar-AE"/>
        </w:rPr>
        <w:t>,</w:t>
      </w:r>
      <w:r>
        <w:t xml:space="preserve"> p.92</w:t>
      </w:r>
    </w:p>
  </w:footnote>
  <w:footnote w:id="248">
    <w:p w:rsidR="008D6268" w:rsidRDefault="008D6268" w:rsidP="00804318">
      <w:pPr>
        <w:pStyle w:val="FootnoteText"/>
      </w:pPr>
      <w:r>
        <w:rPr>
          <w:rStyle w:val="FootnoteReference"/>
        </w:rPr>
        <w:footnoteRef/>
      </w:r>
      <w:r>
        <w:t xml:space="preserve"> </w:t>
      </w:r>
      <w:r w:rsidRPr="00301F9B">
        <w:t>al-Barzinjī</w:t>
      </w:r>
      <w:r>
        <w:t xml:space="preserve">, </w:t>
      </w:r>
      <w:r>
        <w:rPr>
          <w:i/>
          <w:iCs/>
          <w:lang w:bidi="ar-AE"/>
        </w:rPr>
        <w:t>The Book of the Word o</w:t>
      </w:r>
      <w:r w:rsidRPr="00301F9B">
        <w:rPr>
          <w:i/>
          <w:iCs/>
          <w:lang w:bidi="ar-AE"/>
        </w:rPr>
        <w:t>n Last Day Portents</w:t>
      </w:r>
      <w:r>
        <w:rPr>
          <w:i/>
          <w:iCs/>
          <w:lang w:bidi="ar-AE"/>
        </w:rPr>
        <w:t>,</w:t>
      </w:r>
      <w:r>
        <w:t xml:space="preserve"> p.92:</w:t>
      </w:r>
    </w:p>
    <w:p w:rsidR="008D6268" w:rsidRPr="00923203" w:rsidRDefault="008D6268" w:rsidP="00804318">
      <w:pPr>
        <w:bidi/>
        <w:rPr>
          <w:sz w:val="24"/>
          <w:szCs w:val="24"/>
          <w:lang w:bidi="ar-AE"/>
        </w:rPr>
      </w:pPr>
      <w:r w:rsidRPr="00923203">
        <w:rPr>
          <w:rFonts w:hint="cs"/>
          <w:sz w:val="20"/>
          <w:szCs w:val="20"/>
          <w:rtl/>
          <w:lang w:bidi="ar-AE"/>
        </w:rPr>
        <w:t>"جسده جسد السمك له أربع قوائم، في يديه خمس أصابع كأصابع الأسد وفي رجليه مثل حافر الفرس، ورأسه رأس ثور، له أربع قرون، اثنان بين عينيه أسودان، واثنان أصفران بين أذنيه، وانحدب كل اثنين إلى جهة الآخر"</w:t>
      </w:r>
    </w:p>
  </w:footnote>
  <w:footnote w:id="249">
    <w:p w:rsidR="008D6268" w:rsidRDefault="008D6268" w:rsidP="00804318">
      <w:pPr>
        <w:pStyle w:val="FootnoteText"/>
      </w:pPr>
      <w:r>
        <w:rPr>
          <w:rStyle w:val="FootnoteReference"/>
        </w:rPr>
        <w:footnoteRef/>
      </w:r>
      <w:r>
        <w:t xml:space="preserve"> </w:t>
      </w:r>
      <w:r w:rsidRPr="00301F9B">
        <w:t>al-Barzinjī</w:t>
      </w:r>
      <w:r>
        <w:t xml:space="preserve">, </w:t>
      </w:r>
      <w:r>
        <w:rPr>
          <w:i/>
          <w:iCs/>
          <w:lang w:bidi="ar-AE"/>
        </w:rPr>
        <w:t>The Book of the Word o</w:t>
      </w:r>
      <w:r w:rsidRPr="00301F9B">
        <w:rPr>
          <w:i/>
          <w:iCs/>
          <w:lang w:bidi="ar-AE"/>
        </w:rPr>
        <w:t>n Last Day Portents</w:t>
      </w:r>
      <w:r>
        <w:rPr>
          <w:i/>
          <w:iCs/>
          <w:lang w:bidi="ar-AE"/>
        </w:rPr>
        <w:t>,</w:t>
      </w:r>
      <w:r>
        <w:t xml:space="preserve"> p.92</w:t>
      </w:r>
    </w:p>
  </w:footnote>
  <w:footnote w:id="250">
    <w:p w:rsidR="008D6268" w:rsidRDefault="008D6268" w:rsidP="00804318">
      <w:pPr>
        <w:pStyle w:val="FootnoteText"/>
      </w:pPr>
      <w:r>
        <w:rPr>
          <w:rStyle w:val="FootnoteReference"/>
        </w:rPr>
        <w:footnoteRef/>
      </w:r>
      <w:r>
        <w:t xml:space="preserve"> John Dryden, 'Annus Manibilis,' in </w:t>
      </w:r>
      <w:r w:rsidRPr="001B5CA5">
        <w:rPr>
          <w:i/>
        </w:rPr>
        <w:t>The Works of John Dryden: Now First Collected in Eighteen Volumes. Illustrated with Notes, Historical, Critical, and Explanatory, and a Life of the Author</w:t>
      </w:r>
      <w:r>
        <w:t>, ed. by Walter Scott, vol. 9 (London: William Miller, 1808), p.155, st.291</w:t>
      </w:r>
    </w:p>
  </w:footnote>
  <w:footnote w:id="251">
    <w:p w:rsidR="008D6268" w:rsidRDefault="008D6268" w:rsidP="00804318">
      <w:pPr>
        <w:pStyle w:val="FootnoteText"/>
      </w:pPr>
      <w:r>
        <w:rPr>
          <w:rStyle w:val="FootnoteReference"/>
        </w:rPr>
        <w:footnoteRef/>
      </w:r>
      <w:r>
        <w:t xml:space="preserve"> ibn Ḥammād, </w:t>
      </w:r>
      <w:r w:rsidRPr="00DD4EF3">
        <w:rPr>
          <w:i/>
          <w:iCs/>
        </w:rPr>
        <w:t>Book of Tribulations</w:t>
      </w:r>
      <w:r>
        <w:t>, I:230, ḥadīth no. 643:</w:t>
      </w:r>
    </w:p>
    <w:p w:rsidR="008D6268" w:rsidRPr="007E3526" w:rsidRDefault="008D6268" w:rsidP="00804318">
      <w:pPr>
        <w:pStyle w:val="FootnoteText"/>
        <w:bidi/>
      </w:pPr>
      <w:r>
        <w:rPr>
          <w:rFonts w:ascii="Times New Roman" w:eastAsia="Times New Roman" w:hAnsi="Times New Roman" w:cs="Times New Roman"/>
        </w:rPr>
        <w:t>"</w:t>
      </w:r>
      <w:r w:rsidRPr="007E3526">
        <w:rPr>
          <w:rFonts w:ascii="Times New Roman" w:eastAsia="Times New Roman" w:hAnsi="Times New Roman" w:cs="Times New Roman"/>
          <w:rtl/>
        </w:rPr>
        <w:t>وَالنَّجْمُ الَّذِي يُرْمَى بِهِ شِهَابٌ يَنْقَضُّ مِنَ السَّمَاءِ، مَعَهَا صَوْتٌ شَدِيدٌ حَتَّى يَقَعَ فِي الْمَشْرِقِ، وَيُصِيبُ النَّاسَ مِنْهُ بَلَاءٌ شَدِيدٌ</w:t>
      </w:r>
      <w:r>
        <w:rPr>
          <w:rFonts w:ascii="Times New Roman" w:eastAsia="Times New Roman" w:hAnsi="Times New Roman" w:cs="Times New Roman"/>
        </w:rPr>
        <w:t>"</w:t>
      </w:r>
    </w:p>
  </w:footnote>
  <w:footnote w:id="252">
    <w:p w:rsidR="008D6268" w:rsidRDefault="008D6268" w:rsidP="00804318">
      <w:pPr>
        <w:pStyle w:val="FootnoteText"/>
      </w:pPr>
      <w:r>
        <w:rPr>
          <w:rStyle w:val="FootnoteReference"/>
        </w:rPr>
        <w:footnoteRef/>
      </w:r>
      <w:r>
        <w:t xml:space="preserve"> </w:t>
      </w:r>
      <w:r w:rsidRPr="00301F9B">
        <w:t>al-Barzinjī</w:t>
      </w:r>
      <w:r>
        <w:t xml:space="preserve">, </w:t>
      </w:r>
      <w:r>
        <w:rPr>
          <w:i/>
          <w:iCs/>
          <w:lang w:bidi="ar-AE"/>
        </w:rPr>
        <w:t>The Book of the Word o</w:t>
      </w:r>
      <w:r w:rsidRPr="00301F9B">
        <w:rPr>
          <w:i/>
          <w:iCs/>
          <w:lang w:bidi="ar-AE"/>
        </w:rPr>
        <w:t>n Last Day Portents</w:t>
      </w:r>
      <w:r>
        <w:rPr>
          <w:i/>
          <w:iCs/>
          <w:lang w:bidi="ar-AE"/>
        </w:rPr>
        <w:t>,</w:t>
      </w:r>
      <w:r>
        <w:t xml:space="preserve"> p.9</w:t>
      </w:r>
      <w:r>
        <w:rPr>
          <w:rFonts w:hint="cs"/>
          <w:rtl/>
        </w:rPr>
        <w:t>1</w:t>
      </w:r>
      <w:r>
        <w:t>:</w:t>
      </w:r>
    </w:p>
    <w:p w:rsidR="008D6268" w:rsidRDefault="008D6268" w:rsidP="00804318">
      <w:pPr>
        <w:pStyle w:val="FootnoteText"/>
        <w:bidi/>
        <w:rPr>
          <w:rtl/>
          <w:lang w:bidi="ar-AE"/>
        </w:rPr>
      </w:pPr>
      <w:r>
        <w:rPr>
          <w:rFonts w:hint="cs"/>
          <w:rtl/>
          <w:lang w:bidi="ar-AE"/>
        </w:rPr>
        <w:t>"لا تقوم الساعة حتى ترضخ رؤوس أقوام بكواكب من السماء لاستحلالهم عمل قوم لوط ."</w:t>
      </w:r>
    </w:p>
  </w:footnote>
  <w:footnote w:id="253">
    <w:p w:rsidR="008D6268" w:rsidRDefault="008D6268" w:rsidP="00804318">
      <w:pPr>
        <w:pStyle w:val="FootnoteText"/>
      </w:pPr>
      <w:r>
        <w:rPr>
          <w:rStyle w:val="FootnoteReference"/>
        </w:rPr>
        <w:footnoteRef/>
      </w:r>
      <w:r>
        <w:t xml:space="preserve"> </w:t>
      </w:r>
      <w:r w:rsidRPr="00301F9B">
        <w:t>al-Barzinjī</w:t>
      </w:r>
      <w:r>
        <w:t xml:space="preserve">, </w:t>
      </w:r>
      <w:r w:rsidRPr="00DD4EF3">
        <w:rPr>
          <w:i/>
          <w:iCs/>
        </w:rPr>
        <w:t xml:space="preserve">The Book of the Word </w:t>
      </w:r>
      <w:r>
        <w:rPr>
          <w:i/>
          <w:iCs/>
        </w:rPr>
        <w:t>o</w:t>
      </w:r>
      <w:r w:rsidRPr="00DD4EF3">
        <w:rPr>
          <w:i/>
          <w:iCs/>
        </w:rPr>
        <w:t>n Last Day Portents</w:t>
      </w:r>
      <w:r>
        <w:t>, p.91</w:t>
      </w:r>
    </w:p>
  </w:footnote>
  <w:footnote w:id="254">
    <w:p w:rsidR="008D6268" w:rsidRDefault="008D6268" w:rsidP="00804318">
      <w:pPr>
        <w:pStyle w:val="FootnoteText"/>
      </w:pPr>
      <w:r>
        <w:rPr>
          <w:rStyle w:val="FootnoteReference"/>
        </w:rPr>
        <w:footnoteRef/>
      </w:r>
      <w:r>
        <w:t xml:space="preserve"> Eliade, </w:t>
      </w:r>
      <w:r w:rsidRPr="00DD4EF3">
        <w:rPr>
          <w:i/>
          <w:iCs/>
        </w:rPr>
        <w:t>Cosmos and History</w:t>
      </w:r>
      <w:r>
        <w:t xml:space="preserve">, p.104, pp.126-128; Landes, </w:t>
      </w:r>
      <w:r w:rsidRPr="00DD4EF3">
        <w:rPr>
          <w:i/>
          <w:iCs/>
        </w:rPr>
        <w:t>Heaven on Earth</w:t>
      </w:r>
      <w:r>
        <w:t>, p.31</w:t>
      </w:r>
    </w:p>
  </w:footnote>
  <w:footnote w:id="255">
    <w:p w:rsidR="008D6268" w:rsidRDefault="008D6268" w:rsidP="00804318">
      <w:pPr>
        <w:pStyle w:val="FootnoteText"/>
      </w:pPr>
      <w:r>
        <w:rPr>
          <w:rStyle w:val="FootnoteReference"/>
        </w:rPr>
        <w:footnoteRef/>
      </w:r>
      <w:r>
        <w:t xml:space="preserve"> Arjomand, 'Islamic Apocalypticism in the Classic Period', p.264</w:t>
      </w:r>
    </w:p>
  </w:footnote>
  <w:footnote w:id="256">
    <w:p w:rsidR="008D6268" w:rsidRDefault="008D6268" w:rsidP="00804318">
      <w:pPr>
        <w:pStyle w:val="FootnoteText"/>
      </w:pPr>
      <w:r>
        <w:rPr>
          <w:rStyle w:val="FootnoteReference"/>
        </w:rPr>
        <w:footnoteRef/>
      </w:r>
      <w:r>
        <w:t xml:space="preserve"> Lorenzo DiTommaso, 'The Apocalyptic Other', in </w:t>
      </w:r>
      <w:r w:rsidRPr="0073730D">
        <w:rPr>
          <w:i/>
        </w:rPr>
        <w:t xml:space="preserve">The </w:t>
      </w:r>
      <w:r>
        <w:rPr>
          <w:i/>
        </w:rPr>
        <w:t>'</w:t>
      </w:r>
      <w:r w:rsidRPr="0073730D">
        <w:rPr>
          <w:i/>
        </w:rPr>
        <w:t>Other</w:t>
      </w:r>
      <w:r>
        <w:rPr>
          <w:i/>
        </w:rPr>
        <w:t>'</w:t>
      </w:r>
      <w:r w:rsidRPr="0073730D">
        <w:rPr>
          <w:i/>
        </w:rPr>
        <w:t xml:space="preserve"> in Second Temple Judaism: Essays in Honor of John J. Collins</w:t>
      </w:r>
      <w:r>
        <w:t>, ed. by Daniel C. Harlow and others (Michigan: William B. Eerdmans Publishing Company, 2011), p.236</w:t>
      </w:r>
    </w:p>
  </w:footnote>
  <w:footnote w:id="257">
    <w:p w:rsidR="008D6268" w:rsidRDefault="008D6268" w:rsidP="00B91B05">
      <w:pPr>
        <w:pStyle w:val="FootnoteText"/>
      </w:pPr>
      <w:r>
        <w:rPr>
          <w:rStyle w:val="FootnoteReference"/>
        </w:rPr>
        <w:footnoteRef/>
      </w:r>
      <w:r>
        <w:t xml:space="preserve"> Campion, </w:t>
      </w:r>
      <w:r w:rsidRPr="001E73EE">
        <w:rPr>
          <w:i/>
          <w:iCs/>
        </w:rPr>
        <w:t>Astrology and Cosmology in the World’s Religions</w:t>
      </w:r>
      <w:r>
        <w:t>, p.10</w:t>
      </w:r>
    </w:p>
  </w:footnote>
  <w:footnote w:id="258">
    <w:p w:rsidR="008D6268" w:rsidRPr="00121D52" w:rsidRDefault="008D6268" w:rsidP="00B91B05">
      <w:pPr>
        <w:pStyle w:val="FootnoteText"/>
      </w:pPr>
      <w:r w:rsidRPr="00121D52">
        <w:rPr>
          <w:rStyle w:val="FootnoteReference"/>
        </w:rPr>
        <w:footnoteRef/>
      </w:r>
      <w:r w:rsidRPr="00121D52">
        <w:t xml:space="preserve"> Campion, </w:t>
      </w:r>
      <w:r w:rsidRPr="001E73EE">
        <w:rPr>
          <w:i/>
          <w:iCs/>
        </w:rPr>
        <w:t>Astrology and Cosmology in the World’s Religions</w:t>
      </w:r>
      <w:r>
        <w:t xml:space="preserve">, </w:t>
      </w:r>
      <w:r w:rsidRPr="00121D52">
        <w:t>p.173</w:t>
      </w:r>
    </w:p>
  </w:footnote>
  <w:footnote w:id="259">
    <w:p w:rsidR="008D6268" w:rsidRDefault="008D6268" w:rsidP="00B91B05">
      <w:pPr>
        <w:pStyle w:val="FootnoteText"/>
      </w:pPr>
      <w:r>
        <w:rPr>
          <w:rStyle w:val="FootnoteReference"/>
        </w:rPr>
        <w:footnoteRef/>
      </w:r>
      <w:r>
        <w:t xml:space="preserve"> Mathews, </w:t>
      </w:r>
      <w:r w:rsidRPr="001931C2">
        <w:rPr>
          <w:i/>
          <w:iCs/>
        </w:rPr>
        <w:t>The Ecological Self</w:t>
      </w:r>
      <w:r>
        <w:t>, p.43</w:t>
      </w:r>
    </w:p>
  </w:footnote>
  <w:footnote w:id="260">
    <w:p w:rsidR="008D6268" w:rsidRDefault="008D6268" w:rsidP="00B91B05">
      <w:pPr>
        <w:pStyle w:val="FootnoteText"/>
      </w:pPr>
      <w:r>
        <w:rPr>
          <w:rStyle w:val="FootnoteReference"/>
        </w:rPr>
        <w:footnoteRef/>
      </w:r>
      <w:r>
        <w:t xml:space="preserve"> Eliade, </w:t>
      </w:r>
      <w:r w:rsidRPr="006710BC">
        <w:rPr>
          <w:i/>
          <w:iCs/>
        </w:rPr>
        <w:t>Cosmos and History</w:t>
      </w:r>
      <w:r>
        <w:t>, p.104</w:t>
      </w:r>
    </w:p>
  </w:footnote>
  <w:footnote w:id="261">
    <w:p w:rsidR="008D6268" w:rsidRDefault="008D6268" w:rsidP="00B91B05">
      <w:pPr>
        <w:pStyle w:val="FootnoteText"/>
      </w:pPr>
      <w:r>
        <w:rPr>
          <w:rStyle w:val="FootnoteReference"/>
        </w:rPr>
        <w:footnoteRef/>
      </w:r>
      <w:r>
        <w:t xml:space="preserve"> Cohn, </w:t>
      </w:r>
      <w:r w:rsidRPr="006710BC">
        <w:rPr>
          <w:i/>
          <w:iCs/>
        </w:rPr>
        <w:t>The Pursuit of the Millennium</w:t>
      </w:r>
      <w:r>
        <w:t>, 1961, p.319</w:t>
      </w:r>
    </w:p>
  </w:footnote>
  <w:footnote w:id="262">
    <w:p w:rsidR="008D6268" w:rsidRPr="00121D52" w:rsidRDefault="008D6268" w:rsidP="00B91B05">
      <w:pPr>
        <w:pStyle w:val="FootnoteText"/>
      </w:pPr>
      <w:r w:rsidRPr="00121D52">
        <w:rPr>
          <w:rStyle w:val="FootnoteReference"/>
        </w:rPr>
        <w:footnoteRef/>
      </w:r>
      <w:r w:rsidRPr="00121D52">
        <w:t xml:space="preserve"> Scott, </w:t>
      </w:r>
      <w:r w:rsidRPr="00F34ED4">
        <w:rPr>
          <w:i/>
        </w:rPr>
        <w:t>Domination and the Arts of Resistance</w:t>
      </w:r>
      <w:r>
        <w:rPr>
          <w:i/>
        </w:rPr>
        <w:t>,</w:t>
      </w:r>
      <w:r w:rsidRPr="00121D52">
        <w:t xml:space="preserve"> p</w:t>
      </w:r>
      <w:r>
        <w:t>p</w:t>
      </w:r>
      <w:r w:rsidRPr="00121D52">
        <w:t>.41</w:t>
      </w:r>
      <w:r>
        <w:t>-42; p.199</w:t>
      </w:r>
    </w:p>
  </w:footnote>
  <w:footnote w:id="263">
    <w:p w:rsidR="008D6268" w:rsidRDefault="008D6268" w:rsidP="00B91B05">
      <w:pPr>
        <w:pStyle w:val="FootnoteText"/>
      </w:pPr>
      <w:r>
        <w:rPr>
          <w:rStyle w:val="FootnoteReference"/>
        </w:rPr>
        <w:footnoteRef/>
      </w:r>
      <w:r>
        <w:t xml:space="preserve"> Eliade, </w:t>
      </w:r>
      <w:r w:rsidRPr="00B9729A">
        <w:rPr>
          <w:i/>
          <w:iCs/>
        </w:rPr>
        <w:t>Cosmos and History</w:t>
      </w:r>
      <w:r>
        <w:t>, p.75; p.141; Appleby, '</w:t>
      </w:r>
      <w:r w:rsidRPr="000F29C7">
        <w:t>The Unholy Uses of the Apocalyptic Imagination</w:t>
      </w:r>
      <w:r>
        <w:t>', p.75; Harvey and Newcombe, 'From the Extraordinary to the Ordinary', p.8; p.11</w:t>
      </w:r>
    </w:p>
  </w:footnote>
  <w:footnote w:id="264">
    <w:p w:rsidR="008D6268" w:rsidRDefault="008D6268" w:rsidP="00FF1BA2">
      <w:pPr>
        <w:pStyle w:val="FootnoteText"/>
      </w:pPr>
      <w:r>
        <w:rPr>
          <w:rStyle w:val="FootnoteReference"/>
        </w:rPr>
        <w:footnoteRef/>
      </w:r>
      <w:r>
        <w:t xml:space="preserve"> </w:t>
      </w:r>
      <w:r w:rsidRPr="006F52BB">
        <w:t xml:space="preserve">H. G. Liddell and R. Scott, </w:t>
      </w:r>
      <w:r w:rsidRPr="006F52BB">
        <w:rPr>
          <w:i/>
        </w:rPr>
        <w:t>An Intermediate Greek-English Lexicon</w:t>
      </w:r>
      <w:r w:rsidRPr="006F52BB">
        <w:t xml:space="preserve"> (Connecticut: Martino Publishing, 2013), [hereafter Liddell and Scott], p.319; </w:t>
      </w:r>
      <w:r w:rsidRPr="006F52BB">
        <w:rPr>
          <w:rStyle w:val="selectable"/>
        </w:rPr>
        <w:t xml:space="preserve">Angus Stevenson, ed., 'Oxford Dictionary of English - Oxford Reference', </w:t>
      </w:r>
      <w:r w:rsidRPr="006F52BB">
        <w:rPr>
          <w:rStyle w:val="selectable"/>
          <w:i/>
          <w:iCs/>
        </w:rPr>
        <w:t>Oxfordreference.com</w:t>
      </w:r>
      <w:r w:rsidRPr="006F52BB">
        <w:rPr>
          <w:rStyle w:val="selectable"/>
        </w:rPr>
        <w:t>, 2015</w:t>
      </w:r>
      <w:r>
        <w:rPr>
          <w:rStyle w:val="selectable"/>
        </w:rPr>
        <w:t xml:space="preserve"> &lt;http://www.oxfordreference.com/view/10.1093/acref/9780199571123.001.0001/acref-9780199571123&gt; [accessed 26 August 2015].</w:t>
      </w:r>
    </w:p>
  </w:footnote>
  <w:footnote w:id="265">
    <w:p w:rsidR="008D6268" w:rsidRPr="00C30427" w:rsidRDefault="008D6268" w:rsidP="00FF1BA2">
      <w:pPr>
        <w:pStyle w:val="NormalWeb"/>
        <w:spacing w:before="0" w:beforeAutospacing="0" w:after="0" w:afterAutospacing="0"/>
        <w:ind w:left="450" w:hanging="450"/>
        <w:rPr>
          <w:rFonts w:ascii="Calibri" w:hAnsi="Calibri"/>
          <w:sz w:val="20"/>
          <w:szCs w:val="20"/>
          <w:lang w:bidi="ar-AE"/>
        </w:rPr>
      </w:pPr>
      <w:r w:rsidRPr="00C30427">
        <w:rPr>
          <w:rStyle w:val="FootnoteReference"/>
          <w:rFonts w:ascii="Calibri" w:hAnsi="Calibri"/>
          <w:sz w:val="20"/>
          <w:szCs w:val="20"/>
        </w:rPr>
        <w:footnoteRef/>
      </w:r>
      <w:r w:rsidRPr="00C30427">
        <w:rPr>
          <w:rFonts w:ascii="Calibri" w:hAnsi="Calibri"/>
          <w:sz w:val="20"/>
          <w:szCs w:val="20"/>
        </w:rPr>
        <w:t xml:space="preserve"> Mu</w:t>
      </w:r>
      <w:r w:rsidRPr="003A1036">
        <w:rPr>
          <w:rFonts w:ascii="Calibri" w:hAnsi="Calibri"/>
          <w:sz w:val="20"/>
          <w:szCs w:val="20"/>
        </w:rPr>
        <w:t>ḥ</w:t>
      </w:r>
      <w:r w:rsidRPr="00C30427">
        <w:rPr>
          <w:rFonts w:ascii="Calibri" w:hAnsi="Calibri"/>
          <w:sz w:val="20"/>
          <w:szCs w:val="20"/>
        </w:rPr>
        <w:t>ammad b. ‘Iss</w:t>
      </w:r>
      <w:r w:rsidRPr="003A1036">
        <w:rPr>
          <w:rFonts w:ascii="Calibri" w:hAnsi="Calibri"/>
          <w:sz w:val="20"/>
          <w:szCs w:val="20"/>
        </w:rPr>
        <w:t>ā</w:t>
      </w:r>
      <w:r w:rsidRPr="00C30427">
        <w:rPr>
          <w:rFonts w:ascii="Calibri" w:hAnsi="Calibri"/>
          <w:sz w:val="20"/>
          <w:szCs w:val="20"/>
        </w:rPr>
        <w:t xml:space="preserve"> b. al-Dha</w:t>
      </w:r>
      <w:r w:rsidRPr="003A1036">
        <w:rPr>
          <w:rFonts w:ascii="Calibri" w:hAnsi="Calibri"/>
          <w:sz w:val="20"/>
          <w:szCs w:val="20"/>
        </w:rPr>
        <w:t>ḥ</w:t>
      </w:r>
      <w:r w:rsidRPr="00C30427">
        <w:rPr>
          <w:rFonts w:ascii="Calibri" w:hAnsi="Calibri"/>
          <w:sz w:val="20"/>
          <w:szCs w:val="20"/>
        </w:rPr>
        <w:t>āk al-Tirmidh</w:t>
      </w:r>
      <w:r w:rsidRPr="003A1036">
        <w:rPr>
          <w:rFonts w:ascii="Calibri" w:hAnsi="Calibri"/>
          <w:sz w:val="20"/>
          <w:szCs w:val="20"/>
        </w:rPr>
        <w:t>ī</w:t>
      </w:r>
      <w:r w:rsidRPr="00C30427">
        <w:rPr>
          <w:rFonts w:ascii="Calibri" w:hAnsi="Calibri"/>
          <w:sz w:val="20"/>
          <w:szCs w:val="20"/>
        </w:rPr>
        <w:t xml:space="preserve">, </w:t>
      </w:r>
      <w:r w:rsidRPr="00C30427">
        <w:rPr>
          <w:rFonts w:ascii="Calibri" w:hAnsi="Calibri"/>
          <w:i/>
          <w:iCs/>
          <w:sz w:val="20"/>
          <w:szCs w:val="20"/>
          <w:lang w:bidi="ar-AE"/>
        </w:rPr>
        <w:t>The Great Compilation,</w:t>
      </w:r>
      <w:r w:rsidRPr="00C30427">
        <w:rPr>
          <w:rFonts w:ascii="Calibri" w:hAnsi="Calibri"/>
          <w:sz w:val="20"/>
          <w:szCs w:val="20"/>
          <w:lang w:bidi="ar-AE"/>
        </w:rPr>
        <w:t xml:space="preserve"> book 47 on </w:t>
      </w:r>
      <w:r w:rsidRPr="00C30427">
        <w:rPr>
          <w:rFonts w:ascii="Calibri" w:hAnsi="Calibri"/>
          <w:i/>
          <w:iCs/>
          <w:sz w:val="20"/>
          <w:szCs w:val="20"/>
          <w:lang w:bidi="ar-AE"/>
        </w:rPr>
        <w:t xml:space="preserve">Qur'ān Interpretation </w:t>
      </w:r>
      <w:r w:rsidRPr="00C30427">
        <w:rPr>
          <w:rFonts w:ascii="Calibri" w:hAnsi="Calibri"/>
          <w:sz w:val="20"/>
          <w:szCs w:val="20"/>
          <w:lang w:bidi="ar-AE"/>
        </w:rPr>
        <w:t>(Beirut: D</w:t>
      </w:r>
      <w:r w:rsidRPr="003A1036">
        <w:rPr>
          <w:rFonts w:ascii="Calibri" w:hAnsi="Calibri"/>
          <w:sz w:val="20"/>
          <w:szCs w:val="20"/>
          <w:lang w:bidi="ar-AE"/>
        </w:rPr>
        <w:t>ā</w:t>
      </w:r>
      <w:r w:rsidRPr="00C30427">
        <w:rPr>
          <w:rFonts w:ascii="Calibri" w:hAnsi="Calibri"/>
          <w:sz w:val="20"/>
          <w:szCs w:val="20"/>
          <w:lang w:bidi="ar-AE"/>
        </w:rPr>
        <w:t>r al-Gharb al-Isl</w:t>
      </w:r>
      <w:r w:rsidRPr="003A1036">
        <w:rPr>
          <w:rFonts w:ascii="Calibri" w:hAnsi="Calibri"/>
          <w:sz w:val="20"/>
          <w:szCs w:val="20"/>
          <w:lang w:bidi="ar-AE"/>
        </w:rPr>
        <w:t>ā</w:t>
      </w:r>
      <w:r w:rsidRPr="00C30427">
        <w:rPr>
          <w:rFonts w:ascii="Calibri" w:hAnsi="Calibri"/>
          <w:sz w:val="20"/>
          <w:szCs w:val="20"/>
          <w:lang w:bidi="ar-AE"/>
        </w:rPr>
        <w:t>m</w:t>
      </w:r>
      <w:r w:rsidRPr="003A1036">
        <w:rPr>
          <w:rFonts w:ascii="Calibri" w:hAnsi="Calibri"/>
          <w:sz w:val="20"/>
          <w:szCs w:val="20"/>
          <w:lang w:bidi="ar-AE"/>
        </w:rPr>
        <w:t>ī</w:t>
      </w:r>
      <w:r w:rsidRPr="00C30427">
        <w:rPr>
          <w:rFonts w:ascii="Calibri" w:hAnsi="Calibri"/>
          <w:sz w:val="20"/>
          <w:szCs w:val="20"/>
          <w:lang w:bidi="ar-AE"/>
        </w:rPr>
        <w:t>, 1998), ḥadīth 3653:</w:t>
      </w:r>
    </w:p>
    <w:p w:rsidR="008D6268" w:rsidRPr="00C30427" w:rsidRDefault="008D6268" w:rsidP="00FF1BA2">
      <w:pPr>
        <w:pStyle w:val="NormalWeb"/>
        <w:bidi/>
        <w:spacing w:before="0" w:beforeAutospacing="0" w:after="0" w:afterAutospacing="0"/>
        <w:rPr>
          <w:rFonts w:ascii="Calibri" w:hAnsi="Calibri"/>
          <w:sz w:val="16"/>
          <w:szCs w:val="16"/>
          <w:lang w:bidi="ar-AE"/>
        </w:rPr>
      </w:pPr>
      <w:r w:rsidRPr="003A1036">
        <w:rPr>
          <w:rStyle w:val="arabictextdetails"/>
          <w:rFonts w:eastAsia="Calibri"/>
          <w:sz w:val="20"/>
          <w:szCs w:val="20"/>
          <w:rtl/>
        </w:rPr>
        <w:t>قَالَ رَسُولُ اللَّهِ صلى الله عليه وسلم ‏"‏ مَنْ سَرَّهُ أَنْ يَنْظُرَ إِلَى يَوْمِ الْقِيَامَةِ كَأَنَّهُ رَأْىُ عَيْنٍ فَلْيَقْرَأْ ‏</w:t>
      </w:r>
      <w:r w:rsidRPr="003A1036">
        <w:rPr>
          <w:rStyle w:val="arabictextdetails"/>
          <w:rFonts w:eastAsia="Calibri" w:hint="cs"/>
          <w:sz w:val="20"/>
          <w:szCs w:val="20"/>
          <w:rtl/>
        </w:rPr>
        <w:t>(</w:t>
      </w:r>
      <w:r w:rsidRPr="003A1036">
        <w:rPr>
          <w:rStyle w:val="arabictextdetails"/>
          <w:rFonts w:eastAsia="Calibri"/>
          <w:sz w:val="20"/>
          <w:szCs w:val="20"/>
          <w:rtl/>
        </w:rPr>
        <w:t>إِذَا الشَّمْسُ كُوِّرَتْ</w:t>
      </w:r>
      <w:r>
        <w:rPr>
          <w:rStyle w:val="arabictextdetails"/>
          <w:rFonts w:eastAsia="Calibri" w:hint="cs"/>
          <w:sz w:val="20"/>
          <w:szCs w:val="20"/>
          <w:rtl/>
        </w:rPr>
        <w:t>)</w:t>
      </w:r>
      <w:r w:rsidRPr="003A1036">
        <w:rPr>
          <w:rStyle w:val="arabictextdetails"/>
          <w:rFonts w:eastAsia="Calibri"/>
          <w:sz w:val="20"/>
          <w:szCs w:val="20"/>
          <w:rtl/>
        </w:rPr>
        <w:t xml:space="preserve"> و ‏</w:t>
      </w:r>
      <w:r>
        <w:rPr>
          <w:rStyle w:val="arabictextdetails"/>
          <w:rFonts w:eastAsia="Calibri" w:hint="cs"/>
          <w:sz w:val="20"/>
          <w:szCs w:val="20"/>
          <w:rtl/>
        </w:rPr>
        <w:t>(</w:t>
      </w:r>
      <w:r w:rsidRPr="003A1036">
        <w:rPr>
          <w:rStyle w:val="arabictextdetails"/>
          <w:rFonts w:eastAsia="Calibri"/>
          <w:sz w:val="20"/>
          <w:szCs w:val="20"/>
          <w:rtl/>
        </w:rPr>
        <w:t>‏إِذَا السَّمَاءُ انْفَطَرَتْ</w:t>
      </w:r>
      <w:r>
        <w:rPr>
          <w:rStyle w:val="arabictextdetails"/>
          <w:rFonts w:eastAsia="Calibri" w:hint="cs"/>
          <w:sz w:val="20"/>
          <w:szCs w:val="20"/>
          <w:rtl/>
        </w:rPr>
        <w:t>)</w:t>
      </w:r>
      <w:r w:rsidRPr="003A1036">
        <w:rPr>
          <w:rStyle w:val="arabictextdetails"/>
          <w:rFonts w:eastAsia="Calibri"/>
          <w:sz w:val="20"/>
          <w:szCs w:val="20"/>
          <w:rtl/>
        </w:rPr>
        <w:t xml:space="preserve"> وَ ‏</w:t>
      </w:r>
      <w:r w:rsidRPr="0084030C">
        <w:rPr>
          <w:rStyle w:val="arabictextdetails"/>
          <w:rFonts w:eastAsia="Calibri" w:hint="cs"/>
          <w:sz w:val="20"/>
          <w:szCs w:val="20"/>
          <w:rtl/>
        </w:rPr>
        <w:t>(</w:t>
      </w:r>
      <w:r w:rsidRPr="0084030C">
        <w:rPr>
          <w:rStyle w:val="arabictextdetails"/>
          <w:rFonts w:eastAsia="Calibri"/>
          <w:sz w:val="20"/>
          <w:szCs w:val="20"/>
          <w:rtl/>
        </w:rPr>
        <w:t>إذَا السَّمَاءُ انْشَقَّتْ</w:t>
      </w:r>
      <w:r>
        <w:rPr>
          <w:rStyle w:val="arabictextdetails"/>
          <w:rFonts w:eastAsia="Calibri" w:hint="cs"/>
          <w:sz w:val="20"/>
          <w:szCs w:val="20"/>
          <w:rtl/>
        </w:rPr>
        <w:t>)</w:t>
      </w:r>
      <w:r w:rsidRPr="003A1036">
        <w:rPr>
          <w:rStyle w:val="arabictextdetails"/>
          <w:rFonts w:eastAsia="Calibri"/>
          <w:sz w:val="20"/>
          <w:szCs w:val="20"/>
          <w:rtl/>
        </w:rPr>
        <w:t xml:space="preserve"> ‏"‏‏‏.‏</w:t>
      </w:r>
    </w:p>
  </w:footnote>
  <w:footnote w:id="266">
    <w:p w:rsidR="008D6268" w:rsidRPr="00D20AD9" w:rsidRDefault="008D6268" w:rsidP="00FF1BA2">
      <w:pPr>
        <w:rPr>
          <w:sz w:val="20"/>
          <w:szCs w:val="20"/>
        </w:rPr>
      </w:pPr>
      <w:r>
        <w:rPr>
          <w:rStyle w:val="FootnoteReference"/>
        </w:rPr>
        <w:footnoteRef/>
      </w:r>
      <w:r>
        <w:t xml:space="preserve"> </w:t>
      </w:r>
      <w:r w:rsidRPr="0084030C">
        <w:rPr>
          <w:sz w:val="20"/>
          <w:szCs w:val="20"/>
        </w:rPr>
        <w:t>Abdal H.</w:t>
      </w:r>
      <w:r>
        <w:rPr>
          <w:sz w:val="20"/>
          <w:szCs w:val="20"/>
        </w:rPr>
        <w:t xml:space="preserve"> </w:t>
      </w:r>
      <w:r w:rsidRPr="0084030C">
        <w:rPr>
          <w:sz w:val="20"/>
          <w:szCs w:val="20"/>
        </w:rPr>
        <w:t>Murad, M. Badawi and U. Hutchinson,</w:t>
      </w:r>
      <w:r>
        <w:rPr>
          <w:sz w:val="20"/>
          <w:szCs w:val="20"/>
        </w:rPr>
        <w:t xml:space="preserve"> trans.,</w:t>
      </w:r>
      <w:r w:rsidRPr="0084030C">
        <w:rPr>
          <w:sz w:val="20"/>
          <w:szCs w:val="20"/>
        </w:rPr>
        <w:t xml:space="preserve"> </w:t>
      </w:r>
      <w:r w:rsidRPr="0084030C">
        <w:rPr>
          <w:i/>
          <w:iCs/>
          <w:sz w:val="20"/>
          <w:szCs w:val="20"/>
        </w:rPr>
        <w:t>The Majestic Qur’ān : An English Rendition of its Meanings</w:t>
      </w:r>
      <w:r w:rsidRPr="0084030C">
        <w:rPr>
          <w:sz w:val="20"/>
          <w:szCs w:val="20"/>
        </w:rPr>
        <w:t xml:space="preserve"> (Chicago, IL: Nawawi Foundation, 2000)</w:t>
      </w:r>
      <w:r>
        <w:rPr>
          <w:sz w:val="20"/>
          <w:szCs w:val="20"/>
        </w:rPr>
        <w:t xml:space="preserve">, [hereafter </w:t>
      </w:r>
      <w:r w:rsidRPr="0084030C">
        <w:rPr>
          <w:i/>
          <w:iCs/>
          <w:sz w:val="20"/>
          <w:szCs w:val="20"/>
        </w:rPr>
        <w:t>The Majestic Qur’ān</w:t>
      </w:r>
      <w:r>
        <w:rPr>
          <w:sz w:val="20"/>
          <w:szCs w:val="20"/>
        </w:rPr>
        <w:t>]: 81:1-14</w:t>
      </w:r>
    </w:p>
    <w:p w:rsidR="008D6268" w:rsidRDefault="008D6268" w:rsidP="00FF1BA2">
      <w:pPr>
        <w:pStyle w:val="FootnoteText"/>
      </w:pPr>
    </w:p>
  </w:footnote>
  <w:footnote w:id="267">
    <w:p w:rsidR="008D6268" w:rsidRDefault="008D6268" w:rsidP="00FF1BA2">
      <w:pPr>
        <w:pStyle w:val="FootnoteText"/>
      </w:pPr>
      <w:r>
        <w:rPr>
          <w:rStyle w:val="FootnoteReference"/>
        </w:rPr>
        <w:footnoteRef/>
      </w:r>
      <w:r>
        <w:t xml:space="preserve"> Haslin Hasan and Ab Hafiz Mat Tuah, 'Quranic Cosmogony: Impact of Contemporary Cosmology on the Interpretation of Quranic Passages Relating to the Origin of the Universe', </w:t>
      </w:r>
      <w:r w:rsidRPr="00C76CC2">
        <w:rPr>
          <w:rFonts w:ascii="MS Gothic" w:eastAsia="MS Gothic" w:hAnsi="MS Gothic" w:cs="MS Gothic" w:hint="eastAsia"/>
          <w:i/>
        </w:rPr>
        <w:t>イスラーム世界研究</w:t>
      </w:r>
      <w:r w:rsidRPr="00C76CC2">
        <w:rPr>
          <w:i/>
        </w:rPr>
        <w:t xml:space="preserve"> Or Kyoto Bulletin of Islamic Area Studies, </w:t>
      </w:r>
      <w:r>
        <w:t>7 (2014), 124-140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313FE" w:rsidRDefault="006313F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rsidP="005455A6">
    <w:pPr>
      <w:pStyle w:val="Header"/>
    </w:pPr>
  </w:p>
  <w:p w:rsidR="008D6268" w:rsidRDefault="008D6268"/>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313FE" w:rsidRDefault="006313FE">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pPr>
      <w:pStyle w:val="Header"/>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pPr>
      <w:pStyle w:val="Header"/>
    </w:pP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1443102184"/>
      <w:docPartObj>
        <w:docPartGallery w:val="Page Numbers (Top of Page)"/>
        <w:docPartUnique/>
      </w:docPartObj>
    </w:sdtPr>
    <w:sdtEndPr>
      <w:rPr>
        <w:b/>
        <w:bCs/>
        <w:noProof/>
        <w:color w:val="auto"/>
        <w:spacing w:val="0"/>
      </w:rPr>
    </w:sdtEndPr>
    <w:sdtContent>
      <w:p w:rsidR="008D6268" w:rsidRDefault="008D6268">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6313FE" w:rsidRPr="006313FE">
          <w:rPr>
            <w:b/>
            <w:bCs/>
            <w:noProof/>
          </w:rPr>
          <w:t>14</w:t>
        </w:r>
        <w:r>
          <w:rPr>
            <w:b/>
            <w:bCs/>
            <w:noProof/>
          </w:rPr>
          <w:fldChar w:fldCharType="end"/>
        </w:r>
      </w:p>
    </w:sdtContent>
  </w:sdt>
  <w:p w:rsidR="008D6268" w:rsidRDefault="008D6268"/>
</w:hdr>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pPr>
      <w:pStyle w:val="Header"/>
    </w:pPr>
  </w:p>
</w:hdr>
</file>

<file path=word/header1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2016718765"/>
      <w:docPartObj>
        <w:docPartGallery w:val="Page Numbers (Top of Page)"/>
        <w:docPartUnique/>
      </w:docPartObj>
    </w:sdtPr>
    <w:sdtEndPr>
      <w:rPr>
        <w:b/>
        <w:bCs/>
        <w:noProof/>
        <w:color w:val="auto"/>
        <w:spacing w:val="0"/>
      </w:rPr>
    </w:sdtEndPr>
    <w:sdtContent>
      <w:p w:rsidR="008D6268" w:rsidRDefault="008D6268">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rsidRPr="00CF70F8">
          <w:rPr>
            <w:rFonts w:asciiTheme="minorHAnsi" w:hAnsiTheme="minorHAnsi"/>
          </w:rPr>
          <w:fldChar w:fldCharType="begin"/>
        </w:r>
        <w:r w:rsidRPr="00CF70F8">
          <w:rPr>
            <w:rFonts w:asciiTheme="minorHAnsi" w:hAnsiTheme="minorHAnsi"/>
          </w:rPr>
          <w:instrText xml:space="preserve"> PAGE   \* MERGEFORMAT </w:instrText>
        </w:r>
        <w:r w:rsidRPr="00CF70F8">
          <w:rPr>
            <w:rFonts w:asciiTheme="minorHAnsi" w:hAnsiTheme="minorHAnsi"/>
          </w:rPr>
          <w:fldChar w:fldCharType="separate"/>
        </w:r>
        <w:r w:rsidR="006313FE" w:rsidRPr="006313FE">
          <w:rPr>
            <w:rFonts w:asciiTheme="minorHAnsi" w:hAnsiTheme="minorHAnsi"/>
            <w:b/>
            <w:bCs/>
            <w:noProof/>
          </w:rPr>
          <w:t>50</w:t>
        </w:r>
        <w:r w:rsidRPr="00CF70F8">
          <w:rPr>
            <w:rFonts w:asciiTheme="minorHAnsi" w:hAnsiTheme="minorHAnsi"/>
            <w:b/>
            <w:bCs/>
            <w:noProof/>
          </w:rPr>
          <w:fldChar w:fldCharType="end"/>
        </w:r>
      </w:p>
    </w:sdtContent>
  </w:sdt>
  <w:p w:rsidR="008D6268" w:rsidRDefault="008D6268" w:rsidP="005455A6">
    <w:pPr>
      <w:pStyle w:val="Header"/>
    </w:pPr>
  </w:p>
  <w:p w:rsidR="008D6268" w:rsidRDefault="008D6268"/>
</w:hdr>
</file>

<file path=word/header1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419942132"/>
      <w:docPartObj>
        <w:docPartGallery w:val="Page Numbers (Top of Page)"/>
        <w:docPartUnique/>
      </w:docPartObj>
    </w:sdtPr>
    <w:sdtEndPr>
      <w:rPr>
        <w:b/>
        <w:bCs/>
        <w:noProof/>
        <w:color w:val="auto"/>
        <w:spacing w:val="0"/>
      </w:rPr>
    </w:sdtEndPr>
    <w:sdtContent>
      <w:p w:rsidR="008D6268" w:rsidRDefault="008D6268">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6F48EF" w:rsidRPr="006F48EF">
          <w:rPr>
            <w:b/>
            <w:bCs/>
            <w:noProof/>
          </w:rPr>
          <w:t>66</w:t>
        </w:r>
        <w:r>
          <w:rPr>
            <w:b/>
            <w:bCs/>
            <w:noProof/>
          </w:rPr>
          <w:fldChar w:fldCharType="end"/>
        </w:r>
      </w:p>
    </w:sdtContent>
  </w:sdt>
  <w:p w:rsidR="008D6268" w:rsidRDefault="008D6268">
    <w:pPr>
      <w:rPr>
        <w:lang w:bidi="ar-AE"/>
      </w:rPr>
    </w:pPr>
  </w:p>
</w:hdr>
</file>

<file path=word/header1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pPr>
      <w:pStyle w:val="Header"/>
    </w:pPr>
  </w:p>
</w:hdr>
</file>

<file path=word/header1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6313FE" w:rsidP="008D6268">
    <w:pPr>
      <w:pStyle w:val="Header"/>
      <w:pBdr>
        <w:bottom w:val="single" w:sz="4" w:space="1" w:color="auto"/>
      </w:pBdr>
      <w:tabs>
        <w:tab w:val="clear" w:pos="8640"/>
        <w:tab w:val="right" w:pos="9360"/>
      </w:tabs>
    </w:pPr>
    <w:r>
      <w:t>Mai Lootah</w:t>
    </w:r>
    <w:r>
      <w:tab/>
      <w:t xml:space="preserve">                                                      </w:t>
    </w:r>
    <w:r w:rsidR="008D6268">
      <w:t>Cosmic Chaos in Islamic Apocalyptic Eschatology</w:t>
    </w:r>
  </w:p>
</w:hdr>
</file>

<file path=word/header1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6268" w:rsidRDefault="008D626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17ACA910"/>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A796C84"/>
    <w:multiLevelType w:val="hybridMultilevel"/>
    <w:tmpl w:val="E7D438A6"/>
    <w:lvl w:ilvl="0" w:tplc="AAC60AE0">
      <w:start w:val="1"/>
      <w:numFmt w:val="arabicAlpha"/>
      <w:lvlText w:val="%1."/>
      <w:lvlJc w:val="left"/>
      <w:pPr>
        <w:ind w:left="1080" w:hanging="360"/>
      </w:pPr>
      <w:rPr>
        <w:rFonts w:hint="default"/>
        <w:u w:val="non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7E618D3"/>
    <w:multiLevelType w:val="hybridMultilevel"/>
    <w:tmpl w:val="F5B0E6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ED56438"/>
    <w:multiLevelType w:val="hybridMultilevel"/>
    <w:tmpl w:val="2BCC756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4184B13"/>
    <w:multiLevelType w:val="hybridMultilevel"/>
    <w:tmpl w:val="644AD654"/>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6214D55"/>
    <w:multiLevelType w:val="hybridMultilevel"/>
    <w:tmpl w:val="EC96FF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3D0C4724"/>
    <w:multiLevelType w:val="hybridMultilevel"/>
    <w:tmpl w:val="A76C7038"/>
    <w:lvl w:ilvl="0" w:tplc="793EC308">
      <w:start w:val="1"/>
      <w:numFmt w:val="arabicAlpha"/>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E00474C"/>
    <w:multiLevelType w:val="hybridMultilevel"/>
    <w:tmpl w:val="C40440B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3F9041E2"/>
    <w:multiLevelType w:val="hybridMultilevel"/>
    <w:tmpl w:val="A04AE8E2"/>
    <w:lvl w:ilvl="0" w:tplc="B64E85F4">
      <w:start w:val="1"/>
      <w:numFmt w:val="decimal"/>
      <w:lvlText w:val="%1."/>
      <w:lvlJc w:val="left"/>
      <w:pPr>
        <w:ind w:left="1080" w:hanging="360"/>
      </w:pPr>
      <w:rPr>
        <w:rFonts w:asciiTheme="minorHAnsi" w:hAnsiTheme="minorHAnsi" w:hint="default"/>
        <w:b w:val="0"/>
        <w:bCs w:val="0"/>
        <w:i w:val="0"/>
        <w:iCs w:val="0"/>
        <w:sz w:val="22"/>
        <w:szCs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nsid w:val="416C0CBF"/>
    <w:multiLevelType w:val="hybridMultilevel"/>
    <w:tmpl w:val="BB449328"/>
    <w:lvl w:ilvl="0" w:tplc="B64E85F4">
      <w:start w:val="1"/>
      <w:numFmt w:val="decimal"/>
      <w:lvlText w:val="%1."/>
      <w:lvlJc w:val="left"/>
      <w:pPr>
        <w:ind w:left="1080" w:hanging="360"/>
      </w:pPr>
      <w:rPr>
        <w:rFonts w:asciiTheme="minorHAnsi" w:hAnsiTheme="minorHAnsi" w:hint="default"/>
        <w:b w:val="0"/>
        <w:bCs w:val="0"/>
        <w:i w:val="0"/>
        <w:iCs w:val="0"/>
        <w:sz w:val="22"/>
        <w:szCs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nsid w:val="43554B9F"/>
    <w:multiLevelType w:val="hybridMultilevel"/>
    <w:tmpl w:val="D1404244"/>
    <w:lvl w:ilvl="0" w:tplc="BF2695B2">
      <w:start w:val="1"/>
      <w:numFmt w:val="upperLetter"/>
      <w:lvlText w:val="%1."/>
      <w:lvlJc w:val="left"/>
      <w:pPr>
        <w:ind w:left="1080" w:hanging="360"/>
      </w:pPr>
      <w:rPr>
        <w:rFonts w:hint="default"/>
        <w:b/>
        <w:u w:val="non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nsid w:val="4F9B2A61"/>
    <w:multiLevelType w:val="hybridMultilevel"/>
    <w:tmpl w:val="4196A650"/>
    <w:lvl w:ilvl="0" w:tplc="44306684">
      <w:start w:val="1"/>
      <w:numFmt w:val="decimal"/>
      <w:lvlText w:val="(%1)"/>
      <w:lvlJc w:val="left"/>
      <w:pPr>
        <w:ind w:left="720" w:hanging="360"/>
      </w:pPr>
      <w:rPr>
        <w:rFonts w:ascii="Calibri" w:cstheme="minorBidi"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1D41F4B"/>
    <w:multiLevelType w:val="hybridMultilevel"/>
    <w:tmpl w:val="31E8E6B8"/>
    <w:lvl w:ilvl="0" w:tplc="B64E85F4">
      <w:start w:val="1"/>
      <w:numFmt w:val="decimal"/>
      <w:lvlText w:val="%1."/>
      <w:lvlJc w:val="left"/>
      <w:pPr>
        <w:ind w:left="1080" w:hanging="360"/>
      </w:pPr>
      <w:rPr>
        <w:rFonts w:asciiTheme="minorHAnsi" w:hAnsiTheme="minorHAnsi" w:hint="default"/>
        <w:b w:val="0"/>
        <w:bCs w:val="0"/>
        <w:i w:val="0"/>
        <w:iCs w:val="0"/>
        <w:sz w:val="22"/>
        <w:szCs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nsid w:val="76ED3351"/>
    <w:multiLevelType w:val="hybridMultilevel"/>
    <w:tmpl w:val="86A4D7A8"/>
    <w:lvl w:ilvl="0" w:tplc="E4E81C14">
      <w:start w:val="1"/>
      <w:numFmt w:val="decimal"/>
      <w:lvlText w:val="(%1)"/>
      <w:lvlJc w:val="left"/>
      <w:pPr>
        <w:ind w:left="720" w:hanging="360"/>
      </w:pPr>
      <w:rPr>
        <w:rFonts w:ascii="Calibri" w:cstheme="minorBidi"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EB11F91"/>
    <w:multiLevelType w:val="hybridMultilevel"/>
    <w:tmpl w:val="4260E258"/>
    <w:lvl w:ilvl="0" w:tplc="C7A47EA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3"/>
  </w:num>
  <w:num w:numId="3">
    <w:abstractNumId w:val="11"/>
  </w:num>
  <w:num w:numId="4">
    <w:abstractNumId w:val="14"/>
  </w:num>
  <w:num w:numId="5">
    <w:abstractNumId w:val="4"/>
  </w:num>
  <w:num w:numId="6">
    <w:abstractNumId w:val="7"/>
  </w:num>
  <w:num w:numId="7">
    <w:abstractNumId w:val="5"/>
  </w:num>
  <w:num w:numId="8">
    <w:abstractNumId w:val="2"/>
  </w:num>
  <w:num w:numId="9">
    <w:abstractNumId w:val="9"/>
  </w:num>
  <w:num w:numId="10">
    <w:abstractNumId w:val="1"/>
  </w:num>
  <w:num w:numId="11">
    <w:abstractNumId w:val="10"/>
  </w:num>
  <w:num w:numId="12">
    <w:abstractNumId w:val="6"/>
  </w:num>
  <w:num w:numId="13">
    <w:abstractNumId w:val="3"/>
  </w:num>
  <w:num w:numId="14">
    <w:abstractNumId w:val="8"/>
  </w:num>
  <w:num w:numId="15">
    <w:abstractNumId w:val="1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41F1"/>
    <w:rsid w:val="00000B3B"/>
    <w:rsid w:val="00000EA1"/>
    <w:rsid w:val="0000189A"/>
    <w:rsid w:val="000022F7"/>
    <w:rsid w:val="00002A08"/>
    <w:rsid w:val="0000341B"/>
    <w:rsid w:val="00003C41"/>
    <w:rsid w:val="00004F9B"/>
    <w:rsid w:val="000054C3"/>
    <w:rsid w:val="0000554B"/>
    <w:rsid w:val="00005C32"/>
    <w:rsid w:val="0000723D"/>
    <w:rsid w:val="000109B7"/>
    <w:rsid w:val="00010C11"/>
    <w:rsid w:val="00011C48"/>
    <w:rsid w:val="0001230E"/>
    <w:rsid w:val="000136C3"/>
    <w:rsid w:val="00013D94"/>
    <w:rsid w:val="00014D38"/>
    <w:rsid w:val="0001573D"/>
    <w:rsid w:val="000157CB"/>
    <w:rsid w:val="00015E1C"/>
    <w:rsid w:val="00016186"/>
    <w:rsid w:val="000164B8"/>
    <w:rsid w:val="000165B3"/>
    <w:rsid w:val="000174BD"/>
    <w:rsid w:val="00017C6F"/>
    <w:rsid w:val="0002067B"/>
    <w:rsid w:val="0002094B"/>
    <w:rsid w:val="00021BF0"/>
    <w:rsid w:val="00022926"/>
    <w:rsid w:val="000233EB"/>
    <w:rsid w:val="0002359D"/>
    <w:rsid w:val="000243BD"/>
    <w:rsid w:val="00025445"/>
    <w:rsid w:val="000266A8"/>
    <w:rsid w:val="00027033"/>
    <w:rsid w:val="00032E4F"/>
    <w:rsid w:val="00033700"/>
    <w:rsid w:val="000351ED"/>
    <w:rsid w:val="00036702"/>
    <w:rsid w:val="00036D0C"/>
    <w:rsid w:val="000405E8"/>
    <w:rsid w:val="00040728"/>
    <w:rsid w:val="00041EE2"/>
    <w:rsid w:val="000425FD"/>
    <w:rsid w:val="00042ADF"/>
    <w:rsid w:val="000430ED"/>
    <w:rsid w:val="0004515E"/>
    <w:rsid w:val="000455A8"/>
    <w:rsid w:val="00045A27"/>
    <w:rsid w:val="000460BE"/>
    <w:rsid w:val="00050CEA"/>
    <w:rsid w:val="00050FDE"/>
    <w:rsid w:val="000517B9"/>
    <w:rsid w:val="00051811"/>
    <w:rsid w:val="0005313C"/>
    <w:rsid w:val="00053306"/>
    <w:rsid w:val="00053A1C"/>
    <w:rsid w:val="00053D40"/>
    <w:rsid w:val="000548F5"/>
    <w:rsid w:val="00054E4E"/>
    <w:rsid w:val="000558F6"/>
    <w:rsid w:val="000563EC"/>
    <w:rsid w:val="00056A21"/>
    <w:rsid w:val="00057433"/>
    <w:rsid w:val="00060B46"/>
    <w:rsid w:val="00063AEB"/>
    <w:rsid w:val="00064C82"/>
    <w:rsid w:val="00065461"/>
    <w:rsid w:val="00065513"/>
    <w:rsid w:val="0006678B"/>
    <w:rsid w:val="000704D1"/>
    <w:rsid w:val="000704E1"/>
    <w:rsid w:val="00071B39"/>
    <w:rsid w:val="00073E36"/>
    <w:rsid w:val="000762CB"/>
    <w:rsid w:val="00076E38"/>
    <w:rsid w:val="00081A2A"/>
    <w:rsid w:val="000827F7"/>
    <w:rsid w:val="00083040"/>
    <w:rsid w:val="0008351E"/>
    <w:rsid w:val="0008784B"/>
    <w:rsid w:val="00092231"/>
    <w:rsid w:val="000933D6"/>
    <w:rsid w:val="000950AE"/>
    <w:rsid w:val="000966E0"/>
    <w:rsid w:val="00097796"/>
    <w:rsid w:val="000A0BA3"/>
    <w:rsid w:val="000A1655"/>
    <w:rsid w:val="000A1853"/>
    <w:rsid w:val="000A2BE3"/>
    <w:rsid w:val="000A2CDC"/>
    <w:rsid w:val="000A50AC"/>
    <w:rsid w:val="000A56EF"/>
    <w:rsid w:val="000A615F"/>
    <w:rsid w:val="000A70D6"/>
    <w:rsid w:val="000A73F5"/>
    <w:rsid w:val="000A7AF0"/>
    <w:rsid w:val="000A7E90"/>
    <w:rsid w:val="000B06BA"/>
    <w:rsid w:val="000B1938"/>
    <w:rsid w:val="000B2ED1"/>
    <w:rsid w:val="000B5106"/>
    <w:rsid w:val="000B7FC7"/>
    <w:rsid w:val="000C0403"/>
    <w:rsid w:val="000C0D26"/>
    <w:rsid w:val="000C1E7A"/>
    <w:rsid w:val="000C3F2D"/>
    <w:rsid w:val="000C42CB"/>
    <w:rsid w:val="000C6B26"/>
    <w:rsid w:val="000D00F0"/>
    <w:rsid w:val="000D14C0"/>
    <w:rsid w:val="000D2947"/>
    <w:rsid w:val="000D2F82"/>
    <w:rsid w:val="000D30E7"/>
    <w:rsid w:val="000D3DE7"/>
    <w:rsid w:val="000D43E4"/>
    <w:rsid w:val="000D4472"/>
    <w:rsid w:val="000D4D7D"/>
    <w:rsid w:val="000D5D74"/>
    <w:rsid w:val="000D606D"/>
    <w:rsid w:val="000D7FEA"/>
    <w:rsid w:val="000E1B8E"/>
    <w:rsid w:val="000E3235"/>
    <w:rsid w:val="000E3B64"/>
    <w:rsid w:val="000E3FD2"/>
    <w:rsid w:val="000E53C1"/>
    <w:rsid w:val="000E6C50"/>
    <w:rsid w:val="000E7C7E"/>
    <w:rsid w:val="000F0F17"/>
    <w:rsid w:val="000F15E2"/>
    <w:rsid w:val="000F1E64"/>
    <w:rsid w:val="000F2319"/>
    <w:rsid w:val="000F29C7"/>
    <w:rsid w:val="000F3691"/>
    <w:rsid w:val="000F451B"/>
    <w:rsid w:val="000F4EC9"/>
    <w:rsid w:val="000F50A3"/>
    <w:rsid w:val="000F57EC"/>
    <w:rsid w:val="000F755A"/>
    <w:rsid w:val="000F7A56"/>
    <w:rsid w:val="001000C6"/>
    <w:rsid w:val="00101315"/>
    <w:rsid w:val="00101465"/>
    <w:rsid w:val="00101D24"/>
    <w:rsid w:val="0010244C"/>
    <w:rsid w:val="00102E4A"/>
    <w:rsid w:val="00103350"/>
    <w:rsid w:val="001036FA"/>
    <w:rsid w:val="00103B7A"/>
    <w:rsid w:val="001041B6"/>
    <w:rsid w:val="00104439"/>
    <w:rsid w:val="00105D14"/>
    <w:rsid w:val="001063B8"/>
    <w:rsid w:val="001072D1"/>
    <w:rsid w:val="001078C9"/>
    <w:rsid w:val="00112070"/>
    <w:rsid w:val="001121A5"/>
    <w:rsid w:val="00112BE5"/>
    <w:rsid w:val="00115EA4"/>
    <w:rsid w:val="00117184"/>
    <w:rsid w:val="00117526"/>
    <w:rsid w:val="001218E9"/>
    <w:rsid w:val="00122C2C"/>
    <w:rsid w:val="00123885"/>
    <w:rsid w:val="00123EC5"/>
    <w:rsid w:val="001260D1"/>
    <w:rsid w:val="00127148"/>
    <w:rsid w:val="001276A1"/>
    <w:rsid w:val="001301FB"/>
    <w:rsid w:val="00131D82"/>
    <w:rsid w:val="00132D18"/>
    <w:rsid w:val="00134A7F"/>
    <w:rsid w:val="0013526E"/>
    <w:rsid w:val="0013659E"/>
    <w:rsid w:val="00140482"/>
    <w:rsid w:val="001416F3"/>
    <w:rsid w:val="0014198E"/>
    <w:rsid w:val="001423E9"/>
    <w:rsid w:val="00142B84"/>
    <w:rsid w:val="001430BC"/>
    <w:rsid w:val="00143627"/>
    <w:rsid w:val="00143F6F"/>
    <w:rsid w:val="00143F90"/>
    <w:rsid w:val="00144231"/>
    <w:rsid w:val="001442D9"/>
    <w:rsid w:val="00147AA7"/>
    <w:rsid w:val="0015009E"/>
    <w:rsid w:val="001505BC"/>
    <w:rsid w:val="00150A87"/>
    <w:rsid w:val="00152216"/>
    <w:rsid w:val="00152694"/>
    <w:rsid w:val="00152943"/>
    <w:rsid w:val="00152A84"/>
    <w:rsid w:val="00154238"/>
    <w:rsid w:val="00154489"/>
    <w:rsid w:val="001545A4"/>
    <w:rsid w:val="00154898"/>
    <w:rsid w:val="00155022"/>
    <w:rsid w:val="001554F9"/>
    <w:rsid w:val="00155F72"/>
    <w:rsid w:val="00156131"/>
    <w:rsid w:val="00156312"/>
    <w:rsid w:val="00156549"/>
    <w:rsid w:val="0015657A"/>
    <w:rsid w:val="00156EFB"/>
    <w:rsid w:val="00157B00"/>
    <w:rsid w:val="00160185"/>
    <w:rsid w:val="001607D2"/>
    <w:rsid w:val="00160C0B"/>
    <w:rsid w:val="0016135B"/>
    <w:rsid w:val="00163A4F"/>
    <w:rsid w:val="00165808"/>
    <w:rsid w:val="00165EAD"/>
    <w:rsid w:val="001664E2"/>
    <w:rsid w:val="00166B3D"/>
    <w:rsid w:val="00166D63"/>
    <w:rsid w:val="0016784A"/>
    <w:rsid w:val="00170882"/>
    <w:rsid w:val="00170A34"/>
    <w:rsid w:val="00170D2C"/>
    <w:rsid w:val="00171342"/>
    <w:rsid w:val="0017230D"/>
    <w:rsid w:val="001731C3"/>
    <w:rsid w:val="001746E1"/>
    <w:rsid w:val="001763D5"/>
    <w:rsid w:val="00180CFE"/>
    <w:rsid w:val="001813E4"/>
    <w:rsid w:val="0018270F"/>
    <w:rsid w:val="001827F9"/>
    <w:rsid w:val="0018544D"/>
    <w:rsid w:val="00185D4F"/>
    <w:rsid w:val="0018698B"/>
    <w:rsid w:val="00187383"/>
    <w:rsid w:val="00187D16"/>
    <w:rsid w:val="0019049C"/>
    <w:rsid w:val="0019132C"/>
    <w:rsid w:val="001917B5"/>
    <w:rsid w:val="00192478"/>
    <w:rsid w:val="0019266A"/>
    <w:rsid w:val="00192C42"/>
    <w:rsid w:val="00192E81"/>
    <w:rsid w:val="0019333A"/>
    <w:rsid w:val="0019407D"/>
    <w:rsid w:val="0019544B"/>
    <w:rsid w:val="001958B2"/>
    <w:rsid w:val="001965DC"/>
    <w:rsid w:val="00196CF4"/>
    <w:rsid w:val="00196FA4"/>
    <w:rsid w:val="00197A12"/>
    <w:rsid w:val="001A0B3D"/>
    <w:rsid w:val="001A180D"/>
    <w:rsid w:val="001A2B88"/>
    <w:rsid w:val="001A2F3A"/>
    <w:rsid w:val="001A301C"/>
    <w:rsid w:val="001A3C31"/>
    <w:rsid w:val="001A40D1"/>
    <w:rsid w:val="001A6441"/>
    <w:rsid w:val="001A6F15"/>
    <w:rsid w:val="001A73DD"/>
    <w:rsid w:val="001B04FA"/>
    <w:rsid w:val="001B1B1E"/>
    <w:rsid w:val="001B2261"/>
    <w:rsid w:val="001B3928"/>
    <w:rsid w:val="001B464A"/>
    <w:rsid w:val="001B52D6"/>
    <w:rsid w:val="001B60E3"/>
    <w:rsid w:val="001C0E18"/>
    <w:rsid w:val="001C1841"/>
    <w:rsid w:val="001C189B"/>
    <w:rsid w:val="001C311E"/>
    <w:rsid w:val="001C3B9B"/>
    <w:rsid w:val="001C3D01"/>
    <w:rsid w:val="001C4B0C"/>
    <w:rsid w:val="001C5432"/>
    <w:rsid w:val="001C65E8"/>
    <w:rsid w:val="001C7774"/>
    <w:rsid w:val="001D0639"/>
    <w:rsid w:val="001D174A"/>
    <w:rsid w:val="001D1A80"/>
    <w:rsid w:val="001D4325"/>
    <w:rsid w:val="001D61DC"/>
    <w:rsid w:val="001D62A5"/>
    <w:rsid w:val="001D675F"/>
    <w:rsid w:val="001D7442"/>
    <w:rsid w:val="001E0A3A"/>
    <w:rsid w:val="001E2EA0"/>
    <w:rsid w:val="001E4731"/>
    <w:rsid w:val="001E4DC5"/>
    <w:rsid w:val="001E4F21"/>
    <w:rsid w:val="001E5CD1"/>
    <w:rsid w:val="001E625E"/>
    <w:rsid w:val="001E66DE"/>
    <w:rsid w:val="001E73EE"/>
    <w:rsid w:val="001E7858"/>
    <w:rsid w:val="001E788D"/>
    <w:rsid w:val="001F162B"/>
    <w:rsid w:val="001F19A5"/>
    <w:rsid w:val="001F2C6D"/>
    <w:rsid w:val="001F367A"/>
    <w:rsid w:val="001F395E"/>
    <w:rsid w:val="001F3C82"/>
    <w:rsid w:val="001F5601"/>
    <w:rsid w:val="001F6013"/>
    <w:rsid w:val="001F6852"/>
    <w:rsid w:val="002006D4"/>
    <w:rsid w:val="002056E9"/>
    <w:rsid w:val="002079FD"/>
    <w:rsid w:val="002100E7"/>
    <w:rsid w:val="002105B0"/>
    <w:rsid w:val="0021066E"/>
    <w:rsid w:val="00210E27"/>
    <w:rsid w:val="00211498"/>
    <w:rsid w:val="00214C4C"/>
    <w:rsid w:val="00216B6C"/>
    <w:rsid w:val="00221B11"/>
    <w:rsid w:val="00223F46"/>
    <w:rsid w:val="00223F8A"/>
    <w:rsid w:val="0022454C"/>
    <w:rsid w:val="00225752"/>
    <w:rsid w:val="00225EA8"/>
    <w:rsid w:val="00226259"/>
    <w:rsid w:val="00231AD2"/>
    <w:rsid w:val="00232462"/>
    <w:rsid w:val="00232A97"/>
    <w:rsid w:val="00232AD1"/>
    <w:rsid w:val="00233AB8"/>
    <w:rsid w:val="00235500"/>
    <w:rsid w:val="002402CE"/>
    <w:rsid w:val="00240394"/>
    <w:rsid w:val="002415F8"/>
    <w:rsid w:val="0024352C"/>
    <w:rsid w:val="00243A23"/>
    <w:rsid w:val="00245180"/>
    <w:rsid w:val="002455F3"/>
    <w:rsid w:val="00245AA2"/>
    <w:rsid w:val="002461D2"/>
    <w:rsid w:val="002467F6"/>
    <w:rsid w:val="00250370"/>
    <w:rsid w:val="002503A3"/>
    <w:rsid w:val="002512F4"/>
    <w:rsid w:val="0025132D"/>
    <w:rsid w:val="00251361"/>
    <w:rsid w:val="002518C5"/>
    <w:rsid w:val="0025394A"/>
    <w:rsid w:val="00254C12"/>
    <w:rsid w:val="002560C5"/>
    <w:rsid w:val="002565C1"/>
    <w:rsid w:val="00257603"/>
    <w:rsid w:val="00257D84"/>
    <w:rsid w:val="0026186D"/>
    <w:rsid w:val="00264360"/>
    <w:rsid w:val="00264611"/>
    <w:rsid w:val="00265428"/>
    <w:rsid w:val="002701DE"/>
    <w:rsid w:val="002708DA"/>
    <w:rsid w:val="002710CD"/>
    <w:rsid w:val="002729D2"/>
    <w:rsid w:val="00273255"/>
    <w:rsid w:val="00273413"/>
    <w:rsid w:val="0027577F"/>
    <w:rsid w:val="00275C13"/>
    <w:rsid w:val="00277E3A"/>
    <w:rsid w:val="00280A7B"/>
    <w:rsid w:val="00280B13"/>
    <w:rsid w:val="00281185"/>
    <w:rsid w:val="00281399"/>
    <w:rsid w:val="002833D5"/>
    <w:rsid w:val="00283D7D"/>
    <w:rsid w:val="0028447D"/>
    <w:rsid w:val="00285739"/>
    <w:rsid w:val="002861AE"/>
    <w:rsid w:val="00286D7E"/>
    <w:rsid w:val="00286E1E"/>
    <w:rsid w:val="00293666"/>
    <w:rsid w:val="00293FA0"/>
    <w:rsid w:val="00294036"/>
    <w:rsid w:val="00295B53"/>
    <w:rsid w:val="00296784"/>
    <w:rsid w:val="002A00AE"/>
    <w:rsid w:val="002A22B3"/>
    <w:rsid w:val="002A2A9E"/>
    <w:rsid w:val="002A4ECA"/>
    <w:rsid w:val="002A578F"/>
    <w:rsid w:val="002A5FE9"/>
    <w:rsid w:val="002A6460"/>
    <w:rsid w:val="002A77F7"/>
    <w:rsid w:val="002B0A2A"/>
    <w:rsid w:val="002B0AF5"/>
    <w:rsid w:val="002B1C59"/>
    <w:rsid w:val="002B256D"/>
    <w:rsid w:val="002B4842"/>
    <w:rsid w:val="002B5397"/>
    <w:rsid w:val="002B5663"/>
    <w:rsid w:val="002B6AB5"/>
    <w:rsid w:val="002B7139"/>
    <w:rsid w:val="002B75C1"/>
    <w:rsid w:val="002B79C2"/>
    <w:rsid w:val="002B7D50"/>
    <w:rsid w:val="002C11F4"/>
    <w:rsid w:val="002C1CD8"/>
    <w:rsid w:val="002C2B90"/>
    <w:rsid w:val="002C30E8"/>
    <w:rsid w:val="002C3114"/>
    <w:rsid w:val="002C3EBF"/>
    <w:rsid w:val="002C5475"/>
    <w:rsid w:val="002C6262"/>
    <w:rsid w:val="002C653E"/>
    <w:rsid w:val="002C68A8"/>
    <w:rsid w:val="002C6A3E"/>
    <w:rsid w:val="002C75A1"/>
    <w:rsid w:val="002D229E"/>
    <w:rsid w:val="002D2B6A"/>
    <w:rsid w:val="002D3533"/>
    <w:rsid w:val="002D3B38"/>
    <w:rsid w:val="002D4C0A"/>
    <w:rsid w:val="002D52E2"/>
    <w:rsid w:val="002D60AE"/>
    <w:rsid w:val="002D7AE7"/>
    <w:rsid w:val="002D7CC0"/>
    <w:rsid w:val="002E018F"/>
    <w:rsid w:val="002E1501"/>
    <w:rsid w:val="002E2C53"/>
    <w:rsid w:val="002E2E01"/>
    <w:rsid w:val="002E4C0B"/>
    <w:rsid w:val="002E5239"/>
    <w:rsid w:val="002E6424"/>
    <w:rsid w:val="002E75A7"/>
    <w:rsid w:val="002F01F0"/>
    <w:rsid w:val="002F2534"/>
    <w:rsid w:val="002F2FC1"/>
    <w:rsid w:val="002F4FC0"/>
    <w:rsid w:val="002F5940"/>
    <w:rsid w:val="002F5985"/>
    <w:rsid w:val="002F728D"/>
    <w:rsid w:val="002F7F7C"/>
    <w:rsid w:val="003017B6"/>
    <w:rsid w:val="00303A86"/>
    <w:rsid w:val="00303E66"/>
    <w:rsid w:val="00304586"/>
    <w:rsid w:val="00306258"/>
    <w:rsid w:val="003062C6"/>
    <w:rsid w:val="003072FC"/>
    <w:rsid w:val="00310647"/>
    <w:rsid w:val="00311603"/>
    <w:rsid w:val="003117C5"/>
    <w:rsid w:val="00311BF0"/>
    <w:rsid w:val="00311D2E"/>
    <w:rsid w:val="00311E9A"/>
    <w:rsid w:val="003126DF"/>
    <w:rsid w:val="00315CF4"/>
    <w:rsid w:val="003162FF"/>
    <w:rsid w:val="003206B5"/>
    <w:rsid w:val="00321044"/>
    <w:rsid w:val="0032380D"/>
    <w:rsid w:val="00324C2C"/>
    <w:rsid w:val="00325C44"/>
    <w:rsid w:val="00326166"/>
    <w:rsid w:val="00326715"/>
    <w:rsid w:val="00326A44"/>
    <w:rsid w:val="00326C22"/>
    <w:rsid w:val="00327BE2"/>
    <w:rsid w:val="00330A6C"/>
    <w:rsid w:val="00330B92"/>
    <w:rsid w:val="00331982"/>
    <w:rsid w:val="0033223D"/>
    <w:rsid w:val="003329AC"/>
    <w:rsid w:val="003329E4"/>
    <w:rsid w:val="00334188"/>
    <w:rsid w:val="0033447A"/>
    <w:rsid w:val="003345D7"/>
    <w:rsid w:val="003346EE"/>
    <w:rsid w:val="00334D42"/>
    <w:rsid w:val="00335DE4"/>
    <w:rsid w:val="00335F9B"/>
    <w:rsid w:val="003361A6"/>
    <w:rsid w:val="00336C20"/>
    <w:rsid w:val="003372B7"/>
    <w:rsid w:val="003375D3"/>
    <w:rsid w:val="00337D0A"/>
    <w:rsid w:val="00337D71"/>
    <w:rsid w:val="00340A62"/>
    <w:rsid w:val="00341FB0"/>
    <w:rsid w:val="00342BFB"/>
    <w:rsid w:val="00343329"/>
    <w:rsid w:val="00344343"/>
    <w:rsid w:val="0034435D"/>
    <w:rsid w:val="00345B76"/>
    <w:rsid w:val="00345D34"/>
    <w:rsid w:val="00347874"/>
    <w:rsid w:val="0035086E"/>
    <w:rsid w:val="00351D28"/>
    <w:rsid w:val="00354959"/>
    <w:rsid w:val="003552C0"/>
    <w:rsid w:val="003563D5"/>
    <w:rsid w:val="003569CC"/>
    <w:rsid w:val="00356DC4"/>
    <w:rsid w:val="00357108"/>
    <w:rsid w:val="00357C76"/>
    <w:rsid w:val="00360853"/>
    <w:rsid w:val="00361340"/>
    <w:rsid w:val="0036182C"/>
    <w:rsid w:val="0036366E"/>
    <w:rsid w:val="00364578"/>
    <w:rsid w:val="0036523D"/>
    <w:rsid w:val="003657AE"/>
    <w:rsid w:val="003677AD"/>
    <w:rsid w:val="003679CB"/>
    <w:rsid w:val="00370033"/>
    <w:rsid w:val="003716E9"/>
    <w:rsid w:val="00371F2A"/>
    <w:rsid w:val="00372340"/>
    <w:rsid w:val="003727B4"/>
    <w:rsid w:val="00375502"/>
    <w:rsid w:val="00380970"/>
    <w:rsid w:val="00380975"/>
    <w:rsid w:val="00380BC0"/>
    <w:rsid w:val="00381CAC"/>
    <w:rsid w:val="00382B99"/>
    <w:rsid w:val="00383A0A"/>
    <w:rsid w:val="00384199"/>
    <w:rsid w:val="00385B58"/>
    <w:rsid w:val="00386285"/>
    <w:rsid w:val="003865BF"/>
    <w:rsid w:val="00387921"/>
    <w:rsid w:val="0039062B"/>
    <w:rsid w:val="003908D9"/>
    <w:rsid w:val="00391F68"/>
    <w:rsid w:val="003920C6"/>
    <w:rsid w:val="003924C4"/>
    <w:rsid w:val="00393454"/>
    <w:rsid w:val="00393C41"/>
    <w:rsid w:val="00394724"/>
    <w:rsid w:val="00397EEB"/>
    <w:rsid w:val="003A0290"/>
    <w:rsid w:val="003A167A"/>
    <w:rsid w:val="003A176E"/>
    <w:rsid w:val="003A2FB9"/>
    <w:rsid w:val="003A3D75"/>
    <w:rsid w:val="003A4D55"/>
    <w:rsid w:val="003A5B0D"/>
    <w:rsid w:val="003A6516"/>
    <w:rsid w:val="003A714F"/>
    <w:rsid w:val="003A7DAA"/>
    <w:rsid w:val="003A7E4C"/>
    <w:rsid w:val="003B0959"/>
    <w:rsid w:val="003B0982"/>
    <w:rsid w:val="003B0E4F"/>
    <w:rsid w:val="003B13B2"/>
    <w:rsid w:val="003B282F"/>
    <w:rsid w:val="003B2DFF"/>
    <w:rsid w:val="003B440D"/>
    <w:rsid w:val="003B6066"/>
    <w:rsid w:val="003B60F7"/>
    <w:rsid w:val="003B641C"/>
    <w:rsid w:val="003B7D4B"/>
    <w:rsid w:val="003C02BA"/>
    <w:rsid w:val="003C13EB"/>
    <w:rsid w:val="003C165D"/>
    <w:rsid w:val="003C1AF2"/>
    <w:rsid w:val="003C26F4"/>
    <w:rsid w:val="003C3306"/>
    <w:rsid w:val="003C51C7"/>
    <w:rsid w:val="003C59DA"/>
    <w:rsid w:val="003C7127"/>
    <w:rsid w:val="003C7677"/>
    <w:rsid w:val="003C7F0E"/>
    <w:rsid w:val="003D05BE"/>
    <w:rsid w:val="003D1076"/>
    <w:rsid w:val="003D11EE"/>
    <w:rsid w:val="003D19BD"/>
    <w:rsid w:val="003D2698"/>
    <w:rsid w:val="003D54FD"/>
    <w:rsid w:val="003D56E7"/>
    <w:rsid w:val="003D5DC8"/>
    <w:rsid w:val="003D7840"/>
    <w:rsid w:val="003D790A"/>
    <w:rsid w:val="003E0F56"/>
    <w:rsid w:val="003E1A90"/>
    <w:rsid w:val="003E1CF2"/>
    <w:rsid w:val="003E1DF3"/>
    <w:rsid w:val="003E2061"/>
    <w:rsid w:val="003E4525"/>
    <w:rsid w:val="003E482C"/>
    <w:rsid w:val="003E585D"/>
    <w:rsid w:val="003E69CE"/>
    <w:rsid w:val="003E76D7"/>
    <w:rsid w:val="003F0D1A"/>
    <w:rsid w:val="003F0F38"/>
    <w:rsid w:val="003F2766"/>
    <w:rsid w:val="003F37D2"/>
    <w:rsid w:val="003F4E24"/>
    <w:rsid w:val="003F52B3"/>
    <w:rsid w:val="003F5B63"/>
    <w:rsid w:val="003F67F6"/>
    <w:rsid w:val="003F6BB7"/>
    <w:rsid w:val="003F747E"/>
    <w:rsid w:val="003F7775"/>
    <w:rsid w:val="00401B3C"/>
    <w:rsid w:val="0040475A"/>
    <w:rsid w:val="00404DC2"/>
    <w:rsid w:val="00406B07"/>
    <w:rsid w:val="004075BA"/>
    <w:rsid w:val="00407806"/>
    <w:rsid w:val="0040790E"/>
    <w:rsid w:val="00410B99"/>
    <w:rsid w:val="004120F9"/>
    <w:rsid w:val="00415C29"/>
    <w:rsid w:val="004168A8"/>
    <w:rsid w:val="00416D2B"/>
    <w:rsid w:val="0041723A"/>
    <w:rsid w:val="00420E77"/>
    <w:rsid w:val="00420FBE"/>
    <w:rsid w:val="00421B4E"/>
    <w:rsid w:val="00421B8D"/>
    <w:rsid w:val="00423F08"/>
    <w:rsid w:val="00426CDD"/>
    <w:rsid w:val="004279B1"/>
    <w:rsid w:val="00427B8C"/>
    <w:rsid w:val="004312AF"/>
    <w:rsid w:val="00432163"/>
    <w:rsid w:val="00436DFC"/>
    <w:rsid w:val="0043765F"/>
    <w:rsid w:val="004379B1"/>
    <w:rsid w:val="0044192D"/>
    <w:rsid w:val="00441DF5"/>
    <w:rsid w:val="0044295A"/>
    <w:rsid w:val="004433FC"/>
    <w:rsid w:val="004438E6"/>
    <w:rsid w:val="004444AE"/>
    <w:rsid w:val="00446632"/>
    <w:rsid w:val="00446F46"/>
    <w:rsid w:val="004477BD"/>
    <w:rsid w:val="004477DA"/>
    <w:rsid w:val="004509DA"/>
    <w:rsid w:val="00451314"/>
    <w:rsid w:val="0045435C"/>
    <w:rsid w:val="00455B0D"/>
    <w:rsid w:val="00456C5E"/>
    <w:rsid w:val="00457389"/>
    <w:rsid w:val="0046048B"/>
    <w:rsid w:val="00462DED"/>
    <w:rsid w:val="0046352E"/>
    <w:rsid w:val="00463E0C"/>
    <w:rsid w:val="004647CE"/>
    <w:rsid w:val="00464901"/>
    <w:rsid w:val="00464E9E"/>
    <w:rsid w:val="004660F7"/>
    <w:rsid w:val="00466D8C"/>
    <w:rsid w:val="004707A9"/>
    <w:rsid w:val="00471358"/>
    <w:rsid w:val="0047325C"/>
    <w:rsid w:val="004735F9"/>
    <w:rsid w:val="00473DE8"/>
    <w:rsid w:val="004747D1"/>
    <w:rsid w:val="00476FD1"/>
    <w:rsid w:val="004779C2"/>
    <w:rsid w:val="00477A85"/>
    <w:rsid w:val="00480B0C"/>
    <w:rsid w:val="00482263"/>
    <w:rsid w:val="00482826"/>
    <w:rsid w:val="00485D16"/>
    <w:rsid w:val="00485F45"/>
    <w:rsid w:val="00486CD0"/>
    <w:rsid w:val="00487F2F"/>
    <w:rsid w:val="00491399"/>
    <w:rsid w:val="00492125"/>
    <w:rsid w:val="004921B6"/>
    <w:rsid w:val="0049231D"/>
    <w:rsid w:val="004926FA"/>
    <w:rsid w:val="004938DF"/>
    <w:rsid w:val="00494578"/>
    <w:rsid w:val="00496C51"/>
    <w:rsid w:val="004A092A"/>
    <w:rsid w:val="004A0EC4"/>
    <w:rsid w:val="004A232D"/>
    <w:rsid w:val="004A418E"/>
    <w:rsid w:val="004A4450"/>
    <w:rsid w:val="004A47C0"/>
    <w:rsid w:val="004A480A"/>
    <w:rsid w:val="004A5380"/>
    <w:rsid w:val="004A5933"/>
    <w:rsid w:val="004A5E9B"/>
    <w:rsid w:val="004B10E7"/>
    <w:rsid w:val="004B3CBE"/>
    <w:rsid w:val="004B604B"/>
    <w:rsid w:val="004B7AA9"/>
    <w:rsid w:val="004C0D3C"/>
    <w:rsid w:val="004C31A9"/>
    <w:rsid w:val="004C4E95"/>
    <w:rsid w:val="004C4FA0"/>
    <w:rsid w:val="004C5157"/>
    <w:rsid w:val="004C693C"/>
    <w:rsid w:val="004D02F1"/>
    <w:rsid w:val="004D0F0C"/>
    <w:rsid w:val="004D32D4"/>
    <w:rsid w:val="004D3D69"/>
    <w:rsid w:val="004D4418"/>
    <w:rsid w:val="004D50D3"/>
    <w:rsid w:val="004D5C3F"/>
    <w:rsid w:val="004D68C7"/>
    <w:rsid w:val="004D6EB3"/>
    <w:rsid w:val="004D7635"/>
    <w:rsid w:val="004E06F1"/>
    <w:rsid w:val="004E0BC2"/>
    <w:rsid w:val="004E13B2"/>
    <w:rsid w:val="004E3A7D"/>
    <w:rsid w:val="004E3B50"/>
    <w:rsid w:val="004E4803"/>
    <w:rsid w:val="004E4C23"/>
    <w:rsid w:val="004E50E7"/>
    <w:rsid w:val="004E588A"/>
    <w:rsid w:val="004E6078"/>
    <w:rsid w:val="004E627C"/>
    <w:rsid w:val="004E6C2F"/>
    <w:rsid w:val="004E7C23"/>
    <w:rsid w:val="004F032E"/>
    <w:rsid w:val="004F0BBF"/>
    <w:rsid w:val="004F25F6"/>
    <w:rsid w:val="004F2661"/>
    <w:rsid w:val="004F3E8E"/>
    <w:rsid w:val="004F4438"/>
    <w:rsid w:val="004F4718"/>
    <w:rsid w:val="004F514C"/>
    <w:rsid w:val="004F694E"/>
    <w:rsid w:val="004F7612"/>
    <w:rsid w:val="00501A37"/>
    <w:rsid w:val="00501B25"/>
    <w:rsid w:val="00502B39"/>
    <w:rsid w:val="00502DCE"/>
    <w:rsid w:val="00505196"/>
    <w:rsid w:val="0050545D"/>
    <w:rsid w:val="005062D6"/>
    <w:rsid w:val="0050786F"/>
    <w:rsid w:val="0051292E"/>
    <w:rsid w:val="00512AFF"/>
    <w:rsid w:val="00513156"/>
    <w:rsid w:val="005153E3"/>
    <w:rsid w:val="005162BF"/>
    <w:rsid w:val="00516684"/>
    <w:rsid w:val="00516C00"/>
    <w:rsid w:val="005179A2"/>
    <w:rsid w:val="00520B2E"/>
    <w:rsid w:val="0052240D"/>
    <w:rsid w:val="00522C3E"/>
    <w:rsid w:val="00523061"/>
    <w:rsid w:val="005234E0"/>
    <w:rsid w:val="00523965"/>
    <w:rsid w:val="0052477A"/>
    <w:rsid w:val="00525890"/>
    <w:rsid w:val="00525D9D"/>
    <w:rsid w:val="00526819"/>
    <w:rsid w:val="00526C06"/>
    <w:rsid w:val="00527420"/>
    <w:rsid w:val="0052777B"/>
    <w:rsid w:val="00527FAA"/>
    <w:rsid w:val="00530353"/>
    <w:rsid w:val="00530AED"/>
    <w:rsid w:val="005322B9"/>
    <w:rsid w:val="00534A78"/>
    <w:rsid w:val="00534CA1"/>
    <w:rsid w:val="00535996"/>
    <w:rsid w:val="00536895"/>
    <w:rsid w:val="005371E0"/>
    <w:rsid w:val="005379F4"/>
    <w:rsid w:val="005404AF"/>
    <w:rsid w:val="00541658"/>
    <w:rsid w:val="00542D67"/>
    <w:rsid w:val="0054458A"/>
    <w:rsid w:val="005455A6"/>
    <w:rsid w:val="005460F7"/>
    <w:rsid w:val="005478A5"/>
    <w:rsid w:val="005479B2"/>
    <w:rsid w:val="00550DEF"/>
    <w:rsid w:val="00552108"/>
    <w:rsid w:val="00553AF5"/>
    <w:rsid w:val="005540EB"/>
    <w:rsid w:val="005549A1"/>
    <w:rsid w:val="00555BEF"/>
    <w:rsid w:val="00556A36"/>
    <w:rsid w:val="00557009"/>
    <w:rsid w:val="00557805"/>
    <w:rsid w:val="00561C13"/>
    <w:rsid w:val="005623C2"/>
    <w:rsid w:val="0056244D"/>
    <w:rsid w:val="00564B8D"/>
    <w:rsid w:val="00565765"/>
    <w:rsid w:val="00565FBF"/>
    <w:rsid w:val="00566A19"/>
    <w:rsid w:val="00571864"/>
    <w:rsid w:val="00572291"/>
    <w:rsid w:val="0057562E"/>
    <w:rsid w:val="005776DA"/>
    <w:rsid w:val="00580490"/>
    <w:rsid w:val="0058237C"/>
    <w:rsid w:val="005831B9"/>
    <w:rsid w:val="00584C95"/>
    <w:rsid w:val="00584E85"/>
    <w:rsid w:val="00585952"/>
    <w:rsid w:val="00585E12"/>
    <w:rsid w:val="00587D54"/>
    <w:rsid w:val="005902BD"/>
    <w:rsid w:val="005903E4"/>
    <w:rsid w:val="00590C73"/>
    <w:rsid w:val="00591935"/>
    <w:rsid w:val="00593942"/>
    <w:rsid w:val="00594C05"/>
    <w:rsid w:val="00595BC4"/>
    <w:rsid w:val="005971D8"/>
    <w:rsid w:val="0059763A"/>
    <w:rsid w:val="005A239B"/>
    <w:rsid w:val="005A3724"/>
    <w:rsid w:val="005A38C3"/>
    <w:rsid w:val="005A4341"/>
    <w:rsid w:val="005A4F81"/>
    <w:rsid w:val="005A6D26"/>
    <w:rsid w:val="005A7EFC"/>
    <w:rsid w:val="005A7F58"/>
    <w:rsid w:val="005B03D3"/>
    <w:rsid w:val="005B080F"/>
    <w:rsid w:val="005B1CD2"/>
    <w:rsid w:val="005B304F"/>
    <w:rsid w:val="005B42AC"/>
    <w:rsid w:val="005B5DBE"/>
    <w:rsid w:val="005B72A8"/>
    <w:rsid w:val="005B7883"/>
    <w:rsid w:val="005B7ACF"/>
    <w:rsid w:val="005C03F1"/>
    <w:rsid w:val="005C0949"/>
    <w:rsid w:val="005C1192"/>
    <w:rsid w:val="005C17F4"/>
    <w:rsid w:val="005C2196"/>
    <w:rsid w:val="005C2ADB"/>
    <w:rsid w:val="005C3615"/>
    <w:rsid w:val="005C4465"/>
    <w:rsid w:val="005C51B8"/>
    <w:rsid w:val="005C538C"/>
    <w:rsid w:val="005C5462"/>
    <w:rsid w:val="005C5DED"/>
    <w:rsid w:val="005C6636"/>
    <w:rsid w:val="005C6A95"/>
    <w:rsid w:val="005D015F"/>
    <w:rsid w:val="005D040D"/>
    <w:rsid w:val="005D06E6"/>
    <w:rsid w:val="005D1F6C"/>
    <w:rsid w:val="005D2DC9"/>
    <w:rsid w:val="005D39E7"/>
    <w:rsid w:val="005D41F4"/>
    <w:rsid w:val="005D44F0"/>
    <w:rsid w:val="005D674A"/>
    <w:rsid w:val="005D712E"/>
    <w:rsid w:val="005D75E2"/>
    <w:rsid w:val="005D78BF"/>
    <w:rsid w:val="005D7E8C"/>
    <w:rsid w:val="005E288B"/>
    <w:rsid w:val="005E2B20"/>
    <w:rsid w:val="005E3306"/>
    <w:rsid w:val="005E3A14"/>
    <w:rsid w:val="005E3A21"/>
    <w:rsid w:val="005E414A"/>
    <w:rsid w:val="005E44E7"/>
    <w:rsid w:val="005E5F69"/>
    <w:rsid w:val="005E6213"/>
    <w:rsid w:val="005E6511"/>
    <w:rsid w:val="005E74C7"/>
    <w:rsid w:val="005E7C16"/>
    <w:rsid w:val="005F0338"/>
    <w:rsid w:val="005F0835"/>
    <w:rsid w:val="005F1604"/>
    <w:rsid w:val="005F373E"/>
    <w:rsid w:val="005F3E73"/>
    <w:rsid w:val="005F4B9C"/>
    <w:rsid w:val="005F5835"/>
    <w:rsid w:val="00600695"/>
    <w:rsid w:val="00601B16"/>
    <w:rsid w:val="00601CB8"/>
    <w:rsid w:val="00601CD5"/>
    <w:rsid w:val="00602778"/>
    <w:rsid w:val="00603351"/>
    <w:rsid w:val="00604DBF"/>
    <w:rsid w:val="00605A8A"/>
    <w:rsid w:val="00606BDE"/>
    <w:rsid w:val="00606E0C"/>
    <w:rsid w:val="0060773D"/>
    <w:rsid w:val="00607D6C"/>
    <w:rsid w:val="00610380"/>
    <w:rsid w:val="006112C9"/>
    <w:rsid w:val="00612AC6"/>
    <w:rsid w:val="00613612"/>
    <w:rsid w:val="00614165"/>
    <w:rsid w:val="006146D8"/>
    <w:rsid w:val="00614BF2"/>
    <w:rsid w:val="00614D20"/>
    <w:rsid w:val="0061554F"/>
    <w:rsid w:val="006155F8"/>
    <w:rsid w:val="00622497"/>
    <w:rsid w:val="00623B98"/>
    <w:rsid w:val="00624A62"/>
    <w:rsid w:val="00625697"/>
    <w:rsid w:val="00625908"/>
    <w:rsid w:val="00626786"/>
    <w:rsid w:val="00627CF7"/>
    <w:rsid w:val="00630356"/>
    <w:rsid w:val="00630593"/>
    <w:rsid w:val="00630F58"/>
    <w:rsid w:val="006313FE"/>
    <w:rsid w:val="006348B6"/>
    <w:rsid w:val="00634DA1"/>
    <w:rsid w:val="00636732"/>
    <w:rsid w:val="00637062"/>
    <w:rsid w:val="00637912"/>
    <w:rsid w:val="00637FD3"/>
    <w:rsid w:val="006404F4"/>
    <w:rsid w:val="00641229"/>
    <w:rsid w:val="00641599"/>
    <w:rsid w:val="00643867"/>
    <w:rsid w:val="00643F93"/>
    <w:rsid w:val="006462B3"/>
    <w:rsid w:val="00647EED"/>
    <w:rsid w:val="00650894"/>
    <w:rsid w:val="00650B8D"/>
    <w:rsid w:val="0065160B"/>
    <w:rsid w:val="00652648"/>
    <w:rsid w:val="006536E0"/>
    <w:rsid w:val="00653AB7"/>
    <w:rsid w:val="00653C16"/>
    <w:rsid w:val="00653FFA"/>
    <w:rsid w:val="00654113"/>
    <w:rsid w:val="0065513C"/>
    <w:rsid w:val="00655B48"/>
    <w:rsid w:val="006604CB"/>
    <w:rsid w:val="00660580"/>
    <w:rsid w:val="0066228B"/>
    <w:rsid w:val="006632DA"/>
    <w:rsid w:val="00663438"/>
    <w:rsid w:val="00663F34"/>
    <w:rsid w:val="00664311"/>
    <w:rsid w:val="00664314"/>
    <w:rsid w:val="00665B3C"/>
    <w:rsid w:val="00665CB2"/>
    <w:rsid w:val="00666048"/>
    <w:rsid w:val="00666F39"/>
    <w:rsid w:val="00667048"/>
    <w:rsid w:val="00667297"/>
    <w:rsid w:val="0066765A"/>
    <w:rsid w:val="006678E6"/>
    <w:rsid w:val="00670CF6"/>
    <w:rsid w:val="00670D42"/>
    <w:rsid w:val="006714E1"/>
    <w:rsid w:val="00671625"/>
    <w:rsid w:val="00672C80"/>
    <w:rsid w:val="00673E92"/>
    <w:rsid w:val="006742E3"/>
    <w:rsid w:val="0067433F"/>
    <w:rsid w:val="0067480C"/>
    <w:rsid w:val="006749F9"/>
    <w:rsid w:val="0067513D"/>
    <w:rsid w:val="006751F7"/>
    <w:rsid w:val="00680278"/>
    <w:rsid w:val="006808D1"/>
    <w:rsid w:val="00680B45"/>
    <w:rsid w:val="00681E8F"/>
    <w:rsid w:val="00682A27"/>
    <w:rsid w:val="006845FB"/>
    <w:rsid w:val="0068508D"/>
    <w:rsid w:val="00686BFD"/>
    <w:rsid w:val="006874F8"/>
    <w:rsid w:val="0069002D"/>
    <w:rsid w:val="006913A4"/>
    <w:rsid w:val="00691A0C"/>
    <w:rsid w:val="00693A6A"/>
    <w:rsid w:val="00693AE8"/>
    <w:rsid w:val="006943FE"/>
    <w:rsid w:val="00697356"/>
    <w:rsid w:val="006A1537"/>
    <w:rsid w:val="006A15FF"/>
    <w:rsid w:val="006A41E1"/>
    <w:rsid w:val="006A6520"/>
    <w:rsid w:val="006A6992"/>
    <w:rsid w:val="006A7AFA"/>
    <w:rsid w:val="006B0009"/>
    <w:rsid w:val="006B1D0A"/>
    <w:rsid w:val="006B216C"/>
    <w:rsid w:val="006B2379"/>
    <w:rsid w:val="006B33CA"/>
    <w:rsid w:val="006B3B43"/>
    <w:rsid w:val="006B3D41"/>
    <w:rsid w:val="006B400D"/>
    <w:rsid w:val="006B420A"/>
    <w:rsid w:val="006B492A"/>
    <w:rsid w:val="006B4F8C"/>
    <w:rsid w:val="006B691C"/>
    <w:rsid w:val="006B6A5F"/>
    <w:rsid w:val="006B78E9"/>
    <w:rsid w:val="006B7AA0"/>
    <w:rsid w:val="006C0757"/>
    <w:rsid w:val="006C0CB8"/>
    <w:rsid w:val="006C2C63"/>
    <w:rsid w:val="006C41F1"/>
    <w:rsid w:val="006C4A4B"/>
    <w:rsid w:val="006C4DE7"/>
    <w:rsid w:val="006C4EBC"/>
    <w:rsid w:val="006C5A7E"/>
    <w:rsid w:val="006C6B65"/>
    <w:rsid w:val="006C7015"/>
    <w:rsid w:val="006C7A50"/>
    <w:rsid w:val="006D0BB7"/>
    <w:rsid w:val="006D226F"/>
    <w:rsid w:val="006D3EF1"/>
    <w:rsid w:val="006D5956"/>
    <w:rsid w:val="006D5AAA"/>
    <w:rsid w:val="006D5EE7"/>
    <w:rsid w:val="006D7BB1"/>
    <w:rsid w:val="006E0C7E"/>
    <w:rsid w:val="006E0F0F"/>
    <w:rsid w:val="006E2407"/>
    <w:rsid w:val="006E34FE"/>
    <w:rsid w:val="006E43CA"/>
    <w:rsid w:val="006E5AC0"/>
    <w:rsid w:val="006F0494"/>
    <w:rsid w:val="006F0AF7"/>
    <w:rsid w:val="006F1200"/>
    <w:rsid w:val="006F1473"/>
    <w:rsid w:val="006F2122"/>
    <w:rsid w:val="006F3950"/>
    <w:rsid w:val="006F3A3D"/>
    <w:rsid w:val="006F3BE0"/>
    <w:rsid w:val="006F48EF"/>
    <w:rsid w:val="006F4930"/>
    <w:rsid w:val="006F6834"/>
    <w:rsid w:val="006F7EC8"/>
    <w:rsid w:val="0070016D"/>
    <w:rsid w:val="007009ED"/>
    <w:rsid w:val="0070196D"/>
    <w:rsid w:val="00701CB3"/>
    <w:rsid w:val="00702450"/>
    <w:rsid w:val="007028F0"/>
    <w:rsid w:val="00705C4F"/>
    <w:rsid w:val="00706CCD"/>
    <w:rsid w:val="00707676"/>
    <w:rsid w:val="0071109F"/>
    <w:rsid w:val="0071253D"/>
    <w:rsid w:val="007136D3"/>
    <w:rsid w:val="0071402E"/>
    <w:rsid w:val="007148E5"/>
    <w:rsid w:val="00714959"/>
    <w:rsid w:val="0071521C"/>
    <w:rsid w:val="007152C6"/>
    <w:rsid w:val="00715A9C"/>
    <w:rsid w:val="0071726B"/>
    <w:rsid w:val="00721778"/>
    <w:rsid w:val="00721B21"/>
    <w:rsid w:val="00721CF2"/>
    <w:rsid w:val="00722312"/>
    <w:rsid w:val="00722488"/>
    <w:rsid w:val="00722623"/>
    <w:rsid w:val="00722AEE"/>
    <w:rsid w:val="00726948"/>
    <w:rsid w:val="00726A36"/>
    <w:rsid w:val="00727529"/>
    <w:rsid w:val="0073121D"/>
    <w:rsid w:val="00732E5E"/>
    <w:rsid w:val="007333FB"/>
    <w:rsid w:val="00733AEB"/>
    <w:rsid w:val="00733B28"/>
    <w:rsid w:val="007345E6"/>
    <w:rsid w:val="0073634D"/>
    <w:rsid w:val="00736B43"/>
    <w:rsid w:val="0073730D"/>
    <w:rsid w:val="0074090F"/>
    <w:rsid w:val="00740A11"/>
    <w:rsid w:val="00741046"/>
    <w:rsid w:val="00741F1E"/>
    <w:rsid w:val="00743288"/>
    <w:rsid w:val="007435E8"/>
    <w:rsid w:val="00743890"/>
    <w:rsid w:val="00743A37"/>
    <w:rsid w:val="00744D62"/>
    <w:rsid w:val="00744E4B"/>
    <w:rsid w:val="0074607B"/>
    <w:rsid w:val="00746439"/>
    <w:rsid w:val="007527C0"/>
    <w:rsid w:val="007530A1"/>
    <w:rsid w:val="00753B40"/>
    <w:rsid w:val="00754BE0"/>
    <w:rsid w:val="00755335"/>
    <w:rsid w:val="00756229"/>
    <w:rsid w:val="00756480"/>
    <w:rsid w:val="0075654F"/>
    <w:rsid w:val="00760812"/>
    <w:rsid w:val="00760E6E"/>
    <w:rsid w:val="00761350"/>
    <w:rsid w:val="007614CF"/>
    <w:rsid w:val="00761B54"/>
    <w:rsid w:val="00762A57"/>
    <w:rsid w:val="00762D9B"/>
    <w:rsid w:val="007632B4"/>
    <w:rsid w:val="00763F01"/>
    <w:rsid w:val="00764A43"/>
    <w:rsid w:val="007652FA"/>
    <w:rsid w:val="00765702"/>
    <w:rsid w:val="007673E4"/>
    <w:rsid w:val="00767B8C"/>
    <w:rsid w:val="0077042F"/>
    <w:rsid w:val="00771A1D"/>
    <w:rsid w:val="00772648"/>
    <w:rsid w:val="00772AEA"/>
    <w:rsid w:val="00772B68"/>
    <w:rsid w:val="0077309B"/>
    <w:rsid w:val="00773616"/>
    <w:rsid w:val="00773B0F"/>
    <w:rsid w:val="00773DCE"/>
    <w:rsid w:val="007763A6"/>
    <w:rsid w:val="00780071"/>
    <w:rsid w:val="00780434"/>
    <w:rsid w:val="007809F2"/>
    <w:rsid w:val="0078121D"/>
    <w:rsid w:val="00781306"/>
    <w:rsid w:val="00781E69"/>
    <w:rsid w:val="007821CC"/>
    <w:rsid w:val="007824D8"/>
    <w:rsid w:val="007836B1"/>
    <w:rsid w:val="00783D7C"/>
    <w:rsid w:val="007870F3"/>
    <w:rsid w:val="0079177C"/>
    <w:rsid w:val="00791F0B"/>
    <w:rsid w:val="007922FB"/>
    <w:rsid w:val="00793268"/>
    <w:rsid w:val="007932CF"/>
    <w:rsid w:val="00793618"/>
    <w:rsid w:val="00794D66"/>
    <w:rsid w:val="007960E6"/>
    <w:rsid w:val="00797835"/>
    <w:rsid w:val="007A0CB9"/>
    <w:rsid w:val="007A51E6"/>
    <w:rsid w:val="007A6D29"/>
    <w:rsid w:val="007A7C36"/>
    <w:rsid w:val="007B0334"/>
    <w:rsid w:val="007B1073"/>
    <w:rsid w:val="007B15BF"/>
    <w:rsid w:val="007B182E"/>
    <w:rsid w:val="007B1CAC"/>
    <w:rsid w:val="007B2C0F"/>
    <w:rsid w:val="007B2F4F"/>
    <w:rsid w:val="007B330B"/>
    <w:rsid w:val="007B434E"/>
    <w:rsid w:val="007B468D"/>
    <w:rsid w:val="007B7322"/>
    <w:rsid w:val="007C1BF9"/>
    <w:rsid w:val="007C1D4F"/>
    <w:rsid w:val="007C3611"/>
    <w:rsid w:val="007C3DEE"/>
    <w:rsid w:val="007C5BB8"/>
    <w:rsid w:val="007C7E7F"/>
    <w:rsid w:val="007D027E"/>
    <w:rsid w:val="007D087C"/>
    <w:rsid w:val="007D1BF1"/>
    <w:rsid w:val="007D1F17"/>
    <w:rsid w:val="007D2705"/>
    <w:rsid w:val="007D3FA5"/>
    <w:rsid w:val="007D4391"/>
    <w:rsid w:val="007D5454"/>
    <w:rsid w:val="007D5A40"/>
    <w:rsid w:val="007D5CDC"/>
    <w:rsid w:val="007D5D9A"/>
    <w:rsid w:val="007D758A"/>
    <w:rsid w:val="007D75EE"/>
    <w:rsid w:val="007E07F0"/>
    <w:rsid w:val="007E0936"/>
    <w:rsid w:val="007E1045"/>
    <w:rsid w:val="007E1785"/>
    <w:rsid w:val="007E3EEC"/>
    <w:rsid w:val="007E4995"/>
    <w:rsid w:val="007E5066"/>
    <w:rsid w:val="007E514A"/>
    <w:rsid w:val="007E6E9C"/>
    <w:rsid w:val="007E7036"/>
    <w:rsid w:val="007E7424"/>
    <w:rsid w:val="007F20DE"/>
    <w:rsid w:val="007F3C9D"/>
    <w:rsid w:val="007F3EFC"/>
    <w:rsid w:val="007F497B"/>
    <w:rsid w:val="007F52FF"/>
    <w:rsid w:val="007F5849"/>
    <w:rsid w:val="007F5EEF"/>
    <w:rsid w:val="007F6524"/>
    <w:rsid w:val="007F6B00"/>
    <w:rsid w:val="00800183"/>
    <w:rsid w:val="00800FCD"/>
    <w:rsid w:val="00801B2F"/>
    <w:rsid w:val="00804318"/>
    <w:rsid w:val="00805D76"/>
    <w:rsid w:val="00805F90"/>
    <w:rsid w:val="008107E9"/>
    <w:rsid w:val="00811B8B"/>
    <w:rsid w:val="00811FE1"/>
    <w:rsid w:val="008132FC"/>
    <w:rsid w:val="00814AE0"/>
    <w:rsid w:val="00814D72"/>
    <w:rsid w:val="00815136"/>
    <w:rsid w:val="00816E65"/>
    <w:rsid w:val="00817015"/>
    <w:rsid w:val="00817BF3"/>
    <w:rsid w:val="00821C52"/>
    <w:rsid w:val="00822898"/>
    <w:rsid w:val="00822CC1"/>
    <w:rsid w:val="00823A96"/>
    <w:rsid w:val="00825C8C"/>
    <w:rsid w:val="0082671A"/>
    <w:rsid w:val="0082673C"/>
    <w:rsid w:val="00826B45"/>
    <w:rsid w:val="00827700"/>
    <w:rsid w:val="008312F7"/>
    <w:rsid w:val="00832436"/>
    <w:rsid w:val="00832B23"/>
    <w:rsid w:val="00833F54"/>
    <w:rsid w:val="00834E5C"/>
    <w:rsid w:val="00835E26"/>
    <w:rsid w:val="00837332"/>
    <w:rsid w:val="008402AC"/>
    <w:rsid w:val="00840BDD"/>
    <w:rsid w:val="00840C88"/>
    <w:rsid w:val="00840E7D"/>
    <w:rsid w:val="00841505"/>
    <w:rsid w:val="008417E6"/>
    <w:rsid w:val="008424DF"/>
    <w:rsid w:val="00842862"/>
    <w:rsid w:val="00842FBC"/>
    <w:rsid w:val="00843BC6"/>
    <w:rsid w:val="00843C04"/>
    <w:rsid w:val="00845497"/>
    <w:rsid w:val="00845C00"/>
    <w:rsid w:val="00846A08"/>
    <w:rsid w:val="008477A1"/>
    <w:rsid w:val="008478D8"/>
    <w:rsid w:val="008503C4"/>
    <w:rsid w:val="00850590"/>
    <w:rsid w:val="00850FCB"/>
    <w:rsid w:val="00851308"/>
    <w:rsid w:val="00851E75"/>
    <w:rsid w:val="00852CB8"/>
    <w:rsid w:val="0085412B"/>
    <w:rsid w:val="00854279"/>
    <w:rsid w:val="00857DAF"/>
    <w:rsid w:val="00860554"/>
    <w:rsid w:val="0086483A"/>
    <w:rsid w:val="00864D3B"/>
    <w:rsid w:val="00865267"/>
    <w:rsid w:val="00865CBD"/>
    <w:rsid w:val="00865D47"/>
    <w:rsid w:val="00865F8A"/>
    <w:rsid w:val="00866AA0"/>
    <w:rsid w:val="00867701"/>
    <w:rsid w:val="008677ED"/>
    <w:rsid w:val="00870F3C"/>
    <w:rsid w:val="0087375A"/>
    <w:rsid w:val="008738A3"/>
    <w:rsid w:val="00875269"/>
    <w:rsid w:val="00876D3D"/>
    <w:rsid w:val="00877D29"/>
    <w:rsid w:val="00880DB2"/>
    <w:rsid w:val="0088559B"/>
    <w:rsid w:val="00885674"/>
    <w:rsid w:val="008879CE"/>
    <w:rsid w:val="00890CCB"/>
    <w:rsid w:val="0089108F"/>
    <w:rsid w:val="00891F32"/>
    <w:rsid w:val="00892076"/>
    <w:rsid w:val="00892733"/>
    <w:rsid w:val="00892D9D"/>
    <w:rsid w:val="008932EF"/>
    <w:rsid w:val="00893FE9"/>
    <w:rsid w:val="0089518F"/>
    <w:rsid w:val="00895436"/>
    <w:rsid w:val="00896ED2"/>
    <w:rsid w:val="00897348"/>
    <w:rsid w:val="008A07CA"/>
    <w:rsid w:val="008A09B2"/>
    <w:rsid w:val="008A1371"/>
    <w:rsid w:val="008A1570"/>
    <w:rsid w:val="008A19B0"/>
    <w:rsid w:val="008A1DB2"/>
    <w:rsid w:val="008A3637"/>
    <w:rsid w:val="008A4754"/>
    <w:rsid w:val="008A4F4C"/>
    <w:rsid w:val="008A5A25"/>
    <w:rsid w:val="008B11E9"/>
    <w:rsid w:val="008B1B13"/>
    <w:rsid w:val="008B36A6"/>
    <w:rsid w:val="008B39C5"/>
    <w:rsid w:val="008B417A"/>
    <w:rsid w:val="008B57DD"/>
    <w:rsid w:val="008B6076"/>
    <w:rsid w:val="008B66A4"/>
    <w:rsid w:val="008B76AB"/>
    <w:rsid w:val="008C1F4A"/>
    <w:rsid w:val="008C2F4D"/>
    <w:rsid w:val="008C5005"/>
    <w:rsid w:val="008C6959"/>
    <w:rsid w:val="008C7374"/>
    <w:rsid w:val="008D16AC"/>
    <w:rsid w:val="008D188B"/>
    <w:rsid w:val="008D2153"/>
    <w:rsid w:val="008D217E"/>
    <w:rsid w:val="008D2568"/>
    <w:rsid w:val="008D2A3C"/>
    <w:rsid w:val="008D3921"/>
    <w:rsid w:val="008D3AF3"/>
    <w:rsid w:val="008D3C74"/>
    <w:rsid w:val="008D5961"/>
    <w:rsid w:val="008D59E8"/>
    <w:rsid w:val="008D6268"/>
    <w:rsid w:val="008D7CD9"/>
    <w:rsid w:val="008D7E2A"/>
    <w:rsid w:val="008E1AFF"/>
    <w:rsid w:val="008E2D20"/>
    <w:rsid w:val="008E51CA"/>
    <w:rsid w:val="008E54CD"/>
    <w:rsid w:val="008E57FC"/>
    <w:rsid w:val="008E5877"/>
    <w:rsid w:val="008E6297"/>
    <w:rsid w:val="008E7165"/>
    <w:rsid w:val="008E7390"/>
    <w:rsid w:val="008F042A"/>
    <w:rsid w:val="008F0762"/>
    <w:rsid w:val="008F1087"/>
    <w:rsid w:val="008F25CD"/>
    <w:rsid w:val="008F5526"/>
    <w:rsid w:val="008F56C4"/>
    <w:rsid w:val="008F585B"/>
    <w:rsid w:val="008F59AA"/>
    <w:rsid w:val="008F68C8"/>
    <w:rsid w:val="008F6C30"/>
    <w:rsid w:val="008F6E20"/>
    <w:rsid w:val="008F7A2C"/>
    <w:rsid w:val="009000E4"/>
    <w:rsid w:val="009007D2"/>
    <w:rsid w:val="00901712"/>
    <w:rsid w:val="009018A5"/>
    <w:rsid w:val="0090286A"/>
    <w:rsid w:val="009034CA"/>
    <w:rsid w:val="00903F30"/>
    <w:rsid w:val="0090585E"/>
    <w:rsid w:val="00905B40"/>
    <w:rsid w:val="00906444"/>
    <w:rsid w:val="00906A48"/>
    <w:rsid w:val="009079FE"/>
    <w:rsid w:val="009106CD"/>
    <w:rsid w:val="00910F17"/>
    <w:rsid w:val="00911107"/>
    <w:rsid w:val="00911D88"/>
    <w:rsid w:val="0091258B"/>
    <w:rsid w:val="00912B5A"/>
    <w:rsid w:val="009130D7"/>
    <w:rsid w:val="00913C10"/>
    <w:rsid w:val="009156C8"/>
    <w:rsid w:val="00915D2A"/>
    <w:rsid w:val="009206A5"/>
    <w:rsid w:val="009210A3"/>
    <w:rsid w:val="00921358"/>
    <w:rsid w:val="00922484"/>
    <w:rsid w:val="00923729"/>
    <w:rsid w:val="00923D3E"/>
    <w:rsid w:val="00923F12"/>
    <w:rsid w:val="00924C2D"/>
    <w:rsid w:val="0092534B"/>
    <w:rsid w:val="009254A6"/>
    <w:rsid w:val="00925736"/>
    <w:rsid w:val="009268EC"/>
    <w:rsid w:val="00926EDD"/>
    <w:rsid w:val="00930804"/>
    <w:rsid w:val="00930CFC"/>
    <w:rsid w:val="00931935"/>
    <w:rsid w:val="00932F9B"/>
    <w:rsid w:val="00933664"/>
    <w:rsid w:val="00933A45"/>
    <w:rsid w:val="00933AB5"/>
    <w:rsid w:val="0093527B"/>
    <w:rsid w:val="00935C7B"/>
    <w:rsid w:val="0093723E"/>
    <w:rsid w:val="009375FE"/>
    <w:rsid w:val="00940A13"/>
    <w:rsid w:val="00941CAB"/>
    <w:rsid w:val="009422E6"/>
    <w:rsid w:val="0094350C"/>
    <w:rsid w:val="009436C4"/>
    <w:rsid w:val="00943E4F"/>
    <w:rsid w:val="0094516D"/>
    <w:rsid w:val="00945346"/>
    <w:rsid w:val="009479BB"/>
    <w:rsid w:val="009505BB"/>
    <w:rsid w:val="009531E2"/>
    <w:rsid w:val="00953908"/>
    <w:rsid w:val="00954133"/>
    <w:rsid w:val="00954F78"/>
    <w:rsid w:val="0095655C"/>
    <w:rsid w:val="00956CE1"/>
    <w:rsid w:val="00957224"/>
    <w:rsid w:val="00960DDE"/>
    <w:rsid w:val="0096100E"/>
    <w:rsid w:val="00961802"/>
    <w:rsid w:val="00962F0A"/>
    <w:rsid w:val="00964799"/>
    <w:rsid w:val="00964F79"/>
    <w:rsid w:val="00965F3E"/>
    <w:rsid w:val="00966689"/>
    <w:rsid w:val="00966C37"/>
    <w:rsid w:val="0097070F"/>
    <w:rsid w:val="00970D8A"/>
    <w:rsid w:val="00972233"/>
    <w:rsid w:val="00972443"/>
    <w:rsid w:val="00973E19"/>
    <w:rsid w:val="00973E2A"/>
    <w:rsid w:val="00974DAD"/>
    <w:rsid w:val="00974EAA"/>
    <w:rsid w:val="009757D4"/>
    <w:rsid w:val="00976213"/>
    <w:rsid w:val="00976945"/>
    <w:rsid w:val="0098009C"/>
    <w:rsid w:val="00980A4A"/>
    <w:rsid w:val="00980E8D"/>
    <w:rsid w:val="00980F16"/>
    <w:rsid w:val="00983549"/>
    <w:rsid w:val="0098436F"/>
    <w:rsid w:val="00984944"/>
    <w:rsid w:val="0098652C"/>
    <w:rsid w:val="00986A9F"/>
    <w:rsid w:val="0099012D"/>
    <w:rsid w:val="009909F3"/>
    <w:rsid w:val="00992471"/>
    <w:rsid w:val="00992898"/>
    <w:rsid w:val="00992A09"/>
    <w:rsid w:val="00993E7E"/>
    <w:rsid w:val="009942CE"/>
    <w:rsid w:val="00995C40"/>
    <w:rsid w:val="00995C5F"/>
    <w:rsid w:val="00996069"/>
    <w:rsid w:val="00996A46"/>
    <w:rsid w:val="00996A9D"/>
    <w:rsid w:val="0099717D"/>
    <w:rsid w:val="00997DE1"/>
    <w:rsid w:val="009A0226"/>
    <w:rsid w:val="009A039C"/>
    <w:rsid w:val="009A17FE"/>
    <w:rsid w:val="009A2D67"/>
    <w:rsid w:val="009A55B0"/>
    <w:rsid w:val="009A7B93"/>
    <w:rsid w:val="009A7C27"/>
    <w:rsid w:val="009A7C44"/>
    <w:rsid w:val="009B0800"/>
    <w:rsid w:val="009B10DB"/>
    <w:rsid w:val="009B1178"/>
    <w:rsid w:val="009B2E90"/>
    <w:rsid w:val="009B3634"/>
    <w:rsid w:val="009B53EE"/>
    <w:rsid w:val="009B5A57"/>
    <w:rsid w:val="009B5CBA"/>
    <w:rsid w:val="009C128B"/>
    <w:rsid w:val="009C16B1"/>
    <w:rsid w:val="009C1AF1"/>
    <w:rsid w:val="009C1C99"/>
    <w:rsid w:val="009C1DF7"/>
    <w:rsid w:val="009C34D2"/>
    <w:rsid w:val="009C3CF4"/>
    <w:rsid w:val="009C3F5F"/>
    <w:rsid w:val="009C44CD"/>
    <w:rsid w:val="009C4CC0"/>
    <w:rsid w:val="009C50BC"/>
    <w:rsid w:val="009C67F6"/>
    <w:rsid w:val="009C6E6B"/>
    <w:rsid w:val="009D14F1"/>
    <w:rsid w:val="009D1C9A"/>
    <w:rsid w:val="009D2C51"/>
    <w:rsid w:val="009D2CE4"/>
    <w:rsid w:val="009D35D5"/>
    <w:rsid w:val="009D49B3"/>
    <w:rsid w:val="009D4F15"/>
    <w:rsid w:val="009D5610"/>
    <w:rsid w:val="009D5E99"/>
    <w:rsid w:val="009D687A"/>
    <w:rsid w:val="009D7707"/>
    <w:rsid w:val="009D794A"/>
    <w:rsid w:val="009E10DB"/>
    <w:rsid w:val="009E1258"/>
    <w:rsid w:val="009E3462"/>
    <w:rsid w:val="009E36D6"/>
    <w:rsid w:val="009E38BD"/>
    <w:rsid w:val="009E3B0B"/>
    <w:rsid w:val="009E46DF"/>
    <w:rsid w:val="009E5928"/>
    <w:rsid w:val="009E66F5"/>
    <w:rsid w:val="009E6858"/>
    <w:rsid w:val="009E701D"/>
    <w:rsid w:val="009F0985"/>
    <w:rsid w:val="009F24AB"/>
    <w:rsid w:val="009F3FBE"/>
    <w:rsid w:val="009F566C"/>
    <w:rsid w:val="009F57AB"/>
    <w:rsid w:val="009F5B7D"/>
    <w:rsid w:val="009F72D9"/>
    <w:rsid w:val="009F7BB0"/>
    <w:rsid w:val="009F7D57"/>
    <w:rsid w:val="00A042B5"/>
    <w:rsid w:val="00A0440F"/>
    <w:rsid w:val="00A04B70"/>
    <w:rsid w:val="00A06A56"/>
    <w:rsid w:val="00A10523"/>
    <w:rsid w:val="00A12A9B"/>
    <w:rsid w:val="00A133E3"/>
    <w:rsid w:val="00A157C0"/>
    <w:rsid w:val="00A15824"/>
    <w:rsid w:val="00A15973"/>
    <w:rsid w:val="00A16665"/>
    <w:rsid w:val="00A16A8A"/>
    <w:rsid w:val="00A211A9"/>
    <w:rsid w:val="00A223D0"/>
    <w:rsid w:val="00A23086"/>
    <w:rsid w:val="00A2335F"/>
    <w:rsid w:val="00A2391C"/>
    <w:rsid w:val="00A240CB"/>
    <w:rsid w:val="00A259C4"/>
    <w:rsid w:val="00A25D83"/>
    <w:rsid w:val="00A271F0"/>
    <w:rsid w:val="00A27387"/>
    <w:rsid w:val="00A30A2C"/>
    <w:rsid w:val="00A30B4B"/>
    <w:rsid w:val="00A30D53"/>
    <w:rsid w:val="00A30F61"/>
    <w:rsid w:val="00A31A3E"/>
    <w:rsid w:val="00A3247D"/>
    <w:rsid w:val="00A33B2B"/>
    <w:rsid w:val="00A33EE8"/>
    <w:rsid w:val="00A348BA"/>
    <w:rsid w:val="00A34A9D"/>
    <w:rsid w:val="00A3543C"/>
    <w:rsid w:val="00A35983"/>
    <w:rsid w:val="00A35DBD"/>
    <w:rsid w:val="00A36B12"/>
    <w:rsid w:val="00A40C13"/>
    <w:rsid w:val="00A40DE4"/>
    <w:rsid w:val="00A41CD6"/>
    <w:rsid w:val="00A42279"/>
    <w:rsid w:val="00A43167"/>
    <w:rsid w:val="00A4430D"/>
    <w:rsid w:val="00A44A51"/>
    <w:rsid w:val="00A44C94"/>
    <w:rsid w:val="00A4554A"/>
    <w:rsid w:val="00A4616D"/>
    <w:rsid w:val="00A506B7"/>
    <w:rsid w:val="00A515FF"/>
    <w:rsid w:val="00A5299F"/>
    <w:rsid w:val="00A53E84"/>
    <w:rsid w:val="00A55D63"/>
    <w:rsid w:val="00A55F93"/>
    <w:rsid w:val="00A569A7"/>
    <w:rsid w:val="00A56AC7"/>
    <w:rsid w:val="00A6065F"/>
    <w:rsid w:val="00A61079"/>
    <w:rsid w:val="00A62AF6"/>
    <w:rsid w:val="00A6498B"/>
    <w:rsid w:val="00A65175"/>
    <w:rsid w:val="00A65456"/>
    <w:rsid w:val="00A66120"/>
    <w:rsid w:val="00A66853"/>
    <w:rsid w:val="00A66D9A"/>
    <w:rsid w:val="00A66EA7"/>
    <w:rsid w:val="00A70384"/>
    <w:rsid w:val="00A70971"/>
    <w:rsid w:val="00A70FF4"/>
    <w:rsid w:val="00A73981"/>
    <w:rsid w:val="00A740BB"/>
    <w:rsid w:val="00A746B4"/>
    <w:rsid w:val="00A747E0"/>
    <w:rsid w:val="00A7687B"/>
    <w:rsid w:val="00A81FDC"/>
    <w:rsid w:val="00A8267D"/>
    <w:rsid w:val="00A8439E"/>
    <w:rsid w:val="00A8572A"/>
    <w:rsid w:val="00A9102A"/>
    <w:rsid w:val="00A911AD"/>
    <w:rsid w:val="00A914E3"/>
    <w:rsid w:val="00A93377"/>
    <w:rsid w:val="00A955F3"/>
    <w:rsid w:val="00A95EFC"/>
    <w:rsid w:val="00A96136"/>
    <w:rsid w:val="00A96CD3"/>
    <w:rsid w:val="00A97483"/>
    <w:rsid w:val="00AA0211"/>
    <w:rsid w:val="00AA180B"/>
    <w:rsid w:val="00AA1BCA"/>
    <w:rsid w:val="00AA4DAB"/>
    <w:rsid w:val="00AA5A61"/>
    <w:rsid w:val="00AA7768"/>
    <w:rsid w:val="00AB0DBB"/>
    <w:rsid w:val="00AB1066"/>
    <w:rsid w:val="00AB269A"/>
    <w:rsid w:val="00AB308D"/>
    <w:rsid w:val="00AB3AE1"/>
    <w:rsid w:val="00AB3DFE"/>
    <w:rsid w:val="00AB4E17"/>
    <w:rsid w:val="00AB5452"/>
    <w:rsid w:val="00AB6719"/>
    <w:rsid w:val="00AB7083"/>
    <w:rsid w:val="00AB71EF"/>
    <w:rsid w:val="00AB7211"/>
    <w:rsid w:val="00AC01BB"/>
    <w:rsid w:val="00AC1BBA"/>
    <w:rsid w:val="00AC1D77"/>
    <w:rsid w:val="00AC213E"/>
    <w:rsid w:val="00AC517F"/>
    <w:rsid w:val="00AC65CE"/>
    <w:rsid w:val="00AC6A98"/>
    <w:rsid w:val="00AD0259"/>
    <w:rsid w:val="00AD0C85"/>
    <w:rsid w:val="00AD0D89"/>
    <w:rsid w:val="00AD22E8"/>
    <w:rsid w:val="00AD2EF2"/>
    <w:rsid w:val="00AD2F9F"/>
    <w:rsid w:val="00AD4087"/>
    <w:rsid w:val="00AD41B6"/>
    <w:rsid w:val="00AD4510"/>
    <w:rsid w:val="00AD5A6C"/>
    <w:rsid w:val="00AD5CDA"/>
    <w:rsid w:val="00AD622C"/>
    <w:rsid w:val="00AD69EA"/>
    <w:rsid w:val="00AE0AA3"/>
    <w:rsid w:val="00AE0B7F"/>
    <w:rsid w:val="00AE1047"/>
    <w:rsid w:val="00AE1ED7"/>
    <w:rsid w:val="00AE2C44"/>
    <w:rsid w:val="00AE382C"/>
    <w:rsid w:val="00AE3DAD"/>
    <w:rsid w:val="00AE3E34"/>
    <w:rsid w:val="00AE5C17"/>
    <w:rsid w:val="00AE68EE"/>
    <w:rsid w:val="00AF1546"/>
    <w:rsid w:val="00AF15E2"/>
    <w:rsid w:val="00AF1EEE"/>
    <w:rsid w:val="00AF245C"/>
    <w:rsid w:val="00AF39F3"/>
    <w:rsid w:val="00AF3C10"/>
    <w:rsid w:val="00AF4476"/>
    <w:rsid w:val="00AF44D7"/>
    <w:rsid w:val="00AF54D9"/>
    <w:rsid w:val="00AF60A1"/>
    <w:rsid w:val="00AF6656"/>
    <w:rsid w:val="00AF76BC"/>
    <w:rsid w:val="00B0017A"/>
    <w:rsid w:val="00B012FB"/>
    <w:rsid w:val="00B02342"/>
    <w:rsid w:val="00B0348D"/>
    <w:rsid w:val="00B038D2"/>
    <w:rsid w:val="00B03AA8"/>
    <w:rsid w:val="00B03E1C"/>
    <w:rsid w:val="00B0488E"/>
    <w:rsid w:val="00B04C49"/>
    <w:rsid w:val="00B06677"/>
    <w:rsid w:val="00B066B4"/>
    <w:rsid w:val="00B10722"/>
    <w:rsid w:val="00B1196E"/>
    <w:rsid w:val="00B12360"/>
    <w:rsid w:val="00B12F52"/>
    <w:rsid w:val="00B13119"/>
    <w:rsid w:val="00B1447C"/>
    <w:rsid w:val="00B14C23"/>
    <w:rsid w:val="00B14D0C"/>
    <w:rsid w:val="00B20146"/>
    <w:rsid w:val="00B211B7"/>
    <w:rsid w:val="00B21E26"/>
    <w:rsid w:val="00B21EF4"/>
    <w:rsid w:val="00B22742"/>
    <w:rsid w:val="00B24F59"/>
    <w:rsid w:val="00B30FCF"/>
    <w:rsid w:val="00B31087"/>
    <w:rsid w:val="00B3140F"/>
    <w:rsid w:val="00B3219F"/>
    <w:rsid w:val="00B345F3"/>
    <w:rsid w:val="00B3759F"/>
    <w:rsid w:val="00B37D79"/>
    <w:rsid w:val="00B40497"/>
    <w:rsid w:val="00B40C2F"/>
    <w:rsid w:val="00B41EFB"/>
    <w:rsid w:val="00B42D58"/>
    <w:rsid w:val="00B43FAD"/>
    <w:rsid w:val="00B44327"/>
    <w:rsid w:val="00B446E3"/>
    <w:rsid w:val="00B46773"/>
    <w:rsid w:val="00B47944"/>
    <w:rsid w:val="00B50CC6"/>
    <w:rsid w:val="00B51D74"/>
    <w:rsid w:val="00B5243F"/>
    <w:rsid w:val="00B53030"/>
    <w:rsid w:val="00B56214"/>
    <w:rsid w:val="00B573C6"/>
    <w:rsid w:val="00B6089A"/>
    <w:rsid w:val="00B60F79"/>
    <w:rsid w:val="00B613EC"/>
    <w:rsid w:val="00B6231C"/>
    <w:rsid w:val="00B62EDE"/>
    <w:rsid w:val="00B63622"/>
    <w:rsid w:val="00B63B13"/>
    <w:rsid w:val="00B63BE3"/>
    <w:rsid w:val="00B642DA"/>
    <w:rsid w:val="00B6458D"/>
    <w:rsid w:val="00B65E38"/>
    <w:rsid w:val="00B66DEF"/>
    <w:rsid w:val="00B71563"/>
    <w:rsid w:val="00B71756"/>
    <w:rsid w:val="00B7234D"/>
    <w:rsid w:val="00B728C1"/>
    <w:rsid w:val="00B72A19"/>
    <w:rsid w:val="00B747CA"/>
    <w:rsid w:val="00B76727"/>
    <w:rsid w:val="00B76B29"/>
    <w:rsid w:val="00B77F38"/>
    <w:rsid w:val="00B81D86"/>
    <w:rsid w:val="00B8525D"/>
    <w:rsid w:val="00B86432"/>
    <w:rsid w:val="00B86CBC"/>
    <w:rsid w:val="00B86ED9"/>
    <w:rsid w:val="00B879EA"/>
    <w:rsid w:val="00B90E19"/>
    <w:rsid w:val="00B91B05"/>
    <w:rsid w:val="00B9263D"/>
    <w:rsid w:val="00B92678"/>
    <w:rsid w:val="00B927BC"/>
    <w:rsid w:val="00B92D09"/>
    <w:rsid w:val="00B9377B"/>
    <w:rsid w:val="00B93FBA"/>
    <w:rsid w:val="00B94721"/>
    <w:rsid w:val="00B9634D"/>
    <w:rsid w:val="00B968BF"/>
    <w:rsid w:val="00B96DF6"/>
    <w:rsid w:val="00B9729A"/>
    <w:rsid w:val="00BA0B46"/>
    <w:rsid w:val="00BA1D02"/>
    <w:rsid w:val="00BA2244"/>
    <w:rsid w:val="00BA30CD"/>
    <w:rsid w:val="00BA382F"/>
    <w:rsid w:val="00BA4899"/>
    <w:rsid w:val="00BA52CE"/>
    <w:rsid w:val="00BA659D"/>
    <w:rsid w:val="00BA661E"/>
    <w:rsid w:val="00BA73D2"/>
    <w:rsid w:val="00BA78DA"/>
    <w:rsid w:val="00BB0AB9"/>
    <w:rsid w:val="00BB17E0"/>
    <w:rsid w:val="00BB1EA3"/>
    <w:rsid w:val="00BB2EB4"/>
    <w:rsid w:val="00BB39DF"/>
    <w:rsid w:val="00BB40CE"/>
    <w:rsid w:val="00BB40D6"/>
    <w:rsid w:val="00BB52D6"/>
    <w:rsid w:val="00BB543B"/>
    <w:rsid w:val="00BB59F7"/>
    <w:rsid w:val="00BB6586"/>
    <w:rsid w:val="00BB6ADB"/>
    <w:rsid w:val="00BB741F"/>
    <w:rsid w:val="00BB7507"/>
    <w:rsid w:val="00BB7EED"/>
    <w:rsid w:val="00BC0006"/>
    <w:rsid w:val="00BC0E15"/>
    <w:rsid w:val="00BC17E3"/>
    <w:rsid w:val="00BC1D3C"/>
    <w:rsid w:val="00BC1D91"/>
    <w:rsid w:val="00BC2196"/>
    <w:rsid w:val="00BC2208"/>
    <w:rsid w:val="00BC223F"/>
    <w:rsid w:val="00BC2A67"/>
    <w:rsid w:val="00BC2F41"/>
    <w:rsid w:val="00BC3FA7"/>
    <w:rsid w:val="00BC4475"/>
    <w:rsid w:val="00BC4843"/>
    <w:rsid w:val="00BC4ADF"/>
    <w:rsid w:val="00BC73F2"/>
    <w:rsid w:val="00BC7B89"/>
    <w:rsid w:val="00BD00BD"/>
    <w:rsid w:val="00BD0E44"/>
    <w:rsid w:val="00BD30FA"/>
    <w:rsid w:val="00BD3A8E"/>
    <w:rsid w:val="00BD4B33"/>
    <w:rsid w:val="00BD57D7"/>
    <w:rsid w:val="00BD6DBE"/>
    <w:rsid w:val="00BD6EB3"/>
    <w:rsid w:val="00BD7BF2"/>
    <w:rsid w:val="00BE0B39"/>
    <w:rsid w:val="00BE0FDC"/>
    <w:rsid w:val="00BE1888"/>
    <w:rsid w:val="00BE29A0"/>
    <w:rsid w:val="00BE3105"/>
    <w:rsid w:val="00BE322E"/>
    <w:rsid w:val="00BE3956"/>
    <w:rsid w:val="00BE3CA4"/>
    <w:rsid w:val="00BE42F2"/>
    <w:rsid w:val="00BE5282"/>
    <w:rsid w:val="00BE57C6"/>
    <w:rsid w:val="00BE6AFF"/>
    <w:rsid w:val="00BE6C01"/>
    <w:rsid w:val="00BE6F93"/>
    <w:rsid w:val="00BF00C6"/>
    <w:rsid w:val="00BF1094"/>
    <w:rsid w:val="00BF159E"/>
    <w:rsid w:val="00BF2A1B"/>
    <w:rsid w:val="00BF3451"/>
    <w:rsid w:val="00BF367A"/>
    <w:rsid w:val="00BF57F5"/>
    <w:rsid w:val="00BF6A32"/>
    <w:rsid w:val="00BF7C84"/>
    <w:rsid w:val="00C01D24"/>
    <w:rsid w:val="00C0240A"/>
    <w:rsid w:val="00C02FC0"/>
    <w:rsid w:val="00C063D7"/>
    <w:rsid w:val="00C07E71"/>
    <w:rsid w:val="00C112AB"/>
    <w:rsid w:val="00C123A8"/>
    <w:rsid w:val="00C1355C"/>
    <w:rsid w:val="00C136CD"/>
    <w:rsid w:val="00C14215"/>
    <w:rsid w:val="00C14A2D"/>
    <w:rsid w:val="00C14C21"/>
    <w:rsid w:val="00C15750"/>
    <w:rsid w:val="00C15BE5"/>
    <w:rsid w:val="00C207AA"/>
    <w:rsid w:val="00C212C7"/>
    <w:rsid w:val="00C234D8"/>
    <w:rsid w:val="00C247E8"/>
    <w:rsid w:val="00C24C5C"/>
    <w:rsid w:val="00C24D38"/>
    <w:rsid w:val="00C24D4D"/>
    <w:rsid w:val="00C2518A"/>
    <w:rsid w:val="00C261FC"/>
    <w:rsid w:val="00C305C9"/>
    <w:rsid w:val="00C30C5D"/>
    <w:rsid w:val="00C30E6C"/>
    <w:rsid w:val="00C31740"/>
    <w:rsid w:val="00C31E5F"/>
    <w:rsid w:val="00C32532"/>
    <w:rsid w:val="00C32F24"/>
    <w:rsid w:val="00C335A7"/>
    <w:rsid w:val="00C34621"/>
    <w:rsid w:val="00C35A20"/>
    <w:rsid w:val="00C408C5"/>
    <w:rsid w:val="00C40C9E"/>
    <w:rsid w:val="00C40FD4"/>
    <w:rsid w:val="00C433A8"/>
    <w:rsid w:val="00C46921"/>
    <w:rsid w:val="00C47409"/>
    <w:rsid w:val="00C4795D"/>
    <w:rsid w:val="00C47DEA"/>
    <w:rsid w:val="00C50AE9"/>
    <w:rsid w:val="00C524EB"/>
    <w:rsid w:val="00C52820"/>
    <w:rsid w:val="00C52BC6"/>
    <w:rsid w:val="00C52BDA"/>
    <w:rsid w:val="00C53E2A"/>
    <w:rsid w:val="00C54247"/>
    <w:rsid w:val="00C54CC3"/>
    <w:rsid w:val="00C55E9C"/>
    <w:rsid w:val="00C56867"/>
    <w:rsid w:val="00C571A0"/>
    <w:rsid w:val="00C57CCD"/>
    <w:rsid w:val="00C57DF2"/>
    <w:rsid w:val="00C60DDD"/>
    <w:rsid w:val="00C613C6"/>
    <w:rsid w:val="00C61B59"/>
    <w:rsid w:val="00C63311"/>
    <w:rsid w:val="00C64D32"/>
    <w:rsid w:val="00C6541E"/>
    <w:rsid w:val="00C6588A"/>
    <w:rsid w:val="00C66140"/>
    <w:rsid w:val="00C71CA2"/>
    <w:rsid w:val="00C722ED"/>
    <w:rsid w:val="00C724C7"/>
    <w:rsid w:val="00C7341B"/>
    <w:rsid w:val="00C74CEA"/>
    <w:rsid w:val="00C76826"/>
    <w:rsid w:val="00C775BF"/>
    <w:rsid w:val="00C80726"/>
    <w:rsid w:val="00C809B6"/>
    <w:rsid w:val="00C80CFD"/>
    <w:rsid w:val="00C80DE0"/>
    <w:rsid w:val="00C812E6"/>
    <w:rsid w:val="00C82BC4"/>
    <w:rsid w:val="00C82CFD"/>
    <w:rsid w:val="00C847C9"/>
    <w:rsid w:val="00C84C89"/>
    <w:rsid w:val="00C84E2C"/>
    <w:rsid w:val="00C8506E"/>
    <w:rsid w:val="00C862C0"/>
    <w:rsid w:val="00C8687B"/>
    <w:rsid w:val="00C86B49"/>
    <w:rsid w:val="00C8786C"/>
    <w:rsid w:val="00C87A7C"/>
    <w:rsid w:val="00C92747"/>
    <w:rsid w:val="00C92D72"/>
    <w:rsid w:val="00C93C37"/>
    <w:rsid w:val="00C95CD0"/>
    <w:rsid w:val="00C97EE9"/>
    <w:rsid w:val="00CA0037"/>
    <w:rsid w:val="00CA1627"/>
    <w:rsid w:val="00CA1FCE"/>
    <w:rsid w:val="00CA2053"/>
    <w:rsid w:val="00CA246E"/>
    <w:rsid w:val="00CA3649"/>
    <w:rsid w:val="00CA5AED"/>
    <w:rsid w:val="00CA6E1A"/>
    <w:rsid w:val="00CA7FF5"/>
    <w:rsid w:val="00CB0679"/>
    <w:rsid w:val="00CB4A6B"/>
    <w:rsid w:val="00CB5040"/>
    <w:rsid w:val="00CB5A54"/>
    <w:rsid w:val="00CB654C"/>
    <w:rsid w:val="00CB6BA8"/>
    <w:rsid w:val="00CC00B8"/>
    <w:rsid w:val="00CC0286"/>
    <w:rsid w:val="00CC1C04"/>
    <w:rsid w:val="00CC2880"/>
    <w:rsid w:val="00CC30DC"/>
    <w:rsid w:val="00CC36B5"/>
    <w:rsid w:val="00CC46B8"/>
    <w:rsid w:val="00CC6B31"/>
    <w:rsid w:val="00CC6B6A"/>
    <w:rsid w:val="00CC6BB5"/>
    <w:rsid w:val="00CC6C4F"/>
    <w:rsid w:val="00CD0676"/>
    <w:rsid w:val="00CD09D8"/>
    <w:rsid w:val="00CD25E3"/>
    <w:rsid w:val="00CD36B7"/>
    <w:rsid w:val="00CD5AB7"/>
    <w:rsid w:val="00CD6708"/>
    <w:rsid w:val="00CD709D"/>
    <w:rsid w:val="00CE08A7"/>
    <w:rsid w:val="00CE1CF8"/>
    <w:rsid w:val="00CE232D"/>
    <w:rsid w:val="00CE2860"/>
    <w:rsid w:val="00CE2BBF"/>
    <w:rsid w:val="00CE3483"/>
    <w:rsid w:val="00CE3602"/>
    <w:rsid w:val="00CE3E9A"/>
    <w:rsid w:val="00CE4CB9"/>
    <w:rsid w:val="00CE50AC"/>
    <w:rsid w:val="00CE51CB"/>
    <w:rsid w:val="00CE65ED"/>
    <w:rsid w:val="00CE6F7D"/>
    <w:rsid w:val="00CF016E"/>
    <w:rsid w:val="00CF172E"/>
    <w:rsid w:val="00CF1B40"/>
    <w:rsid w:val="00CF3812"/>
    <w:rsid w:val="00CF3818"/>
    <w:rsid w:val="00CF3DA0"/>
    <w:rsid w:val="00CF5063"/>
    <w:rsid w:val="00CF532B"/>
    <w:rsid w:val="00CF5BE7"/>
    <w:rsid w:val="00CF6C7B"/>
    <w:rsid w:val="00CF70F8"/>
    <w:rsid w:val="00CF73BA"/>
    <w:rsid w:val="00D00D34"/>
    <w:rsid w:val="00D03250"/>
    <w:rsid w:val="00D03BEE"/>
    <w:rsid w:val="00D063E8"/>
    <w:rsid w:val="00D06ADC"/>
    <w:rsid w:val="00D06FAA"/>
    <w:rsid w:val="00D1066B"/>
    <w:rsid w:val="00D11420"/>
    <w:rsid w:val="00D12747"/>
    <w:rsid w:val="00D12989"/>
    <w:rsid w:val="00D13323"/>
    <w:rsid w:val="00D14B39"/>
    <w:rsid w:val="00D15871"/>
    <w:rsid w:val="00D16511"/>
    <w:rsid w:val="00D20292"/>
    <w:rsid w:val="00D2030B"/>
    <w:rsid w:val="00D23B4C"/>
    <w:rsid w:val="00D253E1"/>
    <w:rsid w:val="00D25706"/>
    <w:rsid w:val="00D2615C"/>
    <w:rsid w:val="00D26EDA"/>
    <w:rsid w:val="00D304FC"/>
    <w:rsid w:val="00D31846"/>
    <w:rsid w:val="00D3215C"/>
    <w:rsid w:val="00D32258"/>
    <w:rsid w:val="00D32990"/>
    <w:rsid w:val="00D32C96"/>
    <w:rsid w:val="00D35780"/>
    <w:rsid w:val="00D35DD4"/>
    <w:rsid w:val="00D4079C"/>
    <w:rsid w:val="00D419CB"/>
    <w:rsid w:val="00D42177"/>
    <w:rsid w:val="00D42CFB"/>
    <w:rsid w:val="00D4394C"/>
    <w:rsid w:val="00D44828"/>
    <w:rsid w:val="00D45954"/>
    <w:rsid w:val="00D45E70"/>
    <w:rsid w:val="00D46A71"/>
    <w:rsid w:val="00D46E6E"/>
    <w:rsid w:val="00D47A8C"/>
    <w:rsid w:val="00D50E51"/>
    <w:rsid w:val="00D51AF3"/>
    <w:rsid w:val="00D52365"/>
    <w:rsid w:val="00D526BD"/>
    <w:rsid w:val="00D53FD1"/>
    <w:rsid w:val="00D5426B"/>
    <w:rsid w:val="00D54B4F"/>
    <w:rsid w:val="00D55086"/>
    <w:rsid w:val="00D5582C"/>
    <w:rsid w:val="00D55ADF"/>
    <w:rsid w:val="00D55F9E"/>
    <w:rsid w:val="00D56763"/>
    <w:rsid w:val="00D56AC6"/>
    <w:rsid w:val="00D610C3"/>
    <w:rsid w:val="00D61CFB"/>
    <w:rsid w:val="00D6244C"/>
    <w:rsid w:val="00D6497E"/>
    <w:rsid w:val="00D64BB4"/>
    <w:rsid w:val="00D65412"/>
    <w:rsid w:val="00D65FEE"/>
    <w:rsid w:val="00D67EDA"/>
    <w:rsid w:val="00D705FA"/>
    <w:rsid w:val="00D70657"/>
    <w:rsid w:val="00D706BA"/>
    <w:rsid w:val="00D70C92"/>
    <w:rsid w:val="00D71492"/>
    <w:rsid w:val="00D71D81"/>
    <w:rsid w:val="00D72512"/>
    <w:rsid w:val="00D737F6"/>
    <w:rsid w:val="00D739B4"/>
    <w:rsid w:val="00D74032"/>
    <w:rsid w:val="00D74B42"/>
    <w:rsid w:val="00D770CC"/>
    <w:rsid w:val="00D80004"/>
    <w:rsid w:val="00D80145"/>
    <w:rsid w:val="00D83B23"/>
    <w:rsid w:val="00D83F79"/>
    <w:rsid w:val="00D8505C"/>
    <w:rsid w:val="00D8591F"/>
    <w:rsid w:val="00D86F98"/>
    <w:rsid w:val="00D87367"/>
    <w:rsid w:val="00D87C44"/>
    <w:rsid w:val="00D90BAE"/>
    <w:rsid w:val="00D91A51"/>
    <w:rsid w:val="00D927A5"/>
    <w:rsid w:val="00D93BBC"/>
    <w:rsid w:val="00D95325"/>
    <w:rsid w:val="00D959EB"/>
    <w:rsid w:val="00D96FDE"/>
    <w:rsid w:val="00D972E2"/>
    <w:rsid w:val="00D973A1"/>
    <w:rsid w:val="00DA0D0D"/>
    <w:rsid w:val="00DA13A4"/>
    <w:rsid w:val="00DA1F81"/>
    <w:rsid w:val="00DA2612"/>
    <w:rsid w:val="00DA27DA"/>
    <w:rsid w:val="00DA30F7"/>
    <w:rsid w:val="00DA32BA"/>
    <w:rsid w:val="00DA43B5"/>
    <w:rsid w:val="00DA4739"/>
    <w:rsid w:val="00DA4AA0"/>
    <w:rsid w:val="00DA5AAE"/>
    <w:rsid w:val="00DA5BED"/>
    <w:rsid w:val="00DA6E13"/>
    <w:rsid w:val="00DB2CFF"/>
    <w:rsid w:val="00DB2E14"/>
    <w:rsid w:val="00DB408C"/>
    <w:rsid w:val="00DB46C0"/>
    <w:rsid w:val="00DB534F"/>
    <w:rsid w:val="00DB66CB"/>
    <w:rsid w:val="00DB7041"/>
    <w:rsid w:val="00DC013A"/>
    <w:rsid w:val="00DC0DE6"/>
    <w:rsid w:val="00DC17AD"/>
    <w:rsid w:val="00DC1F15"/>
    <w:rsid w:val="00DC2B2C"/>
    <w:rsid w:val="00DC37FE"/>
    <w:rsid w:val="00DC3C90"/>
    <w:rsid w:val="00DC4637"/>
    <w:rsid w:val="00DC4DE0"/>
    <w:rsid w:val="00DC6AD6"/>
    <w:rsid w:val="00DC723C"/>
    <w:rsid w:val="00DC793E"/>
    <w:rsid w:val="00DD01F5"/>
    <w:rsid w:val="00DD0508"/>
    <w:rsid w:val="00DD0759"/>
    <w:rsid w:val="00DD101F"/>
    <w:rsid w:val="00DD1FAE"/>
    <w:rsid w:val="00DD209C"/>
    <w:rsid w:val="00DD2983"/>
    <w:rsid w:val="00DD2F57"/>
    <w:rsid w:val="00DD50F0"/>
    <w:rsid w:val="00DD5B21"/>
    <w:rsid w:val="00DD5B4E"/>
    <w:rsid w:val="00DD6088"/>
    <w:rsid w:val="00DD7A24"/>
    <w:rsid w:val="00DE039A"/>
    <w:rsid w:val="00DE11B6"/>
    <w:rsid w:val="00DE2E12"/>
    <w:rsid w:val="00DE479F"/>
    <w:rsid w:val="00DE48DF"/>
    <w:rsid w:val="00DE67F3"/>
    <w:rsid w:val="00DE750C"/>
    <w:rsid w:val="00DE7B2A"/>
    <w:rsid w:val="00DE7DF7"/>
    <w:rsid w:val="00DF0B08"/>
    <w:rsid w:val="00DF18A6"/>
    <w:rsid w:val="00DF2AA0"/>
    <w:rsid w:val="00DF3AC5"/>
    <w:rsid w:val="00DF4C7C"/>
    <w:rsid w:val="00DF5A3D"/>
    <w:rsid w:val="00DF5F20"/>
    <w:rsid w:val="00DF650C"/>
    <w:rsid w:val="00DF74B6"/>
    <w:rsid w:val="00E01531"/>
    <w:rsid w:val="00E0215F"/>
    <w:rsid w:val="00E02BAD"/>
    <w:rsid w:val="00E03C98"/>
    <w:rsid w:val="00E03CC0"/>
    <w:rsid w:val="00E03F2B"/>
    <w:rsid w:val="00E04526"/>
    <w:rsid w:val="00E045E4"/>
    <w:rsid w:val="00E047D4"/>
    <w:rsid w:val="00E0531C"/>
    <w:rsid w:val="00E05983"/>
    <w:rsid w:val="00E062ED"/>
    <w:rsid w:val="00E07596"/>
    <w:rsid w:val="00E07815"/>
    <w:rsid w:val="00E079AF"/>
    <w:rsid w:val="00E11ED8"/>
    <w:rsid w:val="00E142D3"/>
    <w:rsid w:val="00E148B2"/>
    <w:rsid w:val="00E16176"/>
    <w:rsid w:val="00E16CF2"/>
    <w:rsid w:val="00E21878"/>
    <w:rsid w:val="00E23906"/>
    <w:rsid w:val="00E23F0A"/>
    <w:rsid w:val="00E24037"/>
    <w:rsid w:val="00E246D6"/>
    <w:rsid w:val="00E2475A"/>
    <w:rsid w:val="00E2501F"/>
    <w:rsid w:val="00E26608"/>
    <w:rsid w:val="00E26746"/>
    <w:rsid w:val="00E278B2"/>
    <w:rsid w:val="00E27B90"/>
    <w:rsid w:val="00E3057B"/>
    <w:rsid w:val="00E30DA1"/>
    <w:rsid w:val="00E30DB8"/>
    <w:rsid w:val="00E314FE"/>
    <w:rsid w:val="00E34287"/>
    <w:rsid w:val="00E348C7"/>
    <w:rsid w:val="00E349EC"/>
    <w:rsid w:val="00E35082"/>
    <w:rsid w:val="00E353A6"/>
    <w:rsid w:val="00E35E3B"/>
    <w:rsid w:val="00E40D13"/>
    <w:rsid w:val="00E422F6"/>
    <w:rsid w:val="00E43233"/>
    <w:rsid w:val="00E43459"/>
    <w:rsid w:val="00E43B9D"/>
    <w:rsid w:val="00E447D1"/>
    <w:rsid w:val="00E44FC6"/>
    <w:rsid w:val="00E461F9"/>
    <w:rsid w:val="00E46455"/>
    <w:rsid w:val="00E4761A"/>
    <w:rsid w:val="00E51655"/>
    <w:rsid w:val="00E5257E"/>
    <w:rsid w:val="00E528B9"/>
    <w:rsid w:val="00E53F0E"/>
    <w:rsid w:val="00E54EAA"/>
    <w:rsid w:val="00E568E6"/>
    <w:rsid w:val="00E57A9A"/>
    <w:rsid w:val="00E6073F"/>
    <w:rsid w:val="00E61638"/>
    <w:rsid w:val="00E62399"/>
    <w:rsid w:val="00E633CA"/>
    <w:rsid w:val="00E6519D"/>
    <w:rsid w:val="00E66C32"/>
    <w:rsid w:val="00E66E03"/>
    <w:rsid w:val="00E67DDC"/>
    <w:rsid w:val="00E70432"/>
    <w:rsid w:val="00E71053"/>
    <w:rsid w:val="00E71533"/>
    <w:rsid w:val="00E72FEE"/>
    <w:rsid w:val="00E73209"/>
    <w:rsid w:val="00E73C9B"/>
    <w:rsid w:val="00E754B4"/>
    <w:rsid w:val="00E75B36"/>
    <w:rsid w:val="00E76889"/>
    <w:rsid w:val="00E768ED"/>
    <w:rsid w:val="00E7776F"/>
    <w:rsid w:val="00E77820"/>
    <w:rsid w:val="00E80759"/>
    <w:rsid w:val="00E80AA2"/>
    <w:rsid w:val="00E8116F"/>
    <w:rsid w:val="00E8147E"/>
    <w:rsid w:val="00E818B2"/>
    <w:rsid w:val="00E81BA4"/>
    <w:rsid w:val="00E83E22"/>
    <w:rsid w:val="00E84292"/>
    <w:rsid w:val="00E851A5"/>
    <w:rsid w:val="00E86046"/>
    <w:rsid w:val="00E860A4"/>
    <w:rsid w:val="00E871F8"/>
    <w:rsid w:val="00E877C2"/>
    <w:rsid w:val="00E87878"/>
    <w:rsid w:val="00E87DA1"/>
    <w:rsid w:val="00E9090A"/>
    <w:rsid w:val="00E90AF0"/>
    <w:rsid w:val="00E90C69"/>
    <w:rsid w:val="00E92E1F"/>
    <w:rsid w:val="00E93153"/>
    <w:rsid w:val="00E934A2"/>
    <w:rsid w:val="00E93B6D"/>
    <w:rsid w:val="00E93D32"/>
    <w:rsid w:val="00E943AF"/>
    <w:rsid w:val="00E96550"/>
    <w:rsid w:val="00E97179"/>
    <w:rsid w:val="00E972A4"/>
    <w:rsid w:val="00EA05A4"/>
    <w:rsid w:val="00EA103D"/>
    <w:rsid w:val="00EA1BDE"/>
    <w:rsid w:val="00EA236C"/>
    <w:rsid w:val="00EA2E51"/>
    <w:rsid w:val="00EA30DF"/>
    <w:rsid w:val="00EA3F48"/>
    <w:rsid w:val="00EA3FBF"/>
    <w:rsid w:val="00EA4B85"/>
    <w:rsid w:val="00EA712D"/>
    <w:rsid w:val="00EA7739"/>
    <w:rsid w:val="00EA7757"/>
    <w:rsid w:val="00EA782A"/>
    <w:rsid w:val="00EB027F"/>
    <w:rsid w:val="00EB45AC"/>
    <w:rsid w:val="00EB51FC"/>
    <w:rsid w:val="00EB619C"/>
    <w:rsid w:val="00EB6DD0"/>
    <w:rsid w:val="00EB7521"/>
    <w:rsid w:val="00EC0636"/>
    <w:rsid w:val="00EC09EC"/>
    <w:rsid w:val="00EC2C08"/>
    <w:rsid w:val="00EC3612"/>
    <w:rsid w:val="00EC565C"/>
    <w:rsid w:val="00EC718A"/>
    <w:rsid w:val="00EC7D16"/>
    <w:rsid w:val="00EC7ED3"/>
    <w:rsid w:val="00ED14BD"/>
    <w:rsid w:val="00ED19BE"/>
    <w:rsid w:val="00ED309C"/>
    <w:rsid w:val="00ED32D4"/>
    <w:rsid w:val="00ED35B3"/>
    <w:rsid w:val="00ED48C3"/>
    <w:rsid w:val="00ED5510"/>
    <w:rsid w:val="00ED64FF"/>
    <w:rsid w:val="00ED6654"/>
    <w:rsid w:val="00ED73D9"/>
    <w:rsid w:val="00EE18F5"/>
    <w:rsid w:val="00EE3AF4"/>
    <w:rsid w:val="00EE3D16"/>
    <w:rsid w:val="00EE3E8A"/>
    <w:rsid w:val="00EE4A75"/>
    <w:rsid w:val="00EE4B9D"/>
    <w:rsid w:val="00EE5173"/>
    <w:rsid w:val="00EF2856"/>
    <w:rsid w:val="00EF28F7"/>
    <w:rsid w:val="00EF33CA"/>
    <w:rsid w:val="00EF39B1"/>
    <w:rsid w:val="00EF4218"/>
    <w:rsid w:val="00EF4E43"/>
    <w:rsid w:val="00EF5ADF"/>
    <w:rsid w:val="00EF62AB"/>
    <w:rsid w:val="00EF6C33"/>
    <w:rsid w:val="00EF7352"/>
    <w:rsid w:val="00EF7C67"/>
    <w:rsid w:val="00EF7E28"/>
    <w:rsid w:val="00EF7E41"/>
    <w:rsid w:val="00F01461"/>
    <w:rsid w:val="00F016D6"/>
    <w:rsid w:val="00F0283D"/>
    <w:rsid w:val="00F0393D"/>
    <w:rsid w:val="00F0407D"/>
    <w:rsid w:val="00F060CD"/>
    <w:rsid w:val="00F06C95"/>
    <w:rsid w:val="00F071E2"/>
    <w:rsid w:val="00F1176A"/>
    <w:rsid w:val="00F13706"/>
    <w:rsid w:val="00F13F11"/>
    <w:rsid w:val="00F14447"/>
    <w:rsid w:val="00F14720"/>
    <w:rsid w:val="00F15564"/>
    <w:rsid w:val="00F15889"/>
    <w:rsid w:val="00F20234"/>
    <w:rsid w:val="00F2069A"/>
    <w:rsid w:val="00F2093A"/>
    <w:rsid w:val="00F21403"/>
    <w:rsid w:val="00F229AF"/>
    <w:rsid w:val="00F24555"/>
    <w:rsid w:val="00F25AC1"/>
    <w:rsid w:val="00F25DCC"/>
    <w:rsid w:val="00F30161"/>
    <w:rsid w:val="00F302C1"/>
    <w:rsid w:val="00F319AB"/>
    <w:rsid w:val="00F32FC0"/>
    <w:rsid w:val="00F333A8"/>
    <w:rsid w:val="00F34ED4"/>
    <w:rsid w:val="00F3522B"/>
    <w:rsid w:val="00F3530D"/>
    <w:rsid w:val="00F35947"/>
    <w:rsid w:val="00F35B85"/>
    <w:rsid w:val="00F36B58"/>
    <w:rsid w:val="00F4109D"/>
    <w:rsid w:val="00F411E0"/>
    <w:rsid w:val="00F41A36"/>
    <w:rsid w:val="00F42379"/>
    <w:rsid w:val="00F43F5E"/>
    <w:rsid w:val="00F46498"/>
    <w:rsid w:val="00F5132E"/>
    <w:rsid w:val="00F5135C"/>
    <w:rsid w:val="00F515D6"/>
    <w:rsid w:val="00F517BE"/>
    <w:rsid w:val="00F51DA5"/>
    <w:rsid w:val="00F51EE2"/>
    <w:rsid w:val="00F5354A"/>
    <w:rsid w:val="00F54697"/>
    <w:rsid w:val="00F5554A"/>
    <w:rsid w:val="00F55F74"/>
    <w:rsid w:val="00F56B05"/>
    <w:rsid w:val="00F57459"/>
    <w:rsid w:val="00F60461"/>
    <w:rsid w:val="00F608CD"/>
    <w:rsid w:val="00F62272"/>
    <w:rsid w:val="00F63119"/>
    <w:rsid w:val="00F631F2"/>
    <w:rsid w:val="00F632E2"/>
    <w:rsid w:val="00F64370"/>
    <w:rsid w:val="00F64EFC"/>
    <w:rsid w:val="00F666DF"/>
    <w:rsid w:val="00F7023C"/>
    <w:rsid w:val="00F71EB2"/>
    <w:rsid w:val="00F73163"/>
    <w:rsid w:val="00F73338"/>
    <w:rsid w:val="00F7423D"/>
    <w:rsid w:val="00F75C53"/>
    <w:rsid w:val="00F75C6E"/>
    <w:rsid w:val="00F7673E"/>
    <w:rsid w:val="00F76EAC"/>
    <w:rsid w:val="00F772AB"/>
    <w:rsid w:val="00F77417"/>
    <w:rsid w:val="00F80313"/>
    <w:rsid w:val="00F80B4E"/>
    <w:rsid w:val="00F81C9C"/>
    <w:rsid w:val="00F826BE"/>
    <w:rsid w:val="00F83C31"/>
    <w:rsid w:val="00F85077"/>
    <w:rsid w:val="00F85472"/>
    <w:rsid w:val="00F87838"/>
    <w:rsid w:val="00F878BF"/>
    <w:rsid w:val="00F902BF"/>
    <w:rsid w:val="00F915A4"/>
    <w:rsid w:val="00F91BAF"/>
    <w:rsid w:val="00F92AF4"/>
    <w:rsid w:val="00F92EA9"/>
    <w:rsid w:val="00F93723"/>
    <w:rsid w:val="00F965F9"/>
    <w:rsid w:val="00F97300"/>
    <w:rsid w:val="00FA0A93"/>
    <w:rsid w:val="00FA135D"/>
    <w:rsid w:val="00FA1F24"/>
    <w:rsid w:val="00FA326B"/>
    <w:rsid w:val="00FA358B"/>
    <w:rsid w:val="00FA5138"/>
    <w:rsid w:val="00FA7182"/>
    <w:rsid w:val="00FB0E19"/>
    <w:rsid w:val="00FB168A"/>
    <w:rsid w:val="00FB184D"/>
    <w:rsid w:val="00FB31B1"/>
    <w:rsid w:val="00FB39B6"/>
    <w:rsid w:val="00FB401A"/>
    <w:rsid w:val="00FB543B"/>
    <w:rsid w:val="00FB5988"/>
    <w:rsid w:val="00FB6567"/>
    <w:rsid w:val="00FB6A18"/>
    <w:rsid w:val="00FB6E14"/>
    <w:rsid w:val="00FC0518"/>
    <w:rsid w:val="00FC284D"/>
    <w:rsid w:val="00FC3805"/>
    <w:rsid w:val="00FC3830"/>
    <w:rsid w:val="00FC3F40"/>
    <w:rsid w:val="00FC4768"/>
    <w:rsid w:val="00FC497F"/>
    <w:rsid w:val="00FC7685"/>
    <w:rsid w:val="00FD0941"/>
    <w:rsid w:val="00FD0DD2"/>
    <w:rsid w:val="00FD1D8B"/>
    <w:rsid w:val="00FD2B76"/>
    <w:rsid w:val="00FD2E20"/>
    <w:rsid w:val="00FD2EF7"/>
    <w:rsid w:val="00FD2F10"/>
    <w:rsid w:val="00FD3C22"/>
    <w:rsid w:val="00FD64F1"/>
    <w:rsid w:val="00FD6501"/>
    <w:rsid w:val="00FD6B43"/>
    <w:rsid w:val="00FD732A"/>
    <w:rsid w:val="00FD75D2"/>
    <w:rsid w:val="00FE049D"/>
    <w:rsid w:val="00FE108E"/>
    <w:rsid w:val="00FE1A50"/>
    <w:rsid w:val="00FE1C6A"/>
    <w:rsid w:val="00FE2D68"/>
    <w:rsid w:val="00FE313A"/>
    <w:rsid w:val="00FE46DA"/>
    <w:rsid w:val="00FE4BF4"/>
    <w:rsid w:val="00FE5E77"/>
    <w:rsid w:val="00FF0095"/>
    <w:rsid w:val="00FF1BA2"/>
    <w:rsid w:val="00FF3263"/>
    <w:rsid w:val="00FF44A2"/>
    <w:rsid w:val="00FF4613"/>
    <w:rsid w:val="00FF4CB3"/>
    <w:rsid w:val="00FF526A"/>
    <w:rsid w:val="00FF5786"/>
    <w:rsid w:val="00FF6B29"/>
    <w:rsid w:val="00FF795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55A6"/>
    <w:pPr>
      <w:autoSpaceDE w:val="0"/>
      <w:autoSpaceDN w:val="0"/>
      <w:adjustRightInd w:val="0"/>
      <w:spacing w:after="0"/>
    </w:pPr>
    <w:rPr>
      <w:rFonts w:ascii="Calibri" w:hAnsi="Calibri"/>
    </w:rPr>
  </w:style>
  <w:style w:type="paragraph" w:styleId="Heading1">
    <w:name w:val="heading 1"/>
    <w:basedOn w:val="Normal"/>
    <w:next w:val="Normal"/>
    <w:link w:val="Heading1Char"/>
    <w:uiPriority w:val="9"/>
    <w:qFormat/>
    <w:rsid w:val="00992471"/>
    <w:pPr>
      <w:keepNext/>
      <w:keepLines/>
      <w:spacing w:before="4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2F5940"/>
    <w:pPr>
      <w:keepNext/>
      <w:keepLines/>
      <w:spacing w:before="200" w:after="24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7821CC"/>
    <w:pPr>
      <w:keepNext/>
      <w:keepLines/>
      <w:spacing w:before="200" w:after="240"/>
      <w:outlineLvl w:val="2"/>
    </w:pPr>
    <w:rPr>
      <w:rFonts w:asciiTheme="majorHAnsi" w:eastAsiaTheme="majorEastAsia" w:hAnsiTheme="majorHAnsi" w:cstheme="majorBidi"/>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471"/>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2F5940"/>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7821CC"/>
    <w:rPr>
      <w:rFonts w:asciiTheme="majorHAnsi" w:eastAsiaTheme="majorEastAsia" w:hAnsiTheme="majorHAnsi" w:cstheme="majorBidi"/>
      <w:b/>
      <w:bCs/>
      <w:sz w:val="24"/>
      <w:szCs w:val="24"/>
    </w:rPr>
  </w:style>
  <w:style w:type="paragraph" w:styleId="Header">
    <w:name w:val="header"/>
    <w:basedOn w:val="Normal"/>
    <w:link w:val="HeaderChar"/>
    <w:uiPriority w:val="99"/>
    <w:unhideWhenUsed/>
    <w:rsid w:val="000B7FC7"/>
    <w:pPr>
      <w:tabs>
        <w:tab w:val="center" w:pos="4320"/>
        <w:tab w:val="right" w:pos="8640"/>
      </w:tabs>
      <w:spacing w:line="240" w:lineRule="auto"/>
    </w:pPr>
  </w:style>
  <w:style w:type="character" w:customStyle="1" w:styleId="HeaderChar">
    <w:name w:val="Header Char"/>
    <w:basedOn w:val="DefaultParagraphFont"/>
    <w:link w:val="Header"/>
    <w:uiPriority w:val="99"/>
    <w:rsid w:val="000B7FC7"/>
    <w:rPr>
      <w:rFonts w:ascii="Calibri" w:hAnsi="Calibri"/>
    </w:rPr>
  </w:style>
  <w:style w:type="paragraph" w:styleId="Footer">
    <w:name w:val="footer"/>
    <w:basedOn w:val="Normal"/>
    <w:link w:val="FooterChar"/>
    <w:uiPriority w:val="99"/>
    <w:unhideWhenUsed/>
    <w:rsid w:val="000B7FC7"/>
    <w:pPr>
      <w:tabs>
        <w:tab w:val="center" w:pos="4320"/>
        <w:tab w:val="right" w:pos="8640"/>
      </w:tabs>
      <w:spacing w:line="240" w:lineRule="auto"/>
    </w:pPr>
  </w:style>
  <w:style w:type="character" w:customStyle="1" w:styleId="FooterChar">
    <w:name w:val="Footer Char"/>
    <w:basedOn w:val="DefaultParagraphFont"/>
    <w:link w:val="Footer"/>
    <w:uiPriority w:val="99"/>
    <w:rsid w:val="000B7FC7"/>
    <w:rPr>
      <w:rFonts w:ascii="Calibri" w:hAnsi="Calibri"/>
    </w:rPr>
  </w:style>
  <w:style w:type="paragraph" w:styleId="ListParagraph">
    <w:name w:val="List Paragraph"/>
    <w:basedOn w:val="Normal"/>
    <w:uiPriority w:val="34"/>
    <w:qFormat/>
    <w:rsid w:val="00BF57F5"/>
    <w:pPr>
      <w:ind w:left="720"/>
      <w:contextualSpacing/>
    </w:p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0B06BA"/>
    <w:pPr>
      <w:spacing w:line="240" w:lineRule="auto"/>
    </w:pPr>
    <w:rPr>
      <w:sz w:val="20"/>
      <w:szCs w:val="20"/>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0B06BA"/>
    <w:rPr>
      <w:rFonts w:ascii="Calibri" w:hAnsi="Calibri"/>
      <w:sz w:val="20"/>
      <w:szCs w:val="20"/>
    </w:rPr>
  </w:style>
  <w:style w:type="character" w:styleId="FootnoteReference">
    <w:name w:val="footnote reference"/>
    <w:basedOn w:val="DefaultParagraphFont"/>
    <w:uiPriority w:val="99"/>
    <w:unhideWhenUsed/>
    <w:rsid w:val="000B06BA"/>
    <w:rPr>
      <w:vertAlign w:val="superscript"/>
    </w:rPr>
  </w:style>
  <w:style w:type="paragraph" w:styleId="NormalWeb">
    <w:name w:val="Normal (Web)"/>
    <w:basedOn w:val="Normal"/>
    <w:uiPriority w:val="99"/>
    <w:unhideWhenUsed/>
    <w:rsid w:val="00A62AF6"/>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rabictextdetails">
    <w:name w:val="arabic_text_details"/>
    <w:rsid w:val="00A62AF6"/>
  </w:style>
  <w:style w:type="character" w:customStyle="1" w:styleId="selectable">
    <w:name w:val="selectable"/>
    <w:rsid w:val="00A62AF6"/>
  </w:style>
  <w:style w:type="paragraph" w:styleId="BalloonText">
    <w:name w:val="Balloon Text"/>
    <w:basedOn w:val="Normal"/>
    <w:link w:val="BalloonTextChar"/>
    <w:uiPriority w:val="99"/>
    <w:semiHidden/>
    <w:unhideWhenUsed/>
    <w:rsid w:val="00FE4B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BF4"/>
    <w:rPr>
      <w:rFonts w:ascii="Tahoma" w:hAnsi="Tahoma" w:cs="Tahoma"/>
      <w:sz w:val="16"/>
      <w:szCs w:val="16"/>
    </w:rPr>
  </w:style>
  <w:style w:type="character" w:styleId="HTMLCite">
    <w:name w:val="HTML Cite"/>
    <w:basedOn w:val="DefaultParagraphFont"/>
    <w:uiPriority w:val="99"/>
    <w:semiHidden/>
    <w:unhideWhenUsed/>
    <w:rsid w:val="002D60AE"/>
    <w:rPr>
      <w:i/>
      <w:iCs/>
    </w:rPr>
  </w:style>
  <w:style w:type="character" w:styleId="Hyperlink">
    <w:name w:val="Hyperlink"/>
    <w:basedOn w:val="DefaultParagraphFont"/>
    <w:uiPriority w:val="99"/>
    <w:unhideWhenUsed/>
    <w:rsid w:val="002D60AE"/>
    <w:rPr>
      <w:color w:val="0000FF"/>
      <w:u w:val="single"/>
    </w:rPr>
  </w:style>
  <w:style w:type="character" w:customStyle="1" w:styleId="searchresult">
    <w:name w:val="search_result"/>
    <w:basedOn w:val="DefaultParagraphFont"/>
    <w:rsid w:val="00A506B7"/>
  </w:style>
  <w:style w:type="character" w:customStyle="1" w:styleId="place">
    <w:name w:val="place"/>
    <w:basedOn w:val="DefaultParagraphFont"/>
    <w:rsid w:val="00A506B7"/>
  </w:style>
  <w:style w:type="character" w:styleId="Emphasis">
    <w:name w:val="Emphasis"/>
    <w:basedOn w:val="DefaultParagraphFont"/>
    <w:uiPriority w:val="20"/>
    <w:qFormat/>
    <w:rsid w:val="00983549"/>
    <w:rPr>
      <w:i/>
      <w:iCs/>
    </w:rPr>
  </w:style>
  <w:style w:type="character" w:customStyle="1" w:styleId="hi">
    <w:name w:val="hi"/>
    <w:basedOn w:val="DefaultParagraphFont"/>
    <w:rsid w:val="00BC223F"/>
  </w:style>
  <w:style w:type="character" w:customStyle="1" w:styleId="oxencycl-headword">
    <w:name w:val="oxencycl-headword"/>
    <w:basedOn w:val="DefaultParagraphFont"/>
    <w:rsid w:val="00BC223F"/>
  </w:style>
  <w:style w:type="character" w:customStyle="1" w:styleId="availabilityicon">
    <w:name w:val="availabilityicon"/>
    <w:basedOn w:val="DefaultParagraphFont"/>
    <w:rsid w:val="00BC223F"/>
  </w:style>
  <w:style w:type="character" w:customStyle="1" w:styleId="sc">
    <w:name w:val="sc"/>
    <w:basedOn w:val="DefaultParagraphFont"/>
    <w:rsid w:val="00BC223F"/>
  </w:style>
  <w:style w:type="paragraph" w:styleId="z-TopofForm">
    <w:name w:val="HTML Top of Form"/>
    <w:basedOn w:val="Normal"/>
    <w:next w:val="Normal"/>
    <w:link w:val="z-TopofFormChar"/>
    <w:hidden/>
    <w:uiPriority w:val="99"/>
    <w:semiHidden/>
    <w:unhideWhenUsed/>
    <w:rsid w:val="00BC223F"/>
    <w:pPr>
      <w:pBdr>
        <w:bottom w:val="single" w:sz="6" w:space="1" w:color="auto"/>
      </w:pBdr>
      <w:autoSpaceDE/>
      <w:autoSpaceDN/>
      <w:adjustRightInd/>
      <w:spacing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BC223F"/>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BC223F"/>
    <w:pPr>
      <w:pBdr>
        <w:top w:val="single" w:sz="6" w:space="1" w:color="auto"/>
      </w:pBdr>
      <w:autoSpaceDE/>
      <w:autoSpaceDN/>
      <w:adjustRightInd/>
      <w:spacing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BC223F"/>
    <w:rPr>
      <w:rFonts w:ascii="Arial" w:eastAsia="Times New Roman" w:hAnsi="Arial" w:cs="Arial"/>
      <w:vanish/>
      <w:sz w:val="16"/>
      <w:szCs w:val="16"/>
    </w:rPr>
  </w:style>
  <w:style w:type="character" w:customStyle="1" w:styleId="red">
    <w:name w:val="red"/>
    <w:basedOn w:val="DefaultParagraphFont"/>
    <w:rsid w:val="00550DEF"/>
  </w:style>
  <w:style w:type="paragraph" w:styleId="ListBullet">
    <w:name w:val="List Bullet"/>
    <w:basedOn w:val="Normal"/>
    <w:uiPriority w:val="99"/>
    <w:unhideWhenUsed/>
    <w:rsid w:val="00DA1F81"/>
    <w:pPr>
      <w:numPr>
        <w:numId w:val="1"/>
      </w:numPr>
      <w:contextualSpacing/>
    </w:pPr>
  </w:style>
  <w:style w:type="character" w:customStyle="1" w:styleId="tgc">
    <w:name w:val="_tgc"/>
    <w:basedOn w:val="DefaultParagraphFont"/>
    <w:rsid w:val="00891F32"/>
  </w:style>
  <w:style w:type="character" w:styleId="CommentReference">
    <w:name w:val="annotation reference"/>
    <w:basedOn w:val="DefaultParagraphFont"/>
    <w:uiPriority w:val="99"/>
    <w:semiHidden/>
    <w:unhideWhenUsed/>
    <w:rsid w:val="00A746B4"/>
    <w:rPr>
      <w:sz w:val="16"/>
      <w:szCs w:val="16"/>
    </w:rPr>
  </w:style>
  <w:style w:type="paragraph" w:styleId="CommentText">
    <w:name w:val="annotation text"/>
    <w:basedOn w:val="Normal"/>
    <w:link w:val="CommentTextChar"/>
    <w:uiPriority w:val="99"/>
    <w:semiHidden/>
    <w:unhideWhenUsed/>
    <w:rsid w:val="00A746B4"/>
    <w:pPr>
      <w:spacing w:line="240" w:lineRule="auto"/>
    </w:pPr>
    <w:rPr>
      <w:sz w:val="20"/>
      <w:szCs w:val="20"/>
    </w:rPr>
  </w:style>
  <w:style w:type="character" w:customStyle="1" w:styleId="CommentTextChar">
    <w:name w:val="Comment Text Char"/>
    <w:basedOn w:val="DefaultParagraphFont"/>
    <w:link w:val="CommentText"/>
    <w:uiPriority w:val="99"/>
    <w:semiHidden/>
    <w:rsid w:val="00A746B4"/>
    <w:rPr>
      <w:rFonts w:ascii="Calibri" w:hAnsi="Calibri"/>
      <w:sz w:val="20"/>
      <w:szCs w:val="20"/>
    </w:rPr>
  </w:style>
  <w:style w:type="paragraph" w:styleId="CommentSubject">
    <w:name w:val="annotation subject"/>
    <w:basedOn w:val="CommentText"/>
    <w:next w:val="CommentText"/>
    <w:link w:val="CommentSubjectChar"/>
    <w:uiPriority w:val="99"/>
    <w:semiHidden/>
    <w:unhideWhenUsed/>
    <w:rsid w:val="00A746B4"/>
    <w:rPr>
      <w:b/>
      <w:bCs/>
    </w:rPr>
  </w:style>
  <w:style w:type="character" w:customStyle="1" w:styleId="CommentSubjectChar">
    <w:name w:val="Comment Subject Char"/>
    <w:basedOn w:val="CommentTextChar"/>
    <w:link w:val="CommentSubject"/>
    <w:uiPriority w:val="99"/>
    <w:semiHidden/>
    <w:rsid w:val="00A746B4"/>
    <w:rPr>
      <w:rFonts w:ascii="Calibri" w:hAnsi="Calibri"/>
      <w:b/>
      <w:bCs/>
      <w:sz w:val="20"/>
      <w:szCs w:val="20"/>
    </w:rPr>
  </w:style>
  <w:style w:type="paragraph" w:customStyle="1" w:styleId="revtext">
    <w:name w:val="revtext"/>
    <w:basedOn w:val="Normal"/>
    <w:rsid w:val="004D4418"/>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ghlight">
    <w:name w:val="highlight"/>
    <w:basedOn w:val="DefaultParagraphFont"/>
    <w:rsid w:val="000C0403"/>
  </w:style>
  <w:style w:type="character" w:styleId="Strong">
    <w:name w:val="Strong"/>
    <w:basedOn w:val="DefaultParagraphFont"/>
    <w:uiPriority w:val="22"/>
    <w:qFormat/>
    <w:rsid w:val="00232A97"/>
    <w:rPr>
      <w:b/>
      <w:bCs/>
    </w:rPr>
  </w:style>
  <w:style w:type="character" w:styleId="FollowedHyperlink">
    <w:name w:val="FollowedHyperlink"/>
    <w:basedOn w:val="DefaultParagraphFont"/>
    <w:uiPriority w:val="99"/>
    <w:semiHidden/>
    <w:unhideWhenUsed/>
    <w:rsid w:val="00C847C9"/>
    <w:rPr>
      <w:color w:val="5EAEFF" w:themeColor="followedHyperlink"/>
      <w:u w:val="single"/>
    </w:rPr>
  </w:style>
  <w:style w:type="paragraph" w:styleId="HTMLPreformatted">
    <w:name w:val="HTML Preformatted"/>
    <w:basedOn w:val="Normal"/>
    <w:link w:val="HTMLPreformattedChar"/>
    <w:uiPriority w:val="99"/>
    <w:semiHidden/>
    <w:unhideWhenUsed/>
    <w:rsid w:val="003C71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adjustRightInd/>
      <w:spacing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C7127"/>
    <w:rPr>
      <w:rFonts w:ascii="Courier New" w:eastAsia="Times New Roman" w:hAnsi="Courier New" w:cs="Courier New"/>
      <w:sz w:val="20"/>
      <w:szCs w:val="20"/>
    </w:rPr>
  </w:style>
  <w:style w:type="paragraph" w:customStyle="1" w:styleId="texte">
    <w:name w:val="texte"/>
    <w:basedOn w:val="Normal"/>
    <w:rsid w:val="00ED35B3"/>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areeb">
    <w:name w:val="gareeb"/>
    <w:basedOn w:val="DefaultParagraphFont"/>
    <w:rsid w:val="00F411E0"/>
  </w:style>
  <w:style w:type="character" w:customStyle="1" w:styleId="arabicsanad">
    <w:name w:val="arabic_sanad"/>
    <w:basedOn w:val="DefaultParagraphFont"/>
    <w:rsid w:val="00F411E0"/>
  </w:style>
  <w:style w:type="character" w:customStyle="1" w:styleId="hadethegeneral">
    <w:name w:val="hadethegeneral"/>
    <w:basedOn w:val="DefaultParagraphFont"/>
    <w:rsid w:val="00F411E0"/>
  </w:style>
  <w:style w:type="character" w:customStyle="1" w:styleId="rawyname">
    <w:name w:val="rawy_name"/>
    <w:basedOn w:val="DefaultParagraphFont"/>
    <w:rsid w:val="00F411E0"/>
  </w:style>
  <w:style w:type="character" w:customStyle="1" w:styleId="unicode">
    <w:name w:val="unicode"/>
    <w:basedOn w:val="DefaultParagraphFont"/>
    <w:rsid w:val="00804318"/>
  </w:style>
  <w:style w:type="character" w:customStyle="1" w:styleId="st">
    <w:name w:val="st"/>
    <w:basedOn w:val="DefaultParagraphFont"/>
    <w:rsid w:val="00804318"/>
  </w:style>
  <w:style w:type="character" w:customStyle="1" w:styleId="txtsumr">
    <w:name w:val="txtsumr"/>
    <w:basedOn w:val="DefaultParagraphFont"/>
    <w:rsid w:val="00804318"/>
  </w:style>
  <w:style w:type="character" w:customStyle="1" w:styleId="she3r">
    <w:name w:val="she3r"/>
    <w:basedOn w:val="DefaultParagraphFont"/>
    <w:rsid w:val="00804318"/>
  </w:style>
  <w:style w:type="character" w:customStyle="1" w:styleId="Title1">
    <w:name w:val="Title1"/>
    <w:basedOn w:val="DefaultParagraphFont"/>
    <w:rsid w:val="00804318"/>
  </w:style>
  <w:style w:type="character" w:customStyle="1" w:styleId="footnote">
    <w:name w:val="footnote"/>
    <w:basedOn w:val="DefaultParagraphFont"/>
    <w:rsid w:val="00804318"/>
  </w:style>
  <w:style w:type="paragraph" w:customStyle="1" w:styleId="Default">
    <w:name w:val="Default"/>
    <w:rsid w:val="0080431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Title2">
    <w:name w:val="Title2"/>
    <w:basedOn w:val="DefaultParagraphFont"/>
    <w:rsid w:val="00804318"/>
  </w:style>
  <w:style w:type="character" w:customStyle="1" w:styleId="Title3">
    <w:name w:val="Title3"/>
    <w:basedOn w:val="DefaultParagraphFont"/>
    <w:rsid w:val="00804318"/>
  </w:style>
  <w:style w:type="character" w:customStyle="1" w:styleId="Title4">
    <w:name w:val="Title4"/>
    <w:basedOn w:val="DefaultParagraphFont"/>
    <w:rsid w:val="00804318"/>
  </w:style>
  <w:style w:type="character" w:customStyle="1" w:styleId="litefont">
    <w:name w:val="litefont"/>
    <w:basedOn w:val="DefaultParagraphFont"/>
    <w:rsid w:val="00804318"/>
  </w:style>
  <w:style w:type="character" w:customStyle="1" w:styleId="sharelink">
    <w:name w:val="sharelink"/>
    <w:basedOn w:val="DefaultParagraphFont"/>
    <w:rsid w:val="00804318"/>
  </w:style>
  <w:style w:type="character" w:customStyle="1" w:styleId="Title5">
    <w:name w:val="Title5"/>
    <w:basedOn w:val="DefaultParagraphFont"/>
    <w:rsid w:val="00804318"/>
  </w:style>
  <w:style w:type="paragraph" w:customStyle="1" w:styleId="first">
    <w:name w:val="first"/>
    <w:basedOn w:val="Normal"/>
    <w:rsid w:val="00804318"/>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on">
    <w:name w:val="mon"/>
    <w:basedOn w:val="DefaultParagraphFont"/>
    <w:rsid w:val="00804318"/>
  </w:style>
  <w:style w:type="character" w:customStyle="1" w:styleId="info-desc">
    <w:name w:val="info-desc"/>
    <w:basedOn w:val="DefaultParagraphFont"/>
    <w:rsid w:val="00804318"/>
  </w:style>
  <w:style w:type="character" w:customStyle="1" w:styleId="script-arabic">
    <w:name w:val="script-arabic"/>
    <w:basedOn w:val="DefaultParagraphFont"/>
    <w:rsid w:val="00804318"/>
  </w:style>
  <w:style w:type="character" w:customStyle="1" w:styleId="mw-headline">
    <w:name w:val="mw-headline"/>
    <w:basedOn w:val="DefaultParagraphFont"/>
    <w:rsid w:val="00804318"/>
  </w:style>
  <w:style w:type="character" w:customStyle="1" w:styleId="reference-text">
    <w:name w:val="reference-text"/>
    <w:basedOn w:val="DefaultParagraphFont"/>
    <w:rsid w:val="00804318"/>
  </w:style>
  <w:style w:type="character" w:customStyle="1" w:styleId="Title6">
    <w:name w:val="Title6"/>
    <w:basedOn w:val="DefaultParagraphFont"/>
    <w:rsid w:val="00804318"/>
  </w:style>
  <w:style w:type="character" w:customStyle="1" w:styleId="paranumber">
    <w:name w:val="paranumber"/>
    <w:basedOn w:val="DefaultParagraphFont"/>
    <w:rsid w:val="00804318"/>
  </w:style>
  <w:style w:type="character" w:customStyle="1" w:styleId="num">
    <w:name w:val="num"/>
    <w:basedOn w:val="DefaultParagraphFont"/>
    <w:rsid w:val="00804318"/>
  </w:style>
  <w:style w:type="paragraph" w:customStyle="1" w:styleId="citation">
    <w:name w:val="citation"/>
    <w:basedOn w:val="Normal"/>
    <w:rsid w:val="00804318"/>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rame">
    <w:name w:val="grame"/>
    <w:basedOn w:val="DefaultParagraphFont"/>
    <w:rsid w:val="00804318"/>
  </w:style>
  <w:style w:type="character" w:customStyle="1" w:styleId="Title7">
    <w:name w:val="Title7"/>
    <w:basedOn w:val="DefaultParagraphFont"/>
    <w:rsid w:val="009B1178"/>
  </w:style>
  <w:style w:type="paragraph" w:styleId="NoSpacing">
    <w:name w:val="No Spacing"/>
    <w:link w:val="NoSpacingChar"/>
    <w:uiPriority w:val="1"/>
    <w:qFormat/>
    <w:rsid w:val="003C13E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C13EB"/>
    <w:rPr>
      <w:rFonts w:eastAsiaTheme="minorEastAsia"/>
      <w:lang w:eastAsia="ja-JP"/>
    </w:rPr>
  </w:style>
  <w:style w:type="paragraph" w:styleId="TOCHeading">
    <w:name w:val="TOC Heading"/>
    <w:basedOn w:val="Heading1"/>
    <w:next w:val="Normal"/>
    <w:uiPriority w:val="39"/>
    <w:unhideWhenUsed/>
    <w:qFormat/>
    <w:rsid w:val="00AB1066"/>
    <w:pPr>
      <w:autoSpaceDE/>
      <w:autoSpaceDN/>
      <w:adjustRightInd/>
      <w:outlineLvl w:val="9"/>
    </w:pPr>
    <w:rPr>
      <w:color w:val="0292DF" w:themeColor="accent1" w:themeShade="BF"/>
      <w:lang w:eastAsia="ja-JP"/>
    </w:rPr>
  </w:style>
  <w:style w:type="paragraph" w:styleId="TOC1">
    <w:name w:val="toc 1"/>
    <w:basedOn w:val="Normal"/>
    <w:next w:val="Normal"/>
    <w:autoRedefine/>
    <w:uiPriority w:val="39"/>
    <w:unhideWhenUsed/>
    <w:rsid w:val="00AB1066"/>
    <w:pPr>
      <w:spacing w:after="100"/>
    </w:pPr>
  </w:style>
  <w:style w:type="paragraph" w:styleId="TOC2">
    <w:name w:val="toc 2"/>
    <w:basedOn w:val="Normal"/>
    <w:next w:val="Normal"/>
    <w:autoRedefine/>
    <w:uiPriority w:val="39"/>
    <w:unhideWhenUsed/>
    <w:rsid w:val="00AB1066"/>
    <w:pPr>
      <w:spacing w:after="100"/>
      <w:ind w:left="220"/>
    </w:pPr>
  </w:style>
  <w:style w:type="paragraph" w:styleId="TOC3">
    <w:name w:val="toc 3"/>
    <w:basedOn w:val="Normal"/>
    <w:next w:val="Normal"/>
    <w:autoRedefine/>
    <w:uiPriority w:val="39"/>
    <w:unhideWhenUsed/>
    <w:rsid w:val="00AB1066"/>
    <w:pPr>
      <w:spacing w:after="100"/>
      <w:ind w:left="440"/>
    </w:pPr>
  </w:style>
  <w:style w:type="character" w:customStyle="1" w:styleId="value">
    <w:name w:val="value"/>
    <w:basedOn w:val="DefaultParagraphFont"/>
    <w:rsid w:val="00D5582C"/>
  </w:style>
  <w:style w:type="character" w:customStyle="1" w:styleId="style5">
    <w:name w:val="style5"/>
    <w:basedOn w:val="DefaultParagraphFont"/>
    <w:rsid w:val="00D5582C"/>
  </w:style>
  <w:style w:type="character" w:customStyle="1" w:styleId="a-size-large">
    <w:name w:val="a-size-large"/>
    <w:basedOn w:val="DefaultParagraphFont"/>
    <w:rsid w:val="00D5582C"/>
  </w:style>
  <w:style w:type="table" w:styleId="TableGrid">
    <w:name w:val="Table Grid"/>
    <w:basedOn w:val="TableNormal"/>
    <w:uiPriority w:val="59"/>
    <w:rsid w:val="00D5582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D5582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55A6"/>
    <w:pPr>
      <w:autoSpaceDE w:val="0"/>
      <w:autoSpaceDN w:val="0"/>
      <w:adjustRightInd w:val="0"/>
      <w:spacing w:after="0"/>
    </w:pPr>
    <w:rPr>
      <w:rFonts w:ascii="Calibri" w:hAnsi="Calibri"/>
    </w:rPr>
  </w:style>
  <w:style w:type="paragraph" w:styleId="Heading1">
    <w:name w:val="heading 1"/>
    <w:basedOn w:val="Normal"/>
    <w:next w:val="Normal"/>
    <w:link w:val="Heading1Char"/>
    <w:uiPriority w:val="9"/>
    <w:qFormat/>
    <w:rsid w:val="00992471"/>
    <w:pPr>
      <w:keepNext/>
      <w:keepLines/>
      <w:spacing w:before="4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2F5940"/>
    <w:pPr>
      <w:keepNext/>
      <w:keepLines/>
      <w:spacing w:before="200" w:after="24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7821CC"/>
    <w:pPr>
      <w:keepNext/>
      <w:keepLines/>
      <w:spacing w:before="200" w:after="240"/>
      <w:outlineLvl w:val="2"/>
    </w:pPr>
    <w:rPr>
      <w:rFonts w:asciiTheme="majorHAnsi" w:eastAsiaTheme="majorEastAsia" w:hAnsiTheme="majorHAnsi" w:cstheme="majorBidi"/>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471"/>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2F5940"/>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7821CC"/>
    <w:rPr>
      <w:rFonts w:asciiTheme="majorHAnsi" w:eastAsiaTheme="majorEastAsia" w:hAnsiTheme="majorHAnsi" w:cstheme="majorBidi"/>
      <w:b/>
      <w:bCs/>
      <w:sz w:val="24"/>
      <w:szCs w:val="24"/>
    </w:rPr>
  </w:style>
  <w:style w:type="paragraph" w:styleId="Header">
    <w:name w:val="header"/>
    <w:basedOn w:val="Normal"/>
    <w:link w:val="HeaderChar"/>
    <w:uiPriority w:val="99"/>
    <w:unhideWhenUsed/>
    <w:rsid w:val="000B7FC7"/>
    <w:pPr>
      <w:tabs>
        <w:tab w:val="center" w:pos="4320"/>
        <w:tab w:val="right" w:pos="8640"/>
      </w:tabs>
      <w:spacing w:line="240" w:lineRule="auto"/>
    </w:pPr>
  </w:style>
  <w:style w:type="character" w:customStyle="1" w:styleId="HeaderChar">
    <w:name w:val="Header Char"/>
    <w:basedOn w:val="DefaultParagraphFont"/>
    <w:link w:val="Header"/>
    <w:uiPriority w:val="99"/>
    <w:rsid w:val="000B7FC7"/>
    <w:rPr>
      <w:rFonts w:ascii="Calibri" w:hAnsi="Calibri"/>
    </w:rPr>
  </w:style>
  <w:style w:type="paragraph" w:styleId="Footer">
    <w:name w:val="footer"/>
    <w:basedOn w:val="Normal"/>
    <w:link w:val="FooterChar"/>
    <w:uiPriority w:val="99"/>
    <w:unhideWhenUsed/>
    <w:rsid w:val="000B7FC7"/>
    <w:pPr>
      <w:tabs>
        <w:tab w:val="center" w:pos="4320"/>
        <w:tab w:val="right" w:pos="8640"/>
      </w:tabs>
      <w:spacing w:line="240" w:lineRule="auto"/>
    </w:pPr>
  </w:style>
  <w:style w:type="character" w:customStyle="1" w:styleId="FooterChar">
    <w:name w:val="Footer Char"/>
    <w:basedOn w:val="DefaultParagraphFont"/>
    <w:link w:val="Footer"/>
    <w:uiPriority w:val="99"/>
    <w:rsid w:val="000B7FC7"/>
    <w:rPr>
      <w:rFonts w:ascii="Calibri" w:hAnsi="Calibri"/>
    </w:rPr>
  </w:style>
  <w:style w:type="paragraph" w:styleId="ListParagraph">
    <w:name w:val="List Paragraph"/>
    <w:basedOn w:val="Normal"/>
    <w:uiPriority w:val="34"/>
    <w:qFormat/>
    <w:rsid w:val="00BF57F5"/>
    <w:pPr>
      <w:ind w:left="720"/>
      <w:contextualSpacing/>
    </w:p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0B06BA"/>
    <w:pPr>
      <w:spacing w:line="240" w:lineRule="auto"/>
    </w:pPr>
    <w:rPr>
      <w:sz w:val="20"/>
      <w:szCs w:val="20"/>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0B06BA"/>
    <w:rPr>
      <w:rFonts w:ascii="Calibri" w:hAnsi="Calibri"/>
      <w:sz w:val="20"/>
      <w:szCs w:val="20"/>
    </w:rPr>
  </w:style>
  <w:style w:type="character" w:styleId="FootnoteReference">
    <w:name w:val="footnote reference"/>
    <w:basedOn w:val="DefaultParagraphFont"/>
    <w:uiPriority w:val="99"/>
    <w:unhideWhenUsed/>
    <w:rsid w:val="000B06BA"/>
    <w:rPr>
      <w:vertAlign w:val="superscript"/>
    </w:rPr>
  </w:style>
  <w:style w:type="paragraph" w:styleId="NormalWeb">
    <w:name w:val="Normal (Web)"/>
    <w:basedOn w:val="Normal"/>
    <w:uiPriority w:val="99"/>
    <w:unhideWhenUsed/>
    <w:rsid w:val="00A62AF6"/>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rabictextdetails">
    <w:name w:val="arabic_text_details"/>
    <w:rsid w:val="00A62AF6"/>
  </w:style>
  <w:style w:type="character" w:customStyle="1" w:styleId="selectable">
    <w:name w:val="selectable"/>
    <w:rsid w:val="00A62AF6"/>
  </w:style>
  <w:style w:type="paragraph" w:styleId="BalloonText">
    <w:name w:val="Balloon Text"/>
    <w:basedOn w:val="Normal"/>
    <w:link w:val="BalloonTextChar"/>
    <w:uiPriority w:val="99"/>
    <w:semiHidden/>
    <w:unhideWhenUsed/>
    <w:rsid w:val="00FE4B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BF4"/>
    <w:rPr>
      <w:rFonts w:ascii="Tahoma" w:hAnsi="Tahoma" w:cs="Tahoma"/>
      <w:sz w:val="16"/>
      <w:szCs w:val="16"/>
    </w:rPr>
  </w:style>
  <w:style w:type="character" w:styleId="HTMLCite">
    <w:name w:val="HTML Cite"/>
    <w:basedOn w:val="DefaultParagraphFont"/>
    <w:uiPriority w:val="99"/>
    <w:semiHidden/>
    <w:unhideWhenUsed/>
    <w:rsid w:val="002D60AE"/>
    <w:rPr>
      <w:i/>
      <w:iCs/>
    </w:rPr>
  </w:style>
  <w:style w:type="character" w:styleId="Hyperlink">
    <w:name w:val="Hyperlink"/>
    <w:basedOn w:val="DefaultParagraphFont"/>
    <w:uiPriority w:val="99"/>
    <w:unhideWhenUsed/>
    <w:rsid w:val="002D60AE"/>
    <w:rPr>
      <w:color w:val="0000FF"/>
      <w:u w:val="single"/>
    </w:rPr>
  </w:style>
  <w:style w:type="character" w:customStyle="1" w:styleId="searchresult">
    <w:name w:val="search_result"/>
    <w:basedOn w:val="DefaultParagraphFont"/>
    <w:rsid w:val="00A506B7"/>
  </w:style>
  <w:style w:type="character" w:customStyle="1" w:styleId="place">
    <w:name w:val="place"/>
    <w:basedOn w:val="DefaultParagraphFont"/>
    <w:rsid w:val="00A506B7"/>
  </w:style>
  <w:style w:type="character" w:styleId="Emphasis">
    <w:name w:val="Emphasis"/>
    <w:basedOn w:val="DefaultParagraphFont"/>
    <w:uiPriority w:val="20"/>
    <w:qFormat/>
    <w:rsid w:val="00983549"/>
    <w:rPr>
      <w:i/>
      <w:iCs/>
    </w:rPr>
  </w:style>
  <w:style w:type="character" w:customStyle="1" w:styleId="hi">
    <w:name w:val="hi"/>
    <w:basedOn w:val="DefaultParagraphFont"/>
    <w:rsid w:val="00BC223F"/>
  </w:style>
  <w:style w:type="character" w:customStyle="1" w:styleId="oxencycl-headword">
    <w:name w:val="oxencycl-headword"/>
    <w:basedOn w:val="DefaultParagraphFont"/>
    <w:rsid w:val="00BC223F"/>
  </w:style>
  <w:style w:type="character" w:customStyle="1" w:styleId="availabilityicon">
    <w:name w:val="availabilityicon"/>
    <w:basedOn w:val="DefaultParagraphFont"/>
    <w:rsid w:val="00BC223F"/>
  </w:style>
  <w:style w:type="character" w:customStyle="1" w:styleId="sc">
    <w:name w:val="sc"/>
    <w:basedOn w:val="DefaultParagraphFont"/>
    <w:rsid w:val="00BC223F"/>
  </w:style>
  <w:style w:type="paragraph" w:styleId="z-TopofForm">
    <w:name w:val="HTML Top of Form"/>
    <w:basedOn w:val="Normal"/>
    <w:next w:val="Normal"/>
    <w:link w:val="z-TopofFormChar"/>
    <w:hidden/>
    <w:uiPriority w:val="99"/>
    <w:semiHidden/>
    <w:unhideWhenUsed/>
    <w:rsid w:val="00BC223F"/>
    <w:pPr>
      <w:pBdr>
        <w:bottom w:val="single" w:sz="6" w:space="1" w:color="auto"/>
      </w:pBdr>
      <w:autoSpaceDE/>
      <w:autoSpaceDN/>
      <w:adjustRightInd/>
      <w:spacing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BC223F"/>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BC223F"/>
    <w:pPr>
      <w:pBdr>
        <w:top w:val="single" w:sz="6" w:space="1" w:color="auto"/>
      </w:pBdr>
      <w:autoSpaceDE/>
      <w:autoSpaceDN/>
      <w:adjustRightInd/>
      <w:spacing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BC223F"/>
    <w:rPr>
      <w:rFonts w:ascii="Arial" w:eastAsia="Times New Roman" w:hAnsi="Arial" w:cs="Arial"/>
      <w:vanish/>
      <w:sz w:val="16"/>
      <w:szCs w:val="16"/>
    </w:rPr>
  </w:style>
  <w:style w:type="character" w:customStyle="1" w:styleId="red">
    <w:name w:val="red"/>
    <w:basedOn w:val="DefaultParagraphFont"/>
    <w:rsid w:val="00550DEF"/>
  </w:style>
  <w:style w:type="paragraph" w:styleId="ListBullet">
    <w:name w:val="List Bullet"/>
    <w:basedOn w:val="Normal"/>
    <w:uiPriority w:val="99"/>
    <w:unhideWhenUsed/>
    <w:rsid w:val="00DA1F81"/>
    <w:pPr>
      <w:numPr>
        <w:numId w:val="1"/>
      </w:numPr>
      <w:contextualSpacing/>
    </w:pPr>
  </w:style>
  <w:style w:type="character" w:customStyle="1" w:styleId="tgc">
    <w:name w:val="_tgc"/>
    <w:basedOn w:val="DefaultParagraphFont"/>
    <w:rsid w:val="00891F32"/>
  </w:style>
  <w:style w:type="character" w:styleId="CommentReference">
    <w:name w:val="annotation reference"/>
    <w:basedOn w:val="DefaultParagraphFont"/>
    <w:uiPriority w:val="99"/>
    <w:semiHidden/>
    <w:unhideWhenUsed/>
    <w:rsid w:val="00A746B4"/>
    <w:rPr>
      <w:sz w:val="16"/>
      <w:szCs w:val="16"/>
    </w:rPr>
  </w:style>
  <w:style w:type="paragraph" w:styleId="CommentText">
    <w:name w:val="annotation text"/>
    <w:basedOn w:val="Normal"/>
    <w:link w:val="CommentTextChar"/>
    <w:uiPriority w:val="99"/>
    <w:semiHidden/>
    <w:unhideWhenUsed/>
    <w:rsid w:val="00A746B4"/>
    <w:pPr>
      <w:spacing w:line="240" w:lineRule="auto"/>
    </w:pPr>
    <w:rPr>
      <w:sz w:val="20"/>
      <w:szCs w:val="20"/>
    </w:rPr>
  </w:style>
  <w:style w:type="character" w:customStyle="1" w:styleId="CommentTextChar">
    <w:name w:val="Comment Text Char"/>
    <w:basedOn w:val="DefaultParagraphFont"/>
    <w:link w:val="CommentText"/>
    <w:uiPriority w:val="99"/>
    <w:semiHidden/>
    <w:rsid w:val="00A746B4"/>
    <w:rPr>
      <w:rFonts w:ascii="Calibri" w:hAnsi="Calibri"/>
      <w:sz w:val="20"/>
      <w:szCs w:val="20"/>
    </w:rPr>
  </w:style>
  <w:style w:type="paragraph" w:styleId="CommentSubject">
    <w:name w:val="annotation subject"/>
    <w:basedOn w:val="CommentText"/>
    <w:next w:val="CommentText"/>
    <w:link w:val="CommentSubjectChar"/>
    <w:uiPriority w:val="99"/>
    <w:semiHidden/>
    <w:unhideWhenUsed/>
    <w:rsid w:val="00A746B4"/>
    <w:rPr>
      <w:b/>
      <w:bCs/>
    </w:rPr>
  </w:style>
  <w:style w:type="character" w:customStyle="1" w:styleId="CommentSubjectChar">
    <w:name w:val="Comment Subject Char"/>
    <w:basedOn w:val="CommentTextChar"/>
    <w:link w:val="CommentSubject"/>
    <w:uiPriority w:val="99"/>
    <w:semiHidden/>
    <w:rsid w:val="00A746B4"/>
    <w:rPr>
      <w:rFonts w:ascii="Calibri" w:hAnsi="Calibri"/>
      <w:b/>
      <w:bCs/>
      <w:sz w:val="20"/>
      <w:szCs w:val="20"/>
    </w:rPr>
  </w:style>
  <w:style w:type="paragraph" w:customStyle="1" w:styleId="revtext">
    <w:name w:val="revtext"/>
    <w:basedOn w:val="Normal"/>
    <w:rsid w:val="004D4418"/>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ghlight">
    <w:name w:val="highlight"/>
    <w:basedOn w:val="DefaultParagraphFont"/>
    <w:rsid w:val="000C0403"/>
  </w:style>
  <w:style w:type="character" w:styleId="Strong">
    <w:name w:val="Strong"/>
    <w:basedOn w:val="DefaultParagraphFont"/>
    <w:uiPriority w:val="22"/>
    <w:qFormat/>
    <w:rsid w:val="00232A97"/>
    <w:rPr>
      <w:b/>
      <w:bCs/>
    </w:rPr>
  </w:style>
  <w:style w:type="character" w:styleId="FollowedHyperlink">
    <w:name w:val="FollowedHyperlink"/>
    <w:basedOn w:val="DefaultParagraphFont"/>
    <w:uiPriority w:val="99"/>
    <w:semiHidden/>
    <w:unhideWhenUsed/>
    <w:rsid w:val="00C847C9"/>
    <w:rPr>
      <w:color w:val="5EAEFF" w:themeColor="followedHyperlink"/>
      <w:u w:val="single"/>
    </w:rPr>
  </w:style>
  <w:style w:type="paragraph" w:styleId="HTMLPreformatted">
    <w:name w:val="HTML Preformatted"/>
    <w:basedOn w:val="Normal"/>
    <w:link w:val="HTMLPreformattedChar"/>
    <w:uiPriority w:val="99"/>
    <w:semiHidden/>
    <w:unhideWhenUsed/>
    <w:rsid w:val="003C71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adjustRightInd/>
      <w:spacing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C7127"/>
    <w:rPr>
      <w:rFonts w:ascii="Courier New" w:eastAsia="Times New Roman" w:hAnsi="Courier New" w:cs="Courier New"/>
      <w:sz w:val="20"/>
      <w:szCs w:val="20"/>
    </w:rPr>
  </w:style>
  <w:style w:type="paragraph" w:customStyle="1" w:styleId="texte">
    <w:name w:val="texte"/>
    <w:basedOn w:val="Normal"/>
    <w:rsid w:val="00ED35B3"/>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areeb">
    <w:name w:val="gareeb"/>
    <w:basedOn w:val="DefaultParagraphFont"/>
    <w:rsid w:val="00F411E0"/>
  </w:style>
  <w:style w:type="character" w:customStyle="1" w:styleId="arabicsanad">
    <w:name w:val="arabic_sanad"/>
    <w:basedOn w:val="DefaultParagraphFont"/>
    <w:rsid w:val="00F411E0"/>
  </w:style>
  <w:style w:type="character" w:customStyle="1" w:styleId="hadethegeneral">
    <w:name w:val="hadethegeneral"/>
    <w:basedOn w:val="DefaultParagraphFont"/>
    <w:rsid w:val="00F411E0"/>
  </w:style>
  <w:style w:type="character" w:customStyle="1" w:styleId="rawyname">
    <w:name w:val="rawy_name"/>
    <w:basedOn w:val="DefaultParagraphFont"/>
    <w:rsid w:val="00F411E0"/>
  </w:style>
  <w:style w:type="character" w:customStyle="1" w:styleId="unicode">
    <w:name w:val="unicode"/>
    <w:basedOn w:val="DefaultParagraphFont"/>
    <w:rsid w:val="00804318"/>
  </w:style>
  <w:style w:type="character" w:customStyle="1" w:styleId="st">
    <w:name w:val="st"/>
    <w:basedOn w:val="DefaultParagraphFont"/>
    <w:rsid w:val="00804318"/>
  </w:style>
  <w:style w:type="character" w:customStyle="1" w:styleId="txtsumr">
    <w:name w:val="txtsumr"/>
    <w:basedOn w:val="DefaultParagraphFont"/>
    <w:rsid w:val="00804318"/>
  </w:style>
  <w:style w:type="character" w:customStyle="1" w:styleId="she3r">
    <w:name w:val="she3r"/>
    <w:basedOn w:val="DefaultParagraphFont"/>
    <w:rsid w:val="00804318"/>
  </w:style>
  <w:style w:type="character" w:customStyle="1" w:styleId="Title1">
    <w:name w:val="Title1"/>
    <w:basedOn w:val="DefaultParagraphFont"/>
    <w:rsid w:val="00804318"/>
  </w:style>
  <w:style w:type="character" w:customStyle="1" w:styleId="footnote">
    <w:name w:val="footnote"/>
    <w:basedOn w:val="DefaultParagraphFont"/>
    <w:rsid w:val="00804318"/>
  </w:style>
  <w:style w:type="paragraph" w:customStyle="1" w:styleId="Default">
    <w:name w:val="Default"/>
    <w:rsid w:val="0080431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Title2">
    <w:name w:val="Title2"/>
    <w:basedOn w:val="DefaultParagraphFont"/>
    <w:rsid w:val="00804318"/>
  </w:style>
  <w:style w:type="character" w:customStyle="1" w:styleId="Title3">
    <w:name w:val="Title3"/>
    <w:basedOn w:val="DefaultParagraphFont"/>
    <w:rsid w:val="00804318"/>
  </w:style>
  <w:style w:type="character" w:customStyle="1" w:styleId="Title4">
    <w:name w:val="Title4"/>
    <w:basedOn w:val="DefaultParagraphFont"/>
    <w:rsid w:val="00804318"/>
  </w:style>
  <w:style w:type="character" w:customStyle="1" w:styleId="litefont">
    <w:name w:val="litefont"/>
    <w:basedOn w:val="DefaultParagraphFont"/>
    <w:rsid w:val="00804318"/>
  </w:style>
  <w:style w:type="character" w:customStyle="1" w:styleId="sharelink">
    <w:name w:val="sharelink"/>
    <w:basedOn w:val="DefaultParagraphFont"/>
    <w:rsid w:val="00804318"/>
  </w:style>
  <w:style w:type="character" w:customStyle="1" w:styleId="Title5">
    <w:name w:val="Title5"/>
    <w:basedOn w:val="DefaultParagraphFont"/>
    <w:rsid w:val="00804318"/>
  </w:style>
  <w:style w:type="paragraph" w:customStyle="1" w:styleId="first">
    <w:name w:val="first"/>
    <w:basedOn w:val="Normal"/>
    <w:rsid w:val="00804318"/>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on">
    <w:name w:val="mon"/>
    <w:basedOn w:val="DefaultParagraphFont"/>
    <w:rsid w:val="00804318"/>
  </w:style>
  <w:style w:type="character" w:customStyle="1" w:styleId="info-desc">
    <w:name w:val="info-desc"/>
    <w:basedOn w:val="DefaultParagraphFont"/>
    <w:rsid w:val="00804318"/>
  </w:style>
  <w:style w:type="character" w:customStyle="1" w:styleId="script-arabic">
    <w:name w:val="script-arabic"/>
    <w:basedOn w:val="DefaultParagraphFont"/>
    <w:rsid w:val="00804318"/>
  </w:style>
  <w:style w:type="character" w:customStyle="1" w:styleId="mw-headline">
    <w:name w:val="mw-headline"/>
    <w:basedOn w:val="DefaultParagraphFont"/>
    <w:rsid w:val="00804318"/>
  </w:style>
  <w:style w:type="character" w:customStyle="1" w:styleId="reference-text">
    <w:name w:val="reference-text"/>
    <w:basedOn w:val="DefaultParagraphFont"/>
    <w:rsid w:val="00804318"/>
  </w:style>
  <w:style w:type="character" w:customStyle="1" w:styleId="Title6">
    <w:name w:val="Title6"/>
    <w:basedOn w:val="DefaultParagraphFont"/>
    <w:rsid w:val="00804318"/>
  </w:style>
  <w:style w:type="character" w:customStyle="1" w:styleId="paranumber">
    <w:name w:val="paranumber"/>
    <w:basedOn w:val="DefaultParagraphFont"/>
    <w:rsid w:val="00804318"/>
  </w:style>
  <w:style w:type="character" w:customStyle="1" w:styleId="num">
    <w:name w:val="num"/>
    <w:basedOn w:val="DefaultParagraphFont"/>
    <w:rsid w:val="00804318"/>
  </w:style>
  <w:style w:type="paragraph" w:customStyle="1" w:styleId="citation">
    <w:name w:val="citation"/>
    <w:basedOn w:val="Normal"/>
    <w:rsid w:val="00804318"/>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rame">
    <w:name w:val="grame"/>
    <w:basedOn w:val="DefaultParagraphFont"/>
    <w:rsid w:val="00804318"/>
  </w:style>
  <w:style w:type="character" w:customStyle="1" w:styleId="Title7">
    <w:name w:val="Title7"/>
    <w:basedOn w:val="DefaultParagraphFont"/>
    <w:rsid w:val="009B1178"/>
  </w:style>
  <w:style w:type="paragraph" w:styleId="NoSpacing">
    <w:name w:val="No Spacing"/>
    <w:link w:val="NoSpacingChar"/>
    <w:uiPriority w:val="1"/>
    <w:qFormat/>
    <w:rsid w:val="003C13E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C13EB"/>
    <w:rPr>
      <w:rFonts w:eastAsiaTheme="minorEastAsia"/>
      <w:lang w:eastAsia="ja-JP"/>
    </w:rPr>
  </w:style>
  <w:style w:type="paragraph" w:styleId="TOCHeading">
    <w:name w:val="TOC Heading"/>
    <w:basedOn w:val="Heading1"/>
    <w:next w:val="Normal"/>
    <w:uiPriority w:val="39"/>
    <w:unhideWhenUsed/>
    <w:qFormat/>
    <w:rsid w:val="00AB1066"/>
    <w:pPr>
      <w:autoSpaceDE/>
      <w:autoSpaceDN/>
      <w:adjustRightInd/>
      <w:outlineLvl w:val="9"/>
    </w:pPr>
    <w:rPr>
      <w:color w:val="0292DF" w:themeColor="accent1" w:themeShade="BF"/>
      <w:lang w:eastAsia="ja-JP"/>
    </w:rPr>
  </w:style>
  <w:style w:type="paragraph" w:styleId="TOC1">
    <w:name w:val="toc 1"/>
    <w:basedOn w:val="Normal"/>
    <w:next w:val="Normal"/>
    <w:autoRedefine/>
    <w:uiPriority w:val="39"/>
    <w:unhideWhenUsed/>
    <w:rsid w:val="00AB1066"/>
    <w:pPr>
      <w:spacing w:after="100"/>
    </w:pPr>
  </w:style>
  <w:style w:type="paragraph" w:styleId="TOC2">
    <w:name w:val="toc 2"/>
    <w:basedOn w:val="Normal"/>
    <w:next w:val="Normal"/>
    <w:autoRedefine/>
    <w:uiPriority w:val="39"/>
    <w:unhideWhenUsed/>
    <w:rsid w:val="00AB1066"/>
    <w:pPr>
      <w:spacing w:after="100"/>
      <w:ind w:left="220"/>
    </w:pPr>
  </w:style>
  <w:style w:type="paragraph" w:styleId="TOC3">
    <w:name w:val="toc 3"/>
    <w:basedOn w:val="Normal"/>
    <w:next w:val="Normal"/>
    <w:autoRedefine/>
    <w:uiPriority w:val="39"/>
    <w:unhideWhenUsed/>
    <w:rsid w:val="00AB1066"/>
    <w:pPr>
      <w:spacing w:after="100"/>
      <w:ind w:left="440"/>
    </w:pPr>
  </w:style>
  <w:style w:type="character" w:customStyle="1" w:styleId="value">
    <w:name w:val="value"/>
    <w:basedOn w:val="DefaultParagraphFont"/>
    <w:rsid w:val="00D5582C"/>
  </w:style>
  <w:style w:type="character" w:customStyle="1" w:styleId="style5">
    <w:name w:val="style5"/>
    <w:basedOn w:val="DefaultParagraphFont"/>
    <w:rsid w:val="00D5582C"/>
  </w:style>
  <w:style w:type="character" w:customStyle="1" w:styleId="a-size-large">
    <w:name w:val="a-size-large"/>
    <w:basedOn w:val="DefaultParagraphFont"/>
    <w:rsid w:val="00D5582C"/>
  </w:style>
  <w:style w:type="table" w:styleId="TableGrid">
    <w:name w:val="Table Grid"/>
    <w:basedOn w:val="TableNormal"/>
    <w:uiPriority w:val="59"/>
    <w:rsid w:val="00D5582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D55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552825">
      <w:bodyDiv w:val="1"/>
      <w:marLeft w:val="0"/>
      <w:marRight w:val="0"/>
      <w:marTop w:val="0"/>
      <w:marBottom w:val="0"/>
      <w:divBdr>
        <w:top w:val="none" w:sz="0" w:space="0" w:color="auto"/>
        <w:left w:val="none" w:sz="0" w:space="0" w:color="auto"/>
        <w:bottom w:val="none" w:sz="0" w:space="0" w:color="auto"/>
        <w:right w:val="none" w:sz="0" w:space="0" w:color="auto"/>
      </w:divBdr>
    </w:div>
    <w:div w:id="99303838">
      <w:bodyDiv w:val="1"/>
      <w:marLeft w:val="0"/>
      <w:marRight w:val="0"/>
      <w:marTop w:val="0"/>
      <w:marBottom w:val="0"/>
      <w:divBdr>
        <w:top w:val="none" w:sz="0" w:space="0" w:color="auto"/>
        <w:left w:val="none" w:sz="0" w:space="0" w:color="auto"/>
        <w:bottom w:val="none" w:sz="0" w:space="0" w:color="auto"/>
        <w:right w:val="none" w:sz="0" w:space="0" w:color="auto"/>
      </w:divBdr>
    </w:div>
    <w:div w:id="244799426">
      <w:bodyDiv w:val="1"/>
      <w:marLeft w:val="0"/>
      <w:marRight w:val="0"/>
      <w:marTop w:val="0"/>
      <w:marBottom w:val="0"/>
      <w:divBdr>
        <w:top w:val="none" w:sz="0" w:space="0" w:color="auto"/>
        <w:left w:val="none" w:sz="0" w:space="0" w:color="auto"/>
        <w:bottom w:val="none" w:sz="0" w:space="0" w:color="auto"/>
        <w:right w:val="none" w:sz="0" w:space="0" w:color="auto"/>
      </w:divBdr>
      <w:divsChild>
        <w:div w:id="1803888136">
          <w:marLeft w:val="0"/>
          <w:marRight w:val="0"/>
          <w:marTop w:val="0"/>
          <w:marBottom w:val="0"/>
          <w:divBdr>
            <w:top w:val="none" w:sz="0" w:space="0" w:color="auto"/>
            <w:left w:val="none" w:sz="0" w:space="0" w:color="auto"/>
            <w:bottom w:val="none" w:sz="0" w:space="0" w:color="auto"/>
            <w:right w:val="none" w:sz="0" w:space="0" w:color="auto"/>
          </w:divBdr>
        </w:div>
      </w:divsChild>
    </w:div>
    <w:div w:id="276567893">
      <w:bodyDiv w:val="1"/>
      <w:marLeft w:val="0"/>
      <w:marRight w:val="0"/>
      <w:marTop w:val="0"/>
      <w:marBottom w:val="0"/>
      <w:divBdr>
        <w:top w:val="none" w:sz="0" w:space="0" w:color="auto"/>
        <w:left w:val="none" w:sz="0" w:space="0" w:color="auto"/>
        <w:bottom w:val="none" w:sz="0" w:space="0" w:color="auto"/>
        <w:right w:val="none" w:sz="0" w:space="0" w:color="auto"/>
      </w:divBdr>
    </w:div>
    <w:div w:id="324626997">
      <w:bodyDiv w:val="1"/>
      <w:marLeft w:val="0"/>
      <w:marRight w:val="0"/>
      <w:marTop w:val="0"/>
      <w:marBottom w:val="0"/>
      <w:divBdr>
        <w:top w:val="none" w:sz="0" w:space="0" w:color="auto"/>
        <w:left w:val="none" w:sz="0" w:space="0" w:color="auto"/>
        <w:bottom w:val="none" w:sz="0" w:space="0" w:color="auto"/>
        <w:right w:val="none" w:sz="0" w:space="0" w:color="auto"/>
      </w:divBdr>
    </w:div>
    <w:div w:id="324819778">
      <w:bodyDiv w:val="1"/>
      <w:marLeft w:val="0"/>
      <w:marRight w:val="0"/>
      <w:marTop w:val="0"/>
      <w:marBottom w:val="0"/>
      <w:divBdr>
        <w:top w:val="none" w:sz="0" w:space="0" w:color="auto"/>
        <w:left w:val="none" w:sz="0" w:space="0" w:color="auto"/>
        <w:bottom w:val="none" w:sz="0" w:space="0" w:color="auto"/>
        <w:right w:val="none" w:sz="0" w:space="0" w:color="auto"/>
      </w:divBdr>
    </w:div>
    <w:div w:id="347172917">
      <w:bodyDiv w:val="1"/>
      <w:marLeft w:val="0"/>
      <w:marRight w:val="0"/>
      <w:marTop w:val="0"/>
      <w:marBottom w:val="0"/>
      <w:divBdr>
        <w:top w:val="none" w:sz="0" w:space="0" w:color="auto"/>
        <w:left w:val="none" w:sz="0" w:space="0" w:color="auto"/>
        <w:bottom w:val="none" w:sz="0" w:space="0" w:color="auto"/>
        <w:right w:val="none" w:sz="0" w:space="0" w:color="auto"/>
      </w:divBdr>
    </w:div>
    <w:div w:id="449327180">
      <w:bodyDiv w:val="1"/>
      <w:marLeft w:val="0"/>
      <w:marRight w:val="0"/>
      <w:marTop w:val="0"/>
      <w:marBottom w:val="0"/>
      <w:divBdr>
        <w:top w:val="none" w:sz="0" w:space="0" w:color="auto"/>
        <w:left w:val="none" w:sz="0" w:space="0" w:color="auto"/>
        <w:bottom w:val="none" w:sz="0" w:space="0" w:color="auto"/>
        <w:right w:val="none" w:sz="0" w:space="0" w:color="auto"/>
      </w:divBdr>
    </w:div>
    <w:div w:id="460222255">
      <w:bodyDiv w:val="1"/>
      <w:marLeft w:val="0"/>
      <w:marRight w:val="0"/>
      <w:marTop w:val="0"/>
      <w:marBottom w:val="0"/>
      <w:divBdr>
        <w:top w:val="none" w:sz="0" w:space="0" w:color="auto"/>
        <w:left w:val="none" w:sz="0" w:space="0" w:color="auto"/>
        <w:bottom w:val="none" w:sz="0" w:space="0" w:color="auto"/>
        <w:right w:val="none" w:sz="0" w:space="0" w:color="auto"/>
      </w:divBdr>
    </w:div>
    <w:div w:id="530383470">
      <w:bodyDiv w:val="1"/>
      <w:marLeft w:val="0"/>
      <w:marRight w:val="0"/>
      <w:marTop w:val="0"/>
      <w:marBottom w:val="0"/>
      <w:divBdr>
        <w:top w:val="none" w:sz="0" w:space="0" w:color="auto"/>
        <w:left w:val="none" w:sz="0" w:space="0" w:color="auto"/>
        <w:bottom w:val="none" w:sz="0" w:space="0" w:color="auto"/>
        <w:right w:val="none" w:sz="0" w:space="0" w:color="auto"/>
      </w:divBdr>
      <w:divsChild>
        <w:div w:id="646320320">
          <w:marLeft w:val="547"/>
          <w:marRight w:val="0"/>
          <w:marTop w:val="106"/>
          <w:marBottom w:val="120"/>
          <w:divBdr>
            <w:top w:val="none" w:sz="0" w:space="0" w:color="auto"/>
            <w:left w:val="none" w:sz="0" w:space="0" w:color="auto"/>
            <w:bottom w:val="none" w:sz="0" w:space="0" w:color="auto"/>
            <w:right w:val="none" w:sz="0" w:space="0" w:color="auto"/>
          </w:divBdr>
        </w:div>
      </w:divsChild>
    </w:div>
    <w:div w:id="641033695">
      <w:bodyDiv w:val="1"/>
      <w:marLeft w:val="0"/>
      <w:marRight w:val="0"/>
      <w:marTop w:val="0"/>
      <w:marBottom w:val="0"/>
      <w:divBdr>
        <w:top w:val="none" w:sz="0" w:space="0" w:color="auto"/>
        <w:left w:val="none" w:sz="0" w:space="0" w:color="auto"/>
        <w:bottom w:val="none" w:sz="0" w:space="0" w:color="auto"/>
        <w:right w:val="none" w:sz="0" w:space="0" w:color="auto"/>
      </w:divBdr>
    </w:div>
    <w:div w:id="696467546">
      <w:bodyDiv w:val="1"/>
      <w:marLeft w:val="0"/>
      <w:marRight w:val="0"/>
      <w:marTop w:val="0"/>
      <w:marBottom w:val="0"/>
      <w:divBdr>
        <w:top w:val="none" w:sz="0" w:space="0" w:color="auto"/>
        <w:left w:val="none" w:sz="0" w:space="0" w:color="auto"/>
        <w:bottom w:val="none" w:sz="0" w:space="0" w:color="auto"/>
        <w:right w:val="none" w:sz="0" w:space="0" w:color="auto"/>
      </w:divBdr>
    </w:div>
    <w:div w:id="718013533">
      <w:bodyDiv w:val="1"/>
      <w:marLeft w:val="0"/>
      <w:marRight w:val="0"/>
      <w:marTop w:val="0"/>
      <w:marBottom w:val="0"/>
      <w:divBdr>
        <w:top w:val="none" w:sz="0" w:space="0" w:color="auto"/>
        <w:left w:val="none" w:sz="0" w:space="0" w:color="auto"/>
        <w:bottom w:val="none" w:sz="0" w:space="0" w:color="auto"/>
        <w:right w:val="none" w:sz="0" w:space="0" w:color="auto"/>
      </w:divBdr>
      <w:divsChild>
        <w:div w:id="1473212385">
          <w:marLeft w:val="0"/>
          <w:marRight w:val="0"/>
          <w:marTop w:val="0"/>
          <w:marBottom w:val="0"/>
          <w:divBdr>
            <w:top w:val="none" w:sz="0" w:space="0" w:color="auto"/>
            <w:left w:val="none" w:sz="0" w:space="0" w:color="auto"/>
            <w:bottom w:val="none" w:sz="0" w:space="0" w:color="auto"/>
            <w:right w:val="none" w:sz="0" w:space="0" w:color="auto"/>
          </w:divBdr>
          <w:divsChild>
            <w:div w:id="1455635989">
              <w:blockQuote w:val="1"/>
              <w:marLeft w:val="720"/>
              <w:marRight w:val="720"/>
              <w:marTop w:val="100"/>
              <w:marBottom w:val="100"/>
              <w:divBdr>
                <w:top w:val="none" w:sz="0" w:space="0" w:color="auto"/>
                <w:left w:val="none" w:sz="0" w:space="0" w:color="auto"/>
                <w:bottom w:val="none" w:sz="0" w:space="0" w:color="auto"/>
                <w:right w:val="none" w:sz="0" w:space="0" w:color="auto"/>
              </w:divBdr>
            </w:div>
            <w:div w:id="20642156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730471002">
      <w:bodyDiv w:val="1"/>
      <w:marLeft w:val="0"/>
      <w:marRight w:val="0"/>
      <w:marTop w:val="0"/>
      <w:marBottom w:val="0"/>
      <w:divBdr>
        <w:top w:val="none" w:sz="0" w:space="0" w:color="auto"/>
        <w:left w:val="none" w:sz="0" w:space="0" w:color="auto"/>
        <w:bottom w:val="none" w:sz="0" w:space="0" w:color="auto"/>
        <w:right w:val="none" w:sz="0" w:space="0" w:color="auto"/>
      </w:divBdr>
    </w:div>
    <w:div w:id="890920184">
      <w:bodyDiv w:val="1"/>
      <w:marLeft w:val="0"/>
      <w:marRight w:val="0"/>
      <w:marTop w:val="0"/>
      <w:marBottom w:val="0"/>
      <w:divBdr>
        <w:top w:val="none" w:sz="0" w:space="0" w:color="auto"/>
        <w:left w:val="none" w:sz="0" w:space="0" w:color="auto"/>
        <w:bottom w:val="none" w:sz="0" w:space="0" w:color="auto"/>
        <w:right w:val="none" w:sz="0" w:space="0" w:color="auto"/>
      </w:divBdr>
      <w:divsChild>
        <w:div w:id="234900185">
          <w:blockQuote w:val="1"/>
          <w:marLeft w:val="720"/>
          <w:marRight w:val="720"/>
          <w:marTop w:val="100"/>
          <w:marBottom w:val="100"/>
          <w:divBdr>
            <w:top w:val="none" w:sz="0" w:space="0" w:color="auto"/>
            <w:left w:val="none" w:sz="0" w:space="0" w:color="auto"/>
            <w:bottom w:val="none" w:sz="0" w:space="0" w:color="auto"/>
            <w:right w:val="none" w:sz="0" w:space="0" w:color="auto"/>
          </w:divBdr>
        </w:div>
        <w:div w:id="240993877">
          <w:blockQuote w:val="1"/>
          <w:marLeft w:val="720"/>
          <w:marRight w:val="720"/>
          <w:marTop w:val="100"/>
          <w:marBottom w:val="100"/>
          <w:divBdr>
            <w:top w:val="none" w:sz="0" w:space="0" w:color="auto"/>
            <w:left w:val="none" w:sz="0" w:space="0" w:color="auto"/>
            <w:bottom w:val="none" w:sz="0" w:space="0" w:color="auto"/>
            <w:right w:val="none" w:sz="0" w:space="0" w:color="auto"/>
          </w:divBdr>
        </w:div>
        <w:div w:id="283731569">
          <w:blockQuote w:val="1"/>
          <w:marLeft w:val="720"/>
          <w:marRight w:val="720"/>
          <w:marTop w:val="100"/>
          <w:marBottom w:val="100"/>
          <w:divBdr>
            <w:top w:val="none" w:sz="0" w:space="0" w:color="auto"/>
            <w:left w:val="none" w:sz="0" w:space="0" w:color="auto"/>
            <w:bottom w:val="none" w:sz="0" w:space="0" w:color="auto"/>
            <w:right w:val="none" w:sz="0" w:space="0" w:color="auto"/>
          </w:divBdr>
        </w:div>
        <w:div w:id="326910262">
          <w:blockQuote w:val="1"/>
          <w:marLeft w:val="720"/>
          <w:marRight w:val="720"/>
          <w:marTop w:val="100"/>
          <w:marBottom w:val="100"/>
          <w:divBdr>
            <w:top w:val="none" w:sz="0" w:space="0" w:color="auto"/>
            <w:left w:val="none" w:sz="0" w:space="0" w:color="auto"/>
            <w:bottom w:val="none" w:sz="0" w:space="0" w:color="auto"/>
            <w:right w:val="none" w:sz="0" w:space="0" w:color="auto"/>
          </w:divBdr>
        </w:div>
        <w:div w:id="930819160">
          <w:blockQuote w:val="1"/>
          <w:marLeft w:val="720"/>
          <w:marRight w:val="720"/>
          <w:marTop w:val="100"/>
          <w:marBottom w:val="100"/>
          <w:divBdr>
            <w:top w:val="none" w:sz="0" w:space="0" w:color="auto"/>
            <w:left w:val="none" w:sz="0" w:space="0" w:color="auto"/>
            <w:bottom w:val="none" w:sz="0" w:space="0" w:color="auto"/>
            <w:right w:val="none" w:sz="0" w:space="0" w:color="auto"/>
          </w:divBdr>
        </w:div>
        <w:div w:id="983898825">
          <w:blockQuote w:val="1"/>
          <w:marLeft w:val="720"/>
          <w:marRight w:val="720"/>
          <w:marTop w:val="100"/>
          <w:marBottom w:val="100"/>
          <w:divBdr>
            <w:top w:val="none" w:sz="0" w:space="0" w:color="auto"/>
            <w:left w:val="none" w:sz="0" w:space="0" w:color="auto"/>
            <w:bottom w:val="none" w:sz="0" w:space="0" w:color="auto"/>
            <w:right w:val="none" w:sz="0" w:space="0" w:color="auto"/>
          </w:divBdr>
        </w:div>
        <w:div w:id="994604902">
          <w:blockQuote w:val="1"/>
          <w:marLeft w:val="720"/>
          <w:marRight w:val="720"/>
          <w:marTop w:val="100"/>
          <w:marBottom w:val="100"/>
          <w:divBdr>
            <w:top w:val="none" w:sz="0" w:space="0" w:color="auto"/>
            <w:left w:val="none" w:sz="0" w:space="0" w:color="auto"/>
            <w:bottom w:val="none" w:sz="0" w:space="0" w:color="auto"/>
            <w:right w:val="none" w:sz="0" w:space="0" w:color="auto"/>
          </w:divBdr>
        </w:div>
        <w:div w:id="1009257197">
          <w:blockQuote w:val="1"/>
          <w:marLeft w:val="720"/>
          <w:marRight w:val="720"/>
          <w:marTop w:val="100"/>
          <w:marBottom w:val="100"/>
          <w:divBdr>
            <w:top w:val="none" w:sz="0" w:space="0" w:color="auto"/>
            <w:left w:val="none" w:sz="0" w:space="0" w:color="auto"/>
            <w:bottom w:val="none" w:sz="0" w:space="0" w:color="auto"/>
            <w:right w:val="none" w:sz="0" w:space="0" w:color="auto"/>
          </w:divBdr>
        </w:div>
        <w:div w:id="1059086763">
          <w:blockQuote w:val="1"/>
          <w:marLeft w:val="720"/>
          <w:marRight w:val="720"/>
          <w:marTop w:val="100"/>
          <w:marBottom w:val="100"/>
          <w:divBdr>
            <w:top w:val="none" w:sz="0" w:space="0" w:color="auto"/>
            <w:left w:val="none" w:sz="0" w:space="0" w:color="auto"/>
            <w:bottom w:val="none" w:sz="0" w:space="0" w:color="auto"/>
            <w:right w:val="none" w:sz="0" w:space="0" w:color="auto"/>
          </w:divBdr>
        </w:div>
        <w:div w:id="1059670879">
          <w:blockQuote w:val="1"/>
          <w:marLeft w:val="720"/>
          <w:marRight w:val="720"/>
          <w:marTop w:val="100"/>
          <w:marBottom w:val="100"/>
          <w:divBdr>
            <w:top w:val="none" w:sz="0" w:space="0" w:color="auto"/>
            <w:left w:val="none" w:sz="0" w:space="0" w:color="auto"/>
            <w:bottom w:val="none" w:sz="0" w:space="0" w:color="auto"/>
            <w:right w:val="none" w:sz="0" w:space="0" w:color="auto"/>
          </w:divBdr>
        </w:div>
        <w:div w:id="11810410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9920119">
      <w:bodyDiv w:val="1"/>
      <w:marLeft w:val="0"/>
      <w:marRight w:val="0"/>
      <w:marTop w:val="0"/>
      <w:marBottom w:val="0"/>
      <w:divBdr>
        <w:top w:val="none" w:sz="0" w:space="0" w:color="auto"/>
        <w:left w:val="none" w:sz="0" w:space="0" w:color="auto"/>
        <w:bottom w:val="none" w:sz="0" w:space="0" w:color="auto"/>
        <w:right w:val="none" w:sz="0" w:space="0" w:color="auto"/>
      </w:divBdr>
      <w:divsChild>
        <w:div w:id="92214722">
          <w:marLeft w:val="0"/>
          <w:marRight w:val="0"/>
          <w:marTop w:val="0"/>
          <w:marBottom w:val="0"/>
          <w:divBdr>
            <w:top w:val="none" w:sz="0" w:space="0" w:color="auto"/>
            <w:left w:val="none" w:sz="0" w:space="0" w:color="auto"/>
            <w:bottom w:val="none" w:sz="0" w:space="0" w:color="auto"/>
            <w:right w:val="none" w:sz="0" w:space="0" w:color="auto"/>
          </w:divBdr>
        </w:div>
        <w:div w:id="526870095">
          <w:marLeft w:val="0"/>
          <w:marRight w:val="0"/>
          <w:marTop w:val="0"/>
          <w:marBottom w:val="0"/>
          <w:divBdr>
            <w:top w:val="none" w:sz="0" w:space="0" w:color="auto"/>
            <w:left w:val="none" w:sz="0" w:space="0" w:color="auto"/>
            <w:bottom w:val="none" w:sz="0" w:space="0" w:color="auto"/>
            <w:right w:val="none" w:sz="0" w:space="0" w:color="auto"/>
          </w:divBdr>
        </w:div>
        <w:div w:id="568536237">
          <w:marLeft w:val="0"/>
          <w:marRight w:val="0"/>
          <w:marTop w:val="0"/>
          <w:marBottom w:val="0"/>
          <w:divBdr>
            <w:top w:val="none" w:sz="0" w:space="0" w:color="auto"/>
            <w:left w:val="none" w:sz="0" w:space="0" w:color="auto"/>
            <w:bottom w:val="none" w:sz="0" w:space="0" w:color="auto"/>
            <w:right w:val="none" w:sz="0" w:space="0" w:color="auto"/>
          </w:divBdr>
        </w:div>
        <w:div w:id="648095596">
          <w:marLeft w:val="0"/>
          <w:marRight w:val="0"/>
          <w:marTop w:val="0"/>
          <w:marBottom w:val="0"/>
          <w:divBdr>
            <w:top w:val="none" w:sz="0" w:space="0" w:color="auto"/>
            <w:left w:val="none" w:sz="0" w:space="0" w:color="auto"/>
            <w:bottom w:val="none" w:sz="0" w:space="0" w:color="auto"/>
            <w:right w:val="none" w:sz="0" w:space="0" w:color="auto"/>
          </w:divBdr>
        </w:div>
        <w:div w:id="733432325">
          <w:marLeft w:val="0"/>
          <w:marRight w:val="0"/>
          <w:marTop w:val="0"/>
          <w:marBottom w:val="0"/>
          <w:divBdr>
            <w:top w:val="none" w:sz="0" w:space="0" w:color="auto"/>
            <w:left w:val="none" w:sz="0" w:space="0" w:color="auto"/>
            <w:bottom w:val="none" w:sz="0" w:space="0" w:color="auto"/>
            <w:right w:val="none" w:sz="0" w:space="0" w:color="auto"/>
          </w:divBdr>
        </w:div>
        <w:div w:id="914246662">
          <w:marLeft w:val="0"/>
          <w:marRight w:val="0"/>
          <w:marTop w:val="0"/>
          <w:marBottom w:val="0"/>
          <w:divBdr>
            <w:top w:val="none" w:sz="0" w:space="0" w:color="auto"/>
            <w:left w:val="none" w:sz="0" w:space="0" w:color="auto"/>
            <w:bottom w:val="none" w:sz="0" w:space="0" w:color="auto"/>
            <w:right w:val="none" w:sz="0" w:space="0" w:color="auto"/>
          </w:divBdr>
        </w:div>
        <w:div w:id="941452425">
          <w:marLeft w:val="0"/>
          <w:marRight w:val="0"/>
          <w:marTop w:val="0"/>
          <w:marBottom w:val="0"/>
          <w:divBdr>
            <w:top w:val="none" w:sz="0" w:space="0" w:color="auto"/>
            <w:left w:val="none" w:sz="0" w:space="0" w:color="auto"/>
            <w:bottom w:val="none" w:sz="0" w:space="0" w:color="auto"/>
            <w:right w:val="none" w:sz="0" w:space="0" w:color="auto"/>
          </w:divBdr>
        </w:div>
        <w:div w:id="1014458674">
          <w:marLeft w:val="0"/>
          <w:marRight w:val="0"/>
          <w:marTop w:val="0"/>
          <w:marBottom w:val="0"/>
          <w:divBdr>
            <w:top w:val="none" w:sz="0" w:space="0" w:color="auto"/>
            <w:left w:val="none" w:sz="0" w:space="0" w:color="auto"/>
            <w:bottom w:val="none" w:sz="0" w:space="0" w:color="auto"/>
            <w:right w:val="none" w:sz="0" w:space="0" w:color="auto"/>
          </w:divBdr>
        </w:div>
        <w:div w:id="1037655314">
          <w:marLeft w:val="0"/>
          <w:marRight w:val="0"/>
          <w:marTop w:val="0"/>
          <w:marBottom w:val="0"/>
          <w:divBdr>
            <w:top w:val="none" w:sz="0" w:space="0" w:color="auto"/>
            <w:left w:val="none" w:sz="0" w:space="0" w:color="auto"/>
            <w:bottom w:val="none" w:sz="0" w:space="0" w:color="auto"/>
            <w:right w:val="none" w:sz="0" w:space="0" w:color="auto"/>
          </w:divBdr>
        </w:div>
        <w:div w:id="1184897764">
          <w:marLeft w:val="0"/>
          <w:marRight w:val="0"/>
          <w:marTop w:val="0"/>
          <w:marBottom w:val="0"/>
          <w:divBdr>
            <w:top w:val="none" w:sz="0" w:space="0" w:color="auto"/>
            <w:left w:val="none" w:sz="0" w:space="0" w:color="auto"/>
            <w:bottom w:val="none" w:sz="0" w:space="0" w:color="auto"/>
            <w:right w:val="none" w:sz="0" w:space="0" w:color="auto"/>
          </w:divBdr>
        </w:div>
        <w:div w:id="1224179659">
          <w:marLeft w:val="0"/>
          <w:marRight w:val="0"/>
          <w:marTop w:val="0"/>
          <w:marBottom w:val="0"/>
          <w:divBdr>
            <w:top w:val="none" w:sz="0" w:space="0" w:color="auto"/>
            <w:left w:val="none" w:sz="0" w:space="0" w:color="auto"/>
            <w:bottom w:val="none" w:sz="0" w:space="0" w:color="auto"/>
            <w:right w:val="none" w:sz="0" w:space="0" w:color="auto"/>
          </w:divBdr>
        </w:div>
        <w:div w:id="1283927178">
          <w:marLeft w:val="0"/>
          <w:marRight w:val="0"/>
          <w:marTop w:val="0"/>
          <w:marBottom w:val="0"/>
          <w:divBdr>
            <w:top w:val="none" w:sz="0" w:space="0" w:color="auto"/>
            <w:left w:val="none" w:sz="0" w:space="0" w:color="auto"/>
            <w:bottom w:val="none" w:sz="0" w:space="0" w:color="auto"/>
            <w:right w:val="none" w:sz="0" w:space="0" w:color="auto"/>
          </w:divBdr>
        </w:div>
        <w:div w:id="1289900519">
          <w:marLeft w:val="0"/>
          <w:marRight w:val="0"/>
          <w:marTop w:val="0"/>
          <w:marBottom w:val="0"/>
          <w:divBdr>
            <w:top w:val="none" w:sz="0" w:space="0" w:color="auto"/>
            <w:left w:val="none" w:sz="0" w:space="0" w:color="auto"/>
            <w:bottom w:val="none" w:sz="0" w:space="0" w:color="auto"/>
            <w:right w:val="none" w:sz="0" w:space="0" w:color="auto"/>
          </w:divBdr>
        </w:div>
        <w:div w:id="1335106964">
          <w:marLeft w:val="0"/>
          <w:marRight w:val="0"/>
          <w:marTop w:val="0"/>
          <w:marBottom w:val="0"/>
          <w:divBdr>
            <w:top w:val="none" w:sz="0" w:space="0" w:color="auto"/>
            <w:left w:val="none" w:sz="0" w:space="0" w:color="auto"/>
            <w:bottom w:val="none" w:sz="0" w:space="0" w:color="auto"/>
            <w:right w:val="none" w:sz="0" w:space="0" w:color="auto"/>
          </w:divBdr>
        </w:div>
        <w:div w:id="1549419798">
          <w:marLeft w:val="0"/>
          <w:marRight w:val="0"/>
          <w:marTop w:val="0"/>
          <w:marBottom w:val="0"/>
          <w:divBdr>
            <w:top w:val="none" w:sz="0" w:space="0" w:color="auto"/>
            <w:left w:val="none" w:sz="0" w:space="0" w:color="auto"/>
            <w:bottom w:val="none" w:sz="0" w:space="0" w:color="auto"/>
            <w:right w:val="none" w:sz="0" w:space="0" w:color="auto"/>
          </w:divBdr>
        </w:div>
        <w:div w:id="1694303084">
          <w:marLeft w:val="0"/>
          <w:marRight w:val="0"/>
          <w:marTop w:val="0"/>
          <w:marBottom w:val="0"/>
          <w:divBdr>
            <w:top w:val="none" w:sz="0" w:space="0" w:color="auto"/>
            <w:left w:val="none" w:sz="0" w:space="0" w:color="auto"/>
            <w:bottom w:val="none" w:sz="0" w:space="0" w:color="auto"/>
            <w:right w:val="none" w:sz="0" w:space="0" w:color="auto"/>
          </w:divBdr>
        </w:div>
        <w:div w:id="1738548785">
          <w:marLeft w:val="0"/>
          <w:marRight w:val="0"/>
          <w:marTop w:val="0"/>
          <w:marBottom w:val="0"/>
          <w:divBdr>
            <w:top w:val="none" w:sz="0" w:space="0" w:color="auto"/>
            <w:left w:val="none" w:sz="0" w:space="0" w:color="auto"/>
            <w:bottom w:val="none" w:sz="0" w:space="0" w:color="auto"/>
            <w:right w:val="none" w:sz="0" w:space="0" w:color="auto"/>
          </w:divBdr>
        </w:div>
        <w:div w:id="1934898685">
          <w:marLeft w:val="0"/>
          <w:marRight w:val="0"/>
          <w:marTop w:val="0"/>
          <w:marBottom w:val="0"/>
          <w:divBdr>
            <w:top w:val="none" w:sz="0" w:space="0" w:color="auto"/>
            <w:left w:val="none" w:sz="0" w:space="0" w:color="auto"/>
            <w:bottom w:val="none" w:sz="0" w:space="0" w:color="auto"/>
            <w:right w:val="none" w:sz="0" w:space="0" w:color="auto"/>
          </w:divBdr>
        </w:div>
        <w:div w:id="2008946108">
          <w:marLeft w:val="0"/>
          <w:marRight w:val="0"/>
          <w:marTop w:val="0"/>
          <w:marBottom w:val="0"/>
          <w:divBdr>
            <w:top w:val="none" w:sz="0" w:space="0" w:color="auto"/>
            <w:left w:val="none" w:sz="0" w:space="0" w:color="auto"/>
            <w:bottom w:val="none" w:sz="0" w:space="0" w:color="auto"/>
            <w:right w:val="none" w:sz="0" w:space="0" w:color="auto"/>
          </w:divBdr>
        </w:div>
      </w:divsChild>
    </w:div>
    <w:div w:id="963315727">
      <w:bodyDiv w:val="1"/>
      <w:marLeft w:val="0"/>
      <w:marRight w:val="0"/>
      <w:marTop w:val="0"/>
      <w:marBottom w:val="0"/>
      <w:divBdr>
        <w:top w:val="none" w:sz="0" w:space="0" w:color="auto"/>
        <w:left w:val="none" w:sz="0" w:space="0" w:color="auto"/>
        <w:bottom w:val="none" w:sz="0" w:space="0" w:color="auto"/>
        <w:right w:val="none" w:sz="0" w:space="0" w:color="auto"/>
      </w:divBdr>
    </w:div>
    <w:div w:id="1040788309">
      <w:bodyDiv w:val="1"/>
      <w:marLeft w:val="0"/>
      <w:marRight w:val="0"/>
      <w:marTop w:val="0"/>
      <w:marBottom w:val="0"/>
      <w:divBdr>
        <w:top w:val="none" w:sz="0" w:space="0" w:color="auto"/>
        <w:left w:val="none" w:sz="0" w:space="0" w:color="auto"/>
        <w:bottom w:val="none" w:sz="0" w:space="0" w:color="auto"/>
        <w:right w:val="none" w:sz="0" w:space="0" w:color="auto"/>
      </w:divBdr>
    </w:div>
    <w:div w:id="1104812645">
      <w:bodyDiv w:val="1"/>
      <w:marLeft w:val="0"/>
      <w:marRight w:val="0"/>
      <w:marTop w:val="0"/>
      <w:marBottom w:val="0"/>
      <w:divBdr>
        <w:top w:val="none" w:sz="0" w:space="0" w:color="auto"/>
        <w:left w:val="none" w:sz="0" w:space="0" w:color="auto"/>
        <w:bottom w:val="none" w:sz="0" w:space="0" w:color="auto"/>
        <w:right w:val="none" w:sz="0" w:space="0" w:color="auto"/>
      </w:divBdr>
    </w:div>
    <w:div w:id="1187527365">
      <w:bodyDiv w:val="1"/>
      <w:marLeft w:val="0"/>
      <w:marRight w:val="0"/>
      <w:marTop w:val="0"/>
      <w:marBottom w:val="0"/>
      <w:divBdr>
        <w:top w:val="none" w:sz="0" w:space="0" w:color="auto"/>
        <w:left w:val="none" w:sz="0" w:space="0" w:color="auto"/>
        <w:bottom w:val="none" w:sz="0" w:space="0" w:color="auto"/>
        <w:right w:val="none" w:sz="0" w:space="0" w:color="auto"/>
      </w:divBdr>
      <w:divsChild>
        <w:div w:id="210895056">
          <w:marLeft w:val="0"/>
          <w:marRight w:val="0"/>
          <w:marTop w:val="0"/>
          <w:marBottom w:val="0"/>
          <w:divBdr>
            <w:top w:val="none" w:sz="0" w:space="0" w:color="auto"/>
            <w:left w:val="none" w:sz="0" w:space="0" w:color="auto"/>
            <w:bottom w:val="none" w:sz="0" w:space="0" w:color="auto"/>
            <w:right w:val="none" w:sz="0" w:space="0" w:color="auto"/>
          </w:divBdr>
        </w:div>
        <w:div w:id="573709920">
          <w:marLeft w:val="0"/>
          <w:marRight w:val="0"/>
          <w:marTop w:val="0"/>
          <w:marBottom w:val="0"/>
          <w:divBdr>
            <w:top w:val="none" w:sz="0" w:space="0" w:color="auto"/>
            <w:left w:val="none" w:sz="0" w:space="0" w:color="auto"/>
            <w:bottom w:val="none" w:sz="0" w:space="0" w:color="auto"/>
            <w:right w:val="none" w:sz="0" w:space="0" w:color="auto"/>
          </w:divBdr>
        </w:div>
        <w:div w:id="972757499">
          <w:marLeft w:val="0"/>
          <w:marRight w:val="0"/>
          <w:marTop w:val="0"/>
          <w:marBottom w:val="0"/>
          <w:divBdr>
            <w:top w:val="none" w:sz="0" w:space="0" w:color="auto"/>
            <w:left w:val="none" w:sz="0" w:space="0" w:color="auto"/>
            <w:bottom w:val="none" w:sz="0" w:space="0" w:color="auto"/>
            <w:right w:val="none" w:sz="0" w:space="0" w:color="auto"/>
          </w:divBdr>
        </w:div>
        <w:div w:id="1187523822">
          <w:marLeft w:val="0"/>
          <w:marRight w:val="0"/>
          <w:marTop w:val="0"/>
          <w:marBottom w:val="0"/>
          <w:divBdr>
            <w:top w:val="none" w:sz="0" w:space="0" w:color="auto"/>
            <w:left w:val="none" w:sz="0" w:space="0" w:color="auto"/>
            <w:bottom w:val="none" w:sz="0" w:space="0" w:color="auto"/>
            <w:right w:val="none" w:sz="0" w:space="0" w:color="auto"/>
          </w:divBdr>
        </w:div>
        <w:div w:id="1435395694">
          <w:marLeft w:val="0"/>
          <w:marRight w:val="0"/>
          <w:marTop w:val="0"/>
          <w:marBottom w:val="0"/>
          <w:divBdr>
            <w:top w:val="none" w:sz="0" w:space="0" w:color="auto"/>
            <w:left w:val="none" w:sz="0" w:space="0" w:color="auto"/>
            <w:bottom w:val="none" w:sz="0" w:space="0" w:color="auto"/>
            <w:right w:val="none" w:sz="0" w:space="0" w:color="auto"/>
          </w:divBdr>
        </w:div>
      </w:divsChild>
    </w:div>
    <w:div w:id="1396709070">
      <w:bodyDiv w:val="1"/>
      <w:marLeft w:val="0"/>
      <w:marRight w:val="0"/>
      <w:marTop w:val="0"/>
      <w:marBottom w:val="0"/>
      <w:divBdr>
        <w:top w:val="none" w:sz="0" w:space="0" w:color="auto"/>
        <w:left w:val="none" w:sz="0" w:space="0" w:color="auto"/>
        <w:bottom w:val="none" w:sz="0" w:space="0" w:color="auto"/>
        <w:right w:val="none" w:sz="0" w:space="0" w:color="auto"/>
      </w:divBdr>
    </w:div>
    <w:div w:id="1454790018">
      <w:bodyDiv w:val="1"/>
      <w:marLeft w:val="0"/>
      <w:marRight w:val="0"/>
      <w:marTop w:val="0"/>
      <w:marBottom w:val="0"/>
      <w:divBdr>
        <w:top w:val="none" w:sz="0" w:space="0" w:color="auto"/>
        <w:left w:val="none" w:sz="0" w:space="0" w:color="auto"/>
        <w:bottom w:val="none" w:sz="0" w:space="0" w:color="auto"/>
        <w:right w:val="none" w:sz="0" w:space="0" w:color="auto"/>
      </w:divBdr>
      <w:divsChild>
        <w:div w:id="65305427">
          <w:marLeft w:val="0"/>
          <w:marRight w:val="0"/>
          <w:marTop w:val="0"/>
          <w:marBottom w:val="0"/>
          <w:divBdr>
            <w:top w:val="none" w:sz="0" w:space="0" w:color="auto"/>
            <w:left w:val="none" w:sz="0" w:space="0" w:color="auto"/>
            <w:bottom w:val="none" w:sz="0" w:space="0" w:color="auto"/>
            <w:right w:val="none" w:sz="0" w:space="0" w:color="auto"/>
          </w:divBdr>
        </w:div>
        <w:div w:id="127016027">
          <w:marLeft w:val="0"/>
          <w:marRight w:val="0"/>
          <w:marTop w:val="0"/>
          <w:marBottom w:val="0"/>
          <w:divBdr>
            <w:top w:val="none" w:sz="0" w:space="0" w:color="auto"/>
            <w:left w:val="none" w:sz="0" w:space="0" w:color="auto"/>
            <w:bottom w:val="none" w:sz="0" w:space="0" w:color="auto"/>
            <w:right w:val="none" w:sz="0" w:space="0" w:color="auto"/>
          </w:divBdr>
        </w:div>
        <w:div w:id="168448599">
          <w:marLeft w:val="0"/>
          <w:marRight w:val="0"/>
          <w:marTop w:val="0"/>
          <w:marBottom w:val="0"/>
          <w:divBdr>
            <w:top w:val="none" w:sz="0" w:space="0" w:color="auto"/>
            <w:left w:val="none" w:sz="0" w:space="0" w:color="auto"/>
            <w:bottom w:val="none" w:sz="0" w:space="0" w:color="auto"/>
            <w:right w:val="none" w:sz="0" w:space="0" w:color="auto"/>
          </w:divBdr>
        </w:div>
        <w:div w:id="169638030">
          <w:marLeft w:val="0"/>
          <w:marRight w:val="0"/>
          <w:marTop w:val="0"/>
          <w:marBottom w:val="0"/>
          <w:divBdr>
            <w:top w:val="none" w:sz="0" w:space="0" w:color="auto"/>
            <w:left w:val="none" w:sz="0" w:space="0" w:color="auto"/>
            <w:bottom w:val="none" w:sz="0" w:space="0" w:color="auto"/>
            <w:right w:val="none" w:sz="0" w:space="0" w:color="auto"/>
          </w:divBdr>
        </w:div>
        <w:div w:id="351222238">
          <w:marLeft w:val="0"/>
          <w:marRight w:val="0"/>
          <w:marTop w:val="0"/>
          <w:marBottom w:val="0"/>
          <w:divBdr>
            <w:top w:val="none" w:sz="0" w:space="0" w:color="auto"/>
            <w:left w:val="none" w:sz="0" w:space="0" w:color="auto"/>
            <w:bottom w:val="none" w:sz="0" w:space="0" w:color="auto"/>
            <w:right w:val="none" w:sz="0" w:space="0" w:color="auto"/>
          </w:divBdr>
        </w:div>
        <w:div w:id="430931800">
          <w:marLeft w:val="0"/>
          <w:marRight w:val="0"/>
          <w:marTop w:val="0"/>
          <w:marBottom w:val="0"/>
          <w:divBdr>
            <w:top w:val="none" w:sz="0" w:space="0" w:color="auto"/>
            <w:left w:val="none" w:sz="0" w:space="0" w:color="auto"/>
            <w:bottom w:val="none" w:sz="0" w:space="0" w:color="auto"/>
            <w:right w:val="none" w:sz="0" w:space="0" w:color="auto"/>
          </w:divBdr>
        </w:div>
        <w:div w:id="569923955">
          <w:marLeft w:val="0"/>
          <w:marRight w:val="0"/>
          <w:marTop w:val="0"/>
          <w:marBottom w:val="0"/>
          <w:divBdr>
            <w:top w:val="none" w:sz="0" w:space="0" w:color="auto"/>
            <w:left w:val="none" w:sz="0" w:space="0" w:color="auto"/>
            <w:bottom w:val="none" w:sz="0" w:space="0" w:color="auto"/>
            <w:right w:val="none" w:sz="0" w:space="0" w:color="auto"/>
          </w:divBdr>
        </w:div>
        <w:div w:id="709037330">
          <w:marLeft w:val="0"/>
          <w:marRight w:val="0"/>
          <w:marTop w:val="0"/>
          <w:marBottom w:val="0"/>
          <w:divBdr>
            <w:top w:val="none" w:sz="0" w:space="0" w:color="auto"/>
            <w:left w:val="none" w:sz="0" w:space="0" w:color="auto"/>
            <w:bottom w:val="none" w:sz="0" w:space="0" w:color="auto"/>
            <w:right w:val="none" w:sz="0" w:space="0" w:color="auto"/>
          </w:divBdr>
        </w:div>
        <w:div w:id="724909820">
          <w:marLeft w:val="0"/>
          <w:marRight w:val="0"/>
          <w:marTop w:val="0"/>
          <w:marBottom w:val="0"/>
          <w:divBdr>
            <w:top w:val="none" w:sz="0" w:space="0" w:color="auto"/>
            <w:left w:val="none" w:sz="0" w:space="0" w:color="auto"/>
            <w:bottom w:val="none" w:sz="0" w:space="0" w:color="auto"/>
            <w:right w:val="none" w:sz="0" w:space="0" w:color="auto"/>
          </w:divBdr>
        </w:div>
        <w:div w:id="742602565">
          <w:marLeft w:val="0"/>
          <w:marRight w:val="0"/>
          <w:marTop w:val="0"/>
          <w:marBottom w:val="0"/>
          <w:divBdr>
            <w:top w:val="none" w:sz="0" w:space="0" w:color="auto"/>
            <w:left w:val="none" w:sz="0" w:space="0" w:color="auto"/>
            <w:bottom w:val="none" w:sz="0" w:space="0" w:color="auto"/>
            <w:right w:val="none" w:sz="0" w:space="0" w:color="auto"/>
          </w:divBdr>
        </w:div>
        <w:div w:id="747073873">
          <w:marLeft w:val="0"/>
          <w:marRight w:val="0"/>
          <w:marTop w:val="0"/>
          <w:marBottom w:val="0"/>
          <w:divBdr>
            <w:top w:val="none" w:sz="0" w:space="0" w:color="auto"/>
            <w:left w:val="none" w:sz="0" w:space="0" w:color="auto"/>
            <w:bottom w:val="none" w:sz="0" w:space="0" w:color="auto"/>
            <w:right w:val="none" w:sz="0" w:space="0" w:color="auto"/>
          </w:divBdr>
        </w:div>
        <w:div w:id="757599589">
          <w:marLeft w:val="0"/>
          <w:marRight w:val="0"/>
          <w:marTop w:val="0"/>
          <w:marBottom w:val="0"/>
          <w:divBdr>
            <w:top w:val="none" w:sz="0" w:space="0" w:color="auto"/>
            <w:left w:val="none" w:sz="0" w:space="0" w:color="auto"/>
            <w:bottom w:val="none" w:sz="0" w:space="0" w:color="auto"/>
            <w:right w:val="none" w:sz="0" w:space="0" w:color="auto"/>
          </w:divBdr>
        </w:div>
        <w:div w:id="794057447">
          <w:marLeft w:val="0"/>
          <w:marRight w:val="0"/>
          <w:marTop w:val="0"/>
          <w:marBottom w:val="0"/>
          <w:divBdr>
            <w:top w:val="none" w:sz="0" w:space="0" w:color="auto"/>
            <w:left w:val="none" w:sz="0" w:space="0" w:color="auto"/>
            <w:bottom w:val="none" w:sz="0" w:space="0" w:color="auto"/>
            <w:right w:val="none" w:sz="0" w:space="0" w:color="auto"/>
          </w:divBdr>
        </w:div>
        <w:div w:id="826819367">
          <w:marLeft w:val="0"/>
          <w:marRight w:val="0"/>
          <w:marTop w:val="0"/>
          <w:marBottom w:val="0"/>
          <w:divBdr>
            <w:top w:val="none" w:sz="0" w:space="0" w:color="auto"/>
            <w:left w:val="none" w:sz="0" w:space="0" w:color="auto"/>
            <w:bottom w:val="none" w:sz="0" w:space="0" w:color="auto"/>
            <w:right w:val="none" w:sz="0" w:space="0" w:color="auto"/>
          </w:divBdr>
        </w:div>
        <w:div w:id="843276553">
          <w:marLeft w:val="0"/>
          <w:marRight w:val="0"/>
          <w:marTop w:val="0"/>
          <w:marBottom w:val="0"/>
          <w:divBdr>
            <w:top w:val="none" w:sz="0" w:space="0" w:color="auto"/>
            <w:left w:val="none" w:sz="0" w:space="0" w:color="auto"/>
            <w:bottom w:val="none" w:sz="0" w:space="0" w:color="auto"/>
            <w:right w:val="none" w:sz="0" w:space="0" w:color="auto"/>
          </w:divBdr>
        </w:div>
        <w:div w:id="859120403">
          <w:marLeft w:val="0"/>
          <w:marRight w:val="0"/>
          <w:marTop w:val="0"/>
          <w:marBottom w:val="0"/>
          <w:divBdr>
            <w:top w:val="none" w:sz="0" w:space="0" w:color="auto"/>
            <w:left w:val="none" w:sz="0" w:space="0" w:color="auto"/>
            <w:bottom w:val="none" w:sz="0" w:space="0" w:color="auto"/>
            <w:right w:val="none" w:sz="0" w:space="0" w:color="auto"/>
          </w:divBdr>
        </w:div>
        <w:div w:id="967317781">
          <w:marLeft w:val="0"/>
          <w:marRight w:val="0"/>
          <w:marTop w:val="0"/>
          <w:marBottom w:val="0"/>
          <w:divBdr>
            <w:top w:val="none" w:sz="0" w:space="0" w:color="auto"/>
            <w:left w:val="none" w:sz="0" w:space="0" w:color="auto"/>
            <w:bottom w:val="none" w:sz="0" w:space="0" w:color="auto"/>
            <w:right w:val="none" w:sz="0" w:space="0" w:color="auto"/>
          </w:divBdr>
        </w:div>
        <w:div w:id="1088192012">
          <w:marLeft w:val="0"/>
          <w:marRight w:val="0"/>
          <w:marTop w:val="0"/>
          <w:marBottom w:val="0"/>
          <w:divBdr>
            <w:top w:val="none" w:sz="0" w:space="0" w:color="auto"/>
            <w:left w:val="none" w:sz="0" w:space="0" w:color="auto"/>
            <w:bottom w:val="none" w:sz="0" w:space="0" w:color="auto"/>
            <w:right w:val="none" w:sz="0" w:space="0" w:color="auto"/>
          </w:divBdr>
        </w:div>
        <w:div w:id="1122070969">
          <w:marLeft w:val="0"/>
          <w:marRight w:val="0"/>
          <w:marTop w:val="0"/>
          <w:marBottom w:val="0"/>
          <w:divBdr>
            <w:top w:val="none" w:sz="0" w:space="0" w:color="auto"/>
            <w:left w:val="none" w:sz="0" w:space="0" w:color="auto"/>
            <w:bottom w:val="none" w:sz="0" w:space="0" w:color="auto"/>
            <w:right w:val="none" w:sz="0" w:space="0" w:color="auto"/>
          </w:divBdr>
        </w:div>
        <w:div w:id="1125807443">
          <w:marLeft w:val="0"/>
          <w:marRight w:val="0"/>
          <w:marTop w:val="0"/>
          <w:marBottom w:val="0"/>
          <w:divBdr>
            <w:top w:val="none" w:sz="0" w:space="0" w:color="auto"/>
            <w:left w:val="none" w:sz="0" w:space="0" w:color="auto"/>
            <w:bottom w:val="none" w:sz="0" w:space="0" w:color="auto"/>
            <w:right w:val="none" w:sz="0" w:space="0" w:color="auto"/>
          </w:divBdr>
        </w:div>
        <w:div w:id="1141389717">
          <w:marLeft w:val="0"/>
          <w:marRight w:val="0"/>
          <w:marTop w:val="0"/>
          <w:marBottom w:val="0"/>
          <w:divBdr>
            <w:top w:val="none" w:sz="0" w:space="0" w:color="auto"/>
            <w:left w:val="none" w:sz="0" w:space="0" w:color="auto"/>
            <w:bottom w:val="none" w:sz="0" w:space="0" w:color="auto"/>
            <w:right w:val="none" w:sz="0" w:space="0" w:color="auto"/>
          </w:divBdr>
        </w:div>
        <w:div w:id="1143083088">
          <w:marLeft w:val="0"/>
          <w:marRight w:val="0"/>
          <w:marTop w:val="0"/>
          <w:marBottom w:val="0"/>
          <w:divBdr>
            <w:top w:val="none" w:sz="0" w:space="0" w:color="auto"/>
            <w:left w:val="none" w:sz="0" w:space="0" w:color="auto"/>
            <w:bottom w:val="none" w:sz="0" w:space="0" w:color="auto"/>
            <w:right w:val="none" w:sz="0" w:space="0" w:color="auto"/>
          </w:divBdr>
        </w:div>
        <w:div w:id="1194853409">
          <w:marLeft w:val="0"/>
          <w:marRight w:val="0"/>
          <w:marTop w:val="0"/>
          <w:marBottom w:val="0"/>
          <w:divBdr>
            <w:top w:val="none" w:sz="0" w:space="0" w:color="auto"/>
            <w:left w:val="none" w:sz="0" w:space="0" w:color="auto"/>
            <w:bottom w:val="none" w:sz="0" w:space="0" w:color="auto"/>
            <w:right w:val="none" w:sz="0" w:space="0" w:color="auto"/>
          </w:divBdr>
        </w:div>
        <w:div w:id="1208294843">
          <w:marLeft w:val="0"/>
          <w:marRight w:val="0"/>
          <w:marTop w:val="0"/>
          <w:marBottom w:val="0"/>
          <w:divBdr>
            <w:top w:val="none" w:sz="0" w:space="0" w:color="auto"/>
            <w:left w:val="none" w:sz="0" w:space="0" w:color="auto"/>
            <w:bottom w:val="none" w:sz="0" w:space="0" w:color="auto"/>
            <w:right w:val="none" w:sz="0" w:space="0" w:color="auto"/>
          </w:divBdr>
          <w:divsChild>
            <w:div w:id="1181817609">
              <w:marLeft w:val="0"/>
              <w:marRight w:val="0"/>
              <w:marTop w:val="0"/>
              <w:marBottom w:val="0"/>
              <w:divBdr>
                <w:top w:val="none" w:sz="0" w:space="0" w:color="auto"/>
                <w:left w:val="none" w:sz="0" w:space="0" w:color="auto"/>
                <w:bottom w:val="none" w:sz="0" w:space="0" w:color="auto"/>
                <w:right w:val="none" w:sz="0" w:space="0" w:color="auto"/>
              </w:divBdr>
              <w:divsChild>
                <w:div w:id="172113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641282">
          <w:marLeft w:val="0"/>
          <w:marRight w:val="0"/>
          <w:marTop w:val="0"/>
          <w:marBottom w:val="0"/>
          <w:divBdr>
            <w:top w:val="none" w:sz="0" w:space="0" w:color="auto"/>
            <w:left w:val="none" w:sz="0" w:space="0" w:color="auto"/>
            <w:bottom w:val="none" w:sz="0" w:space="0" w:color="auto"/>
            <w:right w:val="none" w:sz="0" w:space="0" w:color="auto"/>
          </w:divBdr>
        </w:div>
        <w:div w:id="1372802248">
          <w:marLeft w:val="0"/>
          <w:marRight w:val="0"/>
          <w:marTop w:val="0"/>
          <w:marBottom w:val="0"/>
          <w:divBdr>
            <w:top w:val="none" w:sz="0" w:space="0" w:color="auto"/>
            <w:left w:val="none" w:sz="0" w:space="0" w:color="auto"/>
            <w:bottom w:val="none" w:sz="0" w:space="0" w:color="auto"/>
            <w:right w:val="none" w:sz="0" w:space="0" w:color="auto"/>
          </w:divBdr>
        </w:div>
        <w:div w:id="1454596453">
          <w:marLeft w:val="0"/>
          <w:marRight w:val="0"/>
          <w:marTop w:val="0"/>
          <w:marBottom w:val="0"/>
          <w:divBdr>
            <w:top w:val="none" w:sz="0" w:space="0" w:color="auto"/>
            <w:left w:val="none" w:sz="0" w:space="0" w:color="auto"/>
            <w:bottom w:val="none" w:sz="0" w:space="0" w:color="auto"/>
            <w:right w:val="none" w:sz="0" w:space="0" w:color="auto"/>
          </w:divBdr>
        </w:div>
        <w:div w:id="1513377924">
          <w:marLeft w:val="0"/>
          <w:marRight w:val="0"/>
          <w:marTop w:val="0"/>
          <w:marBottom w:val="0"/>
          <w:divBdr>
            <w:top w:val="none" w:sz="0" w:space="0" w:color="auto"/>
            <w:left w:val="none" w:sz="0" w:space="0" w:color="auto"/>
            <w:bottom w:val="none" w:sz="0" w:space="0" w:color="auto"/>
            <w:right w:val="none" w:sz="0" w:space="0" w:color="auto"/>
          </w:divBdr>
        </w:div>
        <w:div w:id="1568492063">
          <w:marLeft w:val="0"/>
          <w:marRight w:val="0"/>
          <w:marTop w:val="0"/>
          <w:marBottom w:val="0"/>
          <w:divBdr>
            <w:top w:val="none" w:sz="0" w:space="0" w:color="auto"/>
            <w:left w:val="none" w:sz="0" w:space="0" w:color="auto"/>
            <w:bottom w:val="none" w:sz="0" w:space="0" w:color="auto"/>
            <w:right w:val="none" w:sz="0" w:space="0" w:color="auto"/>
          </w:divBdr>
        </w:div>
        <w:div w:id="1571646977">
          <w:marLeft w:val="0"/>
          <w:marRight w:val="0"/>
          <w:marTop w:val="0"/>
          <w:marBottom w:val="0"/>
          <w:divBdr>
            <w:top w:val="none" w:sz="0" w:space="0" w:color="auto"/>
            <w:left w:val="none" w:sz="0" w:space="0" w:color="auto"/>
            <w:bottom w:val="none" w:sz="0" w:space="0" w:color="auto"/>
            <w:right w:val="none" w:sz="0" w:space="0" w:color="auto"/>
          </w:divBdr>
        </w:div>
        <w:div w:id="1753812993">
          <w:marLeft w:val="0"/>
          <w:marRight w:val="0"/>
          <w:marTop w:val="0"/>
          <w:marBottom w:val="0"/>
          <w:divBdr>
            <w:top w:val="none" w:sz="0" w:space="0" w:color="auto"/>
            <w:left w:val="none" w:sz="0" w:space="0" w:color="auto"/>
            <w:bottom w:val="none" w:sz="0" w:space="0" w:color="auto"/>
            <w:right w:val="none" w:sz="0" w:space="0" w:color="auto"/>
          </w:divBdr>
        </w:div>
        <w:div w:id="1774204992">
          <w:marLeft w:val="0"/>
          <w:marRight w:val="0"/>
          <w:marTop w:val="0"/>
          <w:marBottom w:val="0"/>
          <w:divBdr>
            <w:top w:val="none" w:sz="0" w:space="0" w:color="auto"/>
            <w:left w:val="none" w:sz="0" w:space="0" w:color="auto"/>
            <w:bottom w:val="none" w:sz="0" w:space="0" w:color="auto"/>
            <w:right w:val="none" w:sz="0" w:space="0" w:color="auto"/>
          </w:divBdr>
        </w:div>
        <w:div w:id="1791630558">
          <w:marLeft w:val="0"/>
          <w:marRight w:val="0"/>
          <w:marTop w:val="0"/>
          <w:marBottom w:val="0"/>
          <w:divBdr>
            <w:top w:val="none" w:sz="0" w:space="0" w:color="auto"/>
            <w:left w:val="none" w:sz="0" w:space="0" w:color="auto"/>
            <w:bottom w:val="none" w:sz="0" w:space="0" w:color="auto"/>
            <w:right w:val="none" w:sz="0" w:space="0" w:color="auto"/>
          </w:divBdr>
        </w:div>
        <w:div w:id="1842769011">
          <w:marLeft w:val="0"/>
          <w:marRight w:val="0"/>
          <w:marTop w:val="0"/>
          <w:marBottom w:val="0"/>
          <w:divBdr>
            <w:top w:val="none" w:sz="0" w:space="0" w:color="auto"/>
            <w:left w:val="none" w:sz="0" w:space="0" w:color="auto"/>
            <w:bottom w:val="none" w:sz="0" w:space="0" w:color="auto"/>
            <w:right w:val="none" w:sz="0" w:space="0" w:color="auto"/>
          </w:divBdr>
        </w:div>
        <w:div w:id="1866671405">
          <w:marLeft w:val="0"/>
          <w:marRight w:val="0"/>
          <w:marTop w:val="0"/>
          <w:marBottom w:val="0"/>
          <w:divBdr>
            <w:top w:val="none" w:sz="0" w:space="0" w:color="auto"/>
            <w:left w:val="none" w:sz="0" w:space="0" w:color="auto"/>
            <w:bottom w:val="none" w:sz="0" w:space="0" w:color="auto"/>
            <w:right w:val="none" w:sz="0" w:space="0" w:color="auto"/>
          </w:divBdr>
        </w:div>
        <w:div w:id="1896886347">
          <w:marLeft w:val="0"/>
          <w:marRight w:val="0"/>
          <w:marTop w:val="0"/>
          <w:marBottom w:val="0"/>
          <w:divBdr>
            <w:top w:val="none" w:sz="0" w:space="0" w:color="auto"/>
            <w:left w:val="none" w:sz="0" w:space="0" w:color="auto"/>
            <w:bottom w:val="none" w:sz="0" w:space="0" w:color="auto"/>
            <w:right w:val="none" w:sz="0" w:space="0" w:color="auto"/>
          </w:divBdr>
        </w:div>
        <w:div w:id="1922912449">
          <w:marLeft w:val="0"/>
          <w:marRight w:val="0"/>
          <w:marTop w:val="0"/>
          <w:marBottom w:val="0"/>
          <w:divBdr>
            <w:top w:val="none" w:sz="0" w:space="0" w:color="auto"/>
            <w:left w:val="none" w:sz="0" w:space="0" w:color="auto"/>
            <w:bottom w:val="none" w:sz="0" w:space="0" w:color="auto"/>
            <w:right w:val="none" w:sz="0" w:space="0" w:color="auto"/>
          </w:divBdr>
        </w:div>
        <w:div w:id="1922912700">
          <w:marLeft w:val="0"/>
          <w:marRight w:val="0"/>
          <w:marTop w:val="0"/>
          <w:marBottom w:val="0"/>
          <w:divBdr>
            <w:top w:val="none" w:sz="0" w:space="0" w:color="auto"/>
            <w:left w:val="none" w:sz="0" w:space="0" w:color="auto"/>
            <w:bottom w:val="none" w:sz="0" w:space="0" w:color="auto"/>
            <w:right w:val="none" w:sz="0" w:space="0" w:color="auto"/>
          </w:divBdr>
        </w:div>
        <w:div w:id="1953316609">
          <w:marLeft w:val="0"/>
          <w:marRight w:val="0"/>
          <w:marTop w:val="0"/>
          <w:marBottom w:val="0"/>
          <w:divBdr>
            <w:top w:val="none" w:sz="0" w:space="0" w:color="auto"/>
            <w:left w:val="none" w:sz="0" w:space="0" w:color="auto"/>
            <w:bottom w:val="none" w:sz="0" w:space="0" w:color="auto"/>
            <w:right w:val="none" w:sz="0" w:space="0" w:color="auto"/>
          </w:divBdr>
        </w:div>
        <w:div w:id="2008903077">
          <w:marLeft w:val="0"/>
          <w:marRight w:val="0"/>
          <w:marTop w:val="0"/>
          <w:marBottom w:val="0"/>
          <w:divBdr>
            <w:top w:val="none" w:sz="0" w:space="0" w:color="auto"/>
            <w:left w:val="none" w:sz="0" w:space="0" w:color="auto"/>
            <w:bottom w:val="none" w:sz="0" w:space="0" w:color="auto"/>
            <w:right w:val="none" w:sz="0" w:space="0" w:color="auto"/>
          </w:divBdr>
        </w:div>
        <w:div w:id="2055306797">
          <w:marLeft w:val="0"/>
          <w:marRight w:val="0"/>
          <w:marTop w:val="0"/>
          <w:marBottom w:val="0"/>
          <w:divBdr>
            <w:top w:val="none" w:sz="0" w:space="0" w:color="auto"/>
            <w:left w:val="none" w:sz="0" w:space="0" w:color="auto"/>
            <w:bottom w:val="none" w:sz="0" w:space="0" w:color="auto"/>
            <w:right w:val="none" w:sz="0" w:space="0" w:color="auto"/>
          </w:divBdr>
        </w:div>
        <w:div w:id="2057122551">
          <w:marLeft w:val="0"/>
          <w:marRight w:val="0"/>
          <w:marTop w:val="0"/>
          <w:marBottom w:val="0"/>
          <w:divBdr>
            <w:top w:val="none" w:sz="0" w:space="0" w:color="auto"/>
            <w:left w:val="none" w:sz="0" w:space="0" w:color="auto"/>
            <w:bottom w:val="none" w:sz="0" w:space="0" w:color="auto"/>
            <w:right w:val="none" w:sz="0" w:space="0" w:color="auto"/>
          </w:divBdr>
        </w:div>
      </w:divsChild>
    </w:div>
    <w:div w:id="1561598573">
      <w:bodyDiv w:val="1"/>
      <w:marLeft w:val="0"/>
      <w:marRight w:val="0"/>
      <w:marTop w:val="0"/>
      <w:marBottom w:val="0"/>
      <w:divBdr>
        <w:top w:val="none" w:sz="0" w:space="0" w:color="auto"/>
        <w:left w:val="none" w:sz="0" w:space="0" w:color="auto"/>
        <w:bottom w:val="none" w:sz="0" w:space="0" w:color="auto"/>
        <w:right w:val="none" w:sz="0" w:space="0" w:color="auto"/>
      </w:divBdr>
    </w:div>
    <w:div w:id="1585921310">
      <w:bodyDiv w:val="1"/>
      <w:marLeft w:val="0"/>
      <w:marRight w:val="0"/>
      <w:marTop w:val="0"/>
      <w:marBottom w:val="0"/>
      <w:divBdr>
        <w:top w:val="none" w:sz="0" w:space="0" w:color="auto"/>
        <w:left w:val="none" w:sz="0" w:space="0" w:color="auto"/>
        <w:bottom w:val="none" w:sz="0" w:space="0" w:color="auto"/>
        <w:right w:val="none" w:sz="0" w:space="0" w:color="auto"/>
      </w:divBdr>
    </w:div>
    <w:div w:id="1619144654">
      <w:bodyDiv w:val="1"/>
      <w:marLeft w:val="0"/>
      <w:marRight w:val="0"/>
      <w:marTop w:val="0"/>
      <w:marBottom w:val="0"/>
      <w:divBdr>
        <w:top w:val="none" w:sz="0" w:space="0" w:color="auto"/>
        <w:left w:val="none" w:sz="0" w:space="0" w:color="auto"/>
        <w:bottom w:val="none" w:sz="0" w:space="0" w:color="auto"/>
        <w:right w:val="none" w:sz="0" w:space="0" w:color="auto"/>
      </w:divBdr>
    </w:div>
    <w:div w:id="1658731192">
      <w:bodyDiv w:val="1"/>
      <w:marLeft w:val="0"/>
      <w:marRight w:val="0"/>
      <w:marTop w:val="0"/>
      <w:marBottom w:val="0"/>
      <w:divBdr>
        <w:top w:val="none" w:sz="0" w:space="0" w:color="auto"/>
        <w:left w:val="none" w:sz="0" w:space="0" w:color="auto"/>
        <w:bottom w:val="none" w:sz="0" w:space="0" w:color="auto"/>
        <w:right w:val="none" w:sz="0" w:space="0" w:color="auto"/>
      </w:divBdr>
    </w:div>
    <w:div w:id="1673606940">
      <w:bodyDiv w:val="1"/>
      <w:marLeft w:val="0"/>
      <w:marRight w:val="0"/>
      <w:marTop w:val="0"/>
      <w:marBottom w:val="0"/>
      <w:divBdr>
        <w:top w:val="none" w:sz="0" w:space="0" w:color="auto"/>
        <w:left w:val="none" w:sz="0" w:space="0" w:color="auto"/>
        <w:bottom w:val="none" w:sz="0" w:space="0" w:color="auto"/>
        <w:right w:val="none" w:sz="0" w:space="0" w:color="auto"/>
      </w:divBdr>
    </w:div>
    <w:div w:id="1727607402">
      <w:bodyDiv w:val="1"/>
      <w:marLeft w:val="0"/>
      <w:marRight w:val="0"/>
      <w:marTop w:val="0"/>
      <w:marBottom w:val="0"/>
      <w:divBdr>
        <w:top w:val="none" w:sz="0" w:space="0" w:color="auto"/>
        <w:left w:val="none" w:sz="0" w:space="0" w:color="auto"/>
        <w:bottom w:val="none" w:sz="0" w:space="0" w:color="auto"/>
        <w:right w:val="none" w:sz="0" w:space="0" w:color="auto"/>
      </w:divBdr>
      <w:divsChild>
        <w:div w:id="296493758">
          <w:marLeft w:val="0"/>
          <w:marRight w:val="0"/>
          <w:marTop w:val="0"/>
          <w:marBottom w:val="0"/>
          <w:divBdr>
            <w:top w:val="none" w:sz="0" w:space="0" w:color="auto"/>
            <w:left w:val="none" w:sz="0" w:space="0" w:color="auto"/>
            <w:bottom w:val="none" w:sz="0" w:space="0" w:color="auto"/>
            <w:right w:val="none" w:sz="0" w:space="0" w:color="auto"/>
          </w:divBdr>
          <w:divsChild>
            <w:div w:id="1251542670">
              <w:marLeft w:val="0"/>
              <w:marRight w:val="0"/>
              <w:marTop w:val="0"/>
              <w:marBottom w:val="0"/>
              <w:divBdr>
                <w:top w:val="none" w:sz="0" w:space="0" w:color="auto"/>
                <w:left w:val="none" w:sz="0" w:space="0" w:color="auto"/>
                <w:bottom w:val="none" w:sz="0" w:space="0" w:color="auto"/>
                <w:right w:val="none" w:sz="0" w:space="0" w:color="auto"/>
              </w:divBdr>
              <w:divsChild>
                <w:div w:id="1423986262">
                  <w:marLeft w:val="0"/>
                  <w:marRight w:val="0"/>
                  <w:marTop w:val="0"/>
                  <w:marBottom w:val="0"/>
                  <w:divBdr>
                    <w:top w:val="none" w:sz="0" w:space="0" w:color="auto"/>
                    <w:left w:val="none" w:sz="0" w:space="0" w:color="auto"/>
                    <w:bottom w:val="none" w:sz="0" w:space="0" w:color="auto"/>
                    <w:right w:val="none" w:sz="0" w:space="0" w:color="auto"/>
                  </w:divBdr>
                  <w:divsChild>
                    <w:div w:id="1868713408">
                      <w:marLeft w:val="0"/>
                      <w:marRight w:val="0"/>
                      <w:marTop w:val="0"/>
                      <w:marBottom w:val="0"/>
                      <w:divBdr>
                        <w:top w:val="none" w:sz="0" w:space="0" w:color="auto"/>
                        <w:left w:val="none" w:sz="0" w:space="0" w:color="auto"/>
                        <w:bottom w:val="none" w:sz="0" w:space="0" w:color="auto"/>
                        <w:right w:val="none" w:sz="0" w:space="0" w:color="auto"/>
                      </w:divBdr>
                      <w:divsChild>
                        <w:div w:id="908418618">
                          <w:marLeft w:val="0"/>
                          <w:marRight w:val="0"/>
                          <w:marTop w:val="0"/>
                          <w:marBottom w:val="0"/>
                          <w:divBdr>
                            <w:top w:val="none" w:sz="0" w:space="0" w:color="auto"/>
                            <w:left w:val="none" w:sz="0" w:space="0" w:color="auto"/>
                            <w:bottom w:val="none" w:sz="0" w:space="0" w:color="auto"/>
                            <w:right w:val="none" w:sz="0" w:space="0" w:color="auto"/>
                          </w:divBdr>
                          <w:divsChild>
                            <w:div w:id="1376193538">
                              <w:marLeft w:val="0"/>
                              <w:marRight w:val="0"/>
                              <w:marTop w:val="0"/>
                              <w:marBottom w:val="0"/>
                              <w:divBdr>
                                <w:top w:val="none" w:sz="0" w:space="0" w:color="auto"/>
                                <w:left w:val="none" w:sz="0" w:space="0" w:color="auto"/>
                                <w:bottom w:val="none" w:sz="0" w:space="0" w:color="auto"/>
                                <w:right w:val="none" w:sz="0" w:space="0" w:color="auto"/>
                              </w:divBdr>
                              <w:divsChild>
                                <w:div w:id="186320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607597">
                          <w:marLeft w:val="0"/>
                          <w:marRight w:val="0"/>
                          <w:marTop w:val="0"/>
                          <w:marBottom w:val="0"/>
                          <w:divBdr>
                            <w:top w:val="none" w:sz="0" w:space="0" w:color="auto"/>
                            <w:left w:val="none" w:sz="0" w:space="0" w:color="auto"/>
                            <w:bottom w:val="none" w:sz="0" w:space="0" w:color="auto"/>
                            <w:right w:val="none" w:sz="0" w:space="0" w:color="auto"/>
                          </w:divBdr>
                          <w:divsChild>
                            <w:div w:id="1722745329">
                              <w:marLeft w:val="0"/>
                              <w:marRight w:val="0"/>
                              <w:marTop w:val="0"/>
                              <w:marBottom w:val="0"/>
                              <w:divBdr>
                                <w:top w:val="none" w:sz="0" w:space="0" w:color="auto"/>
                                <w:left w:val="none" w:sz="0" w:space="0" w:color="auto"/>
                                <w:bottom w:val="none" w:sz="0" w:space="0" w:color="auto"/>
                                <w:right w:val="none" w:sz="0" w:space="0" w:color="auto"/>
                              </w:divBdr>
                              <w:divsChild>
                                <w:div w:id="53635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3411104">
      <w:bodyDiv w:val="1"/>
      <w:marLeft w:val="0"/>
      <w:marRight w:val="0"/>
      <w:marTop w:val="0"/>
      <w:marBottom w:val="0"/>
      <w:divBdr>
        <w:top w:val="none" w:sz="0" w:space="0" w:color="auto"/>
        <w:left w:val="none" w:sz="0" w:space="0" w:color="auto"/>
        <w:bottom w:val="none" w:sz="0" w:space="0" w:color="auto"/>
        <w:right w:val="none" w:sz="0" w:space="0" w:color="auto"/>
      </w:divBdr>
    </w:div>
    <w:div w:id="1748304047">
      <w:bodyDiv w:val="1"/>
      <w:marLeft w:val="0"/>
      <w:marRight w:val="0"/>
      <w:marTop w:val="0"/>
      <w:marBottom w:val="0"/>
      <w:divBdr>
        <w:top w:val="none" w:sz="0" w:space="0" w:color="auto"/>
        <w:left w:val="none" w:sz="0" w:space="0" w:color="auto"/>
        <w:bottom w:val="none" w:sz="0" w:space="0" w:color="auto"/>
        <w:right w:val="none" w:sz="0" w:space="0" w:color="auto"/>
      </w:divBdr>
    </w:div>
    <w:div w:id="1809280514">
      <w:bodyDiv w:val="1"/>
      <w:marLeft w:val="0"/>
      <w:marRight w:val="0"/>
      <w:marTop w:val="0"/>
      <w:marBottom w:val="0"/>
      <w:divBdr>
        <w:top w:val="none" w:sz="0" w:space="0" w:color="auto"/>
        <w:left w:val="none" w:sz="0" w:space="0" w:color="auto"/>
        <w:bottom w:val="none" w:sz="0" w:space="0" w:color="auto"/>
        <w:right w:val="none" w:sz="0" w:space="0" w:color="auto"/>
      </w:divBdr>
    </w:div>
    <w:div w:id="1811753593">
      <w:bodyDiv w:val="1"/>
      <w:marLeft w:val="0"/>
      <w:marRight w:val="0"/>
      <w:marTop w:val="0"/>
      <w:marBottom w:val="0"/>
      <w:divBdr>
        <w:top w:val="none" w:sz="0" w:space="0" w:color="auto"/>
        <w:left w:val="none" w:sz="0" w:space="0" w:color="auto"/>
        <w:bottom w:val="none" w:sz="0" w:space="0" w:color="auto"/>
        <w:right w:val="none" w:sz="0" w:space="0" w:color="auto"/>
      </w:divBdr>
      <w:divsChild>
        <w:div w:id="1227497283">
          <w:marLeft w:val="547"/>
          <w:marRight w:val="0"/>
          <w:marTop w:val="106"/>
          <w:marBottom w:val="120"/>
          <w:divBdr>
            <w:top w:val="none" w:sz="0" w:space="0" w:color="auto"/>
            <w:left w:val="none" w:sz="0" w:space="0" w:color="auto"/>
            <w:bottom w:val="none" w:sz="0" w:space="0" w:color="auto"/>
            <w:right w:val="none" w:sz="0" w:space="0" w:color="auto"/>
          </w:divBdr>
        </w:div>
      </w:divsChild>
    </w:div>
    <w:div w:id="1929387464">
      <w:bodyDiv w:val="1"/>
      <w:marLeft w:val="0"/>
      <w:marRight w:val="0"/>
      <w:marTop w:val="0"/>
      <w:marBottom w:val="0"/>
      <w:divBdr>
        <w:top w:val="none" w:sz="0" w:space="0" w:color="auto"/>
        <w:left w:val="none" w:sz="0" w:space="0" w:color="auto"/>
        <w:bottom w:val="none" w:sz="0" w:space="0" w:color="auto"/>
        <w:right w:val="none" w:sz="0" w:space="0" w:color="auto"/>
      </w:divBdr>
    </w:div>
    <w:div w:id="1936286981">
      <w:bodyDiv w:val="1"/>
      <w:marLeft w:val="0"/>
      <w:marRight w:val="0"/>
      <w:marTop w:val="0"/>
      <w:marBottom w:val="0"/>
      <w:divBdr>
        <w:top w:val="none" w:sz="0" w:space="0" w:color="auto"/>
        <w:left w:val="none" w:sz="0" w:space="0" w:color="auto"/>
        <w:bottom w:val="none" w:sz="0" w:space="0" w:color="auto"/>
        <w:right w:val="none" w:sz="0" w:space="0" w:color="auto"/>
      </w:divBdr>
    </w:div>
    <w:div w:id="1961643253">
      <w:bodyDiv w:val="1"/>
      <w:marLeft w:val="0"/>
      <w:marRight w:val="0"/>
      <w:marTop w:val="0"/>
      <w:marBottom w:val="0"/>
      <w:divBdr>
        <w:top w:val="none" w:sz="0" w:space="0" w:color="auto"/>
        <w:left w:val="none" w:sz="0" w:space="0" w:color="auto"/>
        <w:bottom w:val="none" w:sz="0" w:space="0" w:color="auto"/>
        <w:right w:val="none" w:sz="0" w:space="0" w:color="auto"/>
      </w:divBdr>
    </w:div>
    <w:div w:id="2026511883">
      <w:bodyDiv w:val="1"/>
      <w:marLeft w:val="0"/>
      <w:marRight w:val="0"/>
      <w:marTop w:val="0"/>
      <w:marBottom w:val="0"/>
      <w:divBdr>
        <w:top w:val="none" w:sz="0" w:space="0" w:color="auto"/>
        <w:left w:val="none" w:sz="0" w:space="0" w:color="auto"/>
        <w:bottom w:val="none" w:sz="0" w:space="0" w:color="auto"/>
        <w:right w:val="none" w:sz="0" w:space="0" w:color="auto"/>
      </w:divBdr>
    </w:div>
    <w:div w:id="2108427319">
      <w:bodyDiv w:val="1"/>
      <w:marLeft w:val="0"/>
      <w:marRight w:val="0"/>
      <w:marTop w:val="0"/>
      <w:marBottom w:val="0"/>
      <w:divBdr>
        <w:top w:val="none" w:sz="0" w:space="0" w:color="auto"/>
        <w:left w:val="none" w:sz="0" w:space="0" w:color="auto"/>
        <w:bottom w:val="none" w:sz="0" w:space="0" w:color="auto"/>
        <w:right w:val="none" w:sz="0" w:space="0" w:color="auto"/>
      </w:divBdr>
    </w:div>
    <w:div w:id="2136830023">
      <w:bodyDiv w:val="1"/>
      <w:marLeft w:val="0"/>
      <w:marRight w:val="0"/>
      <w:marTop w:val="0"/>
      <w:marBottom w:val="0"/>
      <w:divBdr>
        <w:top w:val="none" w:sz="0" w:space="0" w:color="auto"/>
        <w:left w:val="none" w:sz="0" w:space="0" w:color="auto"/>
        <w:bottom w:val="none" w:sz="0" w:space="0" w:color="auto"/>
        <w:right w:val="none" w:sz="0" w:space="0" w:color="auto"/>
      </w:divBdr>
      <w:divsChild>
        <w:div w:id="890196097">
          <w:marLeft w:val="0"/>
          <w:marRight w:val="0"/>
          <w:marTop w:val="0"/>
          <w:marBottom w:val="0"/>
          <w:divBdr>
            <w:top w:val="none" w:sz="0" w:space="0" w:color="auto"/>
            <w:left w:val="none" w:sz="0" w:space="0" w:color="auto"/>
            <w:bottom w:val="none" w:sz="0" w:space="0" w:color="auto"/>
            <w:right w:val="none" w:sz="0" w:space="0" w:color="auto"/>
          </w:divBdr>
        </w:div>
      </w:divsChild>
    </w:div>
    <w:div w:id="214388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footer" Target="footer8.xml"/><Relationship Id="rId39" Type="http://schemas.openxmlformats.org/officeDocument/2006/relationships/header" Target="header13.xml"/><Relationship Id="rId3" Type="http://schemas.openxmlformats.org/officeDocument/2006/relationships/styles" Target="styles.xml"/><Relationship Id="rId21" Type="http://schemas.openxmlformats.org/officeDocument/2006/relationships/header" Target="header6.xml"/><Relationship Id="rId34" Type="http://schemas.openxmlformats.org/officeDocument/2006/relationships/footer" Target="footer12.xml"/><Relationship Id="rId42" Type="http://schemas.openxmlformats.org/officeDocument/2006/relationships/header" Target="header14.xml"/><Relationship Id="rId47" Type="http://schemas.openxmlformats.org/officeDocument/2006/relationships/footer" Target="footer15.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8.xml"/><Relationship Id="rId33" Type="http://schemas.openxmlformats.org/officeDocument/2006/relationships/header" Target="header12.xml"/><Relationship Id="rId38" Type="http://schemas.openxmlformats.org/officeDocument/2006/relationships/hyperlink" Target="http://edoc1.bibliothek.uni-halle.de/servlets/MCRFileNodeServlet/HALCoRe_derivate_00002753/The%20End%20is%20Near.pdf" TargetMode="External"/><Relationship Id="rId46" Type="http://schemas.openxmlformats.org/officeDocument/2006/relationships/header" Target="header16.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footer" Target="footer5.xml"/><Relationship Id="rId29" Type="http://schemas.openxmlformats.org/officeDocument/2006/relationships/header" Target="header10.xml"/><Relationship Id="rId41" Type="http://schemas.openxmlformats.org/officeDocument/2006/relationships/hyperlink" Target="https://www.youtube.com/watch?v=_cLBv4Vd8LQ"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oter" Target="footer7.xml"/><Relationship Id="rId32" Type="http://schemas.openxmlformats.org/officeDocument/2006/relationships/footer" Target="footer11.xml"/><Relationship Id="rId37" Type="http://schemas.openxmlformats.org/officeDocument/2006/relationships/hyperlink" Target="http://www.paep.ca/en/CIYL/2004/doc/nasr_science_in_islam.pdf" TargetMode="External"/><Relationship Id="rId40" Type="http://schemas.openxmlformats.org/officeDocument/2006/relationships/image" Target="media/image3.jpeg"/><Relationship Id="rId45" Type="http://schemas.openxmlformats.org/officeDocument/2006/relationships/footer" Target="footer14.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header" Target="header7.xml"/><Relationship Id="rId28" Type="http://schemas.openxmlformats.org/officeDocument/2006/relationships/footer" Target="footer9.xml"/><Relationship Id="rId36" Type="http://schemas.openxmlformats.org/officeDocument/2006/relationships/hyperlink" Target="http://remmm.revues.org/247" TargetMode="External"/><Relationship Id="rId49"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eader" Target="header5.xml"/><Relationship Id="rId31" Type="http://schemas.openxmlformats.org/officeDocument/2006/relationships/header" Target="header11.xml"/><Relationship Id="rId44" Type="http://schemas.openxmlformats.org/officeDocument/2006/relationships/footer" Target="footer13.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footer" Target="footer6.xml"/><Relationship Id="rId27" Type="http://schemas.openxmlformats.org/officeDocument/2006/relationships/header" Target="header9.xml"/><Relationship Id="rId30" Type="http://schemas.openxmlformats.org/officeDocument/2006/relationships/footer" Target="footer10.xml"/><Relationship Id="rId35" Type="http://schemas.openxmlformats.org/officeDocument/2006/relationships/hyperlink" Target="https://english.alarabiya.net/articles/2012/09/26/240346.html" TargetMode="External"/><Relationship Id="rId43" Type="http://schemas.openxmlformats.org/officeDocument/2006/relationships/header" Target="header15.xml"/><Relationship Id="rId48" Type="http://schemas.openxmlformats.org/officeDocument/2006/relationships/fontTable" Target="fontTable.xml"/><Relationship Id="rId8" Type="http://schemas.openxmlformats.org/officeDocument/2006/relationships/endnotes" Target="endnotes.xml"/></Relationships>
</file>

<file path=word/_rels/footnotes.xml.rels><?xml version="1.0" encoding="UTF-8" standalone="yes"?>
<Relationships xmlns="http://schemas.openxmlformats.org/package/2006/relationships"><Relationship Id="rId3" Type="http://schemas.openxmlformats.org/officeDocument/2006/relationships/hyperlink" Target="http://www.pewforum.org/2012/08/09/the-worlds-muslims-unity-and-diversity-3-articles-of-faith/" TargetMode="External"/><Relationship Id="rId2" Type="http://schemas.openxmlformats.org/officeDocument/2006/relationships/hyperlink" Target="https://english.alarabiya.net/articles/2012/09/26/240346.html" TargetMode="External"/><Relationship Id="rId1" Type="http://schemas.openxmlformats.org/officeDocument/2006/relationships/hyperlink" Target="http://cnsnews.com/news/article/ahmadinejad-includes-shi-ite-end-times-beliefs-speech-un" TargetMode="External"/><Relationship Id="rId6" Type="http://schemas.openxmlformats.org/officeDocument/2006/relationships/hyperlink" Target="http://www.paep.ca/en/CIYL/2004/doc/nasr_science_in_islam.pdf" TargetMode="External"/><Relationship Id="rId5" Type="http://schemas.openxmlformats.org/officeDocument/2006/relationships/hyperlink" Target="http://edoc1.bibliothek.uni-halle.de/servlets/MCRFileNodeServlet/HALCoRe_derivate_00002753/The%20End%20is%20Near.pdf" TargetMode="External"/><Relationship Id="rId4" Type="http://schemas.openxmlformats.org/officeDocument/2006/relationships/hyperlink" Target="http://remmm.revues.org/247"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Waveform">
  <a:themeElements>
    <a:clrScheme name="Waveform">
      <a:dk1>
        <a:sysClr val="windowText" lastClr="000000"/>
      </a:dk1>
      <a:lt1>
        <a:sysClr val="window" lastClr="FFFFFF"/>
      </a:lt1>
      <a:dk2>
        <a:srgbClr val="073E87"/>
      </a:dk2>
      <a:lt2>
        <a:srgbClr val="C6E7FC"/>
      </a:lt2>
      <a:accent1>
        <a:srgbClr val="31B6FD"/>
      </a:accent1>
      <a:accent2>
        <a:srgbClr val="4584D3"/>
      </a:accent2>
      <a:accent3>
        <a:srgbClr val="5BD078"/>
      </a:accent3>
      <a:accent4>
        <a:srgbClr val="A5D028"/>
      </a:accent4>
      <a:accent5>
        <a:srgbClr val="F5C040"/>
      </a:accent5>
      <a:accent6>
        <a:srgbClr val="05E0DB"/>
      </a:accent6>
      <a:hlink>
        <a:srgbClr val="0080FF"/>
      </a:hlink>
      <a:folHlink>
        <a:srgbClr val="5EAEFF"/>
      </a:folHlink>
    </a:clrScheme>
    <a:fontScheme name="Waveform">
      <a:majorFont>
        <a:latin typeface="Candara"/>
        <a:ea typeface=""/>
        <a:cs typeface=""/>
        <a:font script="Jpan" typeface="HGP明朝E"/>
        <a:font script="Hang" typeface="HY그래픽M"/>
        <a:font script="Hans" typeface="华文新魏"/>
        <a:font script="Hant" typeface="標楷體"/>
        <a:font script="Arab" typeface="Arial"/>
        <a:font script="Hebr" typeface="Arial"/>
        <a:font script="Thai" typeface="Kodchiang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ndara"/>
        <a:ea typeface=""/>
        <a:cs typeface=""/>
        <a:font script="Jpan" typeface="HGP明朝E"/>
        <a:font script="Hang" typeface="HY그래픽M"/>
        <a:font script="Hans" typeface="华文楷体"/>
        <a:font script="Hant" typeface="標楷體"/>
        <a:font script="Arab" typeface="Arial"/>
        <a:font script="Hebr" typeface="Arial"/>
        <a:font script="Thai" typeface="Kodchiang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aveform">
      <a:fillStyleLst>
        <a:solidFill>
          <a:schemeClr val="phClr"/>
        </a:solidFill>
        <a:gradFill rotWithShape="1">
          <a:gsLst>
            <a:gs pos="0">
              <a:schemeClr val="phClr">
                <a:tint val="0"/>
              </a:schemeClr>
            </a:gs>
            <a:gs pos="44000">
              <a:schemeClr val="phClr">
                <a:tint val="60000"/>
                <a:satMod val="120000"/>
              </a:schemeClr>
            </a:gs>
            <a:gs pos="100000">
              <a:schemeClr val="phClr">
                <a:tint val="90000"/>
                <a:alpha val="100000"/>
                <a:lumMod val="90000"/>
              </a:schemeClr>
            </a:gs>
          </a:gsLst>
          <a:lin ang="5400000" scaled="0"/>
        </a:gradFill>
        <a:gradFill rotWithShape="1">
          <a:gsLst>
            <a:gs pos="0">
              <a:schemeClr val="phClr">
                <a:tint val="96000"/>
                <a:satMod val="120000"/>
                <a:lumMod val="120000"/>
              </a:schemeClr>
            </a:gs>
            <a:gs pos="100000">
              <a:schemeClr val="phClr">
                <a:shade val="89000"/>
                <a:lumMod val="90000"/>
              </a:schemeClr>
            </a:gs>
          </a:gsLst>
          <a:lin ang="5400000" scaled="0"/>
        </a:gradFill>
      </a:fillStyleLst>
      <a:lnStyleLst>
        <a:ln w="9525" cap="flat" cmpd="sng" algn="ctr">
          <a:solidFill>
            <a:schemeClr val="phClr"/>
          </a:solidFill>
          <a:prstDash val="solid"/>
        </a:ln>
        <a:ln w="15875" cap="flat" cmpd="sng" algn="ctr">
          <a:solidFill>
            <a:schemeClr val="phClr">
              <a:shade val="75000"/>
              <a:lumMod val="80000"/>
            </a:schemeClr>
          </a:solidFill>
          <a:prstDash val="solid"/>
        </a:ln>
        <a:ln w="25400" cap="flat" cmpd="sng" algn="ctr">
          <a:solidFill>
            <a:schemeClr val="phClr"/>
          </a:solidFill>
          <a:prstDash val="solid"/>
        </a:ln>
      </a:lnStyleLst>
      <a:effectStyleLst>
        <a:effectStyle>
          <a:effectLst/>
        </a:effectStyle>
        <a:effectStyle>
          <a:effectLst>
            <a:outerShdw blurRad="50800" dist="25400" dir="5400000" rotWithShape="0">
              <a:srgbClr val="000000">
                <a:alpha val="38000"/>
              </a:srgbClr>
            </a:outerShdw>
          </a:effectLst>
          <a:scene3d>
            <a:camera prst="orthographicFront">
              <a:rot lat="0" lon="0" rev="0"/>
            </a:camera>
            <a:lightRig rig="flat" dir="tl">
              <a:rot lat="0" lon="0" rev="6360000"/>
            </a:lightRig>
          </a:scene3d>
          <a:sp3d prstMaterial="flat">
            <a:bevelT w="12700" h="12700"/>
          </a:sp3d>
        </a:effectStyle>
        <a:effectStyle>
          <a:effectLst>
            <a:outerShdw blurRad="50800" dist="25400" dir="5400000" rotWithShape="0">
              <a:srgbClr val="000000">
                <a:alpha val="38000"/>
              </a:srgbClr>
            </a:outerShdw>
          </a:effectLst>
          <a:scene3d>
            <a:camera prst="orthographicFront">
              <a:rot lat="0" lon="0" rev="0"/>
            </a:camera>
            <a:lightRig rig="flat" dir="tl">
              <a:rot lat="0" lon="0" rev="6360000"/>
            </a:lightRig>
          </a:scene3d>
          <a:sp3d contourW="19050" prstMaterial="flat">
            <a:bevelT w="63500" h="63500"/>
            <a:contourClr>
              <a:schemeClr val="phClr">
                <a:shade val="25000"/>
                <a:satMod val="180000"/>
              </a:schemeClr>
            </a:contourClr>
          </a:sp3d>
        </a:effectStyle>
      </a:effectStyleLst>
      <a:bgFillStyleLst>
        <a:solidFill>
          <a:schemeClr val="phClr"/>
        </a:solidFill>
        <a:gradFill rotWithShape="1">
          <a:gsLst>
            <a:gs pos="40000">
              <a:schemeClr val="phClr">
                <a:tint val="94000"/>
                <a:shade val="94000"/>
                <a:alpha val="100000"/>
                <a:satMod val="114000"/>
                <a:lumMod val="114000"/>
              </a:schemeClr>
            </a:gs>
            <a:gs pos="74000">
              <a:schemeClr val="phClr">
                <a:tint val="94000"/>
                <a:shade val="94000"/>
                <a:satMod val="128000"/>
                <a:lumMod val="100000"/>
              </a:schemeClr>
            </a:gs>
            <a:gs pos="100000">
              <a:schemeClr val="phClr">
                <a:tint val="98000"/>
                <a:shade val="100000"/>
                <a:hueMod val="98000"/>
                <a:satMod val="100000"/>
                <a:lumMod val="74000"/>
              </a:schemeClr>
            </a:gs>
          </a:gsLst>
          <a:path path="circle">
            <a:fillToRect l="20000" t="-40000" r="20000" b="140000"/>
          </a:path>
        </a:gradFill>
        <a:blipFill rotWithShape="1">
          <a:blip xmlns:r="http://schemas.openxmlformats.org/officeDocument/2006/relationships" r:embed="rId1">
            <a:duotone>
              <a:schemeClr val="phClr">
                <a:tint val="96000"/>
                <a:satMod val="130000"/>
                <a:lumMod val="50000"/>
              </a:schemeClr>
              <a:schemeClr val="phClr">
                <a:tint val="96000"/>
                <a:satMod val="114000"/>
                <a:lumMod val="114000"/>
              </a:schemeClr>
            </a:duotone>
          </a:blip>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AC23EC-3493-426C-9D1F-FAD028F18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87</Pages>
  <Words>24610</Words>
  <Characters>140282</Characters>
  <Application>Microsoft Office Word</Application>
  <DocSecurity>0</DocSecurity>
  <Lines>1169</Lines>
  <Paragraphs>329</Paragraphs>
  <ScaleCrop>false</ScaleCrop>
  <HeadingPairs>
    <vt:vector size="2" baseType="variant">
      <vt:variant>
        <vt:lpstr>Title</vt:lpstr>
      </vt:variant>
      <vt:variant>
        <vt:i4>1</vt:i4>
      </vt:variant>
    </vt:vector>
  </HeadingPairs>
  <TitlesOfParts>
    <vt:vector size="1" baseType="lpstr">
      <vt:lpstr>Cosmic Chaos in Islamic Apocalyptic ‎Eschatology</vt:lpstr>
    </vt:vector>
  </TitlesOfParts>
  <Company/>
  <LinksUpToDate>false</LinksUpToDate>
  <CharactersWithSpaces>164563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Cosmic Chaos in Islamic Apocalyptic ‎Eschatology</dc:title>
  <dc:creator>Mai Lootah</dc:creator>
  <cp:lastModifiedBy>Toshiba</cp:lastModifiedBy>
  <cp:revision>8</cp:revision>
  <dcterms:created xsi:type="dcterms:W3CDTF">2017-03-18T11:27:00Z</dcterms:created>
  <dcterms:modified xsi:type="dcterms:W3CDTF">2017-03-18T11:37:00Z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804</vt:lpwstr>
  </property>
  <property fmtid="{D5CDD505-2E9C-101B-9397-08002B2CF9AE}" pid="3" name="WnCSubscriberId">
    <vt:lpwstr>6630</vt:lpwstr>
  </property>
  <property fmtid="{D5CDD505-2E9C-101B-9397-08002B2CF9AE}" pid="4" name="WnCOutputStyleId">
    <vt:lpwstr>315</vt:lpwstr>
  </property>
  <property fmtid="{D5CDD505-2E9C-101B-9397-08002B2CF9AE}" pid="5" name="RWProductId">
    <vt:lpwstr>WnC</vt:lpwstr>
  </property>
  <property fmtid="{D5CDD505-2E9C-101B-9397-08002B2CF9AE}" pid="6" name="WnC4Folder">
    <vt:lpwstr>Documents///Mai-Lootah_Chapter-1-Draft-5</vt:lpwstr>
  </property>
</Properties>
</file>