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40E400" w14:textId="77777777" w:rsidR="000847F7"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p>
    <w:p w14:paraId="3CA7BC7F" w14:textId="77777777" w:rsidR="000847F7"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p>
    <w:p w14:paraId="6BCB148F" w14:textId="77777777" w:rsidR="000847F7"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p>
    <w:p w14:paraId="0AC9C5D7" w14:textId="77777777" w:rsidR="000847F7"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p>
    <w:p w14:paraId="0D19A9FD" w14:textId="77777777" w:rsidR="000847F7"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p>
    <w:p w14:paraId="32BE2A96" w14:textId="79B76E91"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BA (Hons) Business Management</w:t>
      </w:r>
    </w:p>
    <w:p w14:paraId="44748D0A" w14:textId="04E08E84" w:rsidR="00082EE0"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 xml:space="preserve">LCBB5014 Data Handling &amp; Business Intelligence </w:t>
      </w:r>
    </w:p>
    <w:p w14:paraId="10AB0C2C"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Lecturer/Module Leader: Dr Xavier Matieni</w:t>
      </w:r>
    </w:p>
    <w:p w14:paraId="3E2A0F3B" w14:textId="77777777" w:rsidR="000847F7" w:rsidRPr="000847F7" w:rsidRDefault="00000000"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 xml:space="preserve">Component 1: Coursework: Individual Report </w:t>
      </w:r>
    </w:p>
    <w:p w14:paraId="58FEBCEB" w14:textId="21ED6EFB" w:rsidR="000847F7"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Student ID:</w:t>
      </w:r>
      <w:r w:rsidR="006F41EA">
        <w:rPr>
          <w:rFonts w:ascii="Times New Roman" w:eastAsia="Times New Roman" w:hAnsi="Times New Roman" w:cs="Times New Roman"/>
          <w:b/>
          <w:bCs/>
          <w:sz w:val="24"/>
          <w:szCs w:val="24"/>
        </w:rPr>
        <w:t xml:space="preserve"> 2428159</w:t>
      </w:r>
    </w:p>
    <w:p w14:paraId="0CFEBA1F" w14:textId="6C0A81C5" w:rsidR="00082EE0" w:rsidRPr="000847F7" w:rsidRDefault="000847F7"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Word Count: 2036</w:t>
      </w:r>
      <w:r w:rsidRPr="000847F7">
        <w:rPr>
          <w:sz w:val="24"/>
          <w:szCs w:val="24"/>
        </w:rPr>
        <w:br w:type="page"/>
      </w:r>
    </w:p>
    <w:sdt>
      <w:sdtPr>
        <w:rPr>
          <w:sz w:val="24"/>
          <w:szCs w:val="24"/>
        </w:rPr>
        <w:id w:val="1220349654"/>
        <w:docPartObj>
          <w:docPartGallery w:val="Table of Contents"/>
          <w:docPartUnique/>
        </w:docPartObj>
      </w:sdtPr>
      <w:sdtContent>
        <w:p w14:paraId="227A485C" w14:textId="2DBF6EF4" w:rsidR="000847F7" w:rsidRPr="000847F7" w:rsidRDefault="000847F7" w:rsidP="000847F7">
          <w:pPr>
            <w:pStyle w:val="TOC1"/>
            <w:tabs>
              <w:tab w:val="right" w:pos="9019"/>
            </w:tabs>
            <w:spacing w:before="100" w:beforeAutospacing="1" w:afterAutospacing="1" w:line="360" w:lineRule="auto"/>
            <w:jc w:val="center"/>
            <w:rPr>
              <w:rFonts w:ascii="Times New Roman" w:hAnsi="Times New Roman" w:cs="Times New Roman"/>
              <w:b/>
              <w:bCs/>
              <w:sz w:val="24"/>
              <w:szCs w:val="24"/>
            </w:rPr>
          </w:pPr>
          <w:r w:rsidRPr="000847F7">
            <w:rPr>
              <w:rFonts w:ascii="Times New Roman" w:hAnsi="Times New Roman" w:cs="Times New Roman"/>
              <w:b/>
              <w:bCs/>
              <w:sz w:val="24"/>
              <w:szCs w:val="24"/>
            </w:rPr>
            <w:t>Contents</w:t>
          </w:r>
        </w:p>
        <w:p w14:paraId="05457A99" w14:textId="591C01B4" w:rsidR="000847F7" w:rsidRPr="000847F7" w:rsidRDefault="00000000" w:rsidP="000847F7">
          <w:pPr>
            <w:pStyle w:val="TOC1"/>
            <w:tabs>
              <w:tab w:val="right" w:pos="9019"/>
            </w:tabs>
            <w:spacing w:before="100" w:beforeAutospacing="1" w:afterAutospacing="1" w:line="360" w:lineRule="auto"/>
            <w:rPr>
              <w:rFonts w:ascii="Times New Roman" w:hAnsi="Times New Roman" w:cs="Times New Roman"/>
              <w:noProof/>
              <w:sz w:val="24"/>
              <w:szCs w:val="24"/>
            </w:rPr>
          </w:pPr>
          <w:r w:rsidRPr="000847F7">
            <w:rPr>
              <w:sz w:val="24"/>
              <w:szCs w:val="24"/>
            </w:rPr>
            <w:fldChar w:fldCharType="begin"/>
          </w:r>
          <w:r w:rsidRPr="000847F7">
            <w:rPr>
              <w:sz w:val="24"/>
              <w:szCs w:val="24"/>
            </w:rPr>
            <w:instrText xml:space="preserve"> TOC \h \u \z \t "Heading 1,1,Heading 2,2,Heading 3,3,Heading 4,4,Heading 5,5,Heading 6,6,"</w:instrText>
          </w:r>
          <w:r w:rsidRPr="000847F7">
            <w:rPr>
              <w:sz w:val="24"/>
              <w:szCs w:val="24"/>
            </w:rPr>
            <w:fldChar w:fldCharType="separate"/>
          </w:r>
          <w:hyperlink w:anchor="_Toc225449188" w:history="1">
            <w:r w:rsidR="000847F7" w:rsidRPr="000847F7">
              <w:rPr>
                <w:rStyle w:val="Hyperlink"/>
                <w:rFonts w:ascii="Times New Roman" w:eastAsia="Times New Roman" w:hAnsi="Times New Roman" w:cs="Times New Roman"/>
                <w:noProof/>
                <w:sz w:val="24"/>
                <w:szCs w:val="24"/>
              </w:rPr>
              <w:t>1. Introduction</w:t>
            </w:r>
            <w:r w:rsidR="000847F7" w:rsidRPr="000847F7">
              <w:rPr>
                <w:rFonts w:ascii="Times New Roman" w:hAnsi="Times New Roman" w:cs="Times New Roman"/>
                <w:noProof/>
                <w:webHidden/>
                <w:sz w:val="24"/>
                <w:szCs w:val="24"/>
              </w:rPr>
              <w:tab/>
            </w:r>
            <w:r w:rsidR="000847F7" w:rsidRPr="000847F7">
              <w:rPr>
                <w:rFonts w:ascii="Times New Roman" w:hAnsi="Times New Roman" w:cs="Times New Roman"/>
                <w:noProof/>
                <w:webHidden/>
                <w:sz w:val="24"/>
                <w:szCs w:val="24"/>
              </w:rPr>
              <w:fldChar w:fldCharType="begin"/>
            </w:r>
            <w:r w:rsidR="000847F7" w:rsidRPr="000847F7">
              <w:rPr>
                <w:rFonts w:ascii="Times New Roman" w:hAnsi="Times New Roman" w:cs="Times New Roman"/>
                <w:noProof/>
                <w:webHidden/>
                <w:sz w:val="24"/>
                <w:szCs w:val="24"/>
              </w:rPr>
              <w:instrText xml:space="preserve"> PAGEREF _Toc225449188 \h </w:instrText>
            </w:r>
            <w:r w:rsidR="000847F7" w:rsidRPr="000847F7">
              <w:rPr>
                <w:rFonts w:ascii="Times New Roman" w:hAnsi="Times New Roman" w:cs="Times New Roman"/>
                <w:noProof/>
                <w:webHidden/>
                <w:sz w:val="24"/>
                <w:szCs w:val="24"/>
              </w:rPr>
            </w:r>
            <w:r w:rsidR="000847F7" w:rsidRPr="000847F7">
              <w:rPr>
                <w:rFonts w:ascii="Times New Roman" w:hAnsi="Times New Roman" w:cs="Times New Roman"/>
                <w:noProof/>
                <w:webHidden/>
                <w:sz w:val="24"/>
                <w:szCs w:val="24"/>
              </w:rPr>
              <w:fldChar w:fldCharType="separate"/>
            </w:r>
            <w:r w:rsidR="000847F7" w:rsidRPr="000847F7">
              <w:rPr>
                <w:rFonts w:ascii="Times New Roman" w:hAnsi="Times New Roman" w:cs="Times New Roman"/>
                <w:noProof/>
                <w:webHidden/>
                <w:sz w:val="24"/>
                <w:szCs w:val="24"/>
              </w:rPr>
              <w:t>4</w:t>
            </w:r>
            <w:r w:rsidR="000847F7" w:rsidRPr="000847F7">
              <w:rPr>
                <w:rFonts w:ascii="Times New Roman" w:hAnsi="Times New Roman" w:cs="Times New Roman"/>
                <w:noProof/>
                <w:webHidden/>
                <w:sz w:val="24"/>
                <w:szCs w:val="24"/>
              </w:rPr>
              <w:fldChar w:fldCharType="end"/>
            </w:r>
          </w:hyperlink>
        </w:p>
        <w:p w14:paraId="557CF348" w14:textId="5A42039B"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89" w:history="1">
            <w:r w:rsidRPr="000847F7">
              <w:rPr>
                <w:rStyle w:val="Hyperlink"/>
                <w:rFonts w:ascii="Times New Roman" w:eastAsia="Times New Roman" w:hAnsi="Times New Roman" w:cs="Times New Roman"/>
                <w:noProof/>
                <w:sz w:val="24"/>
                <w:szCs w:val="24"/>
              </w:rPr>
              <w:t>2. Trends in BI, DW and DM</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_Toc225449189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4</w:t>
            </w:r>
            <w:r w:rsidRPr="000847F7">
              <w:rPr>
                <w:rFonts w:ascii="Times New Roman" w:hAnsi="Times New Roman" w:cs="Times New Roman"/>
                <w:noProof/>
                <w:webHidden/>
                <w:sz w:val="24"/>
                <w:szCs w:val="24"/>
              </w:rPr>
              <w:fldChar w:fldCharType="end"/>
            </w:r>
          </w:hyperlink>
        </w:p>
        <w:p w14:paraId="358DF7BC" w14:textId="286DAB46"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90" w:history="1">
            <w:r w:rsidRPr="000847F7">
              <w:rPr>
                <w:rStyle w:val="Hyperlink"/>
                <w:rFonts w:ascii="Times New Roman" w:eastAsia="Times New Roman" w:hAnsi="Times New Roman" w:cs="Times New Roman"/>
                <w:noProof/>
                <w:sz w:val="24"/>
                <w:szCs w:val="24"/>
              </w:rPr>
              <w:t>3. Data Warehousing in the Organisation Applications</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_Toc225449190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6</w:t>
            </w:r>
            <w:r w:rsidRPr="000847F7">
              <w:rPr>
                <w:rFonts w:ascii="Times New Roman" w:hAnsi="Times New Roman" w:cs="Times New Roman"/>
                <w:noProof/>
                <w:webHidden/>
                <w:sz w:val="24"/>
                <w:szCs w:val="24"/>
              </w:rPr>
              <w:fldChar w:fldCharType="end"/>
            </w:r>
          </w:hyperlink>
        </w:p>
        <w:p w14:paraId="2265B453" w14:textId="2FC5758E"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91" w:history="1">
            <w:r w:rsidRPr="000847F7">
              <w:rPr>
                <w:rStyle w:val="Hyperlink"/>
                <w:rFonts w:ascii="Times New Roman" w:eastAsia="Times New Roman" w:hAnsi="Times New Roman" w:cs="Times New Roman"/>
                <w:noProof/>
                <w:sz w:val="24"/>
                <w:szCs w:val="24"/>
              </w:rPr>
              <w:t>4. Data Mining Techniques</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_Toc225449191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7</w:t>
            </w:r>
            <w:r w:rsidRPr="000847F7">
              <w:rPr>
                <w:rFonts w:ascii="Times New Roman" w:hAnsi="Times New Roman" w:cs="Times New Roman"/>
                <w:noProof/>
                <w:webHidden/>
                <w:sz w:val="24"/>
                <w:szCs w:val="24"/>
              </w:rPr>
              <w:fldChar w:fldCharType="end"/>
            </w:r>
          </w:hyperlink>
        </w:p>
        <w:p w14:paraId="32C3A381" w14:textId="1B1B098D"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92" w:history="1">
            <w:r w:rsidRPr="000847F7">
              <w:rPr>
                <w:rStyle w:val="Hyperlink"/>
                <w:rFonts w:ascii="Times New Roman" w:eastAsia="Times New Roman" w:hAnsi="Times New Roman" w:cs="Times New Roman"/>
                <w:noProof/>
                <w:sz w:val="24"/>
                <w:szCs w:val="24"/>
              </w:rPr>
              <w:t>5. Predictive Analysis</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_Toc225449192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8</w:t>
            </w:r>
            <w:r w:rsidRPr="000847F7">
              <w:rPr>
                <w:rFonts w:ascii="Times New Roman" w:hAnsi="Times New Roman" w:cs="Times New Roman"/>
                <w:noProof/>
                <w:webHidden/>
                <w:sz w:val="24"/>
                <w:szCs w:val="24"/>
              </w:rPr>
              <w:fldChar w:fldCharType="end"/>
            </w:r>
          </w:hyperlink>
        </w:p>
        <w:p w14:paraId="16644D0E" w14:textId="6FFF82C0"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93" w:history="1">
            <w:r w:rsidRPr="000847F7">
              <w:rPr>
                <w:rStyle w:val="Hyperlink"/>
                <w:rFonts w:ascii="Times New Roman" w:eastAsia="Times New Roman" w:hAnsi="Times New Roman" w:cs="Times New Roman"/>
                <w:noProof/>
                <w:sz w:val="24"/>
                <w:szCs w:val="24"/>
              </w:rPr>
              <w:t>6. Ethical and Data Security Considerations</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_Toc225449193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9</w:t>
            </w:r>
            <w:r w:rsidRPr="000847F7">
              <w:rPr>
                <w:rFonts w:ascii="Times New Roman" w:hAnsi="Times New Roman" w:cs="Times New Roman"/>
                <w:noProof/>
                <w:webHidden/>
                <w:sz w:val="24"/>
                <w:szCs w:val="24"/>
              </w:rPr>
              <w:fldChar w:fldCharType="end"/>
            </w:r>
          </w:hyperlink>
        </w:p>
        <w:p w14:paraId="20ECC69D" w14:textId="3A5EA5FA"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94" w:history="1">
            <w:r w:rsidRPr="000847F7">
              <w:rPr>
                <w:rStyle w:val="Hyperlink"/>
                <w:rFonts w:ascii="Times New Roman" w:eastAsia="Times New Roman" w:hAnsi="Times New Roman" w:cs="Times New Roman"/>
                <w:noProof/>
                <w:sz w:val="24"/>
                <w:szCs w:val="24"/>
              </w:rPr>
              <w:t>7. Reporting and Dashboard Solutions</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_Toc225449194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9</w:t>
            </w:r>
            <w:r w:rsidRPr="000847F7">
              <w:rPr>
                <w:rFonts w:ascii="Times New Roman" w:hAnsi="Times New Roman" w:cs="Times New Roman"/>
                <w:noProof/>
                <w:webHidden/>
                <w:sz w:val="24"/>
                <w:szCs w:val="24"/>
              </w:rPr>
              <w:fldChar w:fldCharType="end"/>
            </w:r>
          </w:hyperlink>
        </w:p>
        <w:p w14:paraId="368C352D" w14:textId="44CF5229"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95" w:history="1">
            <w:r w:rsidRPr="000847F7">
              <w:rPr>
                <w:rStyle w:val="Hyperlink"/>
                <w:rFonts w:ascii="Times New Roman" w:eastAsia="Times New Roman" w:hAnsi="Times New Roman" w:cs="Times New Roman"/>
                <w:noProof/>
                <w:sz w:val="24"/>
                <w:szCs w:val="24"/>
              </w:rPr>
              <w:t>8. Conclusion</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_Toc225449195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10</w:t>
            </w:r>
            <w:r w:rsidRPr="000847F7">
              <w:rPr>
                <w:rFonts w:ascii="Times New Roman" w:hAnsi="Times New Roman" w:cs="Times New Roman"/>
                <w:noProof/>
                <w:webHidden/>
                <w:sz w:val="24"/>
                <w:szCs w:val="24"/>
              </w:rPr>
              <w:fldChar w:fldCharType="end"/>
            </w:r>
          </w:hyperlink>
        </w:p>
        <w:p w14:paraId="3BE0C568" w14:textId="05CA14D8" w:rsidR="000847F7" w:rsidRPr="000847F7" w:rsidRDefault="000847F7" w:rsidP="000847F7">
          <w:pPr>
            <w:pStyle w:val="TOC1"/>
            <w:tabs>
              <w:tab w:val="right" w:pos="9019"/>
            </w:tabs>
            <w:spacing w:before="100" w:beforeAutospacing="1" w:afterAutospacing="1" w:line="360" w:lineRule="auto"/>
            <w:rPr>
              <w:rFonts w:ascii="Times New Roman" w:hAnsi="Times New Roman" w:cs="Times New Roman"/>
              <w:noProof/>
              <w:sz w:val="24"/>
              <w:szCs w:val="24"/>
            </w:rPr>
          </w:pPr>
          <w:hyperlink w:anchor="_Toc225449196" w:history="1">
            <w:r w:rsidRPr="000847F7">
              <w:rPr>
                <w:rStyle w:val="Hyperlink"/>
                <w:rFonts w:ascii="Times New Roman" w:eastAsia="Times New Roman" w:hAnsi="Times New Roman" w:cs="Times New Roman"/>
                <w:noProof/>
                <w:sz w:val="24"/>
                <w:szCs w:val="24"/>
              </w:rPr>
              <w:t>References</w:t>
            </w:r>
            <w:r w:rsidRPr="000847F7">
              <w:rPr>
                <w:rFonts w:ascii="Times New Roman" w:hAnsi="Times New Roman" w:cs="Times New Roman"/>
                <w:noProof/>
                <w:webHidden/>
                <w:sz w:val="24"/>
                <w:szCs w:val="24"/>
              </w:rPr>
              <w:tab/>
            </w:r>
            <w:r w:rsidRPr="000847F7">
              <w:rPr>
                <w:rFonts w:ascii="Times New Roman" w:hAnsi="Times New Roman" w:cs="Times New Roman"/>
                <w:noProof/>
                <w:webHidden/>
                <w:sz w:val="24"/>
                <w:szCs w:val="24"/>
              </w:rPr>
              <w:fldChar w:fldCharType="begin"/>
            </w:r>
            <w:r w:rsidRPr="000847F7">
              <w:rPr>
                <w:rFonts w:ascii="Times New Roman" w:hAnsi="Times New Roman" w:cs="Times New Roman"/>
                <w:noProof/>
                <w:webHidden/>
                <w:sz w:val="24"/>
                <w:szCs w:val="24"/>
              </w:rPr>
              <w:instrText xml:space="preserve"> PAGEREF _Toc225449196 \h </w:instrText>
            </w:r>
            <w:r w:rsidRPr="000847F7">
              <w:rPr>
                <w:rFonts w:ascii="Times New Roman" w:hAnsi="Times New Roman" w:cs="Times New Roman"/>
                <w:noProof/>
                <w:webHidden/>
                <w:sz w:val="24"/>
                <w:szCs w:val="24"/>
              </w:rPr>
            </w:r>
            <w:r w:rsidRPr="000847F7">
              <w:rPr>
                <w:rFonts w:ascii="Times New Roman" w:hAnsi="Times New Roman" w:cs="Times New Roman"/>
                <w:noProof/>
                <w:webHidden/>
                <w:sz w:val="24"/>
                <w:szCs w:val="24"/>
              </w:rPr>
              <w:fldChar w:fldCharType="separate"/>
            </w:r>
            <w:r w:rsidRPr="000847F7">
              <w:rPr>
                <w:rFonts w:ascii="Times New Roman" w:hAnsi="Times New Roman" w:cs="Times New Roman"/>
                <w:noProof/>
                <w:webHidden/>
                <w:sz w:val="24"/>
                <w:szCs w:val="24"/>
              </w:rPr>
              <w:t>11</w:t>
            </w:r>
            <w:r w:rsidRPr="000847F7">
              <w:rPr>
                <w:rFonts w:ascii="Times New Roman" w:hAnsi="Times New Roman" w:cs="Times New Roman"/>
                <w:noProof/>
                <w:webHidden/>
                <w:sz w:val="24"/>
                <w:szCs w:val="24"/>
              </w:rPr>
              <w:fldChar w:fldCharType="end"/>
            </w:r>
          </w:hyperlink>
        </w:p>
        <w:p w14:paraId="530C8EC3" w14:textId="3901FA41" w:rsidR="00082EE0" w:rsidRPr="000847F7" w:rsidRDefault="00000000" w:rsidP="000847F7">
          <w:pPr>
            <w:widowControl w:val="0"/>
            <w:tabs>
              <w:tab w:val="right" w:pos="9025"/>
            </w:tabs>
            <w:spacing w:before="100" w:beforeAutospacing="1" w:after="100" w:afterAutospacing="1" w:line="360" w:lineRule="auto"/>
            <w:rPr>
              <w:rFonts w:ascii="Times New Roman" w:eastAsia="Times New Roman" w:hAnsi="Times New Roman" w:cs="Times New Roman"/>
              <w:b/>
              <w:bCs/>
              <w:color w:val="000000"/>
              <w:sz w:val="24"/>
              <w:szCs w:val="24"/>
            </w:rPr>
          </w:pPr>
          <w:r w:rsidRPr="000847F7">
            <w:rPr>
              <w:sz w:val="24"/>
              <w:szCs w:val="24"/>
            </w:rPr>
            <w:fldChar w:fldCharType="end"/>
          </w:r>
        </w:p>
      </w:sdtContent>
    </w:sdt>
    <w:p w14:paraId="23CDC168" w14:textId="77777777" w:rsidR="00082EE0" w:rsidRPr="000847F7" w:rsidRDefault="00000000" w:rsidP="000847F7">
      <w:pPr>
        <w:spacing w:before="100" w:beforeAutospacing="1" w:after="100" w:afterAutospacing="1" w:line="360" w:lineRule="auto"/>
        <w:rPr>
          <w:rFonts w:ascii="Times New Roman" w:eastAsia="Times New Roman" w:hAnsi="Times New Roman" w:cs="Times New Roman"/>
          <w:sz w:val="24"/>
          <w:szCs w:val="24"/>
        </w:rPr>
      </w:pPr>
      <w:r w:rsidRPr="000847F7">
        <w:rPr>
          <w:sz w:val="24"/>
          <w:szCs w:val="24"/>
        </w:rPr>
        <w:br w:type="page"/>
      </w:r>
    </w:p>
    <w:p w14:paraId="27818235" w14:textId="77777777" w:rsidR="00082EE0" w:rsidRPr="000847F7" w:rsidRDefault="00000000" w:rsidP="000847F7">
      <w:pPr>
        <w:spacing w:before="100" w:beforeAutospacing="1" w:after="100" w:afterAutospacing="1" w:line="360" w:lineRule="auto"/>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lastRenderedPageBreak/>
        <w:t>Executive Summary</w:t>
      </w:r>
    </w:p>
    <w:p w14:paraId="2E6CF369" w14:textId="364C04FA"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This study assessed the role of business intelligence (BI), data management (DM) and data warehousing (DW) within the context of TMM in terms of its ability to support decision-making, regarding the rapid expansion of this eco-friendly retail and logistics company, due in part to an increasing number of new customers and growing geographic delivery area. The rapid increase in customers and expansion of TMM's service area has created a corresponding increase in both the volume of data TMM generates and the complexity of that data. This report also provides an overview of modern BI technologies and analytics techniques in relation to their use by TMM; evaluates the impact these technologies/techniques have had on the organisation; and outlines practical ways for TMM to adopt and apply predictive analytics techniques and create and maintain dashboard-style reporting using established BI technologies. The key technologies identified and recommended by this report included cloud-based data warehousing, Power BI dashboards, and data mining tools such as RapidMiner and SPSS</w:t>
      </w:r>
      <w:r w:rsidR="000847F7" w:rsidRPr="000847F7">
        <w:rPr>
          <w:rFonts w:ascii="Times New Roman" w:eastAsia="Times New Roman" w:hAnsi="Times New Roman" w:cs="Times New Roman"/>
          <w:sz w:val="24"/>
          <w:szCs w:val="24"/>
        </w:rPr>
        <w:t>,</w:t>
      </w:r>
      <w:r w:rsidRPr="000847F7">
        <w:rPr>
          <w:rFonts w:ascii="Times New Roman" w:eastAsia="Times New Roman" w:hAnsi="Times New Roman" w:cs="Times New Roman"/>
          <w:sz w:val="24"/>
          <w:szCs w:val="24"/>
        </w:rPr>
        <w:t xml:space="preserve"> all of which serve as the essential tools necessary to create insights.</w:t>
      </w:r>
    </w:p>
    <w:p w14:paraId="24C2D9EA" w14:textId="77777777" w:rsidR="00082EE0" w:rsidRPr="000847F7" w:rsidRDefault="00082EE0" w:rsidP="000847F7">
      <w:pPr>
        <w:spacing w:before="100" w:beforeAutospacing="1" w:after="100" w:afterAutospacing="1" w:line="360" w:lineRule="auto"/>
        <w:rPr>
          <w:rFonts w:ascii="Times New Roman" w:eastAsia="Times New Roman" w:hAnsi="Times New Roman" w:cs="Times New Roman"/>
          <w:b/>
          <w:bCs/>
          <w:sz w:val="24"/>
          <w:szCs w:val="24"/>
        </w:rPr>
      </w:pPr>
    </w:p>
    <w:p w14:paraId="622EA685" w14:textId="77777777" w:rsidR="00082EE0" w:rsidRPr="000847F7" w:rsidRDefault="00000000" w:rsidP="000847F7">
      <w:pPr>
        <w:spacing w:before="100" w:beforeAutospacing="1" w:after="100" w:afterAutospacing="1" w:line="360" w:lineRule="auto"/>
        <w:rPr>
          <w:rFonts w:ascii="Times New Roman" w:eastAsia="Times New Roman" w:hAnsi="Times New Roman" w:cs="Times New Roman"/>
          <w:b/>
          <w:bCs/>
          <w:sz w:val="24"/>
          <w:szCs w:val="24"/>
        </w:rPr>
      </w:pPr>
      <w:r w:rsidRPr="000847F7">
        <w:rPr>
          <w:sz w:val="24"/>
          <w:szCs w:val="24"/>
        </w:rPr>
        <w:br w:type="page"/>
      </w:r>
    </w:p>
    <w:p w14:paraId="371B9436" w14:textId="1CC9BF98"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0" w:name="_Toc225449188"/>
      <w:r w:rsidRPr="000847F7">
        <w:rPr>
          <w:rFonts w:ascii="Times New Roman" w:eastAsia="Times New Roman" w:hAnsi="Times New Roman" w:cs="Times New Roman"/>
          <w:b/>
          <w:bCs/>
          <w:sz w:val="24"/>
          <w:szCs w:val="24"/>
        </w:rPr>
        <w:lastRenderedPageBreak/>
        <w:t>1. Introduction</w:t>
      </w:r>
      <w:bookmarkEnd w:id="0"/>
      <w:r w:rsidRPr="000847F7">
        <w:rPr>
          <w:rFonts w:ascii="Times New Roman" w:eastAsia="Times New Roman" w:hAnsi="Times New Roman" w:cs="Times New Roman"/>
          <w:b/>
          <w:bCs/>
          <w:sz w:val="24"/>
          <w:szCs w:val="24"/>
        </w:rPr>
        <w:t xml:space="preserve"> </w:t>
      </w:r>
    </w:p>
    <w:p w14:paraId="38119E4E"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The Modern Milkman (TMM) UK is a medium-sized retail company delivering fresh groceries and household essentials through a subscription-based model. This company operates within the e-commerce sector and also has a digital platform for promoting zero-waste and plastic-free packaging while also meeting the growing consumer needs of convenient home deliveries (TMM, 2026). Usman, Moinuddin and Khan (2024) stipulate that as data volume increases, the importance of Business Intelligence (BI) also increases. Thus, this ensures a strategic decision-making process. </w:t>
      </w:r>
    </w:p>
    <w:p w14:paraId="16F2E324"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sz w:val="24"/>
          <w:szCs w:val="24"/>
        </w:rPr>
      </w:pPr>
      <w:r w:rsidRPr="000847F7">
        <w:rPr>
          <w:rFonts w:ascii="Times New Roman" w:eastAsia="Times New Roman" w:hAnsi="Times New Roman" w:cs="Times New Roman"/>
          <w:noProof/>
          <w:sz w:val="24"/>
          <w:szCs w:val="24"/>
        </w:rPr>
        <w:drawing>
          <wp:inline distT="114300" distB="114300" distL="114300" distR="114300" wp14:anchorId="545F37DF" wp14:editId="63EF49BD">
            <wp:extent cx="2200275" cy="981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00275" cy="981075"/>
                    </a:xfrm>
                    <a:prstGeom prst="rect">
                      <a:avLst/>
                    </a:prstGeom>
                    <a:ln/>
                  </pic:spPr>
                </pic:pic>
              </a:graphicData>
            </a:graphic>
          </wp:inline>
        </w:drawing>
      </w:r>
    </w:p>
    <w:p w14:paraId="7F009685"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 xml:space="preserve">Figure 1: Company logo </w:t>
      </w:r>
    </w:p>
    <w:p w14:paraId="549B603B"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(Source: TMM, 2026)</w:t>
      </w:r>
    </w:p>
    <w:p w14:paraId="67C79145"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The purpose of this report is to explain how BI, Data Warehousing (DW) and Data Mining (DM) can be used to support the decision-making process of the selected organisation, that is, the Modern Milkman UK. To this end, the report will first discuss trends in BI, DW and DM within organisations. Data mining techniques will also be discussed along with predictive analytics. Lastly, ethical and data security considerations, along with reporting and dashboard solutions, will be presented. </w:t>
      </w:r>
    </w:p>
    <w:p w14:paraId="6E1CFC19" w14:textId="49537F69"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1" w:name="_Toc225449189"/>
      <w:r w:rsidRPr="000847F7">
        <w:rPr>
          <w:rFonts w:ascii="Times New Roman" w:eastAsia="Times New Roman" w:hAnsi="Times New Roman" w:cs="Times New Roman"/>
          <w:b/>
          <w:bCs/>
          <w:sz w:val="24"/>
          <w:szCs w:val="24"/>
        </w:rPr>
        <w:t>2. Trends in BI, DW and DM</w:t>
      </w:r>
      <w:bookmarkEnd w:id="1"/>
      <w:r w:rsidRPr="000847F7">
        <w:rPr>
          <w:rFonts w:ascii="Times New Roman" w:eastAsia="Times New Roman" w:hAnsi="Times New Roman" w:cs="Times New Roman"/>
          <w:b/>
          <w:bCs/>
          <w:sz w:val="24"/>
          <w:szCs w:val="24"/>
        </w:rPr>
        <w:t xml:space="preserve"> </w:t>
      </w:r>
    </w:p>
    <w:p w14:paraId="69004AD5"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BI is an integral part of an organisation’s growth. BI, as per Adewusi </w:t>
      </w:r>
      <w:r w:rsidRPr="000847F7">
        <w:rPr>
          <w:rFonts w:ascii="Times New Roman" w:eastAsia="Times New Roman" w:hAnsi="Times New Roman" w:cs="Times New Roman"/>
          <w:i/>
          <w:iCs/>
          <w:sz w:val="24"/>
          <w:szCs w:val="24"/>
        </w:rPr>
        <w:t xml:space="preserve">et al. </w:t>
      </w:r>
      <w:r w:rsidRPr="000847F7">
        <w:rPr>
          <w:rFonts w:ascii="Times New Roman" w:eastAsia="Times New Roman" w:hAnsi="Times New Roman" w:cs="Times New Roman"/>
          <w:sz w:val="24"/>
          <w:szCs w:val="24"/>
        </w:rPr>
        <w:t xml:space="preserve">(2024), can be understood as the processes, technologies and practices that are required to transform original data into meaningful information for supporting decision-making processes. Similarly, DW is a concept of a centralised repository system, where historical data is generally stored (Gath, 2024). This helps in consistent analytics and reporting across various business functions. DM, on the other hand, is about the application of machine learning techniques for covering correlations and insights from larger data sets (Arunkumar </w:t>
      </w:r>
      <w:r w:rsidRPr="000847F7">
        <w:rPr>
          <w:rFonts w:ascii="Times New Roman" w:eastAsia="Times New Roman" w:hAnsi="Times New Roman" w:cs="Times New Roman"/>
          <w:i/>
          <w:iCs/>
          <w:sz w:val="24"/>
          <w:szCs w:val="24"/>
        </w:rPr>
        <w:t xml:space="preserve">et al., </w:t>
      </w:r>
      <w:r w:rsidRPr="000847F7">
        <w:rPr>
          <w:rFonts w:ascii="Times New Roman" w:eastAsia="Times New Roman" w:hAnsi="Times New Roman" w:cs="Times New Roman"/>
          <w:sz w:val="24"/>
          <w:szCs w:val="24"/>
        </w:rPr>
        <w:t xml:space="preserve">2025). Numerous trends have reshaped DW, BI and DM. This is because real-time BI supports the generation of information </w:t>
      </w:r>
      <w:r w:rsidRPr="000847F7">
        <w:rPr>
          <w:rFonts w:ascii="Times New Roman" w:eastAsia="Times New Roman" w:hAnsi="Times New Roman" w:cs="Times New Roman"/>
          <w:sz w:val="24"/>
          <w:szCs w:val="24"/>
        </w:rPr>
        <w:lastRenderedPageBreak/>
        <w:t xml:space="preserve">instantly through streamlined data pipelines. This allows companies like TMM to quickly respond to customer behaviour and operational disruptions.  Further, cloud-based DW is another rising trend. A few examples are Google </w:t>
      </w:r>
      <w:proofErr w:type="spellStart"/>
      <w:r w:rsidRPr="000847F7">
        <w:rPr>
          <w:rFonts w:ascii="Times New Roman" w:eastAsia="Times New Roman" w:hAnsi="Times New Roman" w:cs="Times New Roman"/>
          <w:sz w:val="24"/>
          <w:szCs w:val="24"/>
        </w:rPr>
        <w:t>BigQuery</w:t>
      </w:r>
      <w:proofErr w:type="spellEnd"/>
      <w:r w:rsidRPr="000847F7">
        <w:rPr>
          <w:rFonts w:ascii="Times New Roman" w:eastAsia="Times New Roman" w:hAnsi="Times New Roman" w:cs="Times New Roman"/>
          <w:sz w:val="24"/>
          <w:szCs w:val="24"/>
        </w:rPr>
        <w:t xml:space="preserve"> and Snowflake, which are analytics platforms, enabling superfast queries of massive data sets (Google Cloud, 2023). Additionally, AI integration into BI also supports proactive and accurate decision-making processes. An efficient </w:t>
      </w:r>
    </w:p>
    <w:p w14:paraId="4B43C20B"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noProof/>
          <w:sz w:val="24"/>
          <w:szCs w:val="24"/>
        </w:rPr>
        <w:drawing>
          <wp:inline distT="114300" distB="114300" distL="114300" distR="114300" wp14:anchorId="6DECCECB" wp14:editId="30C63A9B">
            <wp:extent cx="5731200" cy="29337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933700"/>
                    </a:xfrm>
                    <a:prstGeom prst="rect">
                      <a:avLst/>
                    </a:prstGeom>
                    <a:ln/>
                  </pic:spPr>
                </pic:pic>
              </a:graphicData>
            </a:graphic>
          </wp:inline>
        </w:drawing>
      </w:r>
    </w:p>
    <w:p w14:paraId="0177F2B9"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 xml:space="preserve">Figure 2: Kimball approach architecture </w:t>
      </w:r>
    </w:p>
    <w:p w14:paraId="71A744B3"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(Source: </w:t>
      </w:r>
      <w:proofErr w:type="spellStart"/>
      <w:r w:rsidRPr="000847F7">
        <w:rPr>
          <w:rFonts w:ascii="Times New Roman" w:eastAsia="Times New Roman" w:hAnsi="Times New Roman" w:cs="Times New Roman"/>
          <w:sz w:val="24"/>
          <w:szCs w:val="24"/>
        </w:rPr>
        <w:t>Vineş</w:t>
      </w:r>
      <w:proofErr w:type="spellEnd"/>
      <w:r w:rsidRPr="000847F7">
        <w:rPr>
          <w:rFonts w:ascii="Times New Roman" w:eastAsia="Times New Roman" w:hAnsi="Times New Roman" w:cs="Times New Roman"/>
          <w:sz w:val="24"/>
          <w:szCs w:val="24"/>
        </w:rPr>
        <w:t xml:space="preserve"> and </w:t>
      </w:r>
      <w:proofErr w:type="spellStart"/>
      <w:r w:rsidRPr="000847F7">
        <w:rPr>
          <w:rFonts w:ascii="Times New Roman" w:eastAsia="Times New Roman" w:hAnsi="Times New Roman" w:cs="Times New Roman"/>
          <w:sz w:val="24"/>
          <w:szCs w:val="24"/>
        </w:rPr>
        <w:t>Samoilă</w:t>
      </w:r>
      <w:proofErr w:type="spellEnd"/>
      <w:r w:rsidRPr="000847F7">
        <w:rPr>
          <w:rFonts w:ascii="Times New Roman" w:eastAsia="Times New Roman" w:hAnsi="Times New Roman" w:cs="Times New Roman"/>
          <w:sz w:val="24"/>
          <w:szCs w:val="24"/>
        </w:rPr>
        <w:t>, 2023)</w:t>
      </w:r>
    </w:p>
    <w:p w14:paraId="39036849"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DW supports the consolidation of data through Kimball’s dimensional modelling architecture. This framework consists of two layers where raw data is copied into a staging area and is transformed before it is put through the second layer, which is DW. Using this framework, when users can connect to the same DW model, all the dimensions become common (</w:t>
      </w:r>
      <w:proofErr w:type="spellStart"/>
      <w:r w:rsidRPr="000847F7">
        <w:rPr>
          <w:rFonts w:ascii="Times New Roman" w:eastAsia="Times New Roman" w:hAnsi="Times New Roman" w:cs="Times New Roman"/>
          <w:sz w:val="24"/>
          <w:szCs w:val="24"/>
        </w:rPr>
        <w:t>Vineş</w:t>
      </w:r>
      <w:proofErr w:type="spellEnd"/>
      <w:r w:rsidRPr="000847F7">
        <w:rPr>
          <w:rFonts w:ascii="Times New Roman" w:eastAsia="Times New Roman" w:hAnsi="Times New Roman" w:cs="Times New Roman"/>
          <w:sz w:val="24"/>
          <w:szCs w:val="24"/>
        </w:rPr>
        <w:t xml:space="preserve"> and </w:t>
      </w:r>
      <w:proofErr w:type="spellStart"/>
      <w:r w:rsidRPr="000847F7">
        <w:rPr>
          <w:rFonts w:ascii="Times New Roman" w:eastAsia="Times New Roman" w:hAnsi="Times New Roman" w:cs="Times New Roman"/>
          <w:sz w:val="24"/>
          <w:szCs w:val="24"/>
        </w:rPr>
        <w:t>Samoilă</w:t>
      </w:r>
      <w:proofErr w:type="spellEnd"/>
      <w:r w:rsidRPr="000847F7">
        <w:rPr>
          <w:rFonts w:ascii="Times New Roman" w:eastAsia="Times New Roman" w:hAnsi="Times New Roman" w:cs="Times New Roman"/>
          <w:sz w:val="24"/>
          <w:szCs w:val="24"/>
        </w:rPr>
        <w:t xml:space="preserve">, 2023). This will further improve consistency while enabling high-performance for companies like TMM. This is because, by centralising all the data from mobile applications and subscription records, companies like TMM can access a single version of data while improving customer satisfaction and operational insights. Overall, this suggests that the trends in DM, DW and BI are efficient for business growth. </w:t>
      </w:r>
    </w:p>
    <w:p w14:paraId="52C4950E" w14:textId="5BA7B4F1"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2" w:name="_Toc225449190"/>
      <w:r w:rsidRPr="000847F7">
        <w:rPr>
          <w:rFonts w:ascii="Times New Roman" w:eastAsia="Times New Roman" w:hAnsi="Times New Roman" w:cs="Times New Roman"/>
          <w:b/>
          <w:bCs/>
          <w:sz w:val="24"/>
          <w:szCs w:val="24"/>
        </w:rPr>
        <w:lastRenderedPageBreak/>
        <w:t>3. Data Warehousing in the Organisation Applications</w:t>
      </w:r>
      <w:bookmarkEnd w:id="2"/>
      <w:r w:rsidRPr="000847F7">
        <w:rPr>
          <w:rFonts w:ascii="Times New Roman" w:eastAsia="Times New Roman" w:hAnsi="Times New Roman" w:cs="Times New Roman"/>
          <w:b/>
          <w:bCs/>
          <w:sz w:val="24"/>
          <w:szCs w:val="24"/>
        </w:rPr>
        <w:t xml:space="preserve"> </w:t>
      </w:r>
    </w:p>
    <w:p w14:paraId="5A972070"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DW focuses on storing large amounts of historical data from different sources. DW, as per Jameel, Adil and Bahjat (2022), is a centralised repository for strategic decision-making. This is because TMM is working within the digital retail and logistics realm. A DW is essential for TMM because it serves as the foundation for the consolidation of data from various sources, such as customer subscriptions, application interaction, inventory, and operations. </w:t>
      </w:r>
    </w:p>
    <w:p w14:paraId="72C4472B"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In addition, DW will improve the ability and capability to gain access to and be efficient in conducting business in the future for TMM. Many systems provide TMM with access to and collection of data, such as customer service data, route management system/route data, and apps that are used. Without a proper DW, TMM will continue to have many systems of storage of information in an isolated manner, and analysts will continue to pull down and combine their respective systems of data in various ways, thus causing a delay and inefficiency (Agboola et al., 2023). Once there is a proper DW in place, TMM will extract and leverage the valuable insights/knowledge obtained and utilized through their operational experience to build/develop its strategic planning to achieve its long-term success.</w:t>
      </w:r>
    </w:p>
    <w:p w14:paraId="6EEB3EB2"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A point is when customer order, app engagement, and demographic data are combined to spot consumption patterns, which then help carry out personalised marketing and customer retention strategies. Likewise, merging route performance data with the fuel usage and delivery timings lets operational managers make the best use of the logistics, enhance the delivery accuracy and cut down on carbon emissions, all of which are in line with the company's sustainability mission (Rushton </w:t>
      </w:r>
      <w:r w:rsidRPr="000847F7">
        <w:rPr>
          <w:rFonts w:ascii="Times New Roman" w:eastAsia="Times New Roman" w:hAnsi="Times New Roman" w:cs="Times New Roman"/>
          <w:i/>
          <w:iCs/>
          <w:sz w:val="24"/>
          <w:szCs w:val="24"/>
        </w:rPr>
        <w:t xml:space="preserve">et al., </w:t>
      </w:r>
      <w:r w:rsidRPr="000847F7">
        <w:rPr>
          <w:rFonts w:ascii="Times New Roman" w:eastAsia="Times New Roman" w:hAnsi="Times New Roman" w:cs="Times New Roman"/>
          <w:sz w:val="24"/>
          <w:szCs w:val="24"/>
        </w:rPr>
        <w:t>2026). This further helps in a strategic decision-making approach. Additionally, from a financial viewpoint, DW provides significant data for supporting subscription trend analysis and revenue forecasting. This can help executives at TMM to examine profitability by region, category and delivery routes. This allows strategic decision-making with regard to stock allocation, expansion, planning, and pricing adjustments.</w:t>
      </w:r>
    </w:p>
    <w:p w14:paraId="51D11917"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A few examples can be considered for understanding the application of DW in TMM. DW allows automated dashboards, monthly, daily or weekly. This helps in tracking customer churn, real-time subscription changes and product performance. This further helps in understanding the purchase of customers, while enabling demand forecasting. Additionally, DW also ensures optimisation of delivery routes (Ahmadi, 2023). Rather than relying on each data source (driver performance metrics, GPS data, route density), the TMM uses DW to combine these multiple </w:t>
      </w:r>
      <w:r w:rsidRPr="000847F7">
        <w:rPr>
          <w:rFonts w:ascii="Times New Roman" w:eastAsia="Times New Roman" w:hAnsi="Times New Roman" w:cs="Times New Roman"/>
          <w:sz w:val="24"/>
          <w:szCs w:val="24"/>
        </w:rPr>
        <w:lastRenderedPageBreak/>
        <w:t xml:space="preserve">data sources together. By doing so, they can use this combination of data to optimise their routes. As a result, TMM will reduce the amount of fuel they consume as well as reduce the time it takes to deliver packages, which increases the overall customer satisfaction. Overall, by consolidating different datasets, TMM can not only strengthen its decision-making process but also scale efficiently. </w:t>
      </w:r>
    </w:p>
    <w:p w14:paraId="5DBC6CE2" w14:textId="0DE4945F"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3" w:name="_Toc225449191"/>
      <w:r w:rsidRPr="000847F7">
        <w:rPr>
          <w:rFonts w:ascii="Times New Roman" w:eastAsia="Times New Roman" w:hAnsi="Times New Roman" w:cs="Times New Roman"/>
          <w:b/>
          <w:bCs/>
          <w:sz w:val="24"/>
          <w:szCs w:val="24"/>
        </w:rPr>
        <w:t>4. Data Mining Techniques</w:t>
      </w:r>
      <w:bookmarkEnd w:id="3"/>
      <w:r w:rsidRPr="000847F7">
        <w:rPr>
          <w:rFonts w:ascii="Times New Roman" w:eastAsia="Times New Roman" w:hAnsi="Times New Roman" w:cs="Times New Roman"/>
          <w:b/>
          <w:bCs/>
          <w:sz w:val="24"/>
          <w:szCs w:val="24"/>
        </w:rPr>
        <w:t xml:space="preserve"> </w:t>
      </w:r>
    </w:p>
    <w:p w14:paraId="20A9F8AA"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DM is an essential component for extracting valuable information. Simply put, DM is the method of uncovering hidden, useful patterns, trends, and other insights from large data sets by means of statistics and machine-learning algorithms (Arunkumar </w:t>
      </w:r>
      <w:r w:rsidRPr="000847F7">
        <w:rPr>
          <w:rFonts w:ascii="Times New Roman" w:eastAsia="Times New Roman" w:hAnsi="Times New Roman" w:cs="Times New Roman"/>
          <w:i/>
          <w:iCs/>
          <w:sz w:val="24"/>
          <w:szCs w:val="24"/>
        </w:rPr>
        <w:t xml:space="preserve">et al., </w:t>
      </w:r>
      <w:r w:rsidRPr="000847F7">
        <w:rPr>
          <w:rFonts w:ascii="Times New Roman" w:eastAsia="Times New Roman" w:hAnsi="Times New Roman" w:cs="Times New Roman"/>
          <w:sz w:val="24"/>
          <w:szCs w:val="24"/>
        </w:rPr>
        <w:t xml:space="preserve">2025). As TMM produces lots of data through customer subscriptions, delivery inventory, and sustainability, data mining methods can be very helpful to TMM by increasing its operational performance and assisting it in its decision-making process. </w:t>
      </w:r>
    </w:p>
    <w:p w14:paraId="33B54E13"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Clustering and classification are two techniques that are very suitable for TMM. Clustering is a data mining technique that puts data together based on clarity without any labels. Algorithms such as hierarchical clustering and k-means clustering are generally considered for segmenting products, customers, and behaviours (Annas and Wahab, 2023). Thus, for TMM, clustering also provides various benefits, such as customer segmentation. Through this, TMM can group customers based upon their purchasing patterns, preferences and order size. This helps in the development of targeted marketing campaigns and personalises subscription plans to cater to each customer unit. For example, an environmentally conscious customer segment might respond better to environmentally focused campaigns. Further, classification is also another technique that assigns different data points into categories based on historical patterns (</w:t>
      </w:r>
      <w:proofErr w:type="spellStart"/>
      <w:r w:rsidRPr="000847F7">
        <w:rPr>
          <w:rFonts w:ascii="Times New Roman" w:eastAsia="Times New Roman" w:hAnsi="Times New Roman" w:cs="Times New Roman"/>
          <w:sz w:val="24"/>
          <w:szCs w:val="24"/>
        </w:rPr>
        <w:t>Gheisari</w:t>
      </w:r>
      <w:proofErr w:type="spellEnd"/>
      <w:r w:rsidRPr="000847F7">
        <w:rPr>
          <w:rFonts w:ascii="Times New Roman" w:eastAsia="Times New Roman" w:hAnsi="Times New Roman" w:cs="Times New Roman"/>
          <w:sz w:val="24"/>
          <w:szCs w:val="24"/>
        </w:rPr>
        <w:t xml:space="preserve"> </w:t>
      </w:r>
      <w:r w:rsidRPr="000847F7">
        <w:rPr>
          <w:rFonts w:ascii="Times New Roman" w:eastAsia="Times New Roman" w:hAnsi="Times New Roman" w:cs="Times New Roman"/>
          <w:i/>
          <w:iCs/>
          <w:sz w:val="24"/>
          <w:szCs w:val="24"/>
        </w:rPr>
        <w:t xml:space="preserve">et al., </w:t>
      </w:r>
      <w:r w:rsidRPr="000847F7">
        <w:rPr>
          <w:rFonts w:ascii="Times New Roman" w:eastAsia="Times New Roman" w:hAnsi="Times New Roman" w:cs="Times New Roman"/>
          <w:sz w:val="24"/>
          <w:szCs w:val="24"/>
        </w:rPr>
        <w:t>2023). This, for TMM, would ensure customer churn prediction. Using features like order frequency, delivery delays, and product satisfaction ratings, classification models can help in predicting which customers can cancel a subscription or can reorder. Several tools are enabling TMM to implement classification and clustering. These tools are Python, R, Tableau, etc, as all of them offer powerful and flexible capabilities for deploying machine learning. Under this context, it can be attributed that DM is of utmost relevance for TMM to stay in the competition.</w:t>
      </w:r>
    </w:p>
    <w:p w14:paraId="4D811135" w14:textId="12093452"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4" w:name="_Toc225449192"/>
      <w:r w:rsidRPr="000847F7">
        <w:rPr>
          <w:rFonts w:ascii="Times New Roman" w:eastAsia="Times New Roman" w:hAnsi="Times New Roman" w:cs="Times New Roman"/>
          <w:b/>
          <w:bCs/>
          <w:sz w:val="24"/>
          <w:szCs w:val="24"/>
        </w:rPr>
        <w:lastRenderedPageBreak/>
        <w:t>5. Predictive Analysis</w:t>
      </w:r>
      <w:bookmarkEnd w:id="4"/>
      <w:r w:rsidRPr="000847F7">
        <w:rPr>
          <w:rFonts w:ascii="Times New Roman" w:eastAsia="Times New Roman" w:hAnsi="Times New Roman" w:cs="Times New Roman"/>
          <w:b/>
          <w:bCs/>
          <w:sz w:val="24"/>
          <w:szCs w:val="24"/>
        </w:rPr>
        <w:t xml:space="preserve"> </w:t>
      </w:r>
    </w:p>
    <w:p w14:paraId="6B7E0414"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Predictive analytics is highly important for organisational. Predictive analytics helps companies to anticipate behaviours and trends by applying machine learning, statistical modelling, and different forecasting techniques. Thus, for TMM, predictive analytics is valuable in terms of predicting customer churn and demand focusing. Hence, tools that are suitable for TMM are RapidMiner, Power BI and SPSS. Power BI, as per </w:t>
      </w:r>
      <w:proofErr w:type="spellStart"/>
      <w:r w:rsidRPr="000847F7">
        <w:rPr>
          <w:rFonts w:ascii="Times New Roman" w:eastAsia="Times New Roman" w:hAnsi="Times New Roman" w:cs="Times New Roman"/>
          <w:sz w:val="24"/>
          <w:szCs w:val="24"/>
        </w:rPr>
        <w:t>Talakola</w:t>
      </w:r>
      <w:proofErr w:type="spellEnd"/>
      <w:r w:rsidRPr="000847F7">
        <w:rPr>
          <w:rFonts w:ascii="Times New Roman" w:eastAsia="Times New Roman" w:hAnsi="Times New Roman" w:cs="Times New Roman"/>
          <w:sz w:val="24"/>
          <w:szCs w:val="24"/>
        </w:rPr>
        <w:t xml:space="preserve"> (2022), is of great advantage as it allows seamless integration with cloud-based warehouses. Power BI also supports first-predicted models. Its learning curve also makes it accessible to non-technical teams, which improves decision-making. </w:t>
      </w:r>
    </w:p>
    <w:p w14:paraId="5C6F6DB2"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noProof/>
          <w:sz w:val="24"/>
          <w:szCs w:val="24"/>
        </w:rPr>
        <w:drawing>
          <wp:inline distT="114300" distB="114300" distL="114300" distR="114300" wp14:anchorId="3FC325B3" wp14:editId="3C8A1241">
            <wp:extent cx="5731200" cy="3403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403600"/>
                    </a:xfrm>
                    <a:prstGeom prst="rect">
                      <a:avLst/>
                    </a:prstGeom>
                    <a:ln/>
                  </pic:spPr>
                </pic:pic>
              </a:graphicData>
            </a:graphic>
          </wp:inline>
        </w:drawing>
      </w:r>
    </w:p>
    <w:p w14:paraId="39D03E60"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b/>
          <w:bCs/>
          <w:sz w:val="24"/>
          <w:szCs w:val="24"/>
        </w:rPr>
      </w:pPr>
      <w:r w:rsidRPr="000847F7">
        <w:rPr>
          <w:rFonts w:ascii="Times New Roman" w:eastAsia="Times New Roman" w:hAnsi="Times New Roman" w:cs="Times New Roman"/>
          <w:b/>
          <w:bCs/>
          <w:sz w:val="24"/>
          <w:szCs w:val="24"/>
        </w:rPr>
        <w:t xml:space="preserve">Figure 3: Power BI Desktop </w:t>
      </w:r>
    </w:p>
    <w:p w14:paraId="04F5B442" w14:textId="77777777" w:rsidR="00082EE0" w:rsidRPr="000847F7" w:rsidRDefault="00000000" w:rsidP="000847F7">
      <w:pPr>
        <w:spacing w:before="100" w:beforeAutospacing="1" w:after="100" w:afterAutospacing="1" w:line="360" w:lineRule="auto"/>
        <w:jc w:val="center"/>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(Source: Microsoft, 2024)</w:t>
      </w:r>
    </w:p>
    <w:p w14:paraId="6110F11C"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Further, RapidMiner is another tool that offers a highly advanced environment in which to build machine-learning workflows (</w:t>
      </w:r>
      <w:proofErr w:type="spellStart"/>
      <w:r w:rsidRPr="000847F7">
        <w:rPr>
          <w:rFonts w:ascii="Times New Roman" w:eastAsia="Times New Roman" w:hAnsi="Times New Roman" w:cs="Times New Roman"/>
          <w:sz w:val="24"/>
          <w:szCs w:val="24"/>
        </w:rPr>
        <w:t>Warade</w:t>
      </w:r>
      <w:proofErr w:type="spellEnd"/>
      <w:r w:rsidRPr="000847F7">
        <w:rPr>
          <w:rFonts w:ascii="Times New Roman" w:eastAsia="Times New Roman" w:hAnsi="Times New Roman" w:cs="Times New Roman"/>
          <w:sz w:val="24"/>
          <w:szCs w:val="24"/>
        </w:rPr>
        <w:t xml:space="preserve">, 2025). It supports drag-and-drop modelling, comes with automated feature engineering capabilities, and provides users with comprehensive libraries for different algorithms such as clustering, classification, and time-series forecasting. It is a perfect fit for TMM's data science activities including forecasting subscription patterns, profiling customer segments, or delivery performance modelling. The last tool is SPSS. SPSS </w:t>
      </w:r>
      <w:r w:rsidRPr="000847F7">
        <w:rPr>
          <w:rFonts w:ascii="Times New Roman" w:eastAsia="Times New Roman" w:hAnsi="Times New Roman" w:cs="Times New Roman"/>
          <w:sz w:val="24"/>
          <w:szCs w:val="24"/>
        </w:rPr>
        <w:lastRenderedPageBreak/>
        <w:t xml:space="preserve">offers strong time series, regression and classification tools. For TMM, this tool can be insightful for forecasting customer behaviour. </w:t>
      </w:r>
    </w:p>
    <w:p w14:paraId="61FEB4A8"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In the end, on comparing all these tools, Power BI is the most effective tool in terms of integration with TMM’s DW, as it enables real-time information. Well, together, all these tools ensure subscription forecasting, automated reporting, and route optimisation, which allows TMM to have a data-driven strategy.</w:t>
      </w:r>
    </w:p>
    <w:p w14:paraId="03658A0B" w14:textId="2C774233"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5" w:name="_Toc225449193"/>
      <w:r w:rsidRPr="000847F7">
        <w:rPr>
          <w:rFonts w:ascii="Times New Roman" w:eastAsia="Times New Roman" w:hAnsi="Times New Roman" w:cs="Times New Roman"/>
          <w:b/>
          <w:bCs/>
          <w:sz w:val="24"/>
          <w:szCs w:val="24"/>
        </w:rPr>
        <w:t>6. Ethical and Data Security Considerations</w:t>
      </w:r>
      <w:bookmarkEnd w:id="5"/>
      <w:r w:rsidRPr="000847F7">
        <w:rPr>
          <w:rFonts w:ascii="Times New Roman" w:eastAsia="Times New Roman" w:hAnsi="Times New Roman" w:cs="Times New Roman"/>
          <w:b/>
          <w:bCs/>
          <w:sz w:val="24"/>
          <w:szCs w:val="24"/>
        </w:rPr>
        <w:t xml:space="preserve"> </w:t>
      </w:r>
    </w:p>
    <w:p w14:paraId="696D88E2"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As TMM is focusing on expanding its usage of BI, DM and DW, ensuring ethical data security practices is important. For this, the company needs to comply with GDPR obligations and the UK Data Protection Act 2018, which regulates how personal data is accommodated, stored and processed (Gov.uk, 2018). Furthermore, ethical considerations also concern the ownership and transparency of data. Users should be made aware of how predictive models leverage their past data, especially when these models are used for churn prediction or making personalised recommendations. Ethical BI demands that steps are taken to prevent algorithms from perpetuating bias or making discriminatory choices (</w:t>
      </w:r>
      <w:proofErr w:type="spellStart"/>
      <w:r w:rsidRPr="000847F7">
        <w:rPr>
          <w:rFonts w:ascii="Times New Roman" w:eastAsia="Times New Roman" w:hAnsi="Times New Roman" w:cs="Times New Roman"/>
          <w:sz w:val="24"/>
          <w:szCs w:val="24"/>
        </w:rPr>
        <w:t>Bahangulu</w:t>
      </w:r>
      <w:proofErr w:type="spellEnd"/>
      <w:r w:rsidRPr="000847F7">
        <w:rPr>
          <w:rFonts w:ascii="Times New Roman" w:eastAsia="Times New Roman" w:hAnsi="Times New Roman" w:cs="Times New Roman"/>
          <w:sz w:val="24"/>
          <w:szCs w:val="24"/>
        </w:rPr>
        <w:t xml:space="preserve"> and Owusu-Berko, 2025). Lastly, to ensure increased security, TMM also needs to implement access controls that can restrict data access for authorised staff based on their responsibility and roles. Externally, the company needs to avoid cybersecurity issues like ransomware and phishing attacks. This would need continuous monitoring of systems and software updates. To summarise, it can be stipulated that having a trusted BI system would ensure compliance with ethics and GDPR for TMM. This would again result in regarding consumer trust and organisational resilience. This would also ensure the scaling of the company in the long run. </w:t>
      </w:r>
    </w:p>
    <w:p w14:paraId="2A292B7B" w14:textId="57785C9C"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sz w:val="24"/>
          <w:szCs w:val="24"/>
        </w:rPr>
      </w:pPr>
      <w:bookmarkStart w:id="6" w:name="_Toc225449194"/>
      <w:r w:rsidRPr="000847F7">
        <w:rPr>
          <w:rFonts w:ascii="Times New Roman" w:eastAsia="Times New Roman" w:hAnsi="Times New Roman" w:cs="Times New Roman"/>
          <w:b/>
          <w:bCs/>
          <w:sz w:val="24"/>
          <w:szCs w:val="24"/>
        </w:rPr>
        <w:t>7. Reporting and Dashboard Solutions</w:t>
      </w:r>
      <w:bookmarkEnd w:id="6"/>
      <w:r w:rsidRPr="000847F7">
        <w:rPr>
          <w:rFonts w:ascii="Times New Roman" w:eastAsia="Times New Roman" w:hAnsi="Times New Roman" w:cs="Times New Roman"/>
          <w:b/>
          <w:bCs/>
          <w:sz w:val="24"/>
          <w:szCs w:val="24"/>
        </w:rPr>
        <w:t xml:space="preserve"> </w:t>
      </w:r>
    </w:p>
    <w:p w14:paraId="0875DE4F"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For TMM, reporting and dashboard solutions that might be effective are Tableau and Power BI. This is because Power BI enables carrying out automated data refreshes and creating interactive, organisation-wide dashboards effortlessly (Microsoft, 2025). On the other hand, Tableau is famous for its advanced visual design features. It facilitates more in-depth exploratory analytics and helps in detecting subtle operational trends. Both these dashboards allow the company team to try real-time performances like subscription growth, order volume, delivery times, customer churn risk, inventory turnover, etc. Hence, for TMM, these </w:t>
      </w:r>
      <w:r w:rsidRPr="000847F7">
        <w:rPr>
          <w:rFonts w:ascii="Times New Roman" w:eastAsia="Times New Roman" w:hAnsi="Times New Roman" w:cs="Times New Roman"/>
          <w:sz w:val="24"/>
          <w:szCs w:val="24"/>
        </w:rPr>
        <w:lastRenderedPageBreak/>
        <w:t xml:space="preserve">dashboards can be feasible to visualise waste reduction metrics, packaging return rates, etc. Operational managers get advantages from live route monitoring dashboards showing driver performance, delays, and delivery areas by geography (Rahman, Alam and Mrida, 2025). On the other hand, finance team members are able to use sales and revenue forecasting dashboards that are automated and that help with increasing the accuracy of the planning. Generally, BI dashboards enhance TMM's capacity to make data-based decisions at the right time and to uphold continuous improvement throughout the organisation. Under this context, it would be wise to mention that reporting and dashboard solutions can be very helpful for TMM for quick decision-making. </w:t>
      </w:r>
    </w:p>
    <w:p w14:paraId="2CDE4143" w14:textId="4BD72A9B" w:rsidR="00082EE0" w:rsidRPr="000847F7" w:rsidRDefault="000847F7"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7" w:name="_Toc225449195"/>
      <w:r w:rsidRPr="000847F7">
        <w:rPr>
          <w:rFonts w:ascii="Times New Roman" w:eastAsia="Times New Roman" w:hAnsi="Times New Roman" w:cs="Times New Roman"/>
          <w:b/>
          <w:bCs/>
          <w:sz w:val="24"/>
          <w:szCs w:val="24"/>
        </w:rPr>
        <w:t>8. Conclusion</w:t>
      </w:r>
      <w:bookmarkEnd w:id="7"/>
      <w:r w:rsidRPr="000847F7">
        <w:rPr>
          <w:rFonts w:ascii="Times New Roman" w:eastAsia="Times New Roman" w:hAnsi="Times New Roman" w:cs="Times New Roman"/>
          <w:b/>
          <w:bCs/>
          <w:sz w:val="24"/>
          <w:szCs w:val="24"/>
        </w:rPr>
        <w:t xml:space="preserve"> </w:t>
      </w:r>
    </w:p>
    <w:p w14:paraId="657A6288" w14:textId="77777777" w:rsidR="00082EE0" w:rsidRPr="000847F7" w:rsidRDefault="00000000"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In the end, it can be concluded that this report has been successful in highlighting that BI, DM and DW offer great value for TMM. Being a significantly growing retail and logistics organisation that is focused on sustainability, TMM produces a great amount of operational and customer data. If properly utilised, these can greatly fortify decision-making, efficiency, and long-term competitiveness. Further, the report also demonstrated that predictive tools like Power BI can improve business performance by offering capabilities like forecasting subscription patterns and monitoring outcomes daily. This adds to the overall substantial value. The report also noted the different security considerations, particularly the GDPR compliance. Overall, by an efficient integration of Power BI in TMM, proactive decision-making can be accomplished, which can support sustainable growth and efficiency of TMM while also reinforcing its market position and ensuring a responsive delivery channel. </w:t>
      </w:r>
    </w:p>
    <w:p w14:paraId="2322E847" w14:textId="77777777" w:rsidR="00082EE0" w:rsidRPr="000847F7" w:rsidRDefault="00000000"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8" w:name="_csare83u1k8s" w:colFirst="0" w:colLast="0"/>
      <w:bookmarkEnd w:id="8"/>
      <w:r w:rsidRPr="000847F7">
        <w:rPr>
          <w:sz w:val="24"/>
          <w:szCs w:val="24"/>
        </w:rPr>
        <w:lastRenderedPageBreak/>
        <w:br w:type="page"/>
      </w:r>
    </w:p>
    <w:p w14:paraId="0D35C2B7" w14:textId="77777777" w:rsidR="00082EE0" w:rsidRPr="000847F7" w:rsidRDefault="00000000" w:rsidP="000847F7">
      <w:pPr>
        <w:pStyle w:val="Heading1"/>
        <w:spacing w:before="100" w:beforeAutospacing="1" w:after="100" w:afterAutospacing="1" w:line="360" w:lineRule="auto"/>
        <w:jc w:val="both"/>
        <w:rPr>
          <w:rFonts w:ascii="Times New Roman" w:eastAsia="Times New Roman" w:hAnsi="Times New Roman" w:cs="Times New Roman"/>
          <w:b/>
          <w:bCs/>
          <w:sz w:val="24"/>
          <w:szCs w:val="24"/>
        </w:rPr>
      </w:pPr>
      <w:bookmarkStart w:id="9" w:name="_Toc225449196"/>
      <w:r w:rsidRPr="000847F7">
        <w:rPr>
          <w:rFonts w:ascii="Times New Roman" w:eastAsia="Times New Roman" w:hAnsi="Times New Roman" w:cs="Times New Roman"/>
          <w:b/>
          <w:bCs/>
          <w:sz w:val="24"/>
          <w:szCs w:val="24"/>
        </w:rPr>
        <w:lastRenderedPageBreak/>
        <w:t>References</w:t>
      </w:r>
      <w:bookmarkEnd w:id="9"/>
      <w:r w:rsidRPr="000847F7">
        <w:rPr>
          <w:rFonts w:ascii="Times New Roman" w:eastAsia="Times New Roman" w:hAnsi="Times New Roman" w:cs="Times New Roman"/>
          <w:b/>
          <w:bCs/>
          <w:sz w:val="24"/>
          <w:szCs w:val="24"/>
        </w:rPr>
        <w:t xml:space="preserve"> </w:t>
      </w:r>
    </w:p>
    <w:p w14:paraId="3A61CEBE"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Adewusi, A.O., Okoli, U.I., </w:t>
      </w:r>
      <w:proofErr w:type="spellStart"/>
      <w:r w:rsidRPr="000847F7">
        <w:rPr>
          <w:rFonts w:ascii="Times New Roman" w:eastAsia="Times New Roman" w:hAnsi="Times New Roman" w:cs="Times New Roman"/>
          <w:color w:val="222222"/>
          <w:sz w:val="24"/>
          <w:szCs w:val="24"/>
          <w:highlight w:val="white"/>
        </w:rPr>
        <w:t>Adaga</w:t>
      </w:r>
      <w:proofErr w:type="spellEnd"/>
      <w:r w:rsidRPr="000847F7">
        <w:rPr>
          <w:rFonts w:ascii="Times New Roman" w:eastAsia="Times New Roman" w:hAnsi="Times New Roman" w:cs="Times New Roman"/>
          <w:color w:val="222222"/>
          <w:sz w:val="24"/>
          <w:szCs w:val="24"/>
          <w:highlight w:val="white"/>
        </w:rPr>
        <w:t xml:space="preserve">, E., </w:t>
      </w:r>
      <w:proofErr w:type="spellStart"/>
      <w:r w:rsidRPr="000847F7">
        <w:rPr>
          <w:rFonts w:ascii="Times New Roman" w:eastAsia="Times New Roman" w:hAnsi="Times New Roman" w:cs="Times New Roman"/>
          <w:color w:val="222222"/>
          <w:sz w:val="24"/>
          <w:szCs w:val="24"/>
          <w:highlight w:val="white"/>
        </w:rPr>
        <w:t>Olorunsogo</w:t>
      </w:r>
      <w:proofErr w:type="spellEnd"/>
      <w:r w:rsidRPr="000847F7">
        <w:rPr>
          <w:rFonts w:ascii="Times New Roman" w:eastAsia="Times New Roman" w:hAnsi="Times New Roman" w:cs="Times New Roman"/>
          <w:color w:val="222222"/>
          <w:sz w:val="24"/>
          <w:szCs w:val="24"/>
          <w:highlight w:val="white"/>
        </w:rPr>
        <w:t xml:space="preserve">, T., </w:t>
      </w:r>
      <w:proofErr w:type="spellStart"/>
      <w:r w:rsidRPr="000847F7">
        <w:rPr>
          <w:rFonts w:ascii="Times New Roman" w:eastAsia="Times New Roman" w:hAnsi="Times New Roman" w:cs="Times New Roman"/>
          <w:color w:val="222222"/>
          <w:sz w:val="24"/>
          <w:szCs w:val="24"/>
          <w:highlight w:val="white"/>
        </w:rPr>
        <w:t>Asuzu</w:t>
      </w:r>
      <w:proofErr w:type="spellEnd"/>
      <w:r w:rsidRPr="000847F7">
        <w:rPr>
          <w:rFonts w:ascii="Times New Roman" w:eastAsia="Times New Roman" w:hAnsi="Times New Roman" w:cs="Times New Roman"/>
          <w:color w:val="222222"/>
          <w:sz w:val="24"/>
          <w:szCs w:val="24"/>
          <w:highlight w:val="white"/>
        </w:rPr>
        <w:t xml:space="preserve">, O.F. and </w:t>
      </w:r>
      <w:proofErr w:type="spellStart"/>
      <w:r w:rsidRPr="000847F7">
        <w:rPr>
          <w:rFonts w:ascii="Times New Roman" w:eastAsia="Times New Roman" w:hAnsi="Times New Roman" w:cs="Times New Roman"/>
          <w:color w:val="222222"/>
          <w:sz w:val="24"/>
          <w:szCs w:val="24"/>
          <w:highlight w:val="white"/>
        </w:rPr>
        <w:t>Daraojimba</w:t>
      </w:r>
      <w:proofErr w:type="spellEnd"/>
      <w:r w:rsidRPr="000847F7">
        <w:rPr>
          <w:rFonts w:ascii="Times New Roman" w:eastAsia="Times New Roman" w:hAnsi="Times New Roman" w:cs="Times New Roman"/>
          <w:color w:val="222222"/>
          <w:sz w:val="24"/>
          <w:szCs w:val="24"/>
          <w:highlight w:val="white"/>
        </w:rPr>
        <w:t xml:space="preserve">, D.O. (2024) ‘Business intelligence in the era of big data: A review of analytical tools and competitive advantage’, </w:t>
      </w:r>
      <w:r w:rsidRPr="000847F7">
        <w:rPr>
          <w:rFonts w:ascii="Times New Roman" w:eastAsia="Times New Roman" w:hAnsi="Times New Roman" w:cs="Times New Roman"/>
          <w:i/>
          <w:iCs/>
          <w:color w:val="222222"/>
          <w:sz w:val="24"/>
          <w:szCs w:val="24"/>
          <w:highlight w:val="white"/>
        </w:rPr>
        <w:t>Computer Science &amp; IT Research Journal</w:t>
      </w:r>
      <w:r w:rsidRPr="000847F7">
        <w:rPr>
          <w:rFonts w:ascii="Times New Roman" w:eastAsia="Times New Roman" w:hAnsi="Times New Roman" w:cs="Times New Roman"/>
          <w:color w:val="222222"/>
          <w:sz w:val="24"/>
          <w:szCs w:val="24"/>
          <w:highlight w:val="white"/>
        </w:rPr>
        <w:t>, 5(2), pp.415-431.</w:t>
      </w:r>
    </w:p>
    <w:p w14:paraId="55452198"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Agboola, O.A., </w:t>
      </w:r>
      <w:proofErr w:type="spellStart"/>
      <w:r w:rsidRPr="000847F7">
        <w:rPr>
          <w:rFonts w:ascii="Times New Roman" w:eastAsia="Times New Roman" w:hAnsi="Times New Roman" w:cs="Times New Roman"/>
          <w:color w:val="222222"/>
          <w:sz w:val="24"/>
          <w:szCs w:val="24"/>
          <w:highlight w:val="white"/>
        </w:rPr>
        <w:t>Uzoka</w:t>
      </w:r>
      <w:proofErr w:type="spellEnd"/>
      <w:r w:rsidRPr="000847F7">
        <w:rPr>
          <w:rFonts w:ascii="Times New Roman" w:eastAsia="Times New Roman" w:hAnsi="Times New Roman" w:cs="Times New Roman"/>
          <w:color w:val="222222"/>
          <w:sz w:val="24"/>
          <w:szCs w:val="24"/>
          <w:highlight w:val="white"/>
        </w:rPr>
        <w:t xml:space="preserve">, A.C., Abayomi, A.A., </w:t>
      </w:r>
      <w:proofErr w:type="spellStart"/>
      <w:r w:rsidRPr="000847F7">
        <w:rPr>
          <w:rFonts w:ascii="Times New Roman" w:eastAsia="Times New Roman" w:hAnsi="Times New Roman" w:cs="Times New Roman"/>
          <w:color w:val="222222"/>
          <w:sz w:val="24"/>
          <w:szCs w:val="24"/>
          <w:highlight w:val="white"/>
        </w:rPr>
        <w:t>Ogeawuchi</w:t>
      </w:r>
      <w:proofErr w:type="spellEnd"/>
      <w:r w:rsidRPr="000847F7">
        <w:rPr>
          <w:rFonts w:ascii="Times New Roman" w:eastAsia="Times New Roman" w:hAnsi="Times New Roman" w:cs="Times New Roman"/>
          <w:color w:val="222222"/>
          <w:sz w:val="24"/>
          <w:szCs w:val="24"/>
          <w:highlight w:val="white"/>
        </w:rPr>
        <w:t xml:space="preserve">, J.C., </w:t>
      </w:r>
      <w:proofErr w:type="spellStart"/>
      <w:r w:rsidRPr="000847F7">
        <w:rPr>
          <w:rFonts w:ascii="Times New Roman" w:eastAsia="Times New Roman" w:hAnsi="Times New Roman" w:cs="Times New Roman"/>
          <w:color w:val="222222"/>
          <w:sz w:val="24"/>
          <w:szCs w:val="24"/>
          <w:highlight w:val="white"/>
        </w:rPr>
        <w:t>Ogbuefi</w:t>
      </w:r>
      <w:proofErr w:type="spellEnd"/>
      <w:r w:rsidRPr="000847F7">
        <w:rPr>
          <w:rFonts w:ascii="Times New Roman" w:eastAsia="Times New Roman" w:hAnsi="Times New Roman" w:cs="Times New Roman"/>
          <w:color w:val="222222"/>
          <w:sz w:val="24"/>
          <w:szCs w:val="24"/>
          <w:highlight w:val="white"/>
        </w:rPr>
        <w:t xml:space="preserve">, E. and </w:t>
      </w:r>
      <w:proofErr w:type="spellStart"/>
      <w:r w:rsidRPr="000847F7">
        <w:rPr>
          <w:rFonts w:ascii="Times New Roman" w:eastAsia="Times New Roman" w:hAnsi="Times New Roman" w:cs="Times New Roman"/>
          <w:color w:val="222222"/>
          <w:sz w:val="24"/>
          <w:szCs w:val="24"/>
          <w:highlight w:val="white"/>
        </w:rPr>
        <w:t>Owoade</w:t>
      </w:r>
      <w:proofErr w:type="spellEnd"/>
      <w:r w:rsidRPr="000847F7">
        <w:rPr>
          <w:rFonts w:ascii="Times New Roman" w:eastAsia="Times New Roman" w:hAnsi="Times New Roman" w:cs="Times New Roman"/>
          <w:color w:val="222222"/>
          <w:sz w:val="24"/>
          <w:szCs w:val="24"/>
          <w:highlight w:val="white"/>
        </w:rPr>
        <w:t xml:space="preserve">, S. (2023) ‘Systematic review of best practices in data transformation for streamlined data warehousing and analytics’, </w:t>
      </w:r>
      <w:r w:rsidRPr="000847F7">
        <w:rPr>
          <w:rFonts w:ascii="Times New Roman" w:eastAsia="Times New Roman" w:hAnsi="Times New Roman" w:cs="Times New Roman"/>
          <w:i/>
          <w:iCs/>
          <w:color w:val="222222"/>
          <w:sz w:val="24"/>
          <w:szCs w:val="24"/>
          <w:highlight w:val="white"/>
        </w:rPr>
        <w:t>International Journal of Multidisciplinary Research and Growth Evaluation</w:t>
      </w:r>
      <w:r w:rsidRPr="000847F7">
        <w:rPr>
          <w:rFonts w:ascii="Times New Roman" w:eastAsia="Times New Roman" w:hAnsi="Times New Roman" w:cs="Times New Roman"/>
          <w:color w:val="222222"/>
          <w:sz w:val="24"/>
          <w:szCs w:val="24"/>
          <w:highlight w:val="white"/>
        </w:rPr>
        <w:t>, 4(2), pp.687-694.</w:t>
      </w:r>
    </w:p>
    <w:p w14:paraId="5826A480"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Ahmadi, S. (2023) ‘Optimizing data warehousing performance through machine learning algorithms in the cloud’, </w:t>
      </w:r>
      <w:r w:rsidRPr="000847F7">
        <w:rPr>
          <w:rFonts w:ascii="Times New Roman" w:eastAsia="Times New Roman" w:hAnsi="Times New Roman" w:cs="Times New Roman"/>
          <w:i/>
          <w:iCs/>
          <w:color w:val="222222"/>
          <w:sz w:val="24"/>
          <w:szCs w:val="24"/>
          <w:highlight w:val="white"/>
        </w:rPr>
        <w:t>International Journal of Science and Research</w:t>
      </w:r>
      <w:r w:rsidRPr="000847F7">
        <w:rPr>
          <w:rFonts w:ascii="Times New Roman" w:eastAsia="Times New Roman" w:hAnsi="Times New Roman" w:cs="Times New Roman"/>
          <w:color w:val="222222"/>
          <w:sz w:val="24"/>
          <w:szCs w:val="24"/>
          <w:highlight w:val="white"/>
        </w:rPr>
        <w:t>, 12(12), pp.1859-1867.</w:t>
      </w:r>
    </w:p>
    <w:p w14:paraId="5D81ABFF"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Annas, M. and Wahab, S.N. (2023) ‘Data mining methods: K-means clustering algorithms’, </w:t>
      </w:r>
      <w:r w:rsidRPr="000847F7">
        <w:rPr>
          <w:rFonts w:ascii="Times New Roman" w:eastAsia="Times New Roman" w:hAnsi="Times New Roman" w:cs="Times New Roman"/>
          <w:i/>
          <w:iCs/>
          <w:color w:val="222222"/>
          <w:sz w:val="24"/>
          <w:szCs w:val="24"/>
          <w:highlight w:val="white"/>
        </w:rPr>
        <w:t>International Journal of Cyber​​ and IT Service Management (IJCITSM)</w:t>
      </w:r>
      <w:r w:rsidRPr="000847F7">
        <w:rPr>
          <w:rFonts w:ascii="Times New Roman" w:eastAsia="Times New Roman" w:hAnsi="Times New Roman" w:cs="Times New Roman"/>
          <w:color w:val="222222"/>
          <w:sz w:val="24"/>
          <w:szCs w:val="24"/>
          <w:highlight w:val="white"/>
        </w:rPr>
        <w:t>, 3(1), pp.40-47.</w:t>
      </w:r>
    </w:p>
    <w:p w14:paraId="52B04C3F" w14:textId="4560B2AB"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Arunkumar, M., Rajkumar, K., Jeyaseelan, W.R. and Natraj, N.A. (2025) ‘Data mining, machine learning, and statistical </w:t>
      </w:r>
      <w:proofErr w:type="spellStart"/>
      <w:r w:rsidRPr="000847F7">
        <w:rPr>
          <w:rFonts w:ascii="Times New Roman" w:eastAsia="Times New Roman" w:hAnsi="Times New Roman" w:cs="Times New Roman"/>
          <w:color w:val="222222"/>
          <w:sz w:val="24"/>
          <w:szCs w:val="24"/>
          <w:highlight w:val="white"/>
        </w:rPr>
        <w:t>modeling</w:t>
      </w:r>
      <w:proofErr w:type="spellEnd"/>
      <w:r w:rsidRPr="000847F7">
        <w:rPr>
          <w:rFonts w:ascii="Times New Roman" w:eastAsia="Times New Roman" w:hAnsi="Times New Roman" w:cs="Times New Roman"/>
          <w:color w:val="222222"/>
          <w:sz w:val="24"/>
          <w:szCs w:val="24"/>
          <w:highlight w:val="white"/>
        </w:rPr>
        <w:t xml:space="preserve"> for predictive analytics with </w:t>
      </w:r>
      <w:proofErr w:type="spellStart"/>
      <w:r w:rsidRPr="000847F7">
        <w:rPr>
          <w:rFonts w:ascii="Times New Roman" w:eastAsia="Times New Roman" w:hAnsi="Times New Roman" w:cs="Times New Roman"/>
          <w:color w:val="222222"/>
          <w:sz w:val="24"/>
          <w:szCs w:val="24"/>
          <w:highlight w:val="white"/>
        </w:rPr>
        <w:t>behavioral</w:t>
      </w:r>
      <w:proofErr w:type="spellEnd"/>
      <w:r w:rsidRPr="000847F7">
        <w:rPr>
          <w:rFonts w:ascii="Times New Roman" w:eastAsia="Times New Roman" w:hAnsi="Times New Roman" w:cs="Times New Roman"/>
          <w:color w:val="222222"/>
          <w:sz w:val="24"/>
          <w:szCs w:val="24"/>
          <w:highlight w:val="white"/>
        </w:rPr>
        <w:t xml:space="preserve"> big data’, </w:t>
      </w:r>
      <w:proofErr w:type="spellStart"/>
      <w:r w:rsidRPr="000847F7">
        <w:rPr>
          <w:rFonts w:ascii="Times New Roman" w:eastAsia="Times New Roman" w:hAnsi="Times New Roman" w:cs="Times New Roman"/>
          <w:i/>
          <w:iCs/>
          <w:color w:val="222222"/>
          <w:sz w:val="24"/>
          <w:szCs w:val="24"/>
          <w:highlight w:val="white"/>
        </w:rPr>
        <w:t>Technički</w:t>
      </w:r>
      <w:proofErr w:type="spellEnd"/>
      <w:r w:rsidRPr="000847F7">
        <w:rPr>
          <w:rFonts w:ascii="Times New Roman" w:eastAsia="Times New Roman" w:hAnsi="Times New Roman" w:cs="Times New Roman"/>
          <w:i/>
          <w:iCs/>
          <w:color w:val="222222"/>
          <w:sz w:val="24"/>
          <w:szCs w:val="24"/>
          <w:highlight w:val="white"/>
        </w:rPr>
        <w:t xml:space="preserve"> </w:t>
      </w:r>
      <w:proofErr w:type="spellStart"/>
      <w:r w:rsidRPr="000847F7">
        <w:rPr>
          <w:rFonts w:ascii="Times New Roman" w:eastAsia="Times New Roman" w:hAnsi="Times New Roman" w:cs="Times New Roman"/>
          <w:i/>
          <w:iCs/>
          <w:color w:val="222222"/>
          <w:sz w:val="24"/>
          <w:szCs w:val="24"/>
          <w:highlight w:val="white"/>
        </w:rPr>
        <w:t>Vjesnik</w:t>
      </w:r>
      <w:proofErr w:type="spellEnd"/>
      <w:r w:rsidRPr="000847F7">
        <w:rPr>
          <w:rFonts w:ascii="Times New Roman" w:eastAsia="Times New Roman" w:hAnsi="Times New Roman" w:cs="Times New Roman"/>
          <w:color w:val="222222"/>
          <w:sz w:val="24"/>
          <w:szCs w:val="24"/>
          <w:highlight w:val="white"/>
        </w:rPr>
        <w:t>, 32(1), pp.72-77.</w:t>
      </w:r>
    </w:p>
    <w:p w14:paraId="5069FB55"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0847F7">
        <w:rPr>
          <w:rFonts w:ascii="Times New Roman" w:eastAsia="Times New Roman" w:hAnsi="Times New Roman" w:cs="Times New Roman"/>
          <w:sz w:val="24"/>
          <w:szCs w:val="24"/>
          <w:highlight w:val="white"/>
        </w:rPr>
        <w:t>Bahangulu</w:t>
      </w:r>
      <w:proofErr w:type="spellEnd"/>
      <w:r w:rsidRPr="000847F7">
        <w:rPr>
          <w:rFonts w:ascii="Times New Roman" w:eastAsia="Times New Roman" w:hAnsi="Times New Roman" w:cs="Times New Roman"/>
          <w:sz w:val="24"/>
          <w:szCs w:val="24"/>
          <w:highlight w:val="white"/>
        </w:rPr>
        <w:t xml:space="preserve">, J.K. and Owusu-Berko, L. (2025) ‘Algorithmic bias, data ethics, and governance: Ensuring fairness, transparency and compliance in AI-powered business analytics applications’, </w:t>
      </w:r>
      <w:r w:rsidRPr="000847F7">
        <w:rPr>
          <w:rFonts w:ascii="Times New Roman" w:eastAsia="Times New Roman" w:hAnsi="Times New Roman" w:cs="Times New Roman"/>
          <w:i/>
          <w:iCs/>
          <w:sz w:val="24"/>
          <w:szCs w:val="24"/>
          <w:highlight w:val="white"/>
        </w:rPr>
        <w:t>World Journal of Advanced Research and Reviews</w:t>
      </w:r>
      <w:r w:rsidRPr="000847F7">
        <w:rPr>
          <w:rFonts w:ascii="Times New Roman" w:eastAsia="Times New Roman" w:hAnsi="Times New Roman" w:cs="Times New Roman"/>
          <w:sz w:val="24"/>
          <w:szCs w:val="24"/>
          <w:highlight w:val="white"/>
        </w:rPr>
        <w:t>, 25(2), pp.1746-1763.</w:t>
      </w:r>
    </w:p>
    <w:p w14:paraId="0CDBBBAE" w14:textId="5363DE4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Gath, S. (2024) </w:t>
      </w:r>
      <w:r w:rsidRPr="000847F7">
        <w:rPr>
          <w:rFonts w:ascii="Times New Roman" w:eastAsia="Times New Roman" w:hAnsi="Times New Roman" w:cs="Times New Roman"/>
          <w:i/>
          <w:iCs/>
          <w:color w:val="222222"/>
          <w:sz w:val="24"/>
          <w:szCs w:val="24"/>
          <w:highlight w:val="white"/>
        </w:rPr>
        <w:t>Principle of Data warehousing</w:t>
      </w:r>
      <w:r w:rsidRPr="000847F7">
        <w:rPr>
          <w:rFonts w:ascii="Times New Roman" w:eastAsia="Times New Roman" w:hAnsi="Times New Roman" w:cs="Times New Roman"/>
          <w:color w:val="222222"/>
          <w:sz w:val="24"/>
          <w:szCs w:val="24"/>
          <w:highlight w:val="white"/>
        </w:rPr>
        <w:t>. India: Academic Guru Publishing House.</w:t>
      </w:r>
    </w:p>
    <w:p w14:paraId="64BBC6D8"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proofErr w:type="spellStart"/>
      <w:r w:rsidRPr="000847F7">
        <w:rPr>
          <w:rFonts w:ascii="Times New Roman" w:eastAsia="Times New Roman" w:hAnsi="Times New Roman" w:cs="Times New Roman"/>
          <w:color w:val="222222"/>
          <w:sz w:val="24"/>
          <w:szCs w:val="24"/>
          <w:highlight w:val="white"/>
        </w:rPr>
        <w:t>Gheisari</w:t>
      </w:r>
      <w:proofErr w:type="spellEnd"/>
      <w:r w:rsidRPr="000847F7">
        <w:rPr>
          <w:rFonts w:ascii="Times New Roman" w:eastAsia="Times New Roman" w:hAnsi="Times New Roman" w:cs="Times New Roman"/>
          <w:color w:val="222222"/>
          <w:sz w:val="24"/>
          <w:szCs w:val="24"/>
          <w:highlight w:val="white"/>
        </w:rPr>
        <w:t xml:space="preserve">, M., </w:t>
      </w:r>
      <w:proofErr w:type="spellStart"/>
      <w:r w:rsidRPr="000847F7">
        <w:rPr>
          <w:rFonts w:ascii="Times New Roman" w:eastAsia="Times New Roman" w:hAnsi="Times New Roman" w:cs="Times New Roman"/>
          <w:color w:val="222222"/>
          <w:sz w:val="24"/>
          <w:szCs w:val="24"/>
          <w:highlight w:val="white"/>
        </w:rPr>
        <w:t>Hamidpour</w:t>
      </w:r>
      <w:proofErr w:type="spellEnd"/>
      <w:r w:rsidRPr="000847F7">
        <w:rPr>
          <w:rFonts w:ascii="Times New Roman" w:eastAsia="Times New Roman" w:hAnsi="Times New Roman" w:cs="Times New Roman"/>
          <w:color w:val="222222"/>
          <w:sz w:val="24"/>
          <w:szCs w:val="24"/>
          <w:highlight w:val="white"/>
        </w:rPr>
        <w:t xml:space="preserve">, H., Liu, Y., Saedi, P., Raza, A., Jalili, A., </w:t>
      </w:r>
      <w:proofErr w:type="spellStart"/>
      <w:r w:rsidRPr="000847F7">
        <w:rPr>
          <w:rFonts w:ascii="Times New Roman" w:eastAsia="Times New Roman" w:hAnsi="Times New Roman" w:cs="Times New Roman"/>
          <w:color w:val="222222"/>
          <w:sz w:val="24"/>
          <w:szCs w:val="24"/>
          <w:highlight w:val="white"/>
        </w:rPr>
        <w:t>Rokhsati</w:t>
      </w:r>
      <w:proofErr w:type="spellEnd"/>
      <w:r w:rsidRPr="000847F7">
        <w:rPr>
          <w:rFonts w:ascii="Times New Roman" w:eastAsia="Times New Roman" w:hAnsi="Times New Roman" w:cs="Times New Roman"/>
          <w:color w:val="222222"/>
          <w:sz w:val="24"/>
          <w:szCs w:val="24"/>
          <w:highlight w:val="white"/>
        </w:rPr>
        <w:t xml:space="preserve">, H. and Amin, R. (2023) ‘Data mining techniques for web mining: a survey’, </w:t>
      </w:r>
      <w:r w:rsidRPr="000847F7">
        <w:rPr>
          <w:rFonts w:ascii="Times New Roman" w:eastAsia="Times New Roman" w:hAnsi="Times New Roman" w:cs="Times New Roman"/>
          <w:i/>
          <w:iCs/>
          <w:color w:val="222222"/>
          <w:sz w:val="24"/>
          <w:szCs w:val="24"/>
          <w:highlight w:val="white"/>
        </w:rPr>
        <w:t xml:space="preserve">In Artificial </w:t>
      </w:r>
      <w:proofErr w:type="spellStart"/>
      <w:r w:rsidRPr="000847F7">
        <w:rPr>
          <w:rFonts w:ascii="Times New Roman" w:eastAsia="Times New Roman" w:hAnsi="Times New Roman" w:cs="Times New Roman"/>
          <w:i/>
          <w:iCs/>
          <w:color w:val="222222"/>
          <w:sz w:val="24"/>
          <w:szCs w:val="24"/>
          <w:highlight w:val="white"/>
        </w:rPr>
        <w:t>Intelligencea</w:t>
      </w:r>
      <w:proofErr w:type="spellEnd"/>
      <w:r w:rsidRPr="000847F7">
        <w:rPr>
          <w:rFonts w:ascii="Times New Roman" w:eastAsia="Times New Roman" w:hAnsi="Times New Roman" w:cs="Times New Roman"/>
          <w:i/>
          <w:iCs/>
          <w:color w:val="222222"/>
          <w:sz w:val="24"/>
          <w:szCs w:val="24"/>
          <w:highlight w:val="white"/>
        </w:rPr>
        <w:t xml:space="preserve"> and applications</w:t>
      </w:r>
      <w:r w:rsidRPr="000847F7">
        <w:rPr>
          <w:rFonts w:ascii="Times New Roman" w:eastAsia="Times New Roman" w:hAnsi="Times New Roman" w:cs="Times New Roman"/>
          <w:color w:val="222222"/>
          <w:sz w:val="24"/>
          <w:szCs w:val="24"/>
          <w:highlight w:val="white"/>
        </w:rPr>
        <w:t xml:space="preserve"> (Vol. 1, No. 1, pp. 3-10).</w:t>
      </w:r>
    </w:p>
    <w:p w14:paraId="12C834FF" w14:textId="429EF52D"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Google Cloud (2023) </w:t>
      </w:r>
      <w:proofErr w:type="spellStart"/>
      <w:r w:rsidRPr="000847F7">
        <w:rPr>
          <w:rFonts w:ascii="Times New Roman" w:eastAsia="Times New Roman" w:hAnsi="Times New Roman" w:cs="Times New Roman"/>
          <w:i/>
          <w:iCs/>
          <w:sz w:val="24"/>
          <w:szCs w:val="24"/>
        </w:rPr>
        <w:t>BigQuery</w:t>
      </w:r>
      <w:proofErr w:type="spellEnd"/>
      <w:r w:rsidRPr="000847F7">
        <w:rPr>
          <w:rFonts w:ascii="Times New Roman" w:eastAsia="Times New Roman" w:hAnsi="Times New Roman" w:cs="Times New Roman"/>
          <w:i/>
          <w:iCs/>
          <w:sz w:val="24"/>
          <w:szCs w:val="24"/>
        </w:rPr>
        <w:t>: Cloud Data Warehouse</w:t>
      </w:r>
      <w:r w:rsidRPr="000847F7">
        <w:rPr>
          <w:rFonts w:ascii="Times New Roman" w:eastAsia="Times New Roman" w:hAnsi="Times New Roman" w:cs="Times New Roman"/>
          <w:sz w:val="24"/>
          <w:szCs w:val="24"/>
        </w:rPr>
        <w:t xml:space="preserve">. Available at: </w:t>
      </w:r>
      <w:hyperlink r:id="rId10">
        <w:r w:rsidRPr="000847F7">
          <w:rPr>
            <w:rFonts w:ascii="Times New Roman" w:eastAsia="Times New Roman" w:hAnsi="Times New Roman" w:cs="Times New Roman"/>
            <w:color w:val="1155CC"/>
            <w:sz w:val="24"/>
            <w:szCs w:val="24"/>
            <w:u w:val="single"/>
          </w:rPr>
          <w:t>https://cloud.google.com/bigquery</w:t>
        </w:r>
      </w:hyperlink>
      <w:r w:rsidRPr="000847F7">
        <w:rPr>
          <w:rFonts w:ascii="Times New Roman" w:eastAsia="Times New Roman" w:hAnsi="Times New Roman" w:cs="Times New Roman"/>
          <w:sz w:val="24"/>
          <w:szCs w:val="24"/>
        </w:rPr>
        <w:t xml:space="preserve"> (Accessed: 26 March 2026).</w:t>
      </w:r>
    </w:p>
    <w:p w14:paraId="25A5DD06" w14:textId="52813A1B"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GOV.UK (2018) </w:t>
      </w:r>
      <w:r w:rsidRPr="000847F7">
        <w:rPr>
          <w:rFonts w:ascii="Times New Roman" w:eastAsia="Times New Roman" w:hAnsi="Times New Roman" w:cs="Times New Roman"/>
          <w:i/>
          <w:iCs/>
          <w:sz w:val="24"/>
          <w:szCs w:val="24"/>
        </w:rPr>
        <w:t>Data Protection Act 2018</w:t>
      </w:r>
      <w:r w:rsidRPr="000847F7">
        <w:rPr>
          <w:rFonts w:ascii="Times New Roman" w:eastAsia="Times New Roman" w:hAnsi="Times New Roman" w:cs="Times New Roman"/>
          <w:sz w:val="24"/>
          <w:szCs w:val="24"/>
        </w:rPr>
        <w:t xml:space="preserve">. Available at: </w:t>
      </w:r>
      <w:hyperlink r:id="rId11">
        <w:r w:rsidRPr="000847F7">
          <w:rPr>
            <w:rFonts w:ascii="Times New Roman" w:eastAsia="Times New Roman" w:hAnsi="Times New Roman" w:cs="Times New Roman"/>
            <w:color w:val="1155CC"/>
            <w:sz w:val="24"/>
            <w:szCs w:val="24"/>
            <w:u w:val="single"/>
          </w:rPr>
          <w:t>https://www.legislation.gov.uk/ukpga/2018/12/contents</w:t>
        </w:r>
      </w:hyperlink>
      <w:r w:rsidRPr="000847F7">
        <w:rPr>
          <w:rFonts w:ascii="Times New Roman" w:eastAsia="Times New Roman" w:hAnsi="Times New Roman" w:cs="Times New Roman"/>
          <w:sz w:val="24"/>
          <w:szCs w:val="24"/>
        </w:rPr>
        <w:t xml:space="preserve"> (Accessed: 26 March 2026).</w:t>
      </w:r>
    </w:p>
    <w:p w14:paraId="671D0678"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lastRenderedPageBreak/>
        <w:t xml:space="preserve">Jameel, K., Adil, A. and Bahjat, M. (2022) ‘Analyses the performance of data warehouse architecture types’, </w:t>
      </w:r>
      <w:r w:rsidRPr="000847F7">
        <w:rPr>
          <w:rFonts w:ascii="Times New Roman" w:eastAsia="Times New Roman" w:hAnsi="Times New Roman" w:cs="Times New Roman"/>
          <w:i/>
          <w:iCs/>
          <w:color w:val="222222"/>
          <w:sz w:val="24"/>
          <w:szCs w:val="24"/>
          <w:highlight w:val="white"/>
        </w:rPr>
        <w:t>Journal of Soft Computing and Data Mining</w:t>
      </w:r>
      <w:r w:rsidRPr="000847F7">
        <w:rPr>
          <w:rFonts w:ascii="Times New Roman" w:eastAsia="Times New Roman" w:hAnsi="Times New Roman" w:cs="Times New Roman"/>
          <w:color w:val="222222"/>
          <w:sz w:val="24"/>
          <w:szCs w:val="24"/>
          <w:highlight w:val="white"/>
        </w:rPr>
        <w:t>, 3(1), pp.45-57.</w:t>
      </w:r>
    </w:p>
    <w:p w14:paraId="5F8E1AE2" w14:textId="21B25C0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Microsoft (2024) </w:t>
      </w:r>
      <w:r w:rsidRPr="000847F7">
        <w:rPr>
          <w:rFonts w:ascii="Times New Roman" w:eastAsia="Times New Roman" w:hAnsi="Times New Roman" w:cs="Times New Roman"/>
          <w:i/>
          <w:iCs/>
          <w:sz w:val="24"/>
          <w:szCs w:val="24"/>
        </w:rPr>
        <w:t>Power BI Desktop | Microsoft Power Platform</w:t>
      </w:r>
      <w:r w:rsidRPr="000847F7">
        <w:rPr>
          <w:rFonts w:ascii="Times New Roman" w:eastAsia="Times New Roman" w:hAnsi="Times New Roman" w:cs="Times New Roman"/>
          <w:sz w:val="24"/>
          <w:szCs w:val="24"/>
        </w:rPr>
        <w:t xml:space="preserve">. Available at: </w:t>
      </w:r>
      <w:hyperlink r:id="rId12">
        <w:r w:rsidRPr="000847F7">
          <w:rPr>
            <w:rFonts w:ascii="Times New Roman" w:eastAsia="Times New Roman" w:hAnsi="Times New Roman" w:cs="Times New Roman"/>
            <w:color w:val="1155CC"/>
            <w:sz w:val="24"/>
            <w:szCs w:val="24"/>
            <w:u w:val="single"/>
          </w:rPr>
          <w:t>https://www.microsoft.com/en-us/power-platform/products/power-bi/desktop</w:t>
        </w:r>
      </w:hyperlink>
      <w:r w:rsidRPr="000847F7">
        <w:rPr>
          <w:rFonts w:ascii="Times New Roman" w:eastAsia="Times New Roman" w:hAnsi="Times New Roman" w:cs="Times New Roman"/>
          <w:sz w:val="24"/>
          <w:szCs w:val="24"/>
        </w:rPr>
        <w:t xml:space="preserve"> (Accessed: 26 March 2026). </w:t>
      </w:r>
    </w:p>
    <w:p w14:paraId="69AA4284" w14:textId="31BFAF3C"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Microsoft (2025) </w:t>
      </w:r>
      <w:r w:rsidRPr="000847F7">
        <w:rPr>
          <w:rFonts w:ascii="Times New Roman" w:eastAsia="Times New Roman" w:hAnsi="Times New Roman" w:cs="Times New Roman"/>
          <w:i/>
          <w:iCs/>
          <w:sz w:val="24"/>
          <w:szCs w:val="24"/>
        </w:rPr>
        <w:t>Power BI - Data Visualization | Microsoft Power Platform</w:t>
      </w:r>
      <w:r w:rsidRPr="000847F7">
        <w:rPr>
          <w:rFonts w:ascii="Times New Roman" w:eastAsia="Times New Roman" w:hAnsi="Times New Roman" w:cs="Times New Roman"/>
          <w:sz w:val="24"/>
          <w:szCs w:val="24"/>
        </w:rPr>
        <w:t xml:space="preserve">. Available at: </w:t>
      </w:r>
      <w:hyperlink r:id="rId13">
        <w:r w:rsidRPr="000847F7">
          <w:rPr>
            <w:rFonts w:ascii="Times New Roman" w:eastAsia="Times New Roman" w:hAnsi="Times New Roman" w:cs="Times New Roman"/>
            <w:color w:val="1155CC"/>
            <w:sz w:val="24"/>
            <w:szCs w:val="24"/>
            <w:u w:val="single"/>
          </w:rPr>
          <w:t>https://www.microsoft.com/en-us/power-platform/products/power-bi</w:t>
        </w:r>
      </w:hyperlink>
      <w:r w:rsidRPr="000847F7">
        <w:rPr>
          <w:rFonts w:ascii="Times New Roman" w:eastAsia="Times New Roman" w:hAnsi="Times New Roman" w:cs="Times New Roman"/>
          <w:sz w:val="24"/>
          <w:szCs w:val="24"/>
        </w:rPr>
        <w:t xml:space="preserve"> (Accessed: 26 March 2026).</w:t>
      </w:r>
    </w:p>
    <w:p w14:paraId="43C6A9CE"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highlight w:val="white"/>
        </w:rPr>
      </w:pPr>
      <w:r w:rsidRPr="000847F7">
        <w:rPr>
          <w:rFonts w:ascii="Times New Roman" w:eastAsia="Times New Roman" w:hAnsi="Times New Roman" w:cs="Times New Roman"/>
          <w:sz w:val="24"/>
          <w:szCs w:val="24"/>
          <w:highlight w:val="white"/>
        </w:rPr>
        <w:t xml:space="preserve">Rahman, M.A., Alam, M.S. and Mrida, M.S.H. (2025) ‘How interactive dashboards improve managerial decision-making in operations management’, </w:t>
      </w:r>
      <w:r w:rsidRPr="000847F7">
        <w:rPr>
          <w:rFonts w:ascii="Times New Roman" w:eastAsia="Times New Roman" w:hAnsi="Times New Roman" w:cs="Times New Roman"/>
          <w:i/>
          <w:iCs/>
          <w:sz w:val="24"/>
          <w:szCs w:val="24"/>
          <w:highlight w:val="white"/>
        </w:rPr>
        <w:t>American Journal of Advanced Technology and Engineering Solutions</w:t>
      </w:r>
      <w:r w:rsidRPr="000847F7">
        <w:rPr>
          <w:rFonts w:ascii="Times New Roman" w:eastAsia="Times New Roman" w:hAnsi="Times New Roman" w:cs="Times New Roman"/>
          <w:sz w:val="24"/>
          <w:szCs w:val="24"/>
          <w:highlight w:val="white"/>
        </w:rPr>
        <w:t>, 1(01), pp.122-146.</w:t>
      </w:r>
    </w:p>
    <w:p w14:paraId="376D143C" w14:textId="176DBA8A"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Rushton, A., Croucher, P., Baker, P. and </w:t>
      </w:r>
      <w:proofErr w:type="spellStart"/>
      <w:r w:rsidRPr="000847F7">
        <w:rPr>
          <w:rFonts w:ascii="Times New Roman" w:eastAsia="Times New Roman" w:hAnsi="Times New Roman" w:cs="Times New Roman"/>
          <w:color w:val="222222"/>
          <w:sz w:val="24"/>
          <w:szCs w:val="24"/>
          <w:highlight w:val="white"/>
        </w:rPr>
        <w:t>Koliousis</w:t>
      </w:r>
      <w:proofErr w:type="spellEnd"/>
      <w:r w:rsidRPr="000847F7">
        <w:rPr>
          <w:rFonts w:ascii="Times New Roman" w:eastAsia="Times New Roman" w:hAnsi="Times New Roman" w:cs="Times New Roman"/>
          <w:color w:val="222222"/>
          <w:sz w:val="24"/>
          <w:szCs w:val="24"/>
          <w:highlight w:val="white"/>
        </w:rPr>
        <w:t xml:space="preserve">, I. (2026) </w:t>
      </w:r>
      <w:r w:rsidRPr="000847F7">
        <w:rPr>
          <w:rFonts w:ascii="Times New Roman" w:eastAsia="Times New Roman" w:hAnsi="Times New Roman" w:cs="Times New Roman"/>
          <w:i/>
          <w:iCs/>
          <w:color w:val="222222"/>
          <w:sz w:val="24"/>
          <w:szCs w:val="24"/>
          <w:highlight w:val="white"/>
        </w:rPr>
        <w:t>The handbook of logistics and distribution management: Understanding the supply chain</w:t>
      </w:r>
      <w:r w:rsidRPr="000847F7">
        <w:rPr>
          <w:rFonts w:ascii="Times New Roman" w:eastAsia="Times New Roman" w:hAnsi="Times New Roman" w:cs="Times New Roman"/>
          <w:color w:val="222222"/>
          <w:sz w:val="24"/>
          <w:szCs w:val="24"/>
          <w:highlight w:val="white"/>
        </w:rPr>
        <w:t>. London: Kogan Page Publishers.</w:t>
      </w:r>
    </w:p>
    <w:p w14:paraId="6EAE17D0"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proofErr w:type="spellStart"/>
      <w:r w:rsidRPr="000847F7">
        <w:rPr>
          <w:rFonts w:ascii="Times New Roman" w:eastAsia="Times New Roman" w:hAnsi="Times New Roman" w:cs="Times New Roman"/>
          <w:color w:val="222222"/>
          <w:sz w:val="24"/>
          <w:szCs w:val="24"/>
          <w:highlight w:val="white"/>
        </w:rPr>
        <w:t>Talakola</w:t>
      </w:r>
      <w:proofErr w:type="spellEnd"/>
      <w:r w:rsidRPr="000847F7">
        <w:rPr>
          <w:rFonts w:ascii="Times New Roman" w:eastAsia="Times New Roman" w:hAnsi="Times New Roman" w:cs="Times New Roman"/>
          <w:color w:val="222222"/>
          <w:sz w:val="24"/>
          <w:szCs w:val="24"/>
          <w:highlight w:val="white"/>
        </w:rPr>
        <w:t xml:space="preserve">, S. (2022) ‘Analytics and reporting with Google Cloud platform and Microsoft Power BI’, </w:t>
      </w:r>
      <w:r w:rsidRPr="000847F7">
        <w:rPr>
          <w:rFonts w:ascii="Times New Roman" w:eastAsia="Times New Roman" w:hAnsi="Times New Roman" w:cs="Times New Roman"/>
          <w:i/>
          <w:iCs/>
          <w:color w:val="222222"/>
          <w:sz w:val="24"/>
          <w:szCs w:val="24"/>
          <w:highlight w:val="white"/>
        </w:rPr>
        <w:t>International Journal of Artificial Intelligence, Data Science, and Machine Learning</w:t>
      </w:r>
      <w:r w:rsidRPr="000847F7">
        <w:rPr>
          <w:rFonts w:ascii="Times New Roman" w:eastAsia="Times New Roman" w:hAnsi="Times New Roman" w:cs="Times New Roman"/>
          <w:color w:val="222222"/>
          <w:sz w:val="24"/>
          <w:szCs w:val="24"/>
          <w:highlight w:val="white"/>
        </w:rPr>
        <w:t>, 3(2), pp.43-52.</w:t>
      </w:r>
    </w:p>
    <w:p w14:paraId="27D4747C" w14:textId="180C7A62"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rPr>
      </w:pPr>
      <w:r w:rsidRPr="000847F7">
        <w:rPr>
          <w:rFonts w:ascii="Times New Roman" w:eastAsia="Times New Roman" w:hAnsi="Times New Roman" w:cs="Times New Roman"/>
          <w:sz w:val="24"/>
          <w:szCs w:val="24"/>
        </w:rPr>
        <w:t xml:space="preserve">TMM (2026) </w:t>
      </w:r>
      <w:r w:rsidRPr="000847F7">
        <w:rPr>
          <w:rFonts w:ascii="Times New Roman" w:eastAsia="Times New Roman" w:hAnsi="Times New Roman" w:cs="Times New Roman"/>
          <w:i/>
          <w:iCs/>
          <w:sz w:val="24"/>
          <w:szCs w:val="24"/>
        </w:rPr>
        <w:t>The Modern Milkman</w:t>
      </w:r>
      <w:r w:rsidRPr="000847F7">
        <w:rPr>
          <w:rFonts w:ascii="Times New Roman" w:eastAsia="Times New Roman" w:hAnsi="Times New Roman" w:cs="Times New Roman"/>
          <w:sz w:val="24"/>
          <w:szCs w:val="24"/>
        </w:rPr>
        <w:t xml:space="preserve">. Available at: </w:t>
      </w:r>
      <w:hyperlink r:id="rId14">
        <w:r w:rsidRPr="000847F7">
          <w:rPr>
            <w:rFonts w:ascii="Times New Roman" w:eastAsia="Times New Roman" w:hAnsi="Times New Roman" w:cs="Times New Roman"/>
            <w:color w:val="1155CC"/>
            <w:sz w:val="24"/>
            <w:szCs w:val="24"/>
            <w:u w:val="single"/>
          </w:rPr>
          <w:t>https://themodernmilkman.co.uk/</w:t>
        </w:r>
      </w:hyperlink>
      <w:r w:rsidRPr="000847F7">
        <w:rPr>
          <w:rFonts w:ascii="Times New Roman" w:eastAsia="Times New Roman" w:hAnsi="Times New Roman" w:cs="Times New Roman"/>
          <w:sz w:val="24"/>
          <w:szCs w:val="24"/>
        </w:rPr>
        <w:t xml:space="preserve"> (Accessed: 26 March 2026).</w:t>
      </w:r>
    </w:p>
    <w:p w14:paraId="1C857E82"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r w:rsidRPr="000847F7">
        <w:rPr>
          <w:rFonts w:ascii="Times New Roman" w:eastAsia="Times New Roman" w:hAnsi="Times New Roman" w:cs="Times New Roman"/>
          <w:color w:val="222222"/>
          <w:sz w:val="24"/>
          <w:szCs w:val="24"/>
          <w:highlight w:val="white"/>
        </w:rPr>
        <w:t xml:space="preserve">Usman, M., Moinuddin, M. and Khan, R. (2024) ‘Unlocking insights: harnessing the power of business intelligence for strategic growth’, </w:t>
      </w:r>
      <w:r w:rsidRPr="000847F7">
        <w:rPr>
          <w:rFonts w:ascii="Times New Roman" w:eastAsia="Times New Roman" w:hAnsi="Times New Roman" w:cs="Times New Roman"/>
          <w:i/>
          <w:iCs/>
          <w:color w:val="222222"/>
          <w:sz w:val="24"/>
          <w:szCs w:val="24"/>
          <w:highlight w:val="white"/>
        </w:rPr>
        <w:t>International Journal of Advanced Engineering Technologies and Innovations</w:t>
      </w:r>
      <w:r w:rsidRPr="000847F7">
        <w:rPr>
          <w:rFonts w:ascii="Times New Roman" w:eastAsia="Times New Roman" w:hAnsi="Times New Roman" w:cs="Times New Roman"/>
          <w:color w:val="222222"/>
          <w:sz w:val="24"/>
          <w:szCs w:val="24"/>
          <w:highlight w:val="white"/>
        </w:rPr>
        <w:t>, 4(1), pp.97-117.</w:t>
      </w:r>
    </w:p>
    <w:p w14:paraId="48530350"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sz w:val="24"/>
          <w:szCs w:val="24"/>
          <w:highlight w:val="white"/>
        </w:rPr>
      </w:pPr>
      <w:proofErr w:type="spellStart"/>
      <w:r w:rsidRPr="000847F7">
        <w:rPr>
          <w:rFonts w:ascii="Times New Roman" w:eastAsia="Times New Roman" w:hAnsi="Times New Roman" w:cs="Times New Roman"/>
          <w:sz w:val="24"/>
          <w:szCs w:val="24"/>
          <w:highlight w:val="white"/>
        </w:rPr>
        <w:t>Vineş</w:t>
      </w:r>
      <w:proofErr w:type="spellEnd"/>
      <w:r w:rsidRPr="000847F7">
        <w:rPr>
          <w:rFonts w:ascii="Times New Roman" w:eastAsia="Times New Roman" w:hAnsi="Times New Roman" w:cs="Times New Roman"/>
          <w:sz w:val="24"/>
          <w:szCs w:val="24"/>
          <w:highlight w:val="white"/>
        </w:rPr>
        <w:t xml:space="preserve">, A. and </w:t>
      </w:r>
      <w:proofErr w:type="spellStart"/>
      <w:r w:rsidRPr="000847F7">
        <w:rPr>
          <w:rFonts w:ascii="Times New Roman" w:eastAsia="Times New Roman" w:hAnsi="Times New Roman" w:cs="Times New Roman"/>
          <w:sz w:val="24"/>
          <w:szCs w:val="24"/>
          <w:highlight w:val="white"/>
        </w:rPr>
        <w:t>Samoilă</w:t>
      </w:r>
      <w:proofErr w:type="spellEnd"/>
      <w:r w:rsidRPr="000847F7">
        <w:rPr>
          <w:rFonts w:ascii="Times New Roman" w:eastAsia="Times New Roman" w:hAnsi="Times New Roman" w:cs="Times New Roman"/>
          <w:sz w:val="24"/>
          <w:szCs w:val="24"/>
          <w:highlight w:val="white"/>
        </w:rPr>
        <w:t xml:space="preserve">, R.E. (2023) ‘An overview of data vault methodology and its benefits’, </w:t>
      </w:r>
      <w:r w:rsidRPr="000847F7">
        <w:rPr>
          <w:rFonts w:ascii="Times New Roman" w:eastAsia="Times New Roman" w:hAnsi="Times New Roman" w:cs="Times New Roman"/>
          <w:i/>
          <w:iCs/>
          <w:sz w:val="24"/>
          <w:szCs w:val="24"/>
          <w:highlight w:val="white"/>
        </w:rPr>
        <w:t>Informatica Economica</w:t>
      </w:r>
      <w:r w:rsidRPr="000847F7">
        <w:rPr>
          <w:rFonts w:ascii="Times New Roman" w:eastAsia="Times New Roman" w:hAnsi="Times New Roman" w:cs="Times New Roman"/>
          <w:sz w:val="24"/>
          <w:szCs w:val="24"/>
          <w:highlight w:val="white"/>
        </w:rPr>
        <w:t>, 27(2), pp.15-24.</w:t>
      </w:r>
    </w:p>
    <w:p w14:paraId="33B2F5D8" w14:textId="77777777" w:rsidR="000847F7" w:rsidRPr="000847F7" w:rsidRDefault="000847F7" w:rsidP="000847F7">
      <w:pPr>
        <w:spacing w:before="100" w:beforeAutospacing="1" w:after="100" w:afterAutospacing="1" w:line="360" w:lineRule="auto"/>
        <w:jc w:val="both"/>
        <w:rPr>
          <w:rFonts w:ascii="Times New Roman" w:eastAsia="Times New Roman" w:hAnsi="Times New Roman" w:cs="Times New Roman"/>
          <w:color w:val="222222"/>
          <w:sz w:val="24"/>
          <w:szCs w:val="24"/>
          <w:highlight w:val="white"/>
        </w:rPr>
      </w:pPr>
      <w:proofErr w:type="spellStart"/>
      <w:r w:rsidRPr="000847F7">
        <w:rPr>
          <w:rFonts w:ascii="Times New Roman" w:eastAsia="Times New Roman" w:hAnsi="Times New Roman" w:cs="Times New Roman"/>
          <w:color w:val="222222"/>
          <w:sz w:val="24"/>
          <w:szCs w:val="24"/>
          <w:highlight w:val="white"/>
        </w:rPr>
        <w:t>Warade</w:t>
      </w:r>
      <w:proofErr w:type="spellEnd"/>
      <w:r w:rsidRPr="000847F7">
        <w:rPr>
          <w:rFonts w:ascii="Times New Roman" w:eastAsia="Times New Roman" w:hAnsi="Times New Roman" w:cs="Times New Roman"/>
          <w:color w:val="222222"/>
          <w:sz w:val="24"/>
          <w:szCs w:val="24"/>
          <w:highlight w:val="white"/>
        </w:rPr>
        <w:t xml:space="preserve">, J. (2025) ‘AI Based Predictive Modelling for Internal Quality Control: A Machine Learning Approach Using Altair RapidMiner’, </w:t>
      </w:r>
      <w:r w:rsidRPr="000847F7">
        <w:rPr>
          <w:rFonts w:ascii="Times New Roman" w:eastAsia="Times New Roman" w:hAnsi="Times New Roman" w:cs="Times New Roman"/>
          <w:i/>
          <w:iCs/>
          <w:color w:val="222222"/>
          <w:sz w:val="24"/>
          <w:szCs w:val="24"/>
          <w:highlight w:val="white"/>
        </w:rPr>
        <w:t>EJIFCC</w:t>
      </w:r>
      <w:r w:rsidRPr="000847F7">
        <w:rPr>
          <w:rFonts w:ascii="Times New Roman" w:eastAsia="Times New Roman" w:hAnsi="Times New Roman" w:cs="Times New Roman"/>
          <w:color w:val="222222"/>
          <w:sz w:val="24"/>
          <w:szCs w:val="24"/>
          <w:highlight w:val="white"/>
        </w:rPr>
        <w:t>, 36(4), p.491.</w:t>
      </w:r>
    </w:p>
    <w:p w14:paraId="4E84B6A2" w14:textId="77777777" w:rsidR="00082EE0" w:rsidRPr="000847F7" w:rsidRDefault="00082EE0" w:rsidP="000847F7">
      <w:pPr>
        <w:spacing w:before="100" w:beforeAutospacing="1" w:after="100" w:afterAutospacing="1" w:line="360" w:lineRule="auto"/>
        <w:rPr>
          <w:sz w:val="24"/>
          <w:szCs w:val="24"/>
        </w:rPr>
      </w:pPr>
    </w:p>
    <w:sectPr w:rsidR="00082EE0" w:rsidRPr="000847F7">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D51EB8" w14:textId="77777777" w:rsidR="00A31E9E" w:rsidRDefault="00A31E9E">
      <w:pPr>
        <w:spacing w:line="240" w:lineRule="auto"/>
      </w:pPr>
      <w:r>
        <w:separator/>
      </w:r>
    </w:p>
  </w:endnote>
  <w:endnote w:type="continuationSeparator" w:id="0">
    <w:p w14:paraId="601F57D5" w14:textId="77777777" w:rsidR="00A31E9E" w:rsidRDefault="00A31E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A451F6E0-CC43-DA4E-9931-DF32DD942757}"/>
    <w:embedBold r:id="rId2" w:fontKey="{D50EBA57-C82C-734B-8B07-3BB599298F93}"/>
    <w:embedItalic r:id="rId3" w:fontKey="{303885FB-34E4-0943-BE3F-F10347A81309}"/>
  </w:font>
  <w:font w:name="Arial">
    <w:panose1 w:val="020B0604020202020204"/>
    <w:charset w:val="00"/>
    <w:family w:val="swiss"/>
    <w:pitch w:val="variable"/>
    <w:sig w:usb0="E0002EFF" w:usb1="C000785B" w:usb2="00000009" w:usb3="00000000" w:csb0="000001FF" w:csb1="00000000"/>
    <w:embedRegular r:id="rId4" w:fontKey="{D33233E8-6A15-4047-9207-999FE896025E}"/>
    <w:embedBold r:id="rId5" w:fontKey="{9FE175C2-0CA1-BC45-A896-C3EF94DCF88B}"/>
    <w:embedItalic r:id="rId6" w:fontKey="{0D2F2CC8-451B-3644-809A-D0396C3C00B8}"/>
  </w:font>
  <w:font w:name="Calibri">
    <w:panose1 w:val="020F0502020204030204"/>
    <w:charset w:val="00"/>
    <w:family w:val="swiss"/>
    <w:pitch w:val="variable"/>
    <w:sig w:usb0="E4002EFF" w:usb1="C000247B" w:usb2="00000009" w:usb3="00000000" w:csb0="000001FF" w:csb1="00000000"/>
    <w:embedRegular r:id="rId7" w:fontKey="{F5DE178B-AA5C-694E-8DB3-2D72519714FB}"/>
  </w:font>
  <w:font w:name="Cambria">
    <w:panose1 w:val="02040503050406030204"/>
    <w:charset w:val="00"/>
    <w:family w:val="roman"/>
    <w:pitch w:val="variable"/>
    <w:sig w:usb0="E00006FF" w:usb1="420024FF" w:usb2="02000000" w:usb3="00000000" w:csb0="0000019F" w:csb1="00000000"/>
    <w:embedRegular r:id="rId8" w:fontKey="{EEC159CF-7177-524F-A319-A6688748CDA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FFC242" w14:textId="77777777" w:rsidR="00082EE0" w:rsidRDefault="00000000">
    <w:pPr>
      <w:jc w:val="right"/>
    </w:pPr>
    <w:r>
      <w:fldChar w:fldCharType="begin"/>
    </w:r>
    <w:r>
      <w:instrText>PAGE</w:instrText>
    </w:r>
    <w:r>
      <w:fldChar w:fldCharType="separate"/>
    </w:r>
    <w:r w:rsidR="000847F7">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5BF79F" w14:textId="77777777" w:rsidR="00A31E9E" w:rsidRDefault="00A31E9E">
      <w:pPr>
        <w:spacing w:line="240" w:lineRule="auto"/>
      </w:pPr>
      <w:r>
        <w:separator/>
      </w:r>
    </w:p>
  </w:footnote>
  <w:footnote w:type="continuationSeparator" w:id="0">
    <w:p w14:paraId="4527A872" w14:textId="77777777" w:rsidR="00A31E9E" w:rsidRDefault="00A31E9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791403"/>
    <w:multiLevelType w:val="multilevel"/>
    <w:tmpl w:val="F7E24F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D12676E"/>
    <w:multiLevelType w:val="multilevel"/>
    <w:tmpl w:val="85385B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4817993">
    <w:abstractNumId w:val="0"/>
  </w:num>
  <w:num w:numId="2" w16cid:durableId="934748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EE0"/>
    <w:rsid w:val="00082EE0"/>
    <w:rsid w:val="000847F7"/>
    <w:rsid w:val="00310F18"/>
    <w:rsid w:val="0046106F"/>
    <w:rsid w:val="006F41EA"/>
    <w:rsid w:val="006F4306"/>
    <w:rsid w:val="00821540"/>
    <w:rsid w:val="00A31E9E"/>
    <w:rsid w:val="00AD6E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4EE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0847F7"/>
    <w:pPr>
      <w:spacing w:after="100"/>
    </w:pPr>
  </w:style>
  <w:style w:type="character" w:styleId="Hyperlink">
    <w:name w:val="Hyperlink"/>
    <w:basedOn w:val="DefaultParagraphFont"/>
    <w:uiPriority w:val="99"/>
    <w:unhideWhenUsed/>
    <w:rsid w:val="000847F7"/>
    <w:rPr>
      <w:color w:val="0000FF" w:themeColor="hyperlink"/>
      <w:u w:val="single"/>
    </w:rPr>
  </w:style>
  <w:style w:type="paragraph" w:styleId="Header">
    <w:name w:val="header"/>
    <w:basedOn w:val="Normal"/>
    <w:link w:val="HeaderChar"/>
    <w:uiPriority w:val="99"/>
    <w:unhideWhenUsed/>
    <w:rsid w:val="006F4306"/>
    <w:pPr>
      <w:tabs>
        <w:tab w:val="center" w:pos="4513"/>
        <w:tab w:val="right" w:pos="9026"/>
      </w:tabs>
      <w:spacing w:line="240" w:lineRule="auto"/>
    </w:pPr>
  </w:style>
  <w:style w:type="character" w:customStyle="1" w:styleId="HeaderChar">
    <w:name w:val="Header Char"/>
    <w:basedOn w:val="DefaultParagraphFont"/>
    <w:link w:val="Header"/>
    <w:uiPriority w:val="99"/>
    <w:rsid w:val="006F4306"/>
  </w:style>
  <w:style w:type="paragraph" w:styleId="Footer">
    <w:name w:val="footer"/>
    <w:basedOn w:val="Normal"/>
    <w:link w:val="FooterChar"/>
    <w:uiPriority w:val="99"/>
    <w:unhideWhenUsed/>
    <w:rsid w:val="006F4306"/>
    <w:pPr>
      <w:tabs>
        <w:tab w:val="center" w:pos="4513"/>
        <w:tab w:val="right" w:pos="9026"/>
      </w:tabs>
      <w:spacing w:line="240" w:lineRule="auto"/>
    </w:pPr>
  </w:style>
  <w:style w:type="character" w:customStyle="1" w:styleId="FooterChar">
    <w:name w:val="Footer Char"/>
    <w:basedOn w:val="DefaultParagraphFont"/>
    <w:link w:val="Footer"/>
    <w:uiPriority w:val="99"/>
    <w:rsid w:val="006F43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crosoft.com/en-us/power-platform/products/power-bi"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crosoft.com/en-us/power-platform/products/power-bi/desktop"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8/12/conten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loud.google.com/bigquer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themodernmilkman.co.uk/"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3038</Words>
  <Characters>17317</Characters>
  <Application>Microsoft Office Word</Application>
  <DocSecurity>0</DocSecurity>
  <Lines>144</Lines>
  <Paragraphs>40</Paragraphs>
  <ScaleCrop>false</ScaleCrop>
  <Company/>
  <LinksUpToDate>false</LinksUpToDate>
  <CharactersWithSpaces>20315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2026-03-26T14:59:00Z</dcterms:created>
  <dcterms:modified xsi:type="dcterms:W3CDTF">2026-03-27T22:04:00Z</dcterms:modified>
</cp:coreProperties>
</file>