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E9B80" w14:textId="46E8D1ED" w:rsidR="001D2854" w:rsidRDefault="00825494">
      <w:r>
        <w:rPr>
          <w:noProof/>
        </w:rPr>
        <w:drawing>
          <wp:inline distT="0" distB="0" distL="0" distR="0" wp14:anchorId="6CCA405F" wp14:editId="25C50B97">
            <wp:extent cx="5760720" cy="2764790"/>
            <wp:effectExtent l="0" t="0" r="0" b="0"/>
            <wp:docPr id="1793435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43509" name="Picture 179343509"/>
                    <pic:cNvPicPr/>
                  </pic:nvPicPr>
                  <pic:blipFill>
                    <a:blip r:embed="rId8"/>
                    <a:stretch>
                      <a:fillRect/>
                    </a:stretch>
                  </pic:blipFill>
                  <pic:spPr>
                    <a:xfrm>
                      <a:off x="0" y="0"/>
                      <a:ext cx="5760720" cy="2764790"/>
                    </a:xfrm>
                    <a:prstGeom prst="rect">
                      <a:avLst/>
                    </a:prstGeom>
                  </pic:spPr>
                </pic:pic>
              </a:graphicData>
            </a:graphic>
          </wp:inline>
        </w:drawing>
      </w:r>
    </w:p>
    <w:p w14:paraId="1EF00525" w14:textId="77777777" w:rsidR="001D2854" w:rsidRDefault="001D2854"/>
    <w:p w14:paraId="790210BD" w14:textId="1085324C" w:rsidR="001D2854" w:rsidRDefault="00134A87">
      <w:pPr>
        <w:spacing w:after="360"/>
        <w:jc w:val="center"/>
      </w:pPr>
      <w:r w:rsidRPr="00134A87">
        <w:rPr>
          <w:b/>
          <w:color w:val="1F3864"/>
          <w:sz w:val="40"/>
        </w:rPr>
        <w:t>ACCA7028</w:t>
      </w:r>
      <w:r>
        <w:rPr>
          <w:b/>
          <w:color w:val="1F3864"/>
          <w:sz w:val="40"/>
        </w:rPr>
        <w:t xml:space="preserve"> — </w:t>
      </w:r>
      <w:r w:rsidRPr="00134A87">
        <w:rPr>
          <w:b/>
          <w:color w:val="1F3864"/>
          <w:sz w:val="40"/>
        </w:rPr>
        <w:t>Data Security, Governance and Compliance</w:t>
      </w:r>
    </w:p>
    <w:p w14:paraId="717A8580" w14:textId="07278779" w:rsidR="001D2854" w:rsidRDefault="001D2854"/>
    <w:p w14:paraId="0C10919D" w14:textId="77777777" w:rsidR="00825494" w:rsidRDefault="00825494"/>
    <w:p w14:paraId="3E559756" w14:textId="7CD4B874" w:rsidR="00825494" w:rsidRPr="00825494" w:rsidRDefault="00825494" w:rsidP="00825494">
      <w:pPr>
        <w:jc w:val="center"/>
        <w:rPr>
          <w:sz w:val="40"/>
          <w:szCs w:val="40"/>
        </w:rPr>
      </w:pPr>
      <w:r w:rsidRPr="00825494">
        <w:rPr>
          <w:sz w:val="40"/>
          <w:szCs w:val="40"/>
        </w:rPr>
        <w:t>Name: Dev Vijaykumar Gajera (2538542)</w:t>
      </w:r>
    </w:p>
    <w:p w14:paraId="4C168FF6" w14:textId="7C6DB316" w:rsidR="00825494" w:rsidRPr="00825494" w:rsidRDefault="00825494" w:rsidP="00825494">
      <w:pPr>
        <w:jc w:val="center"/>
        <w:rPr>
          <w:sz w:val="40"/>
          <w:szCs w:val="40"/>
        </w:rPr>
      </w:pPr>
      <w:r w:rsidRPr="00825494">
        <w:rPr>
          <w:sz w:val="40"/>
          <w:szCs w:val="40"/>
        </w:rPr>
        <w:t>Lecturer: Dr Ayman El Hajjar</w:t>
      </w:r>
    </w:p>
    <w:p w14:paraId="0E2C4611" w14:textId="77777777" w:rsidR="00825494" w:rsidRDefault="00825494"/>
    <w:p w14:paraId="3CE53811" w14:textId="77777777" w:rsidR="00825494" w:rsidRDefault="00825494"/>
    <w:p w14:paraId="08A7CD52" w14:textId="77777777" w:rsidR="00825494" w:rsidRDefault="00825494"/>
    <w:p w14:paraId="4C27C57A" w14:textId="77777777" w:rsidR="00825494" w:rsidRDefault="00825494"/>
    <w:p w14:paraId="350DD51B" w14:textId="77777777" w:rsidR="00825494" w:rsidRDefault="00825494"/>
    <w:p w14:paraId="38BDBE80" w14:textId="77777777" w:rsidR="00825494" w:rsidRDefault="00825494"/>
    <w:p w14:paraId="17671CBC" w14:textId="77777777" w:rsidR="00825494" w:rsidRDefault="00825494"/>
    <w:p w14:paraId="6E37372B" w14:textId="77777777" w:rsidR="00825494" w:rsidRDefault="00825494"/>
    <w:p w14:paraId="26F54F0F" w14:textId="77777777" w:rsidR="00825494" w:rsidRDefault="00825494"/>
    <w:p w14:paraId="4FFBA745" w14:textId="77777777" w:rsidR="00825494" w:rsidRDefault="00825494"/>
    <w:p w14:paraId="150474CA" w14:textId="77777777" w:rsidR="00825494" w:rsidRDefault="00825494"/>
    <w:p w14:paraId="046075BE" w14:textId="2039C5AD" w:rsidR="001D2854" w:rsidRDefault="003850F0">
      <w:pPr>
        <w:pStyle w:val="Heading1"/>
      </w:pPr>
      <w:r>
        <w:lastRenderedPageBreak/>
        <w:t>Table</w:t>
      </w:r>
      <w:r w:rsidR="00000000">
        <w:t xml:space="preserve"> </w:t>
      </w:r>
      <w:r>
        <w:t>of</w:t>
      </w:r>
      <w:r w:rsidR="00000000">
        <w:t xml:space="preserve"> </w:t>
      </w:r>
      <w:r>
        <w:t>Contents</w:t>
      </w:r>
    </w:p>
    <w:p w14:paraId="03919F6B" w14:textId="375B1D99" w:rsidR="001D2854" w:rsidRDefault="003850F0">
      <w:pPr>
        <w:tabs>
          <w:tab w:val="right" w:leader="dot" w:pos="9071"/>
        </w:tabs>
        <w:spacing w:after="80"/>
      </w:pPr>
      <w:r>
        <w:rPr>
          <w:b/>
        </w:rPr>
        <w:t>Abstra</w:t>
      </w:r>
      <w:r w:rsidR="00000000">
        <w:rPr>
          <w:b/>
        </w:rPr>
        <w:t>c</w:t>
      </w:r>
      <w:r>
        <w:rPr>
          <w:b/>
        </w:rPr>
        <w:t>t</w:t>
      </w:r>
      <w:r w:rsidR="00000000">
        <w:rPr>
          <w:b/>
        </w:rPr>
        <w:tab/>
      </w:r>
      <w:r>
        <w:rPr>
          <w:b/>
        </w:rPr>
        <w:t>3</w:t>
      </w:r>
    </w:p>
    <w:p w14:paraId="049D717D" w14:textId="4899F7BE" w:rsidR="001D2854" w:rsidRDefault="00000000">
      <w:pPr>
        <w:tabs>
          <w:tab w:val="right" w:leader="dot" w:pos="9071"/>
        </w:tabs>
        <w:spacing w:after="80"/>
      </w:pPr>
      <w:r>
        <w:rPr>
          <w:b/>
        </w:rPr>
        <w:t xml:space="preserve">1. </w:t>
      </w:r>
      <w:r w:rsidR="003850F0">
        <w:rPr>
          <w:b/>
        </w:rPr>
        <w:t>Introduction</w:t>
      </w:r>
      <w:r>
        <w:rPr>
          <w:b/>
        </w:rPr>
        <w:tab/>
        <w:t>3</w:t>
      </w:r>
    </w:p>
    <w:p w14:paraId="271782EE" w14:textId="38E6D8E3" w:rsidR="001D2854" w:rsidRDefault="003850F0">
      <w:pPr>
        <w:tabs>
          <w:tab w:val="right" w:leader="dot" w:pos="9071"/>
        </w:tabs>
        <w:spacing w:after="80"/>
      </w:pPr>
      <w:r>
        <w:rPr>
          <w:b/>
        </w:rPr>
        <w:t>2</w:t>
      </w:r>
      <w:r w:rsidR="00000000">
        <w:rPr>
          <w:b/>
        </w:rPr>
        <w:t xml:space="preserve">. Research into IT </w:t>
      </w:r>
      <w:r>
        <w:rPr>
          <w:b/>
        </w:rPr>
        <w:t>Security</w:t>
      </w:r>
      <w:r w:rsidR="00000000">
        <w:rPr>
          <w:b/>
        </w:rPr>
        <w:t xml:space="preserve"> Frameworks </w:t>
      </w:r>
      <w:r>
        <w:rPr>
          <w:b/>
        </w:rPr>
        <w:t>and</w:t>
      </w:r>
      <w:r w:rsidR="00000000">
        <w:rPr>
          <w:b/>
        </w:rPr>
        <w:t xml:space="preserve"> Models</w:t>
      </w:r>
      <w:r w:rsidR="00000000">
        <w:rPr>
          <w:b/>
        </w:rPr>
        <w:tab/>
        <w:t>3</w:t>
      </w:r>
    </w:p>
    <w:p w14:paraId="4C06B8FB" w14:textId="385678AA" w:rsidR="001D2854" w:rsidRDefault="003850F0">
      <w:pPr>
        <w:tabs>
          <w:tab w:val="right" w:leader="dot" w:pos="9071"/>
        </w:tabs>
        <w:spacing w:after="40"/>
        <w:ind w:left="454"/>
      </w:pPr>
      <w:r>
        <w:rPr>
          <w:sz w:val="20"/>
        </w:rPr>
        <w:t>2</w:t>
      </w:r>
      <w:r w:rsidR="00000000">
        <w:rPr>
          <w:sz w:val="20"/>
        </w:rPr>
        <w:t>.</w:t>
      </w:r>
      <w:r>
        <w:rPr>
          <w:sz w:val="20"/>
        </w:rPr>
        <w:t>1</w:t>
      </w:r>
      <w:r w:rsidR="00000000">
        <w:rPr>
          <w:sz w:val="20"/>
        </w:rPr>
        <w:t xml:space="preserve"> </w:t>
      </w:r>
      <w:r>
        <w:rPr>
          <w:sz w:val="20"/>
        </w:rPr>
        <w:t>NIST</w:t>
      </w:r>
      <w:r w:rsidR="00000000">
        <w:rPr>
          <w:sz w:val="20"/>
        </w:rPr>
        <w:t xml:space="preserve"> Cybersecurity Framework (CSF)</w:t>
      </w:r>
      <w:r>
        <w:rPr>
          <w:sz w:val="20"/>
        </w:rPr>
        <w:t xml:space="preserve"> 2.0</w:t>
      </w:r>
      <w:r w:rsidR="00000000">
        <w:rPr>
          <w:sz w:val="20"/>
        </w:rPr>
        <w:tab/>
      </w:r>
      <w:r>
        <w:rPr>
          <w:sz w:val="20"/>
        </w:rPr>
        <w:t>4</w:t>
      </w:r>
    </w:p>
    <w:p w14:paraId="38F34AD4" w14:textId="52D91712" w:rsidR="001D2854" w:rsidRDefault="003850F0">
      <w:pPr>
        <w:tabs>
          <w:tab w:val="right" w:leader="dot" w:pos="9071"/>
        </w:tabs>
        <w:spacing w:after="40"/>
        <w:ind w:left="454"/>
      </w:pPr>
      <w:r>
        <w:rPr>
          <w:sz w:val="20"/>
        </w:rPr>
        <w:t>2</w:t>
      </w:r>
      <w:r w:rsidR="00000000">
        <w:rPr>
          <w:sz w:val="20"/>
        </w:rPr>
        <w:t>.2 ISO/IEC 27001</w:t>
      </w:r>
      <w:r w:rsidR="00000000">
        <w:rPr>
          <w:sz w:val="20"/>
        </w:rPr>
        <w:tab/>
        <w:t>4</w:t>
      </w:r>
    </w:p>
    <w:p w14:paraId="688A7217" w14:textId="77777777" w:rsidR="001D2854" w:rsidRDefault="00000000">
      <w:pPr>
        <w:tabs>
          <w:tab w:val="right" w:leader="dot" w:pos="9071"/>
        </w:tabs>
        <w:spacing w:after="40"/>
        <w:ind w:left="454"/>
      </w:pPr>
      <w:r>
        <w:rPr>
          <w:sz w:val="20"/>
        </w:rPr>
        <w:t>2.3 COBIT 2019</w:t>
      </w:r>
      <w:r>
        <w:rPr>
          <w:sz w:val="20"/>
        </w:rPr>
        <w:tab/>
        <w:t>4</w:t>
      </w:r>
    </w:p>
    <w:p w14:paraId="2247DCB6" w14:textId="77777777" w:rsidR="001D2854" w:rsidRDefault="00000000">
      <w:pPr>
        <w:tabs>
          <w:tab w:val="right" w:leader="dot" w:pos="9071"/>
        </w:tabs>
        <w:spacing w:after="40"/>
        <w:ind w:left="454"/>
      </w:pPr>
      <w:r>
        <w:rPr>
          <w:sz w:val="20"/>
        </w:rPr>
        <w:t>2.4 ITIL 4</w:t>
      </w:r>
      <w:r>
        <w:rPr>
          <w:sz w:val="20"/>
        </w:rPr>
        <w:tab/>
        <w:t>4</w:t>
      </w:r>
    </w:p>
    <w:p w14:paraId="39EAEB5D" w14:textId="77777777" w:rsidR="001D2854" w:rsidRDefault="00000000">
      <w:pPr>
        <w:tabs>
          <w:tab w:val="right" w:leader="dot" w:pos="9071"/>
        </w:tabs>
        <w:spacing w:after="40"/>
        <w:ind w:left="454"/>
      </w:pPr>
      <w:r>
        <w:rPr>
          <w:sz w:val="20"/>
        </w:rPr>
        <w:t>2.5 Towards an Integrated Model</w:t>
      </w:r>
      <w:r>
        <w:rPr>
          <w:sz w:val="20"/>
        </w:rPr>
        <w:tab/>
        <w:t>5</w:t>
      </w:r>
    </w:p>
    <w:p w14:paraId="04541FF0" w14:textId="77777777" w:rsidR="001D2854" w:rsidRDefault="00000000">
      <w:pPr>
        <w:tabs>
          <w:tab w:val="right" w:leader="dot" w:pos="9071"/>
        </w:tabs>
        <w:spacing w:after="80"/>
      </w:pPr>
      <w:r>
        <w:rPr>
          <w:b/>
        </w:rPr>
        <w:t>3. Case Context and Stated Assumptions</w:t>
      </w:r>
      <w:r>
        <w:rPr>
          <w:b/>
        </w:rPr>
        <w:tab/>
        <w:t>6</w:t>
      </w:r>
    </w:p>
    <w:p w14:paraId="2A59E2CD" w14:textId="6F35C8F3" w:rsidR="001D2854" w:rsidRDefault="00000000">
      <w:pPr>
        <w:tabs>
          <w:tab w:val="right" w:leader="dot" w:pos="9071"/>
        </w:tabs>
        <w:spacing w:after="80"/>
      </w:pPr>
      <w:r>
        <w:rPr>
          <w:b/>
        </w:rPr>
        <w:t xml:space="preserve">4. Proposed Design </w:t>
      </w:r>
      <w:r w:rsidR="00825494">
        <w:rPr>
          <w:b/>
        </w:rPr>
        <w:t>Approach</w:t>
      </w:r>
      <w:r>
        <w:rPr>
          <w:b/>
        </w:rPr>
        <w:t xml:space="preserve"> for </w:t>
      </w:r>
      <w:r w:rsidR="00825494">
        <w:rPr>
          <w:b/>
        </w:rPr>
        <w:t>Aero Link</w:t>
      </w:r>
      <w:r>
        <w:rPr>
          <w:b/>
        </w:rPr>
        <w:t xml:space="preserve"> Logistics</w:t>
      </w:r>
      <w:r>
        <w:rPr>
          <w:b/>
        </w:rPr>
        <w:tab/>
        <w:t>6</w:t>
      </w:r>
    </w:p>
    <w:p w14:paraId="05D5CBE0" w14:textId="190F9FB2" w:rsidR="003850F0" w:rsidRPr="003850F0" w:rsidRDefault="003850F0" w:rsidP="003850F0">
      <w:pPr>
        <w:tabs>
          <w:tab w:val="right" w:leader="dot" w:pos="9071"/>
        </w:tabs>
        <w:spacing w:after="80"/>
        <w:rPr>
          <w:sz w:val="20"/>
        </w:rPr>
      </w:pPr>
      <w:r>
        <w:rPr>
          <w:sz w:val="20"/>
        </w:rPr>
        <w:t xml:space="preserve">         </w:t>
      </w:r>
      <w:r w:rsidRPr="003850F0">
        <w:rPr>
          <w:sz w:val="20"/>
        </w:rPr>
        <w:t>4.1 Governance and Strategic Planning for Security</w:t>
      </w:r>
      <w:r w:rsidRPr="003850F0">
        <w:rPr>
          <w:sz w:val="20"/>
        </w:rPr>
        <w:tab/>
        <w:t>7</w:t>
      </w:r>
    </w:p>
    <w:p w14:paraId="75FB0186" w14:textId="5505ED49" w:rsidR="003850F0" w:rsidRPr="003850F0" w:rsidRDefault="003850F0" w:rsidP="003850F0">
      <w:pPr>
        <w:tabs>
          <w:tab w:val="right" w:leader="dot" w:pos="9071"/>
        </w:tabs>
        <w:spacing w:after="80"/>
        <w:rPr>
          <w:sz w:val="20"/>
        </w:rPr>
      </w:pPr>
      <w:r>
        <w:rPr>
          <w:sz w:val="20"/>
        </w:rPr>
        <w:t xml:space="preserve">         </w:t>
      </w:r>
      <w:r w:rsidRPr="003850F0">
        <w:rPr>
          <w:sz w:val="20"/>
        </w:rPr>
        <w:t>4.2 Security Policies and Procedures</w:t>
      </w:r>
      <w:r w:rsidRPr="003850F0">
        <w:rPr>
          <w:sz w:val="20"/>
        </w:rPr>
        <w:tab/>
        <w:t>7</w:t>
      </w:r>
    </w:p>
    <w:p w14:paraId="397677E1" w14:textId="2D99CCD3" w:rsidR="003850F0" w:rsidRPr="003850F0" w:rsidRDefault="003850F0" w:rsidP="003850F0">
      <w:pPr>
        <w:tabs>
          <w:tab w:val="right" w:leader="dot" w:pos="9071"/>
        </w:tabs>
        <w:spacing w:after="80"/>
        <w:rPr>
          <w:sz w:val="20"/>
        </w:rPr>
      </w:pPr>
      <w:r>
        <w:rPr>
          <w:sz w:val="20"/>
        </w:rPr>
        <w:t xml:space="preserve">         </w:t>
      </w:r>
      <w:r w:rsidRPr="003850F0">
        <w:rPr>
          <w:sz w:val="20"/>
        </w:rPr>
        <w:t>4.3 Risk Management and Assessment</w:t>
      </w:r>
      <w:r w:rsidRPr="003850F0">
        <w:rPr>
          <w:sz w:val="20"/>
        </w:rPr>
        <w:tab/>
        <w:t>8</w:t>
      </w:r>
    </w:p>
    <w:p w14:paraId="10E1B281" w14:textId="5920BF67" w:rsidR="003850F0" w:rsidRPr="003850F0" w:rsidRDefault="003850F0" w:rsidP="003850F0">
      <w:pPr>
        <w:tabs>
          <w:tab w:val="right" w:leader="dot" w:pos="9071"/>
        </w:tabs>
        <w:spacing w:after="80"/>
        <w:rPr>
          <w:sz w:val="20"/>
        </w:rPr>
      </w:pPr>
      <w:r>
        <w:rPr>
          <w:sz w:val="20"/>
        </w:rPr>
        <w:t xml:space="preserve">         </w:t>
      </w:r>
      <w:r w:rsidRPr="003850F0">
        <w:rPr>
          <w:sz w:val="20"/>
        </w:rPr>
        <w:t>4.4 Security Management Models and Practices</w:t>
      </w:r>
      <w:r w:rsidRPr="003850F0">
        <w:rPr>
          <w:sz w:val="20"/>
        </w:rPr>
        <w:tab/>
        <w:t>8</w:t>
      </w:r>
    </w:p>
    <w:p w14:paraId="3D89C871" w14:textId="2A92D697" w:rsidR="003850F0" w:rsidRPr="003850F0" w:rsidRDefault="003850F0" w:rsidP="003850F0">
      <w:pPr>
        <w:tabs>
          <w:tab w:val="right" w:leader="dot" w:pos="9071"/>
        </w:tabs>
        <w:spacing w:after="80"/>
        <w:rPr>
          <w:sz w:val="20"/>
        </w:rPr>
      </w:pPr>
      <w:r>
        <w:rPr>
          <w:sz w:val="20"/>
        </w:rPr>
        <w:t xml:space="preserve">         </w:t>
      </w:r>
      <w:r w:rsidRPr="003850F0">
        <w:rPr>
          <w:sz w:val="20"/>
        </w:rPr>
        <w:t>4.5 Protection Mechanisms and Access Controls</w:t>
      </w:r>
      <w:r w:rsidRPr="003850F0">
        <w:rPr>
          <w:sz w:val="20"/>
        </w:rPr>
        <w:tab/>
        <w:t>8</w:t>
      </w:r>
    </w:p>
    <w:p w14:paraId="69DB7F20" w14:textId="1BA9206B" w:rsidR="003850F0" w:rsidRPr="003850F0" w:rsidRDefault="003850F0" w:rsidP="003850F0">
      <w:pPr>
        <w:tabs>
          <w:tab w:val="right" w:leader="dot" w:pos="9071"/>
        </w:tabs>
        <w:spacing w:after="80"/>
        <w:rPr>
          <w:sz w:val="20"/>
        </w:rPr>
      </w:pPr>
      <w:r>
        <w:rPr>
          <w:sz w:val="20"/>
        </w:rPr>
        <w:t xml:space="preserve">         </w:t>
      </w:r>
      <w:r w:rsidRPr="003850F0">
        <w:rPr>
          <w:sz w:val="20"/>
        </w:rPr>
        <w:t>4.6 Vendor and Service Level Agreement (SLA) Management</w:t>
      </w:r>
      <w:r w:rsidRPr="003850F0">
        <w:rPr>
          <w:sz w:val="20"/>
        </w:rPr>
        <w:tab/>
        <w:t>8</w:t>
      </w:r>
    </w:p>
    <w:p w14:paraId="24A8D3EE" w14:textId="6AC22CB8" w:rsidR="003850F0" w:rsidRPr="003850F0" w:rsidRDefault="003850F0" w:rsidP="003850F0">
      <w:pPr>
        <w:tabs>
          <w:tab w:val="right" w:leader="dot" w:pos="9071"/>
        </w:tabs>
        <w:spacing w:after="80"/>
        <w:rPr>
          <w:sz w:val="20"/>
        </w:rPr>
      </w:pPr>
      <w:r>
        <w:rPr>
          <w:sz w:val="20"/>
        </w:rPr>
        <w:t xml:space="preserve">         </w:t>
      </w:r>
      <w:r w:rsidRPr="003850F0">
        <w:rPr>
          <w:sz w:val="20"/>
        </w:rPr>
        <w:t>4.7 Contingency and Business Continuity Planning</w:t>
      </w:r>
      <w:r w:rsidRPr="003850F0">
        <w:rPr>
          <w:sz w:val="20"/>
        </w:rPr>
        <w:tab/>
        <w:t>9</w:t>
      </w:r>
    </w:p>
    <w:p w14:paraId="30C70D19" w14:textId="1B4FA474" w:rsidR="003850F0" w:rsidRDefault="003850F0" w:rsidP="003850F0">
      <w:pPr>
        <w:tabs>
          <w:tab w:val="right" w:leader="dot" w:pos="9071"/>
        </w:tabs>
        <w:spacing w:after="80"/>
        <w:rPr>
          <w:sz w:val="20"/>
        </w:rPr>
      </w:pPr>
      <w:r>
        <w:rPr>
          <w:sz w:val="20"/>
        </w:rPr>
        <w:t xml:space="preserve">         </w:t>
      </w:r>
      <w:r w:rsidRPr="003850F0">
        <w:rPr>
          <w:sz w:val="20"/>
        </w:rPr>
        <w:t>4.8 Compliance (Laws and Ethics)</w:t>
      </w:r>
      <w:r w:rsidRPr="003850F0">
        <w:rPr>
          <w:sz w:val="20"/>
        </w:rPr>
        <w:tab/>
        <w:t>9</w:t>
      </w:r>
    </w:p>
    <w:p w14:paraId="41737FC0" w14:textId="06381695" w:rsidR="001D2854" w:rsidRDefault="00000000" w:rsidP="003850F0">
      <w:pPr>
        <w:tabs>
          <w:tab w:val="right" w:leader="dot" w:pos="9071"/>
        </w:tabs>
        <w:spacing w:after="80"/>
      </w:pPr>
      <w:r>
        <w:rPr>
          <w:b/>
        </w:rPr>
        <w:t>5. Critical Discussion: Why Continuous Regulatory and Standards Updates Matter</w:t>
      </w:r>
      <w:r>
        <w:rPr>
          <w:b/>
        </w:rPr>
        <w:tab/>
        <w:t>9</w:t>
      </w:r>
    </w:p>
    <w:p w14:paraId="06F8B9AD" w14:textId="77777777" w:rsidR="001D2854" w:rsidRDefault="00000000">
      <w:pPr>
        <w:tabs>
          <w:tab w:val="right" w:leader="dot" w:pos="9071"/>
        </w:tabs>
        <w:spacing w:after="80"/>
      </w:pPr>
      <w:r>
        <w:rPr>
          <w:b/>
        </w:rPr>
        <w:t>6. Conclusion</w:t>
      </w:r>
      <w:r>
        <w:rPr>
          <w:b/>
        </w:rPr>
        <w:tab/>
        <w:t>10</w:t>
      </w:r>
    </w:p>
    <w:p w14:paraId="0EF7DBEC" w14:textId="77777777" w:rsidR="001D2854" w:rsidRDefault="00000000">
      <w:pPr>
        <w:tabs>
          <w:tab w:val="right" w:leader="dot" w:pos="9071"/>
        </w:tabs>
        <w:spacing w:after="80"/>
      </w:pPr>
      <w:r>
        <w:rPr>
          <w:b/>
        </w:rPr>
        <w:t>References</w:t>
      </w:r>
      <w:r>
        <w:rPr>
          <w:b/>
        </w:rPr>
        <w:tab/>
        <w:t>11</w:t>
      </w:r>
    </w:p>
    <w:p w14:paraId="55BC9771" w14:textId="77777777" w:rsidR="001D2854" w:rsidRDefault="00000000">
      <w:r>
        <w:br w:type="page"/>
      </w:r>
    </w:p>
    <w:p w14:paraId="3F0AB86C" w14:textId="77777777" w:rsidR="001D2854" w:rsidRDefault="00000000">
      <w:pPr>
        <w:pStyle w:val="Heading1"/>
      </w:pPr>
      <w:r>
        <w:lastRenderedPageBreak/>
        <w:t>Abstract</w:t>
      </w:r>
    </w:p>
    <w:p w14:paraId="1951D011" w14:textId="52054DFE" w:rsidR="001D2854" w:rsidRDefault="00000000">
      <w:pPr>
        <w:spacing w:after="200"/>
        <w:jc w:val="both"/>
      </w:pPr>
      <w:r>
        <w:t xml:space="preserve">AeroLink Logistics (ALL) is a fairly typical example of what happens when a company's technology moves faster than its governance. Over the past few years the firm has leaned heavily on cloud platforms, IoT tracking sensors and AI-driven analytics to keep its global shipping operations running, and roughly 88% of its IT infrastructure now sits with outside vendors. That approach has clear operational benefits, but it has also left ALL exposed: several breaches involving client shipment records and customer personal data have already occurred, and the company still has no unified security framework, no central process for managing risk, and no formal programme for checking its practices against standards such as GDPR or ISO 27001. This report looks at how ALL might close that gap. Drawing on peer-reviewed research and four widely used frameworks, the </w:t>
      </w:r>
      <w:r w:rsidR="003850F0" w:rsidRPr="003850F0">
        <w:t>NIST Cybersecurity Framework 2.0, ISO/IEC 27001, COBIT 2019 and ITIL 4</w:t>
      </w:r>
      <w:r>
        <w:t>, it sets out a governance and security model built around ALL's actual situation rather than a generic checklist. The proposal covers strategic governance, policy, risk assessment, access control, vendor and SLA oversight, and business continuity, and it makes the case that reviewing these arrangements once and leaving them alone is not enough; regulations, threats and technology all keep moving, so the framework has to be revisited regularly. Assumptions about ALL's size, budget and regulatory reach are noted where they shape the recommendations.</w:t>
      </w:r>
    </w:p>
    <w:p w14:paraId="72A7E4EE" w14:textId="77777777" w:rsidR="001D2854" w:rsidRDefault="00000000">
      <w:pPr>
        <w:pStyle w:val="Heading1"/>
      </w:pPr>
      <w:r>
        <w:t>1. Introduction</w:t>
      </w:r>
    </w:p>
    <w:p w14:paraId="2E06669D" w14:textId="77777777" w:rsidR="001D2854" w:rsidRDefault="00000000">
      <w:pPr>
        <w:spacing w:after="200"/>
        <w:jc w:val="both"/>
      </w:pPr>
      <w:r>
        <w:t>Most organisations now run some mix of cloud services, IoT devices and AI tools, and each addition tends to widen the attack surface a little further. Once systems start talking to each other across borders and through different service providers, the risk of a data breach, an unauthorised login, or a regulatory slip-up goes up as well (Salas-Riega et al., 2025). That leaves IT professionals with a broader job than just protecting data: they also have to make sure the organisation's overall security posture actually lines up with its governance framework and whatever compliance obligations apply.</w:t>
      </w:r>
    </w:p>
    <w:p w14:paraId="469B5B18" w14:textId="77777777" w:rsidR="001D2854" w:rsidRDefault="00000000">
      <w:pPr>
        <w:spacing w:after="200"/>
        <w:jc w:val="both"/>
      </w:pPr>
      <w:r>
        <w:t>This report works through established security frameworks and applies them to AeroLink Logistics (ALL), a multinational logistics company used as the case study. Section 2 looks at four frameworks in common use — NIST CSF 2.0, ISO/IEC 27001, COBIT 2019 and ITIL 4 — and compares what each one is actually for. Section 3 lays out the assumptions made about ALL, since the case brief leaves several details open. Section 4 is where the pieces come together: an integrated design covering the eight areas the assignment asks for. Section 5 steps back to ask why regulations and standards need revisiting rather than adopted once and left alone, and Section 6 closes the report.</w:t>
      </w:r>
    </w:p>
    <w:p w14:paraId="51027B30" w14:textId="77777777" w:rsidR="001D2854" w:rsidRDefault="00000000">
      <w:pPr>
        <w:pStyle w:val="Heading1"/>
      </w:pPr>
      <w:r>
        <w:t>2. Research into IT Security Frameworks and Models</w:t>
      </w:r>
    </w:p>
    <w:p w14:paraId="673CC79D" w14:textId="77777777" w:rsidR="001D2854" w:rsidRDefault="00000000">
      <w:pPr>
        <w:spacing w:after="200"/>
        <w:jc w:val="both"/>
      </w:pPr>
      <w:r>
        <w:t>There is no shortage of frameworks aimed at helping organisations get a handle on information security, IT governance and service management. None of them covers everything on its own, and the literature has moved towards viewing them as complementary rather than competing — different layers covering strategic governance, risk-based controls, day-to-day cybersecurity operations and service delivery (Antariksa, Angin and Widodo, 2025).</w:t>
      </w:r>
    </w:p>
    <w:p w14:paraId="21C2B072" w14:textId="1551C2C0" w:rsidR="001D2854" w:rsidRDefault="00000000">
      <w:pPr>
        <w:pStyle w:val="Heading2"/>
      </w:pPr>
      <w:r>
        <w:lastRenderedPageBreak/>
        <w:t>2.1</w:t>
      </w:r>
      <w:r w:rsidR="003850F0">
        <w:t xml:space="preserve"> NIST Cybersecurity Framework (CSF) 2.0</w:t>
      </w:r>
    </w:p>
    <w:p w14:paraId="44F7DA28" w14:textId="402F11C2" w:rsidR="001D2854" w:rsidRDefault="00000000">
      <w:pPr>
        <w:spacing w:after="200"/>
        <w:jc w:val="both"/>
      </w:pPr>
      <w:r>
        <w:t xml:space="preserve">NIST's </w:t>
      </w:r>
      <w:r w:rsidR="003850F0">
        <w:t>Cybersecurity</w:t>
      </w:r>
      <w:r>
        <w:t xml:space="preserve"> </w:t>
      </w:r>
      <w:r w:rsidR="003850F0">
        <w:t>Framework</w:t>
      </w:r>
      <w:r>
        <w:t xml:space="preserve"> </w:t>
      </w:r>
      <w:proofErr w:type="spellStart"/>
      <w:r>
        <w:t>organises</w:t>
      </w:r>
      <w:proofErr w:type="spellEnd"/>
      <w:r>
        <w:t xml:space="preserve"> security activity </w:t>
      </w:r>
      <w:r w:rsidR="003850F0">
        <w:t>around</w:t>
      </w:r>
      <w:r>
        <w:t xml:space="preserve"> </w:t>
      </w:r>
      <w:r w:rsidR="003850F0">
        <w:t>six</w:t>
      </w:r>
      <w:r>
        <w:t xml:space="preserve"> core functions — Govern, Identify, Protect, Detect, Respond and Recover (NIST, 2024). </w:t>
      </w:r>
      <w:r w:rsidR="003850F0">
        <w:t>The</w:t>
      </w:r>
      <w:r>
        <w:t xml:space="preserve"> </w:t>
      </w:r>
      <w:r w:rsidR="003850F0">
        <w:t>Govern</w:t>
      </w:r>
      <w:r>
        <w:t xml:space="preserve"> </w:t>
      </w:r>
      <w:r w:rsidR="003850F0">
        <w:t>function</w:t>
      </w:r>
      <w:r>
        <w:t xml:space="preserve"> is new to </w:t>
      </w:r>
      <w:r w:rsidR="003850F0">
        <w:t>version</w:t>
      </w:r>
      <w:r>
        <w:t xml:space="preserve"> </w:t>
      </w:r>
      <w:r w:rsidR="00CE5C75">
        <w:t>2.0</w:t>
      </w:r>
      <w:r>
        <w:t>, and it matters here because it ties cybersecurity risk directly to organisational strategy and supply-chain risk, which is exactly where ALL is weakest given how much of its infrastructure sits with outside vendors. A systematic review by Salas-Riega et al. (2025) found the framework's biggest strength is its flexibility: it's risk-based rather than prescriptive, so it adapts to different organisations reasonably well. That flexibility comes at a cost, though. The review also found implementation varies a lot in practice — large organisations tend to do well on the Protect and Detect functions, while smaller or less mature ones often struggle simply because they lack resources or clear local guidance on how to apply it.</w:t>
      </w:r>
    </w:p>
    <w:p w14:paraId="73791B14" w14:textId="52FC1E30" w:rsidR="001D2854" w:rsidRDefault="00000000">
      <w:pPr>
        <w:pStyle w:val="Heading2"/>
      </w:pPr>
      <w:r>
        <w:t>2.2</w:t>
      </w:r>
      <w:r w:rsidR="00CE5C75">
        <w:t xml:space="preserve"> ISO/IEC 27001</w:t>
      </w:r>
    </w:p>
    <w:p w14:paraId="0810B359" w14:textId="7AAF369A" w:rsidR="001D2854" w:rsidRDefault="00CE5C75">
      <w:pPr>
        <w:spacing w:after="200"/>
        <w:jc w:val="both"/>
      </w:pPr>
      <w:r>
        <w:t>ISO/IEC 27001</w:t>
      </w:r>
      <w:r w:rsidR="00000000">
        <w:t xml:space="preserve"> </w:t>
      </w:r>
      <w:r>
        <w:t>sets</w:t>
      </w:r>
      <w:r w:rsidR="00000000">
        <w:t xml:space="preserve"> </w:t>
      </w:r>
      <w:r>
        <w:t>out requirements</w:t>
      </w:r>
      <w:r w:rsidR="00000000">
        <w:t xml:space="preserve"> for building, running </w:t>
      </w:r>
      <w:r>
        <w:t>and</w:t>
      </w:r>
      <w:r w:rsidR="00000000">
        <w:t xml:space="preserve"> continually </w:t>
      </w:r>
      <w:r w:rsidRPr="00CE5C75">
        <w:t>improving an information security management system (ISMS)</w:t>
      </w:r>
      <w:r w:rsidR="00000000">
        <w:t>, and it's still the most recognised certifiable standard in this space — adoption has been growing by more than 20% a year (Culot et al., 2021). Its Annex A controls give a ready-made structure for two of the areas this assignment asks about: protection mechanisms and access controls, and security policies. One point from Culot et al.'s (2021) review is worth flagging: organisations tend to pursue certification because a client or regulator is pushing them to, not because they ran a risk assessment and decided it was needed. That fits ALL fairly closely — security has become urgent here because of breaches that already happened, not because of forward planning.</w:t>
      </w:r>
    </w:p>
    <w:p w14:paraId="03BD1229" w14:textId="27CE2F1A" w:rsidR="001D2854" w:rsidRDefault="00000000">
      <w:pPr>
        <w:pStyle w:val="Heading2"/>
      </w:pPr>
      <w:r>
        <w:t xml:space="preserve">2.3 </w:t>
      </w:r>
      <w:r w:rsidR="00CE5C75">
        <w:t>COBIT 2019</w:t>
      </w:r>
    </w:p>
    <w:p w14:paraId="076E648C" w14:textId="4E3AB102" w:rsidR="001D2854" w:rsidRDefault="00CE5C75">
      <w:pPr>
        <w:spacing w:after="200"/>
        <w:jc w:val="both"/>
      </w:pPr>
      <w:r>
        <w:t>COBIT 2019</w:t>
      </w:r>
      <w:r w:rsidR="00000000">
        <w:t xml:space="preserve">, ISACA's </w:t>
      </w:r>
      <w:r w:rsidRPr="00CE5C75">
        <w:t>framework for enterprise governance</w:t>
      </w:r>
      <w:r w:rsidRPr="00CE5C75">
        <w:t xml:space="preserve"> </w:t>
      </w:r>
      <w:r w:rsidR="00000000">
        <w:t>of IT, sits at a different level to NIST CSF and ISO/IEC 27001. Where those two are mostly about operational and technical security, COBIT is concerned with lining up IT investment and risk appetite with what the business actually needs, using a set of governance and management objectives. It also builds in ‘design factors’ meant to tailor governance to an organisation's specific context — which is more or less the gap ALL has right now, given it has no unified security framework and no centralised risk management process. A systematic review of 23 studies published between 2020 and 2024 found COBIT 2019 working well across logistics, healthcare and education, though success in every case came down to whether management actually backed it and stakeholders stayed engaged (Antariksa, Angin and Widodo, 2025).</w:t>
      </w:r>
    </w:p>
    <w:p w14:paraId="3114046F" w14:textId="77777777" w:rsidR="001D2854" w:rsidRDefault="00000000">
      <w:pPr>
        <w:pStyle w:val="Heading2"/>
      </w:pPr>
      <w:r>
        <w:t>2.4 ITIL 4</w:t>
      </w:r>
    </w:p>
    <w:p w14:paraId="67FAEB4A" w14:textId="4926C3C4" w:rsidR="001D2854" w:rsidRDefault="00000000">
      <w:pPr>
        <w:spacing w:after="200"/>
        <w:jc w:val="both"/>
      </w:pPr>
      <w:r>
        <w:t>ITIL 4 takes a service-value-system view of IT service</w:t>
      </w:r>
      <w:r w:rsidR="00CE5C75">
        <w:t xml:space="preserve"> management</w:t>
      </w:r>
      <w:r>
        <w:t xml:space="preserve">, </w:t>
      </w:r>
      <w:r w:rsidR="00CE5C75">
        <w:t>and</w:t>
      </w:r>
      <w:r>
        <w:t xml:space="preserve"> its</w:t>
      </w:r>
      <w:r w:rsidR="00CE5C75">
        <w:t xml:space="preserve"> incident</w:t>
      </w:r>
      <w:r>
        <w:t xml:space="preserve">, problem </w:t>
      </w:r>
      <w:r w:rsidR="00CE5C75">
        <w:t>and</w:t>
      </w:r>
      <w:r>
        <w:t xml:space="preserve"> change </w:t>
      </w:r>
      <w:r w:rsidR="00CE5C75">
        <w:t xml:space="preserve">management </w:t>
      </w:r>
      <w:r>
        <w:t xml:space="preserve">practices </w:t>
      </w:r>
      <w:r w:rsidR="00CE5C75">
        <w:t>are</w:t>
      </w:r>
      <w:r>
        <w:t xml:space="preserve"> what turn governance policy into something that actually happens day to day. For ALL, that matters because the practices give a way to push security policy out across the various third-party vendors running its outsourced infrastructure, rather than leaving it as a document nobody follows.</w:t>
      </w:r>
    </w:p>
    <w:p w14:paraId="20217557" w14:textId="77777777" w:rsidR="001D2854" w:rsidRDefault="00000000">
      <w:pPr>
        <w:pStyle w:val="Heading2"/>
      </w:pPr>
      <w:r>
        <w:lastRenderedPageBreak/>
        <w:t>2.5 Towards an Integrated Model</w:t>
      </w:r>
    </w:p>
    <w:p w14:paraId="3E9F3CF5" w14:textId="77777777" w:rsidR="001D2854" w:rsidRDefault="00000000">
      <w:pPr>
        <w:spacing w:after="200"/>
        <w:jc w:val="both"/>
      </w:pPr>
      <w:r>
        <w:t>Figure 1 pulls these four together. COBIT 2019 sits at the top, setting direction and risk appetite; ISO/IEC 27001 turns that direction into a certifiable set of risk-based controls; NIST CSF 2.0 runs the operational cybersecurity lifecycle underneath that; and ITIL 4 embeds the resulting policies into everyday service management. This layered view is what the design in Section 4 is built on.</w:t>
      </w:r>
    </w:p>
    <w:p w14:paraId="7DF25F3D" w14:textId="77777777" w:rsidR="001D2854" w:rsidRDefault="001D2854"/>
    <w:p w14:paraId="563C9800" w14:textId="77777777" w:rsidR="001D2854" w:rsidRDefault="00000000">
      <w:pPr>
        <w:jc w:val="center"/>
      </w:pPr>
      <w:r>
        <w:rPr>
          <w:noProof/>
        </w:rPr>
        <w:drawing>
          <wp:inline distT="0" distB="0" distL="0" distR="0" wp14:anchorId="07840EA0" wp14:editId="7031B9A2">
            <wp:extent cx="5669280" cy="367356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frameworks.png"/>
                    <pic:cNvPicPr/>
                  </pic:nvPicPr>
                  <pic:blipFill>
                    <a:blip r:embed="rId9"/>
                    <a:stretch>
                      <a:fillRect/>
                    </a:stretch>
                  </pic:blipFill>
                  <pic:spPr>
                    <a:xfrm>
                      <a:off x="0" y="0"/>
                      <a:ext cx="5669280" cy="3673562"/>
                    </a:xfrm>
                    <a:prstGeom prst="rect">
                      <a:avLst/>
                    </a:prstGeom>
                  </pic:spPr>
                </pic:pic>
              </a:graphicData>
            </a:graphic>
          </wp:inline>
        </w:drawing>
      </w:r>
    </w:p>
    <w:p w14:paraId="6DA0271E" w14:textId="04A126B6" w:rsidR="001D2854" w:rsidRDefault="00000000">
      <w:pPr>
        <w:spacing w:after="280"/>
        <w:jc w:val="center"/>
      </w:pPr>
      <w:r>
        <w:rPr>
          <w:i/>
          <w:sz w:val="20"/>
        </w:rPr>
        <w:t>Figure 1: Complementary roles of COBIT 2019,</w:t>
      </w:r>
      <w:r w:rsidR="00CE5C75">
        <w:rPr>
          <w:i/>
          <w:sz w:val="20"/>
        </w:rPr>
        <w:t xml:space="preserve"> ISO/IEC 27001</w:t>
      </w:r>
      <w:r>
        <w:rPr>
          <w:i/>
          <w:sz w:val="20"/>
        </w:rPr>
        <w:t>,</w:t>
      </w:r>
      <w:r w:rsidR="00CE5C75">
        <w:rPr>
          <w:i/>
          <w:sz w:val="20"/>
        </w:rPr>
        <w:t xml:space="preserve"> NIST CSF 2.0</w:t>
      </w:r>
      <w:r>
        <w:rPr>
          <w:i/>
          <w:sz w:val="20"/>
        </w:rPr>
        <w:t xml:space="preserve"> and ITIL 4 (adapted from Culot et al., 2021; Antariksa, Angin and Widodo, 2025; NIST, 2024).</w:t>
      </w:r>
    </w:p>
    <w:tbl>
      <w:tblPr>
        <w:tblStyle w:val="TableGrid"/>
        <w:tblW w:w="0" w:type="auto"/>
        <w:jc w:val="center"/>
        <w:tblLook w:val="04A0" w:firstRow="1" w:lastRow="0" w:firstColumn="1" w:lastColumn="0" w:noHBand="0" w:noVBand="1"/>
      </w:tblPr>
      <w:tblGrid>
        <w:gridCol w:w="1701"/>
        <w:gridCol w:w="2041"/>
        <w:gridCol w:w="2381"/>
        <w:gridCol w:w="2948"/>
      </w:tblGrid>
      <w:tr w:rsidR="001D2854" w14:paraId="76D8F6B2" w14:textId="77777777">
        <w:trPr>
          <w:jc w:val="center"/>
        </w:trPr>
        <w:tc>
          <w:tcPr>
            <w:tcW w:w="1701" w:type="dxa"/>
            <w:shd w:val="clear" w:color="auto" w:fill="1F3864"/>
          </w:tcPr>
          <w:p w14:paraId="3409920D" w14:textId="77777777" w:rsidR="001D2854" w:rsidRDefault="00000000">
            <w:r>
              <w:rPr>
                <w:b/>
                <w:color w:val="FFFFFF"/>
                <w:sz w:val="20"/>
              </w:rPr>
              <w:t>Framework</w:t>
            </w:r>
          </w:p>
        </w:tc>
        <w:tc>
          <w:tcPr>
            <w:tcW w:w="2041" w:type="dxa"/>
            <w:shd w:val="clear" w:color="auto" w:fill="1F3864"/>
          </w:tcPr>
          <w:p w14:paraId="6E34C2C7" w14:textId="77777777" w:rsidR="001D2854" w:rsidRDefault="00000000">
            <w:r>
              <w:rPr>
                <w:b/>
                <w:color w:val="FFFFFF"/>
                <w:sz w:val="20"/>
              </w:rPr>
              <w:t>Primary Orientation</w:t>
            </w:r>
          </w:p>
        </w:tc>
        <w:tc>
          <w:tcPr>
            <w:tcW w:w="2381" w:type="dxa"/>
            <w:shd w:val="clear" w:color="auto" w:fill="1F3864"/>
          </w:tcPr>
          <w:p w14:paraId="79214620" w14:textId="77777777" w:rsidR="001D2854" w:rsidRDefault="00000000">
            <w:r>
              <w:rPr>
                <w:b/>
                <w:color w:val="FFFFFF"/>
                <w:sz w:val="20"/>
              </w:rPr>
              <w:t>Core Structure</w:t>
            </w:r>
          </w:p>
        </w:tc>
        <w:tc>
          <w:tcPr>
            <w:tcW w:w="2948" w:type="dxa"/>
            <w:shd w:val="clear" w:color="auto" w:fill="1F3864"/>
          </w:tcPr>
          <w:p w14:paraId="0C8C20F4" w14:textId="77777777" w:rsidR="001D2854" w:rsidRDefault="00000000">
            <w:r>
              <w:rPr>
                <w:b/>
                <w:color w:val="FFFFFF"/>
                <w:sz w:val="20"/>
              </w:rPr>
              <w:t>Relevance to ALL</w:t>
            </w:r>
          </w:p>
        </w:tc>
      </w:tr>
      <w:tr w:rsidR="001D2854" w14:paraId="6E0107DE" w14:textId="77777777">
        <w:trPr>
          <w:jc w:val="center"/>
        </w:trPr>
        <w:tc>
          <w:tcPr>
            <w:tcW w:w="1701" w:type="dxa"/>
          </w:tcPr>
          <w:p w14:paraId="7C7D047E" w14:textId="77777777" w:rsidR="001D2854" w:rsidRDefault="00000000">
            <w:r>
              <w:rPr>
                <w:sz w:val="19"/>
              </w:rPr>
              <w:t>COBIT 2019</w:t>
            </w:r>
          </w:p>
        </w:tc>
        <w:tc>
          <w:tcPr>
            <w:tcW w:w="2041" w:type="dxa"/>
          </w:tcPr>
          <w:p w14:paraId="63226376" w14:textId="77777777" w:rsidR="001D2854" w:rsidRDefault="00000000">
            <w:r>
              <w:rPr>
                <w:sz w:val="19"/>
              </w:rPr>
              <w:t>IT governance &amp; business alignment</w:t>
            </w:r>
          </w:p>
        </w:tc>
        <w:tc>
          <w:tcPr>
            <w:tcW w:w="2381" w:type="dxa"/>
          </w:tcPr>
          <w:p w14:paraId="394E924A" w14:textId="77777777" w:rsidR="001D2854" w:rsidRDefault="00000000">
            <w:r>
              <w:rPr>
                <w:sz w:val="19"/>
              </w:rPr>
              <w:t>40 governance/management objectives, design factors</w:t>
            </w:r>
          </w:p>
        </w:tc>
        <w:tc>
          <w:tcPr>
            <w:tcW w:w="2948" w:type="dxa"/>
          </w:tcPr>
          <w:p w14:paraId="164EF45B" w14:textId="77777777" w:rsidR="001D2854" w:rsidRDefault="00000000">
            <w:r>
              <w:rPr>
                <w:sz w:val="19"/>
              </w:rPr>
              <w:t>Establishes the missing security steering committee and risk appetite</w:t>
            </w:r>
          </w:p>
        </w:tc>
      </w:tr>
      <w:tr w:rsidR="001D2854" w14:paraId="55790742" w14:textId="77777777">
        <w:trPr>
          <w:jc w:val="center"/>
        </w:trPr>
        <w:tc>
          <w:tcPr>
            <w:tcW w:w="1701" w:type="dxa"/>
          </w:tcPr>
          <w:p w14:paraId="3897D46C" w14:textId="77777777" w:rsidR="001D2854" w:rsidRDefault="00000000">
            <w:r>
              <w:rPr>
                <w:sz w:val="19"/>
              </w:rPr>
              <w:t>ISO/IEC 27001</w:t>
            </w:r>
          </w:p>
        </w:tc>
        <w:tc>
          <w:tcPr>
            <w:tcW w:w="2041" w:type="dxa"/>
          </w:tcPr>
          <w:p w14:paraId="33BD07FB" w14:textId="77777777" w:rsidR="001D2854" w:rsidRDefault="00000000">
            <w:r>
              <w:rPr>
                <w:sz w:val="19"/>
              </w:rPr>
              <w:t>Risk-based ISMS &amp; certification</w:t>
            </w:r>
          </w:p>
        </w:tc>
        <w:tc>
          <w:tcPr>
            <w:tcW w:w="2381" w:type="dxa"/>
          </w:tcPr>
          <w:p w14:paraId="75E7EC5E" w14:textId="77777777" w:rsidR="001D2854" w:rsidRDefault="00000000">
            <w:r>
              <w:rPr>
                <w:sz w:val="19"/>
              </w:rPr>
              <w:t>Annex A controls; Plan-Do-Check-Act cycle</w:t>
            </w:r>
          </w:p>
        </w:tc>
        <w:tc>
          <w:tcPr>
            <w:tcW w:w="2948" w:type="dxa"/>
          </w:tcPr>
          <w:p w14:paraId="5D63B73A" w14:textId="77777777" w:rsidR="001D2854" w:rsidRDefault="00000000">
            <w:r>
              <w:rPr>
                <w:sz w:val="19"/>
              </w:rPr>
              <w:t>Provides certifiable controls for vendor and PII protection</w:t>
            </w:r>
          </w:p>
        </w:tc>
      </w:tr>
      <w:tr w:rsidR="001D2854" w14:paraId="234C5508" w14:textId="77777777">
        <w:trPr>
          <w:jc w:val="center"/>
        </w:trPr>
        <w:tc>
          <w:tcPr>
            <w:tcW w:w="1701" w:type="dxa"/>
          </w:tcPr>
          <w:p w14:paraId="1F184AFE" w14:textId="377A7471" w:rsidR="001D2854" w:rsidRPr="00CE5C75" w:rsidRDefault="00CE5C75">
            <w:pPr>
              <w:rPr>
                <w:iCs/>
              </w:rPr>
            </w:pPr>
            <w:r w:rsidRPr="00CE5C75">
              <w:rPr>
                <w:iCs/>
                <w:sz w:val="20"/>
              </w:rPr>
              <w:t>NIST CSF 2.0</w:t>
            </w:r>
          </w:p>
        </w:tc>
        <w:tc>
          <w:tcPr>
            <w:tcW w:w="2041" w:type="dxa"/>
          </w:tcPr>
          <w:p w14:paraId="0201A7DA" w14:textId="5B15A261" w:rsidR="001D2854" w:rsidRDefault="00000000">
            <w:r>
              <w:rPr>
                <w:sz w:val="19"/>
              </w:rPr>
              <w:t xml:space="preserve">Operational </w:t>
            </w:r>
            <w:r w:rsidR="00CE5C75">
              <w:rPr>
                <w:sz w:val="19"/>
              </w:rPr>
              <w:t>cybersecurity lifecycle</w:t>
            </w:r>
          </w:p>
        </w:tc>
        <w:tc>
          <w:tcPr>
            <w:tcW w:w="2381" w:type="dxa"/>
          </w:tcPr>
          <w:p w14:paraId="149104CE" w14:textId="6D1A4E1A" w:rsidR="001D2854" w:rsidRDefault="00CE5C75">
            <w:r w:rsidRPr="00CE5C75">
              <w:rPr>
                <w:sz w:val="19"/>
              </w:rPr>
              <w:t>Govern, Identify, Protect, Detect, Respond, Recover</w:t>
            </w:r>
          </w:p>
        </w:tc>
        <w:tc>
          <w:tcPr>
            <w:tcW w:w="2948" w:type="dxa"/>
          </w:tcPr>
          <w:p w14:paraId="1A720591" w14:textId="77777777" w:rsidR="001D2854" w:rsidRDefault="00000000">
            <w:r>
              <w:rPr>
                <w:sz w:val="19"/>
              </w:rPr>
              <w:t>Structures day-to-day detection and incident response for IoT/cloud assets</w:t>
            </w:r>
          </w:p>
        </w:tc>
      </w:tr>
      <w:tr w:rsidR="001D2854" w14:paraId="71796C41" w14:textId="77777777">
        <w:trPr>
          <w:jc w:val="center"/>
        </w:trPr>
        <w:tc>
          <w:tcPr>
            <w:tcW w:w="1701" w:type="dxa"/>
          </w:tcPr>
          <w:p w14:paraId="4266E714" w14:textId="77777777" w:rsidR="001D2854" w:rsidRDefault="00000000">
            <w:r>
              <w:rPr>
                <w:sz w:val="19"/>
              </w:rPr>
              <w:t>ITIL 4</w:t>
            </w:r>
          </w:p>
        </w:tc>
        <w:tc>
          <w:tcPr>
            <w:tcW w:w="2041" w:type="dxa"/>
          </w:tcPr>
          <w:p w14:paraId="00BBB593" w14:textId="77777777" w:rsidR="001D2854" w:rsidRDefault="00000000">
            <w:r>
              <w:rPr>
                <w:sz w:val="19"/>
              </w:rPr>
              <w:t>IT service management</w:t>
            </w:r>
          </w:p>
        </w:tc>
        <w:tc>
          <w:tcPr>
            <w:tcW w:w="2381" w:type="dxa"/>
          </w:tcPr>
          <w:p w14:paraId="3C316A92" w14:textId="77777777" w:rsidR="001D2854" w:rsidRDefault="00000000">
            <w:r>
              <w:rPr>
                <w:sz w:val="19"/>
              </w:rPr>
              <w:t>Service value chain, 34 management practices</w:t>
            </w:r>
          </w:p>
        </w:tc>
        <w:tc>
          <w:tcPr>
            <w:tcW w:w="2948" w:type="dxa"/>
          </w:tcPr>
          <w:p w14:paraId="4ED23649" w14:textId="77777777" w:rsidR="001D2854" w:rsidRDefault="00000000">
            <w:r>
              <w:rPr>
                <w:sz w:val="19"/>
              </w:rPr>
              <w:t>Operationalises policy across outsourced IaaS/SaaS vendors</w:t>
            </w:r>
          </w:p>
        </w:tc>
      </w:tr>
    </w:tbl>
    <w:p w14:paraId="5A3ADC5E" w14:textId="77777777" w:rsidR="001D2854" w:rsidRDefault="001D2854">
      <w:pPr>
        <w:spacing w:after="80"/>
      </w:pPr>
    </w:p>
    <w:p w14:paraId="1F24EB93" w14:textId="77777777" w:rsidR="001D2854" w:rsidRDefault="00000000">
      <w:pPr>
        <w:spacing w:after="280"/>
        <w:jc w:val="center"/>
      </w:pPr>
      <w:r>
        <w:rPr>
          <w:i/>
          <w:sz w:val="20"/>
        </w:rPr>
        <w:t>Table 1: Comparison of the four frameworks reviewed.</w:t>
      </w:r>
    </w:p>
    <w:p w14:paraId="666E2FAE" w14:textId="77777777" w:rsidR="001D2854" w:rsidRDefault="00000000">
      <w:pPr>
        <w:pStyle w:val="Heading1"/>
      </w:pPr>
      <w:r>
        <w:lastRenderedPageBreak/>
        <w:t>3. Case Context and Stated Assumptions</w:t>
      </w:r>
    </w:p>
    <w:p w14:paraId="5537CBED" w14:textId="77777777" w:rsidR="00825494" w:rsidRPr="00825494" w:rsidRDefault="00825494" w:rsidP="00825494">
      <w:pPr>
        <w:spacing w:after="200"/>
        <w:jc w:val="both"/>
        <w:rPr>
          <w:lang w:val="en-IN"/>
        </w:rPr>
      </w:pPr>
      <w:proofErr w:type="spellStart"/>
      <w:r w:rsidRPr="00825494">
        <w:rPr>
          <w:lang w:val="en-IN"/>
        </w:rPr>
        <w:t>AeroLink</w:t>
      </w:r>
      <w:proofErr w:type="spellEnd"/>
      <w:r w:rsidRPr="00825494">
        <w:rPr>
          <w:lang w:val="en-IN"/>
        </w:rPr>
        <w:t xml:space="preserve"> Logistics (ALL) moves freight across borders for a living, and almost everything that keeps that running sits on someone else's infrastructure — roughly 88% of its IT estate is rented through IaaS and SaaS providers. Cloud platforms handle the workloads, IoT sensors track shipments in transit, and AI analytics sit on top of the resulting data. Because the business never really stops, staff, suppliers and partners log into internal systems around the clock, often from personal laptops and phones that ALL has no control over.</w:t>
      </w:r>
    </w:p>
    <w:p w14:paraId="589734FD" w14:textId="77777777" w:rsidR="00825494" w:rsidRPr="00825494" w:rsidRDefault="00825494" w:rsidP="00825494">
      <w:pPr>
        <w:spacing w:after="200"/>
        <w:jc w:val="both"/>
        <w:rPr>
          <w:lang w:val="en-IN"/>
        </w:rPr>
      </w:pPr>
      <w:r w:rsidRPr="00825494">
        <w:rPr>
          <w:lang w:val="en-IN"/>
        </w:rPr>
        <w:t>That openness has already cost the company. Breaches have exposed client shipment records and customer personal data. What ALL doesn't have is anything holding the pieces together: no single security framework, no central process for identifying and managing risk, and no formal audit programme testing whether it actually meets GDPR or ISO 27001.</w:t>
      </w:r>
    </w:p>
    <w:p w14:paraId="3BD8AB59" w14:textId="77777777" w:rsidR="00825494" w:rsidRPr="00825494" w:rsidRDefault="00825494" w:rsidP="00825494">
      <w:pPr>
        <w:spacing w:after="200"/>
        <w:jc w:val="both"/>
        <w:rPr>
          <w:lang w:val="en-IN"/>
        </w:rPr>
      </w:pPr>
      <w:r w:rsidRPr="00825494">
        <w:rPr>
          <w:lang w:val="en-IN"/>
        </w:rPr>
        <w:t>Want a shorter version, or one pitched at a specific audience (board, auditor, coursework)?</w:t>
      </w:r>
    </w:p>
    <w:p w14:paraId="194B59B8" w14:textId="77777777" w:rsidR="001D2854" w:rsidRDefault="00000000">
      <w:pPr>
        <w:spacing w:after="200"/>
        <w:jc w:val="both"/>
      </w:pPr>
      <w:r>
        <w:t>Because the case scenario does not specify certain organisational details, the following assumptions are made to contextualise the design, in line with the assignment's requirement to state all assumptions:</w:t>
      </w:r>
    </w:p>
    <w:p w14:paraId="7ABDAFFF" w14:textId="77777777" w:rsidR="001D2854" w:rsidRDefault="00000000">
      <w:pPr>
        <w:pStyle w:val="ListBullet"/>
        <w:spacing w:after="80"/>
      </w:pPr>
      <w:r>
        <w:t>ALL is assumed to be a medium-to-large enterprise (1,000–5,000 employees) with sufficient revenue to fund a dedicated security function, but without a mature existing security budget line.</w:t>
      </w:r>
    </w:p>
    <w:p w14:paraId="5A15C6C4" w14:textId="77777777" w:rsidR="001D2854" w:rsidRDefault="00000000">
      <w:pPr>
        <w:pStyle w:val="ListBullet"/>
        <w:spacing w:after="80"/>
      </w:pPr>
      <w:r>
        <w:t>ALL processes personal data of EU/UK clients and is therefore in scope for GDPR, in addition to jurisdiction-specific data protection laws in the countries where it operates.</w:t>
      </w:r>
    </w:p>
    <w:p w14:paraId="1077343C" w14:textId="77777777" w:rsidR="001D2854" w:rsidRDefault="00000000">
      <w:pPr>
        <w:pStyle w:val="ListBullet"/>
        <w:spacing w:after="80"/>
      </w:pPr>
      <w:r>
        <w:t>ALL's outsourced vendors are assumed to be reputable but not currently held to a standardised security SLA; contractual renegotiation is assumed to be feasible within 6–12 months.</w:t>
      </w:r>
    </w:p>
    <w:p w14:paraId="481B8BE8" w14:textId="77777777" w:rsidR="001D2854" w:rsidRDefault="00000000">
      <w:pPr>
        <w:pStyle w:val="ListBullet"/>
        <w:spacing w:after="80"/>
      </w:pPr>
      <w:r>
        <w:t>The organisation has some existing IT operations capability (a helpdesk and infrastructure team) but no formal Chief Information Security Officer (CISO) role at present.</w:t>
      </w:r>
    </w:p>
    <w:p w14:paraId="63D32044" w14:textId="77777777" w:rsidR="001D2854" w:rsidRDefault="00000000">
      <w:pPr>
        <w:pStyle w:val="ListBullet"/>
        <w:spacing w:after="80"/>
      </w:pPr>
      <w:r>
        <w:t>Budget constraints mean the proposed design favours phased implementation over a 'big bang' rollout, prioritising the highest-risk gaps (access control and vendor oversight) first.</w:t>
      </w:r>
    </w:p>
    <w:p w14:paraId="3589BA81" w14:textId="77777777" w:rsidR="001D2854" w:rsidRDefault="00000000">
      <w:pPr>
        <w:pStyle w:val="Heading1"/>
      </w:pPr>
      <w:r>
        <w:t>4. Proposed Design Approach for AeroLink Logistics</w:t>
      </w:r>
    </w:p>
    <w:p w14:paraId="7FC4AC9E" w14:textId="77777777" w:rsidR="001D2854" w:rsidRDefault="00000000">
      <w:pPr>
        <w:spacing w:after="200"/>
        <w:jc w:val="both"/>
      </w:pPr>
      <w:r>
        <w:t>The design below brings the four frameworks from Section 2 together into a single governance and security architecture (Figure 2), working through each of the eight areas the assignment brief specifies.</w:t>
      </w:r>
    </w:p>
    <w:p w14:paraId="371F2DB9" w14:textId="77777777" w:rsidR="001D2854" w:rsidRDefault="001D2854"/>
    <w:p w14:paraId="4229E3A7" w14:textId="77777777" w:rsidR="001D2854" w:rsidRDefault="00000000">
      <w:pPr>
        <w:jc w:val="center"/>
      </w:pPr>
      <w:r>
        <w:rPr>
          <w:noProof/>
        </w:rPr>
        <w:lastRenderedPageBreak/>
        <w:drawing>
          <wp:inline distT="0" distB="0" distL="0" distR="0" wp14:anchorId="3EAB6DD1" wp14:editId="51A0CF67">
            <wp:extent cx="5760720" cy="482965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2_aerolink_architecture.png"/>
                    <pic:cNvPicPr/>
                  </pic:nvPicPr>
                  <pic:blipFill>
                    <a:blip r:embed="rId10"/>
                    <a:stretch>
                      <a:fillRect/>
                    </a:stretch>
                  </pic:blipFill>
                  <pic:spPr>
                    <a:xfrm>
                      <a:off x="0" y="0"/>
                      <a:ext cx="5760720" cy="4829659"/>
                    </a:xfrm>
                    <a:prstGeom prst="rect">
                      <a:avLst/>
                    </a:prstGeom>
                  </pic:spPr>
                </pic:pic>
              </a:graphicData>
            </a:graphic>
          </wp:inline>
        </w:drawing>
      </w:r>
    </w:p>
    <w:p w14:paraId="5C0F6884" w14:textId="57B68A83" w:rsidR="001D2854" w:rsidRDefault="00000000">
      <w:pPr>
        <w:spacing w:after="280"/>
        <w:jc w:val="center"/>
      </w:pPr>
      <w:r>
        <w:rPr>
          <w:i/>
          <w:sz w:val="20"/>
        </w:rPr>
        <w:t>Figure 2: Proposed</w:t>
      </w:r>
      <w:r w:rsidR="00CE5C75">
        <w:rPr>
          <w:i/>
          <w:sz w:val="20"/>
        </w:rPr>
        <w:t xml:space="preserve"> security governance and compliance</w:t>
      </w:r>
      <w:r>
        <w:rPr>
          <w:i/>
          <w:sz w:val="20"/>
        </w:rPr>
        <w:t xml:space="preserve"> security architecture </w:t>
      </w:r>
      <w:r w:rsidR="00CE5C75">
        <w:rPr>
          <w:i/>
          <w:sz w:val="20"/>
        </w:rPr>
        <w:t>for</w:t>
      </w:r>
      <w:r>
        <w:rPr>
          <w:i/>
          <w:sz w:val="20"/>
        </w:rPr>
        <w:t xml:space="preserve"> </w:t>
      </w:r>
      <w:proofErr w:type="spellStart"/>
      <w:r>
        <w:rPr>
          <w:i/>
          <w:sz w:val="20"/>
        </w:rPr>
        <w:t>AeroLink</w:t>
      </w:r>
      <w:proofErr w:type="spellEnd"/>
      <w:r>
        <w:rPr>
          <w:i/>
          <w:sz w:val="20"/>
        </w:rPr>
        <w:t xml:space="preserve"> Logistics.</w:t>
      </w:r>
    </w:p>
    <w:p w14:paraId="56296A8A" w14:textId="3DE7D554" w:rsidR="001D2854" w:rsidRDefault="00000000">
      <w:pPr>
        <w:pStyle w:val="Heading2"/>
      </w:pPr>
      <w:r>
        <w:t xml:space="preserve">4.1 </w:t>
      </w:r>
      <w:r w:rsidR="00CE5C75">
        <w:t>Governance and Stra</w:t>
      </w:r>
      <w:r w:rsidR="00D31310">
        <w:t>tegic Planning for Security</w:t>
      </w:r>
    </w:p>
    <w:p w14:paraId="0DE92121" w14:textId="77777777" w:rsidR="001D2854" w:rsidRDefault="00000000">
      <w:pPr>
        <w:spacing w:after="200"/>
        <w:jc w:val="both"/>
      </w:pPr>
      <w:r>
        <w:t>In line with COBIT 2019, ALL should set up a Board-level Security Steering Committee chaired by a newly appointed CISO. This committee would set risk appetite, sign off the security strategy, and report on security posture to the Board every quarter — which addresses the case brief's point directly: ALL currently has no clear assignment of security responsibilities and no coordination between departments.</w:t>
      </w:r>
    </w:p>
    <w:p w14:paraId="43A89F2B" w14:textId="77777777" w:rsidR="001D2854" w:rsidRDefault="00000000">
      <w:pPr>
        <w:pStyle w:val="Heading2"/>
      </w:pPr>
      <w:r>
        <w:t>4.2 Security Policies and Procedures</w:t>
      </w:r>
    </w:p>
    <w:p w14:paraId="36EF0698" w14:textId="77777777" w:rsidR="001D2854" w:rsidRDefault="00000000">
      <w:pPr>
        <w:spacing w:after="200"/>
        <w:jc w:val="both"/>
      </w:pPr>
      <w:r>
        <w:t>ALL needs an Information Security Policy suite covering acceptable use, access control, data classification, remote and unmanaged-device access, and incident reporting, built against ISO/IEC 27001 Annex A and formally signed off by the Steering Committee. Given the case scenario specifically flags unmanaged devices as a problem, the policy should require baseline endpoint controls — mobile device management, disk encryption — before any device is allowed to connect.</w:t>
      </w:r>
    </w:p>
    <w:p w14:paraId="0ADCC41F" w14:textId="77777777" w:rsidR="001D2854" w:rsidRDefault="00000000">
      <w:pPr>
        <w:pStyle w:val="Heading2"/>
      </w:pPr>
      <w:r>
        <w:lastRenderedPageBreak/>
        <w:t>4.3 Risk Management and Assessment</w:t>
      </w:r>
    </w:p>
    <w:p w14:paraId="525C9700" w14:textId="77777777" w:rsidR="001D2854" w:rsidRDefault="00000000">
      <w:pPr>
        <w:spacing w:after="200"/>
        <w:jc w:val="both"/>
      </w:pPr>
      <w:r>
        <w:t>A centralised risk register, aligned to NIST CSF's Identify function, should be maintained and reviewed every quarter. Table 2 sets out an indicative top-tier risk assessment for ALL based on what the case scenario describes.</w:t>
      </w:r>
    </w:p>
    <w:tbl>
      <w:tblPr>
        <w:tblStyle w:val="TableGrid"/>
        <w:tblW w:w="0" w:type="auto"/>
        <w:jc w:val="center"/>
        <w:tblLook w:val="04A0" w:firstRow="1" w:lastRow="0" w:firstColumn="1" w:lastColumn="0" w:noHBand="0" w:noVBand="1"/>
      </w:tblPr>
      <w:tblGrid>
        <w:gridCol w:w="3118"/>
        <w:gridCol w:w="1304"/>
        <w:gridCol w:w="1247"/>
        <w:gridCol w:w="3402"/>
      </w:tblGrid>
      <w:tr w:rsidR="001D2854" w14:paraId="7894DA28" w14:textId="77777777">
        <w:trPr>
          <w:jc w:val="center"/>
        </w:trPr>
        <w:tc>
          <w:tcPr>
            <w:tcW w:w="3118" w:type="dxa"/>
            <w:shd w:val="clear" w:color="auto" w:fill="1F3864"/>
          </w:tcPr>
          <w:p w14:paraId="4519CE9D" w14:textId="77777777" w:rsidR="001D2854" w:rsidRDefault="00000000">
            <w:r>
              <w:rPr>
                <w:b/>
                <w:color w:val="FFFFFF"/>
                <w:sz w:val="20"/>
              </w:rPr>
              <w:t>Risk</w:t>
            </w:r>
          </w:p>
        </w:tc>
        <w:tc>
          <w:tcPr>
            <w:tcW w:w="1304" w:type="dxa"/>
            <w:shd w:val="clear" w:color="auto" w:fill="1F3864"/>
          </w:tcPr>
          <w:p w14:paraId="0A18414B" w14:textId="77777777" w:rsidR="001D2854" w:rsidRDefault="00000000">
            <w:r>
              <w:rPr>
                <w:b/>
                <w:color w:val="FFFFFF"/>
                <w:sz w:val="20"/>
              </w:rPr>
              <w:t>Likelihood</w:t>
            </w:r>
          </w:p>
        </w:tc>
        <w:tc>
          <w:tcPr>
            <w:tcW w:w="1247" w:type="dxa"/>
            <w:shd w:val="clear" w:color="auto" w:fill="1F3864"/>
          </w:tcPr>
          <w:p w14:paraId="5F8D8F12" w14:textId="77777777" w:rsidR="001D2854" w:rsidRDefault="00000000">
            <w:r>
              <w:rPr>
                <w:b/>
                <w:color w:val="FFFFFF"/>
                <w:sz w:val="20"/>
              </w:rPr>
              <w:t>Impact</w:t>
            </w:r>
          </w:p>
        </w:tc>
        <w:tc>
          <w:tcPr>
            <w:tcW w:w="3402" w:type="dxa"/>
            <w:shd w:val="clear" w:color="auto" w:fill="1F3864"/>
          </w:tcPr>
          <w:p w14:paraId="54B6818D" w14:textId="77777777" w:rsidR="001D2854" w:rsidRDefault="00000000">
            <w:r>
              <w:rPr>
                <w:b/>
                <w:color w:val="FFFFFF"/>
                <w:sz w:val="20"/>
              </w:rPr>
              <w:t>Proposed Treatment</w:t>
            </w:r>
          </w:p>
        </w:tc>
      </w:tr>
      <w:tr w:rsidR="001D2854" w14:paraId="2C3659B0" w14:textId="77777777">
        <w:trPr>
          <w:jc w:val="center"/>
        </w:trPr>
        <w:tc>
          <w:tcPr>
            <w:tcW w:w="3118" w:type="dxa"/>
          </w:tcPr>
          <w:p w14:paraId="01822BDE" w14:textId="77777777" w:rsidR="001D2854" w:rsidRDefault="00000000">
            <w:r>
              <w:rPr>
                <w:sz w:val="19"/>
              </w:rPr>
              <w:t>Unauthorised access via unmanaged remote devices</w:t>
            </w:r>
          </w:p>
        </w:tc>
        <w:tc>
          <w:tcPr>
            <w:tcW w:w="1304" w:type="dxa"/>
          </w:tcPr>
          <w:p w14:paraId="79D99686" w14:textId="77777777" w:rsidR="001D2854" w:rsidRDefault="00000000">
            <w:r>
              <w:rPr>
                <w:sz w:val="19"/>
              </w:rPr>
              <w:t>High</w:t>
            </w:r>
          </w:p>
        </w:tc>
        <w:tc>
          <w:tcPr>
            <w:tcW w:w="1247" w:type="dxa"/>
          </w:tcPr>
          <w:p w14:paraId="2B707956" w14:textId="77777777" w:rsidR="001D2854" w:rsidRDefault="00000000">
            <w:r>
              <w:rPr>
                <w:sz w:val="19"/>
              </w:rPr>
              <w:t>High</w:t>
            </w:r>
          </w:p>
        </w:tc>
        <w:tc>
          <w:tcPr>
            <w:tcW w:w="3402" w:type="dxa"/>
          </w:tcPr>
          <w:p w14:paraId="14EB916A" w14:textId="77777777" w:rsidR="001D2854" w:rsidRDefault="00000000">
            <w:r>
              <w:rPr>
                <w:sz w:val="19"/>
              </w:rPr>
              <w:t>Enforce MFA, MDM enrolment and conditional access policies</w:t>
            </w:r>
          </w:p>
        </w:tc>
      </w:tr>
      <w:tr w:rsidR="001D2854" w14:paraId="591A38F4" w14:textId="77777777">
        <w:trPr>
          <w:jc w:val="center"/>
        </w:trPr>
        <w:tc>
          <w:tcPr>
            <w:tcW w:w="3118" w:type="dxa"/>
          </w:tcPr>
          <w:p w14:paraId="3C1B8809" w14:textId="77777777" w:rsidR="001D2854" w:rsidRDefault="00000000">
            <w:r>
              <w:rPr>
                <w:sz w:val="19"/>
              </w:rPr>
              <w:t>Vendor-side data breach (IaaS/SaaS)</w:t>
            </w:r>
          </w:p>
        </w:tc>
        <w:tc>
          <w:tcPr>
            <w:tcW w:w="1304" w:type="dxa"/>
          </w:tcPr>
          <w:p w14:paraId="073E859C" w14:textId="77777777" w:rsidR="001D2854" w:rsidRDefault="00000000">
            <w:r>
              <w:rPr>
                <w:sz w:val="19"/>
              </w:rPr>
              <w:t>Medium</w:t>
            </w:r>
          </w:p>
        </w:tc>
        <w:tc>
          <w:tcPr>
            <w:tcW w:w="1247" w:type="dxa"/>
          </w:tcPr>
          <w:p w14:paraId="049857F7" w14:textId="77777777" w:rsidR="001D2854" w:rsidRDefault="00000000">
            <w:r>
              <w:rPr>
                <w:sz w:val="19"/>
              </w:rPr>
              <w:t>High</w:t>
            </w:r>
          </w:p>
        </w:tc>
        <w:tc>
          <w:tcPr>
            <w:tcW w:w="3402" w:type="dxa"/>
          </w:tcPr>
          <w:p w14:paraId="63734B3C" w14:textId="77777777" w:rsidR="001D2854" w:rsidRDefault="00000000">
            <w:r>
              <w:rPr>
                <w:sz w:val="19"/>
              </w:rPr>
              <w:t>Security SLAs, right-to-audit clauses, vendor risk tiering</w:t>
            </w:r>
          </w:p>
        </w:tc>
      </w:tr>
      <w:tr w:rsidR="001D2854" w14:paraId="4FE0510E" w14:textId="77777777">
        <w:trPr>
          <w:jc w:val="center"/>
        </w:trPr>
        <w:tc>
          <w:tcPr>
            <w:tcW w:w="3118" w:type="dxa"/>
          </w:tcPr>
          <w:p w14:paraId="5E07C1A7" w14:textId="77777777" w:rsidR="001D2854" w:rsidRDefault="00000000">
            <w:r>
              <w:rPr>
                <w:sz w:val="19"/>
              </w:rPr>
              <w:t>IoT sensor compromise / tampering</w:t>
            </w:r>
          </w:p>
        </w:tc>
        <w:tc>
          <w:tcPr>
            <w:tcW w:w="1304" w:type="dxa"/>
          </w:tcPr>
          <w:p w14:paraId="6A9D1BC7" w14:textId="77777777" w:rsidR="001D2854" w:rsidRDefault="00000000">
            <w:r>
              <w:rPr>
                <w:sz w:val="19"/>
              </w:rPr>
              <w:t>Medium</w:t>
            </w:r>
          </w:p>
        </w:tc>
        <w:tc>
          <w:tcPr>
            <w:tcW w:w="1247" w:type="dxa"/>
          </w:tcPr>
          <w:p w14:paraId="283F81A7" w14:textId="77777777" w:rsidR="001D2854" w:rsidRDefault="00000000">
            <w:r>
              <w:rPr>
                <w:sz w:val="19"/>
              </w:rPr>
              <w:t>Medium</w:t>
            </w:r>
          </w:p>
        </w:tc>
        <w:tc>
          <w:tcPr>
            <w:tcW w:w="3402" w:type="dxa"/>
          </w:tcPr>
          <w:p w14:paraId="275DADC6" w14:textId="77777777" w:rsidR="001D2854" w:rsidRDefault="00000000">
            <w:r>
              <w:rPr>
                <w:sz w:val="19"/>
              </w:rPr>
              <w:t>Network segmentation, device attestation, firmware patching</w:t>
            </w:r>
          </w:p>
        </w:tc>
      </w:tr>
      <w:tr w:rsidR="001D2854" w14:paraId="20083D29" w14:textId="77777777">
        <w:trPr>
          <w:jc w:val="center"/>
        </w:trPr>
        <w:tc>
          <w:tcPr>
            <w:tcW w:w="3118" w:type="dxa"/>
          </w:tcPr>
          <w:p w14:paraId="6B9274E7" w14:textId="77777777" w:rsidR="001D2854" w:rsidRDefault="00000000">
            <w:r>
              <w:rPr>
                <w:sz w:val="19"/>
              </w:rPr>
              <w:t>Non-compliance with GDPR / ISO 27001</w:t>
            </w:r>
          </w:p>
        </w:tc>
        <w:tc>
          <w:tcPr>
            <w:tcW w:w="1304" w:type="dxa"/>
          </w:tcPr>
          <w:p w14:paraId="6C9BB48E" w14:textId="77777777" w:rsidR="001D2854" w:rsidRDefault="00000000">
            <w:r>
              <w:rPr>
                <w:sz w:val="19"/>
              </w:rPr>
              <w:t>High</w:t>
            </w:r>
          </w:p>
        </w:tc>
        <w:tc>
          <w:tcPr>
            <w:tcW w:w="1247" w:type="dxa"/>
          </w:tcPr>
          <w:p w14:paraId="2C6AA87E" w14:textId="77777777" w:rsidR="001D2854" w:rsidRDefault="00000000">
            <w:r>
              <w:rPr>
                <w:sz w:val="19"/>
              </w:rPr>
              <w:t>High</w:t>
            </w:r>
          </w:p>
        </w:tc>
        <w:tc>
          <w:tcPr>
            <w:tcW w:w="3402" w:type="dxa"/>
          </w:tcPr>
          <w:p w14:paraId="12CEBBD3" w14:textId="77777777" w:rsidR="001D2854" w:rsidRDefault="00000000">
            <w:r>
              <w:rPr>
                <w:sz w:val="19"/>
              </w:rPr>
              <w:t>Formal compliance audit programme, Data Protection Officer</w:t>
            </w:r>
          </w:p>
        </w:tc>
      </w:tr>
      <w:tr w:rsidR="001D2854" w14:paraId="3D198276" w14:textId="77777777">
        <w:trPr>
          <w:jc w:val="center"/>
        </w:trPr>
        <w:tc>
          <w:tcPr>
            <w:tcW w:w="3118" w:type="dxa"/>
          </w:tcPr>
          <w:p w14:paraId="771F0783" w14:textId="77777777" w:rsidR="001D2854" w:rsidRDefault="00000000">
            <w:r>
              <w:rPr>
                <w:sz w:val="19"/>
              </w:rPr>
              <w:t>Inadequate incident response / BCP</w:t>
            </w:r>
          </w:p>
        </w:tc>
        <w:tc>
          <w:tcPr>
            <w:tcW w:w="1304" w:type="dxa"/>
          </w:tcPr>
          <w:p w14:paraId="7C702093" w14:textId="77777777" w:rsidR="001D2854" w:rsidRDefault="00000000">
            <w:r>
              <w:rPr>
                <w:sz w:val="19"/>
              </w:rPr>
              <w:t>Medium</w:t>
            </w:r>
          </w:p>
        </w:tc>
        <w:tc>
          <w:tcPr>
            <w:tcW w:w="1247" w:type="dxa"/>
          </w:tcPr>
          <w:p w14:paraId="749EAE7F" w14:textId="77777777" w:rsidR="001D2854" w:rsidRDefault="00000000">
            <w:r>
              <w:rPr>
                <w:sz w:val="19"/>
              </w:rPr>
              <w:t>High</w:t>
            </w:r>
          </w:p>
        </w:tc>
        <w:tc>
          <w:tcPr>
            <w:tcW w:w="3402" w:type="dxa"/>
          </w:tcPr>
          <w:p w14:paraId="06992B29" w14:textId="77777777" w:rsidR="001D2854" w:rsidRDefault="00000000">
            <w:r>
              <w:rPr>
                <w:sz w:val="19"/>
              </w:rPr>
              <w:t>Incident response plan, tabletop exercises, DR site testing</w:t>
            </w:r>
          </w:p>
        </w:tc>
      </w:tr>
    </w:tbl>
    <w:p w14:paraId="16AEB60C" w14:textId="77777777" w:rsidR="001D2854" w:rsidRDefault="001D2854">
      <w:pPr>
        <w:spacing w:after="80"/>
      </w:pPr>
    </w:p>
    <w:p w14:paraId="478AA148" w14:textId="77777777" w:rsidR="001D2854" w:rsidRDefault="00000000">
      <w:pPr>
        <w:spacing w:after="280"/>
        <w:jc w:val="center"/>
      </w:pPr>
      <w:r>
        <w:rPr>
          <w:i/>
          <w:sz w:val="20"/>
        </w:rPr>
        <w:t>Table 2: Indicative risk assessment for AeroLink Logistics.</w:t>
      </w:r>
    </w:p>
    <w:p w14:paraId="2C5A2677" w14:textId="77777777" w:rsidR="001D2854" w:rsidRDefault="00000000">
      <w:pPr>
        <w:pStyle w:val="Heading2"/>
      </w:pPr>
      <w:r>
        <w:t>4.4 Security Management Models and Practices</w:t>
      </w:r>
    </w:p>
    <w:p w14:paraId="19827EDF" w14:textId="6324C366" w:rsidR="001D2854" w:rsidRDefault="00000000">
      <w:pPr>
        <w:spacing w:after="200"/>
        <w:jc w:val="both"/>
      </w:pPr>
      <w:r>
        <w:t xml:space="preserve">Day-to-day security should run on </w:t>
      </w:r>
      <w:r w:rsidR="00D31310">
        <w:t>the</w:t>
      </w:r>
      <w:r>
        <w:t xml:space="preserve"> </w:t>
      </w:r>
      <w:r w:rsidR="00D31310">
        <w:t>NIST</w:t>
      </w:r>
      <w:r>
        <w:t xml:space="preserve"> </w:t>
      </w:r>
      <w:r w:rsidR="00D31310">
        <w:t>CSF</w:t>
      </w:r>
      <w:r>
        <w:t xml:space="preserve"> lifecycle — </w:t>
      </w:r>
      <w:r w:rsidR="00D31310" w:rsidRPr="00D31310">
        <w:t>Identify, Protect, Delete, Respond, Recover</w:t>
      </w:r>
      <w:r>
        <w:t xml:space="preserve"> — backed by ITIL 4's incident and problem management practices. That way security events get handled through the same disciplined process as any other IT service incident, which keeps things accountable and traceable across an infrastructure that's mostly run by other companies.</w:t>
      </w:r>
    </w:p>
    <w:p w14:paraId="3E49EA1C" w14:textId="77777777" w:rsidR="001D2854" w:rsidRDefault="00000000">
      <w:pPr>
        <w:pStyle w:val="Heading2"/>
      </w:pPr>
      <w:r>
        <w:t>4.5 Protection Mechanisms and Access Controls</w:t>
      </w:r>
    </w:p>
    <w:p w14:paraId="34A6F762" w14:textId="17A38582" w:rsidR="001D2854" w:rsidRDefault="00000000">
      <w:pPr>
        <w:spacing w:after="200"/>
        <w:jc w:val="both"/>
      </w:pPr>
      <w:r>
        <w:t xml:space="preserve">Access should be built on least-privilege and zero-trust principles: </w:t>
      </w:r>
      <w:r w:rsidR="00D31310" w:rsidRPr="00D31310">
        <w:t>multi-factor authentication for all remote and privileged access, role-based access control</w:t>
      </w:r>
      <w:r>
        <w:t xml:space="preserve"> tied to job function, network segmentation to keep IoT tracking sensors away from corporate systems, and encryption of PII and shipment data both at rest and in transit. All of this maps onto ISO/IEC 27001 Annex A's controls on cryptography and access management.</w:t>
      </w:r>
    </w:p>
    <w:p w14:paraId="046D41D2" w14:textId="31F4B6FD" w:rsidR="001D2854" w:rsidRDefault="00000000">
      <w:pPr>
        <w:pStyle w:val="Heading2"/>
      </w:pPr>
      <w:r>
        <w:t xml:space="preserve">4.6 </w:t>
      </w:r>
      <w:r w:rsidR="00D31310">
        <w:t xml:space="preserve">Vendor and Service Level Agreement (SLA) Management </w:t>
      </w:r>
    </w:p>
    <w:p w14:paraId="6E82D93F" w14:textId="28284A52" w:rsidR="001D2854" w:rsidRDefault="00D31310">
      <w:pPr>
        <w:spacing w:after="200"/>
        <w:jc w:val="both"/>
      </w:pPr>
      <w:r>
        <w:t>With</w:t>
      </w:r>
      <w:r w:rsidR="00000000">
        <w:t xml:space="preserve"> </w:t>
      </w:r>
      <w:r>
        <w:t>88%</w:t>
      </w:r>
      <w:r w:rsidR="00000000">
        <w:t xml:space="preserve"> </w:t>
      </w:r>
      <w:r>
        <w:t>of</w:t>
      </w:r>
      <w:r w:rsidR="00000000">
        <w:t xml:space="preserve"> ALL's </w:t>
      </w:r>
      <w:r w:rsidRPr="00D31310">
        <w:t>infrastructure outsourced, vender governance</w:t>
      </w:r>
      <w:r w:rsidRPr="00D31310">
        <w:t xml:space="preserve"> </w:t>
      </w:r>
      <w:r w:rsidR="00000000">
        <w:t xml:space="preserve">is probably the </w:t>
      </w:r>
      <w:r>
        <w:t>single</w:t>
      </w:r>
      <w:r w:rsidR="00000000">
        <w:t xml:space="preserve"> biggest gap to close. Nicolazzo, Nocera and Pedrycz (2026), in their survey of Security SLAs, make the point that security controls, data governance, compliance obligations, incident handling and performance expectations need to be spelled out in the contract rather than assumed — because if a vendor's system gets breached, accountability usually still lands on the customer organisation, not the vendor. For ALL, that means introducing a vendor risk-tiering process, mandatory SecSLA clauses covering things like breach notification timelines, encryption standards and audit rights, and regular vendor </w:t>
      </w:r>
      <w:r w:rsidR="00000000">
        <w:lastRenderedPageBreak/>
        <w:t>security reviews. This also picks up on the I-SCRAM idea that supply-chain risk should be assessed as one connected system rather than vendor by vendor (Kieras, Farooq and Zhu, 2021).</w:t>
      </w:r>
    </w:p>
    <w:p w14:paraId="2CD53C6D" w14:textId="79F876A3" w:rsidR="001D2854" w:rsidRDefault="00000000">
      <w:pPr>
        <w:pStyle w:val="Heading2"/>
      </w:pPr>
      <w:r>
        <w:t>4.7 Contingency</w:t>
      </w:r>
      <w:r w:rsidR="00D31310">
        <w:t xml:space="preserve"> and Business Continuity Planning</w:t>
      </w:r>
    </w:p>
    <w:p w14:paraId="0B7BE2DD" w14:textId="4E81FA69" w:rsidR="001D2854" w:rsidRDefault="00D31310">
      <w:pPr>
        <w:spacing w:after="200"/>
        <w:jc w:val="both"/>
      </w:pPr>
      <w:r w:rsidRPr="00D31310">
        <w:t>A Business Continuity and Disaster Recovery plan should define recovery time and recovery point objectives for the systems</w:t>
      </w:r>
      <w:r w:rsidR="00000000">
        <w:t xml:space="preserve"> that matter most to logistics tracking, set out backup and failover arrangements with cloud providers, and include a crisis communication plan for notifying clients and regulators of any PII breach within the statutory window — 72 hours under GDPR Article 33. The plan should be tested annually through tabletop exercises based on realistic breach and outage scenarios, not left on a shelf.</w:t>
      </w:r>
    </w:p>
    <w:p w14:paraId="2ABAF3C8" w14:textId="77777777" w:rsidR="001D2854" w:rsidRDefault="00000000">
      <w:pPr>
        <w:pStyle w:val="Heading2"/>
      </w:pPr>
      <w:r>
        <w:t>4.8 Compliance (Laws and Ethics)</w:t>
      </w:r>
    </w:p>
    <w:p w14:paraId="6126FBAC" w14:textId="77777777" w:rsidR="001D2854" w:rsidRDefault="00000000">
      <w:pPr>
        <w:spacing w:after="200"/>
        <w:jc w:val="both"/>
      </w:pPr>
      <w:r>
        <w:t>ALL should set up a formal compliance audit programme benchmarked against GDPR and ISO/IEC 27001, with a designated Data Protection Officer responsible for running it. Issaoui, Örtensjö and Islam (2023), studying Swedish public organisations, found unauthorised access, loss of confidentiality and unclear contractual responsibility were the recurring GDPR compliance failures in cloud environments — which lines up closely with what's happened at ALL. Their recommended mitigations — anonymisation, pseudonymisation, encryption, and clearly defined contractual routines — are all built into the design above.</w:t>
      </w:r>
    </w:p>
    <w:p w14:paraId="2F91E248" w14:textId="77777777" w:rsidR="001D2854" w:rsidRDefault="00000000">
      <w:pPr>
        <w:pStyle w:val="Heading1"/>
      </w:pPr>
      <w:r>
        <w:t>5. Critical Discussion: Why Continuous Regulatory and Standards Updates Matter</w:t>
      </w:r>
    </w:p>
    <w:p w14:paraId="0AA2B41C" w14:textId="77777777" w:rsidR="001D2854" w:rsidRDefault="00000000">
      <w:pPr>
        <w:spacing w:after="200"/>
        <w:jc w:val="both"/>
      </w:pPr>
      <w:r>
        <w:t>One thing that comes up again and again in the literature is that compliance frameworks and regulations tend to lag behind how fast technology and threats are moving. New vulnerabilities keep appearing while compliance frameworks only get revised periodically, and that gap leaves organisations that treat compliance as a one-off box-ticking exercise exposed to risks the framework was never built to catch — AI-enabled phishing, ransomware-as-a-service, and increasingly sophisticated supply-chain attacks among them.</w:t>
      </w:r>
    </w:p>
    <w:p w14:paraId="1EE44262" w14:textId="77777777" w:rsidR="001D2854" w:rsidRDefault="00000000">
      <w:pPr>
        <w:spacing w:after="200"/>
        <w:jc w:val="both"/>
      </w:pPr>
      <w:r>
        <w:t>For ALL, three things make continuous updating a matter of good practice rather than something nice to have. The first is emerging technology: as ALL brings in more AI-driven analytics and more IoT sensors, it will run into vulnerability categories — model poisoning, sensor spoofing — that fall outside whatever controls were designed for the last generation of technology. That echoes a pattern Culot et al. (2021) found with ISO/IEC 27001 adoption more broadly: organisations tend to react to external pressure rather than reassess proactively, and ALL should try to break that pattern rather than repeat it. Second is the threat landscape itself: NIST CSF's own periodic revisions, most recently to version 2.0, reflect an acknowledgement that controls and policies need reassessing regularly rather than treated as settled once certified (Salas-Riega et al., 2025). Third is the sheer number of jurisdictions ALL operates in — GDPR in Europe sits alongside other regional data protection regimes, all updated independently and on their own timelines, so a compliance programme calibrated to one point in time will drift out of step with at least one of them fairly quickly.</w:t>
      </w:r>
    </w:p>
    <w:p w14:paraId="35D36386" w14:textId="77777777" w:rsidR="001D2854" w:rsidRDefault="00000000">
      <w:pPr>
        <w:spacing w:after="200"/>
        <w:jc w:val="both"/>
      </w:pPr>
      <w:r>
        <w:lastRenderedPageBreak/>
        <w:t>There's a governance angle to this too. COBIT 2019's design-factor approach treats governance as something to be re-tailored periodically rather than fixed once at implementation (Antariksa, Angin and Widodo, 2025). Building in a recurring review cycle — an annual framework and policy review under the Security Steering Committee's mandate, plus ad hoc reviews triggered by major incidents or regulatory change — lets ALL treat security and compliance as an ongoing process, in keeping with the Plan-Do-Check-Act cycle that underlies ISO/IEC 27001, rather than a project with an end date. That matters particularly here, because ALL's breaches so far look less like the result of one missing control and more like the result of nothing coordinating governance, policy and technical controls as the risk and regulatory picture shifts underneath them.</w:t>
      </w:r>
    </w:p>
    <w:p w14:paraId="099DCED2" w14:textId="77777777" w:rsidR="001D2854" w:rsidRDefault="00000000">
      <w:pPr>
        <w:pStyle w:val="Heading1"/>
      </w:pPr>
      <w:r>
        <w:t>6. Conclusion</w:t>
      </w:r>
    </w:p>
    <w:p w14:paraId="0613F82E" w14:textId="77777777" w:rsidR="001D2854" w:rsidRDefault="00000000">
      <w:pPr>
        <w:spacing w:after="200"/>
        <w:jc w:val="both"/>
      </w:pPr>
      <w:r>
        <w:t>AeroLink Logistics is a fairly recognisable case: strong operational capability, but security governance that hasn't kept pace with how quickly the company has adopted cloud, IoT and AI. This report has set out how COBIT 2019, ISO/IEC 27001, NIST CSF 2.0 and ITIL 4 can work together as a layered architecture spanning governance, policy, risk management, access control, vendor oversight, business continuity and compliance. Because ALL's environment — and the regulatory and threat landscape around it — isn't going to hold still, the design deliberately builds in recurring review rather than treating any one framework adoption as a finished state. Within the assumptions set out in Section 3, this gives ALL a workable, phased route from where it is now — immature and fragmented — to something more coordinated and defensible.</w:t>
      </w:r>
    </w:p>
    <w:p w14:paraId="47249E6E" w14:textId="77777777" w:rsidR="001D2854" w:rsidRDefault="00000000">
      <w:r>
        <w:br w:type="page"/>
      </w:r>
    </w:p>
    <w:p w14:paraId="62DEB1C2" w14:textId="77777777" w:rsidR="001D2854" w:rsidRDefault="00000000">
      <w:pPr>
        <w:pStyle w:val="Heading1"/>
      </w:pPr>
      <w:r>
        <w:lastRenderedPageBreak/>
        <w:t>References</w:t>
      </w:r>
    </w:p>
    <w:p w14:paraId="14564A7A" w14:textId="77777777" w:rsidR="001D2854" w:rsidRDefault="00000000">
      <w:pPr>
        <w:spacing w:after="200"/>
        <w:ind w:left="567" w:hanging="567"/>
      </w:pPr>
      <w:r>
        <w:rPr>
          <w:sz w:val="21"/>
        </w:rPr>
        <w:t>Antariksa, M.D.S., Angin, M.P. and Widodo, A.P. (2025) 'COBIT 2019 Framework in IT Governance: A Systematic Literature Review of Implementation Challenges and Benefits Across Various Industry Sectors', Journal of Renewable Energy, Electrical, and Computer Engineering.</w:t>
      </w:r>
    </w:p>
    <w:p w14:paraId="4D73EC7B" w14:textId="77777777" w:rsidR="001D2854" w:rsidRDefault="00000000">
      <w:pPr>
        <w:spacing w:after="200"/>
        <w:ind w:left="567" w:hanging="567"/>
      </w:pPr>
      <w:r>
        <w:rPr>
          <w:sz w:val="21"/>
        </w:rPr>
        <w:t>Culot, G., Nassimbeni, G., Podrecca, M. and Sartor, M. (2021) 'The ISO/IEC 27001 information security management standard: literature review and theory-based research agenda', The TQM Journal, 33(7), pp. 76-105. https://doi.org/10.1108/TQM-09-2020-0202</w:t>
      </w:r>
    </w:p>
    <w:p w14:paraId="7344136E" w14:textId="77777777" w:rsidR="001D2854" w:rsidRDefault="00000000">
      <w:pPr>
        <w:spacing w:after="200"/>
        <w:ind w:left="567" w:hanging="567"/>
      </w:pPr>
      <w:r>
        <w:rPr>
          <w:sz w:val="21"/>
        </w:rPr>
        <w:t>European Parliament and Council (2016) Regulation (EU) 2016/679 (General Data Protection Regulation). Official Journal of the European Union, L119.</w:t>
      </w:r>
    </w:p>
    <w:p w14:paraId="15AA609E" w14:textId="77777777" w:rsidR="001D2854" w:rsidRDefault="00000000">
      <w:pPr>
        <w:spacing w:after="200"/>
        <w:ind w:left="567" w:hanging="567"/>
      </w:pPr>
      <w:r>
        <w:rPr>
          <w:sz w:val="21"/>
        </w:rPr>
        <w:t>International Organization for Standardization / International Electrotechnical Commission (2022) ISO/IEC 27001:2022 Information security, cybersecurity and privacy protection — Information security management systems — Requirements. Geneva: ISO.</w:t>
      </w:r>
    </w:p>
    <w:p w14:paraId="44495867" w14:textId="77777777" w:rsidR="001D2854" w:rsidRDefault="00000000">
      <w:pPr>
        <w:spacing w:after="200"/>
        <w:ind w:left="567" w:hanging="567"/>
      </w:pPr>
      <w:r>
        <w:rPr>
          <w:sz w:val="21"/>
        </w:rPr>
        <w:t>ISACA (2018) COBIT 2019 Framework: Governance and Management Objectives. Schaumburg, IL: ISACA.</w:t>
      </w:r>
    </w:p>
    <w:p w14:paraId="4CD13A70" w14:textId="77777777" w:rsidR="001D2854" w:rsidRDefault="00000000">
      <w:pPr>
        <w:spacing w:after="200"/>
        <w:ind w:left="567" w:hanging="567"/>
      </w:pPr>
      <w:r>
        <w:rPr>
          <w:sz w:val="21"/>
        </w:rPr>
        <w:t>Issaoui, A., Örtensjö, J. and Islam, M.S. (2023) 'Exploring the General Data Protection Regulation (GDPR) compliance in cloud services: insights from Swedish public organizations on privacy compliance', Future Business Journal, 9, article 107. https://doi.org/10.1186/s43093-023-00285-2</w:t>
      </w:r>
    </w:p>
    <w:p w14:paraId="11BBBE6C" w14:textId="77777777" w:rsidR="001D2854" w:rsidRDefault="00000000">
      <w:pPr>
        <w:spacing w:after="200"/>
        <w:ind w:left="567" w:hanging="567"/>
      </w:pPr>
      <w:r>
        <w:rPr>
          <w:sz w:val="21"/>
        </w:rPr>
        <w:t>Kieras, T., Farooq, J. and Zhu, Q. (2021) 'I-SCRAM: A Framework for IoT Supply Chain Risk Analysis and Mitigation Decisions', IEEE Access, 9, pp. 29827-29840.</w:t>
      </w:r>
    </w:p>
    <w:p w14:paraId="6A84DFA4" w14:textId="77777777" w:rsidR="001D2854" w:rsidRDefault="00000000">
      <w:pPr>
        <w:spacing w:after="200"/>
        <w:ind w:left="567" w:hanging="567"/>
      </w:pPr>
      <w:r>
        <w:rPr>
          <w:sz w:val="21"/>
        </w:rPr>
        <w:t>National Institute of Standards and Technology (NIST) (2024) The NIST Cybersecurity Framework (CSF) 2.0, NIST CSWP 29. Gaithersburg, MD: U.S. Department of Commerce.</w:t>
      </w:r>
    </w:p>
    <w:p w14:paraId="06848F71" w14:textId="77777777" w:rsidR="001D2854" w:rsidRDefault="00000000">
      <w:pPr>
        <w:spacing w:after="200"/>
        <w:ind w:left="567" w:hanging="567"/>
      </w:pPr>
      <w:r>
        <w:rPr>
          <w:sz w:val="21"/>
        </w:rPr>
        <w:t>Nicolazzo, S., Nocera, A. and Pedrycz, W. (2026) 'Service Level Agreement (SLA) and Security SLA (SecSLA): A Comprehensive Survey', Journal of Network and Systems Management, Springer.</w:t>
      </w:r>
    </w:p>
    <w:p w14:paraId="267F9501" w14:textId="77777777" w:rsidR="001D2854" w:rsidRDefault="00000000">
      <w:pPr>
        <w:spacing w:after="200"/>
        <w:ind w:left="567" w:hanging="567"/>
      </w:pPr>
      <w:r>
        <w:rPr>
          <w:sz w:val="21"/>
        </w:rPr>
        <w:t>Salas-Riega, J.L., Riega-Virú, Y., Ninaquispe-Soto, M. and Salas-Riega, J.M. (2025) 'Cybersecurity and the NIST Framework: A Systematic Review of its Implementation and Effectiveness Against Cyber Threats', International Journal of Advanced Computer Science and Applications, 16(6). https://doi.org/10.14569/IJACSA.2025.0160672</w:t>
      </w:r>
    </w:p>
    <w:sectPr w:rsidR="001D2854" w:rsidSect="00034616">
      <w:footerReference w:type="default" r:id="rId11"/>
      <w:pgSz w:w="11906" w:h="16838"/>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6DDE81" w14:textId="77777777" w:rsidR="001C0C52" w:rsidRDefault="001C0C52">
      <w:pPr>
        <w:spacing w:after="0" w:line="240" w:lineRule="auto"/>
      </w:pPr>
      <w:r>
        <w:separator/>
      </w:r>
    </w:p>
  </w:endnote>
  <w:endnote w:type="continuationSeparator" w:id="0">
    <w:p w14:paraId="116E7F3B" w14:textId="77777777" w:rsidR="001C0C52" w:rsidRDefault="001C0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A09926" w14:textId="77777777" w:rsidR="001D2854" w:rsidRDefault="00000000">
    <w:pPr>
      <w:pStyle w:val="Footer"/>
      <w:jc w:val="center"/>
    </w:pPr>
    <w:r>
      <w:fldChar w:fldCharType="begin"/>
    </w:r>
    <w:r>
      <w:instrText>PAGE</w:instrText>
    </w:r>
    <w:r>
      <w:fldChar w:fldCharType="separate"/>
    </w:r>
    <w:r w:rsidR="00134A87">
      <w:rPr>
        <w:noProof/>
      </w:rPr>
      <w:t>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10D62D" w14:textId="77777777" w:rsidR="001C0C52" w:rsidRDefault="001C0C52">
      <w:pPr>
        <w:spacing w:after="0" w:line="240" w:lineRule="auto"/>
      </w:pPr>
      <w:r>
        <w:separator/>
      </w:r>
    </w:p>
  </w:footnote>
  <w:footnote w:type="continuationSeparator" w:id="0">
    <w:p w14:paraId="7168B315" w14:textId="77777777" w:rsidR="001C0C52" w:rsidRDefault="001C0C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31580721">
    <w:abstractNumId w:val="8"/>
  </w:num>
  <w:num w:numId="2" w16cid:durableId="946691666">
    <w:abstractNumId w:val="6"/>
  </w:num>
  <w:num w:numId="3" w16cid:durableId="800658442">
    <w:abstractNumId w:val="5"/>
  </w:num>
  <w:num w:numId="4" w16cid:durableId="1490101652">
    <w:abstractNumId w:val="4"/>
  </w:num>
  <w:num w:numId="5" w16cid:durableId="2017226856">
    <w:abstractNumId w:val="7"/>
  </w:num>
  <w:num w:numId="6" w16cid:durableId="1426457006">
    <w:abstractNumId w:val="3"/>
  </w:num>
  <w:num w:numId="7" w16cid:durableId="363946054">
    <w:abstractNumId w:val="2"/>
  </w:num>
  <w:num w:numId="8" w16cid:durableId="828709835">
    <w:abstractNumId w:val="1"/>
  </w:num>
  <w:num w:numId="9" w16cid:durableId="8207288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34A87"/>
    <w:rsid w:val="0015074B"/>
    <w:rsid w:val="00160F21"/>
    <w:rsid w:val="001C0C52"/>
    <w:rsid w:val="001D2854"/>
    <w:rsid w:val="0029639D"/>
    <w:rsid w:val="00326F90"/>
    <w:rsid w:val="003850F0"/>
    <w:rsid w:val="004C0F90"/>
    <w:rsid w:val="00625BEF"/>
    <w:rsid w:val="00740DCF"/>
    <w:rsid w:val="00825494"/>
    <w:rsid w:val="00894EDE"/>
    <w:rsid w:val="00AA1D8D"/>
    <w:rsid w:val="00B47730"/>
    <w:rsid w:val="00CB0664"/>
    <w:rsid w:val="00CE5C75"/>
    <w:rsid w:val="00D3131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C4BA9B"/>
  <w14:defaultImageDpi w14:val="300"/>
  <w15:docId w15:val="{FD5EAA9B-4EFA-4CD8-BE87-29D629083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60"/>
    </w:pPr>
    <w:rPr>
      <w:rFonts w:ascii="Calibri" w:hAnsi="Calibri"/>
    </w:rPr>
  </w:style>
  <w:style w:type="paragraph" w:styleId="Heading1">
    <w:name w:val="heading 1"/>
    <w:basedOn w:val="Normal"/>
    <w:next w:val="Normal"/>
    <w:link w:val="Heading1Char"/>
    <w:uiPriority w:val="9"/>
    <w:qFormat/>
    <w:rsid w:val="00FC693F"/>
    <w:pPr>
      <w:keepNext/>
      <w:keepLines/>
      <w:spacing w:before="320"/>
      <w:outlineLvl w:val="0"/>
    </w:pPr>
    <w:rPr>
      <w:rFonts w:asciiTheme="majorHAnsi" w:eastAsiaTheme="majorEastAsia" w:hAnsiTheme="majorHAnsi" w:cstheme="majorBidi"/>
      <w:b/>
      <w:bCs/>
      <w:color w:val="1F3864"/>
      <w:sz w:val="36"/>
      <w:szCs w:val="28"/>
    </w:rPr>
  </w:style>
  <w:style w:type="paragraph" w:styleId="Heading2">
    <w:name w:val="heading 2"/>
    <w:basedOn w:val="Normal"/>
    <w:next w:val="Normal"/>
    <w:link w:val="Heading2Char"/>
    <w:uiPriority w:val="9"/>
    <w:unhideWhenUsed/>
    <w:qFormat/>
    <w:rsid w:val="00FC693F"/>
    <w:pPr>
      <w:keepNext/>
      <w:keepLines/>
      <w:spacing w:before="320"/>
      <w:outlineLvl w:val="1"/>
    </w:pPr>
    <w:rPr>
      <w:rFonts w:asciiTheme="majorHAnsi" w:eastAsiaTheme="majorEastAsia" w:hAnsiTheme="majorHAnsi" w:cstheme="majorBidi"/>
      <w:b/>
      <w:bCs/>
      <w:color w:val="1F3864"/>
      <w:sz w:val="28"/>
      <w:szCs w:val="26"/>
    </w:rPr>
  </w:style>
  <w:style w:type="paragraph" w:styleId="Heading3">
    <w:name w:val="heading 3"/>
    <w:basedOn w:val="Normal"/>
    <w:next w:val="Normal"/>
    <w:link w:val="Heading3Char"/>
    <w:uiPriority w:val="9"/>
    <w:unhideWhenUsed/>
    <w:qFormat/>
    <w:rsid w:val="00FC693F"/>
    <w:pPr>
      <w:keepNext/>
      <w:keepLines/>
      <w:spacing w:before="320"/>
      <w:outlineLvl w:val="2"/>
    </w:pPr>
    <w:rPr>
      <w:rFonts w:asciiTheme="majorHAnsi" w:eastAsiaTheme="majorEastAsia" w:hAnsiTheme="majorHAnsi" w:cstheme="majorBidi"/>
      <w:b/>
      <w:bCs/>
      <w:color w:val="1F3864"/>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11</Pages>
  <Words>3249</Words>
  <Characters>18525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21731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Dev Gajera</cp:lastModifiedBy>
  <cp:revision>4</cp:revision>
  <dcterms:created xsi:type="dcterms:W3CDTF">2013-12-23T23:15:00Z</dcterms:created>
  <dcterms:modified xsi:type="dcterms:W3CDTF">2026-08-11T19:39:00Z</dcterms:modified>
  <cp:category/>
</cp:coreProperties>
</file>