
<file path=[Content_Types].xml><?xml version="1.0" encoding="utf-8"?>
<Types xmlns="http://schemas.openxmlformats.org/package/2006/content-types">
  <Default Extension="jpe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7162E5" w14:textId="77777777" w:rsidR="001870D6" w:rsidRPr="00280411" w:rsidRDefault="001870D6" w:rsidP="001870D6">
      <w:pPr>
        <w:pStyle w:val="Normal1"/>
        <w:rPr>
          <w:rFonts w:ascii="Arial" w:hAnsi="Arial" w:cs="Arial"/>
          <w:b/>
          <w:sz w:val="32"/>
          <w:szCs w:val="32"/>
          <w:lang w:val="en-GB"/>
        </w:rPr>
      </w:pPr>
      <w:r>
        <w:rPr>
          <w:noProof/>
        </w:rPr>
        <w:drawing>
          <wp:inline distT="0" distB="0" distL="0" distR="0" wp14:anchorId="39950FC2" wp14:editId="268A4DA2">
            <wp:extent cx="5733415" cy="2559050"/>
            <wp:effectExtent l="0" t="0" r="0" b="0"/>
            <wp:docPr id="4296413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3415" cy="2559050"/>
                    </a:xfrm>
                    <a:prstGeom prst="rect">
                      <a:avLst/>
                    </a:prstGeom>
                    <a:noFill/>
                    <a:ln>
                      <a:noFill/>
                    </a:ln>
                  </pic:spPr>
                </pic:pic>
              </a:graphicData>
            </a:graphic>
          </wp:inline>
        </w:drawing>
      </w:r>
    </w:p>
    <w:p w14:paraId="73EBB7D7" w14:textId="77777777" w:rsidR="001870D6" w:rsidRPr="00280411" w:rsidRDefault="001870D6" w:rsidP="001870D6">
      <w:pPr>
        <w:pStyle w:val="Normal1"/>
        <w:jc w:val="center"/>
        <w:rPr>
          <w:rFonts w:ascii="Arial" w:hAnsi="Arial" w:cs="Arial"/>
          <w:b/>
          <w:sz w:val="32"/>
          <w:szCs w:val="32"/>
          <w:lang w:val="en-GB"/>
        </w:rPr>
      </w:pPr>
    </w:p>
    <w:p w14:paraId="34F8AC57" w14:textId="77777777" w:rsidR="001870D6" w:rsidRPr="001D2FA2" w:rsidRDefault="001870D6" w:rsidP="001870D6">
      <w:pPr>
        <w:rPr>
          <w:b/>
          <w:bCs/>
          <w:sz w:val="28"/>
          <w:szCs w:val="28"/>
        </w:rPr>
      </w:pPr>
      <w:r w:rsidRPr="001D2FA2">
        <w:rPr>
          <w:b/>
          <w:bCs/>
          <w:sz w:val="44"/>
          <w:szCs w:val="44"/>
        </w:rPr>
        <w:t xml:space="preserve">Master of Business Administration </w:t>
      </w:r>
    </w:p>
    <w:p w14:paraId="42F85B8C" w14:textId="77777777" w:rsidR="001870D6" w:rsidRPr="004D2792" w:rsidRDefault="001870D6" w:rsidP="001870D6">
      <w:pPr>
        <w:rPr>
          <w:b/>
          <w:bCs/>
          <w:sz w:val="40"/>
          <w:szCs w:val="40"/>
        </w:rPr>
      </w:pPr>
      <w:r w:rsidRPr="004D2792">
        <w:rPr>
          <w:b/>
          <w:bCs/>
          <w:sz w:val="40"/>
          <w:szCs w:val="40"/>
        </w:rPr>
        <w:t xml:space="preserve">Student Name       </w:t>
      </w:r>
      <w:proofErr w:type="gramStart"/>
      <w:r w:rsidRPr="004D2792">
        <w:rPr>
          <w:b/>
          <w:bCs/>
          <w:sz w:val="40"/>
          <w:szCs w:val="40"/>
        </w:rPr>
        <w:t xml:space="preserve">  :</w:t>
      </w:r>
      <w:proofErr w:type="gramEnd"/>
      <w:r w:rsidRPr="004D2792">
        <w:rPr>
          <w:b/>
          <w:bCs/>
          <w:sz w:val="40"/>
          <w:szCs w:val="40"/>
        </w:rPr>
        <w:t xml:space="preserve"> </w:t>
      </w:r>
      <w:r w:rsidRPr="004D2792">
        <w:rPr>
          <w:sz w:val="40"/>
          <w:szCs w:val="40"/>
        </w:rPr>
        <w:t>Abhishek Rohit</w:t>
      </w:r>
      <w:r>
        <w:rPr>
          <w:sz w:val="40"/>
          <w:szCs w:val="40"/>
        </w:rPr>
        <w:t>b</w:t>
      </w:r>
      <w:r w:rsidRPr="004D2792">
        <w:rPr>
          <w:sz w:val="40"/>
          <w:szCs w:val="40"/>
        </w:rPr>
        <w:t>hai Josh</w:t>
      </w:r>
      <w:r>
        <w:rPr>
          <w:sz w:val="40"/>
          <w:szCs w:val="40"/>
        </w:rPr>
        <w:t>i</w:t>
      </w:r>
      <w:r w:rsidRPr="004D2792">
        <w:rPr>
          <w:sz w:val="40"/>
          <w:szCs w:val="40"/>
        </w:rPr>
        <w:t xml:space="preserve"> </w:t>
      </w:r>
    </w:p>
    <w:p w14:paraId="4CDCF0CF" w14:textId="77777777" w:rsidR="001870D6" w:rsidRPr="004D2792" w:rsidRDefault="001870D6" w:rsidP="001870D6">
      <w:pPr>
        <w:rPr>
          <w:b/>
          <w:bCs/>
          <w:sz w:val="40"/>
          <w:szCs w:val="40"/>
        </w:rPr>
      </w:pPr>
      <w:r w:rsidRPr="004D2792">
        <w:rPr>
          <w:b/>
          <w:bCs/>
          <w:sz w:val="40"/>
          <w:szCs w:val="40"/>
        </w:rPr>
        <w:t xml:space="preserve">Student ID             </w:t>
      </w:r>
      <w:proofErr w:type="gramStart"/>
      <w:r w:rsidRPr="004D2792">
        <w:rPr>
          <w:b/>
          <w:bCs/>
          <w:sz w:val="40"/>
          <w:szCs w:val="40"/>
        </w:rPr>
        <w:t xml:space="preserve">  :</w:t>
      </w:r>
      <w:proofErr w:type="gramEnd"/>
      <w:r w:rsidRPr="004D2792">
        <w:rPr>
          <w:b/>
          <w:bCs/>
          <w:sz w:val="40"/>
          <w:szCs w:val="40"/>
        </w:rPr>
        <w:t xml:space="preserve"> </w:t>
      </w:r>
      <w:r w:rsidRPr="004D2792">
        <w:rPr>
          <w:sz w:val="40"/>
          <w:szCs w:val="40"/>
        </w:rPr>
        <w:t>2428123</w:t>
      </w:r>
    </w:p>
    <w:p w14:paraId="530F2511" w14:textId="2D531E19" w:rsidR="001870D6" w:rsidRPr="002A18F3" w:rsidRDefault="001870D6" w:rsidP="001870D6">
      <w:pPr>
        <w:rPr>
          <w:b/>
          <w:bCs/>
          <w:sz w:val="28"/>
          <w:szCs w:val="28"/>
        </w:rPr>
      </w:pPr>
      <w:r w:rsidRPr="004D2792">
        <w:rPr>
          <w:b/>
          <w:bCs/>
          <w:sz w:val="40"/>
          <w:szCs w:val="40"/>
        </w:rPr>
        <w:t xml:space="preserve">Module Name       </w:t>
      </w:r>
      <w:proofErr w:type="gramStart"/>
      <w:r w:rsidRPr="004D2792">
        <w:rPr>
          <w:b/>
          <w:bCs/>
          <w:sz w:val="40"/>
          <w:szCs w:val="40"/>
        </w:rPr>
        <w:t xml:space="preserve">  :</w:t>
      </w:r>
      <w:proofErr w:type="gramEnd"/>
      <w:r w:rsidRPr="004D2792">
        <w:rPr>
          <w:b/>
          <w:bCs/>
          <w:sz w:val="40"/>
          <w:szCs w:val="40"/>
        </w:rPr>
        <w:t xml:space="preserve"> </w:t>
      </w:r>
      <w:r>
        <w:rPr>
          <w:b/>
          <w:bCs/>
          <w:sz w:val="40"/>
          <w:szCs w:val="40"/>
        </w:rPr>
        <w:t>D</w:t>
      </w:r>
      <w:r w:rsidRPr="001870D6">
        <w:rPr>
          <w:b/>
          <w:bCs/>
          <w:sz w:val="40"/>
          <w:szCs w:val="40"/>
        </w:rPr>
        <w:t>issertation proposal</w:t>
      </w:r>
      <w:r>
        <w:rPr>
          <w:b/>
          <w:bCs/>
          <w:sz w:val="28"/>
          <w:szCs w:val="28"/>
        </w:rPr>
        <w:t xml:space="preserve"> </w:t>
      </w:r>
      <w:r w:rsidRPr="002A18F3">
        <w:rPr>
          <w:b/>
          <w:bCs/>
          <w:sz w:val="28"/>
          <w:szCs w:val="28"/>
        </w:rPr>
        <w:t xml:space="preserve"> </w:t>
      </w:r>
    </w:p>
    <w:p w14:paraId="070DDE49" w14:textId="05E2E742" w:rsidR="001870D6" w:rsidRPr="004D2792" w:rsidRDefault="001870D6" w:rsidP="001870D6">
      <w:pPr>
        <w:rPr>
          <w:b/>
          <w:bCs/>
          <w:sz w:val="40"/>
          <w:szCs w:val="40"/>
        </w:rPr>
      </w:pPr>
      <w:r w:rsidRPr="004D2792">
        <w:rPr>
          <w:b/>
          <w:bCs/>
          <w:sz w:val="40"/>
          <w:szCs w:val="40"/>
        </w:rPr>
        <w:t xml:space="preserve">Module Code         </w:t>
      </w:r>
      <w:proofErr w:type="gramStart"/>
      <w:r w:rsidRPr="004D2792">
        <w:rPr>
          <w:b/>
          <w:bCs/>
          <w:sz w:val="40"/>
          <w:szCs w:val="40"/>
        </w:rPr>
        <w:t xml:space="preserve">  :</w:t>
      </w:r>
      <w:proofErr w:type="gramEnd"/>
      <w:r w:rsidRPr="004D2792">
        <w:rPr>
          <w:b/>
          <w:bCs/>
          <w:sz w:val="40"/>
          <w:szCs w:val="40"/>
        </w:rPr>
        <w:t xml:space="preserve"> </w:t>
      </w:r>
      <w:r w:rsidRPr="004D2792">
        <w:rPr>
          <w:sz w:val="40"/>
          <w:szCs w:val="40"/>
        </w:rPr>
        <w:t>LCMB7</w:t>
      </w:r>
      <w:r>
        <w:rPr>
          <w:sz w:val="40"/>
          <w:szCs w:val="40"/>
        </w:rPr>
        <w:t>0</w:t>
      </w:r>
      <w:r>
        <w:rPr>
          <w:sz w:val="40"/>
          <w:szCs w:val="40"/>
        </w:rPr>
        <w:t>35</w:t>
      </w:r>
    </w:p>
    <w:p w14:paraId="3A155995" w14:textId="4896E3FB" w:rsidR="001870D6" w:rsidRPr="001870D6" w:rsidRDefault="001870D6" w:rsidP="001870D6">
      <w:pPr>
        <w:rPr>
          <w:sz w:val="36"/>
          <w:szCs w:val="36"/>
        </w:rPr>
      </w:pPr>
      <w:r>
        <w:rPr>
          <w:b/>
          <w:bCs/>
          <w:sz w:val="40"/>
          <w:szCs w:val="40"/>
        </w:rPr>
        <w:t xml:space="preserve">Supervisor name  </w:t>
      </w:r>
      <w:r w:rsidRPr="004D2792">
        <w:rPr>
          <w:b/>
          <w:bCs/>
          <w:sz w:val="40"/>
          <w:szCs w:val="40"/>
        </w:rPr>
        <w:t xml:space="preserve"> </w:t>
      </w:r>
      <w:proofErr w:type="gramStart"/>
      <w:r w:rsidRPr="004D2792">
        <w:rPr>
          <w:b/>
          <w:bCs/>
          <w:sz w:val="40"/>
          <w:szCs w:val="40"/>
        </w:rPr>
        <w:t xml:space="preserve">  :</w:t>
      </w:r>
      <w:proofErr w:type="gramEnd"/>
      <w:r w:rsidRPr="004D2792">
        <w:rPr>
          <w:b/>
          <w:bCs/>
          <w:sz w:val="40"/>
          <w:szCs w:val="40"/>
        </w:rPr>
        <w:t xml:space="preserve"> </w:t>
      </w:r>
      <w:r>
        <w:rPr>
          <w:b/>
          <w:bCs/>
          <w:sz w:val="40"/>
          <w:szCs w:val="40"/>
        </w:rPr>
        <w:t xml:space="preserve">Amir </w:t>
      </w:r>
      <w:proofErr w:type="spellStart"/>
      <w:r w:rsidRPr="001870D6">
        <w:rPr>
          <w:rFonts w:ascii="Arial" w:hAnsi="Arial" w:cs="Arial"/>
          <w:b/>
          <w:bCs/>
          <w:sz w:val="40"/>
          <w:szCs w:val="40"/>
        </w:rPr>
        <w:t>Homayounfard</w:t>
      </w:r>
      <w:proofErr w:type="spellEnd"/>
    </w:p>
    <w:p w14:paraId="1A77973C" w14:textId="16301BE1" w:rsidR="00FB7051" w:rsidRPr="001870D6" w:rsidRDefault="001870D6" w:rsidP="001870D6">
      <w:pPr>
        <w:rPr>
          <w:b/>
          <w:bCs/>
          <w:sz w:val="40"/>
          <w:szCs w:val="40"/>
        </w:rPr>
      </w:pPr>
      <w:r w:rsidRPr="004D2792">
        <w:rPr>
          <w:b/>
          <w:bCs/>
          <w:sz w:val="40"/>
          <w:szCs w:val="40"/>
        </w:rPr>
        <w:t xml:space="preserve">Submission Date   </w:t>
      </w:r>
      <w:proofErr w:type="gramStart"/>
      <w:r w:rsidRPr="004D2792">
        <w:rPr>
          <w:b/>
          <w:bCs/>
          <w:sz w:val="40"/>
          <w:szCs w:val="40"/>
        </w:rPr>
        <w:t xml:space="preserve">  :</w:t>
      </w:r>
      <w:bookmarkStart w:id="0" w:name="_Hlk193375745"/>
      <w:proofErr w:type="gramEnd"/>
      <w:r w:rsidRPr="004D2792">
        <w:rPr>
          <w:b/>
          <w:bCs/>
          <w:sz w:val="40"/>
          <w:szCs w:val="40"/>
        </w:rPr>
        <w:t xml:space="preserve"> </w:t>
      </w:r>
      <w:bookmarkEnd w:id="0"/>
      <w:r>
        <w:rPr>
          <w:b/>
          <w:bCs/>
          <w:sz w:val="40"/>
          <w:szCs w:val="40"/>
        </w:rPr>
        <w:t xml:space="preserve"> 07/11/2025</w:t>
      </w:r>
    </w:p>
    <w:p w14:paraId="78F198A2" w14:textId="77777777" w:rsidR="00FB7051" w:rsidRDefault="00FB7051">
      <w:pPr>
        <w:spacing w:line="360" w:lineRule="auto"/>
        <w:jc w:val="center"/>
        <w:rPr>
          <w:rFonts w:ascii="Times New Roman" w:eastAsia="Times New Roman" w:hAnsi="Times New Roman" w:cs="Times New Roman"/>
          <w:b/>
          <w:sz w:val="32"/>
          <w:szCs w:val="32"/>
        </w:rPr>
      </w:pPr>
    </w:p>
    <w:p w14:paraId="7CA9379E" w14:textId="77777777" w:rsidR="00FB7051" w:rsidRDefault="00FB7051">
      <w:pPr>
        <w:spacing w:line="360" w:lineRule="auto"/>
        <w:rPr>
          <w:rFonts w:ascii="Times New Roman" w:eastAsia="Times New Roman" w:hAnsi="Times New Roman" w:cs="Times New Roman"/>
          <w:b/>
          <w:sz w:val="32"/>
          <w:szCs w:val="32"/>
        </w:rPr>
      </w:pPr>
    </w:p>
    <w:p w14:paraId="5DE9A60C" w14:textId="77777777" w:rsidR="001870D6" w:rsidRDefault="001870D6" w:rsidP="001870D6">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Dissertation proposal</w:t>
      </w:r>
    </w:p>
    <w:p w14:paraId="02C7A9A7" w14:textId="77777777" w:rsidR="00FB7051" w:rsidRDefault="00000000">
      <w:pPr>
        <w:spacing w:line="360" w:lineRule="auto"/>
        <w:jc w:val="center"/>
        <w:rPr>
          <w:rFonts w:ascii="Times New Roman" w:eastAsia="Times New Roman" w:hAnsi="Times New Roman" w:cs="Times New Roman"/>
          <w:b/>
          <w:color w:val="000000"/>
          <w:sz w:val="32"/>
          <w:szCs w:val="32"/>
        </w:rPr>
      </w:pPr>
      <w:r>
        <w:rPr>
          <w:rFonts w:ascii="Times New Roman" w:eastAsia="Times New Roman" w:hAnsi="Times New Roman" w:cs="Times New Roman"/>
          <w:b/>
          <w:color w:val="000000"/>
          <w:sz w:val="32"/>
          <w:szCs w:val="32"/>
        </w:rPr>
        <w:t xml:space="preserve">EXAMINING WHETHER THE BRAND RE-POSITIONING STRATEGY OF GUCCI TO ATTRACT YOUNG CUSTOMERS </w:t>
      </w:r>
      <w:r>
        <w:rPr>
          <w:rFonts w:ascii="Times New Roman" w:eastAsia="Times New Roman" w:hAnsi="Times New Roman" w:cs="Times New Roman"/>
          <w:b/>
          <w:color w:val="000000"/>
          <w:sz w:val="32"/>
          <w:szCs w:val="32"/>
        </w:rPr>
        <w:lastRenderedPageBreak/>
        <w:t>FROM TRADITIONAL LUXURY STYLE IS A SUCCESS OR A BARRIER TO GROWTH</w:t>
      </w:r>
      <w:r>
        <w:br w:type="page"/>
      </w:r>
    </w:p>
    <w:p w14:paraId="40C42BE2" w14:textId="77777777" w:rsidR="00FB7051" w:rsidRDefault="00000000">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40D44A21" w14:textId="77777777" w:rsidR="00FB7051" w:rsidRDefault="00FB7051">
      <w:pPr>
        <w:keepNext/>
        <w:keepLines/>
        <w:pBdr>
          <w:top w:val="nil"/>
          <w:left w:val="nil"/>
          <w:bottom w:val="nil"/>
          <w:right w:val="nil"/>
          <w:between w:val="nil"/>
        </w:pBdr>
        <w:spacing w:before="480" w:after="0" w:line="360" w:lineRule="auto"/>
        <w:jc w:val="center"/>
        <w:rPr>
          <w:rFonts w:ascii="Times New Roman" w:eastAsia="Times New Roman" w:hAnsi="Times New Roman" w:cs="Times New Roman"/>
          <w:b/>
          <w:sz w:val="24"/>
          <w:szCs w:val="24"/>
        </w:rPr>
      </w:pPr>
    </w:p>
    <w:sdt>
      <w:sdtPr>
        <w:id w:val="-73327677"/>
        <w:docPartObj>
          <w:docPartGallery w:val="Table of Contents"/>
          <w:docPartUnique/>
        </w:docPartObj>
      </w:sdtPr>
      <w:sdtContent>
        <w:p w14:paraId="2B2CBA58" w14:textId="1CFBB004"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r>
            <w:fldChar w:fldCharType="begin"/>
          </w:r>
          <w:r>
            <w:instrText xml:space="preserve"> TOC \h \u \z \t "Heading 1,1,Heading 2,2,Heading 3,3,"</w:instrText>
          </w:r>
          <w:r>
            <w:fldChar w:fldCharType="separate"/>
          </w:r>
          <w:hyperlink w:anchor="_heading=">
            <w:r>
              <w:rPr>
                <w:rFonts w:ascii="Times New Roman" w:eastAsia="Times New Roman" w:hAnsi="Times New Roman" w:cs="Times New Roman"/>
                <w:color w:val="000000"/>
                <w:sz w:val="24"/>
                <w:szCs w:val="24"/>
              </w:rPr>
              <w:t>Introduction</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3</w:t>
            </w:r>
          </w:hyperlink>
        </w:p>
        <w:p w14:paraId="6DF57A16" w14:textId="75BDAD9C"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dw4zj7af940v">
            <w:r>
              <w:rPr>
                <w:rFonts w:ascii="Times New Roman" w:eastAsia="Times New Roman" w:hAnsi="Times New Roman" w:cs="Times New Roman"/>
                <w:color w:val="000000"/>
                <w:sz w:val="24"/>
                <w:szCs w:val="24"/>
              </w:rPr>
              <w:t>Literature review</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4</w:t>
            </w:r>
          </w:hyperlink>
        </w:p>
        <w:p w14:paraId="7D59A010" w14:textId="253A8CC7"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6m42ofv67gfv">
            <w:r>
              <w:rPr>
                <w:rFonts w:ascii="Times New Roman" w:eastAsia="Times New Roman" w:hAnsi="Times New Roman" w:cs="Times New Roman"/>
                <w:color w:val="000000"/>
                <w:sz w:val="24"/>
                <w:szCs w:val="24"/>
              </w:rPr>
              <w:t>Methodology</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6</w:t>
            </w:r>
          </w:hyperlink>
        </w:p>
        <w:p w14:paraId="725E929A" w14:textId="619F9C88"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2b3vizc85vn3">
            <w:r>
              <w:rPr>
                <w:rFonts w:ascii="Times New Roman" w:eastAsia="Times New Roman" w:hAnsi="Times New Roman" w:cs="Times New Roman"/>
                <w:color w:val="000000"/>
                <w:sz w:val="24"/>
                <w:szCs w:val="24"/>
              </w:rPr>
              <w:t>Expected findings</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7</w:t>
            </w:r>
          </w:hyperlink>
        </w:p>
        <w:p w14:paraId="312B0379" w14:textId="46691968"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w51eqa806ev2">
            <w:r>
              <w:rPr>
                <w:rFonts w:ascii="Times New Roman" w:eastAsia="Times New Roman" w:hAnsi="Times New Roman" w:cs="Times New Roman"/>
                <w:color w:val="000000"/>
                <w:sz w:val="24"/>
                <w:szCs w:val="24"/>
              </w:rPr>
              <w:t>Limitations</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7</w:t>
            </w:r>
          </w:hyperlink>
        </w:p>
        <w:p w14:paraId="5A311797" w14:textId="458E1726"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5dbq118y8lal">
            <w:r>
              <w:rPr>
                <w:rFonts w:ascii="Times New Roman" w:eastAsia="Times New Roman" w:hAnsi="Times New Roman" w:cs="Times New Roman"/>
                <w:color w:val="000000"/>
                <w:sz w:val="24"/>
                <w:szCs w:val="24"/>
              </w:rPr>
              <w:t>Timeframe</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8</w:t>
            </w:r>
          </w:hyperlink>
        </w:p>
        <w:p w14:paraId="2862E582" w14:textId="6538DB7A"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ezuffjoqol1s">
            <w:r>
              <w:rPr>
                <w:rFonts w:ascii="Times New Roman" w:eastAsia="Times New Roman" w:hAnsi="Times New Roman" w:cs="Times New Roman"/>
                <w:color w:val="000000"/>
                <w:sz w:val="24"/>
                <w:szCs w:val="24"/>
              </w:rPr>
              <w:t>Conclusion</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9</w:t>
            </w:r>
          </w:hyperlink>
        </w:p>
        <w:p w14:paraId="750B640C" w14:textId="14FB579A" w:rsidR="00FB7051" w:rsidRDefault="00000000">
          <w:pPr>
            <w:widowControl w:val="0"/>
            <w:tabs>
              <w:tab w:val="right" w:pos="12000"/>
            </w:tabs>
            <w:spacing w:before="60" w:after="0" w:line="360" w:lineRule="auto"/>
            <w:jc w:val="both"/>
            <w:rPr>
              <w:rFonts w:ascii="Times New Roman" w:eastAsia="Times New Roman" w:hAnsi="Times New Roman" w:cs="Times New Roman"/>
              <w:color w:val="000000"/>
              <w:sz w:val="24"/>
              <w:szCs w:val="24"/>
            </w:rPr>
          </w:pPr>
          <w:hyperlink w:anchor="_heading=h.6956oxrya4t5">
            <w:r>
              <w:rPr>
                <w:rFonts w:ascii="Times New Roman" w:eastAsia="Times New Roman" w:hAnsi="Times New Roman" w:cs="Times New Roman"/>
                <w:color w:val="000000"/>
                <w:sz w:val="24"/>
                <w:szCs w:val="24"/>
              </w:rPr>
              <w:t>References</w:t>
            </w:r>
            <w:r w:rsidR="000D0CF7">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ab/>
              <w:t>10</w:t>
            </w:r>
          </w:hyperlink>
          <w:r>
            <w:fldChar w:fldCharType="end"/>
          </w:r>
        </w:p>
      </w:sdtContent>
    </w:sdt>
    <w:p w14:paraId="510A0690" w14:textId="77777777" w:rsidR="00FB7051" w:rsidRDefault="00000000">
      <w:pPr>
        <w:rPr>
          <w:rFonts w:ascii="Times New Roman" w:eastAsia="Times New Roman" w:hAnsi="Times New Roman" w:cs="Times New Roman"/>
          <w:b/>
          <w:color w:val="000000"/>
          <w:sz w:val="28"/>
          <w:szCs w:val="28"/>
        </w:rPr>
      </w:pPr>
      <w:bookmarkStart w:id="1" w:name="_heading=h.w3tk65igu4fo" w:colFirst="0" w:colLast="0"/>
      <w:bookmarkEnd w:id="1"/>
      <w:r>
        <w:br w:type="page"/>
      </w:r>
    </w:p>
    <w:p w14:paraId="08AA92DD" w14:textId="77777777" w:rsidR="00FB7051" w:rsidRDefault="00000000">
      <w:pPr>
        <w:pStyle w:val="Heading1"/>
      </w:pPr>
      <w:r>
        <w:lastRenderedPageBreak/>
        <w:t>Introduction</w:t>
      </w:r>
    </w:p>
    <w:p w14:paraId="12D0E5E1"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Background</w:t>
      </w:r>
    </w:p>
    <w:p w14:paraId="730FA80D"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This particular research will aim to analyze the repositioning aspects of Gucci, which is an Italian Luxury brand well-known for its heritage and craftsmanship, while assessing if their strategy for transition from traditional luxury aspects towards a younger, digitally influenced, and inclusive aesthetic approach can be a successful measure for their growth or become  a potential barrier. According to Niosi, (2021), repositioning is the process of a brand to position it in a manner to the target market, so they can consider the brand differently and anticipate various expectations and experiences. In the context of Gucci, they have focused on extensive shifting of their aesthetics, communications, and even retail experience aspects, with a particular focus on their target consumer segments. Gucci had been focused on exclusivity and focused on refining the Italian luxury context with its mature consumer base. Yet in 2014, the brand faced major issues, including a decline in profits and operational issues. This forced them to reposition their brand to appeal to more younger, tech-savvy consumers. After this re-positioning effort from 2015 to 2019, Gucci faced major growth with sales doubling from $4.2 billion to $10.4 billion (Danziger, 2024).</w:t>
      </w:r>
    </w:p>
    <w:p w14:paraId="3AAEE738"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Aim</w:t>
      </w:r>
    </w:p>
    <w:p w14:paraId="62E929C8" w14:textId="77777777" w:rsidR="00FB7051" w:rsidRPr="000D0CF7" w:rsidRDefault="00000000">
      <w:pPr>
        <w:spacing w:after="0" w:line="360" w:lineRule="auto"/>
        <w:jc w:val="both"/>
        <w:rPr>
          <w:rFonts w:ascii="Times New Roman" w:eastAsia="Times New Roman" w:hAnsi="Times New Roman" w:cs="Times New Roman"/>
          <w:color w:val="000000" w:themeColor="text1"/>
          <w:sz w:val="24"/>
          <w:szCs w:val="24"/>
        </w:rPr>
      </w:pPr>
      <w:r w:rsidRPr="000D0CF7">
        <w:rPr>
          <w:rFonts w:ascii="Times New Roman" w:eastAsia="Times New Roman" w:hAnsi="Times New Roman" w:cs="Times New Roman"/>
          <w:color w:val="000000" w:themeColor="text1"/>
          <w:sz w:val="24"/>
          <w:szCs w:val="24"/>
        </w:rPr>
        <w:t>This research aims to assess the effectiveness of the repositioning strategy of Gucci in terms of attracting the younger consumer base while retaining its traditional luxury style.</w:t>
      </w:r>
    </w:p>
    <w:p w14:paraId="25F4C0B7"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Research question</w:t>
      </w:r>
    </w:p>
    <w:p w14:paraId="3991E4E7" w14:textId="77777777" w:rsidR="00FB7051" w:rsidRDefault="00000000">
      <w:pPr>
        <w:numPr>
          <w:ilvl w:val="0"/>
          <w:numId w:val="1"/>
        </w:numPr>
        <w:spacing w:before="120"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Was Gucci’s repositioning strategy effective enough to alienate its established, traditional luxury customer base in terms of purchase behavior, brand affinity, and perception of the new, maximalist aesthetic among Millennials and Gen Z customers?</w:t>
      </w:r>
    </w:p>
    <w:p w14:paraId="2D074324"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Research objectives</w:t>
      </w:r>
    </w:p>
    <w:p w14:paraId="0AA79206" w14:textId="77777777" w:rsidR="00FB7051" w:rsidRPr="000D0CF7" w:rsidRDefault="00000000">
      <w:pPr>
        <w:numPr>
          <w:ilvl w:val="0"/>
          <w:numId w:val="2"/>
        </w:numPr>
        <w:spacing w:after="0" w:line="360" w:lineRule="auto"/>
        <w:jc w:val="both"/>
        <w:rPr>
          <w:rFonts w:ascii="Times New Roman" w:eastAsia="Times New Roman" w:hAnsi="Times New Roman" w:cs="Times New Roman"/>
          <w:color w:val="000000" w:themeColor="text1"/>
          <w:sz w:val="24"/>
          <w:szCs w:val="24"/>
        </w:rPr>
      </w:pPr>
      <w:r w:rsidRPr="000D0CF7">
        <w:rPr>
          <w:rFonts w:ascii="Times New Roman" w:eastAsia="Times New Roman" w:hAnsi="Times New Roman" w:cs="Times New Roman"/>
          <w:color w:val="000000" w:themeColor="text1"/>
          <w:sz w:val="24"/>
          <w:szCs w:val="24"/>
        </w:rPr>
        <w:t>To examine ways in which the repositioning strategy transformed Gucci in terms of product design, marketing communication and experience in retaining young consumers</w:t>
      </w:r>
    </w:p>
    <w:p w14:paraId="5999B0C4" w14:textId="77777777" w:rsidR="00FB7051" w:rsidRPr="000D0CF7" w:rsidRDefault="00000000">
      <w:pPr>
        <w:numPr>
          <w:ilvl w:val="0"/>
          <w:numId w:val="2"/>
        </w:numPr>
        <w:spacing w:after="0" w:line="360" w:lineRule="auto"/>
        <w:jc w:val="both"/>
        <w:rPr>
          <w:rFonts w:ascii="Times New Roman" w:eastAsia="Times New Roman" w:hAnsi="Times New Roman" w:cs="Times New Roman"/>
          <w:color w:val="000000" w:themeColor="text1"/>
          <w:sz w:val="24"/>
          <w:szCs w:val="24"/>
        </w:rPr>
      </w:pPr>
      <w:r w:rsidRPr="000D0CF7">
        <w:rPr>
          <w:rFonts w:ascii="Times New Roman" w:eastAsia="Times New Roman" w:hAnsi="Times New Roman" w:cs="Times New Roman"/>
          <w:color w:val="000000" w:themeColor="text1"/>
          <w:sz w:val="24"/>
          <w:szCs w:val="24"/>
        </w:rPr>
        <w:t>To determine the extent to which the repositioning was successful in making both old and new Millennial/Gen Z buyers feel alienated or in increasing affinity towards traditional luxury styles</w:t>
      </w:r>
    </w:p>
    <w:p w14:paraId="781F3F11" w14:textId="77777777" w:rsidR="00FB7051" w:rsidRDefault="00000000">
      <w:pPr>
        <w:numPr>
          <w:ilvl w:val="0"/>
          <w:numId w:val="2"/>
        </w:numPr>
        <w:spacing w:before="120"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To prescribe ways of maintaining brand equity and cross-generational customer loyalty.</w:t>
      </w:r>
    </w:p>
    <w:p w14:paraId="61C376A5"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To achieve this aim and </w:t>
      </w:r>
      <w:r>
        <w:rPr>
          <w:rFonts w:ascii="Times New Roman" w:eastAsia="Times New Roman" w:hAnsi="Times New Roman" w:cs="Times New Roman"/>
          <w:sz w:val="24"/>
          <w:szCs w:val="24"/>
        </w:rPr>
        <w:t>research</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objectives</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 xml:space="preserve">study </w:t>
      </w:r>
      <w:r>
        <w:rPr>
          <w:rFonts w:ascii="Times New Roman" w:eastAsia="Times New Roman" w:hAnsi="Times New Roman" w:cs="Times New Roman"/>
          <w:color w:val="000000"/>
          <w:sz w:val="24"/>
          <w:szCs w:val="24"/>
        </w:rPr>
        <w:t xml:space="preserve">will utilize a </w:t>
      </w:r>
      <w:r>
        <w:rPr>
          <w:rFonts w:ascii="Times New Roman" w:eastAsia="Times New Roman" w:hAnsi="Times New Roman" w:cs="Times New Roman"/>
          <w:sz w:val="24"/>
          <w:szCs w:val="24"/>
        </w:rPr>
        <w:t>secondary qual</w:t>
      </w:r>
      <w:r>
        <w:rPr>
          <w:rFonts w:ascii="Times New Roman" w:eastAsia="Times New Roman" w:hAnsi="Times New Roman" w:cs="Times New Roman"/>
          <w:color w:val="000000"/>
          <w:sz w:val="24"/>
          <w:szCs w:val="24"/>
        </w:rPr>
        <w:t xml:space="preserve">itative data collection approach. </w:t>
      </w:r>
      <w:r>
        <w:rPr>
          <w:rFonts w:ascii="Times New Roman" w:eastAsia="Times New Roman" w:hAnsi="Times New Roman" w:cs="Times New Roman"/>
          <w:sz w:val="24"/>
          <w:szCs w:val="24"/>
        </w:rPr>
        <w:t>For</w:t>
      </w:r>
      <w:r>
        <w:rPr>
          <w:rFonts w:ascii="Times New Roman" w:eastAsia="Times New Roman" w:hAnsi="Times New Roman" w:cs="Times New Roman"/>
          <w:color w:val="000000"/>
          <w:sz w:val="24"/>
          <w:szCs w:val="24"/>
        </w:rPr>
        <w:t xml:space="preserve"> this, information that is already published will be drawn from several distinct sources so as to triangulate the success or potential barriers of brand repositioning </w:t>
      </w:r>
      <w:r>
        <w:rPr>
          <w:rFonts w:ascii="Times New Roman" w:eastAsia="Times New Roman" w:hAnsi="Times New Roman" w:cs="Times New Roman"/>
          <w:sz w:val="24"/>
          <w:szCs w:val="24"/>
        </w:rPr>
        <w:t>strategy</w:t>
      </w:r>
      <w:r>
        <w:rPr>
          <w:rFonts w:ascii="Times New Roman" w:eastAsia="Times New Roman" w:hAnsi="Times New Roman" w:cs="Times New Roman"/>
          <w:color w:val="000000"/>
          <w:sz w:val="24"/>
          <w:szCs w:val="24"/>
        </w:rPr>
        <w:t xml:space="preserve"> of Gucci in attracting the younger customer base. In this methodological context, the research aims to consider a descriptive content analysis context</w:t>
      </w:r>
      <w:r>
        <w:rPr>
          <w:rFonts w:ascii="Times New Roman" w:eastAsia="Times New Roman" w:hAnsi="Times New Roman" w:cs="Times New Roman"/>
          <w:sz w:val="24"/>
          <w:szCs w:val="24"/>
        </w:rPr>
        <w:t xml:space="preserve"> to ensure use of verified data</w:t>
      </w:r>
      <w:r>
        <w:rPr>
          <w:rFonts w:ascii="Times New Roman" w:eastAsia="Times New Roman" w:hAnsi="Times New Roman" w:cs="Times New Roman"/>
          <w:color w:val="000000"/>
          <w:sz w:val="24"/>
          <w:szCs w:val="24"/>
        </w:rPr>
        <w:t>.</w:t>
      </w:r>
    </w:p>
    <w:p w14:paraId="22AB815E" w14:textId="77777777" w:rsidR="00FB7051" w:rsidRDefault="00000000">
      <w:pPr>
        <w:pStyle w:val="Heading1"/>
      </w:pPr>
      <w:bookmarkStart w:id="2" w:name="_heading=h.dw4zj7af940v" w:colFirst="0" w:colLast="0"/>
      <w:bookmarkEnd w:id="2"/>
      <w:r>
        <w:t>Literature review</w:t>
      </w:r>
    </w:p>
    <w:p w14:paraId="288EBC6E"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the context of the literature, the extensive analysis of existing data </w:t>
      </w:r>
      <w:r>
        <w:rPr>
          <w:rFonts w:ascii="Times New Roman" w:eastAsia="Times New Roman" w:hAnsi="Times New Roman" w:cs="Times New Roman"/>
          <w:sz w:val="24"/>
          <w:szCs w:val="24"/>
        </w:rPr>
        <w:t>bases will</w:t>
      </w:r>
      <w:r>
        <w:rPr>
          <w:rFonts w:ascii="Times New Roman" w:eastAsia="Times New Roman" w:hAnsi="Times New Roman" w:cs="Times New Roman"/>
          <w:color w:val="000000"/>
          <w:sz w:val="24"/>
          <w:szCs w:val="24"/>
        </w:rPr>
        <w:t xml:space="preserve"> potentially focus on research for luxury brand repositioning, younger consumer behaviors, and others, with a particular focus on the evidence in relation to Gucci’s repositioning. In the context of luxury repositioning, luxury brands are more focused on engaging Millennials and Gen Zs as these segments are major factors of growth. This can be supported by the claims of industry reports, which showcase that Millennials and Gen Z are dominating the luxury goods spending market. With reports showcasing affluent Millennials and Gen Zs developing 65% of the total luxury market spending ($333) in 2022, and are further expected to consider making up more than 80% by 2030 (cdnhl, 2025). This complete shift and trend have pushed luxury brands to reconsider their traditional exclusivity models and consider digital engagement approaches. With a focus on factors like individual expressions, influencer impacts, and values like sustainability and inclusivity, the younger consumer groups are showcasing wider considerations in their luxury shopping, contrasting the only focus on craftsmanship and heritage. Furthermore, in terms of digital marketing and luxury brand relations, the luxury sector has been facing and going through a vast change in relation to the digital context, especially after COVID-19, which significantly enhanced the adaptation and cruciality of online and social media channels. According to the study focused on Gucci’s digital marketing strategies done by Lu, (2024), has identified that the company utilized big data for personalized experiences, optimized their campaigns, and utilized their online-to-offline strategies, with a focus on their luxury digital transformation.</w:t>
      </w:r>
    </w:p>
    <w:p w14:paraId="06DF942B"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A</w:t>
      </w:r>
      <w:r>
        <w:rPr>
          <w:rFonts w:ascii="Times New Roman" w:eastAsia="Times New Roman" w:hAnsi="Times New Roman" w:cs="Times New Roman"/>
          <w:color w:val="000000"/>
          <w:sz w:val="24"/>
          <w:szCs w:val="24"/>
        </w:rPr>
        <w:t xml:space="preserve">lthough social-media strategies like influencer collaboration and or electronic word-of-mouth can majorly impact consumer perceptions and purchasing behaviour, </w:t>
      </w:r>
      <w:r>
        <w:rPr>
          <w:rFonts w:ascii="Times New Roman" w:eastAsia="Times New Roman" w:hAnsi="Times New Roman" w:cs="Times New Roman"/>
          <w:sz w:val="24"/>
          <w:szCs w:val="24"/>
        </w:rPr>
        <w:t>it can</w:t>
      </w:r>
      <w:r>
        <w:rPr>
          <w:rFonts w:ascii="Times New Roman" w:eastAsia="Times New Roman" w:hAnsi="Times New Roman" w:cs="Times New Roman"/>
          <w:color w:val="000000"/>
          <w:sz w:val="24"/>
          <w:szCs w:val="24"/>
        </w:rPr>
        <w:t xml:space="preserve"> also have a negative reputational impact if not properly managed (Valmohammadi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2025). This is especially crucial for younger consumers due to their major alignment with social media usage. In this context, various studies have also shed light on Gucci’s strategy in an in-depth manner. For an example, the study o</w:t>
      </w:r>
      <w:r>
        <w:rPr>
          <w:rFonts w:ascii="Times New Roman" w:eastAsia="Times New Roman" w:hAnsi="Times New Roman" w:cs="Times New Roman"/>
          <w:sz w:val="24"/>
          <w:szCs w:val="24"/>
        </w:rPr>
        <w:t xml:space="preserve">f </w:t>
      </w:r>
      <w:r>
        <w:rPr>
          <w:rFonts w:ascii="Times New Roman" w:eastAsia="Times New Roman" w:hAnsi="Times New Roman" w:cs="Times New Roman"/>
          <w:color w:val="000000"/>
          <w:sz w:val="24"/>
          <w:szCs w:val="24"/>
        </w:rPr>
        <w:t xml:space="preserve">Wang (2023) has shed light on the fact that Gucci captured the </w:t>
      </w:r>
      <w:r>
        <w:rPr>
          <w:rFonts w:ascii="Times New Roman" w:eastAsia="Times New Roman" w:hAnsi="Times New Roman" w:cs="Times New Roman"/>
          <w:color w:val="000000"/>
          <w:sz w:val="24"/>
          <w:szCs w:val="24"/>
        </w:rPr>
        <w:lastRenderedPageBreak/>
        <w:t xml:space="preserve">young  consumers through their digital marketing and various social media applications and celebrity culture. This eventually increased their exposure to the younger segments. In this context, risks also </w:t>
      </w:r>
      <w:r>
        <w:rPr>
          <w:rFonts w:ascii="Times New Roman" w:eastAsia="Times New Roman" w:hAnsi="Times New Roman" w:cs="Times New Roman"/>
          <w:sz w:val="24"/>
          <w:szCs w:val="24"/>
        </w:rPr>
        <w:t xml:space="preserve">need </w:t>
      </w:r>
      <w:r>
        <w:rPr>
          <w:rFonts w:ascii="Times New Roman" w:eastAsia="Times New Roman" w:hAnsi="Times New Roman" w:cs="Times New Roman"/>
          <w:color w:val="000000"/>
          <w:sz w:val="24"/>
          <w:szCs w:val="24"/>
        </w:rPr>
        <w:t xml:space="preserve">to be considered among brands like Gucci. Repositioning of a luxury brand can include major risks. </w:t>
      </w:r>
      <w:r>
        <w:rPr>
          <w:rFonts w:ascii="Times New Roman" w:eastAsia="Times New Roman" w:hAnsi="Times New Roman" w:cs="Times New Roman"/>
          <w:sz w:val="24"/>
          <w:szCs w:val="24"/>
        </w:rPr>
        <w:t>Y</w:t>
      </w:r>
      <w:r>
        <w:rPr>
          <w:rFonts w:ascii="Times New Roman" w:eastAsia="Times New Roman" w:hAnsi="Times New Roman" w:cs="Times New Roman"/>
          <w:color w:val="000000"/>
          <w:sz w:val="24"/>
          <w:szCs w:val="24"/>
        </w:rPr>
        <w:t>ounger consumers can showcase lower brand loyalty due to novelty and trend focus over long-term stability. This can potentially develop risk for finding the younger consumers not being long-term loyal in contrast to legacy consumers.  In this context, further research on Gucci can be considered. A relevant study on the brand’s focus on young consumers and their purchasing behaviour raises concerns for balancing the classic and trendy design philosophical aspect (Wu, 2022). Furthermore, the repositioning of luxury brands should be focused on the authenticity aspect in making approaches relevant to youth-focused values like digital and inclusiveness, while further managing their craftsmanship and heritage for luxury consumers.</w:t>
      </w:r>
    </w:p>
    <w:p w14:paraId="4A43DEAE"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Regardless of these studies, it is crucial to consider that there are still gaps remaining in terms of empirical research that particularly focuses on analyzing long-term outcomes for the repositioning strategies for luxury brands. Existing </w:t>
      </w:r>
      <w:r>
        <w:rPr>
          <w:rFonts w:ascii="Times New Roman" w:eastAsia="Times New Roman" w:hAnsi="Times New Roman" w:cs="Times New Roman"/>
          <w:sz w:val="24"/>
          <w:szCs w:val="24"/>
        </w:rPr>
        <w:t>literature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lacks</w:t>
      </w:r>
      <w:r>
        <w:rPr>
          <w:rFonts w:ascii="Times New Roman" w:eastAsia="Times New Roman" w:hAnsi="Times New Roman" w:cs="Times New Roman"/>
          <w:color w:val="000000"/>
          <w:sz w:val="24"/>
          <w:szCs w:val="24"/>
        </w:rPr>
        <w:t xml:space="preserve"> a focus on measuring both the growth-related benefits from young segments and the potential isolation of traditional segments in various quantifiable aspects like loyalty, purchase behaviour, and others. Thus, to fill this gap, this research will combine the brand performance aspects with a particular focus on </w:t>
      </w:r>
      <w:r>
        <w:rPr>
          <w:rFonts w:ascii="Times New Roman" w:eastAsia="Times New Roman" w:hAnsi="Times New Roman" w:cs="Times New Roman"/>
          <w:sz w:val="24"/>
          <w:szCs w:val="24"/>
        </w:rPr>
        <w:t xml:space="preserve">secondary </w:t>
      </w:r>
      <w:r>
        <w:rPr>
          <w:rFonts w:ascii="Times New Roman" w:eastAsia="Times New Roman" w:hAnsi="Times New Roman" w:cs="Times New Roman"/>
          <w:color w:val="000000"/>
          <w:sz w:val="24"/>
          <w:szCs w:val="24"/>
        </w:rPr>
        <w:t>data for analyzing if the repositioning is sustainable for the long</w:t>
      </w:r>
      <w:r>
        <w:rPr>
          <w:rFonts w:ascii="Times New Roman" w:eastAsia="Times New Roman" w:hAnsi="Times New Roman" w:cs="Times New Roman"/>
          <w:sz w:val="24"/>
          <w:szCs w:val="24"/>
        </w:rPr>
        <w:t>-</w:t>
      </w:r>
      <w:r>
        <w:rPr>
          <w:rFonts w:ascii="Times New Roman" w:eastAsia="Times New Roman" w:hAnsi="Times New Roman" w:cs="Times New Roman"/>
          <w:color w:val="000000"/>
          <w:sz w:val="24"/>
          <w:szCs w:val="24"/>
        </w:rPr>
        <w:t>term and beneficial for the overall growth of Gucci.</w:t>
      </w:r>
    </w:p>
    <w:p w14:paraId="28C2A7BB" w14:textId="77777777" w:rsidR="00FB7051" w:rsidRDefault="00000000">
      <w:pPr>
        <w:pStyle w:val="Heading1"/>
      </w:pPr>
      <w:bookmarkStart w:id="3" w:name="_heading=h.6m42ofv67gfv" w:colFirst="0" w:colLast="0"/>
      <w:bookmarkEnd w:id="3"/>
      <w:r>
        <w:t>Methodology</w:t>
      </w:r>
    </w:p>
    <w:p w14:paraId="4EA987B3"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Research design</w:t>
      </w:r>
    </w:p>
    <w:p w14:paraId="58C7C4E7"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 qua</w:t>
      </w:r>
      <w:r>
        <w:rPr>
          <w:rFonts w:ascii="Times New Roman" w:eastAsia="Times New Roman" w:hAnsi="Times New Roman" w:cs="Times New Roman"/>
          <w:sz w:val="24"/>
          <w:szCs w:val="24"/>
        </w:rPr>
        <w:t>l</w:t>
      </w:r>
      <w:r>
        <w:rPr>
          <w:rFonts w:ascii="Times New Roman" w:eastAsia="Times New Roman" w:hAnsi="Times New Roman" w:cs="Times New Roman"/>
          <w:color w:val="000000"/>
          <w:sz w:val="24"/>
          <w:szCs w:val="24"/>
        </w:rPr>
        <w:t xml:space="preserve">itative descriptive research design will be utilized in this research. </w:t>
      </w:r>
      <w:r>
        <w:rPr>
          <w:rFonts w:ascii="Times New Roman" w:eastAsia="Times New Roman" w:hAnsi="Times New Roman" w:cs="Times New Roman"/>
          <w:sz w:val="24"/>
          <w:szCs w:val="24"/>
        </w:rPr>
        <w:t>This approach is found to be suitable in gaining a basic and comprehensive idea of a phenomenon, which is also referred to as a "</w:t>
      </w:r>
      <w:r>
        <w:rPr>
          <w:rFonts w:ascii="Times New Roman" w:eastAsia="Times New Roman" w:hAnsi="Times New Roman" w:cs="Times New Roman"/>
          <w:i/>
          <w:sz w:val="24"/>
          <w:szCs w:val="24"/>
        </w:rPr>
        <w:t>straight descriptive summary</w:t>
      </w:r>
      <w:r>
        <w:rPr>
          <w:rFonts w:ascii="Times New Roman" w:eastAsia="Times New Roman" w:hAnsi="Times New Roman" w:cs="Times New Roman"/>
          <w:sz w:val="24"/>
          <w:szCs w:val="24"/>
        </w:rPr>
        <w:t xml:space="preserve">"(Ghanad, 2023). </w:t>
      </w:r>
      <w:r>
        <w:rPr>
          <w:rFonts w:ascii="Times New Roman" w:eastAsia="Times New Roman" w:hAnsi="Times New Roman" w:cs="Times New Roman"/>
          <w:color w:val="000000"/>
          <w:sz w:val="24"/>
          <w:szCs w:val="24"/>
        </w:rPr>
        <w:t xml:space="preserve">To align with this, the study will gather </w:t>
      </w:r>
      <w:r>
        <w:rPr>
          <w:rFonts w:ascii="Times New Roman" w:eastAsia="Times New Roman" w:hAnsi="Times New Roman" w:cs="Times New Roman"/>
          <w:sz w:val="24"/>
          <w:szCs w:val="24"/>
        </w:rPr>
        <w:t xml:space="preserve">secondary </w:t>
      </w:r>
      <w:r>
        <w:rPr>
          <w:rFonts w:ascii="Times New Roman" w:eastAsia="Times New Roman" w:hAnsi="Times New Roman" w:cs="Times New Roman"/>
          <w:color w:val="000000"/>
          <w:sz w:val="24"/>
          <w:szCs w:val="24"/>
        </w:rPr>
        <w:t xml:space="preserve">data sources that </w:t>
      </w:r>
      <w:r>
        <w:rPr>
          <w:rFonts w:ascii="Times New Roman" w:eastAsia="Times New Roman" w:hAnsi="Times New Roman" w:cs="Times New Roman"/>
          <w:sz w:val="24"/>
          <w:szCs w:val="24"/>
        </w:rPr>
        <w:t>effectively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describe</w:t>
      </w:r>
      <w:r>
        <w:rPr>
          <w:rFonts w:ascii="Times New Roman" w:eastAsia="Times New Roman" w:hAnsi="Times New Roman" w:cs="Times New Roman"/>
          <w:color w:val="000000"/>
          <w:sz w:val="24"/>
          <w:szCs w:val="24"/>
        </w:rPr>
        <w:t xml:space="preserve"> the </w:t>
      </w:r>
      <w:r>
        <w:rPr>
          <w:rFonts w:ascii="Times New Roman" w:eastAsia="Times New Roman" w:hAnsi="Times New Roman" w:cs="Times New Roman"/>
          <w:sz w:val="24"/>
          <w:szCs w:val="24"/>
        </w:rPr>
        <w:t xml:space="preserve">entire process </w:t>
      </w:r>
      <w:r>
        <w:rPr>
          <w:rFonts w:ascii="Times New Roman" w:eastAsia="Times New Roman" w:hAnsi="Times New Roman" w:cs="Times New Roman"/>
          <w:color w:val="000000"/>
          <w:sz w:val="24"/>
          <w:szCs w:val="24"/>
        </w:rPr>
        <w:t>of Gucci’s brand repositioning strategy. In this context, the choice of qua</w:t>
      </w:r>
      <w:r>
        <w:rPr>
          <w:rFonts w:ascii="Times New Roman" w:eastAsia="Times New Roman" w:hAnsi="Times New Roman" w:cs="Times New Roman"/>
          <w:sz w:val="24"/>
          <w:szCs w:val="24"/>
        </w:rPr>
        <w:t>l</w:t>
      </w:r>
      <w:r>
        <w:rPr>
          <w:rFonts w:ascii="Times New Roman" w:eastAsia="Times New Roman" w:hAnsi="Times New Roman" w:cs="Times New Roman"/>
          <w:color w:val="000000"/>
          <w:sz w:val="24"/>
          <w:szCs w:val="24"/>
        </w:rPr>
        <w:t xml:space="preserve">itative approach will be beneficial for providing </w:t>
      </w:r>
      <w:r>
        <w:rPr>
          <w:rFonts w:ascii="Times New Roman" w:eastAsia="Times New Roman" w:hAnsi="Times New Roman" w:cs="Times New Roman"/>
          <w:sz w:val="24"/>
          <w:szCs w:val="24"/>
        </w:rPr>
        <w:t>evidence-based</w:t>
      </w:r>
      <w:r>
        <w:rPr>
          <w:rFonts w:ascii="Times New Roman" w:eastAsia="Times New Roman" w:hAnsi="Times New Roman" w:cs="Times New Roman"/>
          <w:color w:val="000000"/>
          <w:sz w:val="24"/>
          <w:szCs w:val="24"/>
        </w:rPr>
        <w:t xml:space="preserve"> description o</w:t>
      </w:r>
      <w:r>
        <w:rPr>
          <w:rFonts w:ascii="Times New Roman" w:eastAsia="Times New Roman" w:hAnsi="Times New Roman" w:cs="Times New Roman"/>
          <w:sz w:val="24"/>
          <w:szCs w:val="24"/>
        </w:rPr>
        <w:t>n</w:t>
      </w:r>
      <w:r>
        <w:rPr>
          <w:rFonts w:ascii="Times New Roman" w:eastAsia="Times New Roman" w:hAnsi="Times New Roman" w:cs="Times New Roman"/>
          <w:color w:val="000000"/>
          <w:sz w:val="24"/>
          <w:szCs w:val="24"/>
        </w:rPr>
        <w:t xml:space="preserve"> th</w:t>
      </w:r>
      <w:r>
        <w:rPr>
          <w:rFonts w:ascii="Times New Roman" w:eastAsia="Times New Roman" w:hAnsi="Times New Roman" w:cs="Times New Roman"/>
          <w:sz w:val="24"/>
          <w:szCs w:val="24"/>
        </w:rPr>
        <w:t xml:space="preserve">e brand positioning </w:t>
      </w:r>
      <w:r>
        <w:rPr>
          <w:rFonts w:ascii="Times New Roman" w:eastAsia="Times New Roman" w:hAnsi="Times New Roman" w:cs="Times New Roman"/>
          <w:color w:val="000000"/>
          <w:sz w:val="24"/>
          <w:szCs w:val="24"/>
        </w:rPr>
        <w:t>context</w:t>
      </w:r>
      <w:r>
        <w:rPr>
          <w:rFonts w:ascii="Times New Roman" w:eastAsia="Times New Roman" w:hAnsi="Times New Roman" w:cs="Times New Roman"/>
          <w:sz w:val="24"/>
          <w:szCs w:val="24"/>
        </w:rPr>
        <w:t>. This, in turn, will provide</w:t>
      </w:r>
      <w:r>
        <w:rPr>
          <w:rFonts w:ascii="Times New Roman" w:eastAsia="Times New Roman" w:hAnsi="Times New Roman" w:cs="Times New Roman"/>
          <w:color w:val="000000"/>
          <w:sz w:val="24"/>
          <w:szCs w:val="24"/>
        </w:rPr>
        <w:t xml:space="preserve"> a more in-depth</w:t>
      </w:r>
      <w:r>
        <w:rPr>
          <w:rFonts w:ascii="Times New Roman" w:eastAsia="Times New Roman" w:hAnsi="Times New Roman" w:cs="Times New Roman"/>
          <w:sz w:val="24"/>
          <w:szCs w:val="24"/>
        </w:rPr>
        <w:t xml:space="preserve"> and</w:t>
      </w:r>
      <w:r>
        <w:rPr>
          <w:rFonts w:ascii="Times New Roman" w:eastAsia="Times New Roman" w:hAnsi="Times New Roman" w:cs="Times New Roman"/>
          <w:color w:val="000000"/>
          <w:sz w:val="24"/>
          <w:szCs w:val="24"/>
        </w:rPr>
        <w:t xml:space="preserve"> supported understanding. </w:t>
      </w:r>
    </w:p>
    <w:p w14:paraId="02D9BAD2"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sz w:val="24"/>
          <w:szCs w:val="24"/>
        </w:rPr>
        <w:t xml:space="preserve">Inclusion and exclusion criteria </w:t>
      </w:r>
    </w:p>
    <w:p w14:paraId="75E0C927"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lastRenderedPageBreak/>
        <w:t xml:space="preserve">Since this study will rely on secondary data, therefore, there will be no </w:t>
      </w:r>
      <w:r>
        <w:rPr>
          <w:rFonts w:ascii="Times New Roman" w:eastAsia="Times New Roman" w:hAnsi="Times New Roman" w:cs="Times New Roman"/>
          <w:color w:val="000000"/>
          <w:sz w:val="24"/>
          <w:szCs w:val="24"/>
        </w:rPr>
        <w:t>target population for this research</w:t>
      </w:r>
      <w:r>
        <w:rPr>
          <w:rFonts w:ascii="Times New Roman" w:eastAsia="Times New Roman" w:hAnsi="Times New Roman" w:cs="Times New Roman"/>
          <w:sz w:val="24"/>
          <w:szCs w:val="24"/>
        </w:rPr>
        <w:t>. Rather, this study will focus on a list of criteria that will govern selection of relevant data sources for the Thematic Content Analysis to be conducted in the later stage.</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Consequently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d</w:t>
      </w:r>
      <w:r>
        <w:rPr>
          <w:rFonts w:ascii="Times New Roman" w:eastAsia="Times New Roman" w:hAnsi="Times New Roman" w:cs="Times New Roman"/>
          <w:color w:val="000000"/>
          <w:sz w:val="24"/>
          <w:szCs w:val="24"/>
        </w:rPr>
        <w:t xml:space="preserve">ocuments published on and after 2021 will only be considered, </w:t>
      </w:r>
      <w:r>
        <w:rPr>
          <w:rFonts w:ascii="Times New Roman" w:eastAsia="Times New Roman" w:hAnsi="Times New Roman" w:cs="Times New Roman"/>
          <w:sz w:val="24"/>
          <w:szCs w:val="24"/>
        </w:rPr>
        <w:t xml:space="preserve">indicating the fact that only updated information </w:t>
      </w:r>
      <w:r>
        <w:rPr>
          <w:rFonts w:ascii="Times New Roman" w:eastAsia="Times New Roman" w:hAnsi="Times New Roman" w:cs="Times New Roman"/>
          <w:color w:val="000000"/>
          <w:sz w:val="24"/>
          <w:szCs w:val="24"/>
        </w:rPr>
        <w:t xml:space="preserve">will be </w:t>
      </w:r>
      <w:r>
        <w:rPr>
          <w:rFonts w:ascii="Times New Roman" w:eastAsia="Times New Roman" w:hAnsi="Times New Roman" w:cs="Times New Roman"/>
          <w:sz w:val="24"/>
          <w:szCs w:val="24"/>
        </w:rPr>
        <w:t>included</w:t>
      </w:r>
      <w:r>
        <w:rPr>
          <w:rFonts w:ascii="Times New Roman" w:eastAsia="Times New Roman" w:hAnsi="Times New Roman" w:cs="Times New Roman"/>
          <w:color w:val="000000"/>
          <w:sz w:val="24"/>
          <w:szCs w:val="24"/>
        </w:rPr>
        <w:t xml:space="preserve"> for </w:t>
      </w:r>
      <w:r>
        <w:rPr>
          <w:rFonts w:ascii="Times New Roman" w:eastAsia="Times New Roman" w:hAnsi="Times New Roman" w:cs="Times New Roman"/>
          <w:sz w:val="24"/>
          <w:szCs w:val="24"/>
        </w:rPr>
        <w:t>understanding</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the actual</w:t>
      </w:r>
      <w:r>
        <w:rPr>
          <w:rFonts w:ascii="Times New Roman" w:eastAsia="Times New Roman" w:hAnsi="Times New Roman" w:cs="Times New Roman"/>
          <w:color w:val="000000"/>
          <w:sz w:val="24"/>
          <w:szCs w:val="24"/>
        </w:rPr>
        <w:t xml:space="preserve"> awareness of Gucci</w:t>
      </w:r>
      <w:r>
        <w:rPr>
          <w:rFonts w:ascii="Times New Roman" w:eastAsia="Times New Roman" w:hAnsi="Times New Roman" w:cs="Times New Roman"/>
          <w:sz w:val="24"/>
          <w:szCs w:val="24"/>
        </w:rPr>
        <w:t>’s</w:t>
      </w:r>
      <w:r>
        <w:rPr>
          <w:rFonts w:ascii="Times New Roman" w:eastAsia="Times New Roman" w:hAnsi="Times New Roman" w:cs="Times New Roman"/>
          <w:color w:val="000000"/>
          <w:sz w:val="24"/>
          <w:szCs w:val="24"/>
        </w:rPr>
        <w:t xml:space="preserve"> luxury goods.</w:t>
      </w:r>
      <w:r>
        <w:rPr>
          <w:rFonts w:ascii="Times New Roman" w:eastAsia="Times New Roman" w:hAnsi="Times New Roman" w:cs="Times New Roman"/>
          <w:sz w:val="24"/>
          <w:szCs w:val="24"/>
        </w:rPr>
        <w:t xml:space="preserve"> Any peer-reviewed academic articles or industry reports that fail to explain the luxury brand strategy will be excluded. </w:t>
      </w:r>
    </w:p>
    <w:p w14:paraId="4B91C638"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Data collection</w:t>
      </w:r>
    </w:p>
    <w:p w14:paraId="326E3639"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w:t>
      </w:r>
      <w:r>
        <w:rPr>
          <w:rFonts w:ascii="Times New Roman" w:eastAsia="Times New Roman" w:hAnsi="Times New Roman" w:cs="Times New Roman"/>
          <w:sz w:val="24"/>
          <w:szCs w:val="24"/>
        </w:rPr>
        <w:t>study</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the data collection method will not involve generation of primary data like interviews or surveys. Rather, focus will be given on rigorous selection, retrieval, and documentation of existing materials. In accordance with the ideas of Stock and Singh (2023), it can be stated that this data collection method enables employing a systematic and multi-step process to gather, and filter various types of secondary qualitative data. This characteristic of this type of method ensures the entire research process to be transparent, replicable, and aligned with the Inclusion/Exclusion criteria.</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 xml:space="preserve">There will be an extensive focus given on secondary data, including reports of Gucci and the parent company, Kering, as a support to the chosen research approach. Searching for relevant scholarly materials from secondary sources will use Boolean operators, such as “AND” and “OR” in databases, such as Google Scholar. Apart from this, online sources such as websites of major consulting firms will be sorted for gathering relevant industry reports on Gucci. </w:t>
      </w:r>
      <w:r>
        <w:rPr>
          <w:rFonts w:ascii="Times New Roman" w:eastAsia="Times New Roman" w:hAnsi="Times New Roman" w:cs="Times New Roman"/>
          <w:color w:val="000000"/>
          <w:sz w:val="24"/>
          <w:szCs w:val="24"/>
        </w:rPr>
        <w:t xml:space="preserve">It will include items measuring including purchase intent, brand perceptions for Gucci, digital marketing influences, new design aesthetics preferences, and the relation between the brand’s heritage and the new youth-focused approach. </w:t>
      </w:r>
    </w:p>
    <w:p w14:paraId="4923076B"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Data analysis</w:t>
      </w:r>
    </w:p>
    <w:p w14:paraId="5FE05E20"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 xml:space="preserve">Followed by the screening of relevant data sources for this secondary study, the thematic analysis method will be used. This is one of the most commonly used methods that enable proper identification, analysis, and reporting of relevant patterns within data. A total of 4 themes will be prepared, by considering alignments with the research objectives. </w:t>
      </w:r>
      <w:r>
        <w:rPr>
          <w:rFonts w:ascii="Times New Roman" w:eastAsia="Times New Roman" w:hAnsi="Times New Roman" w:cs="Times New Roman"/>
          <w:color w:val="000000"/>
          <w:sz w:val="24"/>
          <w:szCs w:val="24"/>
        </w:rPr>
        <w:t xml:space="preserve">Through this complete analysis, the study aims to </w:t>
      </w:r>
      <w:r>
        <w:rPr>
          <w:rFonts w:ascii="Times New Roman" w:eastAsia="Times New Roman" w:hAnsi="Times New Roman" w:cs="Times New Roman"/>
          <w:sz w:val="24"/>
          <w:szCs w:val="24"/>
        </w:rPr>
        <w:t>analyse</w:t>
      </w:r>
      <w:r>
        <w:rPr>
          <w:rFonts w:ascii="Times New Roman" w:eastAsia="Times New Roman" w:hAnsi="Times New Roman" w:cs="Times New Roman"/>
          <w:color w:val="000000"/>
          <w:sz w:val="24"/>
          <w:szCs w:val="24"/>
        </w:rPr>
        <w:t xml:space="preserve"> the actual fact </w:t>
      </w:r>
      <w:r>
        <w:rPr>
          <w:rFonts w:ascii="Times New Roman" w:eastAsia="Times New Roman" w:hAnsi="Times New Roman" w:cs="Times New Roman"/>
          <w:sz w:val="24"/>
          <w:szCs w:val="24"/>
        </w:rPr>
        <w:t>on whether the</w:t>
      </w:r>
      <w:r>
        <w:rPr>
          <w:rFonts w:ascii="Times New Roman" w:eastAsia="Times New Roman" w:hAnsi="Times New Roman" w:cs="Times New Roman"/>
          <w:color w:val="000000"/>
          <w:sz w:val="24"/>
          <w:szCs w:val="24"/>
        </w:rPr>
        <w:t xml:space="preserve"> repositioning </w:t>
      </w:r>
      <w:r>
        <w:rPr>
          <w:rFonts w:ascii="Times New Roman" w:eastAsia="Times New Roman" w:hAnsi="Times New Roman" w:cs="Times New Roman"/>
          <w:sz w:val="24"/>
          <w:szCs w:val="24"/>
        </w:rPr>
        <w:t xml:space="preserve">strategy </w:t>
      </w:r>
      <w:r>
        <w:rPr>
          <w:rFonts w:ascii="Times New Roman" w:eastAsia="Times New Roman" w:hAnsi="Times New Roman" w:cs="Times New Roman"/>
          <w:color w:val="000000"/>
          <w:sz w:val="24"/>
          <w:szCs w:val="24"/>
        </w:rPr>
        <w:t xml:space="preserve">of Gucci has led to potential growth and </w:t>
      </w:r>
      <w:r>
        <w:rPr>
          <w:rFonts w:ascii="Times New Roman" w:eastAsia="Times New Roman" w:hAnsi="Times New Roman" w:cs="Times New Roman"/>
          <w:sz w:val="24"/>
          <w:szCs w:val="24"/>
        </w:rPr>
        <w:t xml:space="preserve">ways in which </w:t>
      </w:r>
      <w:r>
        <w:rPr>
          <w:rFonts w:ascii="Times New Roman" w:eastAsia="Times New Roman" w:hAnsi="Times New Roman" w:cs="Times New Roman"/>
          <w:color w:val="000000"/>
          <w:sz w:val="24"/>
          <w:szCs w:val="24"/>
        </w:rPr>
        <w:t>it is considered from the perspective of young consumers.</w:t>
      </w:r>
    </w:p>
    <w:p w14:paraId="3D87CBB0"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Ethics and reliability</w:t>
      </w:r>
    </w:p>
    <w:p w14:paraId="1D9E0584"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To maintain proper ethical guidelines, it will b</w:t>
      </w:r>
      <w:r>
        <w:rPr>
          <w:rFonts w:ascii="Times New Roman" w:eastAsia="Times New Roman" w:hAnsi="Times New Roman" w:cs="Times New Roman"/>
          <w:sz w:val="24"/>
          <w:szCs w:val="24"/>
        </w:rPr>
        <w:t>e ensured that information gathered from secondary sources are properly acknowledged with the help of in-text citations. All these</w:t>
      </w:r>
      <w:r>
        <w:rPr>
          <w:rFonts w:ascii="Times New Roman" w:eastAsia="Times New Roman" w:hAnsi="Times New Roman" w:cs="Times New Roman"/>
          <w:color w:val="000000"/>
          <w:sz w:val="24"/>
          <w:szCs w:val="24"/>
        </w:rPr>
        <w:t xml:space="preserve"> gathered data will be utilized for th</w:t>
      </w:r>
      <w:r>
        <w:rPr>
          <w:rFonts w:ascii="Times New Roman" w:eastAsia="Times New Roman" w:hAnsi="Times New Roman" w:cs="Times New Roman"/>
          <w:sz w:val="24"/>
          <w:szCs w:val="24"/>
        </w:rPr>
        <w:t>e</w:t>
      </w:r>
      <w:r>
        <w:rPr>
          <w:rFonts w:ascii="Times New Roman" w:eastAsia="Times New Roman" w:hAnsi="Times New Roman" w:cs="Times New Roman"/>
          <w:color w:val="000000"/>
          <w:sz w:val="24"/>
          <w:szCs w:val="24"/>
        </w:rPr>
        <w:t xml:space="preserve"> academic research purpose only, while ensuring effective protective storage of it. </w:t>
      </w:r>
      <w:r>
        <w:rPr>
          <w:rFonts w:ascii="Times New Roman" w:eastAsia="Times New Roman" w:hAnsi="Times New Roman" w:cs="Times New Roman"/>
          <w:sz w:val="24"/>
          <w:szCs w:val="24"/>
        </w:rPr>
        <w:t>Considering</w:t>
      </w:r>
      <w:r>
        <w:rPr>
          <w:rFonts w:ascii="Times New Roman" w:eastAsia="Times New Roman" w:hAnsi="Times New Roman" w:cs="Times New Roman"/>
          <w:color w:val="000000"/>
          <w:sz w:val="24"/>
          <w:szCs w:val="24"/>
        </w:rPr>
        <w:t xml:space="preserve"> it </w:t>
      </w:r>
      <w:r>
        <w:rPr>
          <w:rFonts w:ascii="Times New Roman" w:eastAsia="Times New Roman" w:hAnsi="Times New Roman" w:cs="Times New Roman"/>
          <w:sz w:val="24"/>
          <w:szCs w:val="24"/>
        </w:rPr>
        <w:t xml:space="preserve">to be </w:t>
      </w:r>
      <w:r>
        <w:rPr>
          <w:rFonts w:ascii="Times New Roman" w:eastAsia="Times New Roman" w:hAnsi="Times New Roman" w:cs="Times New Roman"/>
          <w:color w:val="000000"/>
          <w:sz w:val="24"/>
          <w:szCs w:val="24"/>
        </w:rPr>
        <w:t>a crucial stage for any research</w:t>
      </w:r>
      <w:r>
        <w:rPr>
          <w:rFonts w:ascii="Times New Roman" w:eastAsia="Times New Roman" w:hAnsi="Times New Roman" w:cs="Times New Roman"/>
          <w:sz w:val="24"/>
          <w:szCs w:val="24"/>
        </w:rPr>
        <w:t xml:space="preserve">, it is to be ensured that no self-biased data is used </w:t>
      </w:r>
      <w:r>
        <w:rPr>
          <w:rFonts w:ascii="Times New Roman" w:eastAsia="Times New Roman" w:hAnsi="Times New Roman" w:cs="Times New Roman"/>
          <w:color w:val="000000"/>
          <w:sz w:val="24"/>
          <w:szCs w:val="24"/>
        </w:rPr>
        <w:t xml:space="preserve">(Xu </w:t>
      </w:r>
      <w:r>
        <w:rPr>
          <w:rFonts w:ascii="Times New Roman" w:eastAsia="Times New Roman" w:hAnsi="Times New Roman" w:cs="Times New Roman"/>
          <w:i/>
          <w:color w:val="000000"/>
          <w:sz w:val="24"/>
          <w:szCs w:val="24"/>
        </w:rPr>
        <w:t>et al</w:t>
      </w:r>
      <w:r>
        <w:rPr>
          <w:rFonts w:ascii="Times New Roman" w:eastAsia="Times New Roman" w:hAnsi="Times New Roman" w:cs="Times New Roman"/>
          <w:color w:val="000000"/>
          <w:sz w:val="24"/>
          <w:szCs w:val="24"/>
        </w:rPr>
        <w:t xml:space="preserve">, 2020). </w:t>
      </w:r>
    </w:p>
    <w:p w14:paraId="524665FB" w14:textId="77777777" w:rsidR="00FB7051" w:rsidRDefault="00000000">
      <w:pPr>
        <w:pStyle w:val="Heading1"/>
      </w:pPr>
      <w:bookmarkStart w:id="4" w:name="_heading=h.2b3vizc85vn3" w:colFirst="0" w:colLast="0"/>
      <w:bookmarkEnd w:id="4"/>
      <w:r>
        <w:t>Expected findings</w:t>
      </w:r>
    </w:p>
    <w:p w14:paraId="71C31D88"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It is anticipated that this research will find relevant evidence that Gucci’s repositioning towards younger consumers has been majorly effective in developing increased engagement and even positive perceptions among the selected Gen Z and Millennials. The </w:t>
      </w:r>
      <w:r>
        <w:rPr>
          <w:rFonts w:ascii="Times New Roman" w:eastAsia="Times New Roman" w:hAnsi="Times New Roman" w:cs="Times New Roman"/>
          <w:sz w:val="24"/>
          <w:szCs w:val="24"/>
        </w:rPr>
        <w:t>secondary information to be collected</w:t>
      </w:r>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sz w:val="24"/>
          <w:szCs w:val="24"/>
        </w:rPr>
        <w:t>is</w:t>
      </w:r>
      <w:r>
        <w:rPr>
          <w:rFonts w:ascii="Times New Roman" w:eastAsia="Times New Roman" w:hAnsi="Times New Roman" w:cs="Times New Roman"/>
          <w:color w:val="000000"/>
          <w:sz w:val="24"/>
          <w:szCs w:val="24"/>
        </w:rPr>
        <w:t xml:space="preserve"> anticipated to showcase </w:t>
      </w:r>
      <w:r>
        <w:rPr>
          <w:rFonts w:ascii="Times New Roman" w:eastAsia="Times New Roman" w:hAnsi="Times New Roman" w:cs="Times New Roman"/>
          <w:sz w:val="24"/>
          <w:szCs w:val="24"/>
        </w:rPr>
        <w:t xml:space="preserve">whether </w:t>
      </w:r>
      <w:r>
        <w:rPr>
          <w:rFonts w:ascii="Times New Roman" w:eastAsia="Times New Roman" w:hAnsi="Times New Roman" w:cs="Times New Roman"/>
          <w:color w:val="000000"/>
          <w:sz w:val="24"/>
          <w:szCs w:val="24"/>
        </w:rPr>
        <w:t xml:space="preserve">young respondents are </w:t>
      </w:r>
      <w:r>
        <w:rPr>
          <w:rFonts w:ascii="Times New Roman" w:eastAsia="Times New Roman" w:hAnsi="Times New Roman" w:cs="Times New Roman"/>
          <w:sz w:val="24"/>
          <w:szCs w:val="24"/>
        </w:rPr>
        <w:t>considering</w:t>
      </w:r>
      <w:r>
        <w:rPr>
          <w:rFonts w:ascii="Times New Roman" w:eastAsia="Times New Roman" w:hAnsi="Times New Roman" w:cs="Times New Roman"/>
          <w:color w:val="000000"/>
          <w:sz w:val="24"/>
          <w:szCs w:val="24"/>
        </w:rPr>
        <w:t xml:space="preserve"> favourable brand perceptions regarding the new aesthetics of Gucci, with a focus on higher purchase intentions and effective digital and social media channel </w:t>
      </w:r>
      <w:r>
        <w:rPr>
          <w:rFonts w:ascii="Times New Roman" w:eastAsia="Times New Roman" w:hAnsi="Times New Roman" w:cs="Times New Roman"/>
          <w:sz w:val="24"/>
          <w:szCs w:val="24"/>
        </w:rPr>
        <w:t>marketing</w:t>
      </w:r>
      <w:r>
        <w:rPr>
          <w:rFonts w:ascii="Times New Roman" w:eastAsia="Times New Roman" w:hAnsi="Times New Roman" w:cs="Times New Roman"/>
          <w:color w:val="000000"/>
          <w:sz w:val="24"/>
          <w:szCs w:val="24"/>
        </w:rPr>
        <w:t>. Thus, considering all of these, it is anticipated that the findings will showcase how Gucci’s repositioning has been more aligned with the beneficial side for their year-on-year growth. However, there is also a risk for this as a barrier for growth if not being managed properly, especially in relation to the youthful relevance and heritage luxury factors.</w:t>
      </w:r>
    </w:p>
    <w:p w14:paraId="6550D1F5" w14:textId="77777777" w:rsidR="00FB7051" w:rsidRDefault="00000000">
      <w:pPr>
        <w:pStyle w:val="Heading1"/>
      </w:pPr>
      <w:bookmarkStart w:id="5" w:name="_heading=h.w51eqa806ev2" w:colFirst="0" w:colLast="0"/>
      <w:bookmarkEnd w:id="5"/>
      <w:r>
        <w:t>Limitations</w:t>
      </w:r>
    </w:p>
    <w:p w14:paraId="68937F0A"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In this context, there are various potential limitations that can affect the study in a diverse manner. For example, the use of </w:t>
      </w:r>
      <w:r>
        <w:rPr>
          <w:rFonts w:ascii="Times New Roman" w:eastAsia="Times New Roman" w:hAnsi="Times New Roman" w:cs="Times New Roman"/>
          <w:sz w:val="24"/>
          <w:szCs w:val="24"/>
        </w:rPr>
        <w:t>secondary</w:t>
      </w:r>
      <w:r>
        <w:rPr>
          <w:rFonts w:ascii="Times New Roman" w:eastAsia="Times New Roman" w:hAnsi="Times New Roman" w:cs="Times New Roman"/>
          <w:color w:val="000000"/>
          <w:sz w:val="24"/>
          <w:szCs w:val="24"/>
        </w:rPr>
        <w:t xml:space="preserve"> data restricts the findings to consider most trending aspec</w:t>
      </w:r>
      <w:r>
        <w:rPr>
          <w:rFonts w:ascii="Times New Roman" w:eastAsia="Times New Roman" w:hAnsi="Times New Roman" w:cs="Times New Roman"/>
          <w:sz w:val="24"/>
          <w:szCs w:val="24"/>
        </w:rPr>
        <w:t xml:space="preserve">ts of Gucci’s brand positioning strategy. At the same time, this study lags behind in terms of considering generalizability of the findings, which could have been achieved by considering a wider applicable population of luxury consumers. </w:t>
      </w:r>
      <w:r>
        <w:rPr>
          <w:rFonts w:ascii="Times New Roman" w:eastAsia="Times New Roman" w:hAnsi="Times New Roman" w:cs="Times New Roman"/>
          <w:color w:val="000000"/>
          <w:sz w:val="24"/>
          <w:szCs w:val="24"/>
        </w:rPr>
        <w:t xml:space="preserve">Furthermore, the </w:t>
      </w:r>
      <w:r>
        <w:rPr>
          <w:rFonts w:ascii="Times New Roman" w:eastAsia="Times New Roman" w:hAnsi="Times New Roman" w:cs="Times New Roman"/>
          <w:sz w:val="24"/>
          <w:szCs w:val="24"/>
        </w:rPr>
        <w:t xml:space="preserve">study </w:t>
      </w:r>
      <w:r>
        <w:rPr>
          <w:rFonts w:ascii="Times New Roman" w:eastAsia="Times New Roman" w:hAnsi="Times New Roman" w:cs="Times New Roman"/>
          <w:color w:val="000000"/>
          <w:sz w:val="24"/>
          <w:szCs w:val="24"/>
        </w:rPr>
        <w:t xml:space="preserve">is focused on young consumers who are between 20-40 years and does not include the traditional Gucci consumer base. </w:t>
      </w:r>
      <w:r>
        <w:rPr>
          <w:rFonts w:ascii="Times New Roman" w:eastAsia="Times New Roman" w:hAnsi="Times New Roman" w:cs="Times New Roman"/>
          <w:sz w:val="24"/>
          <w:szCs w:val="24"/>
        </w:rPr>
        <w:t>There</w:t>
      </w:r>
      <w:r>
        <w:rPr>
          <w:rFonts w:ascii="Times New Roman" w:eastAsia="Times New Roman" w:hAnsi="Times New Roman" w:cs="Times New Roman"/>
          <w:color w:val="000000"/>
          <w:sz w:val="24"/>
          <w:szCs w:val="24"/>
        </w:rPr>
        <w:t xml:space="preserve"> are quite less chances to collect and </w:t>
      </w:r>
      <w:r>
        <w:rPr>
          <w:rFonts w:ascii="Times New Roman" w:eastAsia="Times New Roman" w:hAnsi="Times New Roman" w:cs="Times New Roman"/>
          <w:sz w:val="24"/>
          <w:szCs w:val="24"/>
        </w:rPr>
        <w:t>find</w:t>
      </w:r>
      <w:r>
        <w:rPr>
          <w:rFonts w:ascii="Times New Roman" w:eastAsia="Times New Roman" w:hAnsi="Times New Roman" w:cs="Times New Roman"/>
          <w:color w:val="000000"/>
          <w:sz w:val="24"/>
          <w:szCs w:val="24"/>
        </w:rPr>
        <w:t xml:space="preserve"> secondary sources </w:t>
      </w:r>
      <w:r>
        <w:rPr>
          <w:rFonts w:ascii="Times New Roman" w:eastAsia="Times New Roman" w:hAnsi="Times New Roman" w:cs="Times New Roman"/>
          <w:sz w:val="24"/>
          <w:szCs w:val="24"/>
        </w:rPr>
        <w:t>that</w:t>
      </w:r>
      <w:r>
        <w:rPr>
          <w:rFonts w:ascii="Times New Roman" w:eastAsia="Times New Roman" w:hAnsi="Times New Roman" w:cs="Times New Roman"/>
          <w:color w:val="000000"/>
          <w:sz w:val="24"/>
          <w:szCs w:val="24"/>
        </w:rPr>
        <w:t xml:space="preserve"> have actually </w:t>
      </w:r>
      <w:r>
        <w:rPr>
          <w:rFonts w:ascii="Times New Roman" w:eastAsia="Times New Roman" w:hAnsi="Times New Roman" w:cs="Times New Roman"/>
          <w:sz w:val="24"/>
          <w:szCs w:val="24"/>
        </w:rPr>
        <w:t>researched the</w:t>
      </w:r>
      <w:r>
        <w:rPr>
          <w:rFonts w:ascii="Times New Roman" w:eastAsia="Times New Roman" w:hAnsi="Times New Roman" w:cs="Times New Roman"/>
          <w:color w:val="000000"/>
          <w:sz w:val="24"/>
          <w:szCs w:val="24"/>
        </w:rPr>
        <w:t xml:space="preserve"> perceptions of consumers from the traditional base of Gucci’s heritage context. Finally, the keen focus on Gucci will also hinder the generalizability of the findings to wider and other luxury goods companies.</w:t>
      </w:r>
    </w:p>
    <w:p w14:paraId="7D7D9711" w14:textId="77777777" w:rsidR="00FB7051" w:rsidRDefault="00000000">
      <w:pPr>
        <w:pStyle w:val="Heading1"/>
      </w:pPr>
      <w:bookmarkStart w:id="6" w:name="_heading=h.5dbq118y8lal" w:colFirst="0" w:colLast="0"/>
      <w:bookmarkEnd w:id="6"/>
      <w:r>
        <w:lastRenderedPageBreak/>
        <w:t>Timeframe</w:t>
      </w:r>
    </w:p>
    <w:tbl>
      <w:tblPr>
        <w:tblStyle w:val="a0"/>
        <w:tblW w:w="11238" w:type="dxa"/>
        <w:tblInd w:w="-9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602"/>
        <w:gridCol w:w="803"/>
        <w:gridCol w:w="803"/>
        <w:gridCol w:w="803"/>
        <w:gridCol w:w="803"/>
        <w:gridCol w:w="803"/>
        <w:gridCol w:w="803"/>
        <w:gridCol w:w="803"/>
        <w:gridCol w:w="803"/>
        <w:gridCol w:w="803"/>
        <w:gridCol w:w="803"/>
        <w:gridCol w:w="803"/>
        <w:gridCol w:w="803"/>
      </w:tblGrid>
      <w:tr w:rsidR="00FB7051" w14:paraId="03073B54" w14:textId="77777777">
        <w:tc>
          <w:tcPr>
            <w:tcW w:w="1603" w:type="dxa"/>
          </w:tcPr>
          <w:p w14:paraId="561971B8"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Stages</w:t>
            </w:r>
          </w:p>
        </w:tc>
        <w:tc>
          <w:tcPr>
            <w:tcW w:w="803" w:type="dxa"/>
          </w:tcPr>
          <w:p w14:paraId="292C7424"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w:t>
            </w:r>
          </w:p>
        </w:tc>
        <w:tc>
          <w:tcPr>
            <w:tcW w:w="803" w:type="dxa"/>
          </w:tcPr>
          <w:p w14:paraId="297049D1"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2</w:t>
            </w:r>
          </w:p>
        </w:tc>
        <w:tc>
          <w:tcPr>
            <w:tcW w:w="803" w:type="dxa"/>
          </w:tcPr>
          <w:p w14:paraId="53CCAE5E"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3</w:t>
            </w:r>
          </w:p>
        </w:tc>
        <w:tc>
          <w:tcPr>
            <w:tcW w:w="803" w:type="dxa"/>
          </w:tcPr>
          <w:p w14:paraId="6E4A2503"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4</w:t>
            </w:r>
          </w:p>
        </w:tc>
        <w:tc>
          <w:tcPr>
            <w:tcW w:w="803" w:type="dxa"/>
          </w:tcPr>
          <w:p w14:paraId="2D7ACE44"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5</w:t>
            </w:r>
          </w:p>
        </w:tc>
        <w:tc>
          <w:tcPr>
            <w:tcW w:w="803" w:type="dxa"/>
          </w:tcPr>
          <w:p w14:paraId="5B47C903"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6</w:t>
            </w:r>
          </w:p>
        </w:tc>
        <w:tc>
          <w:tcPr>
            <w:tcW w:w="803" w:type="dxa"/>
          </w:tcPr>
          <w:p w14:paraId="6BF76EC6"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7</w:t>
            </w:r>
          </w:p>
        </w:tc>
        <w:tc>
          <w:tcPr>
            <w:tcW w:w="803" w:type="dxa"/>
          </w:tcPr>
          <w:p w14:paraId="0E619758"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8</w:t>
            </w:r>
          </w:p>
        </w:tc>
        <w:tc>
          <w:tcPr>
            <w:tcW w:w="803" w:type="dxa"/>
          </w:tcPr>
          <w:p w14:paraId="50F7D6B8"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9</w:t>
            </w:r>
          </w:p>
        </w:tc>
        <w:tc>
          <w:tcPr>
            <w:tcW w:w="803" w:type="dxa"/>
          </w:tcPr>
          <w:p w14:paraId="4EF5432F"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10</w:t>
            </w:r>
          </w:p>
        </w:tc>
        <w:tc>
          <w:tcPr>
            <w:tcW w:w="803" w:type="dxa"/>
          </w:tcPr>
          <w:p w14:paraId="321F42F5"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11</w:t>
            </w:r>
          </w:p>
        </w:tc>
        <w:tc>
          <w:tcPr>
            <w:tcW w:w="803" w:type="dxa"/>
          </w:tcPr>
          <w:p w14:paraId="74588585" w14:textId="77777777" w:rsidR="00FB7051" w:rsidRDefault="00000000">
            <w:pP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Week 12</w:t>
            </w:r>
          </w:p>
        </w:tc>
      </w:tr>
      <w:tr w:rsidR="00FB7051" w14:paraId="70E47EA6" w14:textId="77777777">
        <w:tc>
          <w:tcPr>
            <w:tcW w:w="1603" w:type="dxa"/>
          </w:tcPr>
          <w:p w14:paraId="477BAA4E"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Planning and proposal finalization</w:t>
            </w:r>
          </w:p>
        </w:tc>
        <w:tc>
          <w:tcPr>
            <w:tcW w:w="803" w:type="dxa"/>
            <w:shd w:val="clear" w:color="auto" w:fill="76923C"/>
          </w:tcPr>
          <w:p w14:paraId="6E41534B"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B2556BC"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27D591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DD0A02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79DB4B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82BA10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CCE9397"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C00EB36"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A4C4B0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BE8737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FA3519C"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177EA74A"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6DA1BB2F" w14:textId="77777777">
        <w:tc>
          <w:tcPr>
            <w:tcW w:w="1603" w:type="dxa"/>
          </w:tcPr>
          <w:p w14:paraId="08DB8C10"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Literature</w:t>
            </w:r>
            <w:r>
              <w:rPr>
                <w:rFonts w:ascii="Times New Roman" w:eastAsia="Times New Roman" w:hAnsi="Times New Roman" w:cs="Times New Roman"/>
                <w:color w:val="000000"/>
                <w:sz w:val="24"/>
                <w:szCs w:val="24"/>
              </w:rPr>
              <w:t xml:space="preserve"> review development</w:t>
            </w:r>
          </w:p>
        </w:tc>
        <w:tc>
          <w:tcPr>
            <w:tcW w:w="803" w:type="dxa"/>
          </w:tcPr>
          <w:p w14:paraId="6998E8B3"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5F497A"/>
          </w:tcPr>
          <w:p w14:paraId="2A23FF48"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5F497A"/>
          </w:tcPr>
          <w:p w14:paraId="42054858"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FB533FB"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598001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3497A3A"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4E30285"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3E4A778"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5F989C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12843D4"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0BF0B5C"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C239F44"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0221142E" w14:textId="77777777">
        <w:tc>
          <w:tcPr>
            <w:tcW w:w="1603" w:type="dxa"/>
          </w:tcPr>
          <w:p w14:paraId="7096DEDA"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Research instrument design</w:t>
            </w:r>
          </w:p>
        </w:tc>
        <w:tc>
          <w:tcPr>
            <w:tcW w:w="803" w:type="dxa"/>
          </w:tcPr>
          <w:p w14:paraId="66F036D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875F596"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05B368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00B0F0"/>
          </w:tcPr>
          <w:p w14:paraId="564804B4"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3E94C8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82A8AEC"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3206770"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D2CF626"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0EBEE1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618C8FB"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FE337F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AE72FCA"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0CC1327D" w14:textId="77777777">
        <w:tc>
          <w:tcPr>
            <w:tcW w:w="1603" w:type="dxa"/>
          </w:tcPr>
          <w:p w14:paraId="4A0FDA3D"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sz w:val="24"/>
                <w:szCs w:val="24"/>
              </w:rPr>
              <w:t>Secondary d</w:t>
            </w:r>
            <w:r>
              <w:rPr>
                <w:rFonts w:ascii="Times New Roman" w:eastAsia="Times New Roman" w:hAnsi="Times New Roman" w:cs="Times New Roman"/>
                <w:color w:val="000000"/>
                <w:sz w:val="24"/>
                <w:szCs w:val="24"/>
              </w:rPr>
              <w:t>ata collection</w:t>
            </w:r>
          </w:p>
        </w:tc>
        <w:tc>
          <w:tcPr>
            <w:tcW w:w="803" w:type="dxa"/>
          </w:tcPr>
          <w:p w14:paraId="5D34327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6813468"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15C45B9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8F97EBA"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FF00"/>
          </w:tcPr>
          <w:p w14:paraId="067F702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FF00"/>
          </w:tcPr>
          <w:p w14:paraId="61FD4B3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D3AB99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0EFD74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C22F325"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13D6B44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ECFAA24"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FBEFB72"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2F5867B8" w14:textId="77777777">
        <w:tc>
          <w:tcPr>
            <w:tcW w:w="1603" w:type="dxa"/>
          </w:tcPr>
          <w:p w14:paraId="6ABA9271"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 and interpretations</w:t>
            </w:r>
          </w:p>
        </w:tc>
        <w:tc>
          <w:tcPr>
            <w:tcW w:w="803" w:type="dxa"/>
          </w:tcPr>
          <w:p w14:paraId="1290D943"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9EB9B8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EB99E9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2061B49"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F51B933"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D3AD92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984806"/>
          </w:tcPr>
          <w:p w14:paraId="45A8ADB7"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984806"/>
          </w:tcPr>
          <w:p w14:paraId="731D207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F727C85"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61FE2B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0487B1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7A7E711"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6CA5C0DB" w14:textId="77777777">
        <w:tc>
          <w:tcPr>
            <w:tcW w:w="1603" w:type="dxa"/>
          </w:tcPr>
          <w:p w14:paraId="6D8FD0F0"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Discussion and finalization</w:t>
            </w:r>
          </w:p>
        </w:tc>
        <w:tc>
          <w:tcPr>
            <w:tcW w:w="803" w:type="dxa"/>
          </w:tcPr>
          <w:p w14:paraId="414F71E3"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1FD0DE1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AE5F7C5"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535F165C"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01E9A07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ABCBA6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54914A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4FAB5EC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0000"/>
          </w:tcPr>
          <w:p w14:paraId="7C5F028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0000"/>
          </w:tcPr>
          <w:p w14:paraId="63EFFA6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0000"/>
          </w:tcPr>
          <w:p w14:paraId="0865749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3737A445" w14:textId="77777777" w:rsidR="00FB7051" w:rsidRDefault="00FB7051">
            <w:pPr>
              <w:spacing w:line="360" w:lineRule="auto"/>
              <w:jc w:val="both"/>
              <w:rPr>
                <w:rFonts w:ascii="Times New Roman" w:eastAsia="Times New Roman" w:hAnsi="Times New Roman" w:cs="Times New Roman"/>
                <w:color w:val="000000"/>
                <w:sz w:val="24"/>
                <w:szCs w:val="24"/>
              </w:rPr>
            </w:pPr>
          </w:p>
        </w:tc>
      </w:tr>
      <w:tr w:rsidR="00FB7051" w14:paraId="0A8E27D1" w14:textId="77777777">
        <w:tc>
          <w:tcPr>
            <w:tcW w:w="1603" w:type="dxa"/>
          </w:tcPr>
          <w:p w14:paraId="2DE490F0" w14:textId="77777777" w:rsidR="00FB7051" w:rsidRDefault="00000000">
            <w:pP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Proofread and Submission</w:t>
            </w:r>
          </w:p>
        </w:tc>
        <w:tc>
          <w:tcPr>
            <w:tcW w:w="803" w:type="dxa"/>
          </w:tcPr>
          <w:p w14:paraId="349918EF"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05E692E"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0F5FA2D"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78B82EA"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E2A1A82"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047BC5A"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B119B57"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6D813FDB"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127B9A17"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2AD31CA1"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tcPr>
          <w:p w14:paraId="7FFE0FC5" w14:textId="77777777" w:rsidR="00FB7051" w:rsidRDefault="00FB7051">
            <w:pPr>
              <w:spacing w:line="360" w:lineRule="auto"/>
              <w:jc w:val="both"/>
              <w:rPr>
                <w:rFonts w:ascii="Times New Roman" w:eastAsia="Times New Roman" w:hAnsi="Times New Roman" w:cs="Times New Roman"/>
                <w:color w:val="000000"/>
                <w:sz w:val="24"/>
                <w:szCs w:val="24"/>
              </w:rPr>
            </w:pPr>
          </w:p>
        </w:tc>
        <w:tc>
          <w:tcPr>
            <w:tcW w:w="803" w:type="dxa"/>
            <w:shd w:val="clear" w:color="auto" w:fill="FFC000"/>
          </w:tcPr>
          <w:p w14:paraId="50AFFD1D" w14:textId="77777777" w:rsidR="00FB7051" w:rsidRDefault="00FB7051">
            <w:pPr>
              <w:spacing w:line="360" w:lineRule="auto"/>
              <w:jc w:val="both"/>
              <w:rPr>
                <w:rFonts w:ascii="Times New Roman" w:eastAsia="Times New Roman" w:hAnsi="Times New Roman" w:cs="Times New Roman"/>
                <w:color w:val="000000"/>
                <w:sz w:val="24"/>
                <w:szCs w:val="24"/>
              </w:rPr>
            </w:pPr>
          </w:p>
        </w:tc>
      </w:tr>
    </w:tbl>
    <w:p w14:paraId="0A9A2E15" w14:textId="77777777" w:rsidR="00FB7051" w:rsidRDefault="00FB7051">
      <w:pPr>
        <w:spacing w:after="120" w:line="360" w:lineRule="auto"/>
        <w:jc w:val="both"/>
        <w:rPr>
          <w:rFonts w:ascii="Times New Roman" w:eastAsia="Times New Roman" w:hAnsi="Times New Roman" w:cs="Times New Roman"/>
          <w:color w:val="000000"/>
          <w:sz w:val="24"/>
          <w:szCs w:val="24"/>
        </w:rPr>
      </w:pPr>
    </w:p>
    <w:p w14:paraId="57E69519" w14:textId="77777777" w:rsidR="00FB7051" w:rsidRDefault="00000000">
      <w:pPr>
        <w:pStyle w:val="Heading1"/>
      </w:pPr>
      <w:bookmarkStart w:id="7" w:name="_heading=h.ezuffjoqol1s" w:colFirst="0" w:colLast="0"/>
      <w:bookmarkEnd w:id="7"/>
      <w:r>
        <w:t>Conclusion</w:t>
      </w:r>
    </w:p>
    <w:p w14:paraId="43F2C622" w14:textId="77777777" w:rsidR="00FB7051" w:rsidRDefault="00000000">
      <w:pPr>
        <w:spacing w:after="12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above proposal has shed light on explor</w:t>
      </w:r>
      <w:r>
        <w:rPr>
          <w:rFonts w:ascii="Times New Roman" w:eastAsia="Times New Roman" w:hAnsi="Times New Roman" w:cs="Times New Roman"/>
          <w:sz w:val="24"/>
          <w:szCs w:val="24"/>
        </w:rPr>
        <w:t>ing</w:t>
      </w:r>
      <w:r>
        <w:rPr>
          <w:rFonts w:ascii="Times New Roman" w:eastAsia="Times New Roman" w:hAnsi="Times New Roman" w:cs="Times New Roman"/>
          <w:color w:val="000000"/>
          <w:sz w:val="24"/>
          <w:szCs w:val="24"/>
        </w:rPr>
        <w:t xml:space="preserve"> the fact </w:t>
      </w:r>
      <w:r>
        <w:rPr>
          <w:rFonts w:ascii="Times New Roman" w:eastAsia="Times New Roman" w:hAnsi="Times New Roman" w:cs="Times New Roman"/>
          <w:sz w:val="24"/>
          <w:szCs w:val="24"/>
        </w:rPr>
        <w:t>that the</w:t>
      </w:r>
      <w:r>
        <w:rPr>
          <w:rFonts w:ascii="Times New Roman" w:eastAsia="Times New Roman" w:hAnsi="Times New Roman" w:cs="Times New Roman"/>
          <w:color w:val="000000"/>
          <w:sz w:val="24"/>
          <w:szCs w:val="24"/>
        </w:rPr>
        <w:t xml:space="preserve"> strategic repositioning of Gucci as a more youthful brand has been a success for them or has developed a barrier for future growth. With the consideration of recent and relevant </w:t>
      </w:r>
      <w:r>
        <w:rPr>
          <w:rFonts w:ascii="Times New Roman" w:eastAsia="Times New Roman" w:hAnsi="Times New Roman" w:cs="Times New Roman"/>
          <w:sz w:val="24"/>
          <w:szCs w:val="24"/>
        </w:rPr>
        <w:t>literature</w:t>
      </w:r>
      <w:r>
        <w:rPr>
          <w:rFonts w:ascii="Times New Roman" w:eastAsia="Times New Roman" w:hAnsi="Times New Roman" w:cs="Times New Roman"/>
          <w:color w:val="000000"/>
          <w:sz w:val="24"/>
          <w:szCs w:val="24"/>
        </w:rPr>
        <w:t xml:space="preserve"> regarding luxury consumer behaviours, digital marketing innovations, and brand reposition, the study will shed light on younger consumers’ perspectives and their purchase intentions. With potential expectations of the findings to showcase positive aspects, there can be further risks for analyzing the risk of </w:t>
      </w:r>
      <w:r>
        <w:rPr>
          <w:rFonts w:ascii="Times New Roman" w:eastAsia="Times New Roman" w:hAnsi="Times New Roman" w:cs="Times New Roman"/>
          <w:color w:val="000000"/>
          <w:sz w:val="24"/>
          <w:szCs w:val="24"/>
        </w:rPr>
        <w:lastRenderedPageBreak/>
        <w:t xml:space="preserve">loyalty hindrance, isolation of legacy consumer base, and others. The complete results of the research will provide crucial understanding to luxury brands like Gucci for managing the general shifting and repositioning strategies </w:t>
      </w:r>
      <w:r>
        <w:rPr>
          <w:rFonts w:ascii="Times New Roman" w:eastAsia="Times New Roman" w:hAnsi="Times New Roman" w:cs="Times New Roman"/>
          <w:sz w:val="24"/>
          <w:szCs w:val="24"/>
        </w:rPr>
        <w:t>in the</w:t>
      </w:r>
      <w:r>
        <w:rPr>
          <w:rFonts w:ascii="Times New Roman" w:eastAsia="Times New Roman" w:hAnsi="Times New Roman" w:cs="Times New Roman"/>
          <w:color w:val="000000"/>
          <w:sz w:val="24"/>
          <w:szCs w:val="24"/>
        </w:rPr>
        <w:t xml:space="preserve"> rapidly evolving market.</w:t>
      </w:r>
      <w:r>
        <w:br w:type="page"/>
      </w:r>
    </w:p>
    <w:p w14:paraId="53A7EF53" w14:textId="77777777" w:rsidR="00FB7051" w:rsidRDefault="00000000">
      <w:pPr>
        <w:pStyle w:val="Heading1"/>
      </w:pPr>
      <w:bookmarkStart w:id="8" w:name="_heading=h.6956oxrya4t5" w:colFirst="0" w:colLast="0"/>
      <w:bookmarkEnd w:id="8"/>
      <w:r>
        <w:lastRenderedPageBreak/>
        <w:t>References</w:t>
      </w:r>
    </w:p>
    <w:p w14:paraId="6C952F59" w14:textId="77777777" w:rsidR="00FB70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cdnhl, (2025). Luxury Goods Market Update. Available at: </w:t>
      </w:r>
      <w:hyperlink r:id="rId9">
        <w:r>
          <w:rPr>
            <w:rFonts w:ascii="Times New Roman" w:eastAsia="Times New Roman" w:hAnsi="Times New Roman" w:cs="Times New Roman"/>
            <w:color w:val="0000FF"/>
            <w:sz w:val="24"/>
            <w:szCs w:val="24"/>
            <w:u w:val="single"/>
          </w:rPr>
          <w:t>http://cdn.hl.com/pdf/2025/luxury-goods-market-update--june2025.pdf</w:t>
        </w:r>
      </w:hyperlink>
    </w:p>
    <w:p w14:paraId="32464E43" w14:textId="77777777" w:rsidR="00FB70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Danziger, P. N., (2024). Gucci Troubles Mount As Lawsuit Claims Unethical Animal Treatment In Supply Chain. Available at: </w:t>
      </w:r>
      <w:hyperlink r:id="rId10">
        <w:r>
          <w:rPr>
            <w:rFonts w:ascii="Times New Roman" w:eastAsia="Times New Roman" w:hAnsi="Times New Roman" w:cs="Times New Roman"/>
            <w:color w:val="0000FF"/>
            <w:sz w:val="24"/>
            <w:szCs w:val="24"/>
            <w:u w:val="single"/>
          </w:rPr>
          <w:t>https://www.forbes.com/sites/pamdanziger/2024/10/28/gucci-troubles-mount-as-lawsuit-claims-unethical-animal-treatment-in-supply-chain/</w:t>
        </w:r>
      </w:hyperlink>
    </w:p>
    <w:p w14:paraId="4E352D97"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Ghanad, A., (2023). An overview of quantitative research methods. </w:t>
      </w:r>
      <w:r>
        <w:rPr>
          <w:rFonts w:ascii="Times New Roman" w:eastAsia="Times New Roman" w:hAnsi="Times New Roman" w:cs="Times New Roman"/>
          <w:i/>
          <w:color w:val="222222"/>
          <w:sz w:val="24"/>
          <w:szCs w:val="24"/>
          <w:highlight w:val="white"/>
        </w:rPr>
        <w:t>International journal of multidisciplinary research and analysis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(08), pp.3794-3803.</w:t>
      </w:r>
    </w:p>
    <w:p w14:paraId="6922DE1B" w14:textId="77777777" w:rsidR="00FB70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Lu, M., (2024). Innovative Marketing in Luxury Fashion: How Gucci Uses Big Data to Enhance Digital Marketing. Available at: </w:t>
      </w:r>
      <w:hyperlink r:id="rId11">
        <w:r>
          <w:rPr>
            <w:rFonts w:ascii="Times New Roman" w:eastAsia="Times New Roman" w:hAnsi="Times New Roman" w:cs="Times New Roman"/>
            <w:color w:val="0000FF"/>
            <w:sz w:val="24"/>
            <w:szCs w:val="24"/>
            <w:u w:val="single"/>
          </w:rPr>
          <w:t>https://bcpublication.org/index.php/SJEMR/article/view/6779/6565</w:t>
        </w:r>
      </w:hyperlink>
    </w:p>
    <w:p w14:paraId="79AFB35B"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Niosi, A., (2021). </w:t>
      </w:r>
      <w:r>
        <w:rPr>
          <w:rFonts w:ascii="Times New Roman" w:eastAsia="Times New Roman" w:hAnsi="Times New Roman" w:cs="Times New Roman"/>
          <w:i/>
          <w:color w:val="222222"/>
          <w:sz w:val="24"/>
          <w:szCs w:val="24"/>
          <w:highlight w:val="white"/>
        </w:rPr>
        <w:t>Introduction to consumer behaviour</w:t>
      </w:r>
      <w:r>
        <w:rPr>
          <w:rFonts w:ascii="Times New Roman" w:eastAsia="Times New Roman" w:hAnsi="Times New Roman" w:cs="Times New Roman"/>
          <w:color w:val="222222"/>
          <w:sz w:val="24"/>
          <w:szCs w:val="24"/>
          <w:highlight w:val="white"/>
        </w:rPr>
        <w:t>. BCcampus Open Education.</w:t>
      </w:r>
    </w:p>
    <w:p w14:paraId="6480AC6F"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Stock, A. and Singh, P., (2023). Online medical education: utilization of Google forms for remote active learning experiences in a large medical school class during the COVID-19 pandemic. </w:t>
      </w:r>
      <w:r>
        <w:rPr>
          <w:rFonts w:ascii="Times New Roman" w:eastAsia="Times New Roman" w:hAnsi="Times New Roman" w:cs="Times New Roman"/>
          <w:i/>
          <w:color w:val="222222"/>
          <w:sz w:val="24"/>
          <w:szCs w:val="24"/>
          <w:highlight w:val="white"/>
        </w:rPr>
        <w:t>Medical Science Educator</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33</w:t>
      </w:r>
      <w:r>
        <w:rPr>
          <w:rFonts w:ascii="Times New Roman" w:eastAsia="Times New Roman" w:hAnsi="Times New Roman" w:cs="Times New Roman"/>
          <w:color w:val="222222"/>
          <w:sz w:val="24"/>
          <w:szCs w:val="24"/>
          <w:highlight w:val="white"/>
        </w:rPr>
        <w:t>(2), pp.333-335.</w:t>
      </w:r>
    </w:p>
    <w:p w14:paraId="3763FA43"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Valmohammadi, C., Asayesh, F., Mehdikhani, R. and Taraz, R., (2025). Influencer marketing, EWOM, E-brand experience, and retail E-brand loyalty: moderating influence of E-brand love. </w:t>
      </w:r>
      <w:r>
        <w:rPr>
          <w:rFonts w:ascii="Times New Roman" w:eastAsia="Times New Roman" w:hAnsi="Times New Roman" w:cs="Times New Roman"/>
          <w:i/>
          <w:color w:val="222222"/>
          <w:sz w:val="24"/>
          <w:szCs w:val="24"/>
          <w:highlight w:val="white"/>
        </w:rPr>
        <w:t>Journal of Relationship Marketing</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24</w:t>
      </w:r>
      <w:r>
        <w:rPr>
          <w:rFonts w:ascii="Times New Roman" w:eastAsia="Times New Roman" w:hAnsi="Times New Roman" w:cs="Times New Roman"/>
          <w:color w:val="222222"/>
          <w:sz w:val="24"/>
          <w:szCs w:val="24"/>
          <w:highlight w:val="white"/>
        </w:rPr>
        <w:t>(1), pp.66-92.</w:t>
      </w:r>
    </w:p>
    <w:p w14:paraId="1184B150" w14:textId="77777777" w:rsidR="00FB7051" w:rsidRDefault="0000000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Wang, R., (2023). Research on the Consumer Behavior Characteristics and Digital Marketing Strategy of Gucci. Available at: </w:t>
      </w:r>
      <w:hyperlink r:id="rId12">
        <w:r>
          <w:rPr>
            <w:rFonts w:ascii="Times New Roman" w:eastAsia="Times New Roman" w:hAnsi="Times New Roman" w:cs="Times New Roman"/>
            <w:color w:val="0000FF"/>
            <w:sz w:val="24"/>
            <w:szCs w:val="24"/>
            <w:u w:val="single"/>
          </w:rPr>
          <w:t>https://drpress.org/ojs/index.php/HBEM/article/view/16636/16152</w:t>
        </w:r>
      </w:hyperlink>
    </w:p>
    <w:p w14:paraId="2A92FCCA"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Wu, Y., (2022), April. Research on the Factors Influencing the Purchasing Behavior of Young Luxury Consumers Case. In </w:t>
      </w:r>
      <w:r>
        <w:rPr>
          <w:rFonts w:ascii="Times New Roman" w:eastAsia="Times New Roman" w:hAnsi="Times New Roman" w:cs="Times New Roman"/>
          <w:i/>
          <w:color w:val="222222"/>
          <w:sz w:val="24"/>
          <w:szCs w:val="24"/>
          <w:highlight w:val="white"/>
        </w:rPr>
        <w:t>2022 7th International Conference on Social Sciences and Economic Development (ICSSED 2022)</w:t>
      </w:r>
      <w:r>
        <w:rPr>
          <w:rFonts w:ascii="Times New Roman" w:eastAsia="Times New Roman" w:hAnsi="Times New Roman" w:cs="Times New Roman"/>
          <w:color w:val="222222"/>
          <w:sz w:val="24"/>
          <w:szCs w:val="24"/>
          <w:highlight w:val="white"/>
        </w:rPr>
        <w:t> (pp. 1338-1343). Atlantis Press.</w:t>
      </w:r>
    </w:p>
    <w:p w14:paraId="63F8AA19" w14:textId="77777777" w:rsidR="00FB7051" w:rsidRDefault="00000000">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Xu, A., Baysari, M.T., Stocker, S.L., Leow, L.J., Day, R.O. and Carland, J.E., (2020). Researchers’ views on, and experiences with, the requirement to obtain informed consent in research involving human participants: A qualitative study. </w:t>
      </w:r>
      <w:r>
        <w:rPr>
          <w:rFonts w:ascii="Times New Roman" w:eastAsia="Times New Roman" w:hAnsi="Times New Roman" w:cs="Times New Roman"/>
          <w:i/>
          <w:color w:val="222222"/>
          <w:sz w:val="24"/>
          <w:szCs w:val="24"/>
          <w:highlight w:val="white"/>
        </w:rPr>
        <w:t>BMC medical ethics</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21</w:t>
      </w:r>
      <w:r>
        <w:rPr>
          <w:rFonts w:ascii="Times New Roman" w:eastAsia="Times New Roman" w:hAnsi="Times New Roman" w:cs="Times New Roman"/>
          <w:color w:val="222222"/>
          <w:sz w:val="24"/>
          <w:szCs w:val="24"/>
          <w:highlight w:val="white"/>
        </w:rPr>
        <w:t>(1), p.93.</w:t>
      </w:r>
    </w:p>
    <w:p w14:paraId="55A25D51" w14:textId="77777777" w:rsidR="00FB7051" w:rsidRDefault="00FB7051">
      <w:pPr>
        <w:spacing w:line="360" w:lineRule="auto"/>
        <w:jc w:val="both"/>
        <w:rPr>
          <w:rFonts w:ascii="Times New Roman" w:eastAsia="Times New Roman" w:hAnsi="Times New Roman" w:cs="Times New Roman"/>
          <w:color w:val="000000"/>
          <w:sz w:val="24"/>
          <w:szCs w:val="24"/>
        </w:rPr>
      </w:pPr>
    </w:p>
    <w:sectPr w:rsidR="00FB7051">
      <w:footerReference w:type="default" r:id="rId1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08F60" w14:textId="77777777" w:rsidR="007D63E0" w:rsidRDefault="007D63E0">
      <w:pPr>
        <w:spacing w:after="0" w:line="240" w:lineRule="auto"/>
      </w:pPr>
      <w:r>
        <w:separator/>
      </w:r>
    </w:p>
  </w:endnote>
  <w:endnote w:type="continuationSeparator" w:id="0">
    <w:p w14:paraId="5118C761" w14:textId="77777777" w:rsidR="007D63E0" w:rsidRDefault="007D63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embedRegular r:id="rId1" w:fontKey="{325CA51B-9800-4011-B9C4-C17F503884DB}"/>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63B53818-54E1-471B-8FE0-29A8ABDA6BCE}"/>
    <w:embedBold r:id="rId3" w:fontKey="{9132D2A0-BDCD-4BFE-8EB1-3FE36AE46EAD}"/>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4" w:fontKey="{CD9B532D-285B-4599-A448-A60E6F36F5FD}"/>
    <w:embedBold r:id="rId5" w:fontKey="{A49C189D-A3D1-4990-B459-AEE84CCF7CAD}"/>
  </w:font>
  <w:font w:name="Tahoma">
    <w:panose1 w:val="020B0604030504040204"/>
    <w:charset w:val="00"/>
    <w:family w:val="swiss"/>
    <w:pitch w:val="variable"/>
    <w:sig w:usb0="E1002EFF" w:usb1="C000605B" w:usb2="00000029" w:usb3="00000000" w:csb0="000101FF" w:csb1="00000000"/>
    <w:embedRegular r:id="rId6" w:fontKey="{9EABEEA3-596D-4CFD-9BE7-9E6D8C27B99C}"/>
  </w:font>
  <w:font w:name="Georgia">
    <w:panose1 w:val="02040502050405020303"/>
    <w:charset w:val="00"/>
    <w:family w:val="roman"/>
    <w:pitch w:val="variable"/>
    <w:sig w:usb0="00000287" w:usb1="00000000" w:usb2="00000000" w:usb3="00000000" w:csb0="0000009F" w:csb1="00000000"/>
    <w:embedRegular r:id="rId7" w:fontKey="{83C152C7-3840-4578-9BA5-5D228868C215}"/>
    <w:embedItalic r:id="rId8" w:fontKey="{3C81E686-E2A8-4D93-A2B7-0AFA57E9B6B3}"/>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3B9D5" w14:textId="77777777" w:rsidR="00FB7051" w:rsidRDefault="00000000">
    <w:pPr>
      <w:pBdr>
        <w:top w:val="nil"/>
        <w:left w:val="nil"/>
        <w:bottom w:val="nil"/>
        <w:right w:val="nil"/>
        <w:between w:val="nil"/>
      </w:pBdr>
      <w:tabs>
        <w:tab w:val="center" w:pos="4513"/>
        <w:tab w:val="right" w:pos="9026"/>
      </w:tabs>
      <w:spacing w:after="0" w:line="240" w:lineRule="auto"/>
      <w:jc w:val="right"/>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fldChar w:fldCharType="begin"/>
    </w:r>
    <w:r>
      <w:rPr>
        <w:rFonts w:ascii="Times New Roman" w:eastAsia="Times New Roman" w:hAnsi="Times New Roman" w:cs="Times New Roman"/>
        <w:color w:val="000000"/>
        <w:sz w:val="20"/>
        <w:szCs w:val="20"/>
      </w:rPr>
      <w:instrText>PAGE</w:instrText>
    </w:r>
    <w:r>
      <w:rPr>
        <w:rFonts w:ascii="Times New Roman" w:eastAsia="Times New Roman" w:hAnsi="Times New Roman" w:cs="Times New Roman"/>
        <w:color w:val="000000"/>
        <w:sz w:val="20"/>
        <w:szCs w:val="20"/>
      </w:rPr>
      <w:fldChar w:fldCharType="separate"/>
    </w:r>
    <w:r w:rsidR="000D0CF7">
      <w:rPr>
        <w:rFonts w:ascii="Times New Roman" w:eastAsia="Times New Roman" w:hAnsi="Times New Roman" w:cs="Times New Roman"/>
        <w:noProof/>
        <w:color w:val="000000"/>
        <w:sz w:val="20"/>
        <w:szCs w:val="20"/>
      </w:rPr>
      <w:t>2</w:t>
    </w:r>
    <w:r>
      <w:rPr>
        <w:rFonts w:ascii="Times New Roman" w:eastAsia="Times New Roman" w:hAnsi="Times New Roman" w:cs="Times New Roman"/>
        <w:color w:val="000000"/>
        <w:sz w:val="20"/>
        <w:szCs w:val="20"/>
      </w:rPr>
      <w:fldChar w:fldCharType="end"/>
    </w:r>
  </w:p>
  <w:p w14:paraId="22CCF11D" w14:textId="77777777" w:rsidR="00FB7051" w:rsidRDefault="00FB705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F768AB" w14:textId="77777777" w:rsidR="007D63E0" w:rsidRDefault="007D63E0">
      <w:pPr>
        <w:spacing w:after="0" w:line="240" w:lineRule="auto"/>
      </w:pPr>
      <w:r>
        <w:separator/>
      </w:r>
    </w:p>
  </w:footnote>
  <w:footnote w:type="continuationSeparator" w:id="0">
    <w:p w14:paraId="277D5145" w14:textId="77777777" w:rsidR="007D63E0" w:rsidRDefault="007D63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6453AB"/>
    <w:multiLevelType w:val="multilevel"/>
    <w:tmpl w:val="38687FD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3C5D6AE2"/>
    <w:multiLevelType w:val="multilevel"/>
    <w:tmpl w:val="54244AD4"/>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num w:numId="1" w16cid:durableId="124393150">
    <w:abstractNumId w:val="1"/>
  </w:num>
  <w:num w:numId="2" w16cid:durableId="426006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7051"/>
    <w:rsid w:val="000D0CF7"/>
    <w:rsid w:val="001870D6"/>
    <w:rsid w:val="007D63E0"/>
    <w:rsid w:val="00EC36FE"/>
    <w:rsid w:val="00FB705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FA8AA0"/>
  <w15:docId w15:val="{F8930107-97D4-40FA-9823-4E76531D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80" w:after="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sz w:val="72"/>
      <w:szCs w:val="72"/>
    </w:rPr>
  </w:style>
  <w:style w:type="table" w:customStyle="1" w:styleId="TableNormal1">
    <w:name w:val="TableNormal"/>
    <w:tblPr>
      <w:tblCellMar>
        <w:top w:w="100" w:type="dxa"/>
        <w:left w:w="100" w:type="dxa"/>
        <w:bottom w:w="100" w:type="dxa"/>
        <w:right w:w="100" w:type="dxa"/>
      </w:tblCellMar>
    </w:tblPr>
  </w:style>
  <w:style w:type="paragraph" w:styleId="ListParagraph">
    <w:name w:val="List Paragraph"/>
    <w:basedOn w:val="Normal"/>
    <w:uiPriority w:val="34"/>
    <w:qFormat/>
    <w:rsid w:val="003E1888"/>
    <w:pPr>
      <w:ind w:left="720"/>
      <w:contextualSpacing/>
    </w:pPr>
  </w:style>
  <w:style w:type="table" w:styleId="TableGrid">
    <w:name w:val="Table Grid"/>
    <w:basedOn w:val="TableNormal"/>
    <w:uiPriority w:val="59"/>
    <w:rsid w:val="006D569B"/>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FE5A07"/>
    <w:rPr>
      <w:rFonts w:ascii="Times New Roman" w:eastAsiaTheme="majorEastAsia" w:hAnsi="Times New Roman" w:cstheme="majorBidi"/>
      <w:b/>
      <w:bCs/>
      <w:color w:val="000000" w:themeColor="text1"/>
      <w:sz w:val="28"/>
      <w:szCs w:val="28"/>
    </w:rPr>
  </w:style>
  <w:style w:type="character" w:styleId="Hyperlink">
    <w:name w:val="Hyperlink"/>
    <w:basedOn w:val="DefaultParagraphFont"/>
    <w:uiPriority w:val="99"/>
    <w:unhideWhenUsed/>
    <w:rsid w:val="00FE5A07"/>
    <w:rPr>
      <w:color w:val="0000FF" w:themeColor="hyperlink"/>
      <w:u w:val="single"/>
    </w:rPr>
  </w:style>
  <w:style w:type="paragraph" w:styleId="Header">
    <w:name w:val="header"/>
    <w:basedOn w:val="Normal"/>
    <w:link w:val="HeaderChar"/>
    <w:uiPriority w:val="99"/>
    <w:semiHidden/>
    <w:unhideWhenUsed/>
    <w:rsid w:val="00FE5A07"/>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FE5A07"/>
  </w:style>
  <w:style w:type="paragraph" w:styleId="Footer">
    <w:name w:val="footer"/>
    <w:basedOn w:val="Normal"/>
    <w:link w:val="FooterChar"/>
    <w:uiPriority w:val="99"/>
    <w:unhideWhenUsed/>
    <w:rsid w:val="00FE5A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5A07"/>
  </w:style>
  <w:style w:type="paragraph" w:styleId="TOCHeading">
    <w:name w:val="TOC Heading"/>
    <w:basedOn w:val="Heading1"/>
    <w:next w:val="Normal"/>
    <w:uiPriority w:val="39"/>
    <w:semiHidden/>
    <w:unhideWhenUsed/>
    <w:qFormat/>
    <w:rsid w:val="00FE5A0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FE5A07"/>
    <w:pPr>
      <w:spacing w:after="100"/>
    </w:pPr>
  </w:style>
  <w:style w:type="paragraph" w:styleId="BalloonText">
    <w:name w:val="Balloon Text"/>
    <w:basedOn w:val="Normal"/>
    <w:link w:val="BalloonTextChar"/>
    <w:uiPriority w:val="99"/>
    <w:semiHidden/>
    <w:unhideWhenUsed/>
    <w:rsid w:val="00FE5A0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5A07"/>
    <w:rPr>
      <w:rFonts w:ascii="Tahoma" w:hAnsi="Tahoma" w:cs="Tahoma"/>
      <w:sz w:val="16"/>
      <w:szCs w:val="16"/>
    </w:rPr>
  </w:style>
  <w:style w:type="table" w:customStyle="1" w:styleId="a">
    <w:basedOn w:val="TableNormal"/>
    <w:pPr>
      <w:spacing w:after="0" w:line="240" w:lineRule="auto"/>
    </w:pPr>
    <w:tblPr>
      <w:tblStyleRowBandSize w:val="1"/>
      <w:tblStyleColBandSize w:val="1"/>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0">
    <w:basedOn w:val="TableNormal"/>
    <w:pPr>
      <w:spacing w:after="0" w:line="240" w:lineRule="auto"/>
    </w:pPr>
    <w:tblPr>
      <w:tblStyleRowBandSize w:val="1"/>
      <w:tblStyleColBandSize w:val="1"/>
    </w:tblPr>
  </w:style>
  <w:style w:type="paragraph" w:customStyle="1" w:styleId="Normal1">
    <w:name w:val="Normal1"/>
    <w:rsid w:val="001870D6"/>
    <w:pPr>
      <w:spacing w:after="0" w:line="360" w:lineRule="auto"/>
      <w:jc w:val="both"/>
    </w:pPr>
    <w:rPr>
      <w:rFonts w:ascii="Times New Roman" w:eastAsia="Times New Roman" w:hAnsi="Times New Roman" w:cs="Times New Roman"/>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rpress.org/ojs/index.php/HBEM/article/view/16636/16152"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cpublication.org/index.php/SJEMR/article/view/6779/6565"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forbes.com/sites/pamdanziger/2024/10/28/gucci-troubles-mount-as-lawsuit-claims-unethical-animal-treatment-in-supply-chain/" TargetMode="External"/><Relationship Id="rId4" Type="http://schemas.openxmlformats.org/officeDocument/2006/relationships/settings" Target="settings.xml"/><Relationship Id="rId9" Type="http://schemas.openxmlformats.org/officeDocument/2006/relationships/hyperlink" Target="http://cdn.hl.com/pdf/2025/luxury-goods-market-update--june2025.pdf"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pDNYkw44bwzso7V6hrlQUY5bRug==">CgMxLjAyDmgudzN0azY1aWd1NGZvMg5oLmR3NHpqN2FmOTQwdjIOaC42bTQyb2Z2NjdnZnYyDmguMmIzdml6Yzg1dm4zMg5oLnc1MWVxYTgwNmV2MjIOaC41ZGJxMTE4eThsYWwyDmguZXp1ZmZqb3FvbDFzMg5oLjY5NTZveHJ5YTR0NTgAciExWW1JWkM1WWp5ZWhKTk9GaWRSVGZnczBCOUZiT1ZNbzg=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2558</Words>
  <Characters>14584</Characters>
  <Application>Microsoft Office Word</Application>
  <DocSecurity>0</DocSecurity>
  <Lines>121</Lines>
  <Paragraphs>34</Paragraphs>
  <ScaleCrop>false</ScaleCrop>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abhishekjoshi0902@outlook.com</cp:lastModifiedBy>
  <cp:revision>3</cp:revision>
  <dcterms:created xsi:type="dcterms:W3CDTF">2025-11-07T11:55:00Z</dcterms:created>
  <dcterms:modified xsi:type="dcterms:W3CDTF">2025-11-07T12:03:00Z</dcterms:modified>
</cp:coreProperties>
</file>