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3D73C8" w14:textId="3ED62379" w:rsidR="4F9BB323" w:rsidRDefault="4F9BB323" w:rsidP="01A96B22">
      <w:r>
        <w:rPr>
          <w:noProof/>
        </w:rPr>
        <w:drawing>
          <wp:inline distT="0" distB="0" distL="0" distR="0" wp14:anchorId="6794FDEB" wp14:editId="532C7CD8">
            <wp:extent cx="2621507" cy="1164437"/>
            <wp:effectExtent l="0" t="0" r="0" b="0"/>
            <wp:docPr id="3806037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603792" name="Picture 380603792"/>
                    <pic:cNvPicPr/>
                  </pic:nvPicPr>
                  <pic:blipFill>
                    <a:blip r:embed="rId7">
                      <a:extLst>
                        <a:ext uri="{28A0092B-C50C-407E-A947-70E740481C1C}">
                          <a14:useLocalDpi xmlns:a14="http://schemas.microsoft.com/office/drawing/2010/main"/>
                        </a:ext>
                      </a:extLst>
                    </a:blip>
                    <a:stretch>
                      <a:fillRect/>
                    </a:stretch>
                  </pic:blipFill>
                  <pic:spPr>
                    <a:xfrm>
                      <a:off x="0" y="0"/>
                      <a:ext cx="2621507" cy="1164437"/>
                    </a:xfrm>
                    <a:prstGeom prst="rect">
                      <a:avLst/>
                    </a:prstGeom>
                  </pic:spPr>
                </pic:pic>
              </a:graphicData>
            </a:graphic>
          </wp:inline>
        </w:drawing>
      </w:r>
    </w:p>
    <w:p w14:paraId="6D28E791" w14:textId="461A0517" w:rsidR="01A96B22" w:rsidRDefault="01A96B22" w:rsidP="01A96B22">
      <w:pPr>
        <w:jc w:val="center"/>
        <w:rPr>
          <w:rFonts w:ascii="Arial Nova" w:eastAsia="Arial Nova" w:hAnsi="Arial Nova" w:cs="Arial Nova"/>
          <w:b/>
          <w:bCs/>
          <w:sz w:val="28"/>
          <w:szCs w:val="28"/>
        </w:rPr>
      </w:pPr>
    </w:p>
    <w:p w14:paraId="2D6F4EDF" w14:textId="39D7901D" w:rsidR="6D1FE859" w:rsidRDefault="4FB590DE" w:rsidP="7BB5E260">
      <w:pPr>
        <w:spacing w:line="360" w:lineRule="auto"/>
        <w:jc w:val="both"/>
        <w:rPr>
          <w:b/>
          <w:bCs/>
          <w:sz w:val="28"/>
          <w:szCs w:val="28"/>
        </w:rPr>
      </w:pPr>
      <w:r w:rsidRPr="7BB5E260">
        <w:rPr>
          <w:b/>
          <w:bCs/>
          <w:sz w:val="28"/>
          <w:szCs w:val="28"/>
        </w:rPr>
        <w:t xml:space="preserve">Public Health Report: Lung Cancer in the </w:t>
      </w:r>
    </w:p>
    <w:p w14:paraId="515D1E7A" w14:textId="61226127" w:rsidR="6D1FE859" w:rsidRDefault="4FB590DE" w:rsidP="7BB5E260">
      <w:pPr>
        <w:spacing w:line="360" w:lineRule="auto"/>
        <w:jc w:val="both"/>
        <w:rPr>
          <w:b/>
          <w:bCs/>
          <w:sz w:val="28"/>
          <w:szCs w:val="28"/>
        </w:rPr>
      </w:pPr>
      <w:r w:rsidRPr="7BB5E260">
        <w:rPr>
          <w:b/>
          <w:bCs/>
          <w:sz w:val="28"/>
          <w:szCs w:val="28"/>
        </w:rPr>
        <w:t>United Kingdom</w:t>
      </w:r>
    </w:p>
    <w:p w14:paraId="59372F94" w14:textId="69129773" w:rsidR="7BB5E260" w:rsidRDefault="7BB5E260" w:rsidP="7BB5E260">
      <w:pPr>
        <w:spacing w:line="360" w:lineRule="auto"/>
        <w:jc w:val="both"/>
        <w:rPr>
          <w:b/>
          <w:bCs/>
          <w:sz w:val="28"/>
          <w:szCs w:val="28"/>
        </w:rPr>
      </w:pPr>
    </w:p>
    <w:p w14:paraId="5E7DF897" w14:textId="171E1EA3" w:rsidR="00C46C16" w:rsidRDefault="39B1DDC3" w:rsidP="7BB5E260">
      <w:pPr>
        <w:spacing w:line="360" w:lineRule="auto"/>
        <w:jc w:val="both"/>
        <w:rPr>
          <w:b/>
          <w:bCs/>
          <w:sz w:val="28"/>
          <w:szCs w:val="28"/>
        </w:rPr>
      </w:pPr>
      <w:r w:rsidRPr="7BB5E260">
        <w:rPr>
          <w:b/>
          <w:bCs/>
          <w:sz w:val="28"/>
          <w:szCs w:val="28"/>
        </w:rPr>
        <w:t xml:space="preserve">Module name: </w:t>
      </w:r>
      <w:r w:rsidR="6FE83BB5" w:rsidRPr="7BB5E260">
        <w:rPr>
          <w:sz w:val="28"/>
          <w:szCs w:val="28"/>
        </w:rPr>
        <w:t>Introduction to Public Health</w:t>
      </w:r>
    </w:p>
    <w:p w14:paraId="7C16D211" w14:textId="64AE6BDD" w:rsidR="00C46C16" w:rsidRDefault="39B1DDC3" w:rsidP="7BB5E260">
      <w:pPr>
        <w:spacing w:line="360" w:lineRule="auto"/>
        <w:jc w:val="both"/>
        <w:rPr>
          <w:rFonts w:ascii="Arial Nova" w:eastAsia="Arial Nova" w:hAnsi="Arial Nova" w:cs="Arial Nova"/>
          <w:b/>
          <w:bCs/>
          <w:sz w:val="28"/>
          <w:szCs w:val="28"/>
        </w:rPr>
      </w:pPr>
      <w:r w:rsidRPr="7BB5E260">
        <w:rPr>
          <w:rFonts w:ascii="Arial Nova" w:eastAsia="Arial Nova" w:hAnsi="Arial Nova" w:cs="Arial Nova"/>
          <w:b/>
          <w:bCs/>
          <w:sz w:val="28"/>
          <w:szCs w:val="28"/>
        </w:rPr>
        <w:t>Module code:</w:t>
      </w:r>
      <w:r w:rsidR="7C143A42" w:rsidRPr="7BB5E260">
        <w:rPr>
          <w:rFonts w:ascii="Arial Nova" w:eastAsia="Arial Nova" w:hAnsi="Arial Nova" w:cs="Arial Nova"/>
          <w:b/>
          <w:bCs/>
          <w:sz w:val="28"/>
          <w:szCs w:val="28"/>
        </w:rPr>
        <w:t xml:space="preserve"> </w:t>
      </w:r>
      <w:r w:rsidR="25516506" w:rsidRPr="7BB5E260">
        <w:rPr>
          <w:rFonts w:ascii="Arial Nova" w:eastAsia="Arial Nova" w:hAnsi="Arial Nova" w:cs="Arial Nova"/>
          <w:sz w:val="28"/>
          <w:szCs w:val="28"/>
        </w:rPr>
        <w:t>LCHS 4008</w:t>
      </w:r>
    </w:p>
    <w:p w14:paraId="5780909C" w14:textId="5677A789" w:rsidR="00C46C16" w:rsidRDefault="39B1DDC3" w:rsidP="7BB5E260">
      <w:pPr>
        <w:spacing w:line="360" w:lineRule="auto"/>
        <w:jc w:val="both"/>
      </w:pPr>
      <w:r w:rsidRPr="7BB5E260">
        <w:rPr>
          <w:rFonts w:ascii="Arial Nova" w:eastAsia="Arial Nova" w:hAnsi="Arial Nova" w:cs="Arial Nova"/>
          <w:b/>
          <w:bCs/>
          <w:sz w:val="28"/>
          <w:szCs w:val="28"/>
        </w:rPr>
        <w:t xml:space="preserve"> </w:t>
      </w:r>
    </w:p>
    <w:p w14:paraId="44B63A1B" w14:textId="6B408328" w:rsidR="00C46C16" w:rsidRDefault="39B1DDC3" w:rsidP="7BB5E260">
      <w:pPr>
        <w:spacing w:line="360" w:lineRule="auto"/>
        <w:jc w:val="both"/>
        <w:rPr>
          <w:sz w:val="28"/>
          <w:szCs w:val="28"/>
        </w:rPr>
      </w:pPr>
      <w:r w:rsidRPr="7BB5E260">
        <w:rPr>
          <w:rFonts w:ascii="Arial Nova" w:eastAsia="Arial Nova" w:hAnsi="Arial Nova" w:cs="Arial Nova"/>
          <w:b/>
          <w:bCs/>
          <w:sz w:val="28"/>
          <w:szCs w:val="28"/>
        </w:rPr>
        <w:t>Student name:</w:t>
      </w:r>
      <w:r w:rsidR="7DECC77E" w:rsidRPr="7BB5E260">
        <w:rPr>
          <w:rFonts w:ascii="Arial Nova" w:eastAsia="Arial Nova" w:hAnsi="Arial Nova" w:cs="Arial Nova"/>
          <w:b/>
          <w:bCs/>
          <w:sz w:val="28"/>
          <w:szCs w:val="28"/>
        </w:rPr>
        <w:t xml:space="preserve"> </w:t>
      </w:r>
      <w:r w:rsidR="4C1193E1" w:rsidRPr="7BB5E260">
        <w:rPr>
          <w:color w:val="000000" w:themeColor="text1"/>
          <w:sz w:val="28"/>
          <w:szCs w:val="28"/>
          <w:lang w:val="en-US"/>
        </w:rPr>
        <w:t>Liudmyla Holoporova</w:t>
      </w:r>
    </w:p>
    <w:p w14:paraId="0F3998B6" w14:textId="20E73AA8" w:rsidR="00C46C16" w:rsidRDefault="39B1DDC3" w:rsidP="7BB5E260">
      <w:pPr>
        <w:spacing w:line="360" w:lineRule="auto"/>
        <w:jc w:val="both"/>
        <w:rPr>
          <w:rFonts w:ascii="Arial Nova" w:eastAsia="Arial Nova" w:hAnsi="Arial Nova" w:cs="Arial Nova"/>
          <w:b/>
          <w:bCs/>
          <w:sz w:val="28"/>
          <w:szCs w:val="28"/>
        </w:rPr>
      </w:pPr>
      <w:r w:rsidRPr="7BB5E260">
        <w:rPr>
          <w:rFonts w:ascii="Arial Nova" w:eastAsia="Arial Nova" w:hAnsi="Arial Nova" w:cs="Arial Nova"/>
          <w:b/>
          <w:bCs/>
          <w:sz w:val="28"/>
          <w:szCs w:val="28"/>
        </w:rPr>
        <w:t>Student ID:</w:t>
      </w:r>
      <w:r w:rsidR="59485FA8" w:rsidRPr="7BB5E260">
        <w:rPr>
          <w:rFonts w:ascii="Arial Nova" w:eastAsia="Arial Nova" w:hAnsi="Arial Nova" w:cs="Arial Nova"/>
          <w:b/>
          <w:bCs/>
          <w:sz w:val="28"/>
          <w:szCs w:val="28"/>
        </w:rPr>
        <w:t xml:space="preserve"> </w:t>
      </w:r>
      <w:r w:rsidR="59485FA8" w:rsidRPr="7BB5E260">
        <w:rPr>
          <w:rFonts w:ascii="Arial Nova" w:eastAsia="Arial Nova" w:hAnsi="Arial Nova" w:cs="Arial Nova"/>
          <w:sz w:val="28"/>
          <w:szCs w:val="28"/>
        </w:rPr>
        <w:t>2510891</w:t>
      </w:r>
    </w:p>
    <w:p w14:paraId="3219CA44" w14:textId="7EDFA179" w:rsidR="00C46C16" w:rsidRDefault="39B1DDC3" w:rsidP="7BB5E260">
      <w:pPr>
        <w:spacing w:line="360" w:lineRule="auto"/>
        <w:jc w:val="both"/>
        <w:rPr>
          <w:rFonts w:ascii="Arial Nova" w:eastAsia="Arial Nova" w:hAnsi="Arial Nova" w:cs="Arial Nova"/>
          <w:b/>
          <w:bCs/>
          <w:sz w:val="28"/>
          <w:szCs w:val="28"/>
        </w:rPr>
      </w:pPr>
      <w:r w:rsidRPr="7BB5E260">
        <w:rPr>
          <w:rFonts w:ascii="Arial Nova" w:eastAsia="Arial Nova" w:hAnsi="Arial Nova" w:cs="Arial Nova"/>
          <w:b/>
          <w:bCs/>
          <w:sz w:val="28"/>
          <w:szCs w:val="28"/>
        </w:rPr>
        <w:t xml:space="preserve"> </w:t>
      </w:r>
    </w:p>
    <w:p w14:paraId="0B50A029" w14:textId="2CEFABBB" w:rsidR="00C46C16" w:rsidRDefault="39B1DDC3" w:rsidP="7BB5E260">
      <w:pPr>
        <w:spacing w:line="360" w:lineRule="auto"/>
        <w:jc w:val="both"/>
        <w:rPr>
          <w:rFonts w:ascii="Arial Nova" w:eastAsia="Arial Nova" w:hAnsi="Arial Nova" w:cs="Arial Nova"/>
          <w:b/>
          <w:bCs/>
          <w:sz w:val="28"/>
          <w:szCs w:val="28"/>
        </w:rPr>
      </w:pPr>
      <w:r w:rsidRPr="7BB5E260">
        <w:rPr>
          <w:rFonts w:ascii="Arial Nova" w:eastAsia="Arial Nova" w:hAnsi="Arial Nova" w:cs="Arial Nova"/>
          <w:b/>
          <w:bCs/>
          <w:sz w:val="28"/>
          <w:szCs w:val="28"/>
        </w:rPr>
        <w:t>Lecturer’s name</w:t>
      </w:r>
      <w:r w:rsidR="5ECE6580" w:rsidRPr="7BB5E260">
        <w:rPr>
          <w:rFonts w:ascii="Arial Nova" w:eastAsia="Arial Nova" w:hAnsi="Arial Nova" w:cs="Arial Nova"/>
          <w:b/>
          <w:bCs/>
          <w:sz w:val="28"/>
          <w:szCs w:val="28"/>
        </w:rPr>
        <w:t xml:space="preserve">: </w:t>
      </w:r>
      <w:r w:rsidR="5ECE6580" w:rsidRPr="7BB5E260">
        <w:rPr>
          <w:rFonts w:ascii="Arial Nova" w:eastAsia="Arial Nova" w:hAnsi="Arial Nova" w:cs="Arial Nova"/>
          <w:sz w:val="28"/>
          <w:szCs w:val="28"/>
        </w:rPr>
        <w:t>Jolly Nwankwo</w:t>
      </w:r>
    </w:p>
    <w:p w14:paraId="645E4CA1" w14:textId="045711FE" w:rsidR="7BB5E260" w:rsidRDefault="7BB5E260" w:rsidP="7BB5E260">
      <w:pPr>
        <w:spacing w:line="360" w:lineRule="auto"/>
        <w:jc w:val="both"/>
        <w:rPr>
          <w:rFonts w:ascii="Arial" w:eastAsia="Arial" w:hAnsi="Arial" w:cs="Arial"/>
          <w:b/>
          <w:bCs/>
          <w:sz w:val="28"/>
          <w:szCs w:val="28"/>
        </w:rPr>
      </w:pPr>
    </w:p>
    <w:p w14:paraId="54DAC1BA" w14:textId="25F25769" w:rsidR="00C46C16" w:rsidRDefault="644A0D63" w:rsidP="7BB5E260">
      <w:pPr>
        <w:spacing w:line="360" w:lineRule="auto"/>
        <w:jc w:val="both"/>
        <w:rPr>
          <w:rFonts w:ascii="Arial" w:eastAsia="Arial" w:hAnsi="Arial" w:cs="Arial"/>
          <w:sz w:val="28"/>
          <w:szCs w:val="28"/>
        </w:rPr>
      </w:pPr>
      <w:r w:rsidRPr="7BB5E260">
        <w:rPr>
          <w:rFonts w:ascii="Arial" w:eastAsia="Arial" w:hAnsi="Arial" w:cs="Arial"/>
          <w:b/>
          <w:bCs/>
          <w:sz w:val="28"/>
          <w:szCs w:val="28"/>
        </w:rPr>
        <w:t>Submitted on</w:t>
      </w:r>
      <w:r w:rsidRPr="7BB5E260">
        <w:rPr>
          <w:rFonts w:ascii="Arial" w:eastAsia="Arial" w:hAnsi="Arial" w:cs="Arial"/>
          <w:sz w:val="28"/>
          <w:szCs w:val="28"/>
        </w:rPr>
        <w:t xml:space="preserve">: 16.04.2026   </w:t>
      </w:r>
    </w:p>
    <w:p w14:paraId="0C5A7143" w14:textId="1075D3BA" w:rsidR="00C46C16" w:rsidRDefault="72D6DC38" w:rsidP="7BB5E260">
      <w:pPr>
        <w:spacing w:line="360" w:lineRule="auto"/>
        <w:rPr>
          <w:rFonts w:ascii="Arial Nova" w:eastAsia="Arial Nova" w:hAnsi="Arial Nova" w:cs="Arial Nova"/>
          <w:sz w:val="28"/>
          <w:szCs w:val="28"/>
        </w:rPr>
      </w:pPr>
      <w:r w:rsidRPr="7BB5E260">
        <w:rPr>
          <w:rFonts w:ascii="Arial Nova" w:eastAsia="Arial Nova" w:hAnsi="Arial Nova" w:cs="Arial Nova"/>
          <w:b/>
          <w:bCs/>
          <w:sz w:val="28"/>
          <w:szCs w:val="28"/>
        </w:rPr>
        <w:t>Word count:</w:t>
      </w:r>
      <w:r w:rsidRPr="7BB5E260">
        <w:rPr>
          <w:rFonts w:ascii="Arial Nova" w:eastAsia="Arial Nova" w:hAnsi="Arial Nova" w:cs="Arial Nova"/>
          <w:sz w:val="28"/>
          <w:szCs w:val="28"/>
        </w:rPr>
        <w:t xml:space="preserve"> 1552</w:t>
      </w:r>
    </w:p>
    <w:p w14:paraId="01A5307D" w14:textId="79A098B3" w:rsidR="00C46C16" w:rsidRDefault="00C46C16" w:rsidP="127A16F3">
      <w:pPr>
        <w:rPr>
          <w:rFonts w:ascii="Arial Nova" w:eastAsia="Arial Nova" w:hAnsi="Arial Nova" w:cs="Arial Nova"/>
          <w:sz w:val="22"/>
          <w:szCs w:val="22"/>
        </w:rPr>
      </w:pPr>
    </w:p>
    <w:p w14:paraId="4D633457" w14:textId="77F7920F" w:rsidR="7BB5E260" w:rsidRDefault="7BB5E260" w:rsidP="7BB5E260">
      <w:pPr>
        <w:spacing w:line="360" w:lineRule="auto"/>
        <w:jc w:val="center"/>
        <w:rPr>
          <w:rFonts w:ascii="Arial Nova" w:eastAsia="Arial Nova" w:hAnsi="Arial Nova" w:cs="Arial Nova"/>
          <w:b/>
          <w:bCs/>
          <w:sz w:val="22"/>
          <w:szCs w:val="22"/>
        </w:rPr>
      </w:pPr>
    </w:p>
    <w:p w14:paraId="6E4E7014" w14:textId="2A82466E" w:rsidR="7BB5E260" w:rsidRDefault="7BB5E260" w:rsidP="7BB5E260">
      <w:pPr>
        <w:spacing w:line="360" w:lineRule="auto"/>
        <w:jc w:val="center"/>
        <w:rPr>
          <w:rFonts w:ascii="Arial Nova" w:eastAsia="Arial Nova" w:hAnsi="Arial Nova" w:cs="Arial Nova"/>
          <w:b/>
          <w:bCs/>
          <w:sz w:val="22"/>
          <w:szCs w:val="22"/>
        </w:rPr>
      </w:pPr>
    </w:p>
    <w:p w14:paraId="0CEA6C8D" w14:textId="5B7D641D" w:rsidR="7BB5E260" w:rsidRDefault="7BB5E260" w:rsidP="7BB5E260">
      <w:pPr>
        <w:spacing w:line="360" w:lineRule="auto"/>
        <w:jc w:val="center"/>
        <w:rPr>
          <w:rFonts w:ascii="Arial Nova" w:eastAsia="Arial Nova" w:hAnsi="Arial Nova" w:cs="Arial Nova"/>
          <w:b/>
          <w:bCs/>
          <w:sz w:val="22"/>
          <w:szCs w:val="22"/>
        </w:rPr>
      </w:pPr>
    </w:p>
    <w:p w14:paraId="503BC353" w14:textId="0F7298EF" w:rsidR="7BB5E260" w:rsidRDefault="7BB5E260" w:rsidP="7BB5E260">
      <w:pPr>
        <w:spacing w:line="360" w:lineRule="auto"/>
        <w:jc w:val="center"/>
        <w:rPr>
          <w:rFonts w:ascii="Arial Nova" w:eastAsia="Arial Nova" w:hAnsi="Arial Nova" w:cs="Arial Nova"/>
          <w:b/>
          <w:bCs/>
          <w:sz w:val="22"/>
          <w:szCs w:val="22"/>
        </w:rPr>
      </w:pPr>
    </w:p>
    <w:p w14:paraId="52A43683" w14:textId="2AC813F1" w:rsidR="00C46C16" w:rsidRDefault="5D585DAF" w:rsidP="7BB5E260">
      <w:pPr>
        <w:spacing w:line="360" w:lineRule="auto"/>
        <w:jc w:val="center"/>
        <w:rPr>
          <w:rFonts w:ascii="Arial Nova" w:eastAsia="Arial Nova" w:hAnsi="Arial Nova" w:cs="Arial Nova"/>
          <w:b/>
          <w:bCs/>
          <w:sz w:val="22"/>
          <w:szCs w:val="22"/>
        </w:rPr>
      </w:pPr>
      <w:r w:rsidRPr="7BB5E260">
        <w:rPr>
          <w:rFonts w:ascii="Arial Nova" w:eastAsia="Arial Nova" w:hAnsi="Arial Nova" w:cs="Arial Nova"/>
          <w:b/>
          <w:bCs/>
          <w:sz w:val="22"/>
          <w:szCs w:val="22"/>
        </w:rPr>
        <w:lastRenderedPageBreak/>
        <w:t>Content page</w:t>
      </w:r>
    </w:p>
    <w:p w14:paraId="14D9A056" w14:textId="1515B710" w:rsidR="00C46C16" w:rsidRDefault="00C46C16" w:rsidP="7BB5E260">
      <w:pPr>
        <w:spacing w:line="360" w:lineRule="auto"/>
        <w:jc w:val="both"/>
        <w:rPr>
          <w:rFonts w:ascii="Arial Nova" w:eastAsia="Arial Nova" w:hAnsi="Arial Nova" w:cs="Arial Nova"/>
          <w:b/>
          <w:bCs/>
          <w:sz w:val="22"/>
          <w:szCs w:val="22"/>
        </w:rPr>
      </w:pPr>
    </w:p>
    <w:p w14:paraId="6652FC5C" w14:textId="7D4D4D5C" w:rsidR="00C46C16" w:rsidRDefault="16D715AC" w:rsidP="7BB5E260">
      <w:pPr>
        <w:spacing w:line="360" w:lineRule="auto"/>
        <w:rPr>
          <w:rFonts w:ascii="Arial Nova" w:eastAsia="Arial Nova" w:hAnsi="Arial Nova" w:cs="Arial Nova"/>
          <w:sz w:val="22"/>
          <w:szCs w:val="22"/>
        </w:rPr>
      </w:pPr>
      <w:r w:rsidRPr="7BB5E260">
        <w:rPr>
          <w:rFonts w:ascii="Arial Nova" w:eastAsia="Arial Nova" w:hAnsi="Arial Nova" w:cs="Arial Nova"/>
          <w:sz w:val="22"/>
          <w:szCs w:val="22"/>
        </w:rPr>
        <w:t>1. Introduction ........................................................................................................... 3</w:t>
      </w:r>
    </w:p>
    <w:p w14:paraId="01BE2722" w14:textId="2CCA732A" w:rsidR="00C46C16" w:rsidRDefault="16D715AC" w:rsidP="7BB5E260">
      <w:pPr>
        <w:spacing w:line="360" w:lineRule="auto"/>
      </w:pPr>
      <w:r w:rsidRPr="7BB5E260">
        <w:rPr>
          <w:rFonts w:ascii="Arial Nova" w:eastAsia="Arial Nova" w:hAnsi="Arial Nova" w:cs="Arial Nova"/>
          <w:sz w:val="22"/>
          <w:szCs w:val="22"/>
        </w:rPr>
        <w:t>2. Strategic Analysis of Lung Cancer Control .....................................................</w:t>
      </w:r>
      <w:r w:rsidR="24187834" w:rsidRPr="7BB5E260">
        <w:rPr>
          <w:rFonts w:ascii="Arial Nova" w:eastAsia="Arial Nova" w:hAnsi="Arial Nova" w:cs="Arial Nova"/>
          <w:sz w:val="22"/>
          <w:szCs w:val="22"/>
        </w:rPr>
        <w:t>.</w:t>
      </w:r>
      <w:r w:rsidRPr="7BB5E260">
        <w:rPr>
          <w:rFonts w:ascii="Arial Nova" w:eastAsia="Arial Nova" w:hAnsi="Arial Nova" w:cs="Arial Nova"/>
          <w:sz w:val="22"/>
          <w:szCs w:val="22"/>
        </w:rPr>
        <w:t xml:space="preserve"> 3</w:t>
      </w:r>
    </w:p>
    <w:p w14:paraId="24F7BD94" w14:textId="2ED6B410" w:rsidR="00C46C16" w:rsidRDefault="16D715AC" w:rsidP="7BB5E260">
      <w:pPr>
        <w:spacing w:line="360" w:lineRule="auto"/>
      </w:pPr>
      <w:r w:rsidRPr="7BB5E260">
        <w:rPr>
          <w:rFonts w:ascii="Arial Nova" w:eastAsia="Arial Nova" w:hAnsi="Arial Nova" w:cs="Arial Nova"/>
          <w:sz w:val="22"/>
          <w:szCs w:val="22"/>
        </w:rPr>
        <w:t xml:space="preserve">      2.1 Measurement and Monitoring of Lung Cancer ........................................3</w:t>
      </w:r>
    </w:p>
    <w:p w14:paraId="34BCB84D" w14:textId="1DE36E68" w:rsidR="00C46C16" w:rsidRDefault="16D715AC" w:rsidP="7BB5E260">
      <w:pPr>
        <w:spacing w:line="360" w:lineRule="auto"/>
        <w:rPr>
          <w:rFonts w:ascii="Arial Nova" w:eastAsia="Arial Nova" w:hAnsi="Arial Nova" w:cs="Arial Nova"/>
          <w:sz w:val="22"/>
          <w:szCs w:val="22"/>
        </w:rPr>
      </w:pPr>
      <w:r w:rsidRPr="7BB5E260">
        <w:rPr>
          <w:rFonts w:ascii="Arial Nova" w:eastAsia="Arial Nova" w:hAnsi="Arial Nova" w:cs="Arial Nova"/>
          <w:sz w:val="22"/>
          <w:szCs w:val="22"/>
        </w:rPr>
        <w:t xml:space="preserve">      2.2 Disease Control .......................................................................................</w:t>
      </w:r>
      <w:r w:rsidR="42E4C7ED" w:rsidRPr="7BB5E260">
        <w:rPr>
          <w:rFonts w:ascii="Arial Nova" w:eastAsia="Arial Nova" w:hAnsi="Arial Nova" w:cs="Arial Nova"/>
          <w:sz w:val="22"/>
          <w:szCs w:val="22"/>
        </w:rPr>
        <w:t>...</w:t>
      </w:r>
      <w:r w:rsidR="6FBB77CD" w:rsidRPr="7BB5E260">
        <w:rPr>
          <w:rFonts w:ascii="Arial Nova" w:eastAsia="Arial Nova" w:hAnsi="Arial Nova" w:cs="Arial Nova"/>
          <w:sz w:val="22"/>
          <w:szCs w:val="22"/>
        </w:rPr>
        <w:t>...</w:t>
      </w:r>
      <w:r w:rsidRPr="7BB5E260">
        <w:rPr>
          <w:rFonts w:ascii="Arial Nova" w:eastAsia="Arial Nova" w:hAnsi="Arial Nova" w:cs="Arial Nova"/>
          <w:sz w:val="22"/>
          <w:szCs w:val="22"/>
        </w:rPr>
        <w:t>4</w:t>
      </w:r>
    </w:p>
    <w:p w14:paraId="6933890F" w14:textId="4A74F7CD" w:rsidR="00C46C16" w:rsidRDefault="16D715AC" w:rsidP="7BB5E260">
      <w:pPr>
        <w:spacing w:line="360" w:lineRule="auto"/>
      </w:pPr>
      <w:r w:rsidRPr="7BB5E260">
        <w:rPr>
          <w:rFonts w:ascii="Arial Nova" w:eastAsia="Arial Nova" w:hAnsi="Arial Nova" w:cs="Arial Nova"/>
          <w:sz w:val="22"/>
          <w:szCs w:val="22"/>
        </w:rPr>
        <w:t xml:space="preserve">      2.3 Consequences for the Individual and the Community ...........................</w:t>
      </w:r>
      <w:r w:rsidR="0BE8FD91" w:rsidRPr="7BB5E260">
        <w:rPr>
          <w:rFonts w:ascii="Arial Nova" w:eastAsia="Arial Nova" w:hAnsi="Arial Nova" w:cs="Arial Nova"/>
          <w:sz w:val="22"/>
          <w:szCs w:val="22"/>
        </w:rPr>
        <w:t>.</w:t>
      </w:r>
      <w:r w:rsidRPr="7BB5E260">
        <w:rPr>
          <w:rFonts w:ascii="Arial Nova" w:eastAsia="Arial Nova" w:hAnsi="Arial Nova" w:cs="Arial Nova"/>
          <w:sz w:val="22"/>
          <w:szCs w:val="22"/>
        </w:rPr>
        <w:t>5</w:t>
      </w:r>
    </w:p>
    <w:p w14:paraId="3B24CA65" w14:textId="4A84C019" w:rsidR="00C46C16" w:rsidRDefault="16D715AC" w:rsidP="7BB5E260">
      <w:pPr>
        <w:spacing w:line="360" w:lineRule="auto"/>
      </w:pPr>
      <w:r w:rsidRPr="7BB5E260">
        <w:rPr>
          <w:rFonts w:ascii="Arial Nova" w:eastAsia="Arial Nova" w:hAnsi="Arial Nova" w:cs="Arial Nova"/>
          <w:sz w:val="22"/>
          <w:szCs w:val="22"/>
        </w:rPr>
        <w:t xml:space="preserve">      2.4 Health and Social Care Support Services ...............................................</w:t>
      </w:r>
      <w:r w:rsidR="1E45186D" w:rsidRPr="7BB5E260">
        <w:rPr>
          <w:rFonts w:ascii="Arial Nova" w:eastAsia="Arial Nova" w:hAnsi="Arial Nova" w:cs="Arial Nova"/>
          <w:sz w:val="22"/>
          <w:szCs w:val="22"/>
        </w:rPr>
        <w:t>.</w:t>
      </w:r>
      <w:r w:rsidRPr="7BB5E260">
        <w:rPr>
          <w:rFonts w:ascii="Arial Nova" w:eastAsia="Arial Nova" w:hAnsi="Arial Nova" w:cs="Arial Nova"/>
          <w:sz w:val="22"/>
          <w:szCs w:val="22"/>
        </w:rPr>
        <w:t>6</w:t>
      </w:r>
    </w:p>
    <w:p w14:paraId="34BEED54" w14:textId="3087B394" w:rsidR="00C46C16" w:rsidRDefault="16D715AC" w:rsidP="7BB5E260">
      <w:pPr>
        <w:spacing w:line="360" w:lineRule="auto"/>
        <w:rPr>
          <w:rFonts w:ascii="Arial Nova" w:eastAsia="Arial Nova" w:hAnsi="Arial Nova" w:cs="Arial Nova"/>
          <w:sz w:val="22"/>
          <w:szCs w:val="22"/>
        </w:rPr>
      </w:pPr>
      <w:r w:rsidRPr="7BB5E260">
        <w:rPr>
          <w:rFonts w:ascii="Arial Nova" w:eastAsia="Arial Nova" w:hAnsi="Arial Nova" w:cs="Arial Nova"/>
          <w:sz w:val="22"/>
          <w:szCs w:val="22"/>
        </w:rPr>
        <w:t>3. Conclusion ...........................................................................................................</w:t>
      </w:r>
      <w:r w:rsidR="5718715F" w:rsidRPr="7BB5E260">
        <w:rPr>
          <w:rFonts w:ascii="Arial Nova" w:eastAsia="Arial Nova" w:hAnsi="Arial Nova" w:cs="Arial Nova"/>
          <w:sz w:val="22"/>
          <w:szCs w:val="22"/>
        </w:rPr>
        <w:t>...6</w:t>
      </w:r>
    </w:p>
    <w:p w14:paraId="797C509E" w14:textId="6B1D39E3" w:rsidR="00C46C16" w:rsidRDefault="16D715AC" w:rsidP="7BB5E260">
      <w:pPr>
        <w:spacing w:line="360" w:lineRule="auto"/>
        <w:rPr>
          <w:rFonts w:ascii="Arial Nova" w:eastAsia="Arial Nova" w:hAnsi="Arial Nova" w:cs="Arial Nova"/>
          <w:sz w:val="22"/>
          <w:szCs w:val="22"/>
        </w:rPr>
      </w:pPr>
      <w:r w:rsidRPr="7BB5E260">
        <w:rPr>
          <w:rFonts w:ascii="Arial Nova" w:eastAsia="Arial Nova" w:hAnsi="Arial Nova" w:cs="Arial Nova"/>
          <w:sz w:val="22"/>
          <w:szCs w:val="22"/>
        </w:rPr>
        <w:t>4. Reference List .....................................................................................................</w:t>
      </w:r>
      <w:r w:rsidR="0F62EB67" w:rsidRPr="7BB5E260">
        <w:rPr>
          <w:rFonts w:ascii="Arial Nova" w:eastAsia="Arial Nova" w:hAnsi="Arial Nova" w:cs="Arial Nova"/>
          <w:sz w:val="22"/>
          <w:szCs w:val="22"/>
        </w:rPr>
        <w:t>...</w:t>
      </w:r>
      <w:r w:rsidRPr="7BB5E260">
        <w:rPr>
          <w:rFonts w:ascii="Arial Nova" w:eastAsia="Arial Nova" w:hAnsi="Arial Nova" w:cs="Arial Nova"/>
          <w:sz w:val="22"/>
          <w:szCs w:val="22"/>
        </w:rPr>
        <w:t>8</w:t>
      </w:r>
    </w:p>
    <w:p w14:paraId="25256AA4" w14:textId="3944E1D3" w:rsidR="00C46C16" w:rsidRDefault="00C46C16" w:rsidP="7BB5E260">
      <w:pPr>
        <w:spacing w:line="360" w:lineRule="auto"/>
        <w:rPr>
          <w:rFonts w:ascii="Arial Nova" w:eastAsia="Arial Nova" w:hAnsi="Arial Nova" w:cs="Arial Nova"/>
          <w:sz w:val="22"/>
          <w:szCs w:val="22"/>
        </w:rPr>
      </w:pPr>
    </w:p>
    <w:p w14:paraId="038CB06C" w14:textId="62493D21" w:rsidR="00C46C16" w:rsidRDefault="00C46C16" w:rsidP="7BB5E260">
      <w:pPr>
        <w:spacing w:line="360" w:lineRule="auto"/>
        <w:rPr>
          <w:rFonts w:ascii="Arial Nova" w:eastAsia="Arial Nova" w:hAnsi="Arial Nova" w:cs="Arial Nova"/>
          <w:sz w:val="22"/>
          <w:szCs w:val="22"/>
        </w:rPr>
      </w:pPr>
    </w:p>
    <w:p w14:paraId="71870A14" w14:textId="55AADAA0" w:rsidR="00C46C16" w:rsidRDefault="00C46C16" w:rsidP="7BB5E260">
      <w:pPr>
        <w:spacing w:line="360" w:lineRule="auto"/>
        <w:rPr>
          <w:rFonts w:ascii="Arial Nova" w:eastAsia="Arial Nova" w:hAnsi="Arial Nova" w:cs="Arial Nova"/>
          <w:sz w:val="22"/>
          <w:szCs w:val="22"/>
        </w:rPr>
      </w:pPr>
    </w:p>
    <w:p w14:paraId="04A420C2" w14:textId="4DB7DF8C" w:rsidR="00C46C16" w:rsidRDefault="00C46C16" w:rsidP="7BB5E260">
      <w:pPr>
        <w:spacing w:line="360" w:lineRule="auto"/>
        <w:rPr>
          <w:rFonts w:ascii="Arial Nova" w:eastAsia="Arial Nova" w:hAnsi="Arial Nova" w:cs="Arial Nova"/>
          <w:sz w:val="22"/>
          <w:szCs w:val="22"/>
        </w:rPr>
      </w:pPr>
    </w:p>
    <w:p w14:paraId="35A7915E" w14:textId="07EAEA14" w:rsidR="00C46C16" w:rsidRDefault="00C46C16" w:rsidP="7BB5E260">
      <w:pPr>
        <w:spacing w:line="360" w:lineRule="auto"/>
        <w:rPr>
          <w:rFonts w:ascii="Arial Nova" w:eastAsia="Arial Nova" w:hAnsi="Arial Nova" w:cs="Arial Nova"/>
          <w:sz w:val="22"/>
          <w:szCs w:val="22"/>
        </w:rPr>
      </w:pPr>
    </w:p>
    <w:p w14:paraId="139216E3" w14:textId="742DF58B" w:rsidR="00C46C16" w:rsidRDefault="00C46C16" w:rsidP="7BB5E260">
      <w:pPr>
        <w:spacing w:line="360" w:lineRule="auto"/>
        <w:rPr>
          <w:rFonts w:ascii="Arial Nova" w:eastAsia="Arial Nova" w:hAnsi="Arial Nova" w:cs="Arial Nova"/>
          <w:sz w:val="22"/>
          <w:szCs w:val="22"/>
        </w:rPr>
      </w:pPr>
    </w:p>
    <w:p w14:paraId="2361D454" w14:textId="05F54F99" w:rsidR="00C46C16" w:rsidRDefault="00C46C16" w:rsidP="7BB5E260">
      <w:pPr>
        <w:spacing w:line="360" w:lineRule="auto"/>
        <w:rPr>
          <w:rFonts w:ascii="Arial Nova" w:eastAsia="Arial Nova" w:hAnsi="Arial Nova" w:cs="Arial Nova"/>
          <w:sz w:val="22"/>
          <w:szCs w:val="22"/>
        </w:rPr>
      </w:pPr>
    </w:p>
    <w:p w14:paraId="3113E6AB" w14:textId="185E79DE" w:rsidR="00C46C16" w:rsidRDefault="00C46C16" w:rsidP="7BB5E260">
      <w:pPr>
        <w:spacing w:line="360" w:lineRule="auto"/>
        <w:rPr>
          <w:rFonts w:ascii="Arial Nova" w:eastAsia="Arial Nova" w:hAnsi="Arial Nova" w:cs="Arial Nova"/>
          <w:sz w:val="22"/>
          <w:szCs w:val="22"/>
        </w:rPr>
      </w:pPr>
    </w:p>
    <w:p w14:paraId="2AF2F547" w14:textId="2D93131D" w:rsidR="00C46C16" w:rsidRDefault="00C46C16" w:rsidP="7BB5E260">
      <w:pPr>
        <w:spacing w:line="360" w:lineRule="auto"/>
        <w:rPr>
          <w:rFonts w:ascii="Arial Nova" w:eastAsia="Arial Nova" w:hAnsi="Arial Nova" w:cs="Arial Nova"/>
          <w:sz w:val="22"/>
          <w:szCs w:val="22"/>
        </w:rPr>
      </w:pPr>
    </w:p>
    <w:p w14:paraId="5DE0E967" w14:textId="5181CC14" w:rsidR="00C46C16" w:rsidRDefault="00C46C16" w:rsidP="7BB5E260">
      <w:pPr>
        <w:spacing w:line="360" w:lineRule="auto"/>
        <w:rPr>
          <w:rFonts w:ascii="Arial Nova" w:eastAsia="Arial Nova" w:hAnsi="Arial Nova" w:cs="Arial Nova"/>
          <w:sz w:val="22"/>
          <w:szCs w:val="22"/>
        </w:rPr>
      </w:pPr>
    </w:p>
    <w:p w14:paraId="1F2C570B" w14:textId="1EBA8D58" w:rsidR="00C46C16" w:rsidRDefault="00C46C16" w:rsidP="7BB5E260">
      <w:pPr>
        <w:spacing w:line="360" w:lineRule="auto"/>
        <w:rPr>
          <w:rFonts w:ascii="Arial Nova" w:eastAsia="Arial Nova" w:hAnsi="Arial Nova" w:cs="Arial Nova"/>
          <w:sz w:val="22"/>
          <w:szCs w:val="22"/>
        </w:rPr>
      </w:pPr>
    </w:p>
    <w:p w14:paraId="139276A7" w14:textId="0995A5C0" w:rsidR="00C46C16" w:rsidRDefault="00C46C16" w:rsidP="7BB5E260">
      <w:pPr>
        <w:spacing w:line="360" w:lineRule="auto"/>
        <w:rPr>
          <w:rFonts w:ascii="Arial Nova" w:eastAsia="Arial Nova" w:hAnsi="Arial Nova" w:cs="Arial Nova"/>
          <w:sz w:val="22"/>
          <w:szCs w:val="22"/>
        </w:rPr>
      </w:pPr>
    </w:p>
    <w:p w14:paraId="7C128256" w14:textId="6FE3C299" w:rsidR="00C46C16" w:rsidRDefault="00C46C16" w:rsidP="7BB5E260">
      <w:pPr>
        <w:spacing w:line="360" w:lineRule="auto"/>
        <w:rPr>
          <w:rFonts w:ascii="Arial Nova" w:eastAsia="Arial Nova" w:hAnsi="Arial Nova" w:cs="Arial Nova"/>
          <w:sz w:val="22"/>
          <w:szCs w:val="22"/>
        </w:rPr>
      </w:pPr>
    </w:p>
    <w:p w14:paraId="6317CBE3" w14:textId="3E341C21" w:rsidR="00C46C16" w:rsidRDefault="00C46C16" w:rsidP="7BB5E260">
      <w:pPr>
        <w:spacing w:line="360" w:lineRule="auto"/>
        <w:rPr>
          <w:rFonts w:ascii="Arial Nova" w:eastAsia="Arial Nova" w:hAnsi="Arial Nova" w:cs="Arial Nova"/>
          <w:sz w:val="22"/>
          <w:szCs w:val="22"/>
        </w:rPr>
      </w:pPr>
    </w:p>
    <w:p w14:paraId="2255D77B" w14:textId="0A02B574" w:rsidR="00C46C16" w:rsidRDefault="00C46C16" w:rsidP="7BB5E260">
      <w:pPr>
        <w:spacing w:line="360" w:lineRule="auto"/>
        <w:rPr>
          <w:b/>
          <w:bCs/>
          <w:sz w:val="22"/>
          <w:szCs w:val="22"/>
        </w:rPr>
      </w:pPr>
    </w:p>
    <w:p w14:paraId="16E994A4" w14:textId="22C5A916" w:rsidR="00C46C16" w:rsidRDefault="28708DBC" w:rsidP="7BB5E260">
      <w:pPr>
        <w:spacing w:line="360" w:lineRule="auto"/>
        <w:rPr>
          <w:b/>
          <w:bCs/>
          <w:sz w:val="22"/>
          <w:szCs w:val="22"/>
        </w:rPr>
      </w:pPr>
      <w:r w:rsidRPr="7BB5E260">
        <w:rPr>
          <w:b/>
          <w:bCs/>
          <w:sz w:val="22"/>
          <w:szCs w:val="22"/>
        </w:rPr>
        <w:lastRenderedPageBreak/>
        <w:t>Public Health Report: Lung Cancer in the UK</w:t>
      </w:r>
    </w:p>
    <w:p w14:paraId="27E9CC98" w14:textId="19B152D4" w:rsidR="00C46C16" w:rsidRDefault="28708DBC" w:rsidP="7BB5E260">
      <w:pPr>
        <w:spacing w:line="360" w:lineRule="auto"/>
        <w:jc w:val="both"/>
        <w:rPr>
          <w:b/>
          <w:bCs/>
          <w:sz w:val="22"/>
          <w:szCs w:val="22"/>
        </w:rPr>
      </w:pPr>
      <w:r w:rsidRPr="7BB5E260">
        <w:rPr>
          <w:b/>
          <w:bCs/>
          <w:sz w:val="22"/>
          <w:szCs w:val="22"/>
        </w:rPr>
        <w:t xml:space="preserve">1. Introduction </w:t>
      </w:r>
    </w:p>
    <w:p w14:paraId="5E1A04EE" w14:textId="62F48267" w:rsidR="00C46C16" w:rsidRDefault="4FDAC3FD" w:rsidP="7BB5E260">
      <w:pPr>
        <w:spacing w:line="360" w:lineRule="auto"/>
        <w:jc w:val="both"/>
        <w:rPr>
          <w:sz w:val="22"/>
          <w:szCs w:val="22"/>
        </w:rPr>
      </w:pPr>
      <w:r w:rsidRPr="7BB5E260">
        <w:rPr>
          <w:sz w:val="22"/>
          <w:szCs w:val="22"/>
        </w:rPr>
        <w:t>Lung cancer is a major public health challenge characterized by the rapid and unregulated division of abnormal cells within the lung tissue. These cells often form malignant tumours that severely impair respiratory health. Pathologically, it is broadly classified into two primary categories: non-small-cell lung carcinoma (NSCLC), which is the most common form, and small-cell lung carcinoma (SCLC). Clinical indicators typically include a persistent cough lasting more than three weeks, chest pain, unexplained weight loss, and haemoptysis.</w:t>
      </w:r>
    </w:p>
    <w:p w14:paraId="2D8E98B0" w14:textId="05FE63AB" w:rsidR="00C46C16" w:rsidRDefault="4FDAC3FD" w:rsidP="7BB5E260">
      <w:pPr>
        <w:spacing w:line="360" w:lineRule="auto"/>
        <w:jc w:val="both"/>
        <w:rPr>
          <w:sz w:val="22"/>
          <w:szCs w:val="22"/>
        </w:rPr>
      </w:pPr>
      <w:r w:rsidRPr="7BB5E260">
        <w:rPr>
          <w:sz w:val="22"/>
          <w:szCs w:val="22"/>
        </w:rPr>
        <w:t>On a global scale, lung cancer remains a leading cause of oncology-related deaths due to its high incidence and often late-stage diagnosis. Within the United Kingdom, the burden of the disease is significant; it is the third most prevalent cancer and accounts for the highest number of cancer-related fatalities. Recent data from Cancer Research UK (2024) indicates that approximately 48,500 individuals are diagnosed annually. This report examines the UK’s strategic response to the crisis, evaluating current monitoring frameworks, preventive legislation, and the multi-sectoral support services available to patients and their families.</w:t>
      </w:r>
    </w:p>
    <w:p w14:paraId="70E0E3A2" w14:textId="762781BB" w:rsidR="00C46C16" w:rsidRDefault="2D5C0A2F" w:rsidP="7BB5E260">
      <w:pPr>
        <w:spacing w:line="360" w:lineRule="auto"/>
        <w:jc w:val="both"/>
        <w:rPr>
          <w:b/>
          <w:bCs/>
          <w:sz w:val="22"/>
          <w:szCs w:val="22"/>
        </w:rPr>
      </w:pPr>
      <w:r w:rsidRPr="7BB5E260">
        <w:rPr>
          <w:b/>
          <w:bCs/>
          <w:sz w:val="22"/>
          <w:szCs w:val="22"/>
        </w:rPr>
        <w:t>2.Strategic Analysis of Lung Cancer Control</w:t>
      </w:r>
    </w:p>
    <w:p w14:paraId="1910A2A3" w14:textId="5ECC6F9B" w:rsidR="00C46C16" w:rsidRDefault="0BE716C8" w:rsidP="7BB5E260">
      <w:pPr>
        <w:spacing w:before="240" w:after="240" w:line="360" w:lineRule="auto"/>
        <w:jc w:val="both"/>
        <w:rPr>
          <w:sz w:val="22"/>
          <w:szCs w:val="22"/>
        </w:rPr>
      </w:pPr>
      <w:r w:rsidRPr="7BB5E260">
        <w:rPr>
          <w:b/>
          <w:bCs/>
          <w:sz w:val="22"/>
          <w:szCs w:val="22"/>
        </w:rPr>
        <w:t>2.1 Measurement and Monitoring of Lung Cancer</w:t>
      </w:r>
      <w:r w:rsidRPr="7BB5E260">
        <w:rPr>
          <w:sz w:val="22"/>
          <w:szCs w:val="22"/>
        </w:rPr>
        <w:t xml:space="preserve"> </w:t>
      </w:r>
    </w:p>
    <w:p w14:paraId="79535B0A" w14:textId="2B919BBA" w:rsidR="1A1FC659" w:rsidRDefault="06EF6758" w:rsidP="7BB5E260">
      <w:pPr>
        <w:spacing w:before="240" w:after="240" w:line="360" w:lineRule="auto"/>
        <w:jc w:val="both"/>
        <w:rPr>
          <w:sz w:val="22"/>
          <w:szCs w:val="22"/>
        </w:rPr>
      </w:pPr>
      <w:r w:rsidRPr="7BB5E260">
        <w:rPr>
          <w:sz w:val="22"/>
          <w:szCs w:val="22"/>
        </w:rPr>
        <w:t>Effective healthcare management is unattainable without high-quality data. In the United Kingdom, where lung cancer remains the primary cause of oncology-related deaths (Cancer Research UK, 2024), the monitoring framework is among the most advanced globally.</w:t>
      </w:r>
    </w:p>
    <w:p w14:paraId="580DC9D7" w14:textId="1B621F79" w:rsidR="00C46C16" w:rsidRDefault="0BE716C8" w:rsidP="7BB5E260">
      <w:pPr>
        <w:spacing w:before="240" w:after="240" w:line="360" w:lineRule="auto"/>
        <w:jc w:val="both"/>
        <w:rPr>
          <w:sz w:val="22"/>
          <w:szCs w:val="22"/>
        </w:rPr>
      </w:pPr>
      <w:r w:rsidRPr="7BB5E260">
        <w:rPr>
          <w:b/>
          <w:bCs/>
          <w:sz w:val="22"/>
          <w:szCs w:val="22"/>
        </w:rPr>
        <w:t>National Cancer Registration: The Role of NCRAS</w:t>
      </w:r>
      <w:r w:rsidRPr="7BB5E260">
        <w:rPr>
          <w:sz w:val="22"/>
          <w:szCs w:val="22"/>
        </w:rPr>
        <w:t xml:space="preserve"> </w:t>
      </w:r>
    </w:p>
    <w:p w14:paraId="151C5881" w14:textId="19865642" w:rsidR="138B3A96" w:rsidRDefault="62C644DC" w:rsidP="7BB5E260">
      <w:pPr>
        <w:spacing w:before="240" w:after="240" w:line="360" w:lineRule="auto"/>
        <w:jc w:val="both"/>
        <w:rPr>
          <w:sz w:val="22"/>
          <w:szCs w:val="22"/>
        </w:rPr>
      </w:pPr>
      <w:r w:rsidRPr="7BB5E260">
        <w:rPr>
          <w:sz w:val="22"/>
          <w:szCs w:val="22"/>
        </w:rPr>
        <w:t>The National Cancer Registration and Analysis Service (NCRAS) serves as the central data infrastructure, recording every cancer diagnosis in England. This is a dynamic database that tracks the patient pathway from the initial consultation to final clinical outcomes.</w:t>
      </w:r>
    </w:p>
    <w:p w14:paraId="277C046B" w14:textId="751CDB6C" w:rsidR="7BA82CC9" w:rsidRDefault="0BE716C8" w:rsidP="7BB5E260">
      <w:pPr>
        <w:pStyle w:val="ListParagraph"/>
        <w:numPr>
          <w:ilvl w:val="0"/>
          <w:numId w:val="7"/>
        </w:numPr>
        <w:spacing w:before="240" w:after="240" w:line="360" w:lineRule="auto"/>
        <w:jc w:val="both"/>
        <w:rPr>
          <w:sz w:val="22"/>
          <w:szCs w:val="22"/>
        </w:rPr>
      </w:pPr>
      <w:r w:rsidRPr="7BB5E260">
        <w:rPr>
          <w:b/>
          <w:bCs/>
          <w:sz w:val="22"/>
          <w:szCs w:val="22"/>
        </w:rPr>
        <w:t>Survival Monitoring:</w:t>
      </w:r>
      <w:r w:rsidRPr="7BB5E260">
        <w:rPr>
          <w:sz w:val="22"/>
          <w:szCs w:val="22"/>
        </w:rPr>
        <w:t xml:space="preserve"> </w:t>
      </w:r>
      <w:r w:rsidR="4D38A8B0" w:rsidRPr="7BB5E260">
        <w:rPr>
          <w:sz w:val="22"/>
          <w:szCs w:val="22"/>
        </w:rPr>
        <w:t>Utilizing NCRAS data, the Office for National Statistics (2025) evaluates one-year and five-year survival rates. This identifies regional disparities where treatment outcomes fall below national standards.</w:t>
      </w:r>
    </w:p>
    <w:p w14:paraId="05C48794" w14:textId="18922B4D" w:rsidR="7BA82CC9" w:rsidRDefault="0BE716C8" w:rsidP="7BB5E260">
      <w:pPr>
        <w:pStyle w:val="ListParagraph"/>
        <w:numPr>
          <w:ilvl w:val="0"/>
          <w:numId w:val="7"/>
        </w:numPr>
        <w:spacing w:before="240" w:after="240" w:line="360" w:lineRule="auto"/>
        <w:jc w:val="both"/>
        <w:rPr>
          <w:sz w:val="22"/>
          <w:szCs w:val="22"/>
        </w:rPr>
      </w:pPr>
      <w:r w:rsidRPr="7BB5E260">
        <w:rPr>
          <w:sz w:val="22"/>
          <w:szCs w:val="22"/>
        </w:rPr>
        <w:t xml:space="preserve"> </w:t>
      </w:r>
      <w:r w:rsidRPr="7BB5E260">
        <w:rPr>
          <w:b/>
          <w:bCs/>
          <w:sz w:val="22"/>
          <w:szCs w:val="22"/>
        </w:rPr>
        <w:t>Treatment Effectiveness:</w:t>
      </w:r>
      <w:r w:rsidR="09177EF1" w:rsidRPr="7BB5E260">
        <w:rPr>
          <w:b/>
          <w:bCs/>
          <w:sz w:val="22"/>
          <w:szCs w:val="22"/>
        </w:rPr>
        <w:t xml:space="preserve"> </w:t>
      </w:r>
      <w:r w:rsidR="09177EF1" w:rsidRPr="7BB5E260">
        <w:rPr>
          <w:sz w:val="22"/>
          <w:szCs w:val="22"/>
        </w:rPr>
        <w:t>Data collection on Systemic Anti-Cancer Therapy (SACT) provides insights into the performance of modern pharmaceuticals within real-world clinical settings, beyond controlled trial environments.</w:t>
      </w:r>
    </w:p>
    <w:p w14:paraId="6071A03E" w14:textId="17DF7619" w:rsidR="00C46C16" w:rsidRDefault="31E6F519" w:rsidP="7BB5E260">
      <w:pPr>
        <w:spacing w:before="240" w:after="240" w:line="360" w:lineRule="auto"/>
        <w:jc w:val="both"/>
        <w:rPr>
          <w:sz w:val="22"/>
          <w:szCs w:val="22"/>
        </w:rPr>
      </w:pPr>
      <w:r w:rsidRPr="7BB5E260">
        <w:rPr>
          <w:b/>
          <w:bCs/>
          <w:sz w:val="22"/>
          <w:szCs w:val="22"/>
        </w:rPr>
        <w:lastRenderedPageBreak/>
        <w:t xml:space="preserve"> Screening and Surveillance: Targeted Lung Health Checks (TLHC)</w:t>
      </w:r>
      <w:r w:rsidRPr="7BB5E260">
        <w:rPr>
          <w:sz w:val="22"/>
          <w:szCs w:val="22"/>
        </w:rPr>
        <w:t xml:space="preserve"> </w:t>
      </w:r>
    </w:p>
    <w:p w14:paraId="1EC64B7E" w14:textId="1A97F773" w:rsidR="00C46C16" w:rsidRDefault="5EFDB03D" w:rsidP="7BB5E260">
      <w:pPr>
        <w:spacing w:before="240" w:after="240" w:line="360" w:lineRule="auto"/>
        <w:jc w:val="both"/>
        <w:rPr>
          <w:sz w:val="22"/>
          <w:szCs w:val="22"/>
        </w:rPr>
      </w:pPr>
      <w:r w:rsidRPr="7BB5E260">
        <w:rPr>
          <w:sz w:val="22"/>
          <w:szCs w:val="22"/>
        </w:rPr>
        <w:t>According to The National Cancer Plan (2026), the NHS prioritizes a transition toward early diagnosis, with the TLHC programme representing the core of this strategy.</w:t>
      </w:r>
    </w:p>
    <w:p w14:paraId="69E4DDF7" w14:textId="67D67265" w:rsidR="7BA82CC9" w:rsidRDefault="0BE716C8" w:rsidP="7BB5E260">
      <w:pPr>
        <w:pStyle w:val="ListParagraph"/>
        <w:numPr>
          <w:ilvl w:val="0"/>
          <w:numId w:val="6"/>
        </w:numPr>
        <w:spacing w:before="240" w:after="240" w:line="360" w:lineRule="auto"/>
        <w:jc w:val="both"/>
        <w:rPr>
          <w:sz w:val="22"/>
          <w:szCs w:val="22"/>
        </w:rPr>
      </w:pPr>
      <w:r w:rsidRPr="7BB5E260">
        <w:rPr>
          <w:b/>
          <w:bCs/>
          <w:sz w:val="22"/>
          <w:szCs w:val="22"/>
        </w:rPr>
        <w:t>Target Group:</w:t>
      </w:r>
      <w:r w:rsidRPr="7BB5E260">
        <w:rPr>
          <w:sz w:val="22"/>
          <w:szCs w:val="22"/>
        </w:rPr>
        <w:t xml:space="preserve"> </w:t>
      </w:r>
      <w:r w:rsidR="651252B4" w:rsidRPr="7BB5E260">
        <w:rPr>
          <w:sz w:val="22"/>
          <w:szCs w:val="22"/>
        </w:rPr>
        <w:t>The initiative focuses on individuals aged 55–74 with a significant smoking history</w:t>
      </w:r>
    </w:p>
    <w:p w14:paraId="33ACA3DA" w14:textId="51046784" w:rsidR="7BA82CC9" w:rsidRDefault="0BE716C8" w:rsidP="7BB5E260">
      <w:pPr>
        <w:pStyle w:val="ListParagraph"/>
        <w:numPr>
          <w:ilvl w:val="0"/>
          <w:numId w:val="6"/>
        </w:numPr>
        <w:spacing w:before="240" w:after="240" w:line="360" w:lineRule="auto"/>
        <w:jc w:val="both"/>
        <w:rPr>
          <w:sz w:val="22"/>
          <w:szCs w:val="22"/>
        </w:rPr>
      </w:pPr>
      <w:r w:rsidRPr="7BB5E260">
        <w:rPr>
          <w:b/>
          <w:bCs/>
          <w:sz w:val="22"/>
          <w:szCs w:val="22"/>
        </w:rPr>
        <w:t xml:space="preserve"> Method:</w:t>
      </w:r>
      <w:r w:rsidRPr="7BB5E260">
        <w:rPr>
          <w:sz w:val="22"/>
          <w:szCs w:val="22"/>
        </w:rPr>
        <w:t xml:space="preserve"> </w:t>
      </w:r>
      <w:r w:rsidR="0E9A13EB" w:rsidRPr="7BB5E260">
        <w:rPr>
          <w:sz w:val="22"/>
          <w:szCs w:val="22"/>
        </w:rPr>
        <w:t>Low-Dose CT (LDCT) scans enable the identification of neoplasms at an asymptomatic stage. This fundamentally alters the prognosis: detecting cancer at Stage 1 rather than Stage 4 improves survival chances from months to decades.</w:t>
      </w:r>
    </w:p>
    <w:p w14:paraId="5CD4ED55" w14:textId="3C098D6B" w:rsidR="00C46C16" w:rsidRDefault="7433E03B" w:rsidP="7BB5E260">
      <w:pPr>
        <w:spacing w:before="240" w:after="240" w:line="360" w:lineRule="auto"/>
        <w:jc w:val="both"/>
        <w:rPr>
          <w:b/>
          <w:bCs/>
          <w:sz w:val="22"/>
          <w:szCs w:val="22"/>
        </w:rPr>
      </w:pPr>
      <w:r w:rsidRPr="7BB5E260">
        <w:rPr>
          <w:b/>
          <w:bCs/>
          <w:sz w:val="22"/>
          <w:szCs w:val="22"/>
        </w:rPr>
        <w:t>Clinical Governance: National Lung Cancer Audit (NLCA)</w:t>
      </w:r>
    </w:p>
    <w:p w14:paraId="5866215B" w14:textId="47E042A1" w:rsidR="00C46C16" w:rsidRDefault="7433E03B" w:rsidP="7BB5E260">
      <w:pPr>
        <w:spacing w:before="240" w:after="240" w:line="360" w:lineRule="auto"/>
        <w:jc w:val="both"/>
        <w:rPr>
          <w:sz w:val="22"/>
          <w:szCs w:val="22"/>
        </w:rPr>
      </w:pPr>
      <w:r w:rsidRPr="7BB5E260">
        <w:rPr>
          <w:sz w:val="22"/>
          <w:szCs w:val="22"/>
        </w:rPr>
        <w:t>The NLCA ensures institutional accountability by measuring how effectively NHS Trusts adhere to NICE (2023) guidelines. The audit monitors KPIs, such as the timing of surgical interventions and access to specialist nursing support, ensuring that care quality is not dictated by geographical location.</w:t>
      </w:r>
    </w:p>
    <w:p w14:paraId="1107F211" w14:textId="133F040A" w:rsidR="00C46C16" w:rsidRDefault="628D65CF" w:rsidP="7BB5E260">
      <w:pPr>
        <w:spacing w:line="360" w:lineRule="auto"/>
        <w:jc w:val="both"/>
        <w:rPr>
          <w:b/>
          <w:bCs/>
          <w:sz w:val="22"/>
          <w:szCs w:val="22"/>
        </w:rPr>
      </w:pPr>
      <w:r w:rsidRPr="7BB5E260">
        <w:rPr>
          <w:b/>
          <w:bCs/>
          <w:sz w:val="22"/>
          <w:szCs w:val="22"/>
        </w:rPr>
        <w:t xml:space="preserve">2.2 Control of the Disease </w:t>
      </w:r>
    </w:p>
    <w:p w14:paraId="36F3E8CE" w14:textId="0EF45C53" w:rsidR="00C46C16" w:rsidRDefault="5FE8A07B" w:rsidP="7BB5E260">
      <w:pPr>
        <w:spacing w:before="240" w:after="240" w:line="360" w:lineRule="auto"/>
        <w:jc w:val="both"/>
        <w:rPr>
          <w:sz w:val="22"/>
          <w:szCs w:val="22"/>
        </w:rPr>
      </w:pPr>
      <w:r w:rsidRPr="7BB5E260">
        <w:rPr>
          <w:sz w:val="22"/>
          <w:szCs w:val="22"/>
        </w:rPr>
        <w:t xml:space="preserve"> </w:t>
      </w:r>
      <w:r w:rsidR="68FE4E62" w:rsidRPr="7BB5E260">
        <w:rPr>
          <w:sz w:val="22"/>
          <w:szCs w:val="22"/>
        </w:rPr>
        <w:t>Effective management of lung cancer incidence in the United Kingdom requires a multifaceted strategy that combines robust legislative intervention with comprehensive environmental and public health initiatives.</w:t>
      </w:r>
    </w:p>
    <w:p w14:paraId="741B5B40" w14:textId="2B467215" w:rsidR="00C46C16" w:rsidRDefault="5FE8A07B" w:rsidP="7BB5E260">
      <w:pPr>
        <w:spacing w:before="240" w:after="240" w:line="360" w:lineRule="auto"/>
        <w:jc w:val="both"/>
        <w:rPr>
          <w:b/>
          <w:bCs/>
          <w:sz w:val="22"/>
          <w:szCs w:val="22"/>
        </w:rPr>
      </w:pPr>
      <w:r w:rsidRPr="7BB5E260">
        <w:rPr>
          <w:b/>
          <w:bCs/>
          <w:sz w:val="22"/>
          <w:szCs w:val="22"/>
        </w:rPr>
        <w:t>Primary Prevention: Tobacco and Vapes Bill</w:t>
      </w:r>
    </w:p>
    <w:p w14:paraId="0ECB7EF9" w14:textId="5639E6E6" w:rsidR="00C46C16" w:rsidRDefault="1370C0CF" w:rsidP="7BB5E260">
      <w:pPr>
        <w:spacing w:before="240" w:after="240" w:line="360" w:lineRule="auto"/>
        <w:jc w:val="both"/>
        <w:rPr>
          <w:sz w:val="22"/>
          <w:szCs w:val="22"/>
        </w:rPr>
      </w:pPr>
      <w:r w:rsidRPr="7BB5E260">
        <w:rPr>
          <w:sz w:val="22"/>
          <w:szCs w:val="22"/>
        </w:rPr>
        <w:t>The UK Government identifies primary prevention as the most sustainable method for reducing the long-term cancer burden. A cornerstone of this approach is the Tobacco and Vapes Bill, a landmark piece of legislation designed to progressively eliminate smoking. By incrementally increasing the legal age for tobacco sales, the policy aims to ensure that children born today can never legally purchase cigarettes. This strategic move is intended to foster a "smokefree generation," serving as a decisive tool for lowering cancer incidence and reducing the strain on the NHS over the coming decades.</w:t>
      </w:r>
    </w:p>
    <w:p w14:paraId="38C1A488" w14:textId="71CAB418" w:rsidR="00C46C16" w:rsidRDefault="307FE056" w:rsidP="7BB5E260">
      <w:pPr>
        <w:spacing w:before="240" w:after="240" w:line="360" w:lineRule="auto"/>
        <w:jc w:val="both"/>
        <w:rPr>
          <w:sz w:val="22"/>
          <w:szCs w:val="22"/>
        </w:rPr>
      </w:pPr>
      <w:r w:rsidRPr="7BB5E260">
        <w:rPr>
          <w:b/>
          <w:bCs/>
          <w:sz w:val="22"/>
          <w:szCs w:val="22"/>
        </w:rPr>
        <w:t>Public Health Awareness: The "Help Us Help You" Campaign</w:t>
      </w:r>
      <w:r w:rsidR="5FE8A07B" w:rsidRPr="7BB5E260">
        <w:rPr>
          <w:sz w:val="22"/>
          <w:szCs w:val="22"/>
        </w:rPr>
        <w:t xml:space="preserve"> </w:t>
      </w:r>
    </w:p>
    <w:p w14:paraId="23FDBF50" w14:textId="242F6FB6" w:rsidR="00C46C16" w:rsidRDefault="2BEAC046" w:rsidP="7BB5E260">
      <w:pPr>
        <w:spacing w:before="240" w:after="240" w:line="360" w:lineRule="auto"/>
        <w:jc w:val="both"/>
        <w:rPr>
          <w:sz w:val="22"/>
          <w:szCs w:val="22"/>
        </w:rPr>
      </w:pPr>
      <w:r w:rsidRPr="7BB5E260">
        <w:rPr>
          <w:sz w:val="22"/>
          <w:szCs w:val="22"/>
        </w:rPr>
        <w:t>Early diagnosis is frequently hindered by a lack of symptom recognition or emotional barriers such as fear and denial. The "Help Us Help You" campaign is a critical public health initiative designed to address these challenges. By promoting awareness of key symptoms—</w:t>
      </w:r>
      <w:r w:rsidRPr="7BB5E260">
        <w:rPr>
          <w:sz w:val="22"/>
          <w:szCs w:val="22"/>
        </w:rPr>
        <w:lastRenderedPageBreak/>
        <w:t>specifically a persistent cough lasting over three weeks or breathlessness—the campaign encourages individuals to seek immediate consultation with a General Practitioner (GP). Strategic analysis suggests that such informational campaigns are vital for increasing early-stage clinical presentations, which directly correlates with higher success rates in subsequent curative treatments and screening programmes.</w:t>
      </w:r>
    </w:p>
    <w:p w14:paraId="70C4872A" w14:textId="7B0A4F63" w:rsidR="00C46C16" w:rsidRDefault="2BEAC046" w:rsidP="7BB5E260">
      <w:pPr>
        <w:spacing w:before="240" w:after="240" w:line="360" w:lineRule="auto"/>
        <w:jc w:val="both"/>
        <w:rPr>
          <w:b/>
          <w:bCs/>
          <w:sz w:val="22"/>
          <w:szCs w:val="22"/>
        </w:rPr>
      </w:pPr>
      <w:r w:rsidRPr="7BB5E260">
        <w:rPr>
          <w:b/>
          <w:bCs/>
          <w:sz w:val="22"/>
          <w:szCs w:val="22"/>
        </w:rPr>
        <w:t>Environmental Control and Radon Mitigation</w:t>
      </w:r>
    </w:p>
    <w:p w14:paraId="088B3F5A" w14:textId="51EAC9EC" w:rsidR="00C46C16" w:rsidRDefault="2BEAC046" w:rsidP="7BB5E260">
      <w:pPr>
        <w:spacing w:before="240" w:after="240" w:line="360" w:lineRule="auto"/>
        <w:jc w:val="both"/>
        <w:rPr>
          <w:sz w:val="22"/>
          <w:szCs w:val="22"/>
        </w:rPr>
      </w:pPr>
      <w:r w:rsidRPr="7BB5E260">
        <w:rPr>
          <w:sz w:val="22"/>
          <w:szCs w:val="22"/>
        </w:rPr>
        <w:t>While tobacco remains the leading risk factor, environmental carcinogens also play a significant role in disease prevalence. Clean Air Zones (CAZ) in major UK metropolitan areas target the reduction of nitrogen dioxide and particulate matter (PM2.5), which are known to contribute to lung tissue malignancy. Additionally, national safety strategies include the systematic monitoring of radioactive radon gas in residential properties. In designated high-risk geographic areas, radon mitigation is essential to reduce domestic exposure, forming a vital component of the UK’s broader preventative health framework.</w:t>
      </w:r>
    </w:p>
    <w:p w14:paraId="721C939D" w14:textId="6B736E81" w:rsidR="00C46C16" w:rsidRDefault="221ECA0A" w:rsidP="7BB5E260">
      <w:pPr>
        <w:spacing w:before="240" w:after="240" w:line="360" w:lineRule="auto"/>
        <w:jc w:val="both"/>
        <w:rPr>
          <w:sz w:val="22"/>
          <w:szCs w:val="22"/>
        </w:rPr>
      </w:pPr>
      <w:r w:rsidRPr="7BB5E260">
        <w:rPr>
          <w:b/>
          <w:bCs/>
          <w:sz w:val="22"/>
          <w:szCs w:val="22"/>
        </w:rPr>
        <w:t>2.3 Consequences for the Individual and the Community</w:t>
      </w:r>
      <w:r w:rsidRPr="7BB5E260">
        <w:rPr>
          <w:sz w:val="22"/>
          <w:szCs w:val="22"/>
        </w:rPr>
        <w:t xml:space="preserve"> </w:t>
      </w:r>
    </w:p>
    <w:p w14:paraId="4D7D2952" w14:textId="319A83C6" w:rsidR="00C46C16" w:rsidRDefault="6DB8BB86" w:rsidP="7BB5E260">
      <w:pPr>
        <w:spacing w:before="240" w:after="240" w:line="360" w:lineRule="auto"/>
        <w:jc w:val="both"/>
        <w:rPr>
          <w:sz w:val="22"/>
          <w:szCs w:val="22"/>
        </w:rPr>
      </w:pPr>
      <w:r w:rsidRPr="7BB5E260">
        <w:rPr>
          <w:sz w:val="22"/>
          <w:szCs w:val="22"/>
        </w:rPr>
        <w:t xml:space="preserve"> Lung cancer transcends its clinical definition, presenting a profound socio-economic crisis that affects both the individual patient and the broader community infrastructure.</w:t>
      </w:r>
    </w:p>
    <w:p w14:paraId="4FA792B0" w14:textId="3A4BF23E" w:rsidR="00C46C16" w:rsidRDefault="6DB8BB86" w:rsidP="7BB5E260">
      <w:pPr>
        <w:spacing w:before="240" w:after="240" w:line="360" w:lineRule="auto"/>
        <w:jc w:val="both"/>
        <w:rPr>
          <w:sz w:val="22"/>
          <w:szCs w:val="22"/>
        </w:rPr>
      </w:pPr>
      <w:r w:rsidRPr="7BB5E260">
        <w:rPr>
          <w:b/>
          <w:bCs/>
          <w:sz w:val="22"/>
          <w:szCs w:val="22"/>
        </w:rPr>
        <w:t xml:space="preserve"> Impact on the Individual: The Psychosocial Burden</w:t>
      </w:r>
      <w:r w:rsidRPr="7BB5E260">
        <w:rPr>
          <w:sz w:val="22"/>
          <w:szCs w:val="22"/>
        </w:rPr>
        <w:t xml:space="preserve"> </w:t>
      </w:r>
    </w:p>
    <w:p w14:paraId="35696C7A" w14:textId="2568FCB0" w:rsidR="00C46C16" w:rsidRDefault="6DB8BB86" w:rsidP="7BB5E260">
      <w:pPr>
        <w:spacing w:before="240" w:after="240" w:line="360" w:lineRule="auto"/>
        <w:jc w:val="both"/>
        <w:rPr>
          <w:sz w:val="22"/>
          <w:szCs w:val="22"/>
        </w:rPr>
      </w:pPr>
      <w:r w:rsidRPr="7BB5E260">
        <w:rPr>
          <w:sz w:val="22"/>
          <w:szCs w:val="22"/>
        </w:rPr>
        <w:t xml:space="preserve">Patients diagnosed with lung cancer often navigate a complex "double burden" where physical deterioration from the disease and its intensive therapies is compounded by severe psychological distress. As highlighted by Macmillan Cancer Support (2026), these individuals are disproportionately susceptible to depression compared to patients with other malignancies. This is largely driven by a pervasive social stigma—the misconception that the disease is a self-inflicted consequence of smoking. Such stigmatization creates significant emotional barriers, often discouraging patients from seeking timely medical intervention or participating in vital support groups. </w:t>
      </w:r>
    </w:p>
    <w:p w14:paraId="611A6191" w14:textId="1C977D7F" w:rsidR="00C46C16" w:rsidRDefault="6DB8BB86" w:rsidP="7BB5E260">
      <w:pPr>
        <w:spacing w:before="240" w:after="240" w:line="360" w:lineRule="auto"/>
        <w:jc w:val="both"/>
        <w:rPr>
          <w:sz w:val="22"/>
          <w:szCs w:val="22"/>
        </w:rPr>
      </w:pPr>
      <w:r w:rsidRPr="7BB5E260">
        <w:rPr>
          <w:b/>
          <w:bCs/>
          <w:sz w:val="22"/>
          <w:szCs w:val="22"/>
        </w:rPr>
        <w:t>The Family Burden: Role of Informal Carers</w:t>
      </w:r>
      <w:r w:rsidRPr="7BB5E260">
        <w:rPr>
          <w:sz w:val="22"/>
          <w:szCs w:val="22"/>
        </w:rPr>
        <w:t xml:space="preserve"> </w:t>
      </w:r>
    </w:p>
    <w:p w14:paraId="4130044E" w14:textId="6DAC938E" w:rsidR="00C46C16" w:rsidRDefault="6DB8BB86" w:rsidP="7BB5E260">
      <w:pPr>
        <w:spacing w:before="240" w:after="240" w:line="360" w:lineRule="auto"/>
        <w:jc w:val="both"/>
        <w:rPr>
          <w:sz w:val="22"/>
          <w:szCs w:val="22"/>
        </w:rPr>
      </w:pPr>
      <w:r w:rsidRPr="7BB5E260">
        <w:rPr>
          <w:sz w:val="22"/>
          <w:szCs w:val="22"/>
        </w:rPr>
        <w:t xml:space="preserve">The primary responsibility for long-term care typically falls upon relatives, who operate as "informal carers." According to Macmillan (2026) reports, this role leads to systemic challenges: </w:t>
      </w:r>
    </w:p>
    <w:p w14:paraId="24AB7CF3" w14:textId="4C3CBC61" w:rsidR="00C46C16" w:rsidRDefault="6DB8BB86" w:rsidP="7BB5E260">
      <w:pPr>
        <w:pStyle w:val="ListParagraph"/>
        <w:numPr>
          <w:ilvl w:val="0"/>
          <w:numId w:val="2"/>
        </w:numPr>
        <w:spacing w:before="240" w:after="240" w:line="360" w:lineRule="auto"/>
        <w:jc w:val="both"/>
        <w:rPr>
          <w:sz w:val="22"/>
          <w:szCs w:val="22"/>
        </w:rPr>
      </w:pPr>
      <w:r w:rsidRPr="7BB5E260">
        <w:rPr>
          <w:b/>
          <w:bCs/>
          <w:sz w:val="22"/>
          <w:szCs w:val="22"/>
        </w:rPr>
        <w:lastRenderedPageBreak/>
        <w:t xml:space="preserve">Financial Strain: </w:t>
      </w:r>
      <w:r w:rsidRPr="7BB5E260">
        <w:rPr>
          <w:sz w:val="22"/>
          <w:szCs w:val="22"/>
        </w:rPr>
        <w:t xml:space="preserve">Families face a sharp decline in household income as carers are frequently forced to reduce their working hours or leave employment entirely to provide necessary support. </w:t>
      </w:r>
    </w:p>
    <w:p w14:paraId="29DA1D3A" w14:textId="3DA53BB5" w:rsidR="00C46C16" w:rsidRDefault="6DB8BB86" w:rsidP="7BB5E260">
      <w:pPr>
        <w:pStyle w:val="ListParagraph"/>
        <w:numPr>
          <w:ilvl w:val="0"/>
          <w:numId w:val="2"/>
        </w:numPr>
        <w:spacing w:before="240" w:after="240" w:line="360" w:lineRule="auto"/>
        <w:jc w:val="both"/>
        <w:rPr>
          <w:sz w:val="22"/>
          <w:szCs w:val="22"/>
        </w:rPr>
      </w:pPr>
      <w:r w:rsidRPr="7BB5E260">
        <w:rPr>
          <w:b/>
          <w:bCs/>
          <w:sz w:val="22"/>
          <w:szCs w:val="22"/>
        </w:rPr>
        <w:t>Psychological Burnout:</w:t>
      </w:r>
      <w:r w:rsidRPr="7BB5E260">
        <w:rPr>
          <w:sz w:val="22"/>
          <w:szCs w:val="22"/>
        </w:rPr>
        <w:t xml:space="preserve"> Carers often mirror the patient’s anxiety and emotional trauma. However, they typically have significantly less access to formal clinical or emotional support services, leading to long-term health implications for the carer themselves. </w:t>
      </w:r>
    </w:p>
    <w:p w14:paraId="0E13EC78" w14:textId="611DD2EE" w:rsidR="00C46C16" w:rsidRDefault="6DB8BB86" w:rsidP="7BB5E260">
      <w:pPr>
        <w:spacing w:before="240" w:after="240" w:line="360" w:lineRule="auto"/>
        <w:jc w:val="both"/>
        <w:rPr>
          <w:b/>
          <w:bCs/>
          <w:sz w:val="22"/>
          <w:szCs w:val="22"/>
        </w:rPr>
      </w:pPr>
      <w:r w:rsidRPr="7BB5E260">
        <w:rPr>
          <w:b/>
          <w:bCs/>
          <w:sz w:val="22"/>
          <w:szCs w:val="22"/>
        </w:rPr>
        <w:t xml:space="preserve">Socio-Economic Cost to the Nation </w:t>
      </w:r>
    </w:p>
    <w:p w14:paraId="15CC6237" w14:textId="0A0A2052" w:rsidR="00C46C16" w:rsidRDefault="6DB8BB86" w:rsidP="7BB5E260">
      <w:pPr>
        <w:spacing w:before="240" w:after="240" w:line="360" w:lineRule="auto"/>
        <w:jc w:val="both"/>
        <w:rPr>
          <w:sz w:val="22"/>
          <w:szCs w:val="22"/>
        </w:rPr>
      </w:pPr>
      <w:r w:rsidRPr="7BB5E260">
        <w:rPr>
          <w:sz w:val="22"/>
          <w:szCs w:val="22"/>
        </w:rPr>
        <w:t>The economic impact on the NHS and the national economy is substantial. Late-stage diagnosis necessitates aggressive and costly interventions, including prolonged hospital stays and advanced immunotherapy treatments. Beyond direct healthcare expenditures, the UK suffers a significant loss in labour productivity due to the premature mortality of individuals within the working-age demographic. Consequently, preventive measures and early detection initiatives, such as the Targeted Lung Health Checks (TLHC), are not only clinical necessities but are economically justified investments that reduce the long-term fiscal burden on the state.</w:t>
      </w:r>
    </w:p>
    <w:p w14:paraId="694A2683" w14:textId="5F21EEC5" w:rsidR="638AAC6A" w:rsidRDefault="36F92DF2" w:rsidP="7BB5E260">
      <w:pPr>
        <w:spacing w:before="240" w:after="240" w:line="360" w:lineRule="auto"/>
        <w:jc w:val="both"/>
        <w:rPr>
          <w:sz w:val="22"/>
          <w:szCs w:val="22"/>
        </w:rPr>
      </w:pPr>
      <w:r w:rsidRPr="7BB5E260">
        <w:rPr>
          <w:b/>
          <w:bCs/>
          <w:sz w:val="22"/>
          <w:szCs w:val="22"/>
        </w:rPr>
        <w:t>2.4 Health and Social Care Support Services</w:t>
      </w:r>
      <w:r w:rsidRPr="7BB5E260">
        <w:rPr>
          <w:sz w:val="22"/>
          <w:szCs w:val="22"/>
        </w:rPr>
        <w:t xml:space="preserve"> A modern public health response to lung cancer is predicated on an integrated care model, characterized by seamless cross-sector collaboration between clinical teams and third-sector organizations.</w:t>
      </w:r>
    </w:p>
    <w:p w14:paraId="117A19AC" w14:textId="178159E8" w:rsidR="638AAC6A" w:rsidRDefault="36F92DF2" w:rsidP="7BB5E260">
      <w:pPr>
        <w:spacing w:before="240" w:after="240" w:line="360" w:lineRule="auto"/>
        <w:jc w:val="both"/>
        <w:rPr>
          <w:sz w:val="22"/>
          <w:szCs w:val="22"/>
        </w:rPr>
      </w:pPr>
      <w:r w:rsidRPr="7BB5E260">
        <w:rPr>
          <w:b/>
          <w:bCs/>
          <w:sz w:val="22"/>
          <w:szCs w:val="22"/>
        </w:rPr>
        <w:t xml:space="preserve"> Clinical Support: The Strategic Role of MDT and CNS</w:t>
      </w:r>
      <w:r w:rsidRPr="7BB5E260">
        <w:rPr>
          <w:sz w:val="22"/>
          <w:szCs w:val="22"/>
        </w:rPr>
        <w:t xml:space="preserve"> </w:t>
      </w:r>
    </w:p>
    <w:p w14:paraId="18CB07FD" w14:textId="56178A5B" w:rsidR="638AAC6A" w:rsidRDefault="36F92DF2" w:rsidP="7BB5E260">
      <w:pPr>
        <w:spacing w:before="240" w:after="240" w:line="360" w:lineRule="auto"/>
        <w:jc w:val="both"/>
        <w:rPr>
          <w:sz w:val="22"/>
          <w:szCs w:val="22"/>
        </w:rPr>
      </w:pPr>
      <w:r w:rsidRPr="7BB5E260">
        <w:rPr>
          <w:sz w:val="22"/>
          <w:szCs w:val="22"/>
        </w:rPr>
        <w:t xml:space="preserve">The NHS framework for lung cancer management is built upon the Multidisciplinary Team (MDT). This structure ensures that patient care is not determined by a single clinician but through a collective consensus of experts, including thoracic surgeons, clinical oncologists, radiologists, and pathologists. This holistic approach ensures that each patient receives a bespoke treatment plan aligned with the latest evidence-based protocols. Central to this coordination are Lung Cancer Clinical Nurse Specialists (CNS), who serve as the primary point of contact for the patient. The CNS role is multifaceted, encompassing clinical monitoring, psychological advocacy, and the complex task of navigating patients through the various stages of the diagnostic and therapeutic pathway. </w:t>
      </w:r>
    </w:p>
    <w:p w14:paraId="27627B98" w14:textId="599640EA" w:rsidR="638AAC6A" w:rsidRDefault="36F92DF2" w:rsidP="7BB5E260">
      <w:pPr>
        <w:spacing w:before="240" w:after="240" w:line="360" w:lineRule="auto"/>
        <w:jc w:val="both"/>
        <w:rPr>
          <w:sz w:val="22"/>
          <w:szCs w:val="22"/>
        </w:rPr>
      </w:pPr>
      <w:r w:rsidRPr="7BB5E260">
        <w:rPr>
          <w:b/>
          <w:bCs/>
          <w:sz w:val="22"/>
          <w:szCs w:val="22"/>
        </w:rPr>
        <w:t>Charitable Organisations: Bridging the Care Gap</w:t>
      </w:r>
      <w:r w:rsidRPr="7BB5E260">
        <w:rPr>
          <w:sz w:val="22"/>
          <w:szCs w:val="22"/>
        </w:rPr>
        <w:t xml:space="preserve"> </w:t>
      </w:r>
    </w:p>
    <w:p w14:paraId="0B07A812" w14:textId="24C19261" w:rsidR="638AAC6A" w:rsidRDefault="36F92DF2" w:rsidP="7BB5E260">
      <w:pPr>
        <w:spacing w:before="240" w:after="240" w:line="360" w:lineRule="auto"/>
        <w:jc w:val="both"/>
        <w:rPr>
          <w:sz w:val="22"/>
          <w:szCs w:val="22"/>
        </w:rPr>
      </w:pPr>
      <w:r w:rsidRPr="7BB5E260">
        <w:rPr>
          <w:sz w:val="22"/>
          <w:szCs w:val="22"/>
        </w:rPr>
        <w:t xml:space="preserve">The charitable sector provides indispensable services that extend beyond the clinical capabilities of the state system. </w:t>
      </w:r>
    </w:p>
    <w:p w14:paraId="498A98FA" w14:textId="489AFC97" w:rsidR="638AAC6A" w:rsidRDefault="36F92DF2" w:rsidP="7BB5E260">
      <w:pPr>
        <w:pStyle w:val="ListParagraph"/>
        <w:numPr>
          <w:ilvl w:val="0"/>
          <w:numId w:val="1"/>
        </w:numPr>
        <w:spacing w:before="240" w:after="240" w:line="360" w:lineRule="auto"/>
        <w:jc w:val="both"/>
        <w:rPr>
          <w:sz w:val="22"/>
          <w:szCs w:val="22"/>
        </w:rPr>
      </w:pPr>
      <w:r w:rsidRPr="7BB5E260">
        <w:rPr>
          <w:b/>
          <w:bCs/>
          <w:sz w:val="22"/>
          <w:szCs w:val="22"/>
        </w:rPr>
        <w:lastRenderedPageBreak/>
        <w:t xml:space="preserve">Macmillan Cancer Support: </w:t>
      </w:r>
      <w:r w:rsidRPr="7BB5E260">
        <w:rPr>
          <w:sz w:val="22"/>
          <w:szCs w:val="22"/>
        </w:rPr>
        <w:t xml:space="preserve">This organization addresses the socio-economic determinants of health by providing essential grants to patients facing acute financial hardship. Furthermore, their specialized helplines provide the emotional and informational support necessary to manage the anxiety associated with a chronic diagnosis. </w:t>
      </w:r>
    </w:p>
    <w:p w14:paraId="4CF004BE" w14:textId="3143A7B2" w:rsidR="638AAC6A" w:rsidRDefault="36F92DF2" w:rsidP="7BB5E260">
      <w:pPr>
        <w:pStyle w:val="ListParagraph"/>
        <w:numPr>
          <w:ilvl w:val="0"/>
          <w:numId w:val="1"/>
        </w:numPr>
        <w:spacing w:before="240" w:after="240" w:line="360" w:lineRule="auto"/>
        <w:jc w:val="both"/>
        <w:rPr>
          <w:sz w:val="22"/>
          <w:szCs w:val="22"/>
        </w:rPr>
      </w:pPr>
      <w:r w:rsidRPr="7BB5E260">
        <w:rPr>
          <w:b/>
          <w:bCs/>
          <w:sz w:val="22"/>
          <w:szCs w:val="22"/>
        </w:rPr>
        <w:t xml:space="preserve">Roy Castle Lung Cancer Foundation (2026): </w:t>
      </w:r>
      <w:r w:rsidRPr="7BB5E260">
        <w:rPr>
          <w:sz w:val="22"/>
          <w:szCs w:val="22"/>
        </w:rPr>
        <w:t xml:space="preserve">As the only UK charity dedicated exclusively to lung cancer, it plays a dual role: funding innovative research into early-stage detection and actively campaigning in Parliament for legislative reforms and patient rights. </w:t>
      </w:r>
    </w:p>
    <w:p w14:paraId="59CFDE97" w14:textId="5B5F3BF0" w:rsidR="638AAC6A" w:rsidRDefault="36F92DF2" w:rsidP="7BB5E260">
      <w:pPr>
        <w:spacing w:before="240" w:after="240" w:line="360" w:lineRule="auto"/>
        <w:jc w:val="both"/>
        <w:rPr>
          <w:sz w:val="22"/>
          <w:szCs w:val="22"/>
        </w:rPr>
      </w:pPr>
      <w:r w:rsidRPr="7BB5E260">
        <w:rPr>
          <w:b/>
          <w:bCs/>
          <w:sz w:val="22"/>
          <w:szCs w:val="22"/>
        </w:rPr>
        <w:t>Practical Steps for Professionals</w:t>
      </w:r>
      <w:r w:rsidRPr="7BB5E260">
        <w:rPr>
          <w:sz w:val="22"/>
          <w:szCs w:val="22"/>
        </w:rPr>
        <w:t xml:space="preserve"> </w:t>
      </w:r>
    </w:p>
    <w:p w14:paraId="6B6BCAA7" w14:textId="79C331AC" w:rsidR="638AAC6A" w:rsidRDefault="36F92DF2" w:rsidP="7BB5E260">
      <w:pPr>
        <w:spacing w:before="240" w:after="240" w:line="360" w:lineRule="auto"/>
        <w:jc w:val="both"/>
        <w:rPr>
          <w:sz w:val="22"/>
          <w:szCs w:val="22"/>
        </w:rPr>
      </w:pPr>
      <w:r w:rsidRPr="7BB5E260">
        <w:rPr>
          <w:sz w:val="22"/>
          <w:szCs w:val="22"/>
        </w:rPr>
        <w:t>Healthcare professionals must prioritize "person-centred" care. This necessitates the early integration of palliative care with active treatment and the provision of robust smoking cessation support, which remains clinically beneficial even after a diagnosis. Finally, ensuring equitable access to psychological counselling is vital for mitigating the long-term mental health consequences of the disease.</w:t>
      </w:r>
    </w:p>
    <w:p w14:paraId="19FFD835" w14:textId="046CC5A6" w:rsidR="2CD1BE83" w:rsidRDefault="28708DBC" w:rsidP="7BB5E260">
      <w:pPr>
        <w:spacing w:before="240" w:after="240" w:line="360" w:lineRule="auto"/>
        <w:jc w:val="both"/>
        <w:rPr>
          <w:b/>
          <w:bCs/>
          <w:sz w:val="22"/>
          <w:szCs w:val="22"/>
        </w:rPr>
      </w:pPr>
      <w:r w:rsidRPr="7BB5E260">
        <w:rPr>
          <w:b/>
          <w:bCs/>
          <w:sz w:val="22"/>
          <w:szCs w:val="22"/>
        </w:rPr>
        <w:t xml:space="preserve">3. Conclusion </w:t>
      </w:r>
    </w:p>
    <w:p w14:paraId="07C5516E" w14:textId="0F937495" w:rsidR="77F4F6D4" w:rsidRDefault="3DA77A67" w:rsidP="7BB5E260">
      <w:pPr>
        <w:spacing w:before="240" w:after="240" w:line="360" w:lineRule="auto"/>
        <w:jc w:val="both"/>
        <w:rPr>
          <w:sz w:val="22"/>
          <w:szCs w:val="22"/>
        </w:rPr>
      </w:pPr>
      <w:r w:rsidRPr="7BB5E260">
        <w:rPr>
          <w:sz w:val="22"/>
          <w:szCs w:val="22"/>
        </w:rPr>
        <w:t>In summary, lung cancer remains a critical public health priority in the United Kingdom, demanding a sophisticated and multi-dimensional response. This report has evaluated the strategic importance of high-resolution data provided by NCRAS and the life-saving potential of the Targeted Lung Health Checks (TLHC) in shifting diagnosis toward earlier, more treatable stages. Furthermore, legislative interventions such as the Tobacco and Vapes Bill represent essential long-term strategies for reducing disease incidence and fostering a "smokefree generation".</w:t>
      </w:r>
    </w:p>
    <w:p w14:paraId="0EEC24E5" w14:textId="18EA58AE" w:rsidR="00C46C16" w:rsidRDefault="3DA77A67" w:rsidP="7BB5E260">
      <w:pPr>
        <w:spacing w:before="240" w:after="240" w:line="360" w:lineRule="auto"/>
        <w:jc w:val="both"/>
      </w:pPr>
      <w:r w:rsidRPr="7BB5E260">
        <w:rPr>
          <w:sz w:val="22"/>
          <w:szCs w:val="22"/>
        </w:rPr>
        <w:t>However, addressing the clinical aspects of the disease is insufficient without recognizing the profound psychosocial and economic burden on individuals and their families. The integration of Multidisciplinary Teams (MDT) and the invaluable support from charitable organizations like Macmillan and Roy Castle ensure that care remains person-centred and holistic. Ultimately, the future of lung cancer management in the UK depends on sustained investment in early detection, stringent environmental regulations, and the continued dismantling of social stigmas to ensure equitable health outcomes for all citizens.</w:t>
      </w:r>
    </w:p>
    <w:p w14:paraId="6BE8B32B" w14:textId="77777777" w:rsidR="004648D3" w:rsidRDefault="004648D3" w:rsidP="7BB5E260">
      <w:pPr>
        <w:spacing w:before="240" w:after="240" w:line="360" w:lineRule="auto"/>
        <w:jc w:val="both"/>
        <w:rPr>
          <w:b/>
          <w:bCs/>
          <w:sz w:val="22"/>
          <w:szCs w:val="22"/>
        </w:rPr>
      </w:pPr>
    </w:p>
    <w:p w14:paraId="04C90B69" w14:textId="1B4CC9DC" w:rsidR="00C46C16" w:rsidRDefault="28708DBC" w:rsidP="7BB5E260">
      <w:pPr>
        <w:spacing w:before="240" w:after="240" w:line="360" w:lineRule="auto"/>
        <w:jc w:val="both"/>
        <w:rPr>
          <w:b/>
          <w:bCs/>
          <w:sz w:val="22"/>
          <w:szCs w:val="22"/>
        </w:rPr>
      </w:pPr>
      <w:r w:rsidRPr="7BB5E260">
        <w:rPr>
          <w:b/>
          <w:bCs/>
          <w:sz w:val="22"/>
          <w:szCs w:val="22"/>
        </w:rPr>
        <w:lastRenderedPageBreak/>
        <w:t>4. Reference List</w:t>
      </w:r>
      <w:r w:rsidR="53315E1F" w:rsidRPr="7BB5E260">
        <w:rPr>
          <w:b/>
          <w:bCs/>
          <w:sz w:val="22"/>
          <w:szCs w:val="22"/>
        </w:rPr>
        <w:t xml:space="preserve"> </w:t>
      </w:r>
    </w:p>
    <w:p w14:paraId="6481B6E7" w14:textId="26901923" w:rsidR="00C46C16" w:rsidRDefault="18DB82BB" w:rsidP="7BB5E260">
      <w:pPr>
        <w:spacing w:line="360" w:lineRule="auto"/>
        <w:rPr>
          <w:sz w:val="22"/>
          <w:szCs w:val="22"/>
        </w:rPr>
      </w:pPr>
      <w:r w:rsidRPr="7BB5E260">
        <w:rPr>
          <w:b/>
          <w:bCs/>
          <w:sz w:val="22"/>
          <w:szCs w:val="22"/>
        </w:rPr>
        <w:t>Bullen, C. (2024)</w:t>
      </w:r>
      <w:r w:rsidRPr="7BB5E260">
        <w:rPr>
          <w:sz w:val="22"/>
          <w:szCs w:val="22"/>
        </w:rPr>
        <w:t xml:space="preserve"> ‘The impact of the Tobacco and Vapes Bill on public health in the UK’, The Lancet Public Health, 9(2), pp. 115–122. Available at: </w:t>
      </w:r>
      <w:hyperlink r:id="rId8">
        <w:r w:rsidRPr="7BB5E260">
          <w:rPr>
            <w:sz w:val="22"/>
            <w:szCs w:val="22"/>
          </w:rPr>
          <w:t>https://www.thelancet.com</w:t>
        </w:r>
      </w:hyperlink>
      <w:r w:rsidRPr="7BB5E260">
        <w:rPr>
          <w:sz w:val="22"/>
          <w:szCs w:val="22"/>
        </w:rPr>
        <w:t xml:space="preserve"> (Accessed: 9 April 2026).</w:t>
      </w:r>
    </w:p>
    <w:p w14:paraId="313200F9" w14:textId="1942B079" w:rsidR="00C46C16" w:rsidRDefault="18DB82BB" w:rsidP="7BB5E260">
      <w:pPr>
        <w:spacing w:line="360" w:lineRule="auto"/>
        <w:rPr>
          <w:sz w:val="22"/>
          <w:szCs w:val="22"/>
        </w:rPr>
      </w:pPr>
      <w:r w:rsidRPr="7BB5E260">
        <w:rPr>
          <w:b/>
          <w:bCs/>
          <w:sz w:val="22"/>
          <w:szCs w:val="22"/>
        </w:rPr>
        <w:t>Cancer Research UK (2024)</w:t>
      </w:r>
      <w:r w:rsidRPr="7BB5E260">
        <w:rPr>
          <w:sz w:val="22"/>
          <w:szCs w:val="22"/>
        </w:rPr>
        <w:t xml:space="preserve"> Lung cancer statistics. Available at: </w:t>
      </w:r>
      <w:hyperlink r:id="rId9">
        <w:r w:rsidRPr="7BB5E260">
          <w:rPr>
            <w:sz w:val="22"/>
            <w:szCs w:val="22"/>
          </w:rPr>
          <w:t>https://www.cancerresearchuk.org/health-professional/cancer-statistics/statistics-by-cancer-type/lung-cancer</w:t>
        </w:r>
      </w:hyperlink>
      <w:r w:rsidRPr="7BB5E260">
        <w:rPr>
          <w:sz w:val="22"/>
          <w:szCs w:val="22"/>
        </w:rPr>
        <w:t xml:space="preserve"> (Accessed: 9 April 2026).</w:t>
      </w:r>
    </w:p>
    <w:p w14:paraId="66061EFA" w14:textId="7E0AE47B" w:rsidR="00C46C16" w:rsidRDefault="18DB82BB" w:rsidP="7BB5E260">
      <w:pPr>
        <w:spacing w:line="360" w:lineRule="auto"/>
        <w:rPr>
          <w:sz w:val="22"/>
          <w:szCs w:val="22"/>
        </w:rPr>
      </w:pPr>
      <w:r w:rsidRPr="7BB5E260">
        <w:rPr>
          <w:b/>
          <w:bCs/>
          <w:sz w:val="22"/>
          <w:szCs w:val="22"/>
        </w:rPr>
        <w:t xml:space="preserve">Field, J.K. and Duffy, S.W. (2025) </w:t>
      </w:r>
      <w:r w:rsidRPr="7BB5E260">
        <w:rPr>
          <w:sz w:val="22"/>
          <w:szCs w:val="22"/>
        </w:rPr>
        <w:t xml:space="preserve">‘Advancements in the Targeted Lung Health Check (TLHC) programme: a review of early detection outcomes’, British Journal of Cancer, 132(4), pp. 410–418. Available at: </w:t>
      </w:r>
      <w:hyperlink r:id="rId10">
        <w:r w:rsidRPr="7BB5E260">
          <w:rPr>
            <w:sz w:val="22"/>
            <w:szCs w:val="22"/>
          </w:rPr>
          <w:t>https://www.nature.com/bjc</w:t>
        </w:r>
      </w:hyperlink>
      <w:r w:rsidRPr="7BB5E260">
        <w:rPr>
          <w:sz w:val="22"/>
          <w:szCs w:val="22"/>
        </w:rPr>
        <w:t xml:space="preserve"> (Accessed: 9 April 2026).</w:t>
      </w:r>
    </w:p>
    <w:p w14:paraId="2063286D" w14:textId="526E256D" w:rsidR="00C46C16" w:rsidRDefault="18DB82BB" w:rsidP="7BB5E260">
      <w:pPr>
        <w:spacing w:line="360" w:lineRule="auto"/>
        <w:rPr>
          <w:sz w:val="22"/>
          <w:szCs w:val="22"/>
        </w:rPr>
      </w:pPr>
      <w:r w:rsidRPr="7BB5E260">
        <w:rPr>
          <w:b/>
          <w:bCs/>
          <w:sz w:val="22"/>
          <w:szCs w:val="22"/>
        </w:rPr>
        <w:t>Macmillan Cancer Support (2026)</w:t>
      </w:r>
      <w:r w:rsidRPr="7BB5E260">
        <w:rPr>
          <w:sz w:val="22"/>
          <w:szCs w:val="22"/>
        </w:rPr>
        <w:t xml:space="preserve"> Emotional and financial impact of lung cancer. London: Macmillan Cancer Support. Available at: </w:t>
      </w:r>
      <w:hyperlink r:id="rId11">
        <w:r w:rsidRPr="7BB5E260">
          <w:rPr>
            <w:sz w:val="22"/>
            <w:szCs w:val="22"/>
          </w:rPr>
          <w:t>https://www.macmillan.org.uk</w:t>
        </w:r>
      </w:hyperlink>
      <w:r w:rsidRPr="7BB5E260">
        <w:rPr>
          <w:sz w:val="22"/>
          <w:szCs w:val="22"/>
        </w:rPr>
        <w:t xml:space="preserve"> (Accessed: 9 April 2026).</w:t>
      </w:r>
    </w:p>
    <w:p w14:paraId="04CECE1B" w14:textId="69C66805" w:rsidR="00C46C16" w:rsidRDefault="18DB82BB" w:rsidP="7BB5E260">
      <w:pPr>
        <w:spacing w:line="360" w:lineRule="auto"/>
        <w:rPr>
          <w:sz w:val="22"/>
          <w:szCs w:val="22"/>
        </w:rPr>
      </w:pPr>
      <w:r w:rsidRPr="7BB5E260">
        <w:rPr>
          <w:b/>
          <w:bCs/>
          <w:sz w:val="22"/>
          <w:szCs w:val="22"/>
        </w:rPr>
        <w:t>National Institute for Health and Care Excellence (NICE) (2023)</w:t>
      </w:r>
      <w:r w:rsidRPr="7BB5E260">
        <w:rPr>
          <w:sz w:val="22"/>
          <w:szCs w:val="22"/>
        </w:rPr>
        <w:t xml:space="preserve"> Lung cancer: diagnosis and management (NICE Guideline NG122). London: NICE. Available at: </w:t>
      </w:r>
      <w:hyperlink r:id="rId12">
        <w:r w:rsidRPr="7BB5E260">
          <w:rPr>
            <w:sz w:val="22"/>
            <w:szCs w:val="22"/>
          </w:rPr>
          <w:t>https://www.nice.org.uk/guidance/ng122</w:t>
        </w:r>
      </w:hyperlink>
      <w:r w:rsidRPr="7BB5E260">
        <w:rPr>
          <w:sz w:val="22"/>
          <w:szCs w:val="22"/>
        </w:rPr>
        <w:t xml:space="preserve"> (Accessed: 9 April 2026).</w:t>
      </w:r>
    </w:p>
    <w:p w14:paraId="34899A16" w14:textId="1543E1B9" w:rsidR="00C46C16" w:rsidRDefault="18DB82BB" w:rsidP="7BB5E260">
      <w:pPr>
        <w:spacing w:line="360" w:lineRule="auto"/>
        <w:rPr>
          <w:sz w:val="22"/>
          <w:szCs w:val="22"/>
        </w:rPr>
      </w:pPr>
      <w:r w:rsidRPr="7BB5E260">
        <w:rPr>
          <w:b/>
          <w:bCs/>
          <w:sz w:val="22"/>
          <w:szCs w:val="22"/>
        </w:rPr>
        <w:t>NHS England (2026)</w:t>
      </w:r>
      <w:r w:rsidRPr="7BB5E260">
        <w:rPr>
          <w:sz w:val="22"/>
          <w:szCs w:val="22"/>
        </w:rPr>
        <w:t xml:space="preserve"> The National Cancer Plan: A new era of care. London: Department of Health and Social Care. Available at: </w:t>
      </w:r>
      <w:hyperlink r:id="rId13">
        <w:r w:rsidRPr="7BB5E260">
          <w:rPr>
            <w:sz w:val="22"/>
            <w:szCs w:val="22"/>
          </w:rPr>
          <w:t>https://www.england.nhs.uk/cancer/</w:t>
        </w:r>
      </w:hyperlink>
      <w:r w:rsidRPr="7BB5E260">
        <w:rPr>
          <w:sz w:val="22"/>
          <w:szCs w:val="22"/>
        </w:rPr>
        <w:t xml:space="preserve"> (Accessed: 9 April 2026).</w:t>
      </w:r>
    </w:p>
    <w:p w14:paraId="384AAE07" w14:textId="36DCB7FD" w:rsidR="00C46C16" w:rsidRDefault="18DB82BB" w:rsidP="7BB5E260">
      <w:pPr>
        <w:spacing w:line="360" w:lineRule="auto"/>
        <w:rPr>
          <w:sz w:val="22"/>
          <w:szCs w:val="22"/>
        </w:rPr>
      </w:pPr>
      <w:r w:rsidRPr="7BB5E260">
        <w:rPr>
          <w:b/>
          <w:bCs/>
          <w:sz w:val="22"/>
          <w:szCs w:val="22"/>
        </w:rPr>
        <w:t>Office for National Statistics (ONS) (2025)</w:t>
      </w:r>
      <w:r w:rsidRPr="7BB5E260">
        <w:rPr>
          <w:sz w:val="22"/>
          <w:szCs w:val="22"/>
        </w:rPr>
        <w:t xml:space="preserve"> Cancer survival in England: patients followed up to 2025. Newport: ONS. Available at: </w:t>
      </w:r>
      <w:hyperlink r:id="rId14">
        <w:r w:rsidRPr="7BB5E260">
          <w:rPr>
            <w:sz w:val="22"/>
            <w:szCs w:val="22"/>
          </w:rPr>
          <w:t>https://www.ons.gov.uk</w:t>
        </w:r>
      </w:hyperlink>
      <w:r w:rsidRPr="7BB5E260">
        <w:rPr>
          <w:sz w:val="22"/>
          <w:szCs w:val="22"/>
        </w:rPr>
        <w:t xml:space="preserve"> (Accessed: 9 April 2026).</w:t>
      </w:r>
    </w:p>
    <w:p w14:paraId="5E5787A5" w14:textId="7A973951" w:rsidR="00C46C16" w:rsidRDefault="18DB82BB" w:rsidP="7BB5E260">
      <w:pPr>
        <w:spacing w:line="360" w:lineRule="auto"/>
      </w:pPr>
      <w:r w:rsidRPr="7BB5E260">
        <w:rPr>
          <w:b/>
          <w:bCs/>
          <w:sz w:val="22"/>
          <w:szCs w:val="22"/>
        </w:rPr>
        <w:t>Roy Castle Lung Cancer Foundation (2026)</w:t>
      </w:r>
      <w:r w:rsidRPr="7BB5E260">
        <w:rPr>
          <w:sz w:val="22"/>
          <w:szCs w:val="22"/>
        </w:rPr>
        <w:t xml:space="preserve"> Supporting patients in the community and research updates. Liverpool: Roy Castle Lung Cancer Foundation. Available at: https://roycastle.org (Accessed: 9 April 2026).</w:t>
      </w:r>
    </w:p>
    <w:sectPr w:rsidR="00C46C16">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1E977D" w14:textId="77777777" w:rsidR="00590364" w:rsidRDefault="00590364">
      <w:pPr>
        <w:spacing w:after="0" w:line="240" w:lineRule="auto"/>
      </w:pPr>
      <w:r>
        <w:separator/>
      </w:r>
    </w:p>
  </w:endnote>
  <w:endnote w:type="continuationSeparator" w:id="0">
    <w:p w14:paraId="3940E0FF" w14:textId="77777777" w:rsidR="00590364" w:rsidRDefault="005903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BB5E260" w14:paraId="079101D3" w14:textId="77777777" w:rsidTr="7BB5E260">
      <w:trPr>
        <w:trHeight w:val="300"/>
      </w:trPr>
      <w:tc>
        <w:tcPr>
          <w:tcW w:w="3005" w:type="dxa"/>
        </w:tcPr>
        <w:p w14:paraId="1A911E42" w14:textId="7D31F023" w:rsidR="7BB5E260" w:rsidRDefault="7BB5E260" w:rsidP="7BB5E260">
          <w:pPr>
            <w:pStyle w:val="Header"/>
            <w:ind w:left="-115"/>
          </w:pPr>
        </w:p>
      </w:tc>
      <w:tc>
        <w:tcPr>
          <w:tcW w:w="3005" w:type="dxa"/>
        </w:tcPr>
        <w:p w14:paraId="2AA4BCB8" w14:textId="4AE1D355" w:rsidR="7BB5E260" w:rsidRDefault="7BB5E260" w:rsidP="7BB5E260">
          <w:pPr>
            <w:pStyle w:val="Header"/>
            <w:jc w:val="center"/>
          </w:pPr>
          <w:r>
            <w:fldChar w:fldCharType="begin"/>
          </w:r>
          <w:r>
            <w:instrText>PAGE</w:instrText>
          </w:r>
          <w:r>
            <w:fldChar w:fldCharType="separate"/>
          </w:r>
          <w:r w:rsidR="00F02D41">
            <w:rPr>
              <w:noProof/>
            </w:rPr>
            <w:t>1</w:t>
          </w:r>
          <w:r>
            <w:fldChar w:fldCharType="end"/>
          </w:r>
        </w:p>
      </w:tc>
      <w:tc>
        <w:tcPr>
          <w:tcW w:w="3005" w:type="dxa"/>
        </w:tcPr>
        <w:p w14:paraId="35735743" w14:textId="001FA842" w:rsidR="7BB5E260" w:rsidRDefault="7BB5E260" w:rsidP="7BB5E260">
          <w:pPr>
            <w:pStyle w:val="Header"/>
            <w:ind w:right="-115"/>
            <w:jc w:val="right"/>
          </w:pPr>
        </w:p>
      </w:tc>
    </w:tr>
  </w:tbl>
  <w:p w14:paraId="22A192F6" w14:textId="0F6E7015" w:rsidR="7BB5E260" w:rsidRDefault="7BB5E260" w:rsidP="7BB5E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93E56" w14:textId="77777777" w:rsidR="00590364" w:rsidRDefault="00590364">
      <w:pPr>
        <w:spacing w:after="0" w:line="240" w:lineRule="auto"/>
      </w:pPr>
      <w:r>
        <w:separator/>
      </w:r>
    </w:p>
  </w:footnote>
  <w:footnote w:type="continuationSeparator" w:id="0">
    <w:p w14:paraId="0CF1A13E" w14:textId="77777777" w:rsidR="00590364" w:rsidRDefault="005903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BB5E260" w14:paraId="5F9669D1" w14:textId="77777777" w:rsidTr="7BB5E260">
      <w:trPr>
        <w:trHeight w:val="300"/>
      </w:trPr>
      <w:tc>
        <w:tcPr>
          <w:tcW w:w="3005" w:type="dxa"/>
        </w:tcPr>
        <w:p w14:paraId="1A765C3A" w14:textId="000DE70B" w:rsidR="7BB5E260" w:rsidRDefault="7BB5E260" w:rsidP="7BB5E260">
          <w:pPr>
            <w:pStyle w:val="Header"/>
            <w:ind w:left="-115"/>
          </w:pPr>
        </w:p>
      </w:tc>
      <w:tc>
        <w:tcPr>
          <w:tcW w:w="3005" w:type="dxa"/>
        </w:tcPr>
        <w:p w14:paraId="4568BDA0" w14:textId="3A086A1C" w:rsidR="7BB5E260" w:rsidRDefault="7BB5E260" w:rsidP="7BB5E260">
          <w:pPr>
            <w:pStyle w:val="Header"/>
            <w:jc w:val="center"/>
          </w:pPr>
        </w:p>
      </w:tc>
      <w:tc>
        <w:tcPr>
          <w:tcW w:w="3005" w:type="dxa"/>
        </w:tcPr>
        <w:p w14:paraId="4118025A" w14:textId="714359EF" w:rsidR="7BB5E260" w:rsidRDefault="7BB5E260" w:rsidP="7BB5E260">
          <w:pPr>
            <w:pStyle w:val="Header"/>
            <w:ind w:right="-115"/>
            <w:jc w:val="right"/>
          </w:pPr>
        </w:p>
      </w:tc>
    </w:tr>
  </w:tbl>
  <w:p w14:paraId="2EDF4872" w14:textId="63421E55" w:rsidR="7BB5E260" w:rsidRDefault="7BB5E260" w:rsidP="7BB5E2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F0DEE9"/>
    <w:multiLevelType w:val="hybridMultilevel"/>
    <w:tmpl w:val="4B3EFE24"/>
    <w:lvl w:ilvl="0" w:tplc="6400CDA4">
      <w:start w:val="1"/>
      <w:numFmt w:val="bullet"/>
      <w:lvlText w:val=""/>
      <w:lvlJc w:val="left"/>
      <w:pPr>
        <w:ind w:left="720" w:hanging="360"/>
      </w:pPr>
      <w:rPr>
        <w:rFonts w:ascii="Symbol" w:hAnsi="Symbol" w:hint="default"/>
      </w:rPr>
    </w:lvl>
    <w:lvl w:ilvl="1" w:tplc="936624DE">
      <w:start w:val="1"/>
      <w:numFmt w:val="bullet"/>
      <w:lvlText w:val="o"/>
      <w:lvlJc w:val="left"/>
      <w:pPr>
        <w:ind w:left="1440" w:hanging="360"/>
      </w:pPr>
      <w:rPr>
        <w:rFonts w:ascii="Courier New" w:hAnsi="Courier New" w:hint="default"/>
      </w:rPr>
    </w:lvl>
    <w:lvl w:ilvl="2" w:tplc="E2A2F00C">
      <w:start w:val="1"/>
      <w:numFmt w:val="bullet"/>
      <w:lvlText w:val=""/>
      <w:lvlJc w:val="left"/>
      <w:pPr>
        <w:ind w:left="2160" w:hanging="360"/>
      </w:pPr>
      <w:rPr>
        <w:rFonts w:ascii="Wingdings" w:hAnsi="Wingdings" w:hint="default"/>
      </w:rPr>
    </w:lvl>
    <w:lvl w:ilvl="3" w:tplc="90325148">
      <w:start w:val="1"/>
      <w:numFmt w:val="bullet"/>
      <w:lvlText w:val=""/>
      <w:lvlJc w:val="left"/>
      <w:pPr>
        <w:ind w:left="2880" w:hanging="360"/>
      </w:pPr>
      <w:rPr>
        <w:rFonts w:ascii="Symbol" w:hAnsi="Symbol" w:hint="default"/>
      </w:rPr>
    </w:lvl>
    <w:lvl w:ilvl="4" w:tplc="9E42EB60">
      <w:start w:val="1"/>
      <w:numFmt w:val="bullet"/>
      <w:lvlText w:val="o"/>
      <w:lvlJc w:val="left"/>
      <w:pPr>
        <w:ind w:left="3600" w:hanging="360"/>
      </w:pPr>
      <w:rPr>
        <w:rFonts w:ascii="Courier New" w:hAnsi="Courier New" w:hint="default"/>
      </w:rPr>
    </w:lvl>
    <w:lvl w:ilvl="5" w:tplc="4EC89EDE">
      <w:start w:val="1"/>
      <w:numFmt w:val="bullet"/>
      <w:lvlText w:val=""/>
      <w:lvlJc w:val="left"/>
      <w:pPr>
        <w:ind w:left="4320" w:hanging="360"/>
      </w:pPr>
      <w:rPr>
        <w:rFonts w:ascii="Wingdings" w:hAnsi="Wingdings" w:hint="default"/>
      </w:rPr>
    </w:lvl>
    <w:lvl w:ilvl="6" w:tplc="5CCEAACE">
      <w:start w:val="1"/>
      <w:numFmt w:val="bullet"/>
      <w:lvlText w:val=""/>
      <w:lvlJc w:val="left"/>
      <w:pPr>
        <w:ind w:left="5040" w:hanging="360"/>
      </w:pPr>
      <w:rPr>
        <w:rFonts w:ascii="Symbol" w:hAnsi="Symbol" w:hint="default"/>
      </w:rPr>
    </w:lvl>
    <w:lvl w:ilvl="7" w:tplc="3440E394">
      <w:start w:val="1"/>
      <w:numFmt w:val="bullet"/>
      <w:lvlText w:val="o"/>
      <w:lvlJc w:val="left"/>
      <w:pPr>
        <w:ind w:left="5760" w:hanging="360"/>
      </w:pPr>
      <w:rPr>
        <w:rFonts w:ascii="Courier New" w:hAnsi="Courier New" w:hint="default"/>
      </w:rPr>
    </w:lvl>
    <w:lvl w:ilvl="8" w:tplc="534C0BE0">
      <w:start w:val="1"/>
      <w:numFmt w:val="bullet"/>
      <w:lvlText w:val=""/>
      <w:lvlJc w:val="left"/>
      <w:pPr>
        <w:ind w:left="6480" w:hanging="360"/>
      </w:pPr>
      <w:rPr>
        <w:rFonts w:ascii="Wingdings" w:hAnsi="Wingdings" w:hint="default"/>
      </w:rPr>
    </w:lvl>
  </w:abstractNum>
  <w:abstractNum w:abstractNumId="1" w15:restartNumberingAfterBreak="0">
    <w:nsid w:val="18A78B25"/>
    <w:multiLevelType w:val="hybridMultilevel"/>
    <w:tmpl w:val="0FD49766"/>
    <w:lvl w:ilvl="0" w:tplc="A1083B1A">
      <w:start w:val="1"/>
      <w:numFmt w:val="bullet"/>
      <w:lvlText w:val=""/>
      <w:lvlJc w:val="left"/>
      <w:pPr>
        <w:ind w:left="720" w:hanging="360"/>
      </w:pPr>
      <w:rPr>
        <w:rFonts w:ascii="Symbol" w:hAnsi="Symbol" w:hint="default"/>
      </w:rPr>
    </w:lvl>
    <w:lvl w:ilvl="1" w:tplc="A4F032B0">
      <w:start w:val="1"/>
      <w:numFmt w:val="bullet"/>
      <w:lvlText w:val="o"/>
      <w:lvlJc w:val="left"/>
      <w:pPr>
        <w:ind w:left="1440" w:hanging="360"/>
      </w:pPr>
      <w:rPr>
        <w:rFonts w:ascii="Courier New" w:hAnsi="Courier New" w:hint="default"/>
      </w:rPr>
    </w:lvl>
    <w:lvl w:ilvl="2" w:tplc="D51C1B1E">
      <w:start w:val="1"/>
      <w:numFmt w:val="bullet"/>
      <w:lvlText w:val=""/>
      <w:lvlJc w:val="left"/>
      <w:pPr>
        <w:ind w:left="2160" w:hanging="360"/>
      </w:pPr>
      <w:rPr>
        <w:rFonts w:ascii="Wingdings" w:hAnsi="Wingdings" w:hint="default"/>
      </w:rPr>
    </w:lvl>
    <w:lvl w:ilvl="3" w:tplc="8E8894FE">
      <w:start w:val="1"/>
      <w:numFmt w:val="bullet"/>
      <w:lvlText w:val=""/>
      <w:lvlJc w:val="left"/>
      <w:pPr>
        <w:ind w:left="2880" w:hanging="360"/>
      </w:pPr>
      <w:rPr>
        <w:rFonts w:ascii="Symbol" w:hAnsi="Symbol" w:hint="default"/>
      </w:rPr>
    </w:lvl>
    <w:lvl w:ilvl="4" w:tplc="454E4466">
      <w:start w:val="1"/>
      <w:numFmt w:val="bullet"/>
      <w:lvlText w:val="o"/>
      <w:lvlJc w:val="left"/>
      <w:pPr>
        <w:ind w:left="3600" w:hanging="360"/>
      </w:pPr>
      <w:rPr>
        <w:rFonts w:ascii="Courier New" w:hAnsi="Courier New" w:hint="default"/>
      </w:rPr>
    </w:lvl>
    <w:lvl w:ilvl="5" w:tplc="5F2EDE72">
      <w:start w:val="1"/>
      <w:numFmt w:val="bullet"/>
      <w:lvlText w:val=""/>
      <w:lvlJc w:val="left"/>
      <w:pPr>
        <w:ind w:left="4320" w:hanging="360"/>
      </w:pPr>
      <w:rPr>
        <w:rFonts w:ascii="Wingdings" w:hAnsi="Wingdings" w:hint="default"/>
      </w:rPr>
    </w:lvl>
    <w:lvl w:ilvl="6" w:tplc="7B9EE6A4">
      <w:start w:val="1"/>
      <w:numFmt w:val="bullet"/>
      <w:lvlText w:val=""/>
      <w:lvlJc w:val="left"/>
      <w:pPr>
        <w:ind w:left="5040" w:hanging="360"/>
      </w:pPr>
      <w:rPr>
        <w:rFonts w:ascii="Symbol" w:hAnsi="Symbol" w:hint="default"/>
      </w:rPr>
    </w:lvl>
    <w:lvl w:ilvl="7" w:tplc="D83C0BE6">
      <w:start w:val="1"/>
      <w:numFmt w:val="bullet"/>
      <w:lvlText w:val="o"/>
      <w:lvlJc w:val="left"/>
      <w:pPr>
        <w:ind w:left="5760" w:hanging="360"/>
      </w:pPr>
      <w:rPr>
        <w:rFonts w:ascii="Courier New" w:hAnsi="Courier New" w:hint="default"/>
      </w:rPr>
    </w:lvl>
    <w:lvl w:ilvl="8" w:tplc="C5A84266">
      <w:start w:val="1"/>
      <w:numFmt w:val="bullet"/>
      <w:lvlText w:val=""/>
      <w:lvlJc w:val="left"/>
      <w:pPr>
        <w:ind w:left="6480" w:hanging="360"/>
      </w:pPr>
      <w:rPr>
        <w:rFonts w:ascii="Wingdings" w:hAnsi="Wingdings" w:hint="default"/>
      </w:rPr>
    </w:lvl>
  </w:abstractNum>
  <w:abstractNum w:abstractNumId="2" w15:restartNumberingAfterBreak="0">
    <w:nsid w:val="1D413E08"/>
    <w:multiLevelType w:val="hybridMultilevel"/>
    <w:tmpl w:val="2A42ACEA"/>
    <w:lvl w:ilvl="0" w:tplc="F8B87356">
      <w:start w:val="1"/>
      <w:numFmt w:val="bullet"/>
      <w:lvlText w:val=""/>
      <w:lvlJc w:val="left"/>
      <w:pPr>
        <w:ind w:left="720" w:hanging="360"/>
      </w:pPr>
      <w:rPr>
        <w:rFonts w:ascii="Symbol" w:hAnsi="Symbol" w:hint="default"/>
      </w:rPr>
    </w:lvl>
    <w:lvl w:ilvl="1" w:tplc="301E37B0">
      <w:start w:val="1"/>
      <w:numFmt w:val="bullet"/>
      <w:lvlText w:val="o"/>
      <w:lvlJc w:val="left"/>
      <w:pPr>
        <w:ind w:left="1440" w:hanging="360"/>
      </w:pPr>
      <w:rPr>
        <w:rFonts w:ascii="Courier New" w:hAnsi="Courier New" w:hint="default"/>
      </w:rPr>
    </w:lvl>
    <w:lvl w:ilvl="2" w:tplc="E1E84460">
      <w:start w:val="1"/>
      <w:numFmt w:val="bullet"/>
      <w:lvlText w:val=""/>
      <w:lvlJc w:val="left"/>
      <w:pPr>
        <w:ind w:left="2160" w:hanging="360"/>
      </w:pPr>
      <w:rPr>
        <w:rFonts w:ascii="Wingdings" w:hAnsi="Wingdings" w:hint="default"/>
      </w:rPr>
    </w:lvl>
    <w:lvl w:ilvl="3" w:tplc="6CB4CA5A">
      <w:start w:val="1"/>
      <w:numFmt w:val="bullet"/>
      <w:lvlText w:val=""/>
      <w:lvlJc w:val="left"/>
      <w:pPr>
        <w:ind w:left="2880" w:hanging="360"/>
      </w:pPr>
      <w:rPr>
        <w:rFonts w:ascii="Symbol" w:hAnsi="Symbol" w:hint="default"/>
      </w:rPr>
    </w:lvl>
    <w:lvl w:ilvl="4" w:tplc="98207324">
      <w:start w:val="1"/>
      <w:numFmt w:val="bullet"/>
      <w:lvlText w:val="o"/>
      <w:lvlJc w:val="left"/>
      <w:pPr>
        <w:ind w:left="3600" w:hanging="360"/>
      </w:pPr>
      <w:rPr>
        <w:rFonts w:ascii="Courier New" w:hAnsi="Courier New" w:hint="default"/>
      </w:rPr>
    </w:lvl>
    <w:lvl w:ilvl="5" w:tplc="8F70487C">
      <w:start w:val="1"/>
      <w:numFmt w:val="bullet"/>
      <w:lvlText w:val=""/>
      <w:lvlJc w:val="left"/>
      <w:pPr>
        <w:ind w:left="4320" w:hanging="360"/>
      </w:pPr>
      <w:rPr>
        <w:rFonts w:ascii="Wingdings" w:hAnsi="Wingdings" w:hint="default"/>
      </w:rPr>
    </w:lvl>
    <w:lvl w:ilvl="6" w:tplc="3DB01A68">
      <w:start w:val="1"/>
      <w:numFmt w:val="bullet"/>
      <w:lvlText w:val=""/>
      <w:lvlJc w:val="left"/>
      <w:pPr>
        <w:ind w:left="5040" w:hanging="360"/>
      </w:pPr>
      <w:rPr>
        <w:rFonts w:ascii="Symbol" w:hAnsi="Symbol" w:hint="default"/>
      </w:rPr>
    </w:lvl>
    <w:lvl w:ilvl="7" w:tplc="6ADA86A8">
      <w:start w:val="1"/>
      <w:numFmt w:val="bullet"/>
      <w:lvlText w:val="o"/>
      <w:lvlJc w:val="left"/>
      <w:pPr>
        <w:ind w:left="5760" w:hanging="360"/>
      </w:pPr>
      <w:rPr>
        <w:rFonts w:ascii="Courier New" w:hAnsi="Courier New" w:hint="default"/>
      </w:rPr>
    </w:lvl>
    <w:lvl w:ilvl="8" w:tplc="834EE24A">
      <w:start w:val="1"/>
      <w:numFmt w:val="bullet"/>
      <w:lvlText w:val=""/>
      <w:lvlJc w:val="left"/>
      <w:pPr>
        <w:ind w:left="6480" w:hanging="360"/>
      </w:pPr>
      <w:rPr>
        <w:rFonts w:ascii="Wingdings" w:hAnsi="Wingdings" w:hint="default"/>
      </w:rPr>
    </w:lvl>
  </w:abstractNum>
  <w:abstractNum w:abstractNumId="3" w15:restartNumberingAfterBreak="0">
    <w:nsid w:val="267EFB54"/>
    <w:multiLevelType w:val="hybridMultilevel"/>
    <w:tmpl w:val="16C6FAFC"/>
    <w:lvl w:ilvl="0" w:tplc="1FEAA970">
      <w:start w:val="1"/>
      <w:numFmt w:val="bullet"/>
      <w:lvlText w:val=""/>
      <w:lvlJc w:val="left"/>
      <w:pPr>
        <w:ind w:left="720" w:hanging="360"/>
      </w:pPr>
      <w:rPr>
        <w:rFonts w:ascii="Symbol" w:hAnsi="Symbol" w:hint="default"/>
      </w:rPr>
    </w:lvl>
    <w:lvl w:ilvl="1" w:tplc="A2EA6A1C">
      <w:start w:val="1"/>
      <w:numFmt w:val="bullet"/>
      <w:lvlText w:val="o"/>
      <w:lvlJc w:val="left"/>
      <w:pPr>
        <w:ind w:left="1440" w:hanging="360"/>
      </w:pPr>
      <w:rPr>
        <w:rFonts w:ascii="Courier New" w:hAnsi="Courier New" w:hint="default"/>
      </w:rPr>
    </w:lvl>
    <w:lvl w:ilvl="2" w:tplc="14BCDCAA">
      <w:start w:val="1"/>
      <w:numFmt w:val="bullet"/>
      <w:lvlText w:val=""/>
      <w:lvlJc w:val="left"/>
      <w:pPr>
        <w:ind w:left="2160" w:hanging="360"/>
      </w:pPr>
      <w:rPr>
        <w:rFonts w:ascii="Wingdings" w:hAnsi="Wingdings" w:hint="default"/>
      </w:rPr>
    </w:lvl>
    <w:lvl w:ilvl="3" w:tplc="E73A510C">
      <w:start w:val="1"/>
      <w:numFmt w:val="bullet"/>
      <w:lvlText w:val=""/>
      <w:lvlJc w:val="left"/>
      <w:pPr>
        <w:ind w:left="2880" w:hanging="360"/>
      </w:pPr>
      <w:rPr>
        <w:rFonts w:ascii="Symbol" w:hAnsi="Symbol" w:hint="default"/>
      </w:rPr>
    </w:lvl>
    <w:lvl w:ilvl="4" w:tplc="CC1606DA">
      <w:start w:val="1"/>
      <w:numFmt w:val="bullet"/>
      <w:lvlText w:val="o"/>
      <w:lvlJc w:val="left"/>
      <w:pPr>
        <w:ind w:left="3600" w:hanging="360"/>
      </w:pPr>
      <w:rPr>
        <w:rFonts w:ascii="Courier New" w:hAnsi="Courier New" w:hint="default"/>
      </w:rPr>
    </w:lvl>
    <w:lvl w:ilvl="5" w:tplc="2A9852B2">
      <w:start w:val="1"/>
      <w:numFmt w:val="bullet"/>
      <w:lvlText w:val=""/>
      <w:lvlJc w:val="left"/>
      <w:pPr>
        <w:ind w:left="4320" w:hanging="360"/>
      </w:pPr>
      <w:rPr>
        <w:rFonts w:ascii="Wingdings" w:hAnsi="Wingdings" w:hint="default"/>
      </w:rPr>
    </w:lvl>
    <w:lvl w:ilvl="6" w:tplc="EA14B530">
      <w:start w:val="1"/>
      <w:numFmt w:val="bullet"/>
      <w:lvlText w:val=""/>
      <w:lvlJc w:val="left"/>
      <w:pPr>
        <w:ind w:left="5040" w:hanging="360"/>
      </w:pPr>
      <w:rPr>
        <w:rFonts w:ascii="Symbol" w:hAnsi="Symbol" w:hint="default"/>
      </w:rPr>
    </w:lvl>
    <w:lvl w:ilvl="7" w:tplc="8262713A">
      <w:start w:val="1"/>
      <w:numFmt w:val="bullet"/>
      <w:lvlText w:val="o"/>
      <w:lvlJc w:val="left"/>
      <w:pPr>
        <w:ind w:left="5760" w:hanging="360"/>
      </w:pPr>
      <w:rPr>
        <w:rFonts w:ascii="Courier New" w:hAnsi="Courier New" w:hint="default"/>
      </w:rPr>
    </w:lvl>
    <w:lvl w:ilvl="8" w:tplc="5A6AFE84">
      <w:start w:val="1"/>
      <w:numFmt w:val="bullet"/>
      <w:lvlText w:val=""/>
      <w:lvlJc w:val="left"/>
      <w:pPr>
        <w:ind w:left="6480" w:hanging="360"/>
      </w:pPr>
      <w:rPr>
        <w:rFonts w:ascii="Wingdings" w:hAnsi="Wingdings" w:hint="default"/>
      </w:rPr>
    </w:lvl>
  </w:abstractNum>
  <w:abstractNum w:abstractNumId="4" w15:restartNumberingAfterBreak="0">
    <w:nsid w:val="3BE00F35"/>
    <w:multiLevelType w:val="hybridMultilevel"/>
    <w:tmpl w:val="EC423FB8"/>
    <w:lvl w:ilvl="0" w:tplc="FBF8DE2C">
      <w:start w:val="1"/>
      <w:numFmt w:val="bullet"/>
      <w:lvlText w:val=""/>
      <w:lvlJc w:val="left"/>
      <w:pPr>
        <w:ind w:left="720" w:hanging="360"/>
      </w:pPr>
      <w:rPr>
        <w:rFonts w:ascii="Symbol" w:hAnsi="Symbol" w:hint="default"/>
      </w:rPr>
    </w:lvl>
    <w:lvl w:ilvl="1" w:tplc="E48ECE18">
      <w:start w:val="1"/>
      <w:numFmt w:val="bullet"/>
      <w:lvlText w:val="o"/>
      <w:lvlJc w:val="left"/>
      <w:pPr>
        <w:ind w:left="1440" w:hanging="360"/>
      </w:pPr>
      <w:rPr>
        <w:rFonts w:ascii="Courier New" w:hAnsi="Courier New" w:hint="default"/>
      </w:rPr>
    </w:lvl>
    <w:lvl w:ilvl="2" w:tplc="E8C8DD28">
      <w:start w:val="1"/>
      <w:numFmt w:val="bullet"/>
      <w:lvlText w:val=""/>
      <w:lvlJc w:val="left"/>
      <w:pPr>
        <w:ind w:left="2160" w:hanging="360"/>
      </w:pPr>
      <w:rPr>
        <w:rFonts w:ascii="Wingdings" w:hAnsi="Wingdings" w:hint="default"/>
      </w:rPr>
    </w:lvl>
    <w:lvl w:ilvl="3" w:tplc="E730D844">
      <w:start w:val="1"/>
      <w:numFmt w:val="bullet"/>
      <w:lvlText w:val=""/>
      <w:lvlJc w:val="left"/>
      <w:pPr>
        <w:ind w:left="2880" w:hanging="360"/>
      </w:pPr>
      <w:rPr>
        <w:rFonts w:ascii="Symbol" w:hAnsi="Symbol" w:hint="default"/>
      </w:rPr>
    </w:lvl>
    <w:lvl w:ilvl="4" w:tplc="5FD87F04">
      <w:start w:val="1"/>
      <w:numFmt w:val="bullet"/>
      <w:lvlText w:val="o"/>
      <w:lvlJc w:val="left"/>
      <w:pPr>
        <w:ind w:left="3600" w:hanging="360"/>
      </w:pPr>
      <w:rPr>
        <w:rFonts w:ascii="Courier New" w:hAnsi="Courier New" w:hint="default"/>
      </w:rPr>
    </w:lvl>
    <w:lvl w:ilvl="5" w:tplc="40EAA954">
      <w:start w:val="1"/>
      <w:numFmt w:val="bullet"/>
      <w:lvlText w:val=""/>
      <w:lvlJc w:val="left"/>
      <w:pPr>
        <w:ind w:left="4320" w:hanging="360"/>
      </w:pPr>
      <w:rPr>
        <w:rFonts w:ascii="Wingdings" w:hAnsi="Wingdings" w:hint="default"/>
      </w:rPr>
    </w:lvl>
    <w:lvl w:ilvl="6" w:tplc="905C926C">
      <w:start w:val="1"/>
      <w:numFmt w:val="bullet"/>
      <w:lvlText w:val=""/>
      <w:lvlJc w:val="left"/>
      <w:pPr>
        <w:ind w:left="5040" w:hanging="360"/>
      </w:pPr>
      <w:rPr>
        <w:rFonts w:ascii="Symbol" w:hAnsi="Symbol" w:hint="default"/>
      </w:rPr>
    </w:lvl>
    <w:lvl w:ilvl="7" w:tplc="AF98010C">
      <w:start w:val="1"/>
      <w:numFmt w:val="bullet"/>
      <w:lvlText w:val="o"/>
      <w:lvlJc w:val="left"/>
      <w:pPr>
        <w:ind w:left="5760" w:hanging="360"/>
      </w:pPr>
      <w:rPr>
        <w:rFonts w:ascii="Courier New" w:hAnsi="Courier New" w:hint="default"/>
      </w:rPr>
    </w:lvl>
    <w:lvl w:ilvl="8" w:tplc="7D6AE588">
      <w:start w:val="1"/>
      <w:numFmt w:val="bullet"/>
      <w:lvlText w:val=""/>
      <w:lvlJc w:val="left"/>
      <w:pPr>
        <w:ind w:left="6480" w:hanging="360"/>
      </w:pPr>
      <w:rPr>
        <w:rFonts w:ascii="Wingdings" w:hAnsi="Wingdings" w:hint="default"/>
      </w:rPr>
    </w:lvl>
  </w:abstractNum>
  <w:abstractNum w:abstractNumId="5" w15:restartNumberingAfterBreak="0">
    <w:nsid w:val="42F07239"/>
    <w:multiLevelType w:val="hybridMultilevel"/>
    <w:tmpl w:val="B26A3F3C"/>
    <w:lvl w:ilvl="0" w:tplc="5A7CCB06">
      <w:start w:val="1"/>
      <w:numFmt w:val="bullet"/>
      <w:lvlText w:val=""/>
      <w:lvlJc w:val="left"/>
      <w:pPr>
        <w:ind w:left="720" w:hanging="360"/>
      </w:pPr>
      <w:rPr>
        <w:rFonts w:ascii="Symbol" w:hAnsi="Symbol" w:hint="default"/>
      </w:rPr>
    </w:lvl>
    <w:lvl w:ilvl="1" w:tplc="205CF2F2">
      <w:start w:val="1"/>
      <w:numFmt w:val="bullet"/>
      <w:lvlText w:val="o"/>
      <w:lvlJc w:val="left"/>
      <w:pPr>
        <w:ind w:left="1440" w:hanging="360"/>
      </w:pPr>
      <w:rPr>
        <w:rFonts w:ascii="Courier New" w:hAnsi="Courier New" w:hint="default"/>
      </w:rPr>
    </w:lvl>
    <w:lvl w:ilvl="2" w:tplc="F2BE1D64">
      <w:start w:val="1"/>
      <w:numFmt w:val="bullet"/>
      <w:lvlText w:val=""/>
      <w:lvlJc w:val="left"/>
      <w:pPr>
        <w:ind w:left="2160" w:hanging="360"/>
      </w:pPr>
      <w:rPr>
        <w:rFonts w:ascii="Wingdings" w:hAnsi="Wingdings" w:hint="default"/>
      </w:rPr>
    </w:lvl>
    <w:lvl w:ilvl="3" w:tplc="E5F80886">
      <w:start w:val="1"/>
      <w:numFmt w:val="bullet"/>
      <w:lvlText w:val=""/>
      <w:lvlJc w:val="left"/>
      <w:pPr>
        <w:ind w:left="2880" w:hanging="360"/>
      </w:pPr>
      <w:rPr>
        <w:rFonts w:ascii="Symbol" w:hAnsi="Symbol" w:hint="default"/>
      </w:rPr>
    </w:lvl>
    <w:lvl w:ilvl="4" w:tplc="503CA1BE">
      <w:start w:val="1"/>
      <w:numFmt w:val="bullet"/>
      <w:lvlText w:val="o"/>
      <w:lvlJc w:val="left"/>
      <w:pPr>
        <w:ind w:left="3600" w:hanging="360"/>
      </w:pPr>
      <w:rPr>
        <w:rFonts w:ascii="Courier New" w:hAnsi="Courier New" w:hint="default"/>
      </w:rPr>
    </w:lvl>
    <w:lvl w:ilvl="5" w:tplc="9F26F732">
      <w:start w:val="1"/>
      <w:numFmt w:val="bullet"/>
      <w:lvlText w:val=""/>
      <w:lvlJc w:val="left"/>
      <w:pPr>
        <w:ind w:left="4320" w:hanging="360"/>
      </w:pPr>
      <w:rPr>
        <w:rFonts w:ascii="Wingdings" w:hAnsi="Wingdings" w:hint="default"/>
      </w:rPr>
    </w:lvl>
    <w:lvl w:ilvl="6" w:tplc="FAB22860">
      <w:start w:val="1"/>
      <w:numFmt w:val="bullet"/>
      <w:lvlText w:val=""/>
      <w:lvlJc w:val="left"/>
      <w:pPr>
        <w:ind w:left="5040" w:hanging="360"/>
      </w:pPr>
      <w:rPr>
        <w:rFonts w:ascii="Symbol" w:hAnsi="Symbol" w:hint="default"/>
      </w:rPr>
    </w:lvl>
    <w:lvl w:ilvl="7" w:tplc="54AE272C">
      <w:start w:val="1"/>
      <w:numFmt w:val="bullet"/>
      <w:lvlText w:val="o"/>
      <w:lvlJc w:val="left"/>
      <w:pPr>
        <w:ind w:left="5760" w:hanging="360"/>
      </w:pPr>
      <w:rPr>
        <w:rFonts w:ascii="Courier New" w:hAnsi="Courier New" w:hint="default"/>
      </w:rPr>
    </w:lvl>
    <w:lvl w:ilvl="8" w:tplc="1BF273A2">
      <w:start w:val="1"/>
      <w:numFmt w:val="bullet"/>
      <w:lvlText w:val=""/>
      <w:lvlJc w:val="left"/>
      <w:pPr>
        <w:ind w:left="6480" w:hanging="360"/>
      </w:pPr>
      <w:rPr>
        <w:rFonts w:ascii="Wingdings" w:hAnsi="Wingdings" w:hint="default"/>
      </w:rPr>
    </w:lvl>
  </w:abstractNum>
  <w:abstractNum w:abstractNumId="6" w15:restartNumberingAfterBreak="0">
    <w:nsid w:val="61F88407"/>
    <w:multiLevelType w:val="hybridMultilevel"/>
    <w:tmpl w:val="70C0CEB6"/>
    <w:lvl w:ilvl="0" w:tplc="BE682182">
      <w:start w:val="1"/>
      <w:numFmt w:val="bullet"/>
      <w:lvlText w:val=""/>
      <w:lvlJc w:val="left"/>
      <w:pPr>
        <w:ind w:left="720" w:hanging="360"/>
      </w:pPr>
      <w:rPr>
        <w:rFonts w:ascii="Symbol" w:hAnsi="Symbol" w:hint="default"/>
      </w:rPr>
    </w:lvl>
    <w:lvl w:ilvl="1" w:tplc="03C02D78">
      <w:start w:val="1"/>
      <w:numFmt w:val="bullet"/>
      <w:lvlText w:val="o"/>
      <w:lvlJc w:val="left"/>
      <w:pPr>
        <w:ind w:left="1440" w:hanging="360"/>
      </w:pPr>
      <w:rPr>
        <w:rFonts w:ascii="Courier New" w:hAnsi="Courier New" w:hint="default"/>
      </w:rPr>
    </w:lvl>
    <w:lvl w:ilvl="2" w:tplc="B934773E">
      <w:start w:val="1"/>
      <w:numFmt w:val="bullet"/>
      <w:lvlText w:val=""/>
      <w:lvlJc w:val="left"/>
      <w:pPr>
        <w:ind w:left="2160" w:hanging="360"/>
      </w:pPr>
      <w:rPr>
        <w:rFonts w:ascii="Wingdings" w:hAnsi="Wingdings" w:hint="default"/>
      </w:rPr>
    </w:lvl>
    <w:lvl w:ilvl="3" w:tplc="F5E6417E">
      <w:start w:val="1"/>
      <w:numFmt w:val="bullet"/>
      <w:lvlText w:val=""/>
      <w:lvlJc w:val="left"/>
      <w:pPr>
        <w:ind w:left="2880" w:hanging="360"/>
      </w:pPr>
      <w:rPr>
        <w:rFonts w:ascii="Symbol" w:hAnsi="Symbol" w:hint="default"/>
      </w:rPr>
    </w:lvl>
    <w:lvl w:ilvl="4" w:tplc="D088B056">
      <w:start w:val="1"/>
      <w:numFmt w:val="bullet"/>
      <w:lvlText w:val="o"/>
      <w:lvlJc w:val="left"/>
      <w:pPr>
        <w:ind w:left="3600" w:hanging="360"/>
      </w:pPr>
      <w:rPr>
        <w:rFonts w:ascii="Courier New" w:hAnsi="Courier New" w:hint="default"/>
      </w:rPr>
    </w:lvl>
    <w:lvl w:ilvl="5" w:tplc="7D4ADFFE">
      <w:start w:val="1"/>
      <w:numFmt w:val="bullet"/>
      <w:lvlText w:val=""/>
      <w:lvlJc w:val="left"/>
      <w:pPr>
        <w:ind w:left="4320" w:hanging="360"/>
      </w:pPr>
      <w:rPr>
        <w:rFonts w:ascii="Wingdings" w:hAnsi="Wingdings" w:hint="default"/>
      </w:rPr>
    </w:lvl>
    <w:lvl w:ilvl="6" w:tplc="900ED67E">
      <w:start w:val="1"/>
      <w:numFmt w:val="bullet"/>
      <w:lvlText w:val=""/>
      <w:lvlJc w:val="left"/>
      <w:pPr>
        <w:ind w:left="5040" w:hanging="360"/>
      </w:pPr>
      <w:rPr>
        <w:rFonts w:ascii="Symbol" w:hAnsi="Symbol" w:hint="default"/>
      </w:rPr>
    </w:lvl>
    <w:lvl w:ilvl="7" w:tplc="5F247A8C">
      <w:start w:val="1"/>
      <w:numFmt w:val="bullet"/>
      <w:lvlText w:val="o"/>
      <w:lvlJc w:val="left"/>
      <w:pPr>
        <w:ind w:left="5760" w:hanging="360"/>
      </w:pPr>
      <w:rPr>
        <w:rFonts w:ascii="Courier New" w:hAnsi="Courier New" w:hint="default"/>
      </w:rPr>
    </w:lvl>
    <w:lvl w:ilvl="8" w:tplc="F01CF576">
      <w:start w:val="1"/>
      <w:numFmt w:val="bullet"/>
      <w:lvlText w:val=""/>
      <w:lvlJc w:val="left"/>
      <w:pPr>
        <w:ind w:left="6480" w:hanging="360"/>
      </w:pPr>
      <w:rPr>
        <w:rFonts w:ascii="Wingdings" w:hAnsi="Wingdings" w:hint="default"/>
      </w:rPr>
    </w:lvl>
  </w:abstractNum>
  <w:num w:numId="1" w16cid:durableId="840045630">
    <w:abstractNumId w:val="3"/>
  </w:num>
  <w:num w:numId="2" w16cid:durableId="1044064639">
    <w:abstractNumId w:val="6"/>
  </w:num>
  <w:num w:numId="3" w16cid:durableId="1908028004">
    <w:abstractNumId w:val="5"/>
  </w:num>
  <w:num w:numId="4" w16cid:durableId="1748839740">
    <w:abstractNumId w:val="2"/>
  </w:num>
  <w:num w:numId="5" w16cid:durableId="79914349">
    <w:abstractNumId w:val="1"/>
  </w:num>
  <w:num w:numId="6" w16cid:durableId="1143541273">
    <w:abstractNumId w:val="0"/>
  </w:num>
  <w:num w:numId="7" w16cid:durableId="15689559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734627"/>
    <w:rsid w:val="004648D3"/>
    <w:rsid w:val="00516475"/>
    <w:rsid w:val="00590364"/>
    <w:rsid w:val="00680B3A"/>
    <w:rsid w:val="007431A7"/>
    <w:rsid w:val="00860915"/>
    <w:rsid w:val="00C46C16"/>
    <w:rsid w:val="00F02D41"/>
    <w:rsid w:val="01A96B22"/>
    <w:rsid w:val="02136BE0"/>
    <w:rsid w:val="0405125C"/>
    <w:rsid w:val="045A67B0"/>
    <w:rsid w:val="05AF3133"/>
    <w:rsid w:val="068104B5"/>
    <w:rsid w:val="06EF6758"/>
    <w:rsid w:val="08262503"/>
    <w:rsid w:val="08EA5347"/>
    <w:rsid w:val="08ED540C"/>
    <w:rsid w:val="09177EF1"/>
    <w:rsid w:val="099FBFDD"/>
    <w:rsid w:val="09B16972"/>
    <w:rsid w:val="09DE3E99"/>
    <w:rsid w:val="0A132595"/>
    <w:rsid w:val="0B346494"/>
    <w:rsid w:val="0BE0356F"/>
    <w:rsid w:val="0BE716C8"/>
    <w:rsid w:val="0BE8FD91"/>
    <w:rsid w:val="0D1FD9E3"/>
    <w:rsid w:val="0D388874"/>
    <w:rsid w:val="0DE7751C"/>
    <w:rsid w:val="0DE9D111"/>
    <w:rsid w:val="0E9A13EB"/>
    <w:rsid w:val="0F62EB67"/>
    <w:rsid w:val="0FDA66C9"/>
    <w:rsid w:val="0FDD3849"/>
    <w:rsid w:val="104FF96A"/>
    <w:rsid w:val="1088D776"/>
    <w:rsid w:val="110A993A"/>
    <w:rsid w:val="111AE3B5"/>
    <w:rsid w:val="113DB205"/>
    <w:rsid w:val="1157EFCE"/>
    <w:rsid w:val="1279A0C0"/>
    <w:rsid w:val="127A16F3"/>
    <w:rsid w:val="130E7514"/>
    <w:rsid w:val="1370C0CF"/>
    <w:rsid w:val="138B3A96"/>
    <w:rsid w:val="14A08A1A"/>
    <w:rsid w:val="14BABDF3"/>
    <w:rsid w:val="16A711A9"/>
    <w:rsid w:val="16D715AC"/>
    <w:rsid w:val="175D902A"/>
    <w:rsid w:val="18019829"/>
    <w:rsid w:val="1851E161"/>
    <w:rsid w:val="18DB82BB"/>
    <w:rsid w:val="19C5F9DE"/>
    <w:rsid w:val="1A1FC659"/>
    <w:rsid w:val="1A3C3FB4"/>
    <w:rsid w:val="1AA8526E"/>
    <w:rsid w:val="1E45186D"/>
    <w:rsid w:val="1E67D223"/>
    <w:rsid w:val="1F611AC8"/>
    <w:rsid w:val="1F742207"/>
    <w:rsid w:val="1FCA1C6A"/>
    <w:rsid w:val="219F3889"/>
    <w:rsid w:val="21DF76CA"/>
    <w:rsid w:val="21E5FC44"/>
    <w:rsid w:val="221ECA0A"/>
    <w:rsid w:val="22647C7B"/>
    <w:rsid w:val="229DFA2B"/>
    <w:rsid w:val="22A60DBD"/>
    <w:rsid w:val="230AE5CC"/>
    <w:rsid w:val="233DC359"/>
    <w:rsid w:val="234A46E8"/>
    <w:rsid w:val="2365BDBB"/>
    <w:rsid w:val="23A629F0"/>
    <w:rsid w:val="24187834"/>
    <w:rsid w:val="2480A9EF"/>
    <w:rsid w:val="24C2BED6"/>
    <w:rsid w:val="24E636D9"/>
    <w:rsid w:val="25516506"/>
    <w:rsid w:val="277A6606"/>
    <w:rsid w:val="27F87621"/>
    <w:rsid w:val="28708DBC"/>
    <w:rsid w:val="28AA84C6"/>
    <w:rsid w:val="2924F930"/>
    <w:rsid w:val="295DB7CD"/>
    <w:rsid w:val="2BC40046"/>
    <w:rsid w:val="2BEAC046"/>
    <w:rsid w:val="2C07A178"/>
    <w:rsid w:val="2C13CD64"/>
    <w:rsid w:val="2C1F14F6"/>
    <w:rsid w:val="2CD1BE83"/>
    <w:rsid w:val="2D4DFE27"/>
    <w:rsid w:val="2D5C0A2F"/>
    <w:rsid w:val="2E57E44E"/>
    <w:rsid w:val="2F0AF7A8"/>
    <w:rsid w:val="2F412B67"/>
    <w:rsid w:val="2F7AE7EB"/>
    <w:rsid w:val="2FB5699C"/>
    <w:rsid w:val="307FE056"/>
    <w:rsid w:val="30F48571"/>
    <w:rsid w:val="30F9D47E"/>
    <w:rsid w:val="317CA70A"/>
    <w:rsid w:val="31DAB3C2"/>
    <w:rsid w:val="31E6F519"/>
    <w:rsid w:val="3218661D"/>
    <w:rsid w:val="3396217D"/>
    <w:rsid w:val="33B905AF"/>
    <w:rsid w:val="346273A2"/>
    <w:rsid w:val="34E1BDDC"/>
    <w:rsid w:val="35C4513F"/>
    <w:rsid w:val="35C8E49F"/>
    <w:rsid w:val="36F92DF2"/>
    <w:rsid w:val="3730B2F4"/>
    <w:rsid w:val="37C8CD8A"/>
    <w:rsid w:val="388D7F1B"/>
    <w:rsid w:val="38FEF8CF"/>
    <w:rsid w:val="39B1DDC3"/>
    <w:rsid w:val="39FA985D"/>
    <w:rsid w:val="3AB10729"/>
    <w:rsid w:val="3B734627"/>
    <w:rsid w:val="3BE04FA7"/>
    <w:rsid w:val="3C4814BC"/>
    <w:rsid w:val="3D93FC41"/>
    <w:rsid w:val="3DA77A67"/>
    <w:rsid w:val="3DDE1717"/>
    <w:rsid w:val="3EC88796"/>
    <w:rsid w:val="406C185A"/>
    <w:rsid w:val="40C8CB35"/>
    <w:rsid w:val="40CC52F7"/>
    <w:rsid w:val="410A75FF"/>
    <w:rsid w:val="4185EE4F"/>
    <w:rsid w:val="422CCC11"/>
    <w:rsid w:val="42E4C7ED"/>
    <w:rsid w:val="440A0724"/>
    <w:rsid w:val="460F4005"/>
    <w:rsid w:val="4614E447"/>
    <w:rsid w:val="466B38B3"/>
    <w:rsid w:val="466B3992"/>
    <w:rsid w:val="47C190F5"/>
    <w:rsid w:val="4B2BF320"/>
    <w:rsid w:val="4C1193E1"/>
    <w:rsid w:val="4CECDBE1"/>
    <w:rsid w:val="4D38A8B0"/>
    <w:rsid w:val="4DA0F8E0"/>
    <w:rsid w:val="4DCDB5F4"/>
    <w:rsid w:val="4E729DEC"/>
    <w:rsid w:val="4E8E74AD"/>
    <w:rsid w:val="4F9BB323"/>
    <w:rsid w:val="4FB590DE"/>
    <w:rsid w:val="4FDAC3FD"/>
    <w:rsid w:val="50DA533A"/>
    <w:rsid w:val="510C81A1"/>
    <w:rsid w:val="5115C787"/>
    <w:rsid w:val="52B68906"/>
    <w:rsid w:val="53003337"/>
    <w:rsid w:val="5315B50C"/>
    <w:rsid w:val="53315E1F"/>
    <w:rsid w:val="53A55130"/>
    <w:rsid w:val="53D878D4"/>
    <w:rsid w:val="54029B39"/>
    <w:rsid w:val="567D6F90"/>
    <w:rsid w:val="5718715F"/>
    <w:rsid w:val="577549D4"/>
    <w:rsid w:val="58ABDDCD"/>
    <w:rsid w:val="592934D8"/>
    <w:rsid w:val="5947359E"/>
    <w:rsid w:val="59485FA8"/>
    <w:rsid w:val="598B7BCD"/>
    <w:rsid w:val="59E91AA5"/>
    <w:rsid w:val="5CC37D5F"/>
    <w:rsid w:val="5D17EAEC"/>
    <w:rsid w:val="5D585DAF"/>
    <w:rsid w:val="5ECE6580"/>
    <w:rsid w:val="5EEEB9EC"/>
    <w:rsid w:val="5EFDB03D"/>
    <w:rsid w:val="5FE8A07B"/>
    <w:rsid w:val="60CB10D1"/>
    <w:rsid w:val="628D65CF"/>
    <w:rsid w:val="62952C41"/>
    <w:rsid w:val="62C644DC"/>
    <w:rsid w:val="63275B4D"/>
    <w:rsid w:val="6364D2D1"/>
    <w:rsid w:val="638AAC6A"/>
    <w:rsid w:val="644A0D63"/>
    <w:rsid w:val="645B71A7"/>
    <w:rsid w:val="64C410BF"/>
    <w:rsid w:val="651252B4"/>
    <w:rsid w:val="65353491"/>
    <w:rsid w:val="659180C1"/>
    <w:rsid w:val="669A0231"/>
    <w:rsid w:val="66E36D81"/>
    <w:rsid w:val="67C5E669"/>
    <w:rsid w:val="68FE4E62"/>
    <w:rsid w:val="690EF646"/>
    <w:rsid w:val="697E9338"/>
    <w:rsid w:val="698CFAA7"/>
    <w:rsid w:val="6AD26472"/>
    <w:rsid w:val="6B871DF5"/>
    <w:rsid w:val="6BA33CAC"/>
    <w:rsid w:val="6BB4A6D7"/>
    <w:rsid w:val="6BDE85B0"/>
    <w:rsid w:val="6C2A3898"/>
    <w:rsid w:val="6D1FE859"/>
    <w:rsid w:val="6DB8BB86"/>
    <w:rsid w:val="6E215F04"/>
    <w:rsid w:val="6E9C34B8"/>
    <w:rsid w:val="6F3A0E62"/>
    <w:rsid w:val="6FBB77CD"/>
    <w:rsid w:val="6FC6E3B8"/>
    <w:rsid w:val="6FE83BB5"/>
    <w:rsid w:val="7117F39A"/>
    <w:rsid w:val="71FA5BD1"/>
    <w:rsid w:val="72D6DC38"/>
    <w:rsid w:val="7395E3F2"/>
    <w:rsid w:val="7433E03B"/>
    <w:rsid w:val="7459D7F5"/>
    <w:rsid w:val="7483C1A1"/>
    <w:rsid w:val="74CCDC9A"/>
    <w:rsid w:val="74E6F0A5"/>
    <w:rsid w:val="755F15EB"/>
    <w:rsid w:val="76131DB2"/>
    <w:rsid w:val="76DF999E"/>
    <w:rsid w:val="77913EA9"/>
    <w:rsid w:val="77F4F6D4"/>
    <w:rsid w:val="77F74B57"/>
    <w:rsid w:val="7899755A"/>
    <w:rsid w:val="793073CE"/>
    <w:rsid w:val="79944201"/>
    <w:rsid w:val="79A48ECA"/>
    <w:rsid w:val="7A6D1C34"/>
    <w:rsid w:val="7B00CFC8"/>
    <w:rsid w:val="7BA82CC9"/>
    <w:rsid w:val="7BB5E260"/>
    <w:rsid w:val="7C143A42"/>
    <w:rsid w:val="7D143A4C"/>
    <w:rsid w:val="7DECC77E"/>
    <w:rsid w:val="7F3BAFE3"/>
    <w:rsid w:val="7F440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D4A49"/>
  <w15:chartTrackingRefBased/>
  <w15:docId w15:val="{502E8742-F880-42A0-97B8-0BA9DEFCC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27A16F3"/>
    <w:pPr>
      <w:ind w:left="720"/>
      <w:contextualSpacing/>
    </w:pPr>
  </w:style>
  <w:style w:type="paragraph" w:styleId="Header">
    <w:name w:val="header"/>
    <w:basedOn w:val="Normal"/>
    <w:uiPriority w:val="99"/>
    <w:unhideWhenUsed/>
    <w:rsid w:val="7BB5E260"/>
    <w:pPr>
      <w:tabs>
        <w:tab w:val="center" w:pos="4680"/>
        <w:tab w:val="right" w:pos="9360"/>
      </w:tabs>
      <w:spacing w:after="0" w:line="240" w:lineRule="auto"/>
    </w:pPr>
  </w:style>
  <w:style w:type="paragraph" w:styleId="Footer">
    <w:name w:val="footer"/>
    <w:basedOn w:val="Normal"/>
    <w:uiPriority w:val="99"/>
    <w:unhideWhenUsed/>
    <w:rsid w:val="7BB5E26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ncet.com" TargetMode="External"/><Relationship Id="rId13" Type="http://schemas.openxmlformats.org/officeDocument/2006/relationships/hyperlink" Target="https://www.england.nhs.uk/canc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1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cmillan.org.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ature.com/bjc" TargetMode="External"/><Relationship Id="rId4" Type="http://schemas.openxmlformats.org/officeDocument/2006/relationships/webSettings" Target="webSettings.xml"/><Relationship Id="rId9" Type="http://schemas.openxmlformats.org/officeDocument/2006/relationships/hyperlink" Target="https://www.cancerresearchuk.org/health-professional/cancer-statistics/statistics-by-cancer-type/lung-cancer"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2174</Words>
  <Characters>12395</Characters>
  <Application>Microsoft Office Word</Application>
  <DocSecurity>0</DocSecurity>
  <Lines>103</Lines>
  <Paragraphs>29</Paragraphs>
  <ScaleCrop>false</ScaleCrop>
  <Company/>
  <LinksUpToDate>false</LinksUpToDate>
  <CharactersWithSpaces>14540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Holoporova (2510891)</dc:creator>
  <cp:keywords/>
  <dc:description/>
  <cp:lastModifiedBy>Liudmyla Holoporova (2510891)</cp:lastModifiedBy>
  <cp:revision>8</cp:revision>
  <dcterms:created xsi:type="dcterms:W3CDTF">2026-04-08T15:58:00Z</dcterms:created>
  <dcterms:modified xsi:type="dcterms:W3CDTF">2026-04-16T13:11:00Z</dcterms:modified>
</cp:coreProperties>
</file>