
<file path=[Content_Types].xml><?xml version="1.0" encoding="utf-8"?>
<Types xmlns="http://schemas.openxmlformats.org/package/2006/content-types">
  <Default Extension="rels" ContentType="application/vnd.openxmlformats-package.relationships+xml"/>
  <Default Extension="jpeg" ContentType="image/jpeg"/>
  <Default Extension="png" ContentType="image/png"/>
  <Default Extension="xml" ContentType="application/xml"/>
  <Override PartName="/docProps/custom.xml" ContentType="application/vnd.openxmlformats-officedocument.custom-properties+xml"/>
  <Override PartName="/docProps/core.xml" ContentType="application/vnd.openxmlformats-package.core-properties+xml"/>
  <Override PartName="/word/fontTable.xml" ContentType="application/vnd.openxmlformats-officedocument.wordprocessingml.fontTable+xml"/>
  <Override PartName="/word/endnotes.xml" ContentType="application/vnd.openxmlformats-officedocument.wordprocessingml.endnotes+xml"/>
  <Override PartName="/word/stylesWithEffects.xml" ContentType="application/vnd.ms-word.stylesWithEffects+xml"/>
  <Override PartName="/word/footnotes.xml" ContentType="application/vnd.openxmlformats-officedocument.wordprocessingml.footnotes+xml"/>
  <Override PartName="/word/theme/theme1.xml" ContentType="application/vnd.openxmlformats-officedocument.theme+xml"/>
  <Override PartName="/word/webSettings.xml" ContentType="application/vnd.openxmlformats-officedocument.wordprocessingml.webSettings+xml"/>
  <Override PartName="/word/settings.xml" ContentType="application/vnd.openxmlformats-officedocument.wordprocessingml.settings+xml"/>
  <Override PartName="/word/styles.xml" ContentType="application/vnd.openxmlformats-officedocument.wordprocessingml.styles+xml"/>
  <Override PartName="/word/footer1.xml" ContentType="application/vnd.openxmlformats-officedocument.wordprocessingml.footer+xml"/>
  <Override PartName="/word/numbering.xml" ContentType="application/vnd.openxmlformats-officedocument.wordprocessingml.numbering+xml"/>
  <Override PartName="/customXml/itemProps1.xml" ContentType="application/vnd.openxmlformats-officedocument.customXmlProperties+xml"/>
  <Override PartName="/docProps/app.xml" ContentType="application/vnd.openxmlformats-officedocument.extended-properties+xml"/>
  <Override PartName="/word/document.xml" ContentType="application/vnd.openxmlformats-officedocument.wordprocessingml.document.main+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xmlns:dgm="http://schemas.openxmlformats.org/drawingml/2006/diagram" mc:Ignorable="w14 wp14 ">
  <w:body>
    <w:p w14:paraId="00000005">
      <w:pPr>
        <w:spacing w:beforeAutospacing="0" w:afterAutospacing="0" w:line="276" w:lineRule="auto"/>
        <w:jc w:val="center"/>
        <w:rPr>
          <w:b/>
        </w:rPr>
      </w:pPr>
      <w:r>
        <w:rPr>
          <w:b/>
          <w:lang w:val="en-IN" w:eastAsia="en-IN"/>
        </w:rPr>
        <w:drawing xmlns:mc="http://schemas.openxmlformats.org/markup-compatibility/2006">
          <wp:inline distT="0" distB="0" distL="0" distR="0">
            <wp:extent cx="2568163" cy="1425063"/>
            <wp:effectExtent l="0" t="0" r="0" b="0"/>
            <wp:docPr id="1924450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309200" name="Picture 1"/>
                    <pic:cNvPicPr/>
                  </pic:nvPicPr>
                  <pic:blipFill>
                    <a:blip r:embed="rId29"/>
                    <a:srcRect/>
                    <a:stretch>
                      <a:fillRect/>
                    </a:stretch>
                  </pic:blipFill>
                  <pic:spPr>
                    <a:xfrm>
                      <a:off x="0" y="0"/>
                      <a:ext cx="2568163" cy="1425063"/>
                    </a:xfrm>
                    <a:prstGeom prst="rect">
                      <a:avLst/>
                    </a:prstGeom>
                  </pic:spPr>
                </pic:pic>
              </a:graphicData>
            </a:graphic>
          </wp:inline>
        </w:drawing>
      </w:r>
    </w:p>
    <w:p w14:paraId="00000006">
      <w:pPr>
        <w:spacing w:beforeAutospacing="0" w:afterAutospacing="0" w:line="276" w:lineRule="auto"/>
        <w:jc w:val="center"/>
        <w:rPr>
          <w:b/>
        </w:rPr>
      </w:pPr>
    </w:p>
    <w:p w14:paraId="00000007">
      <w:pPr>
        <w:spacing w:beforeAutospacing="0" w:afterAutospacing="0" w:line="276" w:lineRule="auto"/>
        <w:jc w:val="center"/>
        <w:rPr>
          <w:b/>
          <w:sz w:val="40"/>
          <w:u w:val="single"/>
        </w:rPr>
      </w:pPr>
      <w:r>
        <w:rPr>
          <w:b/>
          <w:sz w:val="40"/>
          <w:u w:val="single"/>
        </w:rPr>
        <w:t>BA</w:t>
      </w:r>
      <w:r>
        <w:rPr>
          <w:b/>
          <w:spacing w:val="-6"/>
          <w:sz w:val="40"/>
          <w:u w:val="single"/>
        </w:rPr>
        <w:t xml:space="preserve"> </w:t>
      </w:r>
      <w:r>
        <w:rPr>
          <w:b/>
          <w:sz w:val="40"/>
          <w:u w:val="single"/>
        </w:rPr>
        <w:t>(</w:t>
      </w:r>
      <w:r>
        <w:rPr>
          <w:b/>
          <w:sz w:val="40"/>
          <w:u w:val="single"/>
        </w:rPr>
        <w:t>Hons</w:t>
      </w:r>
      <w:r>
        <w:rPr>
          <w:b/>
          <w:sz w:val="40"/>
          <w:u w:val="single"/>
        </w:rPr>
        <w:t>)</w:t>
      </w:r>
      <w:r>
        <w:rPr>
          <w:b/>
          <w:spacing w:val="-3"/>
          <w:sz w:val="40"/>
          <w:u w:val="single"/>
        </w:rPr>
        <w:t xml:space="preserve"> </w:t>
      </w:r>
      <w:r>
        <w:rPr>
          <w:b/>
          <w:sz w:val="40"/>
          <w:u w:val="single"/>
        </w:rPr>
        <w:t>Developing</w:t>
      </w:r>
      <w:r>
        <w:rPr>
          <w:b/>
          <w:spacing w:val="-9"/>
          <w:sz w:val="40"/>
          <w:u w:val="single"/>
        </w:rPr>
        <w:t xml:space="preserve"> </w:t>
      </w:r>
      <w:r>
        <w:rPr>
          <w:b/>
          <w:sz w:val="40"/>
          <w:u w:val="single"/>
        </w:rPr>
        <w:t>Leadership</w:t>
      </w:r>
      <w:r>
        <w:rPr>
          <w:b/>
          <w:spacing w:val="-4"/>
          <w:sz w:val="40"/>
          <w:u w:val="single"/>
        </w:rPr>
        <w:t xml:space="preserve"> </w:t>
      </w:r>
      <w:r>
        <w:rPr>
          <w:b/>
          <w:sz w:val="40"/>
          <w:u w:val="single"/>
        </w:rPr>
        <w:t>and</w:t>
      </w:r>
      <w:r>
        <w:rPr>
          <w:b/>
          <w:spacing w:val="-8"/>
          <w:sz w:val="40"/>
          <w:u w:val="single"/>
        </w:rPr>
        <w:t xml:space="preserve"> </w:t>
      </w:r>
      <w:r>
        <w:rPr>
          <w:b/>
          <w:spacing w:val="-2"/>
          <w:sz w:val="40"/>
          <w:u w:val="single"/>
        </w:rPr>
        <w:t>Management</w:t>
      </w:r>
    </w:p>
    <w:p w14:paraId="00000008">
      <w:pPr>
        <w:spacing w:beforeAutospacing="0" w:afterAutospacing="0" w:line="276" w:lineRule="auto"/>
        <w:jc w:val="center"/>
        <w:rPr>
          <w:b/>
          <w:sz w:val="40"/>
          <w:szCs w:val="40"/>
          <w:u w:val="single"/>
        </w:rPr>
      </w:pPr>
    </w:p>
    <w:p w14:paraId="00000009">
      <w:pPr>
        <w:spacing w:beforeAutospacing="0" w:afterAutospacing="0" w:line="276" w:lineRule="auto"/>
        <w:jc w:val="center"/>
        <w:rPr>
          <w:b/>
          <w:sz w:val="36"/>
          <w:szCs w:val="40"/>
        </w:rPr>
      </w:pPr>
      <w:r>
        <w:rPr>
          <w:b/>
          <w:sz w:val="36"/>
          <w:szCs w:val="40"/>
        </w:rPr>
        <w:t>BMSW5031</w:t>
      </w:r>
      <w:r>
        <w:rPr>
          <w:b/>
          <w:sz w:val="36"/>
          <w:szCs w:val="40"/>
        </w:rPr>
        <w:t xml:space="preserve">: </w:t>
      </w:r>
      <w:r>
        <w:rPr>
          <w:b/>
          <w:sz w:val="36"/>
          <w:szCs w:val="40"/>
        </w:rPr>
        <w:t xml:space="preserve">Creativity </w:t>
      </w:r>
      <w:r>
        <w:rPr>
          <w:b/>
          <w:sz w:val="36"/>
          <w:szCs w:val="40"/>
        </w:rPr>
        <w:t>and Innovation</w:t>
      </w:r>
    </w:p>
    <w:p w14:paraId="0000000A">
      <w:pPr>
        <w:spacing w:beforeAutospacing="0" w:afterAutospacing="0" w:line="276" w:lineRule="auto"/>
        <w:jc w:val="center"/>
        <w:rPr>
          <w:b/>
          <w:sz w:val="36"/>
          <w:szCs w:val="32"/>
        </w:rPr>
      </w:pPr>
    </w:p>
    <w:p w14:paraId="0000000B">
      <w:pPr>
        <w:spacing w:beforeAutospacing="0" w:afterAutospacing="0" w:line="276" w:lineRule="auto"/>
        <w:jc w:val="center"/>
        <w:rPr>
          <w:b/>
          <w:sz w:val="36"/>
          <w:szCs w:val="32"/>
        </w:rPr>
      </w:pPr>
    </w:p>
    <w:p w14:paraId="0000000C">
      <w:pPr>
        <w:jc w:val="center"/>
        <w:rPr>
          <w:b/>
          <w:sz w:val="44"/>
          <w:szCs w:val="32"/>
        </w:rPr>
      </w:pPr>
      <w:r>
        <w:rPr>
          <w:b/>
          <w:sz w:val="28"/>
        </w:rPr>
        <w:t>Critically detailing and discussing an innovative/creative solution to an operational problem</w:t>
      </w:r>
    </w:p>
    <w:p w14:paraId="0000000D">
      <w:pPr>
        <w:spacing w:beforeAutospacing="0" w:afterAutospacing="0" w:line="276" w:lineRule="auto"/>
        <w:rPr>
          <w:b/>
          <w:sz w:val="36"/>
          <w:szCs w:val="32"/>
        </w:rPr>
      </w:pPr>
    </w:p>
    <w:p w14:paraId="0000000E">
      <w:pPr>
        <w:spacing w:beforeAutospacing="0" w:afterAutospacing="0" w:line="276" w:lineRule="auto"/>
        <w:jc w:val="center"/>
        <w:rPr>
          <w:b/>
          <w:sz w:val="36"/>
          <w:szCs w:val="32"/>
        </w:rPr>
      </w:pPr>
    </w:p>
    <w:p w14:paraId="0000000F">
      <w:pPr>
        <w:spacing w:beforeAutospacing="0" w:afterAutospacing="0" w:line="276" w:lineRule="auto"/>
        <w:jc w:val="center"/>
        <w:rPr>
          <w:b/>
          <w:sz w:val="28"/>
          <w:szCs w:val="24"/>
        </w:rPr>
      </w:pPr>
      <w:r>
        <w:rPr>
          <w:b/>
          <w:sz w:val="28"/>
          <w:szCs w:val="24"/>
        </w:rPr>
        <w:t>Student Name: Badea Marius</w:t>
      </w:r>
    </w:p>
    <w:p w14:paraId="00000010">
      <w:pPr>
        <w:spacing w:beforeAutospacing="0" w:afterAutospacing="0" w:line="276" w:lineRule="auto"/>
        <w:jc w:val="center"/>
        <w:rPr>
          <w:b/>
          <w:sz w:val="28"/>
          <w:szCs w:val="24"/>
        </w:rPr>
      </w:pPr>
      <w:r>
        <w:rPr>
          <w:b/>
          <w:sz w:val="28"/>
          <w:szCs w:val="24"/>
        </w:rPr>
        <w:t>Student ID: 1914675</w:t>
      </w:r>
    </w:p>
    <w:p w14:paraId="00000011">
      <w:pPr>
        <w:spacing w:beforeAutospacing="0" w:afterAutospacing="0" w:line="276" w:lineRule="auto"/>
        <w:jc w:val="center"/>
        <w:rPr>
          <w:b/>
          <w:sz w:val="28"/>
          <w:szCs w:val="28"/>
        </w:rPr>
      </w:pPr>
      <w:r>
        <w:rPr>
          <w:b/>
          <w:sz w:val="28"/>
          <w:szCs w:val="28"/>
        </w:rPr>
        <w:t>Lecturer’s Name: Chris Wilkin</w:t>
      </w:r>
    </w:p>
    <w:p w14:paraId="00000012">
      <w:pPr>
        <w:spacing w:beforeAutospacing="0" w:afterAutospacing="0" w:line="276" w:lineRule="auto"/>
        <w:jc w:val="center"/>
        <w:rPr>
          <w:b/>
        </w:rPr>
      </w:pPr>
    </w:p>
    <w:p w14:paraId="00000013">
      <w:pPr>
        <w:pStyle w:val="Heading1"/>
        <w:rPr/>
      </w:pPr>
      <w:r>
        <w:t xml:space="preserve"> </w:t>
      </w:r>
    </w:p>
    <w:p w14:paraId="00000014">
      <w:pPr>
        <w:spacing w:beforeAutospacing="0" w:afterAutospacing="0" w:line="276" w:lineRule="auto"/>
        <w:jc w:val="left"/>
        <w:rPr>
          <w:rFonts w:cstheme="majorBidi" w:eastAsiaTheme="majorEastAsia"/>
          <w:b/>
          <w:sz w:val="28"/>
          <w:szCs w:val="40"/>
        </w:rPr>
      </w:pPr>
      <w:r>
        <w:rPr/>
        <w:br w:type="page"/>
      </w:r>
    </w:p>
    <w:p w14:paraId="00000015">
      <w:pPr>
        <w:pStyle w:val="Heading1"/>
        <w:rPr/>
      </w:pPr>
      <w:bookmarkStart w:id="0" w:name="_Toc225445183"/>
      <w:r>
        <w:t>Executive Summary</w:t>
      </w:r>
      <w:bookmarkEnd w:id="0"/>
    </w:p>
    <w:p w14:paraId="00000016">
      <w:r>
        <w:t>This report presents operational and strategic issues of Seren Coffi, which is an ethical independent coffee shop with a high reputation for communal values and sustainable activities. Although this is an individual business and has a stable client base, the venture faces gigantic problems, such as financial strains, human resource problems, ineffective decision-making, and founder burnout. The future growth and sustainability of the organisation are threatened by the challenges. The report has offered an unconventional and bizarre way to solve such problems through community based business model. This would change the position of customers who are not considered active participants of the process of cafes, but the position of a customer is considered an active actor, who is a participant of the activities of the cafes over time, who shares responsibilities, and community-based activities. The solution is targeted at easing the stress on the operations, increasing the engagement and support of the ethical stance of the cafe without regard to the traditional solutions to the issue, including lowering costs or broadening it. The report also uses the 4Ps model of the creativity and innovation theories to assess the proposed solution and prove its viability. All in all, the discussion has indicated how the values and strategy-based innovation can be applied to the survival of small businesses such as Seren Coffi in a fluid and competitive business world.</w:t>
      </w:r>
      <w:r>
        <w:rPr/>
        <w:br w:type="page"/>
      </w:r>
    </w:p>
    <w:p w14:paraId="00000017">
      <w:pPr>
        <w:pStyle w:val="TOCHeading"/>
        <w:rPr/>
      </w:pPr>
      <w:r>
        <w:t>Table of Contents</w:t>
      </w:r>
    </w:p>
    <w:p w14:paraId="00000018">
      <w:pPr>
        <w:pStyle w:val="Toc1"/>
        <w:tabs>
          <w:tab w:val="right" w:leader="dot" w:pos="9350"/>
        </w:tabs>
        <w:rPr>
          <w:rFonts w:asciiTheme="minorHAnsi" w:eastAsiaTheme="minorEastAsia" w:hAnsiTheme="minorHAnsi"/>
          <w:sz w:val="22"/>
          <w:lang w:val="en-IN" w:eastAsia="en-IN"/>
        </w:rPr>
      </w:pPr>
      <w:r>
        <w:rPr>
          <w:rStyle w:val="Hyperlink"/>
        </w:rPr>
        <w:fldChar w:fldCharType="begin"/>
      </w:r>
      <w:r>
        <w:rPr>
          <w:rStyle w:val="Hyperlink"/>
        </w:rPr>
        <w:instrText xml:space="preserve"> TOC \o "1-3" \h \z \u </w:instrText>
      </w:r>
      <w:r>
        <w:rPr>
          <w:rStyle w:val="Hyperlink"/>
        </w:rPr>
        <w:fldChar w:fldCharType="separate"/>
      </w:r>
      <w:r>
        <w:rPr>
          <w:rStyle w:val="Hyperlink"/>
        </w:rPr>
        <w:fldChar w:fldCharType="begin"/>
      </w:r>
      <w:r>
        <w:rPr>
          <w:rStyle w:val="Hyperlink"/>
        </w:rPr>
        <w:instrText xml:space="preserve">HYPERLINK \l "_Toc225445183" </w:instrText>
      </w:r>
      <w:r>
        <w:rPr>
          <w:rStyle w:val="Hyperlink"/>
        </w:rPr>
        <w:fldChar w:fldCharType="separate"/>
      </w:r>
      <w:r>
        <w:rPr>
          <w:rStyle w:val="Hyperlink"/>
        </w:rPr>
        <w:t>Executive Summary</w:t>
      </w:r>
      <w:r>
        <w:tab/>
      </w:r>
      <w:r>
        <w:fldChar w:fldCharType="begin"/>
      </w:r>
      <w:r>
        <w:instrText xml:space="preserve"> PAGEREF _Toc225445183 \h </w:instrText>
      </w:r>
      <w:r>
        <w:fldChar w:fldCharType="separate"/>
      </w:r>
      <w:r>
        <w:t>2</w:t>
      </w:r>
      <w:r>
        <w:rPr>
          <w:rFonts w:asciiTheme="minorHAnsi" w:eastAsiaTheme="minorEastAsia" w:hAnsiTheme="minorHAnsi"/>
          <w:sz w:val="22"/>
          <w:lang w:val="en-IN" w:eastAsia="en-IN"/>
        </w:rPr>
        <w:fldChar w:fldCharType="end"/>
      </w:r>
      <w:r>
        <w:rPr>
          <w:rFonts w:asciiTheme="minorHAnsi" w:eastAsiaTheme="minorEastAsia" w:hAnsiTheme="minorHAnsi"/>
          <w:sz w:val="22"/>
          <w:lang w:val="en-IN" w:eastAsia="en-IN"/>
        </w:rPr>
        <w:fldChar w:fldCharType="end"/>
      </w:r>
    </w:p>
    <w:p w14:paraId="00000019">
      <w:pPr>
        <w:pStyle w:val="Toc1"/>
        <w:tabs>
          <w:tab w:val="right" w:leader="dot" w:pos="9350"/>
        </w:tabs>
        <w:rPr>
          <w:rFonts w:asciiTheme="minorHAnsi" w:eastAsiaTheme="minorEastAsia" w:hAnsiTheme="minorHAnsi"/>
          <w:sz w:val="22"/>
          <w:lang w:val="en-IN" w:eastAsia="en-IN"/>
        </w:rPr>
      </w:pPr>
      <w:r>
        <w:rPr>
          <w:rStyle w:val="Hyperlink"/>
        </w:rPr>
        <w:fldChar w:fldCharType="begin"/>
      </w:r>
      <w:r>
        <w:rPr>
          <w:rStyle w:val="Hyperlink"/>
        </w:rPr>
        <w:instrText xml:space="preserve">HYPERLINK \l "_Toc225445184" </w:instrText>
      </w:r>
      <w:r>
        <w:rPr>
          <w:rStyle w:val="Hyperlink"/>
        </w:rPr>
        <w:fldChar w:fldCharType="separate"/>
      </w:r>
      <w:r>
        <w:rPr>
          <w:rStyle w:val="Hyperlink"/>
        </w:rPr>
        <w:t>Part 1: Individual Report</w:t>
      </w:r>
      <w:r>
        <w:tab/>
      </w:r>
      <w:r>
        <w:fldChar w:fldCharType="begin"/>
      </w:r>
      <w:r>
        <w:instrText xml:space="preserve"> PAGEREF _Toc225445184 \h </w:instrText>
      </w:r>
      <w:r>
        <w:fldChar w:fldCharType="separate"/>
      </w:r>
      <w:r>
        <w:t>5</w:t>
      </w:r>
      <w:r>
        <w:rPr>
          <w:rFonts w:asciiTheme="minorHAnsi" w:eastAsiaTheme="minorEastAsia" w:hAnsiTheme="minorHAnsi"/>
          <w:sz w:val="22"/>
          <w:lang w:val="en-IN" w:eastAsia="en-IN"/>
        </w:rPr>
        <w:fldChar w:fldCharType="end"/>
      </w:r>
      <w:r>
        <w:rPr>
          <w:rFonts w:asciiTheme="minorHAnsi" w:eastAsiaTheme="minorEastAsia" w:hAnsiTheme="minorHAnsi"/>
          <w:sz w:val="22"/>
          <w:lang w:val="en-IN" w:eastAsia="en-IN"/>
        </w:rPr>
        <w:fldChar w:fldCharType="end"/>
      </w:r>
    </w:p>
    <w:p w14:paraId="0000001A">
      <w:pPr>
        <w:pStyle w:val="Toc1"/>
        <w:tabs>
          <w:tab w:val="right" w:leader="dot" w:pos="9350"/>
        </w:tabs>
        <w:rPr>
          <w:rFonts w:asciiTheme="minorHAnsi" w:eastAsiaTheme="minorEastAsia" w:hAnsiTheme="minorHAnsi"/>
          <w:sz w:val="22"/>
          <w:lang w:val="en-IN" w:eastAsia="en-IN"/>
        </w:rPr>
      </w:pPr>
      <w:r>
        <w:rPr>
          <w:rStyle w:val="Hyperlink"/>
        </w:rPr>
        <w:fldChar w:fldCharType="begin"/>
      </w:r>
      <w:r>
        <w:rPr>
          <w:rStyle w:val="Hyperlink"/>
        </w:rPr>
        <w:instrText xml:space="preserve">HYPERLINK \l "_Toc225445185" </w:instrText>
      </w:r>
      <w:r>
        <w:rPr>
          <w:rStyle w:val="Hyperlink"/>
        </w:rPr>
        <w:fldChar w:fldCharType="separate"/>
      </w:r>
      <w:r>
        <w:rPr>
          <w:rStyle w:val="Hyperlink"/>
        </w:rPr>
        <w:t>Introduction</w:t>
      </w:r>
      <w:r>
        <w:tab/>
      </w:r>
      <w:r>
        <w:fldChar w:fldCharType="begin"/>
      </w:r>
      <w:r>
        <w:instrText xml:space="preserve"> PAGEREF _Toc225445185 \h </w:instrText>
      </w:r>
      <w:r>
        <w:fldChar w:fldCharType="separate"/>
      </w:r>
      <w:r>
        <w:t>5</w:t>
      </w:r>
      <w:r>
        <w:rPr>
          <w:rFonts w:asciiTheme="minorHAnsi" w:eastAsiaTheme="minorEastAsia" w:hAnsiTheme="minorHAnsi"/>
          <w:sz w:val="22"/>
          <w:lang w:val="en-IN" w:eastAsia="en-IN"/>
        </w:rPr>
        <w:fldChar w:fldCharType="end"/>
      </w:r>
      <w:r>
        <w:rPr>
          <w:rFonts w:asciiTheme="minorHAnsi" w:eastAsiaTheme="minorEastAsia" w:hAnsiTheme="minorHAnsi"/>
          <w:sz w:val="22"/>
          <w:lang w:val="en-IN" w:eastAsia="en-IN"/>
        </w:rPr>
        <w:fldChar w:fldCharType="end"/>
      </w:r>
    </w:p>
    <w:p w14:paraId="0000001B">
      <w:pPr>
        <w:pStyle w:val="Toc1"/>
        <w:tabs>
          <w:tab w:val="right" w:leader="dot" w:pos="9350"/>
        </w:tabs>
        <w:rPr>
          <w:rFonts w:asciiTheme="minorHAnsi" w:eastAsiaTheme="minorEastAsia" w:hAnsiTheme="minorHAnsi"/>
          <w:sz w:val="22"/>
          <w:lang w:val="en-IN" w:eastAsia="en-IN"/>
        </w:rPr>
      </w:pPr>
      <w:r>
        <w:rPr>
          <w:rStyle w:val="Hyperlink"/>
        </w:rPr>
        <w:fldChar w:fldCharType="begin"/>
      </w:r>
      <w:r>
        <w:rPr>
          <w:rStyle w:val="Hyperlink"/>
        </w:rPr>
        <w:instrText xml:space="preserve">HYPERLINK \l "_Toc225445186" </w:instrText>
      </w:r>
      <w:r>
        <w:rPr>
          <w:rStyle w:val="Hyperlink"/>
        </w:rPr>
        <w:fldChar w:fldCharType="separate"/>
      </w:r>
      <w:r>
        <w:rPr>
          <w:rStyle w:val="Hyperlink"/>
        </w:rPr>
        <w:t>Critical Analysis</w:t>
      </w:r>
      <w:r>
        <w:tab/>
      </w:r>
      <w:r>
        <w:fldChar w:fldCharType="begin"/>
      </w:r>
      <w:r>
        <w:instrText xml:space="preserve"> PAGEREF _Toc225445186 \h </w:instrText>
      </w:r>
      <w:r>
        <w:fldChar w:fldCharType="separate"/>
      </w:r>
      <w:r>
        <w:t>6</w:t>
      </w:r>
      <w:r>
        <w:rPr>
          <w:rFonts w:asciiTheme="minorHAnsi" w:eastAsiaTheme="minorEastAsia" w:hAnsiTheme="minorHAnsi"/>
          <w:sz w:val="22"/>
          <w:lang w:val="en-IN" w:eastAsia="en-IN"/>
        </w:rPr>
        <w:fldChar w:fldCharType="end"/>
      </w:r>
      <w:r>
        <w:rPr>
          <w:rFonts w:asciiTheme="minorHAnsi" w:eastAsiaTheme="minorEastAsia" w:hAnsiTheme="minorHAnsi"/>
          <w:sz w:val="22"/>
          <w:lang w:val="en-IN" w:eastAsia="en-IN"/>
        </w:rPr>
        <w:fldChar w:fldCharType="end"/>
      </w:r>
    </w:p>
    <w:p w14:paraId="0000001C">
      <w:pPr>
        <w:pStyle w:val="Toc2"/>
        <w:tabs>
          <w:tab w:val="right" w:leader="dot" w:pos="9350"/>
        </w:tabs>
        <w:rPr>
          <w:rFonts w:asciiTheme="minorHAnsi" w:eastAsiaTheme="minorEastAsia" w:hAnsiTheme="minorHAnsi"/>
          <w:sz w:val="22"/>
          <w:lang w:val="en-IN" w:eastAsia="en-IN"/>
        </w:rPr>
      </w:pPr>
      <w:r>
        <w:rPr>
          <w:rStyle w:val="Hyperlink"/>
        </w:rPr>
        <w:fldChar w:fldCharType="begin"/>
      </w:r>
      <w:r>
        <w:rPr>
          <w:rStyle w:val="Hyperlink"/>
        </w:rPr>
        <w:instrText xml:space="preserve">HYPERLINK \l "_Toc225445187" </w:instrText>
      </w:r>
      <w:r>
        <w:rPr>
          <w:rStyle w:val="Hyperlink"/>
        </w:rPr>
        <w:fldChar w:fldCharType="separate"/>
      </w:r>
      <w:r>
        <w:rPr>
          <w:rStyle w:val="Hyperlink"/>
        </w:rPr>
        <w:t>Creativity vs Innovation</w:t>
      </w:r>
      <w:r>
        <w:tab/>
      </w:r>
      <w:r>
        <w:fldChar w:fldCharType="begin"/>
      </w:r>
      <w:r>
        <w:instrText xml:space="preserve"> PAGEREF _Toc225445187 \h </w:instrText>
      </w:r>
      <w:r>
        <w:fldChar w:fldCharType="separate"/>
      </w:r>
      <w:r>
        <w:t>6</w:t>
      </w:r>
      <w:r>
        <w:rPr>
          <w:rFonts w:asciiTheme="minorHAnsi" w:eastAsiaTheme="minorEastAsia" w:hAnsiTheme="minorHAnsi"/>
          <w:sz w:val="22"/>
          <w:lang w:val="en-IN" w:eastAsia="en-IN"/>
        </w:rPr>
        <w:fldChar w:fldCharType="end"/>
      </w:r>
      <w:r>
        <w:rPr>
          <w:rFonts w:asciiTheme="minorHAnsi" w:eastAsiaTheme="minorEastAsia" w:hAnsiTheme="minorHAnsi"/>
          <w:sz w:val="22"/>
          <w:lang w:val="en-IN" w:eastAsia="en-IN"/>
        </w:rPr>
        <w:fldChar w:fldCharType="end"/>
      </w:r>
    </w:p>
    <w:p w14:paraId="0000001D">
      <w:pPr>
        <w:pStyle w:val="Toc2"/>
        <w:tabs>
          <w:tab w:val="right" w:leader="dot" w:pos="9350"/>
        </w:tabs>
        <w:rPr>
          <w:rFonts w:asciiTheme="minorHAnsi" w:eastAsiaTheme="minorEastAsia" w:hAnsiTheme="minorHAnsi"/>
          <w:sz w:val="22"/>
          <w:lang w:val="en-IN" w:eastAsia="en-IN"/>
        </w:rPr>
      </w:pPr>
      <w:r>
        <w:rPr>
          <w:rStyle w:val="Hyperlink"/>
        </w:rPr>
        <w:fldChar w:fldCharType="begin"/>
      </w:r>
      <w:r>
        <w:rPr>
          <w:rStyle w:val="Hyperlink"/>
        </w:rPr>
        <w:instrText xml:space="preserve">HYPERLINK \l "_Toc225445188" </w:instrText>
      </w:r>
      <w:r>
        <w:rPr>
          <w:rStyle w:val="Hyperlink"/>
        </w:rPr>
        <w:fldChar w:fldCharType="separate"/>
      </w:r>
      <w:r>
        <w:rPr>
          <w:rStyle w:val="Hyperlink"/>
        </w:rPr>
        <w:t>Capitalist Models: Problems of Innovation</w:t>
      </w:r>
      <w:r>
        <w:tab/>
      </w:r>
      <w:r>
        <w:fldChar w:fldCharType="begin"/>
      </w:r>
      <w:r>
        <w:instrText xml:space="preserve"> PAGEREF _Toc225445188 \h </w:instrText>
      </w:r>
      <w:r>
        <w:fldChar w:fldCharType="separate"/>
      </w:r>
      <w:r>
        <w:t>6</w:t>
      </w:r>
      <w:r>
        <w:rPr>
          <w:rFonts w:asciiTheme="minorHAnsi" w:eastAsiaTheme="minorEastAsia" w:hAnsiTheme="minorHAnsi"/>
          <w:sz w:val="22"/>
          <w:lang w:val="en-IN" w:eastAsia="en-IN"/>
        </w:rPr>
        <w:fldChar w:fldCharType="end"/>
      </w:r>
      <w:r>
        <w:rPr>
          <w:rFonts w:asciiTheme="minorHAnsi" w:eastAsiaTheme="minorEastAsia" w:hAnsiTheme="minorHAnsi"/>
          <w:sz w:val="22"/>
          <w:lang w:val="en-IN" w:eastAsia="en-IN"/>
        </w:rPr>
        <w:fldChar w:fldCharType="end"/>
      </w:r>
    </w:p>
    <w:p w14:paraId="0000001E">
      <w:pPr>
        <w:pStyle w:val="Toc1"/>
        <w:tabs>
          <w:tab w:val="right" w:leader="dot" w:pos="9350"/>
        </w:tabs>
        <w:rPr>
          <w:rFonts w:asciiTheme="minorHAnsi" w:eastAsiaTheme="minorEastAsia" w:hAnsiTheme="minorHAnsi"/>
          <w:sz w:val="22"/>
          <w:lang w:val="en-IN" w:eastAsia="en-IN"/>
        </w:rPr>
      </w:pPr>
      <w:r>
        <w:rPr>
          <w:rStyle w:val="Hyperlink"/>
        </w:rPr>
        <w:fldChar w:fldCharType="begin"/>
      </w:r>
      <w:r>
        <w:rPr>
          <w:rStyle w:val="Hyperlink"/>
        </w:rPr>
        <w:instrText xml:space="preserve">HYPERLINK \l "_Toc225445189" </w:instrText>
      </w:r>
      <w:r>
        <w:rPr>
          <w:rStyle w:val="Hyperlink"/>
        </w:rPr>
        <w:fldChar w:fldCharType="separate"/>
      </w:r>
      <w:r>
        <w:rPr>
          <w:rStyle w:val="Hyperlink"/>
        </w:rPr>
        <w:t>Creative Evolution</w:t>
      </w:r>
      <w:r>
        <w:tab/>
      </w:r>
      <w:r>
        <w:fldChar w:fldCharType="begin"/>
      </w:r>
      <w:r>
        <w:instrText xml:space="preserve"> PAGEREF _Toc225445189 \h </w:instrText>
      </w:r>
      <w:r>
        <w:fldChar w:fldCharType="separate"/>
      </w:r>
      <w:r>
        <w:t>7</w:t>
      </w:r>
      <w:r>
        <w:rPr>
          <w:rFonts w:asciiTheme="minorHAnsi" w:eastAsiaTheme="minorEastAsia" w:hAnsiTheme="minorHAnsi"/>
          <w:sz w:val="22"/>
          <w:lang w:val="en-IN" w:eastAsia="en-IN"/>
        </w:rPr>
        <w:fldChar w:fldCharType="end"/>
      </w:r>
      <w:r>
        <w:rPr>
          <w:rFonts w:asciiTheme="minorHAnsi" w:eastAsiaTheme="minorEastAsia" w:hAnsiTheme="minorHAnsi"/>
          <w:sz w:val="22"/>
          <w:lang w:val="en-IN" w:eastAsia="en-IN"/>
        </w:rPr>
        <w:fldChar w:fldCharType="end"/>
      </w:r>
    </w:p>
    <w:p w14:paraId="0000001F">
      <w:pPr>
        <w:pStyle w:val="Toc2"/>
        <w:tabs>
          <w:tab w:val="right" w:leader="dot" w:pos="9350"/>
        </w:tabs>
        <w:rPr>
          <w:rFonts w:asciiTheme="minorHAnsi" w:eastAsiaTheme="minorEastAsia" w:hAnsiTheme="minorHAnsi"/>
          <w:sz w:val="22"/>
          <w:lang w:val="en-IN" w:eastAsia="en-IN"/>
        </w:rPr>
      </w:pPr>
      <w:r>
        <w:rPr>
          <w:rStyle w:val="Hyperlink"/>
        </w:rPr>
        <w:fldChar w:fldCharType="begin"/>
      </w:r>
      <w:r>
        <w:rPr>
          <w:rStyle w:val="Hyperlink"/>
        </w:rPr>
        <w:instrText xml:space="preserve">HYPERLINK \l "_Toc225445190" </w:instrText>
      </w:r>
      <w:r>
        <w:rPr>
          <w:rStyle w:val="Hyperlink"/>
        </w:rPr>
        <w:fldChar w:fldCharType="separate"/>
      </w:r>
      <w:r>
        <w:rPr>
          <w:rStyle w:val="Hyperlink"/>
        </w:rPr>
        <w:t>Suggested Creative Solution</w:t>
      </w:r>
      <w:r>
        <w:tab/>
      </w:r>
      <w:r>
        <w:fldChar w:fldCharType="begin"/>
      </w:r>
      <w:r>
        <w:instrText xml:space="preserve"> PAGEREF _Toc225445190 \h </w:instrText>
      </w:r>
      <w:r>
        <w:fldChar w:fldCharType="separate"/>
      </w:r>
      <w:r>
        <w:t>7</w:t>
      </w:r>
      <w:r>
        <w:rPr>
          <w:rFonts w:asciiTheme="minorHAnsi" w:eastAsiaTheme="minorEastAsia" w:hAnsiTheme="minorHAnsi"/>
          <w:sz w:val="22"/>
          <w:lang w:val="en-IN" w:eastAsia="en-IN"/>
        </w:rPr>
        <w:fldChar w:fldCharType="end"/>
      </w:r>
      <w:r>
        <w:rPr>
          <w:rFonts w:asciiTheme="minorHAnsi" w:eastAsiaTheme="minorEastAsia" w:hAnsiTheme="minorHAnsi"/>
          <w:sz w:val="22"/>
          <w:lang w:val="en-IN" w:eastAsia="en-IN"/>
        </w:rPr>
        <w:fldChar w:fldCharType="end"/>
      </w:r>
    </w:p>
    <w:p w14:paraId="00000020">
      <w:pPr>
        <w:pStyle w:val="Toc1"/>
        <w:tabs>
          <w:tab w:val="right" w:leader="dot" w:pos="9350"/>
        </w:tabs>
        <w:rPr>
          <w:rFonts w:asciiTheme="minorHAnsi" w:eastAsiaTheme="minorEastAsia" w:hAnsiTheme="minorHAnsi"/>
          <w:sz w:val="22"/>
          <w:lang w:val="en-IN" w:eastAsia="en-IN"/>
        </w:rPr>
      </w:pPr>
      <w:r>
        <w:rPr>
          <w:rStyle w:val="Hyperlink"/>
        </w:rPr>
        <w:fldChar w:fldCharType="begin"/>
      </w:r>
      <w:r>
        <w:rPr>
          <w:rStyle w:val="Hyperlink"/>
        </w:rPr>
        <w:instrText xml:space="preserve">HYPERLINK \l "_Toc225445191" </w:instrText>
      </w:r>
      <w:r>
        <w:rPr>
          <w:rStyle w:val="Hyperlink"/>
        </w:rPr>
        <w:fldChar w:fldCharType="separate"/>
      </w:r>
      <w:r>
        <w:rPr>
          <w:rStyle w:val="Hyperlink"/>
        </w:rPr>
        <w:t>Model of Innovation</w:t>
      </w:r>
      <w:r>
        <w:tab/>
      </w:r>
      <w:r>
        <w:fldChar w:fldCharType="begin"/>
      </w:r>
      <w:r>
        <w:instrText xml:space="preserve"> PAGEREF _Toc225445191 \h </w:instrText>
      </w:r>
      <w:r>
        <w:fldChar w:fldCharType="separate"/>
      </w:r>
      <w:r>
        <w:t>9</w:t>
      </w:r>
      <w:r>
        <w:rPr>
          <w:rFonts w:asciiTheme="minorHAnsi" w:eastAsiaTheme="minorEastAsia" w:hAnsiTheme="minorHAnsi"/>
          <w:sz w:val="22"/>
          <w:lang w:val="en-IN" w:eastAsia="en-IN"/>
        </w:rPr>
        <w:fldChar w:fldCharType="end"/>
      </w:r>
      <w:r>
        <w:rPr>
          <w:rFonts w:asciiTheme="minorHAnsi" w:eastAsiaTheme="minorEastAsia" w:hAnsiTheme="minorHAnsi"/>
          <w:sz w:val="22"/>
          <w:lang w:val="en-IN" w:eastAsia="en-IN"/>
        </w:rPr>
        <w:fldChar w:fldCharType="end"/>
      </w:r>
    </w:p>
    <w:p w14:paraId="00000021">
      <w:pPr>
        <w:pStyle w:val="Toc1"/>
        <w:tabs>
          <w:tab w:val="right" w:leader="dot" w:pos="9350"/>
        </w:tabs>
        <w:rPr>
          <w:rFonts w:asciiTheme="minorHAnsi" w:eastAsiaTheme="minorEastAsia" w:hAnsiTheme="minorHAnsi"/>
          <w:sz w:val="22"/>
          <w:lang w:val="en-IN" w:eastAsia="en-IN"/>
        </w:rPr>
      </w:pPr>
      <w:r>
        <w:rPr>
          <w:rStyle w:val="Hyperlink"/>
        </w:rPr>
        <w:fldChar w:fldCharType="begin"/>
      </w:r>
      <w:r>
        <w:rPr>
          <w:rStyle w:val="Hyperlink"/>
        </w:rPr>
        <w:instrText xml:space="preserve">HYPERLINK \l "_Toc225445192" </w:instrText>
      </w:r>
      <w:r>
        <w:rPr>
          <w:rStyle w:val="Hyperlink"/>
        </w:rPr>
        <w:fldChar w:fldCharType="separate"/>
      </w:r>
      <w:r>
        <w:rPr>
          <w:rStyle w:val="Hyperlink"/>
        </w:rPr>
        <w:t>Creativity Process</w:t>
      </w:r>
      <w:r>
        <w:tab/>
      </w:r>
      <w:r>
        <w:fldChar w:fldCharType="begin"/>
      </w:r>
      <w:r>
        <w:instrText xml:space="preserve"> PAGEREF _Toc225445192 \h </w:instrText>
      </w:r>
      <w:r>
        <w:fldChar w:fldCharType="separate"/>
      </w:r>
      <w:r>
        <w:t>10</w:t>
      </w:r>
      <w:r>
        <w:rPr>
          <w:rFonts w:asciiTheme="minorHAnsi" w:eastAsiaTheme="minorEastAsia" w:hAnsiTheme="minorHAnsi"/>
          <w:sz w:val="22"/>
          <w:lang w:val="en-IN" w:eastAsia="en-IN"/>
        </w:rPr>
        <w:fldChar w:fldCharType="end"/>
      </w:r>
      <w:r>
        <w:rPr>
          <w:rFonts w:asciiTheme="minorHAnsi" w:eastAsiaTheme="minorEastAsia" w:hAnsiTheme="minorHAnsi"/>
          <w:sz w:val="22"/>
          <w:lang w:val="en-IN" w:eastAsia="en-IN"/>
        </w:rPr>
        <w:fldChar w:fldCharType="end"/>
      </w:r>
    </w:p>
    <w:p w14:paraId="00000022">
      <w:pPr>
        <w:pStyle w:val="Toc1"/>
        <w:tabs>
          <w:tab w:val="right" w:leader="dot" w:pos="9350"/>
        </w:tabs>
        <w:rPr>
          <w:rFonts w:asciiTheme="minorHAnsi" w:eastAsiaTheme="minorEastAsia" w:hAnsiTheme="minorHAnsi"/>
          <w:sz w:val="22"/>
          <w:lang w:val="en-IN" w:eastAsia="en-IN"/>
        </w:rPr>
      </w:pPr>
      <w:r>
        <w:rPr>
          <w:rStyle w:val="Hyperlink"/>
        </w:rPr>
        <w:fldChar w:fldCharType="begin"/>
      </w:r>
      <w:r>
        <w:rPr>
          <w:rStyle w:val="Hyperlink"/>
        </w:rPr>
        <w:instrText xml:space="preserve">HYPERLINK \l "_Toc225445193" </w:instrText>
      </w:r>
      <w:r>
        <w:rPr>
          <w:rStyle w:val="Hyperlink"/>
        </w:rPr>
        <w:fldChar w:fldCharType="separate"/>
      </w:r>
      <w:r>
        <w:rPr>
          <w:rStyle w:val="Hyperlink"/>
        </w:rPr>
        <w:t>Force Field Analysis</w:t>
      </w:r>
      <w:r>
        <w:tab/>
      </w:r>
      <w:r>
        <w:fldChar w:fldCharType="begin"/>
      </w:r>
      <w:r>
        <w:instrText xml:space="preserve"> PAGEREF _Toc225445193 \h </w:instrText>
      </w:r>
      <w:r>
        <w:fldChar w:fldCharType="separate"/>
      </w:r>
      <w:r>
        <w:t>11</w:t>
      </w:r>
      <w:r>
        <w:rPr>
          <w:rFonts w:asciiTheme="minorHAnsi" w:eastAsiaTheme="minorEastAsia" w:hAnsiTheme="minorHAnsi"/>
          <w:sz w:val="22"/>
          <w:lang w:val="en-IN" w:eastAsia="en-IN"/>
        </w:rPr>
        <w:fldChar w:fldCharType="end"/>
      </w:r>
      <w:r>
        <w:rPr>
          <w:rFonts w:asciiTheme="minorHAnsi" w:eastAsiaTheme="minorEastAsia" w:hAnsiTheme="minorHAnsi"/>
          <w:sz w:val="22"/>
          <w:lang w:val="en-IN" w:eastAsia="en-IN"/>
        </w:rPr>
        <w:fldChar w:fldCharType="end"/>
      </w:r>
    </w:p>
    <w:p w14:paraId="00000023">
      <w:pPr>
        <w:pStyle w:val="Toc2"/>
        <w:tabs>
          <w:tab w:val="right" w:leader="dot" w:pos="9350"/>
        </w:tabs>
        <w:rPr>
          <w:rFonts w:asciiTheme="minorHAnsi" w:eastAsiaTheme="minorEastAsia" w:hAnsiTheme="minorHAnsi"/>
          <w:sz w:val="22"/>
          <w:lang w:val="en-IN" w:eastAsia="en-IN"/>
        </w:rPr>
      </w:pPr>
      <w:r>
        <w:rPr>
          <w:rStyle w:val="Hyperlink"/>
        </w:rPr>
        <w:fldChar w:fldCharType="begin"/>
      </w:r>
      <w:r>
        <w:rPr>
          <w:rStyle w:val="Hyperlink"/>
        </w:rPr>
        <w:instrText xml:space="preserve">HYPERLINK \l "_Toc225445194" </w:instrText>
      </w:r>
      <w:r>
        <w:rPr>
          <w:rStyle w:val="Hyperlink"/>
        </w:rPr>
        <w:fldChar w:fldCharType="separate"/>
      </w:r>
      <w:r>
        <w:rPr>
          <w:rStyle w:val="Hyperlink"/>
        </w:rPr>
        <w:t>Driving Forces</w:t>
      </w:r>
      <w:r>
        <w:tab/>
      </w:r>
      <w:r>
        <w:fldChar w:fldCharType="begin"/>
      </w:r>
      <w:r>
        <w:instrText xml:space="preserve"> PAGEREF _Toc225445194 \h </w:instrText>
      </w:r>
      <w:r>
        <w:fldChar w:fldCharType="separate"/>
      </w:r>
      <w:r>
        <w:t>11</w:t>
      </w:r>
      <w:r>
        <w:rPr>
          <w:rFonts w:asciiTheme="minorHAnsi" w:eastAsiaTheme="minorEastAsia" w:hAnsiTheme="minorHAnsi"/>
          <w:sz w:val="22"/>
          <w:lang w:val="en-IN" w:eastAsia="en-IN"/>
        </w:rPr>
        <w:fldChar w:fldCharType="end"/>
      </w:r>
      <w:r>
        <w:rPr>
          <w:rFonts w:asciiTheme="minorHAnsi" w:eastAsiaTheme="minorEastAsia" w:hAnsiTheme="minorHAnsi"/>
          <w:sz w:val="22"/>
          <w:lang w:val="en-IN" w:eastAsia="en-IN"/>
        </w:rPr>
        <w:fldChar w:fldCharType="end"/>
      </w:r>
    </w:p>
    <w:p w14:paraId="00000024">
      <w:pPr>
        <w:pStyle w:val="Toc2"/>
        <w:tabs>
          <w:tab w:val="right" w:leader="dot" w:pos="9350"/>
        </w:tabs>
        <w:rPr>
          <w:rFonts w:asciiTheme="minorHAnsi" w:eastAsiaTheme="minorEastAsia" w:hAnsiTheme="minorHAnsi"/>
          <w:sz w:val="22"/>
          <w:lang w:val="en-IN" w:eastAsia="en-IN"/>
        </w:rPr>
      </w:pPr>
      <w:r>
        <w:rPr>
          <w:rStyle w:val="Hyperlink"/>
        </w:rPr>
        <w:fldChar w:fldCharType="begin"/>
      </w:r>
      <w:r>
        <w:rPr>
          <w:rStyle w:val="Hyperlink"/>
        </w:rPr>
        <w:instrText xml:space="preserve">HYPERLINK \l "_Toc225445195" </w:instrText>
      </w:r>
      <w:r>
        <w:rPr>
          <w:rStyle w:val="Hyperlink"/>
        </w:rPr>
        <w:fldChar w:fldCharType="separate"/>
      </w:r>
      <w:r>
        <w:rPr>
          <w:rStyle w:val="Hyperlink"/>
        </w:rPr>
        <w:t>Restraining Forces</w:t>
      </w:r>
      <w:r>
        <w:tab/>
      </w:r>
      <w:r>
        <w:fldChar w:fldCharType="begin"/>
      </w:r>
      <w:r>
        <w:instrText xml:space="preserve"> PAGEREF _Toc225445195 \h </w:instrText>
      </w:r>
      <w:r>
        <w:fldChar w:fldCharType="separate"/>
      </w:r>
      <w:r>
        <w:t>11</w:t>
      </w:r>
      <w:r>
        <w:rPr>
          <w:rFonts w:asciiTheme="minorHAnsi" w:eastAsiaTheme="minorEastAsia" w:hAnsiTheme="minorHAnsi"/>
          <w:sz w:val="22"/>
          <w:lang w:val="en-IN" w:eastAsia="en-IN"/>
        </w:rPr>
        <w:fldChar w:fldCharType="end"/>
      </w:r>
      <w:r>
        <w:rPr>
          <w:rFonts w:asciiTheme="minorHAnsi" w:eastAsiaTheme="minorEastAsia" w:hAnsiTheme="minorHAnsi"/>
          <w:sz w:val="22"/>
          <w:lang w:val="en-IN" w:eastAsia="en-IN"/>
        </w:rPr>
        <w:fldChar w:fldCharType="end"/>
      </w:r>
    </w:p>
    <w:p w14:paraId="00000025">
      <w:pPr>
        <w:pStyle w:val="Toc2"/>
        <w:tabs>
          <w:tab w:val="right" w:leader="dot" w:pos="9350"/>
        </w:tabs>
        <w:rPr>
          <w:rFonts w:asciiTheme="minorHAnsi" w:eastAsiaTheme="minorEastAsia" w:hAnsiTheme="minorHAnsi"/>
          <w:sz w:val="22"/>
          <w:lang w:val="en-IN" w:eastAsia="en-IN"/>
        </w:rPr>
      </w:pPr>
      <w:r>
        <w:rPr>
          <w:rStyle w:val="Hyperlink"/>
        </w:rPr>
        <w:fldChar w:fldCharType="begin"/>
      </w:r>
      <w:r>
        <w:rPr>
          <w:rStyle w:val="Hyperlink"/>
        </w:rPr>
        <w:instrText xml:space="preserve">HYPERLINK \l "_Toc225445196" </w:instrText>
      </w:r>
      <w:r>
        <w:rPr>
          <w:rStyle w:val="Hyperlink"/>
        </w:rPr>
        <w:fldChar w:fldCharType="separate"/>
      </w:r>
      <w:r>
        <w:rPr>
          <w:rStyle w:val="Hyperlink"/>
        </w:rPr>
        <w:t>Evaluation of the Idea</w:t>
      </w:r>
      <w:r>
        <w:tab/>
      </w:r>
      <w:r>
        <w:fldChar w:fldCharType="begin"/>
      </w:r>
      <w:r>
        <w:instrText xml:space="preserve"> PAGEREF _Toc225445196 \h </w:instrText>
      </w:r>
      <w:r>
        <w:fldChar w:fldCharType="separate"/>
      </w:r>
      <w:r>
        <w:t>12</w:t>
      </w:r>
      <w:r>
        <w:rPr>
          <w:rFonts w:asciiTheme="minorHAnsi" w:eastAsiaTheme="minorEastAsia" w:hAnsiTheme="minorHAnsi"/>
          <w:sz w:val="22"/>
          <w:lang w:val="en-IN" w:eastAsia="en-IN"/>
        </w:rPr>
        <w:fldChar w:fldCharType="end"/>
      </w:r>
      <w:r>
        <w:rPr>
          <w:rFonts w:asciiTheme="minorHAnsi" w:eastAsiaTheme="minorEastAsia" w:hAnsiTheme="minorHAnsi"/>
          <w:sz w:val="22"/>
          <w:lang w:val="en-IN" w:eastAsia="en-IN"/>
        </w:rPr>
        <w:fldChar w:fldCharType="end"/>
      </w:r>
    </w:p>
    <w:p w14:paraId="00000026">
      <w:pPr>
        <w:pStyle w:val="Toc1"/>
        <w:tabs>
          <w:tab w:val="right" w:leader="dot" w:pos="9350"/>
        </w:tabs>
        <w:rPr>
          <w:rFonts w:asciiTheme="minorHAnsi" w:eastAsiaTheme="minorEastAsia" w:hAnsiTheme="minorHAnsi"/>
          <w:sz w:val="22"/>
          <w:lang w:val="en-IN" w:eastAsia="en-IN"/>
        </w:rPr>
      </w:pPr>
      <w:r>
        <w:rPr>
          <w:rStyle w:val="Hyperlink"/>
        </w:rPr>
        <w:fldChar w:fldCharType="begin"/>
      </w:r>
      <w:r>
        <w:rPr>
          <w:rStyle w:val="Hyperlink"/>
        </w:rPr>
        <w:instrText xml:space="preserve">HYPERLINK \l "_Toc225445197" </w:instrText>
      </w:r>
      <w:r>
        <w:rPr>
          <w:rStyle w:val="Hyperlink"/>
        </w:rPr>
        <w:fldChar w:fldCharType="separate"/>
      </w:r>
      <w:r>
        <w:rPr>
          <w:rStyle w:val="Hyperlink"/>
        </w:rPr>
        <w:t>Innovation Organisational Climate Support</w:t>
      </w:r>
      <w:r>
        <w:tab/>
      </w:r>
      <w:r>
        <w:fldChar w:fldCharType="begin"/>
      </w:r>
      <w:r>
        <w:instrText xml:space="preserve"> PAGEREF _Toc225445197 \h </w:instrText>
      </w:r>
      <w:r>
        <w:fldChar w:fldCharType="separate"/>
      </w:r>
      <w:r>
        <w:t>13</w:t>
      </w:r>
      <w:r>
        <w:rPr>
          <w:rFonts w:asciiTheme="minorHAnsi" w:eastAsiaTheme="minorEastAsia" w:hAnsiTheme="minorHAnsi"/>
          <w:sz w:val="22"/>
          <w:lang w:val="en-IN" w:eastAsia="en-IN"/>
        </w:rPr>
        <w:fldChar w:fldCharType="end"/>
      </w:r>
      <w:r>
        <w:rPr>
          <w:rFonts w:asciiTheme="minorHAnsi" w:eastAsiaTheme="minorEastAsia" w:hAnsiTheme="minorHAnsi"/>
          <w:sz w:val="22"/>
          <w:lang w:val="en-IN" w:eastAsia="en-IN"/>
        </w:rPr>
        <w:fldChar w:fldCharType="end"/>
      </w:r>
    </w:p>
    <w:p w14:paraId="00000027">
      <w:pPr>
        <w:pStyle w:val="Toc1"/>
        <w:tabs>
          <w:tab w:val="right" w:leader="dot" w:pos="9350"/>
        </w:tabs>
        <w:rPr>
          <w:rFonts w:asciiTheme="minorHAnsi" w:eastAsiaTheme="minorEastAsia" w:hAnsiTheme="minorHAnsi"/>
          <w:sz w:val="22"/>
          <w:lang w:val="en-IN" w:eastAsia="en-IN"/>
        </w:rPr>
      </w:pPr>
      <w:r>
        <w:rPr>
          <w:rStyle w:val="Hyperlink"/>
        </w:rPr>
        <w:fldChar w:fldCharType="begin"/>
      </w:r>
      <w:r>
        <w:rPr>
          <w:rStyle w:val="Hyperlink"/>
        </w:rPr>
        <w:instrText xml:space="preserve">HYPERLINK \l "_Toc225445198" </w:instrText>
      </w:r>
      <w:r>
        <w:rPr>
          <w:rStyle w:val="Hyperlink"/>
        </w:rPr>
        <w:fldChar w:fldCharType="separate"/>
      </w:r>
      <w:r>
        <w:rPr>
          <w:rStyle w:val="Hyperlink"/>
        </w:rPr>
        <w:t>Conclusion</w:t>
      </w:r>
      <w:r>
        <w:tab/>
      </w:r>
      <w:r>
        <w:fldChar w:fldCharType="begin"/>
      </w:r>
      <w:r>
        <w:instrText xml:space="preserve"> PAGEREF _Toc225445198 \h </w:instrText>
      </w:r>
      <w:r>
        <w:fldChar w:fldCharType="separate"/>
      </w:r>
      <w:r>
        <w:t>14</w:t>
      </w:r>
      <w:r>
        <w:rPr>
          <w:rFonts w:asciiTheme="minorHAnsi" w:eastAsiaTheme="minorEastAsia" w:hAnsiTheme="minorHAnsi"/>
          <w:sz w:val="22"/>
          <w:lang w:val="en-IN" w:eastAsia="en-IN"/>
        </w:rPr>
        <w:fldChar w:fldCharType="end"/>
      </w:r>
      <w:r>
        <w:rPr>
          <w:rFonts w:asciiTheme="minorHAnsi" w:eastAsiaTheme="minorEastAsia" w:hAnsiTheme="minorHAnsi"/>
          <w:sz w:val="22"/>
          <w:lang w:val="en-IN" w:eastAsia="en-IN"/>
        </w:rPr>
        <w:fldChar w:fldCharType="end"/>
      </w:r>
    </w:p>
    <w:p w14:paraId="00000028">
      <w:pPr>
        <w:pStyle w:val="Toc1"/>
        <w:tabs>
          <w:tab w:val="right" w:leader="dot" w:pos="9350"/>
        </w:tabs>
        <w:rPr>
          <w:rFonts w:asciiTheme="minorHAnsi" w:eastAsiaTheme="minorEastAsia" w:hAnsiTheme="minorHAnsi"/>
          <w:sz w:val="22"/>
          <w:lang w:val="en-IN" w:eastAsia="en-IN"/>
        </w:rPr>
      </w:pPr>
      <w:r>
        <w:rPr>
          <w:rStyle w:val="Hyperlink"/>
        </w:rPr>
        <w:fldChar w:fldCharType="begin"/>
      </w:r>
      <w:r>
        <w:rPr>
          <w:rStyle w:val="Hyperlink"/>
        </w:rPr>
        <w:instrText xml:space="preserve">HYPERLINK \l "_Toc225445199" </w:instrText>
      </w:r>
      <w:r>
        <w:rPr>
          <w:rStyle w:val="Hyperlink"/>
        </w:rPr>
        <w:fldChar w:fldCharType="separate"/>
      </w:r>
      <w:r>
        <w:rPr>
          <w:rStyle w:val="Hyperlink"/>
        </w:rPr>
        <w:t>Part 2: AI-Supported Development of the Creative Solution</w:t>
      </w:r>
      <w:r>
        <w:tab/>
      </w:r>
      <w:r>
        <w:fldChar w:fldCharType="begin"/>
      </w:r>
      <w:r>
        <w:instrText xml:space="preserve"> PAGEREF _Toc225445199 \h </w:instrText>
      </w:r>
      <w:r>
        <w:fldChar w:fldCharType="separate"/>
      </w:r>
      <w:r>
        <w:t>15</w:t>
      </w:r>
      <w:r>
        <w:rPr>
          <w:rFonts w:asciiTheme="minorHAnsi" w:eastAsiaTheme="minorEastAsia" w:hAnsiTheme="minorHAnsi"/>
          <w:sz w:val="22"/>
          <w:lang w:val="en-IN" w:eastAsia="en-IN"/>
        </w:rPr>
        <w:fldChar w:fldCharType="end"/>
      </w:r>
      <w:r>
        <w:rPr>
          <w:rFonts w:asciiTheme="minorHAnsi" w:eastAsiaTheme="minorEastAsia" w:hAnsiTheme="minorHAnsi"/>
          <w:sz w:val="22"/>
          <w:lang w:val="en-IN" w:eastAsia="en-IN"/>
        </w:rPr>
        <w:fldChar w:fldCharType="end"/>
      </w:r>
    </w:p>
    <w:p w14:paraId="00000029">
      <w:pPr>
        <w:pStyle w:val="Toc2"/>
        <w:tabs>
          <w:tab w:val="right" w:leader="dot" w:pos="9350"/>
        </w:tabs>
        <w:rPr>
          <w:rFonts w:asciiTheme="minorHAnsi" w:eastAsiaTheme="minorEastAsia" w:hAnsiTheme="minorHAnsi"/>
          <w:sz w:val="22"/>
          <w:lang w:val="en-IN" w:eastAsia="en-IN"/>
        </w:rPr>
      </w:pPr>
      <w:r>
        <w:rPr>
          <w:rStyle w:val="Hyperlink"/>
        </w:rPr>
        <w:fldChar w:fldCharType="begin"/>
      </w:r>
      <w:r>
        <w:rPr>
          <w:rStyle w:val="Hyperlink"/>
        </w:rPr>
        <w:instrText xml:space="preserve">HYPERLINK \l "_Toc225445200" </w:instrText>
      </w:r>
      <w:r>
        <w:rPr>
          <w:rStyle w:val="Hyperlink"/>
        </w:rPr>
        <w:fldChar w:fldCharType="separate"/>
      </w:r>
      <w:r>
        <w:rPr>
          <w:rStyle w:val="Hyperlink"/>
        </w:rPr>
        <w:t>Introduction</w:t>
      </w:r>
      <w:r>
        <w:tab/>
      </w:r>
      <w:r>
        <w:fldChar w:fldCharType="begin"/>
      </w:r>
      <w:r>
        <w:instrText xml:space="preserve"> PAGEREF _Toc225445200 \h </w:instrText>
      </w:r>
      <w:r>
        <w:fldChar w:fldCharType="separate"/>
      </w:r>
      <w:r>
        <w:t>15</w:t>
      </w:r>
      <w:r>
        <w:rPr>
          <w:rFonts w:asciiTheme="minorHAnsi" w:eastAsiaTheme="minorEastAsia" w:hAnsiTheme="minorHAnsi"/>
          <w:sz w:val="22"/>
          <w:lang w:val="en-IN" w:eastAsia="en-IN"/>
        </w:rPr>
        <w:fldChar w:fldCharType="end"/>
      </w:r>
      <w:r>
        <w:rPr>
          <w:rFonts w:asciiTheme="minorHAnsi" w:eastAsiaTheme="minorEastAsia" w:hAnsiTheme="minorHAnsi"/>
          <w:sz w:val="22"/>
          <w:lang w:val="en-IN" w:eastAsia="en-IN"/>
        </w:rPr>
        <w:fldChar w:fldCharType="end"/>
      </w:r>
    </w:p>
    <w:p w14:paraId="0000002A">
      <w:pPr>
        <w:pStyle w:val="Toc2"/>
        <w:tabs>
          <w:tab w:val="right" w:leader="dot" w:pos="9350"/>
        </w:tabs>
        <w:rPr>
          <w:rFonts w:asciiTheme="minorHAnsi" w:eastAsiaTheme="minorEastAsia" w:hAnsiTheme="minorHAnsi"/>
          <w:sz w:val="22"/>
          <w:lang w:val="en-IN" w:eastAsia="en-IN"/>
        </w:rPr>
      </w:pPr>
      <w:r>
        <w:rPr>
          <w:rStyle w:val="Hyperlink"/>
        </w:rPr>
        <w:fldChar w:fldCharType="begin"/>
      </w:r>
      <w:r>
        <w:rPr>
          <w:rStyle w:val="Hyperlink"/>
        </w:rPr>
        <w:instrText xml:space="preserve">HYPERLINK \l "_Toc225445201" </w:instrText>
      </w:r>
      <w:r>
        <w:rPr>
          <w:rStyle w:val="Hyperlink"/>
        </w:rPr>
        <w:fldChar w:fldCharType="separate"/>
      </w:r>
      <w:r>
        <w:rPr>
          <w:rStyle w:val="Hyperlink"/>
        </w:rPr>
        <w:t>Process Narrative</w:t>
      </w:r>
      <w:r>
        <w:tab/>
      </w:r>
      <w:r>
        <w:fldChar w:fldCharType="begin"/>
      </w:r>
      <w:r>
        <w:instrText xml:space="preserve"> PAGEREF _Toc225445201 \h </w:instrText>
      </w:r>
      <w:r>
        <w:fldChar w:fldCharType="separate"/>
      </w:r>
      <w:r>
        <w:t>16</w:t>
      </w:r>
      <w:r>
        <w:rPr>
          <w:rFonts w:asciiTheme="minorHAnsi" w:eastAsiaTheme="minorEastAsia" w:hAnsiTheme="minorHAnsi"/>
          <w:sz w:val="22"/>
          <w:lang w:val="en-IN" w:eastAsia="en-IN"/>
        </w:rPr>
        <w:fldChar w:fldCharType="end"/>
      </w:r>
      <w:r>
        <w:rPr>
          <w:rFonts w:asciiTheme="minorHAnsi" w:eastAsiaTheme="minorEastAsia" w:hAnsiTheme="minorHAnsi"/>
          <w:sz w:val="22"/>
          <w:lang w:val="en-IN" w:eastAsia="en-IN"/>
        </w:rPr>
        <w:fldChar w:fldCharType="end"/>
      </w:r>
    </w:p>
    <w:p w14:paraId="0000002B">
      <w:pPr>
        <w:pStyle w:val="Toc2"/>
        <w:tabs>
          <w:tab w:val="right" w:leader="dot" w:pos="9350"/>
        </w:tabs>
        <w:rPr>
          <w:rFonts w:asciiTheme="minorHAnsi" w:eastAsiaTheme="minorEastAsia" w:hAnsiTheme="minorHAnsi"/>
          <w:sz w:val="22"/>
          <w:lang w:val="en-IN" w:eastAsia="en-IN"/>
        </w:rPr>
      </w:pPr>
      <w:r>
        <w:rPr>
          <w:rStyle w:val="Hyperlink"/>
        </w:rPr>
        <w:fldChar w:fldCharType="begin"/>
      </w:r>
      <w:r>
        <w:rPr>
          <w:rStyle w:val="Hyperlink"/>
        </w:rPr>
        <w:instrText xml:space="preserve">HYPERLINK \l "_Toc225445202" </w:instrText>
      </w:r>
      <w:r>
        <w:rPr>
          <w:rStyle w:val="Hyperlink"/>
        </w:rPr>
        <w:fldChar w:fldCharType="separate"/>
      </w:r>
      <w:r>
        <w:rPr>
          <w:rStyle w:val="Hyperlink"/>
        </w:rPr>
        <w:t>Critical Appraisal</w:t>
      </w:r>
      <w:r>
        <w:tab/>
      </w:r>
      <w:r>
        <w:fldChar w:fldCharType="begin"/>
      </w:r>
      <w:r>
        <w:instrText xml:space="preserve"> PAGEREF _Toc225445202 \h </w:instrText>
      </w:r>
      <w:r>
        <w:fldChar w:fldCharType="separate"/>
      </w:r>
      <w:r>
        <w:t>17</w:t>
      </w:r>
      <w:r>
        <w:rPr>
          <w:rFonts w:asciiTheme="minorHAnsi" w:eastAsiaTheme="minorEastAsia" w:hAnsiTheme="minorHAnsi"/>
          <w:sz w:val="22"/>
          <w:lang w:val="en-IN" w:eastAsia="en-IN"/>
        </w:rPr>
        <w:fldChar w:fldCharType="end"/>
      </w:r>
      <w:r>
        <w:rPr>
          <w:rFonts w:asciiTheme="minorHAnsi" w:eastAsiaTheme="minorEastAsia" w:hAnsiTheme="minorHAnsi"/>
          <w:sz w:val="22"/>
          <w:lang w:val="en-IN" w:eastAsia="en-IN"/>
        </w:rPr>
        <w:fldChar w:fldCharType="end"/>
      </w:r>
    </w:p>
    <w:p w14:paraId="0000002C">
      <w:pPr>
        <w:pStyle w:val="Toc2"/>
        <w:tabs>
          <w:tab w:val="right" w:leader="dot" w:pos="9350"/>
        </w:tabs>
        <w:rPr>
          <w:rFonts w:asciiTheme="minorHAnsi" w:eastAsiaTheme="minorEastAsia" w:hAnsiTheme="minorHAnsi"/>
          <w:sz w:val="22"/>
          <w:lang w:val="en-IN" w:eastAsia="en-IN"/>
        </w:rPr>
      </w:pPr>
      <w:r>
        <w:rPr>
          <w:rStyle w:val="Hyperlink"/>
        </w:rPr>
        <w:fldChar w:fldCharType="begin"/>
      </w:r>
      <w:r>
        <w:rPr>
          <w:rStyle w:val="Hyperlink"/>
        </w:rPr>
        <w:instrText xml:space="preserve">HYPERLINK \l "_Toc225445203" </w:instrText>
      </w:r>
      <w:r>
        <w:rPr>
          <w:rStyle w:val="Hyperlink"/>
        </w:rPr>
        <w:fldChar w:fldCharType="separate"/>
      </w:r>
      <w:r>
        <w:rPr>
          <w:rStyle w:val="Hyperlink"/>
        </w:rPr>
        <w:t>Successes &amp; Failures</w:t>
      </w:r>
      <w:r>
        <w:tab/>
      </w:r>
      <w:r>
        <w:fldChar w:fldCharType="begin"/>
      </w:r>
      <w:r>
        <w:instrText xml:space="preserve"> PAGEREF _Toc225445203 \h </w:instrText>
      </w:r>
      <w:r>
        <w:fldChar w:fldCharType="separate"/>
      </w:r>
      <w:r>
        <w:t>19</w:t>
      </w:r>
      <w:r>
        <w:rPr>
          <w:rFonts w:asciiTheme="minorHAnsi" w:eastAsiaTheme="minorEastAsia" w:hAnsiTheme="minorHAnsi"/>
          <w:sz w:val="22"/>
          <w:lang w:val="en-IN" w:eastAsia="en-IN"/>
        </w:rPr>
        <w:fldChar w:fldCharType="end"/>
      </w:r>
      <w:r>
        <w:rPr>
          <w:rFonts w:asciiTheme="minorHAnsi" w:eastAsiaTheme="minorEastAsia" w:hAnsiTheme="minorHAnsi"/>
          <w:sz w:val="22"/>
          <w:lang w:val="en-IN" w:eastAsia="en-IN"/>
        </w:rPr>
        <w:fldChar w:fldCharType="end"/>
      </w:r>
    </w:p>
    <w:p w14:paraId="0000002D">
      <w:pPr>
        <w:pStyle w:val="Toc2"/>
        <w:tabs>
          <w:tab w:val="right" w:leader="dot" w:pos="9350"/>
        </w:tabs>
        <w:rPr>
          <w:rFonts w:asciiTheme="minorHAnsi" w:eastAsiaTheme="minorEastAsia" w:hAnsiTheme="minorHAnsi"/>
          <w:sz w:val="22"/>
          <w:lang w:val="en-IN" w:eastAsia="en-IN"/>
        </w:rPr>
      </w:pPr>
      <w:r>
        <w:rPr>
          <w:rStyle w:val="Hyperlink"/>
        </w:rPr>
        <w:fldChar w:fldCharType="begin"/>
      </w:r>
      <w:r>
        <w:rPr>
          <w:rStyle w:val="Hyperlink"/>
        </w:rPr>
        <w:instrText xml:space="preserve">HYPERLINK \l "_Toc225445204" </w:instrText>
      </w:r>
      <w:r>
        <w:rPr>
          <w:rStyle w:val="Hyperlink"/>
        </w:rPr>
        <w:fldChar w:fldCharType="separate"/>
      </w:r>
      <w:r>
        <w:rPr>
          <w:rStyle w:val="Hyperlink"/>
        </w:rPr>
        <w:t>Refined Solution</w:t>
      </w:r>
      <w:r>
        <w:tab/>
      </w:r>
      <w:r>
        <w:fldChar w:fldCharType="begin"/>
      </w:r>
      <w:r>
        <w:instrText xml:space="preserve"> PAGEREF _Toc225445204 \h </w:instrText>
      </w:r>
      <w:r>
        <w:fldChar w:fldCharType="separate"/>
      </w:r>
      <w:r>
        <w:t>20</w:t>
      </w:r>
      <w:r>
        <w:rPr>
          <w:rFonts w:asciiTheme="minorHAnsi" w:eastAsiaTheme="minorEastAsia" w:hAnsiTheme="minorHAnsi"/>
          <w:sz w:val="22"/>
          <w:lang w:val="en-IN" w:eastAsia="en-IN"/>
        </w:rPr>
        <w:fldChar w:fldCharType="end"/>
      </w:r>
      <w:r>
        <w:rPr>
          <w:rFonts w:asciiTheme="minorHAnsi" w:eastAsiaTheme="minorEastAsia" w:hAnsiTheme="minorHAnsi"/>
          <w:sz w:val="22"/>
          <w:lang w:val="en-IN" w:eastAsia="en-IN"/>
        </w:rPr>
        <w:fldChar w:fldCharType="end"/>
      </w:r>
    </w:p>
    <w:p w14:paraId="0000002E">
      <w:pPr>
        <w:pStyle w:val="Toc1"/>
        <w:tabs>
          <w:tab w:val="right" w:leader="dot" w:pos="9350"/>
        </w:tabs>
        <w:rPr>
          <w:rFonts w:asciiTheme="minorHAnsi" w:eastAsiaTheme="minorEastAsia" w:hAnsiTheme="minorHAnsi"/>
          <w:sz w:val="22"/>
          <w:lang w:val="en-IN" w:eastAsia="en-IN"/>
        </w:rPr>
      </w:pPr>
      <w:r>
        <w:rPr>
          <w:rStyle w:val="Hyperlink"/>
        </w:rPr>
        <w:fldChar w:fldCharType="begin"/>
      </w:r>
      <w:r>
        <w:rPr>
          <w:rStyle w:val="Hyperlink"/>
        </w:rPr>
        <w:instrText xml:space="preserve">HYPERLINK \l "_Toc225445205" </w:instrText>
      </w:r>
      <w:r>
        <w:rPr>
          <w:rStyle w:val="Hyperlink"/>
        </w:rPr>
        <w:fldChar w:fldCharType="separate"/>
      </w:r>
      <w:r>
        <w:rPr>
          <w:rStyle w:val="Hyperlink"/>
        </w:rPr>
        <w:t>References</w:t>
      </w:r>
      <w:r>
        <w:tab/>
      </w:r>
      <w:r>
        <w:fldChar w:fldCharType="begin"/>
      </w:r>
      <w:r>
        <w:instrText xml:space="preserve"> PAGEREF _Toc225445205 \h </w:instrText>
      </w:r>
      <w:r>
        <w:fldChar w:fldCharType="separate"/>
      </w:r>
      <w:r>
        <w:t>21</w:t>
      </w:r>
      <w:r>
        <w:rPr>
          <w:rFonts w:asciiTheme="minorHAnsi" w:eastAsiaTheme="minorEastAsia" w:hAnsiTheme="minorHAnsi"/>
          <w:sz w:val="22"/>
          <w:lang w:val="en-IN" w:eastAsia="en-IN"/>
        </w:rPr>
        <w:fldChar w:fldCharType="end"/>
      </w:r>
      <w:r>
        <w:rPr>
          <w:rFonts w:asciiTheme="minorHAnsi" w:eastAsiaTheme="minorEastAsia" w:hAnsiTheme="minorHAnsi"/>
          <w:sz w:val="22"/>
          <w:lang w:val="en-IN" w:eastAsia="en-IN"/>
        </w:rPr>
        <w:fldChar w:fldCharType="end"/>
      </w:r>
    </w:p>
    <w:p w14:paraId="0000002F">
      <w:pPr>
        <w:pStyle w:val="Toc1"/>
        <w:tabs>
          <w:tab w:val="right" w:leader="dot" w:pos="9350"/>
        </w:tabs>
        <w:rPr>
          <w:rFonts w:asciiTheme="minorHAnsi" w:eastAsiaTheme="minorEastAsia" w:hAnsiTheme="minorHAnsi"/>
          <w:sz w:val="22"/>
          <w:lang w:val="en-IN" w:eastAsia="en-IN"/>
        </w:rPr>
      </w:pPr>
      <w:r>
        <w:rPr>
          <w:rStyle w:val="Hyperlink"/>
        </w:rPr>
        <w:fldChar w:fldCharType="begin"/>
      </w:r>
      <w:r>
        <w:rPr>
          <w:rStyle w:val="Hyperlink"/>
        </w:rPr>
        <w:instrText xml:space="preserve">HYPERLINK \l "_Toc225445206" </w:instrText>
      </w:r>
      <w:r>
        <w:rPr>
          <w:rStyle w:val="Hyperlink"/>
        </w:rPr>
        <w:fldChar w:fldCharType="separate"/>
      </w:r>
      <w:r>
        <w:rPr>
          <w:rStyle w:val="Hyperlink"/>
        </w:rPr>
        <w:t>Appendices</w:t>
      </w:r>
      <w:r>
        <w:tab/>
      </w:r>
      <w:r>
        <w:fldChar w:fldCharType="begin"/>
      </w:r>
      <w:r>
        <w:instrText xml:space="preserve"> PAGEREF _Toc225445206 \h </w:instrText>
      </w:r>
      <w:r>
        <w:fldChar w:fldCharType="separate"/>
      </w:r>
      <w:r>
        <w:t>26</w:t>
      </w:r>
      <w:r>
        <w:rPr>
          <w:rFonts w:asciiTheme="minorHAnsi" w:eastAsiaTheme="minorEastAsia" w:hAnsiTheme="minorHAnsi"/>
          <w:sz w:val="22"/>
          <w:lang w:val="en-IN" w:eastAsia="en-IN"/>
        </w:rPr>
        <w:fldChar w:fldCharType="end"/>
      </w:r>
      <w:r>
        <w:rPr>
          <w:rFonts w:asciiTheme="minorHAnsi" w:eastAsiaTheme="minorEastAsia" w:hAnsiTheme="minorHAnsi"/>
          <w:sz w:val="22"/>
          <w:lang w:val="en-IN" w:eastAsia="en-IN"/>
        </w:rPr>
        <w:fldChar w:fldCharType="end"/>
      </w:r>
    </w:p>
    <w:p w14:paraId="00000030">
      <w:pPr>
        <w:pStyle w:val="Toc2"/>
        <w:tabs>
          <w:tab w:val="right" w:leader="dot" w:pos="9350"/>
        </w:tabs>
        <w:rPr>
          <w:rFonts w:asciiTheme="minorHAnsi" w:eastAsiaTheme="minorEastAsia" w:hAnsiTheme="minorHAnsi"/>
          <w:sz w:val="22"/>
          <w:lang w:val="en-IN" w:eastAsia="en-IN"/>
        </w:rPr>
      </w:pPr>
      <w:r>
        <w:rPr>
          <w:rStyle w:val="Hyperlink"/>
        </w:rPr>
        <w:fldChar w:fldCharType="begin"/>
      </w:r>
      <w:r>
        <w:rPr>
          <w:rStyle w:val="Hyperlink"/>
        </w:rPr>
        <w:instrText xml:space="preserve">HYPERLINK \l "_Toc225445207" </w:instrText>
      </w:r>
      <w:r>
        <w:rPr>
          <w:rStyle w:val="Hyperlink"/>
        </w:rPr>
        <w:fldChar w:fldCharType="separate"/>
      </w:r>
      <w:r>
        <w:rPr>
          <w:rStyle w:val="Hyperlink"/>
        </w:rPr>
        <w:t>Appendix 1</w:t>
      </w:r>
      <w:r>
        <w:tab/>
      </w:r>
      <w:r>
        <w:fldChar w:fldCharType="begin"/>
      </w:r>
      <w:r>
        <w:instrText xml:space="preserve"> PAGEREF _Toc225445207 \h </w:instrText>
      </w:r>
      <w:r>
        <w:fldChar w:fldCharType="separate"/>
      </w:r>
      <w:r>
        <w:t>26</w:t>
      </w:r>
      <w:r>
        <w:rPr>
          <w:rFonts w:asciiTheme="minorHAnsi" w:eastAsiaTheme="minorEastAsia" w:hAnsiTheme="minorHAnsi"/>
          <w:sz w:val="22"/>
          <w:lang w:val="en-IN" w:eastAsia="en-IN"/>
        </w:rPr>
        <w:fldChar w:fldCharType="end"/>
      </w:r>
      <w:r>
        <w:rPr>
          <w:rFonts w:asciiTheme="minorHAnsi" w:eastAsiaTheme="minorEastAsia" w:hAnsiTheme="minorHAnsi"/>
          <w:sz w:val="22"/>
          <w:lang w:val="en-IN" w:eastAsia="en-IN"/>
        </w:rPr>
        <w:fldChar w:fldCharType="end"/>
      </w:r>
    </w:p>
    <w:p w14:paraId="00000031">
      <w:pPr>
        <w:pStyle w:val="Toc2"/>
        <w:tabs>
          <w:tab w:val="right" w:leader="dot" w:pos="9350"/>
        </w:tabs>
        <w:rPr>
          <w:rFonts w:asciiTheme="minorHAnsi" w:eastAsiaTheme="minorEastAsia" w:hAnsiTheme="minorHAnsi"/>
          <w:sz w:val="22"/>
          <w:lang w:val="en-IN" w:eastAsia="en-IN"/>
        </w:rPr>
      </w:pPr>
      <w:r>
        <w:rPr>
          <w:rStyle w:val="Hyperlink"/>
        </w:rPr>
        <w:fldChar w:fldCharType="begin"/>
      </w:r>
      <w:r>
        <w:rPr>
          <w:rStyle w:val="Hyperlink"/>
        </w:rPr>
        <w:instrText xml:space="preserve">HYPERLINK \l "_Toc225445208" </w:instrText>
      </w:r>
      <w:r>
        <w:rPr>
          <w:rStyle w:val="Hyperlink"/>
        </w:rPr>
        <w:fldChar w:fldCharType="separate"/>
      </w:r>
      <w:r>
        <w:rPr>
          <w:rStyle w:val="Hyperlink"/>
        </w:rPr>
        <w:t>Appendix 2</w:t>
      </w:r>
      <w:r>
        <w:tab/>
      </w:r>
      <w:r>
        <w:fldChar w:fldCharType="begin"/>
      </w:r>
      <w:r>
        <w:instrText xml:space="preserve"> PAGEREF _Toc225445208 \h </w:instrText>
      </w:r>
      <w:r>
        <w:fldChar w:fldCharType="separate"/>
      </w:r>
      <w:r>
        <w:t>28</w:t>
      </w:r>
      <w:r>
        <w:rPr>
          <w:rFonts w:asciiTheme="minorHAnsi" w:eastAsiaTheme="minorEastAsia" w:hAnsiTheme="minorHAnsi"/>
          <w:sz w:val="22"/>
          <w:lang w:val="en-IN" w:eastAsia="en-IN"/>
        </w:rPr>
        <w:fldChar w:fldCharType="end"/>
      </w:r>
      <w:r>
        <w:rPr>
          <w:rFonts w:asciiTheme="minorHAnsi" w:eastAsiaTheme="minorEastAsia" w:hAnsiTheme="minorHAnsi"/>
          <w:sz w:val="22"/>
          <w:lang w:val="en-IN" w:eastAsia="en-IN"/>
        </w:rPr>
        <w:fldChar w:fldCharType="end"/>
      </w:r>
    </w:p>
    <w:p w14:paraId="00000032">
      <w:pPr>
        <w:pStyle w:val="Toc2"/>
        <w:tabs>
          <w:tab w:val="right" w:leader="dot" w:pos="9350"/>
        </w:tabs>
        <w:rPr>
          <w:rFonts w:asciiTheme="minorHAnsi" w:eastAsiaTheme="minorEastAsia" w:hAnsiTheme="minorHAnsi"/>
          <w:sz w:val="22"/>
          <w:lang w:val="en-IN" w:eastAsia="en-IN"/>
        </w:rPr>
      </w:pPr>
      <w:r>
        <w:rPr>
          <w:rStyle w:val="Hyperlink"/>
        </w:rPr>
        <w:fldChar w:fldCharType="begin"/>
      </w:r>
      <w:r>
        <w:rPr>
          <w:rStyle w:val="Hyperlink"/>
        </w:rPr>
        <w:instrText xml:space="preserve">HYPERLINK \l "_Toc225445209" </w:instrText>
      </w:r>
      <w:r>
        <w:rPr>
          <w:rStyle w:val="Hyperlink"/>
        </w:rPr>
        <w:fldChar w:fldCharType="separate"/>
      </w:r>
      <w:r>
        <w:rPr>
          <w:rStyle w:val="Hyperlink"/>
        </w:rPr>
        <w:t>Appendix 3</w:t>
      </w:r>
      <w:r>
        <w:tab/>
      </w:r>
      <w:r>
        <w:fldChar w:fldCharType="begin"/>
      </w:r>
      <w:r>
        <w:instrText xml:space="preserve"> PAGEREF _Toc225445209 \h </w:instrText>
      </w:r>
      <w:r>
        <w:fldChar w:fldCharType="separate"/>
      </w:r>
      <w:r>
        <w:t>30</w:t>
      </w:r>
      <w:r>
        <w:rPr>
          <w:rFonts w:asciiTheme="minorHAnsi" w:eastAsiaTheme="minorEastAsia" w:hAnsiTheme="minorHAnsi"/>
          <w:sz w:val="22"/>
          <w:lang w:val="en-IN" w:eastAsia="en-IN"/>
        </w:rPr>
        <w:fldChar w:fldCharType="end"/>
      </w:r>
      <w:r>
        <w:rPr>
          <w:rFonts w:asciiTheme="minorHAnsi" w:eastAsiaTheme="minorEastAsia" w:hAnsiTheme="minorHAnsi"/>
          <w:sz w:val="22"/>
          <w:lang w:val="en-IN" w:eastAsia="en-IN"/>
        </w:rPr>
        <w:fldChar w:fldCharType="end"/>
      </w:r>
    </w:p>
    <w:p w14:paraId="00000033">
      <w:pPr>
        <w:pStyle w:val="Toc2"/>
        <w:tabs>
          <w:tab w:val="right" w:leader="dot" w:pos="9350"/>
        </w:tabs>
        <w:rPr>
          <w:rFonts w:asciiTheme="minorHAnsi" w:eastAsiaTheme="minorEastAsia" w:hAnsiTheme="minorHAnsi"/>
          <w:sz w:val="22"/>
          <w:lang w:val="en-IN" w:eastAsia="en-IN"/>
        </w:rPr>
      </w:pPr>
      <w:r>
        <w:rPr>
          <w:rStyle w:val="Hyperlink"/>
        </w:rPr>
        <w:fldChar w:fldCharType="begin"/>
      </w:r>
      <w:r>
        <w:rPr>
          <w:rStyle w:val="Hyperlink"/>
        </w:rPr>
        <w:instrText xml:space="preserve">HYPERLINK \l "_Toc225445210" </w:instrText>
      </w:r>
      <w:r>
        <w:rPr>
          <w:rStyle w:val="Hyperlink"/>
        </w:rPr>
        <w:fldChar w:fldCharType="separate"/>
      </w:r>
      <w:r>
        <w:rPr>
          <w:rStyle w:val="Hyperlink"/>
        </w:rPr>
        <w:t>Appendix 4</w:t>
      </w:r>
      <w:r>
        <w:tab/>
      </w:r>
      <w:r>
        <w:fldChar w:fldCharType="begin"/>
      </w:r>
      <w:r>
        <w:instrText xml:space="preserve"> PAGEREF _Toc225445210 \h </w:instrText>
      </w:r>
      <w:r>
        <w:fldChar w:fldCharType="separate"/>
      </w:r>
      <w:r>
        <w:t>33</w:t>
      </w:r>
      <w:r>
        <w:rPr>
          <w:rFonts w:asciiTheme="minorHAnsi" w:eastAsiaTheme="minorEastAsia" w:hAnsiTheme="minorHAnsi"/>
          <w:sz w:val="22"/>
          <w:lang w:val="en-IN" w:eastAsia="en-IN"/>
        </w:rPr>
        <w:fldChar w:fldCharType="end"/>
      </w:r>
      <w:r>
        <w:rPr>
          <w:rFonts w:asciiTheme="minorHAnsi" w:eastAsiaTheme="minorEastAsia" w:hAnsiTheme="minorHAnsi"/>
          <w:sz w:val="22"/>
          <w:lang w:val="en-IN" w:eastAsia="en-IN"/>
        </w:rPr>
        <w:fldChar w:fldCharType="end"/>
      </w:r>
    </w:p>
    <w:p w14:paraId="00000034">
      <w:r>
        <w:fldChar w:fldCharType="end"/>
      </w:r>
    </w:p>
    <w:p w14:paraId="00000035">
      <w:pPr>
        <w:spacing w:beforeAutospacing="0" w:afterAutospacing="0" w:line="276" w:lineRule="auto"/>
        <w:jc w:val="left"/>
        <w:rPr>
          <w:rFonts w:cstheme="majorBidi" w:eastAsiaTheme="majorEastAsia"/>
          <w:b/>
          <w:sz w:val="28"/>
          <w:szCs w:val="40"/>
        </w:rPr>
      </w:pPr>
      <w:r>
        <w:rPr>
          <w:rFonts w:cstheme="majorBidi" w:eastAsiaTheme="majorEastAsia"/>
          <w:b/>
          <w:sz w:val="28"/>
          <w:szCs w:val="40"/>
        </w:rPr>
        <w:br w:type="page"/>
      </w:r>
    </w:p>
    <w:p w14:paraId="00000036">
      <w:pPr>
        <w:pStyle w:val="Heading1"/>
        <w:rPr/>
      </w:pPr>
      <w:bookmarkStart w:id="1" w:name="_Toc225445184"/>
      <w:r>
        <w:t>Part 1: Individual Report</w:t>
      </w:r>
      <w:bookmarkEnd w:id="1"/>
    </w:p>
    <w:p w14:paraId="00000037">
      <w:pPr>
        <w:pStyle w:val="Heading1"/>
        <w:rPr/>
      </w:pPr>
      <w:bookmarkStart w:id="2" w:name="_Toc225445185"/>
      <w:r>
        <w:t>Introduction</w:t>
      </w:r>
      <w:bookmarkEnd w:id="2"/>
      <w:r>
        <w:t xml:space="preserve"> </w:t>
      </w:r>
    </w:p>
    <w:p w14:paraId="00000038">
      <w:r>
        <w:t>Seren Coffi is a free-standing coffee shop in Cardiff that has been developed with a high emphasis on ethical sourcing, community participation, and cultural suitability. It also positioned itself as a creative and social venue, unlike the conventional cafes, where clients would get to meet each other during such events as poetry reading, language exchange and pay-whatever evenings.</w:t>
      </w:r>
      <w:r>
        <w:t xml:space="preserve"> According to Munster (2024), </w:t>
      </w:r>
      <w:r>
        <w:t>t</w:t>
      </w:r>
      <w:r>
        <w:t>his is an impressive positioning</w:t>
      </w:r>
      <w:r>
        <w:t>,</w:t>
      </w:r>
      <w:r>
        <w:t xml:space="preserve"> and the demand </w:t>
      </w:r>
      <w:r>
        <w:t>for</w:t>
      </w:r>
      <w:r>
        <w:t xml:space="preserve"> its products is evident, but as it stands, Seren Coffi is currently struggling with its operational and financial difficulties. The increased prices of coffee beans that have been caused by the increasing prices of energy, the increasing prices and the inadequately formed </w:t>
      </w:r>
      <w:r>
        <w:t>decision-making</w:t>
      </w:r>
      <w:r>
        <w:t xml:space="preserve"> mechanisms have had tremendous </w:t>
      </w:r>
      <w:r>
        <w:t>implications</w:t>
      </w:r>
      <w:r>
        <w:t xml:space="preserve"> on its sustainability</w:t>
      </w:r>
      <w:r>
        <w:t xml:space="preserve">. </w:t>
      </w:r>
      <w:bookmarkStart w:id="3" w:name="_GoBack"/>
      <w:bookmarkEnd w:id="3"/>
    </w:p>
    <w:p w14:paraId="00000039">
      <w:r>
        <w:t xml:space="preserve">The collaborative </w:t>
      </w:r>
      <w:r>
        <w:t>decision-making</w:t>
      </w:r>
      <w:r>
        <w:t xml:space="preserve"> process that takes ages to be finalised among the founders has also reduced operational efficiency and burnout</w:t>
      </w:r>
      <w:r>
        <w:t>,</w:t>
      </w:r>
      <w:r>
        <w:t xml:space="preserve"> and reduced involvement has also compromised the organisation. </w:t>
      </w:r>
      <w:r>
        <w:t>Manners-Bell and Lyon (2022) say t</w:t>
      </w:r>
      <w:r>
        <w:t xml:space="preserve">he demand has increased </w:t>
      </w:r>
      <w:r>
        <w:t>due to</w:t>
      </w:r>
      <w:r>
        <w:t xml:space="preserve"> the presence of other chain cafes within the locality</w:t>
      </w:r>
      <w:r>
        <w:t>,</w:t>
      </w:r>
      <w:r>
        <w:t xml:space="preserve"> which provide faster service and reasonable prices.</w:t>
      </w:r>
      <w:r>
        <w:t xml:space="preserve"> </w:t>
      </w:r>
      <w:r>
        <w:t>As per Hussain</w:t>
      </w:r>
      <w:r>
        <w:t xml:space="preserve"> et al.</w:t>
      </w:r>
      <w:r>
        <w:t xml:space="preserve"> (2025), in</w:t>
      </w:r>
      <w:r>
        <w:t xml:space="preserve"> this report, the critical analysis of the ways in which creativity and innovation can assist Seren Coffi to find a solution to the issue of its operations and to develop </w:t>
      </w:r>
      <w:r>
        <w:t>a</w:t>
      </w:r>
      <w:r>
        <w:t xml:space="preserve"> creative solution will contribute to the value addition without compromising its core identity. </w:t>
      </w:r>
    </w:p>
    <w:p w14:paraId="0000003A">
      <w:pPr>
        <w:spacing w:beforeAutospacing="0" w:afterAutospacing="0" w:line="276" w:lineRule="auto"/>
        <w:jc w:val="left"/>
        <w:rPr/>
      </w:pPr>
      <w:r>
        <w:rPr/>
        <w:br w:type="page"/>
      </w:r>
    </w:p>
    <w:p w14:paraId="0000003B">
      <w:pPr>
        <w:pStyle w:val="Heading1"/>
        <w:rPr/>
      </w:pPr>
      <w:bookmarkStart w:id="4" w:name="_Toc225445186"/>
      <w:r>
        <w:t>Critical Analysis</w:t>
      </w:r>
      <w:bookmarkEnd w:id="4"/>
    </w:p>
    <w:p w14:paraId="0000003C">
      <w:pPr>
        <w:pStyle w:val="Heading2"/>
        <w:rPr/>
      </w:pPr>
      <w:bookmarkStart w:id="5" w:name="_Toc225445187"/>
      <w:r>
        <w:t>Creativity vs Innovation</w:t>
      </w:r>
      <w:bookmarkEnd w:id="5"/>
    </w:p>
    <w:p w14:paraId="0000003D">
      <w:r>
        <w:t>Innovation and creativity are two terms that are closely related but not similar in business management.</w:t>
      </w:r>
      <w:r>
        <w:t xml:space="preserve"> According to Riel et al. (2021), t</w:t>
      </w:r>
      <w:r>
        <w:t>he process of generating new ideas is known as creativity</w:t>
      </w:r>
      <w:r>
        <w:t>,</w:t>
      </w:r>
      <w:r>
        <w:t xml:space="preserve"> and implementing the generated idea successfully</w:t>
      </w:r>
      <w:r>
        <w:t>, which</w:t>
      </w:r>
      <w:r>
        <w:t xml:space="preserve"> leads to value</w:t>
      </w:r>
      <w:r>
        <w:t>,</w:t>
      </w:r>
      <w:r>
        <w:t xml:space="preserve"> is known as </w:t>
      </w:r>
      <w:r>
        <w:t>innovation</w:t>
      </w:r>
      <w:r>
        <w:t>. Seren Coffi is very innovative in its approach since it develops a unique approach to communication with the customer, sources ethically, and is involved in the community. As an example, the example of the poems and free discussion of the product sourcing are exemplary instances of advertisement by way of creative thinking.</w:t>
      </w:r>
      <w:r>
        <w:t xml:space="preserve"> </w:t>
      </w:r>
      <w:r>
        <w:t xml:space="preserve">However, innovation is not successfully </w:t>
      </w:r>
      <w:r>
        <w:t>practised</w:t>
      </w:r>
      <w:r>
        <w:t xml:space="preserve"> in the organisation. Though ideas are </w:t>
      </w:r>
      <w:r>
        <w:t>recognised</w:t>
      </w:r>
      <w:r>
        <w:t xml:space="preserve"> in a participatory manner, </w:t>
      </w:r>
      <w:r>
        <w:t>not all ideas are</w:t>
      </w:r>
      <w:r>
        <w:t xml:space="preserve"> effectively accomplished in a lengthy discourse process</w:t>
      </w:r>
      <w:r>
        <w:t>, leading to</w:t>
      </w:r>
      <w:r>
        <w:t xml:space="preserve"> indecisiveness.</w:t>
      </w:r>
      <w:r>
        <w:t xml:space="preserve"> As noted by Khoury (2024),</w:t>
      </w:r>
      <w:r>
        <w:t xml:space="preserve"> </w:t>
      </w:r>
      <w:r>
        <w:t>t</w:t>
      </w:r>
      <w:r>
        <w:t xml:space="preserve">his demonstrates that there is a universal issue within the value-driven organisations where creativity exists, but there is low operational innovation. </w:t>
      </w:r>
    </w:p>
    <w:p w14:paraId="0000003E">
      <w:pPr>
        <w:pStyle w:val="Heading2"/>
        <w:rPr/>
      </w:pPr>
      <w:bookmarkStart w:id="6" w:name="_Toc225445188"/>
      <w:r>
        <w:t>Capitalist Models</w:t>
      </w:r>
      <w:r>
        <w:t>:</w:t>
      </w:r>
      <w:r>
        <w:t xml:space="preserve"> Problems of Innovation</w:t>
      </w:r>
      <w:bookmarkEnd w:id="6"/>
      <w:r>
        <w:t xml:space="preserve"> </w:t>
      </w:r>
    </w:p>
    <w:p w14:paraId="0000003F">
      <w:r>
        <w:t>The classical paradigms of the capitalist enterprises are geared towards efficiency, cost minimisation, scalability and maximisation of profits. Though these principles are effective when applied in large organisations, it is likely to contradict the ethics of small businesses that are ethical</w:t>
      </w:r>
      <w:r>
        <w:t>,</w:t>
      </w:r>
      <w:r>
        <w:t xml:space="preserve"> as in the case of Seren Coffi. </w:t>
      </w:r>
      <w:r>
        <w:t xml:space="preserve"> Lee and Bateman (2021) say o</w:t>
      </w:r>
      <w:r>
        <w:t>ne such thing is the fact that ethical sourcing is costlier, as compared to price disclosure</w:t>
      </w:r>
      <w:r>
        <w:t>,</w:t>
      </w:r>
      <w:r>
        <w:t xml:space="preserve"> which would cause price-sensitive consumers to flee. Similarly, the community engagement can become a priority</w:t>
      </w:r>
      <w:r>
        <w:t>,</w:t>
      </w:r>
      <w:r>
        <w:t xml:space="preserve"> thereby relaxing service delivery and reducing </w:t>
      </w:r>
      <w:r>
        <w:t xml:space="preserve">the </w:t>
      </w:r>
      <w:r>
        <w:t>efficiency of operations.</w:t>
      </w:r>
      <w:r>
        <w:t xml:space="preserve"> </w:t>
      </w:r>
      <w:r>
        <w:t xml:space="preserve">To that extent, the conventional methods of </w:t>
      </w:r>
      <w:r>
        <w:t xml:space="preserve">the </w:t>
      </w:r>
      <w:r>
        <w:t>capitalistic approach</w:t>
      </w:r>
      <w:r>
        <w:t>,</w:t>
      </w:r>
      <w:r>
        <w:t xml:space="preserve"> such as </w:t>
      </w:r>
      <w:r>
        <w:t>cost-cutting</w:t>
      </w:r>
      <w:r>
        <w:t>, standardisation or growth</w:t>
      </w:r>
      <w:r>
        <w:t>,</w:t>
      </w:r>
      <w:r>
        <w:t xml:space="preserve"> would ruin the spirit of the organisation known as Seren Coffi. </w:t>
      </w:r>
    </w:p>
    <w:p w14:paraId="00000040">
      <w:r>
        <w:t>T</w:t>
      </w:r>
      <w:r>
        <w:t xml:space="preserve">he competitive factors that are pressuring Seren Coffi include the need to compete with the large chain cafes, whose economies of scale and technology put extra pressure on </w:t>
      </w:r>
      <w:r>
        <w:t>its competitors</w:t>
      </w:r>
      <w:r>
        <w:t>.</w:t>
      </w:r>
      <w:r>
        <w:t xml:space="preserve"> According to Allal-Cherif et al. (2025), these</w:t>
      </w:r>
      <w:r>
        <w:t xml:space="preserve"> rivals</w:t>
      </w:r>
      <w:r>
        <w:t>, who</w:t>
      </w:r>
      <w:r>
        <w:t xml:space="preserve"> can offer lower prices and faster services</w:t>
      </w:r>
      <w:r>
        <w:t>,</w:t>
      </w:r>
      <w:r>
        <w:t xml:space="preserve"> and independent cafes can hardly </w:t>
      </w:r>
      <w:r>
        <w:t>survive</w:t>
      </w:r>
      <w:r>
        <w:t xml:space="preserve"> as the traditional business formulas are put into practice. </w:t>
      </w:r>
    </w:p>
    <w:p w14:paraId="00000041">
      <w:pPr>
        <w:pStyle w:val="Heading1"/>
        <w:rPr/>
      </w:pPr>
      <w:bookmarkStart w:id="7" w:name="_Toc225445189"/>
      <w:r>
        <w:t>Cr</w:t>
      </w:r>
      <w:r>
        <w:t>eative Evolution</w:t>
      </w:r>
      <w:bookmarkEnd w:id="7"/>
      <w:r>
        <w:t xml:space="preserve"> </w:t>
      </w:r>
    </w:p>
    <w:p w14:paraId="00000042">
      <w:r>
        <w:t xml:space="preserve">This discussion </w:t>
      </w:r>
      <w:r>
        <w:t>suggests</w:t>
      </w:r>
      <w:r>
        <w:t xml:space="preserve"> that the problems experienced by Seren Coffi cannot be eliminated with the help of traditional business practices.</w:t>
      </w:r>
      <w:r>
        <w:t xml:space="preserve"> Brem and Puente-Diaz (2020) discussed that</w:t>
      </w:r>
      <w:r>
        <w:t xml:space="preserve"> </w:t>
      </w:r>
      <w:r>
        <w:t>r</w:t>
      </w:r>
      <w:r>
        <w:t>aising the prices, reducing costs or increasing the operations is one of the short-term relief options</w:t>
      </w:r>
      <w:r>
        <w:t>;</w:t>
      </w:r>
      <w:r>
        <w:t xml:space="preserve"> however, this is not the solution to the current issue, the disconnect between organisational values and the model of its functioning.</w:t>
      </w:r>
      <w:r>
        <w:t xml:space="preserve"> </w:t>
      </w:r>
      <w:r>
        <w:t xml:space="preserve">Nonetheless, it needs a creative and innovative approach that would suit the image of Seren Coffi and make it more efficient and sustainable. </w:t>
      </w:r>
    </w:p>
    <w:p w14:paraId="00000043">
      <w:r>
        <w:t>According to Tidd and Bessant (2018), w</w:t>
      </w:r>
      <w:r>
        <w:t xml:space="preserve">ith the alternative innovation strategies, positive </w:t>
      </w:r>
      <w:r>
        <w:t>relationships</w:t>
      </w:r>
      <w:r>
        <w:t xml:space="preserve"> with the community and </w:t>
      </w:r>
      <w:r>
        <w:t xml:space="preserve">a </w:t>
      </w:r>
      <w:r>
        <w:t xml:space="preserve">special brand are the strengths that can be exploited by Seren Coffi, rather than their weaknesses. This change of mindset is what will help to establish a sustainable solution that </w:t>
      </w:r>
      <w:r>
        <w:t>will</w:t>
      </w:r>
      <w:r>
        <w:t xml:space="preserve"> not only help to salvage the core values of the organisation but also address the operational problems of this institution.</w:t>
      </w:r>
    </w:p>
    <w:p w14:paraId="00000044">
      <w:pPr>
        <w:pStyle w:val="Heading2"/>
        <w:rPr/>
      </w:pPr>
      <w:bookmarkStart w:id="8" w:name="_Toc225445190"/>
      <w:r>
        <w:t>Suggested Creative Solution</w:t>
      </w:r>
      <w:bookmarkEnd w:id="8"/>
    </w:p>
    <w:p w14:paraId="00000045">
      <w:r>
        <w:t>The problems with the operation of the Super Coffi Company</w:t>
      </w:r>
      <w:r>
        <w:t>,</w:t>
      </w:r>
      <w:r>
        <w:t xml:space="preserve"> called Seren Coffee</w:t>
      </w:r>
      <w:r>
        <w:t>,</w:t>
      </w:r>
      <w:r>
        <w:t xml:space="preserve"> demand an unusual and inventive approach that will not contradict the corporate ethics principles but will make it more sustainable.</w:t>
      </w:r>
      <w:r>
        <w:t xml:space="preserve"> As noticed by </w:t>
      </w:r>
      <w:r>
        <w:t>Noaime</w:t>
      </w:r>
      <w:r>
        <w:t xml:space="preserve"> et al. (2025),</w:t>
      </w:r>
      <w:r>
        <w:t xml:space="preserve"> </w:t>
      </w:r>
      <w:r>
        <w:t>t</w:t>
      </w:r>
      <w:r>
        <w:t xml:space="preserve">he proposed solution is the conversion of Seren Coffi to </w:t>
      </w:r>
      <w:r>
        <w:t>a community-based</w:t>
      </w:r>
      <w:r>
        <w:t xml:space="preserve"> coffee shop</w:t>
      </w:r>
      <w:r>
        <w:t>,</w:t>
      </w:r>
      <w:r>
        <w:t xml:space="preserve"> where the community is the active participant in the operation of the coffee shop and not the consumer.</w:t>
      </w:r>
      <w:r>
        <w:t xml:space="preserve"> </w:t>
      </w:r>
      <w:r>
        <w:t xml:space="preserve">According to this model, the idea of </w:t>
      </w:r>
      <w:r>
        <w:t>a time-based</w:t>
      </w:r>
      <w:r>
        <w:t xml:space="preserve"> contribution system is proposed</w:t>
      </w:r>
      <w:r>
        <w:t>,</w:t>
      </w:r>
      <w:r>
        <w:t xml:space="preserve"> according to </w:t>
      </w:r>
      <w:r>
        <w:t>Petropoulos</w:t>
      </w:r>
      <w:r>
        <w:t xml:space="preserve"> et al. (2025), </w:t>
      </w:r>
      <w:r>
        <w:t>which</w:t>
      </w:r>
      <w:r>
        <w:t>,</w:t>
      </w:r>
      <w:r>
        <w:t xml:space="preserve"> instead of receiving benefits like discounted coffee or a free coffee, the customers may decide to contribute their time and skills. </w:t>
      </w:r>
    </w:p>
    <w:p w14:paraId="00000046">
      <w:r>
        <w:t>Besides this, another program</w:t>
      </w:r>
      <w:r>
        <w:t>,</w:t>
      </w:r>
      <w:r>
        <w:t xml:space="preserve"> </w:t>
      </w:r>
      <w:r>
        <w:t>Adopt</w:t>
      </w:r>
      <w:r>
        <w:t xml:space="preserve"> a Shift</w:t>
      </w:r>
      <w:r>
        <w:t>,</w:t>
      </w:r>
      <w:r>
        <w:t xml:space="preserve"> would be launched</w:t>
      </w:r>
      <w:r>
        <w:t>,</w:t>
      </w:r>
      <w:r>
        <w:t xml:space="preserve"> by which regular customers have an opportunity to volunteer to spend a certain amount of time with a few shifts a week. This, besides the decreasing staffing problems, also brings up emotional attachment and ownership of the community.</w:t>
      </w:r>
      <w:r>
        <w:t xml:space="preserve"> As per Akkermans et al. (2025), customers</w:t>
      </w:r>
      <w:r>
        <w:t xml:space="preserve"> are the face of the cafe</w:t>
      </w:r>
      <w:r>
        <w:t>,</w:t>
      </w:r>
      <w:r>
        <w:t xml:space="preserve"> and this enhances their loyalty and the number of repeated visits.</w:t>
      </w:r>
      <w:r>
        <w:t xml:space="preserve"> </w:t>
      </w:r>
      <w:r>
        <w:t xml:space="preserve">To overcome the inefficiencies of the </w:t>
      </w:r>
      <w:r>
        <w:t>decision-making</w:t>
      </w:r>
      <w:r>
        <w:t xml:space="preserve"> process simplified form of governance can be recommended. </w:t>
      </w:r>
      <w:r>
        <w:t xml:space="preserve"> </w:t>
      </w:r>
      <w:r>
        <w:t>Besides this, the community will share the burden</w:t>
      </w:r>
      <w:r>
        <w:t>, which</w:t>
      </w:r>
      <w:r>
        <w:t xml:space="preserve"> will enable Seren Coffi to resume its cultural practices like poetry evenings</w:t>
      </w:r>
      <w:r>
        <w:t xml:space="preserve"> and</w:t>
      </w:r>
      <w:r>
        <w:t xml:space="preserve"> language exchange events.</w:t>
      </w:r>
      <w:r>
        <w:t xml:space="preserve"> As noticed by Schaedler et al. </w:t>
      </w:r>
      <w:r>
        <w:t>(2022), s</w:t>
      </w:r>
      <w:r>
        <w:t>uch events can be organised and enabled by the participants instead of leaving the organisers with the entire affair</w:t>
      </w:r>
      <w:r>
        <w:t>,</w:t>
      </w:r>
      <w:r>
        <w:t xml:space="preserve"> and still ensuring that the creative atmosphere of the cafe remains.</w:t>
      </w:r>
    </w:p>
    <w:p w14:paraId="00000047">
      <w:pPr>
        <w:spacing w:beforeAutospacing="0" w:afterAutospacing="0" w:line="276" w:lineRule="auto"/>
        <w:jc w:val="left"/>
        <w:rPr/>
      </w:pPr>
      <w:r>
        <w:rPr/>
        <w:br w:type="page"/>
      </w:r>
    </w:p>
    <w:p w14:paraId="00000048">
      <w:pPr>
        <w:spacing w:beforeAutospacing="0" w:afterAutospacing="0" w:line="276" w:lineRule="auto"/>
        <w:jc w:val="left"/>
        <w:rPr/>
      </w:pPr>
      <w:r>
        <w:t xml:space="preserve"> </w:t>
      </w:r>
    </w:p>
    <w:p w14:paraId="00000049">
      <w:pPr>
        <w:pStyle w:val="Heading1"/>
        <w:rPr/>
      </w:pPr>
      <w:bookmarkStart w:id="9" w:name="_Toc225445191"/>
      <w:r>
        <w:t>Model of Innovation</w:t>
      </w:r>
      <w:bookmarkEnd w:id="9"/>
      <w:r>
        <w:t xml:space="preserve"> </w:t>
      </w:r>
    </w:p>
    <w:p w14:paraId="0000004A">
      <w:r>
        <w:rPr>
          <w:b/>
          <w:bCs/>
        </w:rPr>
        <w:t>Product:</w:t>
      </w:r>
      <w:r>
        <w:t xml:space="preserve"> </w:t>
      </w:r>
      <w:r>
        <w:t xml:space="preserve">To begin with, there is Product innovation in the redesigning of the cafe experience. Seren </w:t>
      </w:r>
      <w:r>
        <w:t>Coffi</w:t>
      </w:r>
      <w:r>
        <w:t xml:space="preserve"> is ceasing to be a coffee and food retail enterprise but an activity and collaborative community. The value proposition is translated to a mutual environment with the other, which will lead to greater customer engagement and differentiation.</w:t>
      </w:r>
    </w:p>
    <w:p w14:paraId="0000004B">
      <w:r>
        <w:rPr>
          <w:b/>
          <w:bCs/>
        </w:rPr>
        <w:t>Process:</w:t>
      </w:r>
      <w:r>
        <w:t xml:space="preserve"> </w:t>
      </w:r>
      <w:r>
        <w:t>In</w:t>
      </w:r>
      <w:r>
        <w:t xml:space="preserve"> this solution, there is Process innovation. The everyday operations of the cafe also change because of the establishment of time based contribution system and involvement of </w:t>
      </w:r>
      <w:r>
        <w:t xml:space="preserve">the </w:t>
      </w:r>
      <w:r>
        <w:t>community</w:t>
      </w:r>
      <w:r>
        <w:t xml:space="preserve">. According to </w:t>
      </w:r>
      <w:r>
        <w:t>Yeung and Bautista</w:t>
      </w:r>
      <w:r>
        <w:t xml:space="preserve"> </w:t>
      </w:r>
      <w:r>
        <w:t>(</w:t>
      </w:r>
      <w:r>
        <w:t>2024</w:t>
      </w:r>
      <w:r>
        <w:t>)</w:t>
      </w:r>
      <w:r>
        <w:t>,</w:t>
      </w:r>
      <w:r>
        <w:t xml:space="preserve"> </w:t>
      </w:r>
      <w:r>
        <w:t>e</w:t>
      </w:r>
      <w:r>
        <w:t>ngaging customers in business, Seren Coffi would not rely on paid staff as much and would be much more efficient without causing harm to its ethical image.</w:t>
      </w:r>
    </w:p>
    <w:p w14:paraId="0000004C">
      <w:r>
        <w:rPr>
          <w:b/>
          <w:bCs/>
        </w:rPr>
        <w:t>Position</w:t>
      </w:r>
      <w:r>
        <w:rPr>
          <w:b/>
          <w:bCs/>
        </w:rPr>
        <w:t>:</w:t>
      </w:r>
      <w:r>
        <w:t xml:space="preserve"> I</w:t>
      </w:r>
      <w:r>
        <w:t>nnovation is a quality that is felt in the perception of the cafe in the market. Seren Coffi is a cafe that becomes a special communal establishment. This repositioning has also been useful in promoting its brand name</w:t>
      </w:r>
      <w:r>
        <w:t>,</w:t>
      </w:r>
      <w:r>
        <w:t xml:space="preserve"> and it is no longer a chain rival as </w:t>
      </w:r>
      <w:r>
        <w:t>its</w:t>
      </w:r>
      <w:r>
        <w:t xml:space="preserve"> main emphasis is on speed and convenience.</w:t>
      </w:r>
    </w:p>
    <w:p w14:paraId="0000004D">
      <w:r>
        <w:rPr>
          <w:b/>
          <w:bCs/>
        </w:rPr>
        <w:t>P</w:t>
      </w:r>
      <w:r>
        <w:rPr>
          <w:b/>
          <w:bCs/>
        </w:rPr>
        <w:t>aradigm</w:t>
      </w:r>
      <w:r>
        <w:rPr>
          <w:b/>
          <w:bCs/>
        </w:rPr>
        <w:t>:</w:t>
      </w:r>
      <w:r>
        <w:t xml:space="preserve"> I</w:t>
      </w:r>
      <w:r>
        <w:t xml:space="preserve">nnovation, which is business model change. </w:t>
      </w:r>
      <w:r>
        <w:t xml:space="preserve">According </w:t>
      </w:r>
      <w:r>
        <w:t>to Jorzik</w:t>
      </w:r>
      <w:r>
        <w:t xml:space="preserve"> (2024), </w:t>
      </w:r>
      <w:r>
        <w:t>Seren Coffi is a conventional profit-making coffee shop and a prototype of an ecosystem where value creation and value co-creation by customers exist</w:t>
      </w:r>
      <w:r>
        <w:t>.</w:t>
      </w:r>
      <w:r>
        <w:t xml:space="preserve"> This defies business ideals and brings about a more eco-friendly and inclusive business model.</w:t>
      </w:r>
    </w:p>
    <w:p w14:paraId="0000004E">
      <w:r>
        <w:t>The</w:t>
      </w:r>
      <w:r>
        <w:t xml:space="preserve"> solution may be regarded as the one based largely on the Paradigm innovation, since all four dimensions of innovation are engaged, but the solution is </w:t>
      </w:r>
      <w:r>
        <w:t>a</w:t>
      </w:r>
      <w:r>
        <w:t xml:space="preserve"> </w:t>
      </w:r>
      <w:r>
        <w:t>game-changer</w:t>
      </w:r>
      <w:r>
        <w:t xml:space="preserve"> in terms of how the organisation creates and delivers value.</w:t>
      </w:r>
    </w:p>
    <w:p w14:paraId="0000004F">
      <w:pPr>
        <w:spacing w:beforeAutospacing="0" w:afterAutospacing="0" w:line="276" w:lineRule="auto"/>
        <w:jc w:val="left"/>
        <w:rPr/>
      </w:pPr>
      <w:r>
        <w:rPr/>
        <w:br w:type="page"/>
      </w:r>
    </w:p>
    <w:p w14:paraId="00000050">
      <w:pPr>
        <w:pStyle w:val="Heading1"/>
        <w:rPr/>
      </w:pPr>
      <w:bookmarkStart w:id="10" w:name="_Toc225445192"/>
      <w:r>
        <w:t>Creativity Process</w:t>
      </w:r>
      <w:bookmarkEnd w:id="10"/>
      <w:r>
        <w:t xml:space="preserve"> </w:t>
      </w:r>
    </w:p>
    <w:p w14:paraId="00000051">
      <w:r>
        <w:t>The outlined solution to the situation with Seren Coffi is elaborated with the assistance of the application of the creative thinking methods, namely, the lateral and problem reframing. The issue was approached from a different angle, rather than the traditional business model, where focus is on generating a larger revenue or reducing costs. The new emphasis was not on the issue of how the cafe could gain more profits, but how the weak areas could be transformed into strengths to help the cafe to survive.</w:t>
      </w:r>
      <w:r>
        <w:t xml:space="preserve"> </w:t>
      </w:r>
      <w:r>
        <w:t xml:space="preserve">As noticed by </w:t>
      </w:r>
      <w:r>
        <w:t>Rancati</w:t>
      </w:r>
      <w:r>
        <w:t xml:space="preserve"> et al. (2023), t</w:t>
      </w:r>
      <w:r>
        <w:t xml:space="preserve">he way this reframing process has been conducted made it apparent that the strongest asset that Seren Coffi has is not the product, but the community and the loyalty of the customers towards the business. </w:t>
      </w:r>
    </w:p>
    <w:p w14:paraId="00000052">
      <w:r>
        <w:t>It also included the creativity that was grounded in limitations that played a crucial role in coming up with the idea. This limitation of 2000 pounds and the inability to alternate the leadership or the suppliers implied that the solution will have to employ the internal and inexpensive resources available.</w:t>
      </w:r>
      <w:r>
        <w:t xml:space="preserve"> As per Zhang et al. (2024), t</w:t>
      </w:r>
      <w:r>
        <w:t>his favoured a more sustainable and innovative approach, which is geared towards value creation rather than financial investments.</w:t>
      </w:r>
      <w:r>
        <w:t xml:space="preserve"> </w:t>
      </w:r>
      <w:r>
        <w:t>It is also founded on the shared creativity where the co-creation of value is realised when the organisation and the stakeholder are in interaction. The cafe can save on its ethical principles as it becomes possible to involve customers in the operations, as well as to optimise the operations.</w:t>
      </w:r>
      <w:r>
        <w:t xml:space="preserve"> </w:t>
      </w:r>
      <w:r>
        <w:t>According to Gates (2024), generally</w:t>
      </w:r>
      <w:r>
        <w:t xml:space="preserve">, it was found in the process of creativity that there are other means of thinking that can be used to arrive at a viable solution to a problem. </w:t>
      </w:r>
    </w:p>
    <w:p w14:paraId="00000053">
      <w:pPr>
        <w:spacing w:beforeAutospacing="0" w:afterAutospacing="0" w:line="276" w:lineRule="auto"/>
        <w:jc w:val="left"/>
        <w:rPr/>
      </w:pPr>
      <w:r>
        <w:rPr/>
        <w:br w:type="page"/>
      </w:r>
    </w:p>
    <w:p w14:paraId="00000054">
      <w:pPr>
        <w:pStyle w:val="Heading1"/>
        <w:rPr/>
      </w:pPr>
      <w:bookmarkStart w:id="11" w:name="_Toc225445193"/>
      <w:r>
        <w:t>Force Field Analysis</w:t>
      </w:r>
      <w:bookmarkEnd w:id="11"/>
    </w:p>
    <w:p w14:paraId="00000055">
      <w:r>
        <w:t>According to McNett et al. (2022), t</w:t>
      </w:r>
      <w:r>
        <w:t>he Change supporting and change blocking forces can be identified using the Force Field Analysis through Lewin that is an effective tool to decide the viability of the proposed solution. When it comes to the application to the case of Seren Coffi, there are driving and restraining forces that can influence the adoption of the community-powered model.</w:t>
      </w:r>
    </w:p>
    <w:p w14:paraId="00000056">
      <w:pPr>
        <w:pStyle w:val="Heading2"/>
        <w:rPr/>
      </w:pPr>
      <w:bookmarkStart w:id="12" w:name="_Toc225445194"/>
      <w:r>
        <w:t>Driving Forces</w:t>
      </w:r>
      <w:bookmarkEnd w:id="12"/>
      <w:r>
        <w:t xml:space="preserve"> </w:t>
      </w:r>
    </w:p>
    <w:p w14:paraId="00000057">
      <w:r>
        <w:t xml:space="preserve">Several strong driving forces support the proposed innovation. Seren Coffi has a regular and constant customer base that values its corporate social responsibility and community-oriented environment. </w:t>
      </w:r>
      <w:r>
        <w:t>As noticed by Hou et al. (2022), t</w:t>
      </w:r>
      <w:r>
        <w:t xml:space="preserve">his emotional attachment increases the </w:t>
      </w:r>
      <w:r>
        <w:t>possibility</w:t>
      </w:r>
      <w:r>
        <w:t xml:space="preserve"> of the customers being willing to be involved in other activities of the cafe besides transactions.</w:t>
      </w:r>
      <w:r>
        <w:t xml:space="preserve"> </w:t>
      </w:r>
      <w:r>
        <w:t>Second, the brand identity that the cafe will be identified with will differentiate it from the competitors, specifically, the large chain cafes.</w:t>
      </w:r>
      <w:r>
        <w:t xml:space="preserve"> According to McCrory et al. (2022), it</w:t>
      </w:r>
      <w:r>
        <w:t xml:space="preserve"> has a robust foundation on the implementation of a participatory model because of its emphasis on transparency, sustainability and cultural interaction.</w:t>
      </w:r>
      <w:r>
        <w:t xml:space="preserve"> As noticed by UNDP (2023),</w:t>
      </w:r>
      <w:r>
        <w:t xml:space="preserve"> </w:t>
      </w:r>
      <w:r>
        <w:t>t</w:t>
      </w:r>
      <w:r>
        <w:t xml:space="preserve">hirdly, there is already informal community involvement, such as the involvement of volunteers to assist in events. </w:t>
      </w:r>
    </w:p>
    <w:p w14:paraId="00000058">
      <w:pPr>
        <w:pStyle w:val="Heading2"/>
        <w:rPr/>
      </w:pPr>
      <w:bookmarkStart w:id="13" w:name="_Toc225445195"/>
      <w:r>
        <w:t>Restraining Forces</w:t>
      </w:r>
      <w:bookmarkEnd w:id="13"/>
    </w:p>
    <w:p w14:paraId="00000059">
      <w:r>
        <w:t xml:space="preserve">Despite these good points, there are </w:t>
      </w:r>
      <w:r>
        <w:t>several</w:t>
      </w:r>
      <w:r>
        <w:t xml:space="preserve"> limiting forces that may limit the success of the solution. The first problem is that it may have an inconsistency in the customer participation since not all of them are able and willing to donate their time consistently.</w:t>
      </w:r>
      <w:r>
        <w:t xml:space="preserve"> As noticed by </w:t>
      </w:r>
      <w:r>
        <w:t>Sharabati</w:t>
      </w:r>
      <w:r>
        <w:t xml:space="preserve"> et al. (2024), t</w:t>
      </w:r>
      <w:r>
        <w:t>his would reflect on operational reliability.</w:t>
      </w:r>
      <w:r>
        <w:t xml:space="preserve"> T</w:t>
      </w:r>
      <w:r>
        <w:t>he existing weakening and disinterest of the founders may lead to an issue with the new system introduction, particularly when the initial coordination will require additional efforts.</w:t>
      </w:r>
      <w:r>
        <w:t xml:space="preserve"> </w:t>
      </w:r>
      <w:r>
        <w:t xml:space="preserve">It may also </w:t>
      </w:r>
      <w:r>
        <w:t>relate to</w:t>
      </w:r>
      <w:r>
        <w:t xml:space="preserve"> the problem of quality regulation and stability of service delivery in the case of non-professional contributors in the daily routine. The customers may have a certain degree of expectation of the standard of service that may not be easy to meet by </w:t>
      </w:r>
      <w:r>
        <w:t>a community-based</w:t>
      </w:r>
      <w:r>
        <w:t xml:space="preserve"> workforce.</w:t>
      </w:r>
    </w:p>
    <w:p w14:paraId="0000005A">
      <w:pPr>
        <w:pStyle w:val="Heading2"/>
        <w:rPr/>
      </w:pPr>
      <w:bookmarkStart w:id="14" w:name="_Toc225445196"/>
      <w:r>
        <w:t>Evaluation of the Idea</w:t>
      </w:r>
      <w:bookmarkEnd w:id="14"/>
      <w:r>
        <w:t xml:space="preserve"> </w:t>
      </w:r>
    </w:p>
    <w:p w14:paraId="0000005B">
      <w:r>
        <w:t xml:space="preserve">The solution suggested will address </w:t>
      </w:r>
      <w:r>
        <w:t>most of</w:t>
      </w:r>
      <w:r>
        <w:t xml:space="preserve"> the restraining forces and utilise them as opportunities. As an example, the shortage in staff members can be solved by engaging the communities, and the customers can be rendered loyal by engaging them even more.</w:t>
      </w:r>
      <w:r>
        <w:t xml:space="preserve"> According to </w:t>
      </w:r>
      <w:r>
        <w:t>Hokmabadi</w:t>
      </w:r>
      <w:r>
        <w:t xml:space="preserve"> et al. (2024),</w:t>
      </w:r>
      <w:r>
        <w:t xml:space="preserve"> </w:t>
      </w:r>
      <w:r>
        <w:t>t</w:t>
      </w:r>
      <w:r>
        <w:t>he model is not based on the traditional approaches to profitable strategies, yet it creates value by being social and sustainable.</w:t>
      </w:r>
      <w:r>
        <w:t xml:space="preserve"> </w:t>
      </w:r>
      <w:r>
        <w:t>The solution is also viable in perspectives of value creation, since it utilises the existing strengths of Seren Coffi rather than the need to utilise external resources. Therefore, the drawbacks of the strategy are not as numerous as the positive sides.</w:t>
      </w:r>
    </w:p>
    <w:p w14:paraId="0000005C">
      <w:pPr>
        <w:spacing w:beforeAutospacing="0" w:afterAutospacing="0" w:line="276" w:lineRule="auto"/>
        <w:jc w:val="left"/>
        <w:rPr/>
      </w:pPr>
      <w:r>
        <w:rPr/>
        <w:br w:type="page"/>
      </w:r>
    </w:p>
    <w:p w14:paraId="0000005D">
      <w:pPr>
        <w:pStyle w:val="Heading1"/>
        <w:rPr/>
      </w:pPr>
      <w:bookmarkStart w:id="15" w:name="_Toc225445197"/>
      <w:r>
        <w:t>Innovation Organisational Climate Support</w:t>
      </w:r>
      <w:bookmarkEnd w:id="15"/>
    </w:p>
    <w:p w14:paraId="0000005E">
      <w:r>
        <w:t>The other fact is that another innovation can or cannot be realised successfully based on the Seren Coffi organisational climate. On the one hand, it has some features of a place that assist in developing creativity and innovation in the cafe. The founders have instilled a good culture of strong teamwork, ethics and community participation.</w:t>
      </w:r>
      <w:r>
        <w:t xml:space="preserve"> As noticed by Fischer and Riedl (2020),</w:t>
      </w:r>
      <w:r>
        <w:t xml:space="preserve"> </w:t>
      </w:r>
      <w:r>
        <w:t>i</w:t>
      </w:r>
      <w:r>
        <w:t>t is a loose and open environment that may contribute to the creation of ideas and the involvement of employees and customers to adhere to the model suggested through community mediation.</w:t>
      </w:r>
      <w:r>
        <w:t xml:space="preserve"> </w:t>
      </w:r>
      <w:r>
        <w:t xml:space="preserve">Granted, though, there exist giant obstacles to the organisational climate. </w:t>
      </w:r>
    </w:p>
    <w:p w14:paraId="0000005F">
      <w:r>
        <w:t>There is also some indication of fatigue among founders and a diminishing contribution, as organisational energy has been drained and therefore no longer a potential source of change.</w:t>
      </w:r>
      <w:r>
        <w:t xml:space="preserve"> </w:t>
      </w:r>
      <w:r>
        <w:t>As noticed by Espaillat et al. (2022)</w:t>
      </w:r>
      <w:r>
        <w:t>, all the challenges do not make the given solution unrelated to the current culture of the Seren Coffi due to its integration into its benefits</w:t>
      </w:r>
      <w:r>
        <w:t>,</w:t>
      </w:r>
      <w:r>
        <w:t xml:space="preserve"> as opposed to being incompatible with new practices. This can be achieved by sharing the roles with the community and streamlining the decision-making process in such a way that the organisation can provide a more enabling environment </w:t>
      </w:r>
      <w:r>
        <w:t>for</w:t>
      </w:r>
      <w:r>
        <w:t xml:space="preserve"> innovation in the community.</w:t>
      </w:r>
    </w:p>
    <w:p w14:paraId="00000060">
      <w:pPr>
        <w:spacing w:beforeAutospacing="0" w:afterAutospacing="0" w:line="276" w:lineRule="auto"/>
        <w:jc w:val="left"/>
        <w:rPr/>
      </w:pPr>
      <w:r>
        <w:rPr/>
        <w:br w:type="page"/>
      </w:r>
    </w:p>
    <w:p w14:paraId="00000061">
      <w:pPr>
        <w:pStyle w:val="Heading1"/>
        <w:rPr/>
      </w:pPr>
      <w:bookmarkStart w:id="16" w:name="_Toc225445198"/>
      <w:r>
        <w:t>Conclusion</w:t>
      </w:r>
      <w:bookmarkEnd w:id="16"/>
    </w:p>
    <w:p w14:paraId="00000062">
      <w:r>
        <w:t>Finally, despite the non-existence of demand and imagination, the problems of Seren Coffi are the business waste, the challenge of its moral values to business tradition. We also see that the progress of the usual capitalistic solutions will not have a long-term effect, and it may negatively impact the image of the coffee shop.</w:t>
      </w:r>
      <w:r>
        <w:t xml:space="preserve"> </w:t>
      </w:r>
      <w:r>
        <w:t>Proposing the community-powered model is more innovative and creative because it utilises the largest strength of Seren Coffi, the presence of a stable customer base. Including them in the process will help the cafe to relieve the operations of the process and to introduce additional engagements and preserve the initial values.</w:t>
      </w:r>
      <w:r>
        <w:t xml:space="preserve"> </w:t>
      </w:r>
      <w:r>
        <w:t xml:space="preserve">Besides, the point that the 4Ps of innovation and the Force Field Analysis created by Lewin were, in fact, implemented into practice is evidence that the solution in question is both value-based and practical. Finally, reinvention of the business model, which will not be the measure of its success, rather communal interaction and value creation over the long run, is what will ultimately make or break the </w:t>
      </w:r>
      <w:r>
        <w:t>long-term</w:t>
      </w:r>
      <w:r>
        <w:t xml:space="preserve"> success of Seren Coffi.</w:t>
      </w:r>
    </w:p>
    <w:p w14:paraId="00000063">
      <w:pPr>
        <w:spacing w:beforeAutospacing="0" w:afterAutospacing="0" w:line="276" w:lineRule="auto"/>
        <w:jc w:val="left"/>
        <w:rPr/>
      </w:pPr>
      <w:r>
        <w:rPr/>
        <w:br w:type="page"/>
      </w:r>
    </w:p>
    <w:p w14:paraId="00000064">
      <w:pPr>
        <w:pStyle w:val="Heading1"/>
        <w:rPr/>
      </w:pPr>
      <w:bookmarkStart w:id="17" w:name="_Toc225445199"/>
      <w:r>
        <w:t>Part 2: AI-Supported Development of the Creative Solution</w:t>
      </w:r>
      <w:bookmarkEnd w:id="17"/>
      <w:r>
        <w:t xml:space="preserve"> </w:t>
      </w:r>
    </w:p>
    <w:p w14:paraId="00000065">
      <w:pPr>
        <w:pStyle w:val="Heading2"/>
        <w:rPr/>
      </w:pPr>
      <w:bookmarkStart w:id="18" w:name="_Toc225445200"/>
      <w:r>
        <w:t>Introduction</w:t>
      </w:r>
      <w:bookmarkEnd w:id="18"/>
      <w:r>
        <w:t xml:space="preserve"> </w:t>
      </w:r>
    </w:p>
    <w:p w14:paraId="00000066">
      <w:r>
        <w:t xml:space="preserve">The first idea was to introduce to Seren Coffi a notion of community-based coffee, which will resolve the issues related to running it, and preserve the ethical and community-loving spirit of the cafe. The solution aimed at seeing the customers as active contributors by transforming them to time based actors, common responsibility and </w:t>
      </w:r>
      <w:r>
        <w:t>community-based</w:t>
      </w:r>
      <w:r>
        <w:t xml:space="preserve"> activities. This was guided towards alleviating stress </w:t>
      </w:r>
      <w:r>
        <w:t>on</w:t>
      </w:r>
      <w:r>
        <w:t xml:space="preserve"> operations, </w:t>
      </w:r>
      <w:r>
        <w:t>manpower</w:t>
      </w:r>
      <w:r>
        <w:t xml:space="preserve"> issues</w:t>
      </w:r>
      <w:r>
        <w:t>,</w:t>
      </w:r>
      <w:r>
        <w:t xml:space="preserve"> and to </w:t>
      </w:r>
      <w:r>
        <w:t>contact</w:t>
      </w:r>
      <w:r>
        <w:t xml:space="preserve"> the customers without necessarily using the traditional capitalistic strategies of lowering costs or increasing size. </w:t>
      </w:r>
      <w:r>
        <w:t>To</w:t>
      </w:r>
      <w:r>
        <w:t xml:space="preserve"> elaborate </w:t>
      </w:r>
      <w:r>
        <w:t xml:space="preserve">on </w:t>
      </w:r>
      <w:r>
        <w:t xml:space="preserve">this concept and make it more precise, one used an AI-based Large Language Model (LLM), ChatGPT. The idea behind the implementation of AI was to consider different views of the issue to better </w:t>
      </w:r>
      <w:r>
        <w:t>organise</w:t>
      </w:r>
      <w:r>
        <w:t xml:space="preserve"> the solution and challenge the viability of the solution. AI also allowed coming up with numerous ideas in a comparatively small amount of time, which made it possible to think about numerous alternative ways of solving the problem. Nonetheless, making human </w:t>
      </w:r>
      <w:r>
        <w:t>judgment</w:t>
      </w:r>
      <w:r>
        <w:t xml:space="preserve"> obsolete through AI was not the aim of this process. Rather, it has aided them </w:t>
      </w:r>
      <w:r>
        <w:t>in supporting</w:t>
      </w:r>
      <w:r>
        <w:t xml:space="preserve"> an attempt to test assumptions and </w:t>
      </w:r>
      <w:r>
        <w:t>improve</w:t>
      </w:r>
      <w:r>
        <w:t xml:space="preserve"> critical thinking. </w:t>
      </w:r>
    </w:p>
    <w:p w14:paraId="00000067">
      <w:pPr>
        <w:spacing w:beforeAutospacing="0" w:afterAutospacing="0" w:line="276" w:lineRule="auto"/>
        <w:jc w:val="left"/>
        <w:rPr/>
      </w:pPr>
      <w:r>
        <w:rPr/>
        <w:br w:type="page"/>
      </w:r>
    </w:p>
    <w:p w14:paraId="00000068">
      <w:pPr>
        <w:pStyle w:val="Heading2"/>
        <w:rPr/>
      </w:pPr>
      <w:bookmarkStart w:id="19" w:name="_Toc225445201"/>
      <w:r>
        <w:t>Process Narrative</w:t>
      </w:r>
      <w:bookmarkEnd w:id="19"/>
    </w:p>
    <w:p w14:paraId="00000069">
      <w:r>
        <w:t>The communication with the AI was designed and consistent, and questions were narrowed down according to the conditions of the Seren Coffi. First, I started to use general prompts in order to come up with as many possible options as I could. This is just one of those examples: I requested them to come up with some creative ideas to revive a crashing coffee shop. Some of the usual variables of response were cost reduction, expansion of the menu, and expansion of efficient operations. These recommendations, however useful at their inception, were to the largest extent generic and failed to be representative of the reputation and values of Seren Coffi, as noticed by Mariani et al. (2023). I was aware of this and narrowed my prompts to take the morality and community-focused nature of the cafe. One of them is the question I have asked, and that is, to suggest creative, community-based solutions to an ethical coffee shop having an issue with the way it operates. The change moved to more timely deliverables, such as customer engagement, social engagement, and alternative business model ideas, as per Wind et al. (2024).</w:t>
      </w:r>
    </w:p>
    <w:p w14:paraId="0000006A">
      <w:r>
        <w:t>The second step involved certain prompts to come up with and test the proposed solution. Questions, including How can a community-powered cafe model be implemented effectively? and What are the risks of involving customers in operations were asked to consider the ways of implementing the practical strategies and what problems may be expected during the process. Such reactions assisted in revealing some of the major factors like consistency, quality control and customer commitment, as argued by Zang and Li (2025). My answers to AIs were brutal in the process, and it was only after the suggestions were congruent with the values of the Seren Coffi that I accommodated them. I ruled out options that would involve adopting standardisation of operation or raising prices as a way of making traditional profit-making policies. This corkscrew procedure assisted the solution to develop into an idea that was more concentrated and specific regarding a general conception. Overall, the process showed that to be efficient in utilising AI, we need to be careful and timely in designing, continue to enhance it and change it with our judgement as human beings to make its results sound and relevant, as suggested by Patmore (2025).</w:t>
      </w:r>
    </w:p>
    <w:p w14:paraId="0000006B">
      <w:pPr>
        <w:spacing w:beforeAutospacing="0" w:afterAutospacing="0" w:line="276" w:lineRule="auto"/>
        <w:jc w:val="left"/>
        <w:rPr/>
      </w:pPr>
      <w:r>
        <w:rPr/>
        <w:br w:type="page"/>
      </w:r>
    </w:p>
    <w:p w14:paraId="0000006C">
      <w:pPr>
        <w:pStyle w:val="Heading2"/>
        <w:rPr/>
      </w:pPr>
      <w:bookmarkStart w:id="20" w:name="_Toc225445202"/>
      <w:r>
        <w:t>Critical Appraisal</w:t>
      </w:r>
      <w:bookmarkEnd w:id="20"/>
    </w:p>
    <w:p w14:paraId="0000006D">
      <w:r>
        <w:t xml:space="preserve">The application of AI to the creation of the innovative solution had a number of opportunities, especially when it comes to efficiency and the development of ideas. The main advantage of AI was </w:t>
      </w:r>
      <w:r>
        <w:t xml:space="preserve">that </w:t>
      </w:r>
      <w:r>
        <w:t xml:space="preserve">many suggestions </w:t>
      </w:r>
      <w:r>
        <w:t xml:space="preserve">were </w:t>
      </w:r>
      <w:r>
        <w:t>generated within a very short time, and it was possible to spend the limited time and search the possible solutions. This assisted in the brainstorming and provided some viewpoints in expanding the mindset, as per Zang and Li (2025). In that regard, AI also helped in a more logical and systematic organisation of the solution to enhance its clarity and coherence.</w:t>
      </w:r>
      <w:r>
        <w:t xml:space="preserve"> </w:t>
      </w:r>
      <w:r>
        <w:t>With a keen inspection of the products of the AI, however, it will be discovered that it is severely limited. The largest problem was that the AI was based on the principles of classical capitalistic entrepreneurship. Most of its early suggestions included cost-cutting plans, price increment plans and business growth plans. Although these strategies are frequently applied to the business environment, they were not applicable to the case of Seren Coffi, as they differed from its values and focus on society, as noticed by Moruzzi (2025).</w:t>
      </w:r>
    </w:p>
    <w:p w14:paraId="0000006E">
      <w:r>
        <w:t xml:space="preserve">It proves that AI is sensitive to the existing trends in its training material, which is profit- and efficiency-focused. As such, it finds it hard to produce solutions that are shared with other value systems, like communal involvement and the social value systems, as per Hemraj (2025). </w:t>
      </w:r>
    </w:p>
    <w:p w14:paraId="0000006F">
      <w:r>
        <w:t>The second weakness was the absence of background knowledge. Such peculiarities of Seren Coffi as its local community orientation and cultural activities were not even considered by AI. Other propositions were either too broad or too idealistic, and would have needed much martyrdom to fit. The context knowledge was also lacking. The AI has not paid sufficient focus to the peculiarities of the Seren Coffi, including its local community orientation and culture. Others were either too broad or too abstract and had to be changed significantly, as argued by Grassini and Koivisto (2024).</w:t>
      </w:r>
      <w:r>
        <w:t xml:space="preserve"> </w:t>
      </w:r>
      <w:r>
        <w:t xml:space="preserve">Further, AI can be creative in simulation, yet not </w:t>
      </w:r>
      <w:r>
        <w:t xml:space="preserve">in </w:t>
      </w:r>
      <w:r>
        <w:t>creative thought. Its products of activities are based on the combination of the current information and not on the formation of really new ideas, as stated by Du Sautoy (2020). It is here that human judgment is involved in the process of evaluation and editing AI-generated content.</w:t>
      </w:r>
    </w:p>
    <w:p w14:paraId="00000070">
      <w:r>
        <w:t xml:space="preserve">In addition to these limitations, it is equally important to keep in mind the general consequences of introducing AI to the creative sphere. The artificial intelligence will be more inclined to approve the existing situation rather than criticise it, and thereby will tend to deter genuinely </w:t>
      </w:r>
      <w:r>
        <w:t>creative solutions, as per Zhang et al. (2025). In the case of Seren Coffi, this was manifested in the AI preferring efficiency-oriented solutions to community-oriented solutions.</w:t>
      </w:r>
      <w:r>
        <w:t xml:space="preserve"> </w:t>
      </w:r>
      <w:r>
        <w:t>Besides, ethical considerations must be considered. Seren Coffi has a policy of fairness, transparency, community involvement, and it must have a notion of human relationships and social interactions. AI lacks emotional intelligence and living experience, and it cannot read this comprehensively, as argued by Amabile and Pratt (2021).</w:t>
      </w:r>
    </w:p>
    <w:p w14:paraId="00000071">
      <w:pPr>
        <w:spacing w:beforeAutospacing="0" w:afterAutospacing="0" w:line="276" w:lineRule="auto"/>
        <w:jc w:val="left"/>
        <w:rPr/>
      </w:pPr>
      <w:r>
        <w:rPr/>
        <w:br w:type="page"/>
      </w:r>
    </w:p>
    <w:p w14:paraId="00000072">
      <w:pPr>
        <w:pStyle w:val="Heading2"/>
        <w:rPr/>
      </w:pPr>
      <w:r>
        <w:t xml:space="preserve"> </w:t>
      </w:r>
      <w:bookmarkStart w:id="21" w:name="_Toc225445203"/>
      <w:r>
        <w:t>Successes &amp; Failures</w:t>
      </w:r>
      <w:bookmarkEnd w:id="21"/>
    </w:p>
    <w:p w14:paraId="00000073">
      <w:r>
        <w:t xml:space="preserve">Different achievements were realised due to the application of AI in this project. To begin with, it streamlined and simplified the research and ideation process. AI allowed generating many ideas quickly, and investigating their possible solutions within a limited timeframe. This was quite useful when the project was at early stages, as per </w:t>
      </w:r>
      <w:r>
        <w:t>Mikalef</w:t>
      </w:r>
      <w:r>
        <w:t xml:space="preserve"> et al. (2022).</w:t>
      </w:r>
      <w:r>
        <w:t xml:space="preserve"> </w:t>
      </w:r>
      <w:r>
        <w:t>Secondly, the AI has assisted in the improvement of the structure and organisation of the solution. It helped to shape out the key spheres of analysis, risks, implementation strategies and value creation that facilitated the clarity and coherence of the work, as suggested by Tidd and Bessant (2021).</w:t>
      </w:r>
      <w:r>
        <w:t xml:space="preserve"> </w:t>
      </w:r>
      <w:r>
        <w:t>However, even with the application of AI, some major failures were present. The initial weakness lay in generating generic and repetitive ideas, which were not new. Many responses related to the overall business practices were not applicable in the case of Seren Coffi, as noticed by Grassini and Koivisto (2024).</w:t>
      </w:r>
    </w:p>
    <w:p w14:paraId="00000074">
      <w:r>
        <w:t>According to Agrawal</w:t>
      </w:r>
      <w:r>
        <w:t xml:space="preserve"> et al.</w:t>
      </w:r>
      <w:r>
        <w:t xml:space="preserve"> (2018</w:t>
      </w:r>
      <w:r>
        <w:t xml:space="preserve">), </w:t>
      </w:r>
      <w:r>
        <w:t>the AI occasionally produced thoughts that were not in line with the assignment requirements, such as proposing leadership changes or suppliers. This demonstrated the non-contextual perception and the need for human-attentive dominion, as argued by Russell and Norvig (2020).</w:t>
      </w:r>
      <w:r>
        <w:t xml:space="preserve"> </w:t>
      </w:r>
      <w:r>
        <w:t xml:space="preserve">The second failure was that the AI could not fully understand the social and cultural aspects of Seren Coffi. Its suggestions were often financially based rather than communal, which was not in tandem with the cafe's values, as per Hemraj (2025). </w:t>
      </w:r>
    </w:p>
    <w:p w14:paraId="00000075">
      <w:pPr>
        <w:spacing w:beforeAutospacing="0" w:afterAutospacing="0" w:line="276" w:lineRule="auto"/>
        <w:jc w:val="left"/>
        <w:rPr/>
      </w:pPr>
      <w:r>
        <w:rPr/>
        <w:br w:type="page"/>
      </w:r>
    </w:p>
    <w:p w14:paraId="00000076">
      <w:pPr>
        <w:pStyle w:val="Heading2"/>
        <w:rPr/>
      </w:pPr>
      <w:bookmarkStart w:id="22" w:name="_Toc225445204"/>
      <w:r>
        <w:t>Refined Solution</w:t>
      </w:r>
      <w:bookmarkEnd w:id="22"/>
    </w:p>
    <w:p w14:paraId="00000077">
      <w:r>
        <w:t xml:space="preserve">The AI experience has contributed to the advancement of the original community-powered code of the cafes, but the concept was the same. The idea of involving customers as active participants has been supported by the fact that viable implementation strategies were found, such as defining the role and offering organisation of participation, as suggested by </w:t>
      </w:r>
      <w:r>
        <w:t>Gaggioli</w:t>
      </w:r>
      <w:r>
        <w:t xml:space="preserve"> et al. (2025).</w:t>
      </w:r>
      <w:r>
        <w:t xml:space="preserve"> </w:t>
      </w:r>
      <w:r>
        <w:t>Some of the AI recommendations were also incorporated in the final solution, particularly those related to risk identification and operational efficiencies. In one case, the necessity to focus on quality control and the level of involvement was determined and addressed, as per Tidd and Bessant (2021).</w:t>
      </w:r>
      <w:r>
        <w:t xml:space="preserve"> </w:t>
      </w:r>
      <w:r>
        <w:t>Not all AI-based suggestions were, however, accepted. Suggestions on cost-cutting and expansion, and standardisation were not accepted as they went against the ethical code and long-term vision of Seren Coffi. Instead, a value creation and community focus remained in the solution, as argued by Du Sautoy (2020).</w:t>
      </w:r>
      <w:r>
        <w:t xml:space="preserve"> </w:t>
      </w:r>
      <w:r>
        <w:t xml:space="preserve">The refined solution is the exchange of AI-assisted information and human choices. AI was used to improve the organisation and potential barriers, but the final decisions were taken based on the specific conditions and ethics of Seren Coffi. </w:t>
      </w:r>
    </w:p>
    <w:p w14:paraId="00000078">
      <w:pPr>
        <w:spacing w:beforeAutospacing="0" w:afterAutospacing="0" w:line="276" w:lineRule="auto"/>
        <w:jc w:val="left"/>
        <w:rPr/>
      </w:pPr>
      <w:r>
        <w:rPr/>
        <w:br w:type="page"/>
      </w:r>
    </w:p>
    <w:p w14:paraId="00000079">
      <w:pPr>
        <w:pStyle w:val="Heading1"/>
        <w:rPr/>
      </w:pPr>
      <w:bookmarkStart w:id="23" w:name="_Toc225445205"/>
      <w:r>
        <w:t>References</w:t>
      </w:r>
      <w:bookmarkEnd w:id="23"/>
      <w:r>
        <w:t xml:space="preserve"> </w:t>
      </w:r>
    </w:p>
    <w:p w14:paraId="0000007A">
      <w:r>
        <w:t xml:space="preserve">Agrawal, A., Gans, J. and Goldfarb, A. (2018) </w:t>
      </w:r>
      <w:r>
        <w:rPr>
          <w:i/>
          <w:iCs/>
        </w:rPr>
        <w:t>Prediction machines: The simple economics of artificial intelligence</w:t>
      </w:r>
      <w:r>
        <w:t>. Boston: Harvard Business Review Press</w:t>
      </w:r>
    </w:p>
    <w:p w14:paraId="0000007B">
      <w:r>
        <w:t xml:space="preserve">Allal-Cherif, O., </w:t>
      </w:r>
      <w:r>
        <w:t>Gallego</w:t>
      </w:r>
      <w:r>
        <w:t xml:space="preserve">-Nicholls, J.F., </w:t>
      </w:r>
      <w:r>
        <w:t>Carrilero</w:t>
      </w:r>
      <w:r>
        <w:t xml:space="preserve">-Castillo, A. and Garcia, F.J.S. (2025) ‘Stepping out of the innovation race to embrace </w:t>
      </w:r>
      <w:r>
        <w:t>outnovation</w:t>
      </w:r>
      <w:r>
        <w:t xml:space="preserve">: Fostering well-being and responsible consumption through sustainability, simplicity, authenticity, and nostalgia’, </w:t>
      </w:r>
      <w:r>
        <w:rPr>
          <w:i/>
          <w:iCs/>
        </w:rPr>
        <w:t>Technological Forecasting and Social Change</w:t>
      </w:r>
      <w:r>
        <w:t>, 210, p.123906. Available at: https://www.sciencedirect.com/science/article/pii/S0040162524007042 (Accessed: 25 March 2026).</w:t>
      </w:r>
    </w:p>
    <w:p w14:paraId="0000007C">
      <w:r>
        <w:t xml:space="preserve">Amabile, T.M. and Pratt, M.G. (2021) </w:t>
      </w:r>
      <w:r>
        <w:rPr>
          <w:i/>
          <w:iCs/>
        </w:rPr>
        <w:t>The dynamic componential model of creativity and innovation in organizations</w:t>
      </w:r>
      <w:r>
        <w:t>. Harvard Business School Press.</w:t>
      </w:r>
    </w:p>
    <w:p w14:paraId="0000007D">
      <w:r>
        <w:t xml:space="preserve">Brem, A. and Puente-Diaz, R. (2020) ‘Creativity, innovation, sustainability: A conceptual model for future research efforts’, </w:t>
      </w:r>
      <w:r>
        <w:rPr>
          <w:i/>
          <w:iCs/>
        </w:rPr>
        <w:t>Sustainability</w:t>
      </w:r>
      <w:r>
        <w:t>, 12(8), p.3139. Available at: https://www.mdpi.com/2071-1050/12/8/3139 (Accessed: 25 March 2026).</w:t>
      </w:r>
    </w:p>
    <w:p w14:paraId="0000007E">
      <w:r>
        <w:t xml:space="preserve">Du Sautoy, M. (2020) </w:t>
      </w:r>
      <w:r>
        <w:rPr>
          <w:i/>
          <w:iCs/>
        </w:rPr>
        <w:t>The creativity code: Art and innovation in the age of AI</w:t>
      </w:r>
      <w:r>
        <w:t>. Harvard University Press.</w:t>
      </w:r>
    </w:p>
    <w:p w14:paraId="0000007F">
      <w:r>
        <w:t xml:space="preserve">Khoury, R. (2024) ‘Technology-driven business innovation’, </w:t>
      </w:r>
      <w:r>
        <w:rPr>
          <w:i/>
          <w:iCs/>
        </w:rPr>
        <w:t>Springer</w:t>
      </w:r>
      <w:r>
        <w:t>. Available at: https://www.researchgate.net/profile/Sathish-Pachiyappan-3/publication/379234845 (Accessed: 25 March 2026).</w:t>
      </w:r>
    </w:p>
    <w:p w14:paraId="00000080">
      <w:r>
        <w:t xml:space="preserve">Fischer, T. and Riedl, R. (2022) ‘On the stress potential of an organisational climate of innovation’, </w:t>
      </w:r>
      <w:r>
        <w:rPr>
          <w:i/>
          <w:iCs/>
        </w:rPr>
        <w:t>Behaviour &amp; Information Technology</w:t>
      </w:r>
      <w:r>
        <w:t>, 41(4), pp.805–826. Available at: https://doi.org/10.1080/0144929X.2020.1836258 (Accessed: 25 March 2026).</w:t>
      </w:r>
    </w:p>
    <w:p w14:paraId="00000081">
      <w:r>
        <w:t xml:space="preserve">Gaggioli, A. et al. (2025) </w:t>
      </w:r>
      <w:r>
        <w:rPr>
          <w:i/>
          <w:iCs/>
        </w:rPr>
        <w:t>Extended creativity: Human–AI collaboration</w:t>
      </w:r>
      <w:r>
        <w:t>.</w:t>
      </w:r>
    </w:p>
    <w:p w14:paraId="00000082">
      <w:r>
        <w:t xml:space="preserve">Gates, T. (2024) ‘Successful strategies of small business owners of coffee shops’, </w:t>
      </w:r>
      <w:r>
        <w:rPr>
          <w:i/>
          <w:iCs/>
        </w:rPr>
        <w:t>Doctoral dissertation, Walden University</w:t>
      </w:r>
      <w:r>
        <w:t>. Available at: https://scholarworks.waldenu.edu/cgi/viewcontent.cgi?article=17308 (Accessed: 25 March 2026).</w:t>
      </w:r>
    </w:p>
    <w:p w14:paraId="00000083">
      <w:r>
        <w:t xml:space="preserve">Grassini, S. and Koivisto, M. (2024) ‘Artificial creativity? Evaluating AI against human performance’, </w:t>
      </w:r>
      <w:r>
        <w:rPr>
          <w:i/>
          <w:iCs/>
        </w:rPr>
        <w:t>International Journal of Human-Computer Interaction</w:t>
      </w:r>
      <w:r>
        <w:t>, 41(7), pp.1–12. Available at: https://doi.org/10.1080/10447318.2024.2345430 (Accessed: 25 March 2026).</w:t>
      </w:r>
    </w:p>
    <w:p w14:paraId="00000084">
      <w:r>
        <w:t xml:space="preserve">Hemraj, S. (2025) ‘AI and the future of creative development’, </w:t>
      </w:r>
      <w:r>
        <w:rPr>
          <w:i/>
          <w:iCs/>
        </w:rPr>
        <w:t>AI and Ethics</w:t>
      </w:r>
      <w:r>
        <w:t>. Available at: https://doi.org/10.1007/s43681-025-00765-x (Accessed: 25 March 2026).</w:t>
      </w:r>
    </w:p>
    <w:p w14:paraId="00000085">
      <w:r>
        <w:t>Hokmabadi</w:t>
      </w:r>
      <w:r>
        <w:t xml:space="preserve">, H., Rezvani, S.M. and De Matos, C.A. (2024) ‘Business resilience for SMEs’, </w:t>
      </w:r>
      <w:r>
        <w:rPr>
          <w:i/>
          <w:iCs/>
        </w:rPr>
        <w:t>Systems</w:t>
      </w:r>
      <w:r>
        <w:t>, 12(6), p.220. Available at: https://www.mdpi.com/2079-8954/12/6/220 (Accessed: 25 March 2026).</w:t>
      </w:r>
    </w:p>
    <w:p w14:paraId="00000086">
      <w:r>
        <w:t xml:space="preserve">Huo, C., Hameed, J., Zhang, M., Bin Mohd Ali, A.F. and Nik </w:t>
      </w:r>
      <w:r>
        <w:t>Hashim</w:t>
      </w:r>
      <w:r>
        <w:t>, N.A.A., (2022) ‘</w:t>
      </w:r>
      <w:r>
        <w:t>Modeling</w:t>
      </w:r>
      <w:r>
        <w:t xml:space="preserve"> the impact of corporate social responsibility on sustainable purchase intentions: insights into brand trust and brand loyalty’</w:t>
      </w:r>
      <w:r>
        <w:t>,  </w:t>
      </w:r>
      <w:r>
        <w:rPr>
          <w:i/>
          <w:iCs/>
        </w:rPr>
        <w:t>Economic</w:t>
      </w:r>
      <w:r>
        <w:rPr>
          <w:i/>
          <w:iCs/>
        </w:rPr>
        <w:t xml:space="preserve"> research-</w:t>
      </w:r>
      <w:r>
        <w:rPr>
          <w:i/>
          <w:iCs/>
        </w:rPr>
        <w:t>Ekonomska</w:t>
      </w:r>
      <w:r>
        <w:rPr>
          <w:i/>
          <w:iCs/>
        </w:rPr>
        <w:t xml:space="preserve"> </w:t>
      </w:r>
      <w:r>
        <w:rPr>
          <w:i/>
          <w:iCs/>
        </w:rPr>
        <w:t>istraživanja</w:t>
      </w:r>
      <w:r>
        <w:t>, </w:t>
      </w:r>
      <w:r>
        <w:rPr>
          <w:i/>
          <w:iCs/>
        </w:rPr>
        <w:t>35</w:t>
      </w:r>
      <w:r>
        <w:t>(1), pp.4710-4739. Available at: https://hrcak.srce.hr/file/436598 (Accessed: 25 March 2026).</w:t>
      </w:r>
    </w:p>
    <w:p w14:paraId="00000087">
      <w:r>
        <w:t>Hussain, Z., Khan, A., Qureshi, M.A., Sharipudin, M.N.S. and Alkara, İ. eds., (2025) ‘Knowledge Sharing and Fostering Collaborative Business Culture’, IGI Global. Available at:  https://www.researchgate.net/profile/Zahid-Hussain-86/publication/390089397_Knowledge_Sharing_and_Fostering_Collaborative_Business_Culture/links/67de8ae1e2c0ea36cd9524ad/Knowledge-Sharing-and-Fostering-Collaborative-Business-Culture.pdf (Accessed: 25 March 2026).</w:t>
      </w:r>
    </w:p>
    <w:p w14:paraId="00000088">
      <w:r>
        <w:t xml:space="preserve">Jorzik, P. et al. (2024) ‘AI-driven business model innovation’, </w:t>
      </w:r>
      <w:r>
        <w:rPr>
          <w:i/>
          <w:iCs/>
        </w:rPr>
        <w:t>Journal of Business Research</w:t>
      </w:r>
      <w:r>
        <w:t>, 182, p.114764. Available at: https://www.sciencedirect.com/science/article/pii/S0148296324002686 (Accessed: 25 March 2026).</w:t>
      </w:r>
    </w:p>
    <w:p w14:paraId="00000089">
      <w:r>
        <w:t xml:space="preserve">Lee, Y. and Bateman, A. (2021) ‘Fair trade vs conventional coffee’, </w:t>
      </w:r>
      <w:r>
        <w:rPr>
          <w:i/>
          <w:iCs/>
        </w:rPr>
        <w:t>Ecological Economics</w:t>
      </w:r>
      <w:r>
        <w:t>, 184, p.106986. Available at: https://www.sciencedirect.com/science/article/pii/S0921800921000446 (Accessed: 25 March 2026).</w:t>
      </w:r>
    </w:p>
    <w:p w14:paraId="0000008A">
      <w:r>
        <w:t xml:space="preserve">Manners-Bell, J. and Lyon, K. (2022) </w:t>
      </w:r>
      <w:r>
        <w:rPr>
          <w:i/>
          <w:iCs/>
        </w:rPr>
        <w:t>Logistics and supply chain innovation</w:t>
      </w:r>
      <w:r>
        <w:t xml:space="preserve">. 2nd </w:t>
      </w:r>
      <w:r>
        <w:t>edn</w:t>
      </w:r>
      <w:r>
        <w:t>. London: Kogan Page.</w:t>
      </w:r>
    </w:p>
    <w:p w14:paraId="0000008B">
      <w:r>
        <w:t xml:space="preserve">Mariani, M.M. et al. (2023) ‘AI in innovation research’, </w:t>
      </w:r>
      <w:r>
        <w:rPr>
          <w:i/>
          <w:iCs/>
        </w:rPr>
        <w:t>Technovation</w:t>
      </w:r>
      <w:r>
        <w:t>, 122, p.102623. Available at: https://doi.org/10.1016/j.technovation.2022.102623 (Accessed: 25 March 2026).</w:t>
      </w:r>
    </w:p>
    <w:p w14:paraId="0000008C">
      <w:r>
        <w:t xml:space="preserve">McCrory, G. et al. (2022) ‘Sustainability-oriented labs’, </w:t>
      </w:r>
      <w:r>
        <w:rPr>
          <w:i/>
          <w:iCs/>
        </w:rPr>
        <w:t>Environmental Innovation and Societal Transitions</w:t>
      </w:r>
      <w:r>
        <w:t>, 43, pp.99–117. Available at: https://www.sciencedirect.com/science/article/pii/S2210422422000296 (Accessed: 25 March 2026).</w:t>
      </w:r>
    </w:p>
    <w:p w14:paraId="0000008D">
      <w:r>
        <w:t xml:space="preserve">McNett, M. et al. (2022) ‘Force field analysis in healthcare’, </w:t>
      </w:r>
      <w:r>
        <w:rPr>
          <w:i/>
          <w:iCs/>
        </w:rPr>
        <w:t>Global Implementation Research and Applications</w:t>
      </w:r>
      <w:r>
        <w:t>, 2(3), pp.195–208. Available at: https://pmc.ncbi.nlm.nih.gov/articles/PMC9373890 (Accessed: 25 March 2026).</w:t>
      </w:r>
    </w:p>
    <w:p w14:paraId="0000008E">
      <w:r>
        <w:t>Mikalef</w:t>
      </w:r>
      <w:r>
        <w:t xml:space="preserve">, P. et al. (2022) </w:t>
      </w:r>
      <w:r>
        <w:rPr>
          <w:i/>
          <w:iCs/>
        </w:rPr>
        <w:t>Artificial intelligence for business creativity</w:t>
      </w:r>
      <w:r>
        <w:t>. Routledge.</w:t>
      </w:r>
    </w:p>
    <w:p w14:paraId="0000008F">
      <w:r>
        <w:t xml:space="preserve">Moruzzi, C. (2025) ‘Artificial intelligence and creativity’, </w:t>
      </w:r>
      <w:r>
        <w:rPr>
          <w:i/>
          <w:iCs/>
        </w:rPr>
        <w:t>Philosophy Compass</w:t>
      </w:r>
      <w:r>
        <w:t>, 20(3). Available at: https://doi.org/10.1111/phc3.70030 (Accessed: 25 March 2026).</w:t>
      </w:r>
    </w:p>
    <w:p w14:paraId="00000090">
      <w:r>
        <w:t xml:space="preserve">Münster, M.B. (2024) ‘Adaptive reuse: Atmospherics in coffee shops’, </w:t>
      </w:r>
      <w:r>
        <w:rPr>
          <w:i/>
          <w:iCs/>
        </w:rPr>
        <w:t>Sustainability</w:t>
      </w:r>
      <w:r>
        <w:t>, 16(4), p.1585. Available at: https://www.mdpi.com/2071-1050/16/4/1585 (Accessed: 25 March 2026).</w:t>
      </w:r>
    </w:p>
    <w:p w14:paraId="00000091">
      <w:r>
        <w:t>Noaime</w:t>
      </w:r>
      <w:r>
        <w:t xml:space="preserve">, E., </w:t>
      </w:r>
      <w:r>
        <w:t>Alalouch</w:t>
      </w:r>
      <w:r>
        <w:t xml:space="preserve">, C., Mesloub, A., Hamdoun, H., Gnaba, H. and </w:t>
      </w:r>
      <w:r>
        <w:t>Alnaim</w:t>
      </w:r>
      <w:r>
        <w:t>, M.M., (2025) ‘Sustainable cities and urban dynamics: The role of the café culture in transforming the public realm’</w:t>
      </w:r>
      <w:r>
        <w:t>,  </w:t>
      </w:r>
      <w:r>
        <w:rPr>
          <w:i/>
          <w:iCs/>
        </w:rPr>
        <w:t>Ain</w:t>
      </w:r>
      <w:r>
        <w:rPr>
          <w:i/>
          <w:iCs/>
        </w:rPr>
        <w:t xml:space="preserve"> Shams Engineering Journal</w:t>
      </w:r>
      <w:r>
        <w:t>, </w:t>
      </w:r>
      <w:r>
        <w:rPr>
          <w:i/>
          <w:iCs/>
        </w:rPr>
        <w:t>16</w:t>
      </w:r>
      <w:r>
        <w:t>(3), p.103320. Available at: https://www.sciencedirect.com/science/article/pii/S2090447925000619 (Accessed: 25 March 2026).</w:t>
      </w:r>
    </w:p>
    <w:p w14:paraId="00000092">
      <w:r>
        <w:t>Patmore, J.J. (2025) ‘Creativity and innovation in the age of AI’. Available at: https://www.researchgate.net/publication/388729223 (Accessed: 25 March 2026).</w:t>
      </w:r>
    </w:p>
    <w:p w14:paraId="00000093">
      <w:r>
        <w:t xml:space="preserve">Petropoulos, F. et al. (2025) ‘Operations and supply chain management’, </w:t>
      </w:r>
      <w:r>
        <w:rPr>
          <w:i/>
          <w:iCs/>
        </w:rPr>
        <w:t>International Journal of Production Research</w:t>
      </w:r>
      <w:r>
        <w:t>, 64(1), pp.330–513. Available at: https://doi.org/10.1080/00207543.2025.2555531 (Accessed: 25 March 2026).</w:t>
      </w:r>
    </w:p>
    <w:p w14:paraId="00000094">
      <w:r>
        <w:t>Rancati</w:t>
      </w:r>
      <w:r>
        <w:t xml:space="preserve">, G. et al. (2023) ‘Customer experience in coffee stores’, </w:t>
      </w:r>
      <w:r>
        <w:rPr>
          <w:i/>
          <w:iCs/>
        </w:rPr>
        <w:t>Journal of Consumer Behaviour</w:t>
      </w:r>
      <w:r>
        <w:t>, 23(1), pp.243–259. Available at: https://onlinelibrary.wiley.com/doi/abs/10.1002/cb.2184 (Accessed: 25 March 2026).</w:t>
      </w:r>
    </w:p>
    <w:p w14:paraId="00000095">
      <w:r>
        <w:t xml:space="preserve">Russell, S. and Norvig, P. (2020) </w:t>
      </w:r>
      <w:r>
        <w:rPr>
          <w:i/>
          <w:iCs/>
        </w:rPr>
        <w:t>Artificial intelligence: A modern approach</w:t>
      </w:r>
      <w:r>
        <w:t>. Pearson.</w:t>
      </w:r>
    </w:p>
    <w:p w14:paraId="00000096">
      <w:r>
        <w:t>Schaedler, L., Graf-</w:t>
      </w:r>
      <w:r>
        <w:t>Vlachy</w:t>
      </w:r>
      <w:r>
        <w:t xml:space="preserve">, L. and König, A. (2022) ‘Strategic leadership in crises’, </w:t>
      </w:r>
      <w:r>
        <w:rPr>
          <w:i/>
          <w:iCs/>
        </w:rPr>
        <w:t>Long Range Planning</w:t>
      </w:r>
      <w:r>
        <w:t>, 55(2), p.102156. Available at: https://www.sciencedirect.com/science/article/pii/S002463012100087X (Accessed: 25 March 2026).</w:t>
      </w:r>
    </w:p>
    <w:p w14:paraId="00000097">
      <w:r>
        <w:t>Sharabati</w:t>
      </w:r>
      <w:r>
        <w:t xml:space="preserve">, A.A.A. et al. (2024) ‘Digital marketing and SME performance’, </w:t>
      </w:r>
      <w:r>
        <w:rPr>
          <w:i/>
          <w:iCs/>
        </w:rPr>
        <w:t>Sustainability</w:t>
      </w:r>
      <w:r>
        <w:t>, 16(19), p.8667. Available at: https://www.mdpi.com/2071-1050/16/19/8667 (Accessed: 25 March 2026).</w:t>
      </w:r>
    </w:p>
    <w:p w14:paraId="00000098">
      <w:r>
        <w:t xml:space="preserve">Tidd, J. (2018) </w:t>
      </w:r>
      <w:r>
        <w:rPr>
          <w:i/>
          <w:iCs/>
        </w:rPr>
        <w:t>Managing innovation</w:t>
      </w:r>
      <w:r>
        <w:t xml:space="preserve">. 6th </w:t>
      </w:r>
      <w:r>
        <w:t>edn</w:t>
      </w:r>
      <w:r>
        <w:t>. Hoboken: Wiley. Available at: https://www.researchgate.net/publication/323120452_Managing_Innovation_Integrating_Technological_Market_and_Organizational_Change_Sixth_Edition (Accessed: 25 March 2026).</w:t>
      </w:r>
    </w:p>
    <w:p w14:paraId="00000099">
      <w:r>
        <w:t xml:space="preserve">Tidd, J. and Bessant, J. (2021) </w:t>
      </w:r>
      <w:r>
        <w:rPr>
          <w:i/>
          <w:iCs/>
        </w:rPr>
        <w:t>Managing innovation</w:t>
      </w:r>
      <w:r>
        <w:t>. Wiley.</w:t>
      </w:r>
    </w:p>
    <w:p w14:paraId="0000009A">
      <w:r>
        <w:t xml:space="preserve">UNDP (2023) </w:t>
      </w:r>
      <w:r>
        <w:rPr>
          <w:i/>
          <w:iCs/>
        </w:rPr>
        <w:t>Behaviour change communication guidance framework document</w:t>
      </w:r>
      <w:r>
        <w:t>. Available at: https://www.undp.org/sites/g/files/zskgke326/files/2023-03/Behavioural%20Change%20Communication-Guidance%20Framework%20%20Doument-%20Final%202023.pdf (Accessed: 25 March 2026).</w:t>
      </w:r>
    </w:p>
    <w:p w14:paraId="0000009B">
      <w:r>
        <w:t>Espaillat, H.J. et al. (2022) ‘</w:t>
      </w:r>
      <w:r>
        <w:t>Influencing responsible green innovation in Dominican agribusiness performance</w:t>
      </w:r>
      <w:r>
        <w:t xml:space="preserve">, </w:t>
      </w:r>
      <w:r>
        <w:rPr>
          <w:i/>
          <w:iCs/>
        </w:rPr>
        <w:t>Corporate Social Responsibility and Environmental Management</w:t>
      </w:r>
      <w:r>
        <w:t xml:space="preserve">, 29(3), pp.675–685. Available at: </w:t>
      </w:r>
      <w:r>
        <w:t>https://onlinelibrary.wiley.com/doi/abs/10.1002/csr.2228</w:t>
      </w:r>
      <w:r>
        <w:t>(Accessed: 25 March 2026).</w:t>
      </w:r>
    </w:p>
    <w:p w14:paraId="0000009C">
      <w:r>
        <w:t xml:space="preserve">Riel, A.C. et al. (2021) ‘Customer-centric service innovation’, </w:t>
      </w:r>
      <w:r>
        <w:rPr>
          <w:i/>
          <w:iCs/>
        </w:rPr>
        <w:t>Journal of Business Research</w:t>
      </w:r>
      <w:r>
        <w:t xml:space="preserve">, 136, pp.389–401. Available at: </w:t>
      </w:r>
      <w:r>
        <w:t>https://documentserver.uhasselt.be/bitstream/1942/34667/3/Author%20version.pdf</w:t>
      </w:r>
      <w:r>
        <w:t>(Accessed: 25 March 2026).</w:t>
      </w:r>
    </w:p>
    <w:p w14:paraId="0000009D">
      <w:r>
        <w:t xml:space="preserve">Wind, J., Pandya, M. and Yao, D. (2024) </w:t>
      </w:r>
      <w:r>
        <w:rPr>
          <w:i/>
          <w:iCs/>
        </w:rPr>
        <w:t>Creativity in the age of AI</w:t>
      </w:r>
      <w:r>
        <w:t>. De Gruyter.</w:t>
      </w:r>
    </w:p>
    <w:p w14:paraId="0000009E">
      <w:r>
        <w:t xml:space="preserve">Yeung, J. and Bautista, A. (2024) ‘Creativity definitions using 4P model’, </w:t>
      </w:r>
      <w:r>
        <w:rPr>
          <w:i/>
          <w:iCs/>
        </w:rPr>
        <w:t>Creativity Research Applications</w:t>
      </w:r>
      <w:r>
        <w:t xml:space="preserve">, 11(2), pp.1–19. Available at: </w:t>
      </w:r>
      <w:r>
        <w:t>https://reference-global.com/download/article/10.2478/ctra-2024-0008.pdf</w:t>
      </w:r>
      <w:r>
        <w:t xml:space="preserve"> </w:t>
      </w:r>
      <w:r>
        <w:t>(Accessed: 25 March 2026).</w:t>
      </w:r>
    </w:p>
    <w:p w14:paraId="0000009F">
      <w:r>
        <w:t xml:space="preserve">Zang, D. and Li, M. (2025) ‘AI and employee creativity’, </w:t>
      </w:r>
      <w:r>
        <w:rPr>
          <w:i/>
          <w:iCs/>
        </w:rPr>
        <w:t>Behavioral</w:t>
      </w:r>
      <w:r>
        <w:rPr>
          <w:i/>
          <w:iCs/>
        </w:rPr>
        <w:t xml:space="preserve"> Sciences</w:t>
      </w:r>
      <w:r>
        <w:t>, 15(10), p.1389. Available at: https://doi.org/10.3390/bs15101389 (Accessed: 25 March 2026).</w:t>
      </w:r>
    </w:p>
    <w:p w14:paraId="000000A0">
      <w:r>
        <w:t xml:space="preserve">Zhang, C. et al. (2025) ‘AI reshapes creativity’, </w:t>
      </w:r>
      <w:r>
        <w:rPr>
          <w:i/>
          <w:iCs/>
        </w:rPr>
        <w:t>PsyCh</w:t>
      </w:r>
      <w:r>
        <w:rPr>
          <w:i/>
          <w:iCs/>
        </w:rPr>
        <w:t xml:space="preserve"> Journal</w:t>
      </w:r>
      <w:r>
        <w:t>. Available at: https://doi.org/10.1002/pchj.70042 (Accessed: 25 March 2026).</w:t>
      </w:r>
    </w:p>
    <w:p w14:paraId="000000A1">
      <w:r>
        <w:t xml:space="preserve">Zhang, J. et al. (2024) ‘Digital transformation perspective’, </w:t>
      </w:r>
      <w:r>
        <w:rPr>
          <w:i/>
          <w:iCs/>
        </w:rPr>
        <w:t>Processes</w:t>
      </w:r>
      <w:r>
        <w:t>, 12(7), p.1388. Available at: https://www.mdpi.com (Accessed: 25 March 2026).</w:t>
      </w:r>
    </w:p>
    <w:p w14:paraId="000000A2">
      <w:r>
        <w:t>Zhang, J., Yang, Y., Zhang, Y., Liu, S., Qiu, M. and Zhang, H., (2024) ‘Interpreting digital transformation from a psychological perspective: A case study of the oil and gas industry’</w:t>
      </w:r>
      <w:r>
        <w:t>,  </w:t>
      </w:r>
      <w:r>
        <w:rPr>
          <w:i/>
          <w:iCs/>
        </w:rPr>
        <w:t>Processes</w:t>
      </w:r>
      <w:r>
        <w:t>, </w:t>
      </w:r>
      <w:r>
        <w:rPr>
          <w:i/>
          <w:iCs/>
        </w:rPr>
        <w:t>12</w:t>
      </w:r>
      <w:r>
        <w:t>(7), p.1388. Available at: https://www.mdpi.com/2227-9717/12/7/1388 (Accessed: 25 March 2026).</w:t>
      </w:r>
    </w:p>
    <w:p w14:paraId="000000A3"/>
    <w:p w14:paraId="000000A4"/>
    <w:p w14:paraId="000000A5">
      <w:pPr>
        <w:rPr>
          <w:rFonts w:cstheme="majorBidi" w:eastAsiaTheme="majorEastAsia"/>
          <w:sz w:val="28"/>
          <w:szCs w:val="40"/>
        </w:rPr>
      </w:pPr>
      <w:r>
        <w:rPr/>
        <w:br w:type="page"/>
      </w:r>
    </w:p>
    <w:p w14:paraId="000000A6">
      <w:pPr>
        <w:pStyle w:val="Heading1"/>
        <w:rPr/>
      </w:pPr>
      <w:bookmarkStart w:id="24" w:name="_Toc225445206"/>
      <w:r>
        <w:t>Appendices</w:t>
      </w:r>
      <w:bookmarkEnd w:id="24"/>
    </w:p>
    <w:p w14:paraId="000000A7">
      <w:pPr>
        <w:pStyle w:val="Heading2"/>
        <w:rPr/>
      </w:pPr>
      <w:bookmarkStart w:id="25" w:name="_Toc225445207"/>
      <w:r>
        <w:t>Appendix 1</w:t>
      </w:r>
      <w:bookmarkEnd w:id="25"/>
    </w:p>
    <w:p w14:paraId="000000A8">
      <w:pPr>
        <w:rPr>
          <w:b/>
        </w:rPr>
      </w:pPr>
      <w:r>
        <w:rPr>
          <w:b/>
        </w:rPr>
        <w:t xml:space="preserve">Prompt </w:t>
      </w:r>
    </w:p>
    <w:p w14:paraId="000000A9">
      <w:pPr>
        <w:jc w:val="center"/>
        <w:rPr/>
      </w:pPr>
      <w:r>
        <w:rPr>
          <w:lang w:val="en-IN" w:eastAsia="en-IN"/>
        </w:rPr>
        <w:drawing xmlns:mc="http://schemas.openxmlformats.org/markup-compatibility/2006">
          <wp:inline distT="0" distB="0" distL="0" distR="0">
            <wp:extent cx="4907280" cy="3261360"/>
            <wp:effectExtent l="0" t="0" r="0" b="0"/>
            <wp:docPr id="192445056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021232" name="Picture 32"/>
                    <pic:cNvPicPr>
                      <a:picLocks noChangeAspect="1" noChangeArrowheads="1"/>
                    </pic:cNvPicPr>
                  </pic:nvPicPr>
                  <pic:blipFill>
                    <a:blip r:embed="rId30"/>
                    <a:srcRect/>
                    <a:stretch>
                      <a:fillRect/>
                    </a:stretch>
                  </pic:blipFill>
                  <pic:spPr>
                    <a:xfrm>
                      <a:off x="0" y="0"/>
                      <a:ext cx="4907280" cy="3261360"/>
                    </a:xfrm>
                    <a:prstGeom prst="rect">
                      <a:avLst/>
                    </a:prstGeom>
                    <a:noFill/>
                    <a:ln>
                      <a:noFill/>
                    </a:ln>
                  </pic:spPr>
                </pic:pic>
              </a:graphicData>
            </a:graphic>
          </wp:inline>
        </w:drawing>
      </w:r>
    </w:p>
    <w:p w14:paraId="000000AA">
      <w:pPr>
        <w:rPr>
          <w:b/>
        </w:rPr>
      </w:pPr>
      <w:r>
        <w:rPr>
          <w:b/>
        </w:rPr>
        <w:t>Output</w:t>
      </w:r>
    </w:p>
    <w:p w14:paraId="000000AB">
      <w:r>
        <w:rPr>
          <w:lang w:val="en-IN" w:eastAsia="en-IN"/>
        </w:rPr>
        <w:drawing xmlns:mc="http://schemas.openxmlformats.org/markup-compatibility/2006">
          <wp:inline distT="0" distB="0" distL="0" distR="0">
            <wp:extent cx="5730240" cy="1600200"/>
            <wp:effectExtent l="0" t="0" r="0" b="0"/>
            <wp:docPr id="1924450564"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065260" name="Picture 31"/>
                    <pic:cNvPicPr>
                      <a:picLocks noChangeAspect="1" noChangeArrowheads="1"/>
                    </pic:cNvPicPr>
                  </pic:nvPicPr>
                  <pic:blipFill>
                    <a:blip r:embed="rId31"/>
                    <a:srcRect/>
                    <a:stretch>
                      <a:fillRect/>
                    </a:stretch>
                  </pic:blipFill>
                  <pic:spPr>
                    <a:xfrm>
                      <a:off x="0" y="0"/>
                      <a:ext cx="5730240" cy="1600200"/>
                    </a:xfrm>
                    <a:prstGeom prst="rect">
                      <a:avLst/>
                    </a:prstGeom>
                    <a:noFill/>
                    <a:ln>
                      <a:noFill/>
                    </a:ln>
                  </pic:spPr>
                </pic:pic>
              </a:graphicData>
            </a:graphic>
          </wp:inline>
        </w:drawing>
      </w:r>
      <w:r>
        <w:t xml:space="preserve"> </w:t>
      </w:r>
    </w:p>
    <w:p w14:paraId="000000AC">
      <w:r>
        <w:rPr/>
        <w:br w:type="page"/>
      </w:r>
    </w:p>
    <w:p w14:paraId="000000AD">
      <w:r>
        <w:rPr>
          <w:lang w:val="en-IN" w:eastAsia="en-IN"/>
        </w:rPr>
        <w:drawing xmlns:mc="http://schemas.openxmlformats.org/markup-compatibility/2006">
          <wp:inline distT="0" distB="0" distL="0" distR="0">
            <wp:extent cx="5730240" cy="3794760"/>
            <wp:effectExtent l="0" t="0" r="0" b="0"/>
            <wp:docPr id="1924450565"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196598" name="Picture 30"/>
                    <pic:cNvPicPr>
                      <a:picLocks noChangeAspect="1" noChangeArrowheads="1"/>
                    </pic:cNvPicPr>
                  </pic:nvPicPr>
                  <pic:blipFill>
                    <a:blip r:embed="rId32"/>
                    <a:srcRect/>
                    <a:stretch>
                      <a:fillRect/>
                    </a:stretch>
                  </pic:blipFill>
                  <pic:spPr>
                    <a:xfrm>
                      <a:off x="0" y="0"/>
                      <a:ext cx="5730240" cy="3794760"/>
                    </a:xfrm>
                    <a:prstGeom prst="rect">
                      <a:avLst/>
                    </a:prstGeom>
                    <a:noFill/>
                    <a:ln>
                      <a:noFill/>
                    </a:ln>
                  </pic:spPr>
                </pic:pic>
              </a:graphicData>
            </a:graphic>
          </wp:inline>
        </w:drawing>
      </w:r>
      <w:r>
        <w:t xml:space="preserve"> </w:t>
      </w:r>
    </w:p>
    <w:p w14:paraId="000000AE">
      <w:r>
        <w:rPr>
          <w:lang w:val="en-IN" w:eastAsia="en-IN"/>
        </w:rPr>
        <w:drawing xmlns:mc="http://schemas.openxmlformats.org/markup-compatibility/2006">
          <wp:inline distT="0" distB="0" distL="0" distR="0">
            <wp:extent cx="5730240" cy="2049780"/>
            <wp:effectExtent l="0" t="0" r="0" b="0"/>
            <wp:docPr id="1924450566"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262961" name="Picture 29"/>
                    <pic:cNvPicPr>
                      <a:picLocks noChangeAspect="1" noChangeArrowheads="1"/>
                    </pic:cNvPicPr>
                  </pic:nvPicPr>
                  <pic:blipFill>
                    <a:blip r:embed="rId33"/>
                    <a:srcRect/>
                    <a:stretch>
                      <a:fillRect/>
                    </a:stretch>
                  </pic:blipFill>
                  <pic:spPr>
                    <a:xfrm>
                      <a:off x="0" y="0"/>
                      <a:ext cx="5730240" cy="2049780"/>
                    </a:xfrm>
                    <a:prstGeom prst="rect">
                      <a:avLst/>
                    </a:prstGeom>
                    <a:noFill/>
                    <a:ln>
                      <a:noFill/>
                    </a:ln>
                  </pic:spPr>
                </pic:pic>
              </a:graphicData>
            </a:graphic>
          </wp:inline>
        </w:drawing>
      </w:r>
      <w:r>
        <w:t xml:space="preserve"> </w:t>
      </w:r>
    </w:p>
    <w:p w14:paraId="000000AF">
      <w:r>
        <w:rPr/>
        <w:br w:type="page"/>
      </w:r>
    </w:p>
    <w:p w14:paraId="000000B0">
      <w:pPr>
        <w:pStyle w:val="Heading2"/>
        <w:rPr/>
      </w:pPr>
      <w:bookmarkStart w:id="26" w:name="_Toc225445208"/>
      <w:r>
        <w:t>Appendix 2</w:t>
      </w:r>
      <w:bookmarkEnd w:id="26"/>
    </w:p>
    <w:p w14:paraId="000000B1">
      <w:pPr>
        <w:rPr>
          <w:b/>
        </w:rPr>
      </w:pPr>
      <w:r>
        <w:rPr>
          <w:b/>
        </w:rPr>
        <w:t>Prompt</w:t>
      </w:r>
    </w:p>
    <w:p w14:paraId="000000B2">
      <w:pPr>
        <w:jc w:val="center"/>
        <w:rPr/>
      </w:pPr>
      <w:r>
        <w:rPr>
          <w:lang w:val="en-IN" w:eastAsia="en-IN"/>
        </w:rPr>
        <w:drawing xmlns:mc="http://schemas.openxmlformats.org/markup-compatibility/2006">
          <wp:inline distT="0" distB="0" distL="0" distR="0">
            <wp:extent cx="4732020" cy="1333500"/>
            <wp:effectExtent l="0" t="0" r="0" b="0"/>
            <wp:docPr id="1924450567"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450561" name="Picture 28"/>
                    <pic:cNvPicPr>
                      <a:picLocks noChangeAspect="1" noChangeArrowheads="1"/>
                    </pic:cNvPicPr>
                  </pic:nvPicPr>
                  <pic:blipFill>
                    <a:blip r:embed="rId34"/>
                    <a:srcRect/>
                    <a:stretch>
                      <a:fillRect/>
                    </a:stretch>
                  </pic:blipFill>
                  <pic:spPr>
                    <a:xfrm>
                      <a:off x="0" y="0"/>
                      <a:ext cx="4732020" cy="1333500"/>
                    </a:xfrm>
                    <a:prstGeom prst="rect">
                      <a:avLst/>
                    </a:prstGeom>
                    <a:noFill/>
                    <a:ln>
                      <a:noFill/>
                    </a:ln>
                  </pic:spPr>
                </pic:pic>
              </a:graphicData>
            </a:graphic>
          </wp:inline>
        </w:drawing>
      </w:r>
    </w:p>
    <w:p w14:paraId="000000B3">
      <w:pPr>
        <w:rPr>
          <w:b/>
        </w:rPr>
      </w:pPr>
      <w:r>
        <w:rPr>
          <w:b/>
        </w:rPr>
        <w:t>Output</w:t>
      </w:r>
    </w:p>
    <w:p w14:paraId="000000B4">
      <w:r>
        <w:rPr>
          <w:lang w:val="en-IN" w:eastAsia="en-IN"/>
        </w:rPr>
        <w:drawing xmlns:mc="http://schemas.openxmlformats.org/markup-compatibility/2006">
          <wp:inline distT="0" distB="0" distL="0" distR="0">
            <wp:extent cx="5486400" cy="4594860"/>
            <wp:effectExtent l="0" t="0" r="0" b="0"/>
            <wp:docPr id="1924450568"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785897" name="Picture 27"/>
                    <pic:cNvPicPr>
                      <a:picLocks noChangeAspect="1" noChangeArrowheads="1"/>
                    </pic:cNvPicPr>
                  </pic:nvPicPr>
                  <pic:blipFill>
                    <a:blip r:embed="rId35"/>
                    <a:srcRect/>
                    <a:stretch>
                      <a:fillRect/>
                    </a:stretch>
                  </pic:blipFill>
                  <pic:spPr>
                    <a:xfrm>
                      <a:off x="0" y="0"/>
                      <a:ext cx="5486400" cy="4594860"/>
                    </a:xfrm>
                    <a:prstGeom prst="rect">
                      <a:avLst/>
                    </a:prstGeom>
                    <a:noFill/>
                    <a:ln>
                      <a:noFill/>
                    </a:ln>
                  </pic:spPr>
                </pic:pic>
              </a:graphicData>
            </a:graphic>
          </wp:inline>
        </w:drawing>
      </w:r>
      <w:r>
        <w:t xml:space="preserve"> </w:t>
      </w:r>
    </w:p>
    <w:p w14:paraId="000000B5">
      <w:r>
        <w:rPr/>
        <w:br w:type="page"/>
      </w:r>
    </w:p>
    <w:p w14:paraId="000000B6">
      <w:r>
        <w:rPr>
          <w:lang w:val="en-IN" w:eastAsia="en-IN"/>
        </w:rPr>
        <w:drawing xmlns:mc="http://schemas.openxmlformats.org/markup-compatibility/2006">
          <wp:inline distT="0" distB="0" distL="0" distR="0">
            <wp:extent cx="5730240" cy="3771900"/>
            <wp:effectExtent l="0" t="0" r="0" b="0"/>
            <wp:docPr id="1924450569"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10321" name="Picture 26"/>
                    <pic:cNvPicPr>
                      <a:picLocks noChangeAspect="1" noChangeArrowheads="1"/>
                    </pic:cNvPicPr>
                  </pic:nvPicPr>
                  <pic:blipFill>
                    <a:blip r:embed="rId36"/>
                    <a:srcRect/>
                    <a:stretch>
                      <a:fillRect/>
                    </a:stretch>
                  </pic:blipFill>
                  <pic:spPr>
                    <a:xfrm>
                      <a:off x="0" y="0"/>
                      <a:ext cx="5730240" cy="3771900"/>
                    </a:xfrm>
                    <a:prstGeom prst="rect">
                      <a:avLst/>
                    </a:prstGeom>
                    <a:noFill/>
                    <a:ln>
                      <a:noFill/>
                    </a:ln>
                  </pic:spPr>
                </pic:pic>
              </a:graphicData>
            </a:graphic>
          </wp:inline>
        </w:drawing>
      </w:r>
      <w:r>
        <w:t xml:space="preserve"> </w:t>
      </w:r>
    </w:p>
    <w:p w14:paraId="000000B7">
      <w:r>
        <w:rPr/>
        <w:br w:type="page"/>
      </w:r>
    </w:p>
    <w:p w14:paraId="000000B8">
      <w:pPr>
        <w:pStyle w:val="Heading2"/>
        <w:rPr/>
      </w:pPr>
      <w:bookmarkStart w:id="27" w:name="_Toc225445209"/>
      <w:r>
        <w:t>Appendix 3</w:t>
      </w:r>
      <w:bookmarkEnd w:id="27"/>
    </w:p>
    <w:p w14:paraId="000000B9">
      <w:pPr>
        <w:rPr>
          <w:b/>
        </w:rPr>
      </w:pPr>
      <w:r>
        <w:rPr>
          <w:b/>
        </w:rPr>
        <w:t>Prompt</w:t>
      </w:r>
    </w:p>
    <w:p w14:paraId="000000BA">
      <w:pPr>
        <w:jc w:val="center"/>
        <w:rPr/>
      </w:pPr>
      <w:r>
        <w:rPr>
          <w:lang w:val="en-IN" w:eastAsia="en-IN"/>
        </w:rPr>
        <w:drawing xmlns:mc="http://schemas.openxmlformats.org/markup-compatibility/2006">
          <wp:inline distT="0" distB="0" distL="0" distR="0">
            <wp:extent cx="3962400" cy="1379220"/>
            <wp:effectExtent l="0" t="0" r="0" b="0"/>
            <wp:docPr id="1924450570"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073072" name="Picture 25"/>
                    <pic:cNvPicPr>
                      <a:picLocks noChangeAspect="1" noChangeArrowheads="1"/>
                    </pic:cNvPicPr>
                  </pic:nvPicPr>
                  <pic:blipFill>
                    <a:blip r:embed="rId37"/>
                    <a:srcRect/>
                    <a:stretch>
                      <a:fillRect/>
                    </a:stretch>
                  </pic:blipFill>
                  <pic:spPr>
                    <a:xfrm>
                      <a:off x="0" y="0"/>
                      <a:ext cx="3962400" cy="1379220"/>
                    </a:xfrm>
                    <a:prstGeom prst="rect">
                      <a:avLst/>
                    </a:prstGeom>
                    <a:noFill/>
                    <a:ln>
                      <a:noFill/>
                    </a:ln>
                  </pic:spPr>
                </pic:pic>
              </a:graphicData>
            </a:graphic>
          </wp:inline>
        </w:drawing>
      </w:r>
    </w:p>
    <w:p w14:paraId="000000BB">
      <w:pPr>
        <w:rPr>
          <w:b/>
        </w:rPr>
      </w:pPr>
      <w:r>
        <w:rPr>
          <w:b/>
        </w:rPr>
        <w:t>Output</w:t>
      </w:r>
    </w:p>
    <w:p w14:paraId="000000BC">
      <w:r>
        <w:rPr>
          <w:lang w:val="en-IN" w:eastAsia="en-IN"/>
        </w:rPr>
        <w:drawing xmlns:mc="http://schemas.openxmlformats.org/markup-compatibility/2006">
          <wp:inline distT="0" distB="0" distL="0" distR="0">
            <wp:extent cx="5623560" cy="3665220"/>
            <wp:effectExtent l="0" t="0" r="0" b="0"/>
            <wp:docPr id="1924450571"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096518" name="Picture 24"/>
                    <pic:cNvPicPr>
                      <a:picLocks noChangeAspect="1" noChangeArrowheads="1"/>
                    </pic:cNvPicPr>
                  </pic:nvPicPr>
                  <pic:blipFill>
                    <a:blip r:embed="rId38"/>
                    <a:srcRect/>
                    <a:stretch>
                      <a:fillRect/>
                    </a:stretch>
                  </pic:blipFill>
                  <pic:spPr>
                    <a:xfrm>
                      <a:off x="0" y="0"/>
                      <a:ext cx="5623560" cy="3665220"/>
                    </a:xfrm>
                    <a:prstGeom prst="rect">
                      <a:avLst/>
                    </a:prstGeom>
                    <a:noFill/>
                    <a:ln>
                      <a:noFill/>
                    </a:ln>
                  </pic:spPr>
                </pic:pic>
              </a:graphicData>
            </a:graphic>
          </wp:inline>
        </w:drawing>
      </w:r>
      <w:r>
        <w:t xml:space="preserve"> </w:t>
      </w:r>
    </w:p>
    <w:p w14:paraId="000000BD">
      <w:r>
        <w:rPr/>
        <w:br w:type="page"/>
      </w:r>
    </w:p>
    <w:p w14:paraId="000000BE">
      <w:r>
        <w:rPr>
          <w:lang w:val="en-IN" w:eastAsia="en-IN"/>
        </w:rPr>
        <w:drawing xmlns:mc="http://schemas.openxmlformats.org/markup-compatibility/2006">
          <wp:inline distT="0" distB="0" distL="0" distR="0">
            <wp:extent cx="5730240" cy="2468880"/>
            <wp:effectExtent l="0" t="0" r="0" b="0"/>
            <wp:docPr id="1924450572"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617322" name="Picture 23"/>
                    <pic:cNvPicPr>
                      <a:picLocks noChangeAspect="1" noChangeArrowheads="1"/>
                    </pic:cNvPicPr>
                  </pic:nvPicPr>
                  <pic:blipFill>
                    <a:blip r:embed="rId39"/>
                    <a:srcRect/>
                    <a:stretch>
                      <a:fillRect/>
                    </a:stretch>
                  </pic:blipFill>
                  <pic:spPr>
                    <a:xfrm>
                      <a:off x="0" y="0"/>
                      <a:ext cx="5730240" cy="2468880"/>
                    </a:xfrm>
                    <a:prstGeom prst="rect">
                      <a:avLst/>
                    </a:prstGeom>
                    <a:noFill/>
                    <a:ln>
                      <a:noFill/>
                    </a:ln>
                  </pic:spPr>
                </pic:pic>
              </a:graphicData>
            </a:graphic>
          </wp:inline>
        </w:drawing>
      </w:r>
      <w:r>
        <w:t xml:space="preserve"> </w:t>
      </w:r>
    </w:p>
    <w:p w14:paraId="000000BF">
      <w:r>
        <w:rPr>
          <w:lang w:val="en-IN" w:eastAsia="en-IN"/>
        </w:rPr>
        <w:drawing xmlns:mc="http://schemas.openxmlformats.org/markup-compatibility/2006">
          <wp:inline distT="0" distB="0" distL="0" distR="0">
            <wp:extent cx="5730240" cy="3276600"/>
            <wp:effectExtent l="0" t="0" r="0" b="0"/>
            <wp:docPr id="192445057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022804" name="Picture 22"/>
                    <pic:cNvPicPr>
                      <a:picLocks noChangeAspect="1" noChangeArrowheads="1"/>
                    </pic:cNvPicPr>
                  </pic:nvPicPr>
                  <pic:blipFill>
                    <a:blip r:embed="rId40"/>
                    <a:srcRect/>
                    <a:stretch>
                      <a:fillRect/>
                    </a:stretch>
                  </pic:blipFill>
                  <pic:spPr>
                    <a:xfrm>
                      <a:off x="0" y="0"/>
                      <a:ext cx="5730240" cy="3276600"/>
                    </a:xfrm>
                    <a:prstGeom prst="rect">
                      <a:avLst/>
                    </a:prstGeom>
                    <a:noFill/>
                    <a:ln>
                      <a:noFill/>
                    </a:ln>
                  </pic:spPr>
                </pic:pic>
              </a:graphicData>
            </a:graphic>
          </wp:inline>
        </w:drawing>
      </w:r>
      <w:r>
        <w:t xml:space="preserve"> </w:t>
      </w:r>
    </w:p>
    <w:p w14:paraId="000000C0">
      <w:r>
        <w:rPr>
          <w:lang w:val="en-IN" w:eastAsia="en-IN"/>
        </w:rPr>
        <w:drawing xmlns:mc="http://schemas.openxmlformats.org/markup-compatibility/2006">
          <wp:inline distT="0" distB="0" distL="0" distR="0">
            <wp:extent cx="5730240" cy="3657600"/>
            <wp:effectExtent l="0" t="0" r="0" b="0"/>
            <wp:docPr id="1924450574"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871189" name="Picture 21"/>
                    <pic:cNvPicPr>
                      <a:picLocks noChangeAspect="1" noChangeArrowheads="1"/>
                    </pic:cNvPicPr>
                  </pic:nvPicPr>
                  <pic:blipFill>
                    <a:blip r:embed="rId41"/>
                    <a:srcRect/>
                    <a:stretch>
                      <a:fillRect/>
                    </a:stretch>
                  </pic:blipFill>
                  <pic:spPr>
                    <a:xfrm>
                      <a:off x="0" y="0"/>
                      <a:ext cx="5730240" cy="3657600"/>
                    </a:xfrm>
                    <a:prstGeom prst="rect">
                      <a:avLst/>
                    </a:prstGeom>
                    <a:noFill/>
                    <a:ln>
                      <a:noFill/>
                    </a:ln>
                  </pic:spPr>
                </pic:pic>
              </a:graphicData>
            </a:graphic>
          </wp:inline>
        </w:drawing>
      </w:r>
      <w:r>
        <w:t xml:space="preserve"> </w:t>
      </w:r>
    </w:p>
    <w:p w14:paraId="000000C1">
      <w:r>
        <w:rPr/>
        <w:br w:type="page"/>
      </w:r>
    </w:p>
    <w:p w14:paraId="000000C2">
      <w:pPr>
        <w:pStyle w:val="Heading2"/>
        <w:rPr/>
      </w:pPr>
      <w:bookmarkStart w:id="28" w:name="_Toc225445210"/>
      <w:r>
        <w:t>Appendix 4</w:t>
      </w:r>
      <w:bookmarkEnd w:id="28"/>
      <w:r>
        <w:t xml:space="preserve"> </w:t>
      </w:r>
    </w:p>
    <w:p w14:paraId="000000C3">
      <w:pPr>
        <w:rPr>
          <w:b/>
        </w:rPr>
      </w:pPr>
      <w:r>
        <w:rPr>
          <w:b/>
        </w:rPr>
        <w:t>Prompt</w:t>
      </w:r>
    </w:p>
    <w:p w14:paraId="000000C4">
      <w:pPr>
        <w:jc w:val="center"/>
        <w:rPr/>
      </w:pPr>
      <w:r>
        <w:rPr>
          <w:lang w:val="en-IN" w:eastAsia="en-IN"/>
        </w:rPr>
        <w:drawing xmlns:mc="http://schemas.openxmlformats.org/markup-compatibility/2006">
          <wp:inline distT="0" distB="0" distL="0" distR="0">
            <wp:extent cx="4290060" cy="1150620"/>
            <wp:effectExtent l="0" t="0" r="0" b="0"/>
            <wp:docPr id="192445057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470782" name="Picture 20"/>
                    <pic:cNvPicPr>
                      <a:picLocks noChangeAspect="1" noChangeArrowheads="1"/>
                    </pic:cNvPicPr>
                  </pic:nvPicPr>
                  <pic:blipFill>
                    <a:blip r:embed="rId42"/>
                    <a:srcRect/>
                    <a:stretch>
                      <a:fillRect/>
                    </a:stretch>
                  </pic:blipFill>
                  <pic:spPr>
                    <a:xfrm>
                      <a:off x="0" y="0"/>
                      <a:ext cx="4290060" cy="1150620"/>
                    </a:xfrm>
                    <a:prstGeom prst="rect">
                      <a:avLst/>
                    </a:prstGeom>
                    <a:noFill/>
                    <a:ln>
                      <a:noFill/>
                    </a:ln>
                  </pic:spPr>
                </pic:pic>
              </a:graphicData>
            </a:graphic>
          </wp:inline>
        </w:drawing>
      </w:r>
    </w:p>
    <w:p w14:paraId="000000C5">
      <w:pPr>
        <w:rPr>
          <w:b/>
        </w:rPr>
      </w:pPr>
      <w:r>
        <w:rPr>
          <w:b/>
        </w:rPr>
        <w:t>Output</w:t>
      </w:r>
    </w:p>
    <w:p w14:paraId="000000C6">
      <w:r>
        <w:rPr>
          <w:lang w:val="en-IN" w:eastAsia="en-IN"/>
        </w:rPr>
        <w:drawing xmlns:mc="http://schemas.openxmlformats.org/markup-compatibility/2006">
          <wp:inline distT="0" distB="0" distL="0" distR="0">
            <wp:extent cx="5532120" cy="3840480"/>
            <wp:effectExtent l="0" t="0" r="0" b="0"/>
            <wp:docPr id="192445057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356560" name="Picture 19"/>
                    <pic:cNvPicPr>
                      <a:picLocks noChangeAspect="1" noChangeArrowheads="1"/>
                    </pic:cNvPicPr>
                  </pic:nvPicPr>
                  <pic:blipFill>
                    <a:blip r:embed="rId43"/>
                    <a:srcRect/>
                    <a:stretch>
                      <a:fillRect/>
                    </a:stretch>
                  </pic:blipFill>
                  <pic:spPr>
                    <a:xfrm>
                      <a:off x="0" y="0"/>
                      <a:ext cx="5532120" cy="3840480"/>
                    </a:xfrm>
                    <a:prstGeom prst="rect">
                      <a:avLst/>
                    </a:prstGeom>
                    <a:noFill/>
                    <a:ln>
                      <a:noFill/>
                    </a:ln>
                  </pic:spPr>
                </pic:pic>
              </a:graphicData>
            </a:graphic>
          </wp:inline>
        </w:drawing>
      </w:r>
      <w:r>
        <w:t xml:space="preserve"> </w:t>
      </w:r>
    </w:p>
    <w:p w14:paraId="000000C7">
      <w:r>
        <w:rPr>
          <w:lang w:val="en-IN" w:eastAsia="en-IN"/>
        </w:rPr>
        <w:drawing xmlns:mc="http://schemas.openxmlformats.org/markup-compatibility/2006">
          <wp:inline distT="0" distB="0" distL="0" distR="0">
            <wp:extent cx="5707380" cy="4274820"/>
            <wp:effectExtent l="0" t="0" r="0" b="0"/>
            <wp:docPr id="192445057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834664" name="Picture 18"/>
                    <pic:cNvPicPr>
                      <a:picLocks noChangeAspect="1" noChangeArrowheads="1"/>
                    </pic:cNvPicPr>
                  </pic:nvPicPr>
                  <pic:blipFill>
                    <a:blip r:embed="rId44"/>
                    <a:srcRect/>
                    <a:stretch>
                      <a:fillRect/>
                    </a:stretch>
                  </pic:blipFill>
                  <pic:spPr>
                    <a:xfrm>
                      <a:off x="0" y="0"/>
                      <a:ext cx="5707380" cy="4274820"/>
                    </a:xfrm>
                    <a:prstGeom prst="rect">
                      <a:avLst/>
                    </a:prstGeom>
                    <a:noFill/>
                    <a:ln>
                      <a:noFill/>
                    </a:ln>
                  </pic:spPr>
                </pic:pic>
              </a:graphicData>
            </a:graphic>
          </wp:inline>
        </w:drawing>
      </w:r>
      <w:r>
        <w:t xml:space="preserve"> </w:t>
      </w:r>
    </w:p>
    <w:p w14:paraId="000000C8">
      <w:r>
        <w:rPr/>
        <w:br w:type="page"/>
      </w:r>
    </w:p>
    <w:p w14:paraId="000000C9">
      <w:r>
        <w:rPr>
          <w:lang w:val="en-IN" w:eastAsia="en-IN"/>
        </w:rPr>
        <w:drawing xmlns:mc="http://schemas.openxmlformats.org/markup-compatibility/2006">
          <wp:inline distT="0" distB="0" distL="0" distR="0">
            <wp:extent cx="5730240" cy="2788920"/>
            <wp:effectExtent l="0" t="0" r="0" b="0"/>
            <wp:docPr id="192445057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222895" name="Picture 17"/>
                    <pic:cNvPicPr>
                      <a:picLocks noChangeAspect="1" noChangeArrowheads="1"/>
                    </pic:cNvPicPr>
                  </pic:nvPicPr>
                  <pic:blipFill>
                    <a:blip r:embed="rId45"/>
                    <a:srcRect/>
                    <a:stretch>
                      <a:fillRect/>
                    </a:stretch>
                  </pic:blipFill>
                  <pic:spPr>
                    <a:xfrm>
                      <a:off x="0" y="0"/>
                      <a:ext cx="5730240" cy="2788920"/>
                    </a:xfrm>
                    <a:prstGeom prst="rect">
                      <a:avLst/>
                    </a:prstGeom>
                    <a:noFill/>
                    <a:ln>
                      <a:noFill/>
                    </a:ln>
                  </pic:spPr>
                </pic:pic>
              </a:graphicData>
            </a:graphic>
          </wp:inline>
        </w:drawing>
      </w:r>
      <w:r>
        <w:t xml:space="preserve"> </w:t>
      </w:r>
    </w:p>
    <w:p w14:paraId="000000CA"/>
    <w:p w14:paraId="000000CB"/>
    <w:p w14:paraId="000000CC"/>
    <w:p w14:paraId="000000CD"/>
    <w:sectPr>
      <w:footerReference w:type="default" r:id="rId46"/>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xmlns:dgm="http://schemas.openxmlformats.org/drawingml/2006/diagram" mc:Ignorable="w14 wp14 ">
  <w:endnote w:type="separator" w:id="0">
    <w:p w14:paraId="00000003">
      <w:pPr>
        <w:spacing w:beforeAutospacing="0" w:after="0" w:afterAutospacing="0" w:line="240" w:lineRule="auto"/>
        <w:rPr/>
      </w:pPr>
      <w:r>
        <w:rPr/>
        <w:separator/>
      </w:r>
    </w:p>
  </w:endnote>
  <w:endnote w:type="continuationSeparator" w:id="1">
    <w:p w14:paraId="00000004">
      <w:pPr>
        <w:spacing w:beforeAutospacing="0" w:after="0" w:afterAutospacing="0"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00000000" w:usb1="00000000" w:usb2="00000009" w:usb3="00000000" w:csb0="000001ff" w:csb1="00000000"/>
  </w:font>
  <w:font w:name="Symbol">
    <w:panose1 w:val="05050102010706020507"/>
    <w:charset w:val="02"/>
    <w:family w:val="roman"/>
    <w:pitch w:val="variable"/>
    <w:sig w:usb0="00000000" w:usb1="10000000" w:usb2="00000000" w:usb3="00000000" w:csb0="00000000" w:csb1="00000000"/>
  </w:font>
  <w:font w:name="Courier New">
    <w:panose1 w:val="02070309020205020404"/>
    <w:charset w:val="00"/>
    <w:family w:val="modern"/>
    <w:pitch w:val="fixed"/>
    <w:sig w:usb0="00000000" w:usb1="00000000" w:usb2="00000009" w:usb3="00000000" w:csb0="000001ff" w:csb1="00000000"/>
  </w:font>
  <w:font w:name="Wingdings">
    <w:panose1 w:val="05000000000000000000"/>
    <w:charset w:val="02"/>
    <w:family w:val="auto"/>
    <w:pitch w:val="variable"/>
    <w:sig w:usb0="00000000" w:usb1="10000000" w:usb2="00000000" w:usb3="00000000" w:csb0="00000000" w:csb1="00000000"/>
  </w:font>
  <w:font w:name="Calibri">
    <w:panose1 w:val="020f0502020204030204"/>
    <w:charset w:val="00"/>
    <w:family w:val="swiss"/>
    <w:pitch w:val="variable"/>
    <w:sig w:usb0="00000000" w:usb1="00000000" w:usb2="00000009" w:usb3="00000000" w:csb0="000001ff" w:csb1="00000000"/>
  </w:font>
  <w:font w:name="Cambria">
    <w:panose1 w:val="02040503050406030204"/>
    <w:charset w:val="00"/>
    <w:family w:val="roman"/>
    <w:pitch w:val="variable"/>
    <w:sig w:usb0="00000000" w:usb1="420024ff" w:usb2="02000000" w:usb3="00000000" w:csb0="0000019f" w:csb1="00000000"/>
  </w:font>
  <w:font w:name="Tahoma">
    <w:panose1 w:val="020b0604030504040204"/>
    <w:charset w:val="00"/>
    <w:family w:val="swiss"/>
    <w:pitch w:val="variable"/>
    <w:sig w:usb0="00000000" w:usb1="00000000" w:usb2="00000029" w:usb3="00000000" w:csb0="000101ff" w:csb1="00000000"/>
  </w:font>
  <w:font w:name="Arial">
    <w:panose1 w:val="020b0604020202020204"/>
    <w:charset w:val="00"/>
    <w:family w:val="swiss"/>
    <w:pitch w:val="variable"/>
    <w:sig w:usb0="20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Helvetica Neue">
    <w:charset w:val="00"/>
    <w:family w:val="swiss"/>
    <w:pitch w:val="variable"/>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xmlns:dgm="http://schemas.openxmlformats.org/drawingml/2006/diagram" mc:Ignorable="w14 wp14 ">
  <w:p w14:paraId="000000CE">
    <w:pPr>
      <w:pStyle w:val="Footer"/>
      <w:jc w:val="right"/>
      <w:rPr/>
    </w:pPr>
    <w:r>
      <w:fldChar w:fldCharType="begin"/>
    </w:r>
    <w:r>
      <w:instrText xml:space="preserve"> PAGE   \* MERGEFORMAT </w:instrText>
    </w:r>
    <w:r>
      <w:fldChar w:fldCharType="separate"/>
    </w:r>
    <w:r>
      <w:t>5</w:t>
    </w:r>
    <w:r>
      <w:fldChar w:fldCharType="end"/>
    </w:r>
  </w:p>
  <w:p w14:paraId="000000CF">
    <w:pPr>
      <w:pStyle w:val="Footer"/>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xmlns:dgm="http://schemas.openxmlformats.org/drawingml/2006/diagram" mc:Ignorable="w14 wp14 ">
  <w:footnote w:type="separator" w:id="0">
    <w:p w14:paraId="00000001">
      <w:pPr>
        <w:spacing w:beforeAutospacing="0" w:after="0" w:afterAutospacing="0" w:line="240" w:lineRule="auto"/>
        <w:rPr/>
      </w:pPr>
      <w:r>
        <w:rPr/>
        <w:separator/>
      </w:r>
    </w:p>
  </w:footnote>
  <w:footnote w:type="continuationSeparator" w:id="1">
    <w:p w14:paraId="00000002">
      <w:pPr>
        <w:spacing w:beforeAutospacing="0" w:after="0" w:afterAutospacing="0" w:line="240" w:lineRule="auto"/>
        <w:rPr/>
      </w:pPr>
      <w:r>
        <w:rPr/>
        <w:continuationSeparato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
    <w:multiLevelType w:val="multilevel"/>
    <w:lvl w:ilvl="0" w:tentative="0">
      <w:start w:val="1"/>
      <w:numFmt w:val="bullet"/>
      <w:lvlText w:val=""/>
      <w:lvlJc w:val="left"/>
      <w:pPr>
        <w:ind w:left="720" w:hanging="360"/>
      </w:pPr>
      <w:rPr>
        <w:rFonts w:ascii="Symbol" w:hAnsi="Symbol" w:hint="default"/>
      </w:rPr>
    </w:lvl>
    <w:lvl w:ilvl="1" w:tentative="0">
      <w:start w:val="1"/>
      <w:numFmt w:val="bullet"/>
      <w:lvlText w:val="o"/>
      <w:lvlJc w:val="left"/>
      <w:pPr>
        <w:ind w:left="1440" w:hanging="360"/>
      </w:pPr>
      <w:rPr>
        <w:rFonts w:ascii="Courier New" w:cs="Courier New" w:hAnsi="Courier New" w:hint="default"/>
      </w:rPr>
    </w:lvl>
    <w:lvl w:ilvl="2" w:tentative="0">
      <w:start w:val="1"/>
      <w:numFmt w:val="bullet"/>
      <w:lvlText w:val=""/>
      <w:lvlJc w:val="left"/>
      <w:pPr>
        <w:ind w:left="2160" w:hanging="360"/>
      </w:pPr>
      <w:rPr>
        <w:rFonts w:ascii="Wingdings" w:hAnsi="Wingdings" w:hint="default"/>
      </w:rPr>
    </w:lvl>
    <w:lvl w:ilvl="3" w:tentative="0">
      <w:start w:val="1"/>
      <w:numFmt w:val="bullet"/>
      <w:lvlText w:val=""/>
      <w:lvlJc w:val="left"/>
      <w:pPr>
        <w:ind w:left="2880" w:hanging="360"/>
      </w:pPr>
      <w:rPr>
        <w:rFonts w:ascii="Symbol" w:hAnsi="Symbol" w:hint="default"/>
      </w:rPr>
    </w:lvl>
    <w:lvl w:ilvl="4" w:tentative="0">
      <w:start w:val="1"/>
      <w:numFmt w:val="bullet"/>
      <w:lvlText w:val="o"/>
      <w:lvlJc w:val="left"/>
      <w:pPr>
        <w:ind w:left="3600" w:hanging="360"/>
      </w:pPr>
      <w:rPr>
        <w:rFonts w:ascii="Courier New" w:cs="Courier New" w:hAnsi="Courier New" w:hint="default"/>
      </w:rPr>
    </w:lvl>
    <w:lvl w:ilvl="5" w:tentative="0">
      <w:start w:val="1"/>
      <w:numFmt w:val="bullet"/>
      <w:lvlText w:val=""/>
      <w:lvlJc w:val="left"/>
      <w:pPr>
        <w:ind w:left="4320" w:hanging="360"/>
      </w:pPr>
      <w:rPr>
        <w:rFonts w:ascii="Wingdings" w:hAnsi="Wingdings" w:hint="default"/>
      </w:rPr>
    </w:lvl>
    <w:lvl w:ilvl="6" w:tentative="0">
      <w:start w:val="1"/>
      <w:numFmt w:val="bullet"/>
      <w:lvlText w:val=""/>
      <w:lvlJc w:val="left"/>
      <w:pPr>
        <w:ind w:left="5040" w:hanging="360"/>
      </w:pPr>
      <w:rPr>
        <w:rFonts w:ascii="Symbol" w:hAnsi="Symbol" w:hint="default"/>
      </w:rPr>
    </w:lvl>
    <w:lvl w:ilvl="7" w:tentative="0">
      <w:start w:val="1"/>
      <w:numFmt w:val="bullet"/>
      <w:lvlText w:val="o"/>
      <w:lvlJc w:val="left"/>
      <w:pPr>
        <w:ind w:left="5760" w:hanging="360"/>
      </w:pPr>
      <w:rPr>
        <w:rFonts w:ascii="Courier New" w:cs="Courier New" w:hAnsi="Courier New" w:hint="default"/>
      </w:rPr>
    </w:lvl>
    <w:lvl w:ilvl="8" w:tentative="0">
      <w:start w:val="1"/>
      <w:numFmt w:val="bullet"/>
      <w:lvlText w:val=""/>
      <w:lvlJc w:val="left"/>
      <w:pPr>
        <w:ind w:left="6480" w:hanging="360"/>
      </w:pPr>
      <w:rPr>
        <w:rFonts w:ascii="Wingdings" w:hAnsi="Wingdings" w:hint="default"/>
      </w:rPr>
    </w:lvl>
  </w:abstractNum>
  <w:abstractNum w:abstractNumId="2">
    <w:multiLevelType w:val="hybridMultilevel"/>
    <w:lvl w:ilvl="0" w:tentative="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
    <w:multiLevelType w:val="hybridMultilevel"/>
    <w:lvl w:ilvl="0" w:tentative="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6"/>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B5E89"/>
    <w:rsid w:val="00060F49"/>
    <w:rsid w:val="000644F8"/>
    <w:rsid w:val="00072745"/>
    <w:rsid w:val="00082259"/>
    <w:rsid w:val="00137D17"/>
    <w:rsid w:val="001407DE"/>
    <w:rsid w:val="00163531"/>
    <w:rsid w:val="001A6614"/>
    <w:rsid w:val="001F1E22"/>
    <w:rsid w:val="00234C4B"/>
    <w:rsid w:val="00263A0A"/>
    <w:rsid w:val="0027602D"/>
    <w:rsid w:val="002D5619"/>
    <w:rsid w:val="002F2A78"/>
    <w:rsid w:val="003A4132"/>
    <w:rsid w:val="003B5E89"/>
    <w:rsid w:val="00433D44"/>
    <w:rsid w:val="004536F6"/>
    <w:rsid w:val="00466439"/>
    <w:rsid w:val="004C6BFD"/>
    <w:rsid w:val="00526C61"/>
    <w:rsid w:val="005439B9"/>
    <w:rsid w:val="0057408D"/>
    <w:rsid w:val="00584D3E"/>
    <w:rsid w:val="005A0231"/>
    <w:rsid w:val="005B6599"/>
    <w:rsid w:val="005D01CF"/>
    <w:rsid w:val="00606BFC"/>
    <w:rsid w:val="00645CD6"/>
    <w:rsid w:val="006816AE"/>
    <w:rsid w:val="006A5F03"/>
    <w:rsid w:val="006D551D"/>
    <w:rsid w:val="007073E7"/>
    <w:rsid w:val="007E1707"/>
    <w:rsid w:val="00801892"/>
    <w:rsid w:val="0085277E"/>
    <w:rsid w:val="00876FDA"/>
    <w:rsid w:val="008937D7"/>
    <w:rsid w:val="00962848"/>
    <w:rsid w:val="009706B8"/>
    <w:rsid w:val="009A5002"/>
    <w:rsid w:val="009C3E78"/>
    <w:rsid w:val="009D33DB"/>
    <w:rsid w:val="00A315A2"/>
    <w:rsid w:val="00A61687"/>
    <w:rsid w:val="00A6346B"/>
    <w:rsid w:val="00A663AD"/>
    <w:rsid w:val="00AD0C38"/>
    <w:rsid w:val="00B02F4C"/>
    <w:rsid w:val="00B30A19"/>
    <w:rsid w:val="00B31B7B"/>
    <w:rsid w:val="00BA1B90"/>
    <w:rsid w:val="00BF0311"/>
    <w:rsid w:val="00C63417"/>
    <w:rsid w:val="00CC444F"/>
    <w:rsid w:val="00D078E4"/>
    <w:rsid w:val="00D24670"/>
    <w:rsid w:val="00DA2E82"/>
    <w:rsid w:val="00E37333"/>
    <w:rsid w:val="00E665AC"/>
    <w:rsid w:val="00EE2FBB"/>
    <w:rsid w:val="00F541E4"/>
    <w:rsid w:val="00F67E6C"/>
    <w:rsid w:val="00FB0DCA"/>
    <w:rsid w:val="00FC42B5"/>
    <w:rsid w:val="00FD0FA2"/>
    <w:rsid w:val="00FE2DBB"/>
    <w:rsid w:val="00FF25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B03EC"/>
  <w:footnotePr>
    <w:footnote w:id="0"/>
    <w:footnote w:id="1"/>
  </w:footnotePr>
  <w:endnotePr>
    <w:endnote w:id="0"/>
    <w:endnote w:id="1"/>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HAnsi" w:hAnsiTheme="minorHAnsi"/>
        <w:sz w:val="22"/>
        <w:szCs w:val="22"/>
        <w:lang w:val="en-US" w:bidi="ar-SA" w:eastAsia="en-US"/>
      </w:rPr>
    </w:rPrDefault>
    <w:pPrDefault>
      <w:pPr>
        <w:spacing w:beforeAutospacing="0" w:after="200" w:afterAutospacing="0" w:line="276" w:lineRule="auto"/>
      </w:pPr>
    </w:pPrDefault>
  </w:docDefaults>
  <w:style w:type="paragraph" w:styleId="NoSpacing">
    <w:name w:val="No Spacing"/>
    <w:uiPriority w:val="1"/>
    <w:qFormat w:val="on"/>
    <w:pPr>
      <w:spacing w:beforeAutospacing="0" w:after="0" w:afterAutospacing="0" w:line="240" w:lineRule="auto"/>
    </w:p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Strong">
    <w:name w:val="Strong"/>
    <w:basedOn w:val="DefaultParagraphFont"/>
    <w:uiPriority w:val="22"/>
    <w:qFormat w:val="on"/>
    <w:rPr>
      <w:b/>
      <w:bCs/>
    </w:rPr>
  </w:style>
  <w:style w:type="character" w:styleId="SubtleReference">
    <w:name w:val="Subtle Reference"/>
    <w:basedOn w:val="DefaultParagraphFont"/>
    <w:uiPriority w:val="31"/>
    <w:qFormat w:val="on"/>
    <w:rPr>
      <w:smallCaps/>
      <w:color w:val="c0504d" w:themeColor="accent2"/>
      <w:u w:val="single"/>
    </w:rPr>
  </w:style>
  <w:style w:type="character" w:styleId="BookTitle">
    <w:name w:val="Book Title"/>
    <w:basedOn w:val="DefaultParagraphFont"/>
    <w:uiPriority w:val="33"/>
    <w:qFormat w:val="on"/>
    <w:rPr>
      <w:b/>
      <w:bCs/>
      <w:smallCaps/>
      <w:spacing w:val="5"/>
    </w:rPr>
  </w:style>
  <w:style w:type="paragraph" w:styleId="Footnotetext">
    <w:name w:val="Footnote text"/>
    <w:basedOn w:val="Normal"/>
    <w:link w:val="FootnoteTextChar"/>
    <w:uiPriority w:val="99"/>
    <w:semiHidden w:val="on"/>
    <w:unhideWhenUsed w:val="on"/>
    <w:pPr>
      <w:spacing w:beforeAutospacing="0" w:after="0" w:afterAutospacing="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beforeAutospacing="0" w:after="0" w:afterAutospacing="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FollowedHyperlink">
    <w:name w:val="FollowedHyperlink"/>
    <w:basedOn w:val="DefaultParagraphFont"/>
    <w:uiPriority w:val="99"/>
    <w:semiHidden w:val="on"/>
    <w:unhideWhenUsed w:val="on"/>
    <w:rPr>
      <w:color w:val="800080" w:themeColor="followedHyperlink"/>
      <w:u w:val="single"/>
    </w:rPr>
  </w:style>
  <w:style w:type="paragraph" w:styleId="PlainText">
    <w:name w:val="Plain Text"/>
    <w:basedOn w:val="Normal"/>
    <w:link w:val="PlainTextChar"/>
    <w:uiPriority w:val="99"/>
    <w:semiHidden w:val="on"/>
    <w:unhideWhenUsed w:val="on"/>
    <w:pPr>
      <w:spacing w:beforeAutospacing="0" w:after="0" w:afterAutospacing="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Caption">
    <w:name w:val="Caption"/>
    <w:basedOn w:val="Normal"/>
    <w:next w:val="Normal"/>
    <w:uiPriority w:val="35"/>
    <w:unhideWhenUsed w:val="on"/>
    <w:qFormat w:val="on"/>
    <w:pPr>
      <w:spacing w:beforeAutospacing="0" w:after="200" w:afterAutospacing="0" w:line="240" w:lineRule="auto"/>
    </w:pPr>
    <w:rPr>
      <w:i/>
      <w:iCs/>
      <w:color w:val="1f497d" w:themeColor="text2"/>
      <w:sz w:val="18"/>
      <w:szCs w:val="18"/>
    </w:rPr>
  </w:style>
  <w:style w:type="paragraph" w:default="1" w:styleId="Normal">
    <w:name w:val="Normal"/>
    <w:uiPriority w:val="99"/>
    <w:qFormat w:val="on"/>
    <w:pPr>
      <w:spacing w:beforeAutospacing="0" w:afterAutospacing="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val="on"/>
    <w:pPr>
      <w:keepNext w:val="on"/>
      <w:keepLines w:val="on"/>
      <w:spacing w:before="120" w:beforeAutospacing="0" w:after="120" w:afterAutospacing="0"/>
    </w:pPr>
    <w:rPr>
      <w:rFonts w:cstheme="majorBidi" w:eastAsiaTheme="majorEastAsia"/>
      <w:b/>
      <w:sz w:val="28"/>
      <w:szCs w:val="40"/>
    </w:rPr>
  </w:style>
  <w:style w:type="paragraph" w:styleId="Heading2">
    <w:name w:val="Heading 2"/>
    <w:basedOn w:val="Normal"/>
    <w:next w:val="Normal"/>
    <w:link w:val="Heading2Char"/>
    <w:uiPriority w:val="9"/>
    <w:unhideWhenUsed w:val="on"/>
    <w:qFormat w:val="on"/>
    <w:pPr>
      <w:keepNext w:val="on"/>
      <w:keepLines w:val="on"/>
      <w:spacing w:before="120" w:beforeAutospacing="0" w:after="120" w:afterAutospacing="0"/>
    </w:pPr>
    <w:rPr>
      <w:rFonts w:cstheme="majorBidi" w:eastAsiaTheme="majorEastAsia"/>
      <w:b/>
      <w:sz w:val="26"/>
      <w:szCs w:val="32"/>
    </w:rPr>
  </w:style>
  <w:style w:type="paragraph" w:styleId="Heading3">
    <w:name w:val="Heading 3"/>
    <w:basedOn w:val="Normal"/>
    <w:next w:val="Normal"/>
    <w:link w:val="Heading3Char"/>
    <w:uiPriority w:val="9"/>
    <w:semiHidden w:val="on"/>
    <w:unhideWhenUsed w:val="on"/>
    <w:qFormat w:val="on"/>
    <w:pPr>
      <w:keepNext w:val="on"/>
      <w:keepLines w:val="on"/>
      <w:spacing w:before="120" w:beforeAutospacing="0" w:after="120" w:afterAutospacing="0"/>
    </w:pPr>
    <w:rPr>
      <w:rFonts w:cstheme="majorBidi" w:eastAsiaTheme="majorEastAsia"/>
      <w:b/>
      <w:szCs w:val="28"/>
    </w:rPr>
  </w:style>
  <w:style w:type="paragraph" w:styleId="Heading4">
    <w:name w:val="Heading 4"/>
    <w:basedOn w:val="Normal"/>
    <w:next w:val="Normal"/>
    <w:link w:val="Heading4Char"/>
    <w:uiPriority w:val="9"/>
    <w:semiHidden w:val="on"/>
    <w:unhideWhenUsed w:val="on"/>
    <w:qFormat w:val="on"/>
    <w:pPr>
      <w:keepNext w:val="on"/>
      <w:keepLines w:val="on"/>
      <w:spacing w:before="80" w:beforeAutospacing="0" w:after="40" w:afterAutospacing="0"/>
    </w:pPr>
    <w:rPr>
      <w:rFonts w:asciiTheme="minorHAnsi" w:cstheme="majorBidi" w:eastAsiaTheme="majorEastAsia" w:hAnsiTheme="minorHAnsi"/>
      <w:i/>
      <w:iCs/>
      <w:color w:val="376091" w:themeColor="accent1" w:themeShade="bf"/>
    </w:rPr>
  </w:style>
  <w:style w:type="paragraph" w:styleId="Heading5">
    <w:name w:val="Heading 5"/>
    <w:basedOn w:val="Normal"/>
    <w:next w:val="Normal"/>
    <w:link w:val="Heading5Char"/>
    <w:uiPriority w:val="9"/>
    <w:semiHidden w:val="on"/>
    <w:unhideWhenUsed w:val="on"/>
    <w:qFormat w:val="on"/>
    <w:pPr>
      <w:keepNext w:val="on"/>
      <w:keepLines w:val="on"/>
      <w:spacing w:before="80" w:beforeAutospacing="0" w:after="40" w:afterAutospacing="0"/>
    </w:pPr>
    <w:rPr>
      <w:rFonts w:asciiTheme="minorHAnsi" w:cstheme="majorBidi" w:eastAsiaTheme="majorEastAsia" w:hAnsiTheme="minorHAnsi"/>
      <w:color w:val="376091" w:themeColor="accent1" w:themeShade="bf"/>
    </w:rPr>
  </w:style>
  <w:style w:type="paragraph" w:styleId="Heading6">
    <w:name w:val="Heading 6"/>
    <w:basedOn w:val="Normal"/>
    <w:next w:val="Normal"/>
    <w:link w:val="Heading6Char"/>
    <w:uiPriority w:val="9"/>
    <w:semiHidden w:val="on"/>
    <w:unhideWhenUsed w:val="on"/>
    <w:qFormat w:val="on"/>
    <w:pPr>
      <w:keepNext w:val="on"/>
      <w:keepLines w:val="on"/>
      <w:spacing w:before="40" w:beforeAutospacing="0" w:after="0" w:afterAutospacing="0"/>
    </w:pPr>
    <w:rPr>
      <w:rFonts w:asciiTheme="minorHAnsi" w:cstheme="majorBidi" w:eastAsiaTheme="majorEastAsia" w:hAnsiTheme="minorHAnsi"/>
      <w:i/>
      <w:iCs/>
      <w:color w:val="595959" w:themeColor="text1" w:themeTint="a6"/>
    </w:rPr>
  </w:style>
  <w:style w:type="paragraph" w:styleId="Heading7">
    <w:name w:val="Heading 7"/>
    <w:basedOn w:val="Normal"/>
    <w:next w:val="Normal"/>
    <w:link w:val="Heading7Char"/>
    <w:uiPriority w:val="9"/>
    <w:semiHidden w:val="on"/>
    <w:unhideWhenUsed w:val="on"/>
    <w:qFormat w:val="on"/>
    <w:pPr>
      <w:keepNext w:val="on"/>
      <w:keepLines w:val="on"/>
      <w:spacing w:before="40" w:beforeAutospacing="0" w:after="0" w:afterAutospacing="0"/>
    </w:pPr>
    <w:rPr>
      <w:rFonts w:asciiTheme="minorHAnsi" w:cstheme="majorBidi" w:eastAsiaTheme="majorEastAsia" w:hAnsiTheme="minorHAnsi"/>
      <w:color w:val="595959" w:themeColor="text1" w:themeTint="a6"/>
    </w:rPr>
  </w:style>
  <w:style w:type="paragraph" w:styleId="Heading8">
    <w:name w:val="Heading 8"/>
    <w:basedOn w:val="Normal"/>
    <w:next w:val="Normal"/>
    <w:link w:val="Heading8Char"/>
    <w:uiPriority w:val="9"/>
    <w:semiHidden w:val="on"/>
    <w:unhideWhenUsed w:val="on"/>
    <w:qFormat w:val="on"/>
    <w:pPr>
      <w:keepNext w:val="on"/>
      <w:keepLines w:val="on"/>
      <w:spacing w:beforeAutospacing="0" w:after="0" w:afterAutospacing="0"/>
    </w:pPr>
    <w:rPr>
      <w:rFonts w:asciiTheme="minorHAnsi" w:cstheme="majorBidi" w:eastAsiaTheme="majorEastAsia" w:hAnsiTheme="minorHAnsi"/>
      <w:i/>
      <w:iCs/>
      <w:color w:val="272727" w:themeColor="text1" w:themeTint="d8"/>
    </w:rPr>
  </w:style>
  <w:style w:type="paragraph" w:styleId="Heading9">
    <w:name w:val="Heading 9"/>
    <w:basedOn w:val="Normal"/>
    <w:next w:val="Normal"/>
    <w:link w:val="Heading9Char"/>
    <w:uiPriority w:val="9"/>
    <w:semiHidden w:val="on"/>
    <w:unhideWhenUsed w:val="on"/>
    <w:qFormat w:val="on"/>
    <w:pPr>
      <w:keepNext w:val="on"/>
      <w:keepLines w:val="on"/>
      <w:spacing w:beforeAutospacing="0" w:after="0" w:afterAutospacing="0"/>
    </w:pPr>
    <w:rPr>
      <w:rFonts w:asciiTheme="minorHAnsi" w:cstheme="majorBidi" w:eastAsiaTheme="majorEastAsia" w:hAnsiTheme="minorHAnsi"/>
      <w:color w:val="272727" w:themeColor="text1" w:themeTint="d8"/>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character" w:customStyle="1" w:styleId="Heading1Char">
    <w:name w:val="Heading 1 Char"/>
    <w:basedOn w:val="DefaultParagraphFont"/>
    <w:link w:val="Heading1"/>
    <w:uiPriority w:val="9"/>
    <w:rPr>
      <w:rFonts w:ascii="Times New Roman" w:cstheme="majorBidi" w:eastAsiaTheme="majorEastAsia" w:hAnsi="Times New Roman"/>
      <w:b/>
      <w:sz w:val="28"/>
      <w:szCs w:val="40"/>
      <w:lang w:val="en-GB"/>
    </w:rPr>
  </w:style>
  <w:style w:type="character" w:customStyle="1" w:styleId="Heading2Char">
    <w:name w:val="Heading 2 Char"/>
    <w:basedOn w:val="DefaultParagraphFont"/>
    <w:link w:val="Heading2"/>
    <w:uiPriority w:val="9"/>
    <w:rPr>
      <w:rFonts w:ascii="Times New Roman" w:cstheme="majorBidi" w:eastAsiaTheme="majorEastAsia" w:hAnsi="Times New Roman"/>
      <w:b/>
      <w:sz w:val="26"/>
      <w:szCs w:val="32"/>
      <w:lang w:val="en-GB"/>
    </w:rPr>
  </w:style>
  <w:style w:type="paragraph" w:styleId="TOCHeading">
    <w:name w:val="TOC Heading"/>
    <w:basedOn w:val="Heading1"/>
    <w:next w:val="Normal"/>
    <w:uiPriority w:val="39"/>
    <w:unhideWhenUsed w:val="on"/>
    <w:qFormat w:val="on"/>
    <w:pPr>
      <w:jc w:val="center"/>
    </w:pPr>
    <w:rPr>
      <w:szCs w:val="32"/>
      <w:lang w:val="en-US"/>
    </w:rPr>
  </w:style>
  <w:style w:type="character" w:customStyle="1" w:styleId="Heading3Char">
    <w:name w:val="Heading 3 Char"/>
    <w:basedOn w:val="DefaultParagraphFont"/>
    <w:link w:val="Heading3"/>
    <w:uiPriority w:val="9"/>
    <w:semiHidden w:val="on"/>
    <w:rPr>
      <w:rFonts w:ascii="Times New Roman" w:cstheme="majorBidi" w:eastAsiaTheme="majorEastAsia" w:hAnsi="Times New Roman"/>
      <w:b/>
      <w:sz w:val="24"/>
      <w:szCs w:val="28"/>
      <w:lang w:val="en-GB"/>
    </w:rPr>
  </w:style>
  <w:style w:type="character" w:customStyle="1" w:styleId="Heading4Char">
    <w:name w:val="Heading 4 Char"/>
    <w:basedOn w:val="DefaultParagraphFont"/>
    <w:link w:val="Heading4"/>
    <w:uiPriority w:val="9"/>
    <w:semiHidden w:val="on"/>
    <w:rPr>
      <w:rFonts w:cstheme="majorBidi" w:eastAsiaTheme="majorEastAsia"/>
      <w:i/>
      <w:iCs/>
      <w:color w:val="376091" w:themeColor="accent1" w:themeShade="bf"/>
      <w:sz w:val="24"/>
      <w:lang w:val="en-GB"/>
    </w:rPr>
  </w:style>
  <w:style w:type="character" w:customStyle="1" w:styleId="Heading5Char">
    <w:name w:val="Heading 5 Char"/>
    <w:basedOn w:val="DefaultParagraphFont"/>
    <w:link w:val="Heading5"/>
    <w:uiPriority w:val="9"/>
    <w:semiHidden w:val="on"/>
    <w:rPr>
      <w:rFonts w:cstheme="majorBidi" w:eastAsiaTheme="majorEastAsia"/>
      <w:color w:val="376091" w:themeColor="accent1" w:themeShade="bf"/>
      <w:sz w:val="24"/>
      <w:lang w:val="en-GB"/>
    </w:rPr>
  </w:style>
  <w:style w:type="character" w:customStyle="1" w:styleId="Heading6Char">
    <w:name w:val="Heading 6 Char"/>
    <w:basedOn w:val="DefaultParagraphFont"/>
    <w:link w:val="Heading6"/>
    <w:uiPriority w:val="9"/>
    <w:semiHidden w:val="on"/>
    <w:rPr>
      <w:rFonts w:cstheme="majorBidi" w:eastAsiaTheme="majorEastAsia"/>
      <w:i/>
      <w:iCs/>
      <w:color w:val="595959" w:themeColor="text1" w:themeTint="a6"/>
      <w:sz w:val="24"/>
      <w:lang w:val="en-GB"/>
    </w:rPr>
  </w:style>
  <w:style w:type="character" w:customStyle="1" w:styleId="Heading7Char">
    <w:name w:val="Heading 7 Char"/>
    <w:basedOn w:val="DefaultParagraphFont"/>
    <w:link w:val="Heading7"/>
    <w:uiPriority w:val="9"/>
    <w:semiHidden w:val="on"/>
    <w:rPr>
      <w:rFonts w:cstheme="majorBidi" w:eastAsiaTheme="majorEastAsia"/>
      <w:color w:val="595959" w:themeColor="text1" w:themeTint="a6"/>
      <w:sz w:val="24"/>
      <w:lang w:val="en-GB"/>
    </w:rPr>
  </w:style>
  <w:style w:type="character" w:customStyle="1" w:styleId="Heading8Char">
    <w:name w:val="Heading 8 Char"/>
    <w:basedOn w:val="DefaultParagraphFont"/>
    <w:link w:val="Heading8"/>
    <w:uiPriority w:val="9"/>
    <w:semiHidden w:val="on"/>
    <w:rPr>
      <w:rFonts w:cstheme="majorBidi" w:eastAsiaTheme="majorEastAsia"/>
      <w:i/>
      <w:iCs/>
      <w:color w:val="272727" w:themeColor="text1" w:themeTint="d8"/>
      <w:sz w:val="24"/>
      <w:lang w:val="en-GB"/>
    </w:rPr>
  </w:style>
  <w:style w:type="character" w:customStyle="1" w:styleId="Heading9Char">
    <w:name w:val="Heading 9 Char"/>
    <w:basedOn w:val="DefaultParagraphFont"/>
    <w:link w:val="Heading9"/>
    <w:uiPriority w:val="9"/>
    <w:semiHidden w:val="on"/>
    <w:rPr>
      <w:rFonts w:cstheme="majorBidi" w:eastAsiaTheme="majorEastAsia"/>
      <w:color w:val="272727" w:themeColor="text1" w:themeTint="d8"/>
      <w:sz w:val="24"/>
      <w:lang w:val="en-GB"/>
    </w:rPr>
  </w:style>
  <w:style w:type="paragraph" w:styleId="Title">
    <w:name w:val="Title"/>
    <w:basedOn w:val="Normal"/>
    <w:next w:val="Normal"/>
    <w:link w:val="TitleChar"/>
    <w:uiPriority w:val="10"/>
    <w:qFormat w:val="on"/>
    <w:pPr>
      <w:spacing w:beforeAutospacing="0" w:after="80" w:afterAutospacing="0" w:line="240" w:lineRule="auto"/>
      <w:contextualSpacing w:val="on"/>
    </w:pPr>
    <w:rPr>
      <w:rFonts w:asciiTheme="majorHAnsi" w:cstheme="majorBidi" w:eastAsiaTheme="majorEastAsia" w:hAnsiTheme="majorHAnsi"/>
      <w:spacing w:val="-10"/>
      <w:sz w:val="56"/>
      <w:szCs w:val="56"/>
    </w:rPr>
  </w:style>
  <w:style w:type="character" w:customStyle="1" w:styleId="TitleChar">
    <w:name w:val="Title Char"/>
    <w:basedOn w:val="DefaultParagraphFont"/>
    <w:link w:val="Title"/>
    <w:uiPriority w:val="10"/>
    <w:rPr>
      <w:rFonts w:asciiTheme="majorHAnsi" w:cstheme="majorBidi" w:eastAsiaTheme="majorEastAsia" w:hAnsiTheme="majorHAnsi"/>
      <w:spacing w:val="-10"/>
      <w:sz w:val="56"/>
      <w:szCs w:val="56"/>
      <w:lang w:val="en-GB"/>
    </w:rPr>
  </w:style>
  <w:style w:type="paragraph" w:styleId="Subtitle">
    <w:name w:val="Subtitle"/>
    <w:basedOn w:val="Normal"/>
    <w:next w:val="Normal"/>
    <w:link w:val="SubtitleChar"/>
    <w:uiPriority w:val="11"/>
    <w:qFormat w:val="on"/>
    <w:pPr>
      <w:spacing w:beforeAutospacing="0" w:after="160" w:afterAutospacing="0"/>
    </w:pPr>
    <w:rPr>
      <w:rFonts w:asciiTheme="minorHAnsi" w:cstheme="majorBidi" w:eastAsiaTheme="majorEastAsia" w:hAnsiTheme="minorHAnsi"/>
      <w:color w:val="595959" w:themeColor="text1" w:themeTint="a6"/>
      <w:spacing w:val="15"/>
      <w:sz w:val="28"/>
      <w:szCs w:val="28"/>
    </w:rPr>
  </w:style>
  <w:style w:type="character" w:customStyle="1" w:styleId="SubtitleChar">
    <w:name w:val="Subtitle Char"/>
    <w:basedOn w:val="DefaultParagraphFont"/>
    <w:link w:val="Subtitle"/>
    <w:uiPriority w:val="11"/>
    <w:rPr>
      <w:rFonts w:cstheme="majorBidi" w:eastAsiaTheme="majorEastAsia"/>
      <w:color w:val="595959" w:themeColor="text1" w:themeTint="a6"/>
      <w:spacing w:val="15"/>
      <w:sz w:val="28"/>
      <w:szCs w:val="28"/>
      <w:lang w:val="en-GB"/>
    </w:rPr>
  </w:style>
  <w:style w:type="paragraph" w:styleId="Quote">
    <w:name w:val="Quote"/>
    <w:basedOn w:val="Normal"/>
    <w:next w:val="Normal"/>
    <w:link w:val="QuoteChar"/>
    <w:uiPriority w:val="29"/>
    <w:qFormat w:val="on"/>
    <w:pPr>
      <w:spacing w:before="160" w:beforeAutospacing="0" w:after="160" w:afterAutospacing="0"/>
      <w:jc w:val="center"/>
    </w:pPr>
    <w:rPr>
      <w:i/>
      <w:iCs/>
      <w:color w:val="404040" w:themeColor="text1" w:themeTint="bf"/>
    </w:rPr>
  </w:style>
  <w:style w:type="character" w:customStyle="1" w:styleId="QuoteChar">
    <w:name w:val="Quote Char"/>
    <w:basedOn w:val="DefaultParagraphFont"/>
    <w:link w:val="Quote"/>
    <w:uiPriority w:val="29"/>
    <w:rPr>
      <w:rFonts w:ascii="Times New Roman" w:hAnsi="Times New Roman"/>
      <w:i/>
      <w:iCs/>
      <w:color w:val="404040" w:themeColor="text1" w:themeTint="bf"/>
      <w:sz w:val="24"/>
      <w:lang w:val="en-GB"/>
    </w:rPr>
  </w:style>
  <w:style w:type="paragraph" w:styleId="ListParagraph">
    <w:name w:val="List Paragraph"/>
    <w:basedOn w:val="Normal"/>
    <w:uiPriority w:val="34"/>
    <w:qFormat w:val="on"/>
    <w:pPr>
      <w:ind w:left="720"/>
      <w:contextualSpacing w:val="on"/>
    </w:pPr>
  </w:style>
  <w:style w:type="character" w:styleId="IntenseEmphasis">
    <w:name w:val="Intense Emphasis"/>
    <w:basedOn w:val="DefaultParagraphFont"/>
    <w:uiPriority w:val="21"/>
    <w:qFormat w:val="on"/>
    <w:rPr>
      <w:i/>
      <w:iCs/>
      <w:color w:val="376091" w:themeColor="accent1" w:themeShade="bf"/>
    </w:rPr>
  </w:style>
  <w:style w:type="paragraph" w:styleId="IntenseQuote">
    <w:name w:val="Intense Quote"/>
    <w:basedOn w:val="Normal"/>
    <w:next w:val="Normal"/>
    <w:link w:val="IntenseQuoteChar"/>
    <w:uiPriority w:val="30"/>
    <w:qFormat w:val="on"/>
    <w:pPr>
      <w:pBdr>
        <w:top w:val="single" w:color="376091" w:themeColor="accent1" w:themeShade="bf" w:sz="4" w:space="10"/>
        <w:bottom w:val="single" w:color="376091" w:themeColor="accent1" w:themeShade="bf" w:sz="4" w:space="10"/>
      </w:pBdr>
      <w:spacing w:before="360" w:beforeAutospacing="0" w:after="360" w:afterAutospacing="0"/>
      <w:ind w:left="864" w:right="864"/>
      <w:jc w:val="center"/>
    </w:pPr>
    <w:rPr>
      <w:i/>
      <w:iCs/>
      <w:color w:val="376091" w:themeColor="accent1" w:themeShade="bf"/>
    </w:rPr>
  </w:style>
  <w:style w:type="character" w:customStyle="1" w:styleId="IntenseQuoteChar">
    <w:name w:val="Intense Quote Char"/>
    <w:basedOn w:val="DefaultParagraphFont"/>
    <w:link w:val="IntenseQuote"/>
    <w:uiPriority w:val="30"/>
    <w:rPr>
      <w:rFonts w:ascii="Times New Roman" w:hAnsi="Times New Roman"/>
      <w:i/>
      <w:iCs/>
      <w:color w:val="376091" w:themeColor="accent1" w:themeShade="bf"/>
      <w:sz w:val="24"/>
      <w:lang w:val="en-GB"/>
    </w:rPr>
  </w:style>
  <w:style w:type="character" w:styleId="IntenseReference">
    <w:name w:val="Intense Reference"/>
    <w:basedOn w:val="DefaultParagraphFont"/>
    <w:uiPriority w:val="32"/>
    <w:qFormat w:val="on"/>
    <w:rPr>
      <w:b/>
      <w:bCs/>
      <w:smallCaps/>
      <w:color w:val="376091" w:themeColor="accent1" w:themeShade="bf"/>
      <w:spacing w:val="5"/>
    </w:rPr>
  </w:style>
  <w:style w:type="paragraph" w:styleId="Toc1">
    <w:name w:val="Toc 1"/>
    <w:basedOn w:val="Normal"/>
    <w:next w:val="Normal"/>
    <w:uiPriority w:val="39"/>
    <w:unhideWhenUsed w:val="on"/>
    <w:pPr>
      <w:spacing w:beforeAutospacing="0" w:after="100" w:afterAutospacing="0"/>
    </w:pPr>
  </w:style>
  <w:style w:type="paragraph" w:styleId="Toc2">
    <w:name w:val="Toc 2"/>
    <w:basedOn w:val="Normal"/>
    <w:next w:val="Normal"/>
    <w:uiPriority w:val="39"/>
    <w:unhideWhenUsed w:val="on"/>
    <w:pPr>
      <w:spacing w:beforeAutospacing="0" w:after="100" w:afterAutospacing="0"/>
      <w:ind w:left="240"/>
    </w:pPr>
  </w:style>
  <w:style w:type="character" w:styleId="Hyperlink">
    <w:name w:val="Hyperlink"/>
    <w:basedOn w:val="DefaultParagraphFont"/>
    <w:uiPriority w:val="99"/>
    <w:unhideWhenUsed w:val="on"/>
    <w:rPr>
      <w:color w:val="0000ff" w:themeColor="hyperlink"/>
      <w:u w:val="single"/>
    </w:rPr>
  </w:style>
  <w:style w:type="character" w:customStyle="1" w:styleId="UnresolvedMention">
    <w:name w:val="Unresolved Mention"/>
    <w:basedOn w:val="DefaultParagraphFont"/>
    <w:uiPriority w:val="99"/>
    <w:semiHidden w:val="on"/>
    <w:unhideWhenUsed w:val="on"/>
    <w:rPr>
      <w:color w:val="605e5c"/>
      <w:shd w:val="clear" w:color="auto" w:fill="e1dfdd"/>
    </w:rPr>
  </w:style>
  <w:style w:type="paragraph" w:styleId="Header">
    <w:name w:val="Header"/>
    <w:basedOn w:val="Normal"/>
    <w:link w:val="HeaderChar"/>
    <w:uiPriority w:val="99"/>
    <w:unhideWhenUsed w:val="on"/>
    <w:pPr>
      <w:tabs>
        <w:tab w:val="center" w:pos="4513"/>
        <w:tab w:val="right" w:pos="9026"/>
      </w:tabs>
      <w:spacing w:beforeAutospacing="0" w:after="0" w:afterAutospacing="0" w:line="240" w:lineRule="auto"/>
    </w:pPr>
  </w:style>
  <w:style w:type="character" w:customStyle="1" w:styleId="HeaderChar">
    <w:name w:val="Header Char"/>
    <w:basedOn w:val="DefaultParagraphFont"/>
    <w:link w:val="Header"/>
    <w:uiPriority w:val="99"/>
    <w:rPr>
      <w:rFonts w:ascii="Times New Roman" w:hAnsi="Times New Roman"/>
      <w:sz w:val="24"/>
      <w:lang w:val="en-GB"/>
    </w:rPr>
  </w:style>
  <w:style w:type="paragraph" w:styleId="Footer">
    <w:name w:val="Footer"/>
    <w:basedOn w:val="Normal"/>
    <w:link w:val="FooterChar"/>
    <w:uiPriority w:val="99"/>
    <w:unhideWhenUsed w:val="on"/>
    <w:pPr>
      <w:tabs>
        <w:tab w:val="center" w:pos="4513"/>
        <w:tab w:val="right" w:pos="9026"/>
      </w:tabs>
      <w:spacing w:beforeAutospacing="0" w:after="0" w:afterAutospacing="0" w:line="240" w:lineRule="auto"/>
    </w:pPr>
  </w:style>
  <w:style w:type="character" w:customStyle="1" w:styleId="FooterChar">
    <w:name w:val="Footer Char"/>
    <w:basedOn w:val="DefaultParagraphFont"/>
    <w:link w:val="Footer"/>
    <w:uiPriority w:val="99"/>
    <w:rPr>
      <w:rFonts w:ascii="Times New Roman" w:hAnsi="Times New Roman"/>
      <w:sz w:val="24"/>
      <w:lang w:val="en-GB"/>
    </w:rPr>
  </w:style>
  <w:style w:type="paragraph" w:styleId="BalloonText">
    <w:name w:val="Balloon Text"/>
    <w:basedOn w:val="Normal"/>
    <w:link w:val="BalloonTextChar"/>
    <w:uiPriority w:val="99"/>
    <w:semiHidden w:val="on"/>
    <w:unhideWhenUsed w:val="on"/>
    <w:pPr>
      <w:spacing w:beforeAutospacing="0" w:after="0" w:afterAutospacing="0" w:line="240" w:lineRule="auto"/>
    </w:pPr>
    <w:rPr>
      <w:rFonts w:ascii="Tahoma" w:cs="Tahoma" w:hAnsi="Tahoma"/>
      <w:sz w:val="16"/>
      <w:szCs w:val="16"/>
    </w:rPr>
  </w:style>
  <w:style w:type="character" w:customStyle="1" w:styleId="BalloonTextChar">
    <w:name w:val="Balloon Text Char"/>
    <w:basedOn w:val="DefaultParagraphFont"/>
    <w:link w:val="BalloonText"/>
    <w:uiPriority w:val="99"/>
    <w:semiHidden w:val="on"/>
    <w:rPr>
      <w:rFonts w:ascii="Tahoma" w:cs="Tahoma" w:hAnsi="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30A1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B30A19"/>
    <w:pPr>
      <w:keepNext/>
      <w:keepLines/>
      <w:spacing w:before="120" w:after="12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B30A19"/>
    <w:pPr>
      <w:keepNext/>
      <w:keepLines/>
      <w:spacing w:before="120" w:after="120"/>
      <w:outlineLvl w:val="1"/>
    </w:pPr>
    <w:rPr>
      <w:rFonts w:eastAsiaTheme="majorEastAsia" w:cstheme="majorBidi"/>
      <w:b/>
      <w:sz w:val="26"/>
      <w:szCs w:val="32"/>
    </w:rPr>
  </w:style>
  <w:style w:type="paragraph" w:styleId="Heading3">
    <w:name w:val="heading 3"/>
    <w:basedOn w:val="Normal"/>
    <w:next w:val="Normal"/>
    <w:link w:val="Heading3Char"/>
    <w:uiPriority w:val="9"/>
    <w:semiHidden/>
    <w:unhideWhenUsed/>
    <w:qFormat/>
    <w:rsid w:val="00E665AC"/>
    <w:pPr>
      <w:keepNext/>
      <w:keepLines/>
      <w:spacing w:before="120" w:after="12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3B5E89"/>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3B5E89"/>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3B5E8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B5E8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B5E8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B5E8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0A19"/>
    <w:rPr>
      <w:rFonts w:ascii="Times New Roman" w:eastAsiaTheme="majorEastAsia" w:hAnsi="Times New Roman" w:cstheme="majorBidi"/>
      <w:b/>
      <w:sz w:val="28"/>
      <w:szCs w:val="40"/>
      <w:lang w:val="en-GB"/>
    </w:rPr>
  </w:style>
  <w:style w:type="character" w:customStyle="1" w:styleId="Heading2Char">
    <w:name w:val="Heading 2 Char"/>
    <w:basedOn w:val="DefaultParagraphFont"/>
    <w:link w:val="Heading2"/>
    <w:uiPriority w:val="9"/>
    <w:rsid w:val="00B30A19"/>
    <w:rPr>
      <w:rFonts w:ascii="Times New Roman" w:eastAsiaTheme="majorEastAsia" w:hAnsi="Times New Roman" w:cstheme="majorBidi"/>
      <w:b/>
      <w:sz w:val="26"/>
      <w:szCs w:val="32"/>
      <w:lang w:val="en-GB"/>
    </w:rPr>
  </w:style>
  <w:style w:type="paragraph" w:styleId="TOCHeading">
    <w:name w:val="TOC Heading"/>
    <w:basedOn w:val="Heading1"/>
    <w:next w:val="Normal"/>
    <w:uiPriority w:val="39"/>
    <w:unhideWhenUsed/>
    <w:qFormat/>
    <w:rsid w:val="00B30A19"/>
    <w:pPr>
      <w:jc w:val="center"/>
      <w:outlineLvl w:val="9"/>
    </w:pPr>
    <w:rPr>
      <w:szCs w:val="32"/>
      <w:lang w:val="en-US"/>
    </w:rPr>
  </w:style>
  <w:style w:type="character" w:customStyle="1" w:styleId="Heading3Char">
    <w:name w:val="Heading 3 Char"/>
    <w:basedOn w:val="DefaultParagraphFont"/>
    <w:link w:val="Heading3"/>
    <w:uiPriority w:val="9"/>
    <w:semiHidden/>
    <w:rsid w:val="00E665AC"/>
    <w:rPr>
      <w:rFonts w:ascii="Times New Roman" w:eastAsiaTheme="majorEastAsia" w:hAnsi="Times New Roman" w:cstheme="majorBidi"/>
      <w:b/>
      <w:sz w:val="24"/>
      <w:szCs w:val="28"/>
      <w:lang w:val="en-GB"/>
    </w:rPr>
  </w:style>
  <w:style w:type="character" w:customStyle="1" w:styleId="Heading4Char">
    <w:name w:val="Heading 4 Char"/>
    <w:basedOn w:val="DefaultParagraphFont"/>
    <w:link w:val="Heading4"/>
    <w:uiPriority w:val="9"/>
    <w:semiHidden/>
    <w:rsid w:val="003B5E89"/>
    <w:rPr>
      <w:rFonts w:eastAsiaTheme="majorEastAsia" w:cstheme="majorBidi"/>
      <w:i/>
      <w:iCs/>
      <w:color w:val="365F91" w:themeColor="accent1" w:themeShade="BF"/>
      <w:sz w:val="24"/>
      <w:lang w:val="en-GB"/>
    </w:rPr>
  </w:style>
  <w:style w:type="character" w:customStyle="1" w:styleId="Heading5Char">
    <w:name w:val="Heading 5 Char"/>
    <w:basedOn w:val="DefaultParagraphFont"/>
    <w:link w:val="Heading5"/>
    <w:uiPriority w:val="9"/>
    <w:semiHidden/>
    <w:rsid w:val="003B5E89"/>
    <w:rPr>
      <w:rFonts w:eastAsiaTheme="majorEastAsia" w:cstheme="majorBidi"/>
      <w:color w:val="365F91" w:themeColor="accent1" w:themeShade="BF"/>
      <w:sz w:val="24"/>
      <w:lang w:val="en-GB"/>
    </w:rPr>
  </w:style>
  <w:style w:type="character" w:customStyle="1" w:styleId="Heading6Char">
    <w:name w:val="Heading 6 Char"/>
    <w:basedOn w:val="DefaultParagraphFont"/>
    <w:link w:val="Heading6"/>
    <w:uiPriority w:val="9"/>
    <w:semiHidden/>
    <w:rsid w:val="003B5E89"/>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3B5E89"/>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3B5E89"/>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3B5E89"/>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3B5E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5E89"/>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3B5E8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5E89"/>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3B5E8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B5E89"/>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3B5E89"/>
    <w:pPr>
      <w:ind w:left="720"/>
      <w:contextualSpacing/>
    </w:pPr>
  </w:style>
  <w:style w:type="character" w:styleId="IntenseEmphasis">
    <w:name w:val="Intense Emphasis"/>
    <w:basedOn w:val="DefaultParagraphFont"/>
    <w:uiPriority w:val="21"/>
    <w:qFormat/>
    <w:rsid w:val="003B5E89"/>
    <w:rPr>
      <w:i/>
      <w:iCs/>
      <w:color w:val="365F91" w:themeColor="accent1" w:themeShade="BF"/>
    </w:rPr>
  </w:style>
  <w:style w:type="paragraph" w:styleId="IntenseQuote">
    <w:name w:val="Intense Quote"/>
    <w:basedOn w:val="Normal"/>
    <w:next w:val="Normal"/>
    <w:link w:val="IntenseQuoteChar"/>
    <w:uiPriority w:val="30"/>
    <w:qFormat/>
    <w:rsid w:val="003B5E89"/>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3B5E89"/>
    <w:rPr>
      <w:rFonts w:ascii="Times New Roman" w:hAnsi="Times New Roman"/>
      <w:i/>
      <w:iCs/>
      <w:color w:val="365F91" w:themeColor="accent1" w:themeShade="BF"/>
      <w:sz w:val="24"/>
      <w:lang w:val="en-GB"/>
    </w:rPr>
  </w:style>
  <w:style w:type="character" w:styleId="IntenseReference">
    <w:name w:val="Intense Reference"/>
    <w:basedOn w:val="DefaultParagraphFont"/>
    <w:uiPriority w:val="32"/>
    <w:qFormat/>
    <w:rsid w:val="003B5E89"/>
    <w:rPr>
      <w:b/>
      <w:bCs/>
      <w:smallCaps/>
      <w:color w:val="365F91" w:themeColor="accent1" w:themeShade="BF"/>
      <w:spacing w:val="5"/>
    </w:rPr>
  </w:style>
  <w:style w:type="paragraph" w:styleId="TOC1">
    <w:name w:val="toc 1"/>
    <w:basedOn w:val="Normal"/>
    <w:next w:val="Normal"/>
    <w:autoRedefine/>
    <w:uiPriority w:val="39"/>
    <w:unhideWhenUsed/>
    <w:rsid w:val="00606BFC"/>
    <w:pPr>
      <w:spacing w:after="100"/>
    </w:pPr>
  </w:style>
  <w:style w:type="paragraph" w:styleId="TOC2">
    <w:name w:val="toc 2"/>
    <w:basedOn w:val="Normal"/>
    <w:next w:val="Normal"/>
    <w:autoRedefine/>
    <w:uiPriority w:val="39"/>
    <w:unhideWhenUsed/>
    <w:rsid w:val="00606BFC"/>
    <w:pPr>
      <w:spacing w:after="100"/>
      <w:ind w:left="240"/>
    </w:pPr>
  </w:style>
  <w:style w:type="character" w:styleId="Hyperlink">
    <w:name w:val="Hyperlink"/>
    <w:basedOn w:val="DefaultParagraphFont"/>
    <w:uiPriority w:val="99"/>
    <w:unhideWhenUsed/>
    <w:rsid w:val="00606BFC"/>
    <w:rPr>
      <w:color w:val="0000FF" w:themeColor="hyperlink"/>
      <w:u w:val="single"/>
    </w:rPr>
  </w:style>
  <w:style w:type="character" w:customStyle="1" w:styleId="UnresolvedMention">
    <w:name w:val="Unresolved Mention"/>
    <w:basedOn w:val="DefaultParagraphFont"/>
    <w:uiPriority w:val="99"/>
    <w:semiHidden/>
    <w:unhideWhenUsed/>
    <w:rsid w:val="0085277E"/>
    <w:rPr>
      <w:color w:val="605E5C"/>
      <w:shd w:val="clear" w:color="auto" w:fill="E1DFDD"/>
    </w:rPr>
  </w:style>
  <w:style w:type="paragraph" w:styleId="Header">
    <w:name w:val="header"/>
    <w:basedOn w:val="Normal"/>
    <w:link w:val="HeaderChar"/>
    <w:uiPriority w:val="99"/>
    <w:unhideWhenUsed/>
    <w:rsid w:val="00F541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41E4"/>
    <w:rPr>
      <w:rFonts w:ascii="Times New Roman" w:hAnsi="Times New Roman"/>
      <w:sz w:val="24"/>
      <w:lang w:val="en-GB"/>
    </w:rPr>
  </w:style>
  <w:style w:type="paragraph" w:styleId="Footer">
    <w:name w:val="footer"/>
    <w:basedOn w:val="Normal"/>
    <w:link w:val="FooterChar"/>
    <w:uiPriority w:val="99"/>
    <w:unhideWhenUsed/>
    <w:rsid w:val="00F541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41E4"/>
    <w:rPr>
      <w:rFonts w:ascii="Times New Roman" w:hAnsi="Times New Roman"/>
      <w:sz w:val="24"/>
      <w:lang w:val="en-GB"/>
    </w:rPr>
  </w:style>
  <w:style w:type="paragraph" w:styleId="BalloonText">
    <w:name w:val="Balloon Text"/>
    <w:basedOn w:val="Normal"/>
    <w:link w:val="BalloonTextChar"/>
    <w:uiPriority w:val="99"/>
    <w:semiHidden/>
    <w:unhideWhenUsed/>
    <w:rsid w:val="00A315A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15A2"/>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2" Type="http://schemas.openxmlformats.org/officeDocument/2006/relationships/numbering" Target="numbering.xml"/><Relationship Id="rId27" Type="http://schemas.openxmlformats.org/officeDocument/2006/relationships/fontTable" Target="fontTable.xml"/><Relationship Id="rId28" Type="http://schemas.openxmlformats.org/officeDocument/2006/relationships/theme" Target="theme/theme1.xml"/><Relationship Id="rId29" Type="http://schemas.openxmlformats.org/officeDocument/2006/relationships/image" Target="media/image2.png"/><Relationship Id="rId3" Type="http://schemas.openxmlformats.org/officeDocument/2006/relationships/styles" Target="styles.xml"/><Relationship Id="rId30" Type="http://schemas.openxmlformats.org/officeDocument/2006/relationships/image" Target="media/image18.jpeg"/><Relationship Id="rId31" Type="http://schemas.openxmlformats.org/officeDocument/2006/relationships/image" Target="media/image19.jpeg"/><Relationship Id="rId32" Type="http://schemas.openxmlformats.org/officeDocument/2006/relationships/image" Target="media/image20.jpeg"/><Relationship Id="rId33" Type="http://schemas.openxmlformats.org/officeDocument/2006/relationships/image" Target="media/image21.jpeg"/><Relationship Id="rId34" Type="http://schemas.openxmlformats.org/officeDocument/2006/relationships/image" Target="media/image22.jpeg"/><Relationship Id="rId35" Type="http://schemas.openxmlformats.org/officeDocument/2006/relationships/image" Target="media/image23.jpeg"/><Relationship Id="rId36" Type="http://schemas.openxmlformats.org/officeDocument/2006/relationships/image" Target="media/image24.jpeg"/><Relationship Id="rId37" Type="http://schemas.openxmlformats.org/officeDocument/2006/relationships/image" Target="media/image25.jpeg"/><Relationship Id="rId38" Type="http://schemas.openxmlformats.org/officeDocument/2006/relationships/image" Target="media/image26.jpeg"/><Relationship Id="rId39" Type="http://schemas.openxmlformats.org/officeDocument/2006/relationships/image" Target="media/image27.jpeg"/><Relationship Id="rId40" Type="http://schemas.openxmlformats.org/officeDocument/2006/relationships/image" Target="media/image28.jpeg"/><Relationship Id="rId41" Type="http://schemas.openxmlformats.org/officeDocument/2006/relationships/image" Target="media/image29.jpeg"/><Relationship Id="rId42" Type="http://schemas.openxmlformats.org/officeDocument/2006/relationships/image" Target="media/image30.jpeg"/><Relationship Id="rId43" Type="http://schemas.openxmlformats.org/officeDocument/2006/relationships/image" Target="media/image31.jpeg"/><Relationship Id="rId44" Type="http://schemas.openxmlformats.org/officeDocument/2006/relationships/image" Target="media/image32.jpeg"/><Relationship Id="rId45" Type="http://schemas.openxmlformats.org/officeDocument/2006/relationships/image" Target="media/image33.jpeg"/><Relationship Id="rId46" Type="http://schemas.openxmlformats.org/officeDocument/2006/relationships/footer" Target="footer1.xml"/><Relationship Id="rId5" Type="http://schemas.openxmlformats.org/officeDocument/2006/relationships/settings" Target="settings.xml"/><Relationship Id="rId7" Type="http://schemas.openxmlformats.org/officeDocument/2006/relationships/footnotes" Target="footnotes.xml"/><Relationship Id="rId8" Type="http://schemas.openxmlformats.org/officeDocument/2006/relationships/endnotes" Target="endnotes.xml"/><Relationship Id="rId1" Type="http://schemas.openxmlformats.org/officeDocument/2006/relationships/customXml" Target="../customXml/item1.xml"/><Relationship Id="rId4" Type="http://schemas.microsoft.com/office/2007/relationships/stylesWithEffects" Target="stylesWithEffects.xml"/><Relationship Id="rId6" Type="http://schemas.openxmlformats.org/officeDocument/2006/relationships/webSettings" Target="webSettings.xml"/></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libri"/>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0938FF-273E-41C0-9907-7080934302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535</TotalTime>
  <Pages>35</Pages>
  <Words>5642</Words>
  <Characters>32163</Characters>
  <Application>Microsoft Office Word</Application>
  <DocSecurity>0</DocSecurity>
  <Lines>268</Lines>
  <Paragraphs>75</Paragraphs>
  <ScaleCrop>false</ScaleCrop>
  <HeadingPairs>
    <vt:vector size="4" baseType="variant">
      <vt:variant>
        <vt:lpstr>Title</vt:lpstr>
      </vt:variant>
      <vt:variant>
        <vt:i4>1</vt:i4>
      </vt:variant>
      <vt:variant>
        <vt:lpstr>Headings</vt:lpstr>
      </vt:variant>
      <vt:variant>
        <vt:i4>36</vt:i4>
      </vt:variant>
    </vt:vector>
  </HeadingPairs>
  <TitlesOfParts>
    <vt:vector size="37" baseType="lpstr">
      <vt:lpstr/>
      <vt:lpstr>AI Acknowledgement</vt:lpstr>
      <vt:lpstr>Executive Summary </vt:lpstr>
      <vt:lpstr>Part 1: Individual Report</vt:lpstr>
      <vt:lpstr>Introduction </vt:lpstr>
      <vt:lpstr>Critical Analysis</vt:lpstr>
      <vt:lpstr>    Creativity vs Innovation</vt:lpstr>
      <vt:lpstr>    Capitalist Models: Problems of Innovation </vt:lpstr>
      <vt:lpstr>Creative Evolution </vt:lpstr>
      <vt:lpstr>    Suggested Creative Solution</vt:lpstr>
      <vt:lpstr>Model of Innovation </vt:lpstr>
      <vt:lpstr>Creativity Process </vt:lpstr>
      <vt:lpstr>Force Field Analysis</vt:lpstr>
      <vt:lpstr>    Driving Forces </vt:lpstr>
      <vt:lpstr>    Restraining Forces</vt:lpstr>
      <vt:lpstr>    Evaluation of the Idea </vt:lpstr>
      <vt:lpstr>Innovation Organisational Climate Support</vt:lpstr>
      <vt:lpstr>Conclusion</vt:lpstr>
      <vt:lpstr>Part 2: AI-Supported Development of the Creative Solution </vt:lpstr>
      <vt:lpstr>    Introduction </vt:lpstr>
      <vt:lpstr>    Process Narrative</vt:lpstr>
      <vt:lpstr>    Critical Appraisal</vt:lpstr>
      <vt:lpstr>    Successes &amp; Failures</vt:lpstr>
      <vt:lpstr>    Refined Solution</vt:lpstr>
      <vt:lpstr>References </vt:lpstr>
      <vt:lpstr>Appendix 1</vt:lpstr>
      <vt:lpstr>    Prompt </vt:lpstr>
      <vt:lpstr>    Output</vt:lpstr>
      <vt:lpstr>Appendix 2</vt:lpstr>
      <vt:lpstr>    Prompt</vt:lpstr>
      <vt:lpstr>    Output</vt:lpstr>
      <vt:lpstr>Appendix 3</vt:lpstr>
      <vt:lpstr>    Prompt</vt:lpstr>
      <vt:lpstr>    Output</vt:lpstr>
      <vt:lpstr>Appendix 4 </vt:lpstr>
      <vt:lpstr>    Prompt</vt:lpstr>
      <vt:lpstr>    Output</vt:lpstr>
    </vt:vector>
  </TitlesOfParts>
  <Company/>
  <LinksUpToDate>false</LinksUpToDate>
  <CharactersWithSpaces>37730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iPhone</dc:creator>
  <cp:lastModifiedBy>iPhone</cp:lastModifiedB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32cfcf66-3dbc-408f-b455-17c8f31e513e</vt:lpwstr>
  </property>
</Properties>
</file>