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6B50C" w14:textId="30F1F6E6" w:rsidR="00CD4374" w:rsidRPr="00CD4374" w:rsidRDefault="00CD4374" w:rsidP="00CD4374">
      <w:pPr>
        <w:rPr>
          <w:rFonts w:ascii="Arial" w:hAnsi="Arial" w:cs="Arial"/>
          <w:color w:val="1F1F1F"/>
          <w:sz w:val="28"/>
          <w:szCs w:val="28"/>
          <w:shd w:val="clear" w:color="auto" w:fill="FFFFFF"/>
        </w:rPr>
      </w:pPr>
      <w:r w:rsidRPr="00CD4374">
        <w:rPr>
          <w:rFonts w:ascii="Arial" w:hAnsi="Arial" w:cs="Arial"/>
          <w:color w:val="1F1F1F"/>
          <w:sz w:val="28"/>
          <w:szCs w:val="28"/>
          <w:shd w:val="clear" w:color="auto" w:fill="FFFFFF"/>
        </w:rPr>
        <w:t>MANAL TALHARCHET MBA banking and finance</w:t>
      </w:r>
    </w:p>
    <w:p w14:paraId="1C0D05D0" w14:textId="77777777" w:rsidR="00CD4374" w:rsidRPr="00CD4374" w:rsidRDefault="00CD4374" w:rsidP="00CD4374">
      <w:pPr>
        <w:rPr>
          <w:rFonts w:ascii="Arial" w:hAnsi="Arial" w:cs="Arial"/>
          <w:color w:val="1F1F1F"/>
          <w:sz w:val="28"/>
          <w:szCs w:val="28"/>
          <w:shd w:val="clear" w:color="auto" w:fill="FFFFFF"/>
        </w:rPr>
      </w:pPr>
    </w:p>
    <w:p w14:paraId="5F075301" w14:textId="3B077523" w:rsidR="00CD4374" w:rsidRPr="00CD4374" w:rsidRDefault="00CD4374" w:rsidP="00CD4374">
      <w:pPr>
        <w:rPr>
          <w:rFonts w:ascii="Arial" w:hAnsi="Arial" w:cs="Arial"/>
          <w:color w:val="1F1F1F"/>
          <w:sz w:val="28"/>
          <w:szCs w:val="28"/>
          <w:shd w:val="clear" w:color="auto" w:fill="FFFFFF"/>
        </w:rPr>
      </w:pPr>
      <w:r w:rsidRPr="00CD4374">
        <w:rPr>
          <w:rFonts w:ascii="Arial" w:hAnsi="Arial" w:cs="Arial"/>
          <w:color w:val="1F1F1F"/>
          <w:sz w:val="28"/>
          <w:szCs w:val="28"/>
          <w:shd w:val="clear" w:color="auto" w:fill="FFFFFF"/>
        </w:rPr>
        <w:t xml:space="preserve">Part A </w:t>
      </w:r>
    </w:p>
    <w:p w14:paraId="45A04CD6" w14:textId="229EFA17" w:rsidR="00CD4374" w:rsidRPr="00CD4374" w:rsidRDefault="00CD4374" w:rsidP="00CD4374">
      <w:pPr>
        <w:rPr>
          <w:rFonts w:ascii="Arial" w:hAnsi="Arial" w:cs="Arial"/>
          <w:color w:val="1F1F1F"/>
          <w:sz w:val="28"/>
          <w:szCs w:val="28"/>
          <w:shd w:val="clear" w:color="auto" w:fill="FFFFFF"/>
        </w:rPr>
      </w:pPr>
      <w:r w:rsidRPr="00CD4374">
        <w:rPr>
          <w:rFonts w:ascii="Arial" w:hAnsi="Arial" w:cs="Arial"/>
          <w:color w:val="1F1F1F"/>
          <w:sz w:val="28"/>
          <w:szCs w:val="28"/>
          <w:shd w:val="clear" w:color="auto" w:fill="FFFFFF"/>
        </w:rPr>
        <w:t>Introduction</w:t>
      </w:r>
    </w:p>
    <w:p w14:paraId="71B96DEB" w14:textId="77777777" w:rsidR="00CD4374" w:rsidRPr="00CD4374" w:rsidRDefault="00CD4374" w:rsidP="00CD4374">
      <w:pPr>
        <w:rPr>
          <w:rFonts w:ascii="Arial" w:hAnsi="Arial" w:cs="Arial"/>
          <w:color w:val="1F1F1F"/>
          <w:sz w:val="36"/>
          <w:szCs w:val="36"/>
          <w:shd w:val="clear" w:color="auto" w:fill="FFFFFF"/>
        </w:rPr>
      </w:pPr>
    </w:p>
    <w:p w14:paraId="43270C27" w14:textId="7AA71DFF" w:rsidR="00B617A3" w:rsidRDefault="00CD4374" w:rsidP="00CD4374">
      <w:pPr>
        <w:jc w:val="center"/>
        <w:rPr>
          <w:rFonts w:ascii="Arial" w:hAnsi="Arial" w:cs="Arial"/>
          <w:color w:val="1F1F1F"/>
          <w:sz w:val="42"/>
          <w:szCs w:val="42"/>
          <w:shd w:val="clear" w:color="auto" w:fill="FFFFFF"/>
        </w:rPr>
      </w:pPr>
      <w:r>
        <w:rPr>
          <w:rFonts w:ascii="Arial" w:hAnsi="Arial" w:cs="Arial"/>
          <w:color w:val="1F1F1F"/>
          <w:sz w:val="42"/>
          <w:szCs w:val="42"/>
          <w:shd w:val="clear" w:color="auto" w:fill="FFFFFF"/>
        </w:rPr>
        <w:t>Alibaba Group</w:t>
      </w:r>
    </w:p>
    <w:p w14:paraId="152F7E49" w14:textId="77777777" w:rsidR="003A4707" w:rsidRDefault="003A4707" w:rsidP="00CD4374">
      <w:pPr>
        <w:jc w:val="center"/>
        <w:rPr>
          <w:rFonts w:ascii="Arial" w:hAnsi="Arial" w:cs="Arial"/>
          <w:color w:val="1F1F1F"/>
          <w:sz w:val="42"/>
          <w:szCs w:val="42"/>
          <w:shd w:val="clear" w:color="auto" w:fill="FFFFFF"/>
        </w:rPr>
      </w:pPr>
    </w:p>
    <w:p w14:paraId="2C59EF3C" w14:textId="113BA1FC" w:rsidR="003A4707" w:rsidRDefault="003A4707" w:rsidP="003A4707">
      <w:pPr>
        <w:pStyle w:val="Paragrafoelenco"/>
        <w:numPr>
          <w:ilvl w:val="0"/>
          <w:numId w:val="2"/>
        </w:numPr>
      </w:pPr>
      <w:r w:rsidRPr="003A4707">
        <w:rPr>
          <w:b/>
          <w:bCs/>
          <w:sz w:val="32"/>
          <w:szCs w:val="32"/>
        </w:rPr>
        <w:t>Overview of Alibaba</w:t>
      </w:r>
      <w:r>
        <w:t xml:space="preserve">: </w:t>
      </w:r>
    </w:p>
    <w:p w14:paraId="2C5A5456" w14:textId="77777777" w:rsidR="003A4707" w:rsidRDefault="003A4707" w:rsidP="003A4707"/>
    <w:p w14:paraId="5FC32936" w14:textId="3D66D085" w:rsidR="003A4707" w:rsidRDefault="003A4707" w:rsidP="003A4707">
      <w:r>
        <w:t>Alibaba Group is a Chinese multinational conglomerate specializing in e-commerce, retail, internet, and technology. Founded by Jack Ma in 1999, it has become one of the world's largest and most valuable companies. Alibaba operates various online marketplaces, including Taobao (consumer-to-consumer), Tmall (business-to-consumer), and Alibaba.com (business-to-business). The company also provides cloud computing services, digital payment solutions (Alipay), and operates in sectors such as entertainment, logistics, and AI.</w:t>
      </w:r>
    </w:p>
    <w:p w14:paraId="5D10D6C1" w14:textId="77777777" w:rsidR="003A4707" w:rsidRDefault="003A4707" w:rsidP="003A4707"/>
    <w:p w14:paraId="6A0B97A8" w14:textId="77777777" w:rsidR="003A4707" w:rsidRDefault="003A4707" w:rsidP="003A4707">
      <w:r w:rsidRPr="003A4707">
        <w:rPr>
          <w:b/>
          <w:bCs/>
        </w:rPr>
        <w:t>Business and Target Market</w:t>
      </w:r>
      <w:r>
        <w:t>: Alibaba's primary business is facilitating online commerce between businesses and consumers. Its target market includes both businesses looking to sell their products and services online and consumers seeking a wide range of products at competitive prices.</w:t>
      </w:r>
    </w:p>
    <w:p w14:paraId="59C5F74C" w14:textId="77777777" w:rsidR="003A4707" w:rsidRDefault="003A4707" w:rsidP="003A4707"/>
    <w:p w14:paraId="1AAD14B3" w14:textId="77777777" w:rsidR="003A4707" w:rsidRDefault="003A4707" w:rsidP="003A4707">
      <w:r w:rsidRPr="003A4707">
        <w:rPr>
          <w:b/>
          <w:bCs/>
        </w:rPr>
        <w:t>Unique Selling Proposition (USP):</w:t>
      </w:r>
      <w:r>
        <w:t xml:space="preserve"> Alibaba's USP lies in its vast ecosystem of online marketplaces, expansive reach, and innovative technologies. It offers businesses access to a massive customer base, efficient logistics infrastructure, and diverse digital services. Moreover, Alibaba's emphasis on data-driven insights and technology integration sets it apart from competitors.</w:t>
      </w:r>
    </w:p>
    <w:p w14:paraId="7CFFD4B1" w14:textId="77777777" w:rsidR="003A4707" w:rsidRDefault="003A4707" w:rsidP="003A4707"/>
    <w:p w14:paraId="7D8F76F2" w14:textId="77777777" w:rsidR="003A4707" w:rsidRPr="003A4707" w:rsidRDefault="003A4707" w:rsidP="003A4707">
      <w:pPr>
        <w:rPr>
          <w:b/>
          <w:bCs/>
          <w:sz w:val="32"/>
          <w:szCs w:val="32"/>
        </w:rPr>
      </w:pPr>
      <w:r w:rsidRPr="003A4707">
        <w:rPr>
          <w:b/>
          <w:bCs/>
          <w:sz w:val="32"/>
          <w:szCs w:val="32"/>
        </w:rPr>
        <w:t>b) Reasons for Going Public:</w:t>
      </w:r>
    </w:p>
    <w:p w14:paraId="03D30A71" w14:textId="77777777" w:rsidR="003A4707" w:rsidRDefault="003A4707" w:rsidP="003A4707"/>
    <w:p w14:paraId="52445383" w14:textId="77777777" w:rsidR="003A4707" w:rsidRDefault="003A4707" w:rsidP="003A4707">
      <w:r w:rsidRPr="003A4707">
        <w:rPr>
          <w:b/>
          <w:bCs/>
        </w:rPr>
        <w:t>Capital Infusion:</w:t>
      </w:r>
      <w:r>
        <w:t xml:space="preserve"> Going public allows Alibaba to raise significant capital from public investors, which can be used for various purposes such as expansion, acquisitions, and research and development.</w:t>
      </w:r>
    </w:p>
    <w:p w14:paraId="2244A6DA" w14:textId="77777777" w:rsidR="003A4707" w:rsidRDefault="003A4707" w:rsidP="003A4707">
      <w:r w:rsidRPr="003A4707">
        <w:rPr>
          <w:b/>
          <w:bCs/>
        </w:rPr>
        <w:t>Liquidity for Investors</w:t>
      </w:r>
      <w:r>
        <w:t>: Going public provides liquidity for existing shareholders, including employees and early investors, enabling them to monetize their stakes in the company.</w:t>
      </w:r>
    </w:p>
    <w:p w14:paraId="3EC1C001" w14:textId="77777777" w:rsidR="003A4707" w:rsidRDefault="003A4707" w:rsidP="003A4707">
      <w:r w:rsidRPr="003A4707">
        <w:rPr>
          <w:b/>
          <w:bCs/>
        </w:rPr>
        <w:lastRenderedPageBreak/>
        <w:t>Brand Visibility and Credibility:</w:t>
      </w:r>
      <w:r>
        <w:t xml:space="preserve"> A public listing enhances Alibaba's brand visibility and credibility, attracting more customers, partners, and talent. It also provides a platform for increased media coverage and investor relations activities.</w:t>
      </w:r>
    </w:p>
    <w:p w14:paraId="449EF09E" w14:textId="77777777" w:rsidR="003A4707" w:rsidRDefault="003A4707" w:rsidP="003A4707"/>
    <w:p w14:paraId="29EFB2CB" w14:textId="1EA89669" w:rsidR="003A4707" w:rsidRPr="003A4707" w:rsidRDefault="003A4707" w:rsidP="003A4707">
      <w:pPr>
        <w:rPr>
          <w:b/>
          <w:bCs/>
          <w:sz w:val="32"/>
          <w:szCs w:val="32"/>
        </w:rPr>
      </w:pPr>
      <w:r w:rsidRPr="003A4707">
        <w:rPr>
          <w:b/>
          <w:bCs/>
          <w:sz w:val="32"/>
          <w:szCs w:val="32"/>
        </w:rPr>
        <w:t>c) Key Risks from Alibaba's S-1:</w:t>
      </w:r>
    </w:p>
    <w:p w14:paraId="6BAAD3B6" w14:textId="77777777" w:rsidR="003A4707" w:rsidRDefault="003A4707" w:rsidP="003A4707"/>
    <w:p w14:paraId="1388CF47" w14:textId="77777777" w:rsidR="003A4707" w:rsidRDefault="003A4707" w:rsidP="003A4707">
      <w:r w:rsidRPr="003A4707">
        <w:rPr>
          <w:b/>
          <w:bCs/>
        </w:rPr>
        <w:t>Regulatory Risks</w:t>
      </w:r>
      <w:r>
        <w:t>: Alibaba operates in multiple jurisdictions and is subject to various regulations related to e-commerce, data privacy, antitrust, and intellectual property. Given the evolving regulatory landscape, there's a risk of increased scrutiny, fines, or regulatory changes impacting its operations and profitability. Probability: Moderate to High.</w:t>
      </w:r>
    </w:p>
    <w:p w14:paraId="02848879" w14:textId="77777777" w:rsidR="003A4707" w:rsidRDefault="003A4707" w:rsidP="003A4707">
      <w:r w:rsidRPr="003A4707">
        <w:rPr>
          <w:b/>
          <w:bCs/>
        </w:rPr>
        <w:t>Market Competition</w:t>
      </w:r>
      <w:r>
        <w:t>: Alibaba faces intense competition from domestic and international rivals in its core e-commerce and technology sectors. Rapid technological advancements, changing consumer preferences, and the entry of new competitors pose a threat to its market share and pricing power. Probability: High.</w:t>
      </w:r>
    </w:p>
    <w:p w14:paraId="31744DD8" w14:textId="77777777" w:rsidR="003A4707" w:rsidRDefault="003A4707" w:rsidP="003A4707">
      <w:r w:rsidRPr="003A4707">
        <w:rPr>
          <w:b/>
          <w:bCs/>
        </w:rPr>
        <w:t>Geopolitical Risks</w:t>
      </w:r>
      <w:r>
        <w:t>: Alibaba's global expansion exposes it to geopolitical tensions, trade disputes, and regulatory challenges, particularly between China and the United States. Changes in diplomatic relations or trade policies could disrupt its supply chain, market access, and international growth prospects. Probability: Moderate.</w:t>
      </w:r>
    </w:p>
    <w:p w14:paraId="55DB20AD" w14:textId="36F31EB4" w:rsidR="003A4707" w:rsidRDefault="003A4707" w:rsidP="003A4707">
      <w:r w:rsidRPr="003A4707">
        <w:rPr>
          <w:b/>
          <w:bCs/>
        </w:rPr>
        <w:t>Commentary on Valuation</w:t>
      </w:r>
      <w:r>
        <w:t xml:space="preserve">: Alibaba's proposed valuation should consider these risks, as they could affect its future earnings potential, growth trajectory, and market sentiment. Investors may discount the valuation to reflect the uncertainties associated with regulatory, competitive, and geopolitical risks. Additionally, ongoing transparency and governance improvements could help mitigate investor concerns and support a </w:t>
      </w:r>
      <w:r>
        <w:t>favourable</w:t>
      </w:r>
      <w:r>
        <w:t xml:space="preserve"> valuation over the long term.</w:t>
      </w:r>
    </w:p>
    <w:p w14:paraId="2C75C8D7" w14:textId="77777777" w:rsidR="003A4707" w:rsidRDefault="003A4707" w:rsidP="003A4707"/>
    <w:sectPr w:rsidR="003A47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42C75"/>
    <w:multiLevelType w:val="multilevel"/>
    <w:tmpl w:val="0809001D"/>
    <w:styleLink w:val="Stile2"/>
    <w:lvl w:ilvl="0">
      <w:start w:val="1"/>
      <w:numFmt w:val="upperLetter"/>
      <w:lvlText w:val="%1)"/>
      <w:lvlJc w:val="left"/>
      <w:pPr>
        <w:ind w:left="360" w:hanging="36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551123FF"/>
    <w:multiLevelType w:val="hybridMultilevel"/>
    <w:tmpl w:val="0722F072"/>
    <w:lvl w:ilvl="0" w:tplc="E938A358">
      <w:start w:val="1"/>
      <w:numFmt w:val="lowerLetter"/>
      <w:lvlText w:val="%1)"/>
      <w:lvlJc w:val="left"/>
      <w:pPr>
        <w:ind w:left="720" w:hanging="360"/>
      </w:pPr>
      <w:rPr>
        <w:rFonts w:hint="default"/>
        <w:b/>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29134389">
    <w:abstractNumId w:val="0"/>
  </w:num>
  <w:num w:numId="2" w16cid:durableId="20316841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374"/>
    <w:rsid w:val="003A4707"/>
    <w:rsid w:val="00614DD2"/>
    <w:rsid w:val="00941B94"/>
    <w:rsid w:val="00947570"/>
    <w:rsid w:val="00A01374"/>
    <w:rsid w:val="00B617A3"/>
    <w:rsid w:val="00C14EE2"/>
    <w:rsid w:val="00CD4374"/>
    <w:rsid w:val="00F61623"/>
    <w:rsid w:val="00F831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5E26B"/>
  <w15:chartTrackingRefBased/>
  <w15:docId w15:val="{0B638AED-2C78-4A77-B0D9-816A99A25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CD43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CD43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CD4374"/>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CD4374"/>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CD4374"/>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CD4374"/>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CD4374"/>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CD4374"/>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CD4374"/>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Stile2">
    <w:name w:val="Stile2"/>
    <w:uiPriority w:val="99"/>
    <w:rsid w:val="00F61623"/>
    <w:pPr>
      <w:numPr>
        <w:numId w:val="1"/>
      </w:numPr>
    </w:pPr>
  </w:style>
  <w:style w:type="character" w:customStyle="1" w:styleId="Titolo1Carattere">
    <w:name w:val="Titolo 1 Carattere"/>
    <w:basedOn w:val="Carpredefinitoparagrafo"/>
    <w:link w:val="Titolo1"/>
    <w:uiPriority w:val="9"/>
    <w:rsid w:val="00CD4374"/>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CD4374"/>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CD4374"/>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CD4374"/>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CD4374"/>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CD4374"/>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CD4374"/>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CD4374"/>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CD4374"/>
    <w:rPr>
      <w:rFonts w:eastAsiaTheme="majorEastAsia" w:cstheme="majorBidi"/>
      <w:color w:val="272727" w:themeColor="text1" w:themeTint="D8"/>
    </w:rPr>
  </w:style>
  <w:style w:type="paragraph" w:styleId="Titolo">
    <w:name w:val="Title"/>
    <w:basedOn w:val="Normale"/>
    <w:next w:val="Normale"/>
    <w:link w:val="TitoloCarattere"/>
    <w:uiPriority w:val="10"/>
    <w:qFormat/>
    <w:rsid w:val="00CD43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CD4374"/>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CD4374"/>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CD4374"/>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CD4374"/>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CD4374"/>
    <w:rPr>
      <w:i/>
      <w:iCs/>
      <w:color w:val="404040" w:themeColor="text1" w:themeTint="BF"/>
    </w:rPr>
  </w:style>
  <w:style w:type="paragraph" w:styleId="Paragrafoelenco">
    <w:name w:val="List Paragraph"/>
    <w:basedOn w:val="Normale"/>
    <w:uiPriority w:val="34"/>
    <w:qFormat/>
    <w:rsid w:val="00CD4374"/>
    <w:pPr>
      <w:ind w:left="720"/>
      <w:contextualSpacing/>
    </w:pPr>
  </w:style>
  <w:style w:type="character" w:styleId="Enfasiintensa">
    <w:name w:val="Intense Emphasis"/>
    <w:basedOn w:val="Carpredefinitoparagrafo"/>
    <w:uiPriority w:val="21"/>
    <w:qFormat/>
    <w:rsid w:val="00CD4374"/>
    <w:rPr>
      <w:i/>
      <w:iCs/>
      <w:color w:val="0F4761" w:themeColor="accent1" w:themeShade="BF"/>
    </w:rPr>
  </w:style>
  <w:style w:type="paragraph" w:styleId="Citazioneintensa">
    <w:name w:val="Intense Quote"/>
    <w:basedOn w:val="Normale"/>
    <w:next w:val="Normale"/>
    <w:link w:val="CitazioneintensaCarattere"/>
    <w:uiPriority w:val="30"/>
    <w:qFormat/>
    <w:rsid w:val="00CD43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CD4374"/>
    <w:rPr>
      <w:i/>
      <w:iCs/>
      <w:color w:val="0F4761" w:themeColor="accent1" w:themeShade="BF"/>
    </w:rPr>
  </w:style>
  <w:style w:type="character" w:styleId="Riferimentointenso">
    <w:name w:val="Intense Reference"/>
    <w:basedOn w:val="Carpredefinitoparagrafo"/>
    <w:uiPriority w:val="32"/>
    <w:qFormat/>
    <w:rsid w:val="00CD437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082632">
      <w:bodyDiv w:val="1"/>
      <w:marLeft w:val="0"/>
      <w:marRight w:val="0"/>
      <w:marTop w:val="0"/>
      <w:marBottom w:val="0"/>
      <w:divBdr>
        <w:top w:val="none" w:sz="0" w:space="0" w:color="auto"/>
        <w:left w:val="none" w:sz="0" w:space="0" w:color="auto"/>
        <w:bottom w:val="none" w:sz="0" w:space="0" w:color="auto"/>
        <w:right w:val="none" w:sz="0" w:space="0" w:color="auto"/>
      </w:divBdr>
      <w:divsChild>
        <w:div w:id="1003361266">
          <w:marLeft w:val="0"/>
          <w:marRight w:val="0"/>
          <w:marTop w:val="0"/>
          <w:marBottom w:val="0"/>
          <w:divBdr>
            <w:top w:val="single" w:sz="2" w:space="0" w:color="E3E3E3"/>
            <w:left w:val="single" w:sz="2" w:space="5" w:color="E3E3E3"/>
            <w:bottom w:val="single" w:sz="2" w:space="0" w:color="E3E3E3"/>
            <w:right w:val="single" w:sz="2" w:space="0" w:color="E3E3E3"/>
          </w:divBdr>
        </w:div>
        <w:div w:id="869532949">
          <w:marLeft w:val="0"/>
          <w:marRight w:val="0"/>
          <w:marTop w:val="0"/>
          <w:marBottom w:val="0"/>
          <w:divBdr>
            <w:top w:val="single" w:sz="2" w:space="0" w:color="E3E3E3"/>
            <w:left w:val="single" w:sz="2" w:space="5" w:color="E3E3E3"/>
            <w:bottom w:val="single" w:sz="2" w:space="0" w:color="E3E3E3"/>
            <w:right w:val="single" w:sz="2" w:space="0" w:color="E3E3E3"/>
          </w:divBdr>
        </w:div>
        <w:div w:id="68774289">
          <w:marLeft w:val="0"/>
          <w:marRight w:val="0"/>
          <w:marTop w:val="0"/>
          <w:marBottom w:val="0"/>
          <w:divBdr>
            <w:top w:val="single" w:sz="2" w:space="0" w:color="E3E3E3"/>
            <w:left w:val="single" w:sz="2" w:space="5" w:color="E3E3E3"/>
            <w:bottom w:val="single" w:sz="2" w:space="0" w:color="E3E3E3"/>
            <w:right w:val="single" w:sz="2" w:space="0" w:color="E3E3E3"/>
          </w:divBdr>
        </w:div>
        <w:div w:id="2117403605">
          <w:marLeft w:val="0"/>
          <w:marRight w:val="0"/>
          <w:marTop w:val="0"/>
          <w:marBottom w:val="0"/>
          <w:divBdr>
            <w:top w:val="single" w:sz="2" w:space="0" w:color="E3E3E3"/>
            <w:left w:val="single" w:sz="2" w:space="5" w:color="E3E3E3"/>
            <w:bottom w:val="single" w:sz="2" w:space="0" w:color="E3E3E3"/>
            <w:right w:val="single" w:sz="2" w:space="0" w:color="E3E3E3"/>
          </w:divBdr>
        </w:div>
      </w:divsChild>
    </w:div>
    <w:div w:id="672415314">
      <w:bodyDiv w:val="1"/>
      <w:marLeft w:val="0"/>
      <w:marRight w:val="0"/>
      <w:marTop w:val="0"/>
      <w:marBottom w:val="0"/>
      <w:divBdr>
        <w:top w:val="none" w:sz="0" w:space="0" w:color="auto"/>
        <w:left w:val="none" w:sz="0" w:space="0" w:color="auto"/>
        <w:bottom w:val="none" w:sz="0" w:space="0" w:color="auto"/>
        <w:right w:val="none" w:sz="0" w:space="0" w:color="auto"/>
      </w:divBdr>
      <w:divsChild>
        <w:div w:id="431122613">
          <w:marLeft w:val="0"/>
          <w:marRight w:val="0"/>
          <w:marTop w:val="0"/>
          <w:marBottom w:val="0"/>
          <w:divBdr>
            <w:top w:val="single" w:sz="2" w:space="0" w:color="E3E3E3"/>
            <w:left w:val="single" w:sz="2" w:space="5" w:color="E3E3E3"/>
            <w:bottom w:val="single" w:sz="2" w:space="0" w:color="E3E3E3"/>
            <w:right w:val="single" w:sz="2" w:space="0" w:color="E3E3E3"/>
          </w:divBdr>
        </w:div>
        <w:div w:id="347412185">
          <w:marLeft w:val="0"/>
          <w:marRight w:val="0"/>
          <w:marTop w:val="0"/>
          <w:marBottom w:val="0"/>
          <w:divBdr>
            <w:top w:val="single" w:sz="2" w:space="0" w:color="E3E3E3"/>
            <w:left w:val="single" w:sz="2" w:space="5" w:color="E3E3E3"/>
            <w:bottom w:val="single" w:sz="2" w:space="0" w:color="E3E3E3"/>
            <w:right w:val="single" w:sz="2" w:space="0" w:color="E3E3E3"/>
          </w:divBdr>
        </w:div>
        <w:div w:id="1255551434">
          <w:marLeft w:val="0"/>
          <w:marRight w:val="0"/>
          <w:marTop w:val="0"/>
          <w:marBottom w:val="0"/>
          <w:divBdr>
            <w:top w:val="single" w:sz="2" w:space="0" w:color="E3E3E3"/>
            <w:left w:val="single" w:sz="2" w:space="5" w:color="E3E3E3"/>
            <w:bottom w:val="single" w:sz="2" w:space="0" w:color="E3E3E3"/>
            <w:right w:val="single" w:sz="2" w:space="0" w:color="E3E3E3"/>
          </w:divBdr>
        </w:div>
        <w:div w:id="658267824">
          <w:marLeft w:val="0"/>
          <w:marRight w:val="0"/>
          <w:marTop w:val="0"/>
          <w:marBottom w:val="0"/>
          <w:divBdr>
            <w:top w:val="single" w:sz="2" w:space="0" w:color="E3E3E3"/>
            <w:left w:val="single" w:sz="2" w:space="5" w:color="E3E3E3"/>
            <w:bottom w:val="single" w:sz="2" w:space="0" w:color="E3E3E3"/>
            <w:right w:val="single" w:sz="2" w:space="0" w:color="E3E3E3"/>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514</Words>
  <Characters>2934</Characters>
  <Application>Microsoft Office Word</Application>
  <DocSecurity>0</DocSecurity>
  <Lines>24</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Manal Talharchet (1917140)</dc:creator>
  <cp:keywords/>
  <dc:description/>
  <cp:lastModifiedBy>Manal Talharchet (1917140)</cp:lastModifiedBy>
  <cp:revision>1</cp:revision>
  <dcterms:created xsi:type="dcterms:W3CDTF">2024-03-27T14:04:00Z</dcterms:created>
  <dcterms:modified xsi:type="dcterms:W3CDTF">2024-03-27T14:23:00Z</dcterms:modified>
</cp:coreProperties>
</file>