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2809F1" w14:textId="77777777" w:rsidR="0077735F" w:rsidRDefault="0077735F">
      <w:r>
        <w:rPr>
          <w:noProof/>
        </w:rPr>
        <w:drawing>
          <wp:anchor distT="0" distB="0" distL="114300" distR="114300" simplePos="0" relativeHeight="251658240" behindDoc="0" locked="0" layoutInCell="1" allowOverlap="1" wp14:anchorId="269B4CE6" wp14:editId="2EE1EA79">
            <wp:simplePos x="0" y="0"/>
            <wp:positionH relativeFrom="column">
              <wp:posOffset>-47625</wp:posOffset>
            </wp:positionH>
            <wp:positionV relativeFrom="paragraph">
              <wp:posOffset>-523875</wp:posOffset>
            </wp:positionV>
            <wp:extent cx="2200910" cy="743585"/>
            <wp:effectExtent l="0" t="0" r="8890" b="0"/>
            <wp:wrapNone/>
            <wp:docPr id="686736830"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736830" name="Picture 1" descr="A black text on a white background&#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00910" cy="743585"/>
                    </a:xfrm>
                    <a:prstGeom prst="rect">
                      <a:avLst/>
                    </a:prstGeom>
                    <a:noFill/>
                  </pic:spPr>
                </pic:pic>
              </a:graphicData>
            </a:graphic>
          </wp:anchor>
        </w:drawing>
      </w:r>
    </w:p>
    <w:p w14:paraId="76122EAD" w14:textId="77777777" w:rsidR="0077735F" w:rsidRDefault="0077735F" w:rsidP="0077735F">
      <w:pPr>
        <w:suppressAutoHyphens/>
        <w:spacing w:before="120" w:after="120" w:line="360" w:lineRule="auto"/>
        <w:jc w:val="both"/>
        <w:rPr>
          <w:rFonts w:ascii="Segoe UI" w:hAnsi="Segoe UI" w:cs="Segoe UI"/>
          <w:b/>
          <w:bCs/>
          <w:color w:val="212529"/>
          <w:sz w:val="28"/>
          <w:szCs w:val="28"/>
        </w:rPr>
      </w:pPr>
      <w:r w:rsidRPr="006A2CD8">
        <w:rPr>
          <w:rFonts w:ascii="Segoe UI" w:hAnsi="Segoe UI" w:cs="Segoe UI"/>
          <w:b/>
          <w:bCs/>
          <w:color w:val="212529"/>
          <w:sz w:val="28"/>
          <w:szCs w:val="28"/>
        </w:rPr>
        <w:t>Doctorate in Professional Practice</w:t>
      </w:r>
    </w:p>
    <w:tbl>
      <w:tblPr>
        <w:tblStyle w:val="TableGrid"/>
        <w:tblpPr w:leftFromText="180" w:rightFromText="180" w:vertAnchor="text" w:horzAnchor="margin" w:tblpY="9"/>
        <w:tblW w:w="9360" w:type="dxa"/>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3392"/>
        <w:gridCol w:w="5968"/>
      </w:tblGrid>
      <w:tr w:rsidR="0077735F" w:rsidRPr="006A2CD8" w14:paraId="7E981450" w14:textId="77777777" w:rsidTr="0077735F">
        <w:trPr>
          <w:trHeight w:val="300"/>
        </w:trPr>
        <w:tc>
          <w:tcPr>
            <w:tcW w:w="3392"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329591AB" w14:textId="77777777" w:rsidR="0077735F" w:rsidRPr="006A2CD8" w:rsidRDefault="0077735F" w:rsidP="0077735F">
            <w:pPr>
              <w:suppressAutoHyphens/>
              <w:spacing w:before="120" w:after="120" w:line="360" w:lineRule="auto"/>
              <w:rPr>
                <w:rFonts w:asciiTheme="minorHAnsi" w:eastAsia="Tahoma" w:hAnsiTheme="minorHAnsi" w:cstheme="minorHAnsi"/>
                <w:color w:val="000000"/>
                <w:sz w:val="28"/>
                <w:szCs w:val="28"/>
                <w:lang w:eastAsia="ar-SA"/>
              </w:rPr>
            </w:pPr>
            <w:r w:rsidRPr="006A2CD8">
              <w:rPr>
                <w:rFonts w:asciiTheme="minorHAnsi" w:eastAsia="Tahoma" w:hAnsiTheme="minorHAnsi" w:cstheme="minorHAnsi"/>
                <w:color w:val="000000"/>
                <w:sz w:val="28"/>
                <w:szCs w:val="28"/>
                <w:lang w:eastAsia="ar-SA"/>
              </w:rPr>
              <w:t>Student Name:</w:t>
            </w:r>
          </w:p>
        </w:tc>
        <w:tc>
          <w:tcPr>
            <w:tcW w:w="596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2F021979" w14:textId="77777777" w:rsidR="0077735F" w:rsidRPr="006A2CD8" w:rsidRDefault="0077735F" w:rsidP="0077735F">
            <w:pPr>
              <w:suppressAutoHyphens/>
              <w:spacing w:before="120" w:after="120" w:line="360" w:lineRule="auto"/>
              <w:rPr>
                <w:rFonts w:asciiTheme="minorHAnsi" w:eastAsia="Arial" w:hAnsiTheme="minorHAnsi" w:cstheme="minorHAnsi"/>
                <w:b/>
                <w:bCs/>
                <w:color w:val="000000"/>
                <w:sz w:val="28"/>
                <w:szCs w:val="28"/>
                <w:lang w:eastAsia="ar-SA"/>
              </w:rPr>
            </w:pPr>
            <w:r w:rsidRPr="006A2CD8">
              <w:rPr>
                <w:rFonts w:asciiTheme="minorHAnsi" w:eastAsia="Arial" w:hAnsiTheme="minorHAnsi" w:cstheme="minorHAnsi"/>
                <w:b/>
                <w:bCs/>
                <w:color w:val="000000"/>
                <w:sz w:val="28"/>
                <w:szCs w:val="28"/>
                <w:lang w:eastAsia="ar-SA"/>
              </w:rPr>
              <w:t>Karine Williams</w:t>
            </w:r>
          </w:p>
        </w:tc>
      </w:tr>
      <w:tr w:rsidR="0077735F" w:rsidRPr="006A2CD8" w14:paraId="1F6E88FD" w14:textId="77777777" w:rsidTr="0077735F">
        <w:trPr>
          <w:trHeight w:val="300"/>
        </w:trPr>
        <w:tc>
          <w:tcPr>
            <w:tcW w:w="3392"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2B504DB4" w14:textId="77777777" w:rsidR="0077735F" w:rsidRPr="006A2CD8" w:rsidRDefault="0077735F" w:rsidP="0077735F">
            <w:pPr>
              <w:suppressAutoHyphens/>
              <w:spacing w:before="120" w:after="120" w:line="360" w:lineRule="auto"/>
              <w:rPr>
                <w:rFonts w:asciiTheme="minorHAnsi" w:eastAsia="Tahoma" w:hAnsiTheme="minorHAnsi" w:cstheme="minorHAnsi"/>
                <w:color w:val="000000"/>
                <w:sz w:val="28"/>
                <w:szCs w:val="28"/>
                <w:lang w:eastAsia="ar-SA"/>
              </w:rPr>
            </w:pPr>
            <w:r w:rsidRPr="006A2CD8">
              <w:rPr>
                <w:rFonts w:asciiTheme="minorHAnsi" w:eastAsia="Tahoma" w:hAnsiTheme="minorHAnsi" w:cstheme="minorHAnsi"/>
                <w:color w:val="000000"/>
                <w:sz w:val="28"/>
                <w:szCs w:val="28"/>
                <w:lang w:eastAsia="ar-SA"/>
              </w:rPr>
              <w:t>Student Number:</w:t>
            </w:r>
          </w:p>
        </w:tc>
        <w:tc>
          <w:tcPr>
            <w:tcW w:w="596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42C1C9FB" w14:textId="77777777" w:rsidR="0077735F" w:rsidRPr="006A2CD8" w:rsidRDefault="0077735F" w:rsidP="0077735F">
            <w:pPr>
              <w:suppressAutoHyphens/>
              <w:spacing w:before="120" w:after="120" w:line="360" w:lineRule="auto"/>
              <w:rPr>
                <w:rFonts w:asciiTheme="minorHAnsi" w:eastAsia="Arial" w:hAnsiTheme="minorHAnsi" w:cstheme="minorHAnsi"/>
                <w:b/>
                <w:bCs/>
                <w:color w:val="000000"/>
                <w:sz w:val="28"/>
                <w:szCs w:val="28"/>
                <w:lang w:eastAsia="ar-SA"/>
              </w:rPr>
            </w:pPr>
            <w:r w:rsidRPr="006A2CD8">
              <w:rPr>
                <w:rFonts w:asciiTheme="minorHAnsi" w:eastAsia="Arial" w:hAnsiTheme="minorHAnsi" w:cstheme="minorHAnsi"/>
                <w:b/>
                <w:bCs/>
                <w:color w:val="000000"/>
                <w:sz w:val="28"/>
                <w:szCs w:val="28"/>
                <w:lang w:eastAsia="ar-SA"/>
              </w:rPr>
              <w:t>2424373</w:t>
            </w:r>
          </w:p>
        </w:tc>
      </w:tr>
      <w:tr w:rsidR="0077735F" w:rsidRPr="006A2CD8" w14:paraId="7FBE8AF1" w14:textId="77777777" w:rsidTr="0077735F">
        <w:trPr>
          <w:trHeight w:val="300"/>
        </w:trPr>
        <w:tc>
          <w:tcPr>
            <w:tcW w:w="3392"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6E8A0D7A" w14:textId="77777777" w:rsidR="0077735F" w:rsidRPr="006A2CD8" w:rsidRDefault="0077735F" w:rsidP="0077735F">
            <w:pPr>
              <w:suppressAutoHyphens/>
              <w:spacing w:before="120" w:after="120" w:line="360" w:lineRule="auto"/>
              <w:rPr>
                <w:rFonts w:asciiTheme="minorHAnsi" w:eastAsia="Tahoma" w:hAnsiTheme="minorHAnsi" w:cstheme="minorHAnsi"/>
                <w:color w:val="000000"/>
                <w:sz w:val="28"/>
                <w:szCs w:val="28"/>
                <w:lang w:eastAsia="ar-SA"/>
              </w:rPr>
            </w:pPr>
            <w:r w:rsidRPr="006A2CD8">
              <w:rPr>
                <w:rFonts w:asciiTheme="minorHAnsi" w:eastAsia="Tahoma" w:hAnsiTheme="minorHAnsi" w:cstheme="minorHAnsi"/>
                <w:color w:val="000000"/>
                <w:sz w:val="28"/>
                <w:szCs w:val="28"/>
                <w:lang w:eastAsia="ar-SA"/>
              </w:rPr>
              <w:t>Module No:</w:t>
            </w:r>
          </w:p>
        </w:tc>
        <w:tc>
          <w:tcPr>
            <w:tcW w:w="596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4133EAAB" w14:textId="77777777" w:rsidR="0077735F" w:rsidRPr="006A2CD8" w:rsidRDefault="0077735F" w:rsidP="0077735F">
            <w:pPr>
              <w:suppressAutoHyphens/>
              <w:spacing w:before="120" w:after="120" w:line="360" w:lineRule="auto"/>
              <w:rPr>
                <w:rFonts w:asciiTheme="minorHAnsi" w:eastAsia="Tahoma" w:hAnsiTheme="minorHAnsi" w:cstheme="minorHAnsi"/>
                <w:b/>
                <w:bCs/>
                <w:color w:val="000000" w:themeColor="text1"/>
                <w:sz w:val="28"/>
                <w:szCs w:val="28"/>
                <w:lang w:eastAsia="ar-SA"/>
              </w:rPr>
            </w:pPr>
            <w:proofErr w:type="spellStart"/>
            <w:r w:rsidRPr="006A2CD8">
              <w:rPr>
                <w:rFonts w:asciiTheme="minorHAnsi" w:eastAsia="Tahoma" w:hAnsiTheme="minorHAnsi" w:cstheme="minorHAnsi"/>
                <w:b/>
                <w:bCs/>
                <w:color w:val="000000" w:themeColor="text1"/>
                <w:sz w:val="28"/>
                <w:szCs w:val="28"/>
                <w:lang w:eastAsia="ar-SA"/>
              </w:rPr>
              <w:t>BMDP</w:t>
            </w:r>
            <w:proofErr w:type="spellEnd"/>
            <w:r w:rsidRPr="006A2CD8">
              <w:rPr>
                <w:rFonts w:asciiTheme="minorHAnsi" w:eastAsia="Tahoma" w:hAnsiTheme="minorHAnsi" w:cstheme="minorHAnsi"/>
                <w:b/>
                <w:bCs/>
                <w:color w:val="000000" w:themeColor="text1"/>
                <w:sz w:val="28"/>
                <w:szCs w:val="28"/>
                <w:lang w:eastAsia="ar-SA"/>
              </w:rPr>
              <w:t xml:space="preserve"> 7000</w:t>
            </w:r>
          </w:p>
        </w:tc>
      </w:tr>
      <w:tr w:rsidR="0077735F" w:rsidRPr="006A2CD8" w14:paraId="6D243FB2" w14:textId="77777777" w:rsidTr="0077735F">
        <w:trPr>
          <w:trHeight w:val="300"/>
        </w:trPr>
        <w:tc>
          <w:tcPr>
            <w:tcW w:w="3392"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4BE5442C" w14:textId="77777777" w:rsidR="0077735F" w:rsidRPr="006A2CD8" w:rsidRDefault="0077735F" w:rsidP="0077735F">
            <w:pPr>
              <w:suppressAutoHyphens/>
              <w:spacing w:before="120" w:after="120" w:line="360" w:lineRule="auto"/>
              <w:rPr>
                <w:rFonts w:asciiTheme="minorHAnsi" w:eastAsia="Tahoma" w:hAnsiTheme="minorHAnsi" w:cstheme="minorHAnsi"/>
                <w:color w:val="000000"/>
                <w:sz w:val="28"/>
                <w:szCs w:val="28"/>
                <w:lang w:eastAsia="ar-SA"/>
              </w:rPr>
            </w:pPr>
            <w:r w:rsidRPr="006A2CD8">
              <w:rPr>
                <w:rFonts w:asciiTheme="minorHAnsi" w:eastAsia="Tahoma" w:hAnsiTheme="minorHAnsi" w:cstheme="minorHAnsi"/>
                <w:color w:val="000000"/>
                <w:sz w:val="28"/>
                <w:szCs w:val="28"/>
                <w:lang w:eastAsia="ar-SA"/>
              </w:rPr>
              <w:t>Module Title:</w:t>
            </w:r>
          </w:p>
        </w:tc>
        <w:tc>
          <w:tcPr>
            <w:tcW w:w="596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3575394E" w14:textId="77777777" w:rsidR="0077735F" w:rsidRPr="006A2CD8" w:rsidRDefault="0077735F" w:rsidP="0077735F">
            <w:pPr>
              <w:suppressAutoHyphens/>
              <w:spacing w:before="120" w:after="120" w:line="360" w:lineRule="auto"/>
              <w:rPr>
                <w:rFonts w:asciiTheme="minorHAnsi" w:eastAsia="Tahoma" w:hAnsiTheme="minorHAnsi" w:cstheme="minorHAnsi"/>
                <w:b/>
                <w:bCs/>
                <w:color w:val="000000" w:themeColor="text1"/>
                <w:sz w:val="28"/>
                <w:szCs w:val="28"/>
                <w:lang w:eastAsia="ar-SA"/>
              </w:rPr>
            </w:pPr>
            <w:r w:rsidRPr="006A2CD8">
              <w:rPr>
                <w:rFonts w:asciiTheme="minorHAnsi" w:eastAsia="Tahoma" w:hAnsiTheme="minorHAnsi" w:cstheme="minorHAnsi"/>
                <w:b/>
                <w:bCs/>
                <w:color w:val="000000" w:themeColor="text1"/>
                <w:sz w:val="28"/>
                <w:szCs w:val="28"/>
                <w:lang w:eastAsia="ar-SA"/>
              </w:rPr>
              <w:t>Approaches to Research and Academic Communication</w:t>
            </w:r>
          </w:p>
        </w:tc>
      </w:tr>
    </w:tbl>
    <w:p w14:paraId="22AC921E" w14:textId="77777777" w:rsidR="0077735F" w:rsidRDefault="0077735F" w:rsidP="0077735F">
      <w:pPr>
        <w:suppressAutoHyphens/>
        <w:spacing w:before="120" w:after="120" w:line="360" w:lineRule="auto"/>
        <w:jc w:val="both"/>
        <w:rPr>
          <w:rFonts w:ascii="Calibri" w:eastAsia="Calibri" w:hAnsi="Calibri" w:cs="Calibri"/>
          <w:b/>
          <w:bCs/>
          <w:color w:val="FF0000"/>
          <w:kern w:val="0"/>
          <w:sz w:val="36"/>
          <w:szCs w:val="36"/>
          <w:lang w:eastAsia="ar-SA"/>
          <w14:ligatures w14:val="none"/>
        </w:rPr>
      </w:pPr>
    </w:p>
    <w:p w14:paraId="516E4584" w14:textId="77777777" w:rsidR="0077735F" w:rsidRPr="00521393" w:rsidRDefault="0077735F" w:rsidP="0077735F">
      <w:pPr>
        <w:suppressAutoHyphens/>
        <w:spacing w:before="120" w:after="120" w:line="360" w:lineRule="auto"/>
        <w:jc w:val="both"/>
        <w:rPr>
          <w:rFonts w:eastAsia="Tahoma" w:cstheme="minorHAnsi"/>
          <w:color w:val="000000" w:themeColor="text1"/>
          <w:kern w:val="0"/>
          <w:lang w:eastAsia="ar-SA"/>
          <w14:ligatures w14:val="none"/>
        </w:rPr>
      </w:pPr>
      <w:r w:rsidRPr="00521393">
        <w:rPr>
          <w:rFonts w:eastAsia="Tahoma" w:cstheme="minorHAnsi"/>
          <w:b/>
          <w:bCs/>
          <w:color w:val="000000" w:themeColor="text1"/>
          <w:kern w:val="0"/>
          <w:lang w:eastAsia="ar-SA"/>
          <w14:ligatures w14:val="none"/>
        </w:rPr>
        <w:t>Statement of Confirmation of Authenticity</w:t>
      </w:r>
    </w:p>
    <w:p w14:paraId="0E6DB0C6" w14:textId="77777777" w:rsidR="0077735F" w:rsidRPr="00521393" w:rsidRDefault="0077735F" w:rsidP="0077735F">
      <w:pPr>
        <w:suppressAutoHyphens/>
        <w:spacing w:before="120" w:after="120" w:line="240" w:lineRule="auto"/>
        <w:jc w:val="both"/>
        <w:rPr>
          <w:rFonts w:eastAsia="Tahoma" w:cstheme="minorHAnsi"/>
          <w:color w:val="000000" w:themeColor="text1"/>
          <w:kern w:val="0"/>
          <w:sz w:val="22"/>
          <w:szCs w:val="22"/>
          <w:lang w:eastAsia="ar-SA"/>
          <w14:ligatures w14:val="none"/>
        </w:rPr>
      </w:pPr>
      <w:r w:rsidRPr="00521393">
        <w:rPr>
          <w:rFonts w:eastAsia="Tahoma" w:cstheme="minorHAnsi"/>
          <w:color w:val="000000" w:themeColor="text1"/>
          <w:kern w:val="0"/>
          <w:sz w:val="22"/>
          <w:szCs w:val="22"/>
          <w:lang w:eastAsia="ar-SA"/>
          <w14:ligatures w14:val="none"/>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1234AE9" w14:textId="77777777" w:rsidR="0077735F" w:rsidRDefault="0077735F" w:rsidP="0077735F">
      <w:pPr>
        <w:spacing w:line="240" w:lineRule="auto"/>
        <w:rPr>
          <w:rFonts w:eastAsia="Calibri" w:cstheme="minorHAnsi"/>
          <w:color w:val="000000"/>
          <w:kern w:val="0"/>
          <w:szCs w:val="22"/>
          <w:lang w:eastAsia="ar-SA"/>
          <w14:ligatures w14:val="none"/>
        </w:rPr>
      </w:pPr>
      <w:r w:rsidRPr="00521393">
        <w:rPr>
          <w:rFonts w:eastAsia="Tahoma" w:cstheme="minorHAnsi"/>
          <w:color w:val="000000" w:themeColor="text1"/>
          <w:kern w:val="0"/>
          <w:sz w:val="22"/>
          <w:szCs w:val="22"/>
          <w:lang w:eastAsia="ar-SA"/>
          <w14:ligatures w14:val="none"/>
        </w:rPr>
        <w:t>Attention is drawn to the plagiarism and unfair practice policies of both the University and of ILM.</w:t>
      </w:r>
    </w:p>
    <w:p w14:paraId="61FDA236" w14:textId="77777777" w:rsidR="0077735F" w:rsidRPr="00521393" w:rsidRDefault="0077735F" w:rsidP="0077735F">
      <w:pPr>
        <w:rPr>
          <w:rFonts w:eastAsia="Calibri" w:cstheme="minorHAnsi"/>
          <w:color w:val="000000"/>
          <w:kern w:val="0"/>
          <w:szCs w:val="22"/>
          <w:lang w:eastAsia="ar-SA"/>
          <w14:ligatures w14:val="none"/>
        </w:rPr>
      </w:pPr>
      <w:r w:rsidRPr="00521393">
        <w:rPr>
          <w:rFonts w:eastAsia="Calibri" w:cstheme="minorHAnsi"/>
          <w:color w:val="000000"/>
          <w:kern w:val="0"/>
          <w:sz w:val="22"/>
          <w:szCs w:val="22"/>
          <w:lang w:eastAsia="ar-SA"/>
          <w14:ligatures w14:val="none"/>
        </w:rPr>
        <w:t>I acknowledge the use of Grammarly (https://www.grammarly.com/) on 1</w:t>
      </w:r>
      <w:r>
        <w:rPr>
          <w:rFonts w:eastAsia="Calibri" w:cstheme="minorHAnsi"/>
          <w:color w:val="000000"/>
          <w:kern w:val="0"/>
          <w:sz w:val="22"/>
          <w:szCs w:val="22"/>
          <w:lang w:eastAsia="ar-SA"/>
          <w14:ligatures w14:val="none"/>
        </w:rPr>
        <w:t>6</w:t>
      </w:r>
      <w:r w:rsidRPr="00521393">
        <w:rPr>
          <w:rFonts w:eastAsia="Calibri" w:cstheme="minorHAnsi"/>
          <w:color w:val="000000"/>
          <w:kern w:val="0"/>
          <w:sz w:val="22"/>
          <w:szCs w:val="22"/>
          <w:lang w:eastAsia="ar-SA"/>
          <w14:ligatures w14:val="none"/>
        </w:rPr>
        <w:t xml:space="preserve"> February 202</w:t>
      </w:r>
      <w:r>
        <w:rPr>
          <w:rFonts w:eastAsia="Calibri" w:cstheme="minorHAnsi"/>
          <w:color w:val="000000"/>
          <w:kern w:val="0"/>
          <w:sz w:val="22"/>
          <w:szCs w:val="22"/>
          <w:lang w:eastAsia="ar-SA"/>
          <w14:ligatures w14:val="none"/>
        </w:rPr>
        <w:t>5</w:t>
      </w:r>
      <w:r w:rsidRPr="00521393">
        <w:rPr>
          <w:rFonts w:eastAsia="Calibri" w:cstheme="minorHAnsi"/>
          <w:color w:val="000000"/>
          <w:kern w:val="0"/>
          <w:sz w:val="22"/>
          <w:szCs w:val="22"/>
          <w:lang w:eastAsia="ar-SA"/>
          <w14:ligatures w14:val="none"/>
        </w:rPr>
        <w:t xml:space="preserve"> to check my work using the prompt(s): 1. Please check the following text for readability, grammar and syntax. I confirm that I have not presented any AI generated text as my own work. I confirm I have copies of my drafts, notes, and other resources I used before, and after the use of AI tools which I may be asked to provide in evidence</w:t>
      </w:r>
    </w:p>
    <w:p w14:paraId="5A44DC17" w14:textId="3C47F2B6" w:rsidR="0077735F" w:rsidRDefault="0077735F" w:rsidP="0077735F">
      <w:pPr>
        <w:rPr>
          <w:rFonts w:eastAsia="Calibri" w:cstheme="minorHAnsi"/>
          <w:color w:val="000000"/>
          <w:kern w:val="0"/>
          <w:sz w:val="22"/>
          <w:szCs w:val="22"/>
          <w:lang w:eastAsia="ar-SA"/>
          <w14:ligatures w14:val="none"/>
        </w:rPr>
      </w:pPr>
      <w:r w:rsidRPr="00521393">
        <w:rPr>
          <w:rFonts w:eastAsia="Calibri" w:cstheme="minorHAnsi"/>
          <w:color w:val="000000"/>
          <w:kern w:val="0"/>
          <w:sz w:val="22"/>
          <w:szCs w:val="22"/>
          <w:lang w:eastAsia="ar-SA"/>
          <w14:ligatures w14:val="none"/>
        </w:rPr>
        <w:t xml:space="preserve">I acknowledge the use of ChatGPT (https://chatgpt.com/) </w:t>
      </w:r>
      <w:r>
        <w:rPr>
          <w:rFonts w:eastAsia="Calibri" w:cstheme="minorHAnsi"/>
          <w:color w:val="000000"/>
          <w:kern w:val="0"/>
          <w:sz w:val="22"/>
          <w:szCs w:val="22"/>
          <w:lang w:eastAsia="ar-SA"/>
          <w14:ligatures w14:val="none"/>
        </w:rPr>
        <w:t>between 6</w:t>
      </w:r>
      <w:r w:rsidRPr="00521393">
        <w:rPr>
          <w:rFonts w:eastAsia="Calibri" w:cstheme="minorHAnsi"/>
          <w:color w:val="000000"/>
          <w:kern w:val="0"/>
          <w:sz w:val="22"/>
          <w:szCs w:val="22"/>
          <w:vertAlign w:val="superscript"/>
          <w:lang w:eastAsia="ar-SA"/>
          <w14:ligatures w14:val="none"/>
        </w:rPr>
        <w:t>th</w:t>
      </w:r>
      <w:r>
        <w:rPr>
          <w:rFonts w:eastAsia="Calibri" w:cstheme="minorHAnsi"/>
          <w:color w:val="000000"/>
          <w:kern w:val="0"/>
          <w:sz w:val="22"/>
          <w:szCs w:val="22"/>
          <w:lang w:eastAsia="ar-SA"/>
          <w14:ligatures w14:val="none"/>
        </w:rPr>
        <w:t xml:space="preserve"> December 2025 – 10</w:t>
      </w:r>
      <w:r w:rsidRPr="00521393">
        <w:rPr>
          <w:rFonts w:eastAsia="Calibri" w:cstheme="minorHAnsi"/>
          <w:color w:val="000000"/>
          <w:kern w:val="0"/>
          <w:sz w:val="22"/>
          <w:szCs w:val="22"/>
          <w:vertAlign w:val="superscript"/>
          <w:lang w:eastAsia="ar-SA"/>
          <w14:ligatures w14:val="none"/>
        </w:rPr>
        <w:t>th</w:t>
      </w:r>
      <w:r>
        <w:rPr>
          <w:rFonts w:eastAsia="Calibri" w:cstheme="minorHAnsi"/>
          <w:color w:val="000000"/>
          <w:kern w:val="0"/>
          <w:sz w:val="22"/>
          <w:szCs w:val="22"/>
          <w:lang w:eastAsia="ar-SA"/>
          <w14:ligatures w14:val="none"/>
        </w:rPr>
        <w:t xml:space="preserve"> February</w:t>
      </w:r>
      <w:r w:rsidRPr="00521393">
        <w:rPr>
          <w:rFonts w:eastAsia="Calibri" w:cstheme="minorHAnsi"/>
          <w:color w:val="000000"/>
          <w:kern w:val="0"/>
          <w:sz w:val="22"/>
          <w:szCs w:val="22"/>
          <w:lang w:eastAsia="ar-SA"/>
          <w14:ligatures w14:val="none"/>
        </w:rPr>
        <w:t xml:space="preserve"> 202</w:t>
      </w:r>
      <w:r>
        <w:rPr>
          <w:rFonts w:eastAsia="Calibri" w:cstheme="minorHAnsi"/>
          <w:color w:val="000000"/>
          <w:kern w:val="0"/>
          <w:sz w:val="22"/>
          <w:szCs w:val="22"/>
          <w:lang w:eastAsia="ar-SA"/>
          <w14:ligatures w14:val="none"/>
        </w:rPr>
        <w:t>5</w:t>
      </w:r>
      <w:r w:rsidRPr="00521393">
        <w:rPr>
          <w:rFonts w:eastAsia="Calibri" w:cstheme="minorHAnsi"/>
          <w:color w:val="000000"/>
          <w:kern w:val="0"/>
          <w:sz w:val="22"/>
          <w:szCs w:val="22"/>
          <w:lang w:eastAsia="ar-SA"/>
          <w14:ligatures w14:val="none"/>
        </w:rPr>
        <w:t xml:space="preserve"> to</w:t>
      </w:r>
      <w:r>
        <w:rPr>
          <w:rFonts w:eastAsia="Calibri" w:cstheme="minorHAnsi"/>
          <w:color w:val="000000"/>
          <w:kern w:val="0"/>
          <w:sz w:val="22"/>
          <w:szCs w:val="22"/>
          <w:lang w:eastAsia="ar-SA"/>
          <w14:ligatures w14:val="none"/>
        </w:rPr>
        <w:t xml:space="preserve"> search for seminal work on the </w:t>
      </w:r>
      <w:r w:rsidRPr="00521393">
        <w:rPr>
          <w:rFonts w:eastAsia="Calibri" w:cstheme="minorHAnsi"/>
          <w:b/>
          <w:bCs/>
          <w:color w:val="000000"/>
          <w:kern w:val="0"/>
          <w:sz w:val="22"/>
          <w:szCs w:val="22"/>
          <w:lang w:eastAsia="ar-SA"/>
          <w14:ligatures w14:val="none"/>
        </w:rPr>
        <w:t>socioeconomic relevance of access to, and successful outcomes in respect of UK HE institutions.</w:t>
      </w:r>
      <w:r>
        <w:rPr>
          <w:rFonts w:eastAsia="Calibri" w:cstheme="minorHAnsi"/>
          <w:color w:val="000000"/>
          <w:kern w:val="0"/>
          <w:sz w:val="22"/>
          <w:szCs w:val="22"/>
          <w:lang w:eastAsia="ar-SA"/>
          <w14:ligatures w14:val="none"/>
        </w:rPr>
        <w:t xml:space="preserve"> A range of time scales (</w:t>
      </w:r>
      <w:r w:rsidR="00C67E35">
        <w:rPr>
          <w:rFonts w:eastAsia="Calibri" w:cstheme="minorHAnsi"/>
          <w:color w:val="000000"/>
          <w:kern w:val="0"/>
          <w:sz w:val="22"/>
          <w:szCs w:val="22"/>
          <w:lang w:eastAsia="ar-SA"/>
          <w14:ligatures w14:val="none"/>
        </w:rPr>
        <w:t>e.g.</w:t>
      </w:r>
      <w:r>
        <w:rPr>
          <w:rFonts w:eastAsia="Calibri" w:cstheme="minorHAnsi"/>
          <w:color w:val="000000"/>
          <w:kern w:val="0"/>
          <w:sz w:val="22"/>
          <w:szCs w:val="22"/>
          <w:lang w:eastAsia="ar-SA"/>
          <w14:ligatures w14:val="none"/>
        </w:rPr>
        <w:t xml:space="preserve"> ‘from the last 5 years’) were used to obtain contemporary research literature. A range of prompts were used to summarise the relevant papers on which to deduce appropriate themes on which the author could make subsequent comparisons of literature.</w:t>
      </w:r>
    </w:p>
    <w:p w14:paraId="1EBC3C78" w14:textId="63C542EC" w:rsidR="0077735F" w:rsidRPr="00521393" w:rsidRDefault="0077735F" w:rsidP="0077735F">
      <w:pPr>
        <w:rPr>
          <w:rFonts w:eastAsia="Calibri" w:cstheme="minorHAnsi"/>
          <w:color w:val="000000"/>
          <w:kern w:val="0"/>
          <w:sz w:val="22"/>
          <w:szCs w:val="22"/>
          <w:lang w:eastAsia="ar-SA"/>
          <w14:ligatures w14:val="none"/>
        </w:rPr>
      </w:pPr>
      <w:r w:rsidRPr="00521393">
        <w:rPr>
          <w:rFonts w:eastAsia="Calibri" w:cstheme="minorHAnsi"/>
          <w:color w:val="000000"/>
          <w:kern w:val="0"/>
          <w:sz w:val="22"/>
          <w:szCs w:val="22"/>
          <w:lang w:eastAsia="ar-SA"/>
          <w14:ligatures w14:val="none"/>
        </w:rPr>
        <w:t xml:space="preserve">I confirm that I have not presented any </w:t>
      </w:r>
      <w:r w:rsidR="00C67E35">
        <w:rPr>
          <w:rFonts w:eastAsia="Calibri" w:cstheme="minorHAnsi"/>
          <w:color w:val="000000"/>
          <w:kern w:val="0"/>
          <w:sz w:val="22"/>
          <w:szCs w:val="22"/>
          <w:lang w:eastAsia="ar-SA"/>
          <w14:ligatures w14:val="none"/>
        </w:rPr>
        <w:t>AI-generated</w:t>
      </w:r>
      <w:r w:rsidRPr="00521393">
        <w:rPr>
          <w:rFonts w:eastAsia="Calibri" w:cstheme="minorHAnsi"/>
          <w:color w:val="000000"/>
          <w:kern w:val="0"/>
          <w:sz w:val="22"/>
          <w:szCs w:val="22"/>
          <w:lang w:eastAsia="ar-SA"/>
          <w14:ligatures w14:val="none"/>
        </w:rPr>
        <w:t xml:space="preserve"> text as my own work. I confirm I have copies of my drafts, notes, and other resources I used before and after the use of AI tools which I may be asked to provide in evidence</w:t>
      </w:r>
    </w:p>
    <w:p w14:paraId="36688077" w14:textId="77777777" w:rsidR="0077735F" w:rsidRDefault="0077735F" w:rsidP="0077735F">
      <w:pPr>
        <w:rPr>
          <w:rFonts w:ascii="Times New Roman" w:eastAsia="Calibri" w:hAnsi="Times New Roman" w:cs="Times New Roman"/>
          <w:color w:val="000000"/>
          <w:kern w:val="0"/>
          <w:szCs w:val="22"/>
          <w:lang w:eastAsia="ar-SA"/>
          <w14:ligatures w14:val="none"/>
        </w:rPr>
      </w:pPr>
    </w:p>
    <w:p w14:paraId="621529E6" w14:textId="77777777" w:rsidR="0077735F" w:rsidRDefault="0077735F" w:rsidP="0077735F">
      <w:pPr>
        <w:rPr>
          <w:rFonts w:ascii="Times New Roman" w:eastAsia="Calibri" w:hAnsi="Times New Roman" w:cs="Times New Roman"/>
          <w:color w:val="000000"/>
          <w:kern w:val="0"/>
          <w:szCs w:val="22"/>
          <w:lang w:eastAsia="ar-SA"/>
          <w14:ligatures w14:val="none"/>
        </w:rPr>
      </w:pPr>
    </w:p>
    <w:p w14:paraId="60F54022" w14:textId="77777777" w:rsidR="0077735F" w:rsidRDefault="0077735F" w:rsidP="0077735F">
      <w:pPr>
        <w:rPr>
          <w:rFonts w:ascii="Times New Roman" w:eastAsia="Calibri" w:hAnsi="Times New Roman" w:cs="Times New Roman"/>
          <w:color w:val="000000"/>
          <w:kern w:val="0"/>
          <w:szCs w:val="22"/>
          <w:lang w:eastAsia="ar-SA"/>
          <w14:ligatures w14:val="none"/>
        </w:rPr>
      </w:pPr>
    </w:p>
    <w:p w14:paraId="3BAA418D" w14:textId="77777777" w:rsidR="0077735F" w:rsidRPr="001D7135" w:rsidRDefault="00AE3BFD">
      <w:pPr>
        <w:rPr>
          <w:b/>
          <w:bCs/>
        </w:rPr>
      </w:pPr>
      <w:r w:rsidRPr="001D7135">
        <w:rPr>
          <w:b/>
          <w:bCs/>
        </w:rPr>
        <w:t>Title</w:t>
      </w:r>
    </w:p>
    <w:p w14:paraId="0DA198F7" w14:textId="77777777" w:rsidR="00AE3BFD" w:rsidRPr="001D7135" w:rsidRDefault="00AE3BFD" w:rsidP="00AE3BFD">
      <w:pPr>
        <w:rPr>
          <w:b/>
          <w:bCs/>
        </w:rPr>
      </w:pPr>
    </w:p>
    <w:p w14:paraId="0B75EDF0" w14:textId="77777777" w:rsidR="00AE3BFD" w:rsidRPr="001D7135" w:rsidRDefault="00AE3BFD" w:rsidP="00AE3BFD">
      <w:pPr>
        <w:rPr>
          <w:b/>
          <w:bCs/>
        </w:rPr>
      </w:pPr>
      <w:r w:rsidRPr="001D7135">
        <w:rPr>
          <w:b/>
          <w:bCs/>
        </w:rPr>
        <w:t>Abstract</w:t>
      </w:r>
    </w:p>
    <w:p w14:paraId="4635B820" w14:textId="3279CAB6" w:rsidR="0077735F" w:rsidRPr="001D7135" w:rsidRDefault="00AE3BFD" w:rsidP="00AE3BFD">
      <w:r w:rsidRPr="001D7135">
        <w:t xml:space="preserve">This narrative literature review explores [topic] to </w:t>
      </w:r>
      <w:r w:rsidRPr="001D7135">
        <w:rPr>
          <w:color w:val="C00000"/>
        </w:rPr>
        <w:t>synthesise</w:t>
      </w:r>
      <w:r w:rsidRPr="001D7135">
        <w:t xml:space="preserve"> current knowledge, identify trends, and uncover gaps in existing research. Drawing on </w:t>
      </w:r>
      <w:r w:rsidR="00696434">
        <w:t xml:space="preserve">10 </w:t>
      </w:r>
      <w:r w:rsidRPr="001D7135">
        <w:t>studies published between [timeframe] from sources including [databases], it examines key themes such as [Theme 1], [Theme 2], and [Theme 3]. Findings reveal [key discoveries], underscoring both progress and limitations within the field. This review highlights the need for [specific future research or applications] and contributes to advancing understanding in [field]."</w:t>
      </w:r>
    </w:p>
    <w:p w14:paraId="15E57659" w14:textId="77777777" w:rsidR="00AE3BFD" w:rsidRPr="001D7135" w:rsidRDefault="00AE3BFD" w:rsidP="00AE3BFD"/>
    <w:p w14:paraId="1EF9FC31" w14:textId="77777777" w:rsidR="00AE3BFD" w:rsidRPr="001D7135" w:rsidRDefault="00AE3BFD" w:rsidP="00AE3BFD">
      <w:pPr>
        <w:rPr>
          <w:b/>
          <w:bCs/>
        </w:rPr>
      </w:pPr>
      <w:r w:rsidRPr="001D7135">
        <w:rPr>
          <w:b/>
          <w:bCs/>
        </w:rPr>
        <w:t xml:space="preserve">Key terms </w:t>
      </w:r>
    </w:p>
    <w:p w14:paraId="774C9EB1" w14:textId="77777777" w:rsidR="00AE3BFD" w:rsidRPr="001D7135" w:rsidRDefault="00AE3BFD" w:rsidP="00AE3BFD"/>
    <w:p w14:paraId="5170E3A9" w14:textId="77777777" w:rsidR="00AE3BFD" w:rsidRPr="001D7135" w:rsidRDefault="00AE3BFD" w:rsidP="00AE3BFD"/>
    <w:p w14:paraId="72DAB1DE" w14:textId="77777777" w:rsidR="00AE3BFD" w:rsidRPr="001D7135" w:rsidRDefault="00AE3BFD" w:rsidP="00AE3BFD"/>
    <w:p w14:paraId="4AE68BEE" w14:textId="77777777" w:rsidR="00AE3BFD" w:rsidRPr="001D7135" w:rsidRDefault="00AE3BFD" w:rsidP="00AE3BFD"/>
    <w:p w14:paraId="09931416" w14:textId="77777777" w:rsidR="00AE3BFD" w:rsidRPr="001D7135" w:rsidRDefault="00AE3BFD" w:rsidP="00AE3BFD"/>
    <w:p w14:paraId="6A7655AC" w14:textId="77777777" w:rsidR="00AE3BFD" w:rsidRPr="001D7135" w:rsidRDefault="00AE3BFD" w:rsidP="00AE3BFD"/>
    <w:p w14:paraId="58C1A4D7" w14:textId="77777777" w:rsidR="00AE3BFD" w:rsidRPr="001D7135" w:rsidRDefault="00AE3BFD" w:rsidP="00AE3BFD"/>
    <w:p w14:paraId="17DDA187" w14:textId="77777777" w:rsidR="00AE3BFD" w:rsidRPr="001D7135" w:rsidRDefault="00AE3BFD" w:rsidP="00AE3BFD"/>
    <w:p w14:paraId="2C8A6E38" w14:textId="77777777" w:rsidR="00AE3BFD" w:rsidRPr="001D7135" w:rsidRDefault="00AE3BFD" w:rsidP="00AE3BFD"/>
    <w:p w14:paraId="55B31A55" w14:textId="77777777" w:rsidR="00AE3BFD" w:rsidRPr="001D7135" w:rsidRDefault="00AE3BFD" w:rsidP="00AE3BFD"/>
    <w:p w14:paraId="53060D5D" w14:textId="77777777" w:rsidR="00AE3BFD" w:rsidRPr="001D7135" w:rsidRDefault="00AE3BFD" w:rsidP="00AE3BFD"/>
    <w:p w14:paraId="2A3B8480" w14:textId="77777777" w:rsidR="00AE3BFD" w:rsidRPr="001D7135" w:rsidRDefault="00AE3BFD" w:rsidP="00AE3BFD"/>
    <w:p w14:paraId="4856E290" w14:textId="77777777" w:rsidR="00AE3BFD" w:rsidRPr="001D7135" w:rsidRDefault="00AE3BFD" w:rsidP="00AE3BFD"/>
    <w:p w14:paraId="483E93C4" w14:textId="77777777" w:rsidR="00AE3BFD" w:rsidRPr="001D7135" w:rsidRDefault="00AE3BFD" w:rsidP="00AE3BFD"/>
    <w:p w14:paraId="23B79DCC" w14:textId="77777777" w:rsidR="00AE3BFD" w:rsidRPr="001D7135" w:rsidRDefault="00AE3BFD" w:rsidP="00AE3BFD"/>
    <w:p w14:paraId="562D5B8C" w14:textId="77777777" w:rsidR="00AE3BFD" w:rsidRPr="001D7135" w:rsidRDefault="00AE3BFD" w:rsidP="00AE3BFD"/>
    <w:p w14:paraId="251DEBCB" w14:textId="77777777" w:rsidR="00AE3BFD" w:rsidRPr="001D7135" w:rsidRDefault="00AE3BFD" w:rsidP="00AE3BFD"/>
    <w:p w14:paraId="07EB8DBC" w14:textId="77777777" w:rsidR="00AE3BFD" w:rsidRPr="001D7135" w:rsidRDefault="00AE3BFD" w:rsidP="00AE3BFD"/>
    <w:p w14:paraId="72A9279B" w14:textId="77777777" w:rsidR="00AE3BFD" w:rsidRPr="001D7135" w:rsidRDefault="00AE3BFD" w:rsidP="00AE3BFD"/>
    <w:p w14:paraId="5E615BFE" w14:textId="77777777" w:rsidR="00AE3BFD" w:rsidRPr="001D7135" w:rsidRDefault="00AE3BFD" w:rsidP="00AE3BFD"/>
    <w:p w14:paraId="581314AF" w14:textId="77777777" w:rsidR="00AE3BFD" w:rsidRPr="001D7135" w:rsidRDefault="00AE3BFD" w:rsidP="00AE3BFD"/>
    <w:p w14:paraId="6F0D6F9D" w14:textId="77777777" w:rsidR="00AE3BFD" w:rsidRPr="001D7135" w:rsidRDefault="00AE3BFD" w:rsidP="00AE3BFD">
      <w:pPr>
        <w:rPr>
          <w:b/>
          <w:bCs/>
        </w:rPr>
      </w:pPr>
      <w:r w:rsidRPr="001D7135">
        <w:rPr>
          <w:b/>
          <w:bCs/>
        </w:rPr>
        <w:t>Table of Contents</w:t>
      </w:r>
    </w:p>
    <w:p w14:paraId="717FC568" w14:textId="77777777" w:rsidR="00AE3BFD" w:rsidRPr="001D7135" w:rsidRDefault="00AE3BFD" w:rsidP="00AE3BFD">
      <w:pPr>
        <w:rPr>
          <w:b/>
          <w:bCs/>
        </w:rPr>
      </w:pPr>
    </w:p>
    <w:p w14:paraId="4DC50BDC" w14:textId="77777777" w:rsidR="00AE3BFD" w:rsidRPr="001D7135" w:rsidRDefault="00AE3BFD" w:rsidP="00AE3BFD">
      <w:pPr>
        <w:rPr>
          <w:b/>
          <w:bCs/>
        </w:rPr>
      </w:pPr>
    </w:p>
    <w:p w14:paraId="1B64D21D" w14:textId="77777777" w:rsidR="00AE3BFD" w:rsidRPr="001D7135" w:rsidRDefault="00AE3BFD" w:rsidP="00AE3BFD">
      <w:pPr>
        <w:rPr>
          <w:b/>
          <w:bCs/>
        </w:rPr>
      </w:pPr>
    </w:p>
    <w:p w14:paraId="05DD5830" w14:textId="77777777" w:rsidR="00AE3BFD" w:rsidRPr="001D7135" w:rsidRDefault="00AE3BFD" w:rsidP="00AE3BFD">
      <w:pPr>
        <w:rPr>
          <w:b/>
          <w:bCs/>
        </w:rPr>
      </w:pPr>
    </w:p>
    <w:p w14:paraId="178CDF04" w14:textId="77777777" w:rsidR="00AE3BFD" w:rsidRPr="001D7135" w:rsidRDefault="00AE3BFD" w:rsidP="00AE3BFD">
      <w:pPr>
        <w:rPr>
          <w:b/>
          <w:bCs/>
        </w:rPr>
      </w:pPr>
    </w:p>
    <w:p w14:paraId="12544B10" w14:textId="77777777" w:rsidR="00AE3BFD" w:rsidRPr="001D7135" w:rsidRDefault="00AE3BFD" w:rsidP="00AE3BFD">
      <w:pPr>
        <w:rPr>
          <w:b/>
          <w:bCs/>
        </w:rPr>
      </w:pPr>
    </w:p>
    <w:p w14:paraId="46D0578A" w14:textId="77777777" w:rsidR="00AE3BFD" w:rsidRPr="001D7135" w:rsidRDefault="00AE3BFD" w:rsidP="00AE3BFD">
      <w:pPr>
        <w:rPr>
          <w:b/>
          <w:bCs/>
        </w:rPr>
      </w:pPr>
    </w:p>
    <w:p w14:paraId="41BB21D9" w14:textId="77777777" w:rsidR="00AE3BFD" w:rsidRPr="001D7135" w:rsidRDefault="00AE3BFD" w:rsidP="00AE3BFD">
      <w:pPr>
        <w:rPr>
          <w:b/>
          <w:bCs/>
        </w:rPr>
      </w:pPr>
    </w:p>
    <w:p w14:paraId="430E5E12" w14:textId="77777777" w:rsidR="00AE3BFD" w:rsidRPr="001D7135" w:rsidRDefault="00AE3BFD" w:rsidP="00AE3BFD">
      <w:pPr>
        <w:rPr>
          <w:b/>
          <w:bCs/>
        </w:rPr>
      </w:pPr>
    </w:p>
    <w:p w14:paraId="193BA305" w14:textId="77777777" w:rsidR="00AE3BFD" w:rsidRPr="001D7135" w:rsidRDefault="00AE3BFD" w:rsidP="00AE3BFD">
      <w:pPr>
        <w:rPr>
          <w:b/>
          <w:bCs/>
        </w:rPr>
      </w:pPr>
    </w:p>
    <w:p w14:paraId="1FE9BF6D" w14:textId="77777777" w:rsidR="00AE3BFD" w:rsidRPr="001D7135" w:rsidRDefault="00AE3BFD" w:rsidP="00AE3BFD">
      <w:pPr>
        <w:rPr>
          <w:b/>
          <w:bCs/>
        </w:rPr>
      </w:pPr>
    </w:p>
    <w:p w14:paraId="65616C72" w14:textId="77777777" w:rsidR="00AE3BFD" w:rsidRPr="001D7135" w:rsidRDefault="00AE3BFD" w:rsidP="00AE3BFD">
      <w:pPr>
        <w:rPr>
          <w:b/>
          <w:bCs/>
        </w:rPr>
      </w:pPr>
    </w:p>
    <w:p w14:paraId="658A45ED" w14:textId="77777777" w:rsidR="00AE3BFD" w:rsidRPr="001D7135" w:rsidRDefault="00AE3BFD" w:rsidP="00AE3BFD">
      <w:pPr>
        <w:rPr>
          <w:b/>
          <w:bCs/>
        </w:rPr>
      </w:pPr>
    </w:p>
    <w:p w14:paraId="04A98040" w14:textId="77777777" w:rsidR="00AE3BFD" w:rsidRPr="001D7135" w:rsidRDefault="00AE3BFD" w:rsidP="00AE3BFD">
      <w:pPr>
        <w:rPr>
          <w:b/>
          <w:bCs/>
        </w:rPr>
      </w:pPr>
    </w:p>
    <w:p w14:paraId="75A9C0FB" w14:textId="77777777" w:rsidR="00AE3BFD" w:rsidRPr="001D7135" w:rsidRDefault="00AE3BFD" w:rsidP="00AE3BFD">
      <w:pPr>
        <w:rPr>
          <w:b/>
          <w:bCs/>
        </w:rPr>
      </w:pPr>
    </w:p>
    <w:p w14:paraId="0C5D640F" w14:textId="77777777" w:rsidR="00AE3BFD" w:rsidRPr="001D7135" w:rsidRDefault="00AE3BFD" w:rsidP="00AE3BFD">
      <w:pPr>
        <w:rPr>
          <w:b/>
          <w:bCs/>
        </w:rPr>
      </w:pPr>
    </w:p>
    <w:p w14:paraId="75D44520" w14:textId="77777777" w:rsidR="00AE3BFD" w:rsidRPr="001D7135" w:rsidRDefault="00AE3BFD" w:rsidP="00AE3BFD">
      <w:pPr>
        <w:rPr>
          <w:b/>
          <w:bCs/>
        </w:rPr>
      </w:pPr>
    </w:p>
    <w:p w14:paraId="6B6CC6DF" w14:textId="77777777" w:rsidR="00AE3BFD" w:rsidRPr="001D7135" w:rsidRDefault="00AE3BFD" w:rsidP="00AE3BFD">
      <w:pPr>
        <w:rPr>
          <w:b/>
          <w:bCs/>
        </w:rPr>
      </w:pPr>
    </w:p>
    <w:p w14:paraId="471648BB" w14:textId="77777777" w:rsidR="00AE3BFD" w:rsidRPr="001D7135" w:rsidRDefault="00AE3BFD" w:rsidP="00AE3BFD">
      <w:pPr>
        <w:rPr>
          <w:b/>
          <w:bCs/>
        </w:rPr>
      </w:pPr>
    </w:p>
    <w:p w14:paraId="3CF1012E" w14:textId="77777777" w:rsidR="00AE3BFD" w:rsidRPr="001D7135" w:rsidRDefault="00AE3BFD" w:rsidP="00AE3BFD">
      <w:pPr>
        <w:rPr>
          <w:b/>
          <w:bCs/>
        </w:rPr>
      </w:pPr>
    </w:p>
    <w:p w14:paraId="04C713FC" w14:textId="77777777" w:rsidR="00AE3BFD" w:rsidRPr="001D7135" w:rsidRDefault="00AE3BFD" w:rsidP="00AE3BFD">
      <w:pPr>
        <w:rPr>
          <w:b/>
          <w:bCs/>
        </w:rPr>
      </w:pPr>
    </w:p>
    <w:p w14:paraId="64566EF4" w14:textId="77777777" w:rsidR="00AE3BFD" w:rsidRPr="001D7135" w:rsidRDefault="00AE3BFD" w:rsidP="00AE3BFD">
      <w:pPr>
        <w:rPr>
          <w:b/>
          <w:bCs/>
        </w:rPr>
      </w:pPr>
    </w:p>
    <w:p w14:paraId="62EB809F" w14:textId="77777777" w:rsidR="00AE3BFD" w:rsidRPr="001D7135" w:rsidRDefault="00AE3BFD" w:rsidP="00AE3BFD">
      <w:pPr>
        <w:rPr>
          <w:b/>
          <w:bCs/>
        </w:rPr>
      </w:pPr>
    </w:p>
    <w:p w14:paraId="7FB248DF" w14:textId="77777777" w:rsidR="00AE3BFD" w:rsidRPr="001D7135" w:rsidRDefault="00AE3BFD" w:rsidP="00AE3BFD">
      <w:pPr>
        <w:rPr>
          <w:b/>
          <w:bCs/>
        </w:rPr>
      </w:pPr>
    </w:p>
    <w:p w14:paraId="75A28F8A" w14:textId="77777777" w:rsidR="00AE3BFD" w:rsidRPr="001D7135" w:rsidRDefault="00AE3BFD" w:rsidP="00AE3BFD">
      <w:pPr>
        <w:rPr>
          <w:b/>
          <w:bCs/>
        </w:rPr>
      </w:pPr>
    </w:p>
    <w:p w14:paraId="78699D23" w14:textId="77777777" w:rsidR="00AE3BFD" w:rsidRPr="001D7135" w:rsidRDefault="00AE3BFD" w:rsidP="00AE3BFD">
      <w:pPr>
        <w:rPr>
          <w:b/>
          <w:bCs/>
        </w:rPr>
      </w:pPr>
      <w:r w:rsidRPr="001D7135">
        <w:rPr>
          <w:b/>
          <w:bCs/>
        </w:rPr>
        <w:t>Introduction</w:t>
      </w:r>
    </w:p>
    <w:p w14:paraId="06BE393C" w14:textId="77777777" w:rsidR="00AE3BFD" w:rsidRPr="001D7135" w:rsidRDefault="00AE3BFD" w:rsidP="00AE3BFD">
      <w:pPr>
        <w:rPr>
          <w:b/>
          <w:bCs/>
        </w:rPr>
      </w:pPr>
      <w:r w:rsidRPr="001D7135">
        <w:rPr>
          <w:b/>
          <w:bCs/>
        </w:rPr>
        <w:t>Background</w:t>
      </w:r>
    </w:p>
    <w:p w14:paraId="4AA66D77" w14:textId="77777777" w:rsidR="00AE3BFD" w:rsidRPr="001D7135" w:rsidRDefault="00AE3BFD" w:rsidP="00AE3BFD">
      <w:pPr>
        <w:rPr>
          <w:b/>
          <w:bCs/>
          <w:color w:val="7030A0"/>
        </w:rPr>
      </w:pPr>
      <w:r w:rsidRPr="001D7135">
        <w:rPr>
          <w:b/>
          <w:bCs/>
          <w:color w:val="7030A0"/>
        </w:rPr>
        <w:t>The focus of the narrative literature review</w:t>
      </w:r>
    </w:p>
    <w:p w14:paraId="6DC250AF" w14:textId="77777777" w:rsidR="00AE3BFD" w:rsidRDefault="00AE3BFD" w:rsidP="00AE3BFD">
      <w:pPr>
        <w:rPr>
          <w:b/>
          <w:bCs/>
          <w:color w:val="7030A0"/>
        </w:rPr>
      </w:pPr>
      <w:r w:rsidRPr="001D7135">
        <w:rPr>
          <w:b/>
          <w:bCs/>
          <w:color w:val="7030A0"/>
        </w:rPr>
        <w:t>Critically analysis Compare and contrast the content and findings</w:t>
      </w:r>
    </w:p>
    <w:p w14:paraId="3CBCA150" w14:textId="2C4E8BEB" w:rsidR="003821DE" w:rsidRDefault="009712D3" w:rsidP="00AE3BFD">
      <w:pPr>
        <w:rPr>
          <w:color w:val="000000" w:themeColor="text1"/>
        </w:rPr>
      </w:pPr>
      <w:r w:rsidRPr="009712D3">
        <w:rPr>
          <w:color w:val="000000" w:themeColor="text1"/>
        </w:rPr>
        <w:t>Socioeconomic status (SES) significantly influences educational attainment</w:t>
      </w:r>
      <w:r w:rsidR="003821DE">
        <w:rPr>
          <w:color w:val="000000" w:themeColor="text1"/>
        </w:rPr>
        <w:t xml:space="preserve"> in </w:t>
      </w:r>
      <w:r w:rsidR="003821DE" w:rsidRPr="009712D3">
        <w:rPr>
          <w:color w:val="000000" w:themeColor="text1"/>
        </w:rPr>
        <w:t>higher education</w:t>
      </w:r>
      <w:r w:rsidR="003821DE">
        <w:rPr>
          <w:color w:val="000000" w:themeColor="text1"/>
        </w:rPr>
        <w:t xml:space="preserve"> </w:t>
      </w:r>
      <w:r w:rsidR="003821DE" w:rsidRPr="003821DE">
        <w:rPr>
          <w:color w:val="000000" w:themeColor="text1"/>
        </w:rPr>
        <w:t>(</w:t>
      </w:r>
      <w:r w:rsidR="004219B2">
        <w:rPr>
          <w:color w:val="000000" w:themeColor="text1"/>
        </w:rPr>
        <w:t xml:space="preserve">Ander, 2012; </w:t>
      </w:r>
      <w:r w:rsidR="00975114" w:rsidRPr="00975114">
        <w:rPr>
          <w:color w:val="000000" w:themeColor="text1"/>
        </w:rPr>
        <w:t>Crawford, 2014</w:t>
      </w:r>
      <w:r w:rsidR="00975114">
        <w:rPr>
          <w:color w:val="000000" w:themeColor="text1"/>
        </w:rPr>
        <w:t xml:space="preserve">; </w:t>
      </w:r>
      <w:proofErr w:type="spellStart"/>
      <w:r w:rsidR="00975114">
        <w:rPr>
          <w:color w:val="000000" w:themeColor="text1"/>
        </w:rPr>
        <w:t>HESA</w:t>
      </w:r>
      <w:proofErr w:type="spellEnd"/>
      <w:r w:rsidR="00975114">
        <w:rPr>
          <w:color w:val="000000" w:themeColor="text1"/>
        </w:rPr>
        <w:t xml:space="preserve">, 2023; </w:t>
      </w:r>
      <w:r w:rsidR="00975114" w:rsidRPr="003821DE">
        <w:rPr>
          <w:color w:val="000000" w:themeColor="text1"/>
        </w:rPr>
        <w:t>Tomaszewski et al., 2024</w:t>
      </w:r>
      <w:r w:rsidR="003821DE" w:rsidRPr="003821DE">
        <w:rPr>
          <w:color w:val="000000" w:themeColor="text1"/>
        </w:rPr>
        <w:t>)</w:t>
      </w:r>
      <w:r w:rsidR="00D966B4">
        <w:rPr>
          <w:color w:val="000000" w:themeColor="text1"/>
        </w:rPr>
        <w:t>.</w:t>
      </w:r>
    </w:p>
    <w:p w14:paraId="04FEA310" w14:textId="77777777" w:rsidR="00D966B4" w:rsidRDefault="00D966B4" w:rsidP="00D966B4">
      <w:pPr>
        <w:rPr>
          <w:color w:val="000000" w:themeColor="text1"/>
        </w:rPr>
      </w:pPr>
      <w:r w:rsidRPr="00D966B4">
        <w:rPr>
          <w:color w:val="000000" w:themeColor="text1"/>
        </w:rPr>
        <w:t xml:space="preserve">Socioeconomic status (SES) in the UK is assessed by considering a range of interrelated factors that reflect an individual's or group's social and economic standing relative to others. </w:t>
      </w:r>
    </w:p>
    <w:p w14:paraId="46D04336" w14:textId="05718A2C" w:rsidR="00D966B4" w:rsidRPr="00D966B4" w:rsidRDefault="00D966B4" w:rsidP="00C71B3C">
      <w:pPr>
        <w:rPr>
          <w:color w:val="000000" w:themeColor="text1"/>
        </w:rPr>
      </w:pPr>
      <w:r w:rsidRPr="00D966B4">
        <w:rPr>
          <w:color w:val="000000" w:themeColor="text1"/>
        </w:rPr>
        <w:t>Although there is no precise definition, as it alters within different cultures and political systems</w:t>
      </w:r>
      <w:r>
        <w:rPr>
          <w:color w:val="000000" w:themeColor="text1"/>
        </w:rPr>
        <w:t xml:space="preserve"> (</w:t>
      </w:r>
      <w:r w:rsidRPr="00D966B4">
        <w:rPr>
          <w:color w:val="000000" w:themeColor="text1"/>
        </w:rPr>
        <w:t>Bornstein</w:t>
      </w:r>
      <w:r>
        <w:rPr>
          <w:color w:val="000000" w:themeColor="text1"/>
        </w:rPr>
        <w:t xml:space="preserve"> &amp; </w:t>
      </w:r>
      <w:r w:rsidRPr="00D966B4">
        <w:rPr>
          <w:color w:val="000000" w:themeColor="text1"/>
        </w:rPr>
        <w:t>Bradley 2014</w:t>
      </w:r>
      <w:r>
        <w:rPr>
          <w:color w:val="000000" w:themeColor="text1"/>
        </w:rPr>
        <w:t xml:space="preserve">; </w:t>
      </w:r>
      <w:r w:rsidRPr="00D966B4">
        <w:rPr>
          <w:color w:val="000000" w:themeColor="text1"/>
        </w:rPr>
        <w:t>Broer</w:t>
      </w:r>
      <w:r>
        <w:rPr>
          <w:color w:val="000000" w:themeColor="text1"/>
        </w:rPr>
        <w:t xml:space="preserve"> et al., </w:t>
      </w:r>
      <w:r w:rsidRPr="00D966B4">
        <w:rPr>
          <w:color w:val="000000" w:themeColor="text1"/>
        </w:rPr>
        <w:t>2019</w:t>
      </w:r>
      <w:r>
        <w:rPr>
          <w:color w:val="000000" w:themeColor="text1"/>
        </w:rPr>
        <w:t xml:space="preserve">), a consensus </w:t>
      </w:r>
      <w:r w:rsidR="00C71B3C">
        <w:rPr>
          <w:color w:val="000000" w:themeColor="text1"/>
        </w:rPr>
        <w:t>suggests</w:t>
      </w:r>
      <w:r>
        <w:rPr>
          <w:color w:val="000000" w:themeColor="text1"/>
        </w:rPr>
        <w:t xml:space="preserve"> it, </w:t>
      </w:r>
      <w:r w:rsidRPr="00D966B4">
        <w:rPr>
          <w:color w:val="000000" w:themeColor="text1"/>
        </w:rPr>
        <w:t>at a minimum</w:t>
      </w:r>
      <w:r>
        <w:rPr>
          <w:color w:val="000000" w:themeColor="text1"/>
        </w:rPr>
        <w:t>, would include an assessment of</w:t>
      </w:r>
      <w:r w:rsidRPr="00D966B4">
        <w:rPr>
          <w:color w:val="000000" w:themeColor="text1"/>
        </w:rPr>
        <w:t xml:space="preserve"> parental education, family income, and parent's occupation since these three indicators reflect different aspects of family background (Brese &amp; </w:t>
      </w:r>
      <w:proofErr w:type="spellStart"/>
      <w:r w:rsidRPr="00D966B4">
        <w:rPr>
          <w:color w:val="000000" w:themeColor="text1"/>
        </w:rPr>
        <w:t>Mirazchiyski</w:t>
      </w:r>
      <w:proofErr w:type="spellEnd"/>
      <w:r>
        <w:rPr>
          <w:color w:val="000000" w:themeColor="text1"/>
        </w:rPr>
        <w:t>,</w:t>
      </w:r>
      <w:r w:rsidRPr="00D966B4">
        <w:rPr>
          <w:color w:val="000000" w:themeColor="text1"/>
        </w:rPr>
        <w:t xml:space="preserve"> 2013</w:t>
      </w:r>
      <w:r>
        <w:rPr>
          <w:color w:val="000000" w:themeColor="text1"/>
        </w:rPr>
        <w:t xml:space="preserve">; </w:t>
      </w:r>
      <w:r w:rsidRPr="00D966B4">
        <w:rPr>
          <w:color w:val="000000" w:themeColor="text1"/>
        </w:rPr>
        <w:t>APA.</w:t>
      </w:r>
      <w:r w:rsidR="0025453E">
        <w:rPr>
          <w:color w:val="000000" w:themeColor="text1"/>
        </w:rPr>
        <w:t xml:space="preserve">, </w:t>
      </w:r>
      <w:r w:rsidRPr="00D966B4">
        <w:rPr>
          <w:color w:val="000000" w:themeColor="text1"/>
        </w:rPr>
        <w:t>2018</w:t>
      </w:r>
      <w:r w:rsidR="00C71B3C">
        <w:rPr>
          <w:color w:val="000000" w:themeColor="text1"/>
        </w:rPr>
        <w:t xml:space="preserve">; </w:t>
      </w:r>
      <w:r w:rsidR="00C71B3C" w:rsidRPr="00C71B3C">
        <w:rPr>
          <w:color w:val="000000" w:themeColor="text1"/>
        </w:rPr>
        <w:t>Early</w:t>
      </w:r>
      <w:r w:rsidR="00C71B3C">
        <w:rPr>
          <w:color w:val="000000" w:themeColor="text1"/>
        </w:rPr>
        <w:t xml:space="preserve"> et al., </w:t>
      </w:r>
      <w:r w:rsidR="00C71B3C" w:rsidRPr="00C71B3C">
        <w:rPr>
          <w:color w:val="000000" w:themeColor="text1"/>
        </w:rPr>
        <w:t>2019). ‌</w:t>
      </w:r>
    </w:p>
    <w:p w14:paraId="3EAF4935" w14:textId="5C40DCE2" w:rsidR="00D966B4" w:rsidRPr="00D966B4" w:rsidRDefault="00D966B4" w:rsidP="00D966B4">
      <w:pPr>
        <w:rPr>
          <w:color w:val="000000" w:themeColor="text1"/>
        </w:rPr>
      </w:pPr>
      <w:r w:rsidRPr="00D966B4">
        <w:rPr>
          <w:color w:val="000000" w:themeColor="text1"/>
        </w:rPr>
        <w:t xml:space="preserve">Income </w:t>
      </w:r>
      <w:r w:rsidR="00412BD1">
        <w:rPr>
          <w:color w:val="000000" w:themeColor="text1"/>
        </w:rPr>
        <w:t>is considered through</w:t>
      </w:r>
      <w:r w:rsidRPr="00D966B4">
        <w:rPr>
          <w:color w:val="000000" w:themeColor="text1"/>
        </w:rPr>
        <w:t xml:space="preserve"> household earnings and financial stability</w:t>
      </w:r>
      <w:r w:rsidR="00412BD1">
        <w:rPr>
          <w:color w:val="000000" w:themeColor="text1"/>
        </w:rPr>
        <w:t xml:space="preserve"> </w:t>
      </w:r>
      <w:r w:rsidR="00412BD1" w:rsidRPr="00412BD1">
        <w:rPr>
          <w:color w:val="000000" w:themeColor="text1"/>
        </w:rPr>
        <w:t>(Takeuchi et al., 2017)</w:t>
      </w:r>
      <w:r w:rsidR="00412BD1">
        <w:rPr>
          <w:color w:val="000000" w:themeColor="text1"/>
        </w:rPr>
        <w:t xml:space="preserve">, whilst education, </w:t>
      </w:r>
      <w:r w:rsidRPr="00D966B4">
        <w:rPr>
          <w:color w:val="000000" w:themeColor="text1"/>
        </w:rPr>
        <w:t>another key aspect</w:t>
      </w:r>
      <w:r w:rsidR="00412BD1">
        <w:rPr>
          <w:color w:val="000000" w:themeColor="text1"/>
        </w:rPr>
        <w:t xml:space="preserve"> of SES</w:t>
      </w:r>
      <w:r w:rsidRPr="00D966B4">
        <w:rPr>
          <w:color w:val="000000" w:themeColor="text1"/>
        </w:rPr>
        <w:t xml:space="preserve">, </w:t>
      </w:r>
      <w:r w:rsidR="00412BD1">
        <w:rPr>
          <w:color w:val="000000" w:themeColor="text1"/>
        </w:rPr>
        <w:t xml:space="preserve">looks at </w:t>
      </w:r>
      <w:r w:rsidRPr="00D966B4">
        <w:rPr>
          <w:color w:val="000000" w:themeColor="text1"/>
        </w:rPr>
        <w:t>the highest qualifications achieved, such as GCSEs, A-levels, vocational training, or degrees</w:t>
      </w:r>
      <w:r w:rsidR="00412BD1">
        <w:rPr>
          <w:color w:val="000000" w:themeColor="text1"/>
        </w:rPr>
        <w:t xml:space="preserve"> </w:t>
      </w:r>
      <w:r w:rsidR="00412BD1" w:rsidRPr="00C71B3C">
        <w:rPr>
          <w:color w:val="000000" w:themeColor="text1"/>
        </w:rPr>
        <w:t>(</w:t>
      </w:r>
      <w:r w:rsidR="00412BD1">
        <w:rPr>
          <w:color w:val="000000" w:themeColor="text1"/>
        </w:rPr>
        <w:t>Gov.</w:t>
      </w:r>
      <w:r w:rsidR="00412BD1" w:rsidRPr="00C71B3C">
        <w:rPr>
          <w:color w:val="000000" w:themeColor="text1"/>
        </w:rPr>
        <w:t>UK, 2024)</w:t>
      </w:r>
      <w:r w:rsidR="00412BD1">
        <w:rPr>
          <w:color w:val="000000" w:themeColor="text1"/>
        </w:rPr>
        <w:t>.</w:t>
      </w:r>
    </w:p>
    <w:p w14:paraId="659840E1" w14:textId="55198A5B" w:rsidR="00D966B4" w:rsidRPr="00D966B4" w:rsidRDefault="00D966B4" w:rsidP="00D966B4">
      <w:pPr>
        <w:rPr>
          <w:color w:val="000000" w:themeColor="text1"/>
        </w:rPr>
      </w:pPr>
      <w:r w:rsidRPr="00D966B4">
        <w:rPr>
          <w:color w:val="000000" w:themeColor="text1"/>
        </w:rPr>
        <w:t xml:space="preserve">Occupation is commonly </w:t>
      </w:r>
      <w:r w:rsidR="00412BD1">
        <w:rPr>
          <w:color w:val="000000" w:themeColor="text1"/>
        </w:rPr>
        <w:t>categorised</w:t>
      </w:r>
      <w:r w:rsidRPr="00D966B4">
        <w:rPr>
          <w:color w:val="000000" w:themeColor="text1"/>
        </w:rPr>
        <w:t xml:space="preserve"> using the National Statistics Socio-economic Classification (NS-SEC), which ranks jobs from higher managerial roles to routine and manual work, including those unemployed</w:t>
      </w:r>
      <w:r w:rsidR="00412BD1">
        <w:rPr>
          <w:color w:val="000000" w:themeColor="text1"/>
        </w:rPr>
        <w:t xml:space="preserve"> (ONS, 2021).</w:t>
      </w:r>
    </w:p>
    <w:p w14:paraId="1CFDF4A5" w14:textId="3F6B6E59" w:rsidR="00D966B4" w:rsidRPr="00D966B4" w:rsidRDefault="00D966B4" w:rsidP="00D966B4">
      <w:pPr>
        <w:rPr>
          <w:color w:val="000000" w:themeColor="text1"/>
        </w:rPr>
      </w:pPr>
      <w:r w:rsidRPr="00D966B4">
        <w:rPr>
          <w:color w:val="000000" w:themeColor="text1"/>
        </w:rPr>
        <w:t>Wealth, including property ownership, savings, and investments, is another marker, highlighting disparities that often surpass those seen with income</w:t>
      </w:r>
      <w:r w:rsidR="006B3822">
        <w:rPr>
          <w:color w:val="000000" w:themeColor="text1"/>
        </w:rPr>
        <w:t xml:space="preserve"> </w:t>
      </w:r>
      <w:r w:rsidR="006B3822" w:rsidRPr="006B3822">
        <w:rPr>
          <w:color w:val="000000" w:themeColor="text1"/>
        </w:rPr>
        <w:t>(</w:t>
      </w:r>
      <w:proofErr w:type="spellStart"/>
      <w:r w:rsidR="006B3822" w:rsidRPr="006B3822">
        <w:rPr>
          <w:color w:val="000000" w:themeColor="text1"/>
        </w:rPr>
        <w:t>Choondiyanil</w:t>
      </w:r>
      <w:proofErr w:type="spellEnd"/>
      <w:r w:rsidR="006B3822" w:rsidRPr="006B3822">
        <w:rPr>
          <w:color w:val="000000" w:themeColor="text1"/>
        </w:rPr>
        <w:t>, 2024)</w:t>
      </w:r>
    </w:p>
    <w:p w14:paraId="559F2FE9" w14:textId="68F2A4E2" w:rsidR="00D966B4" w:rsidRPr="00D966B4" w:rsidRDefault="00D966B4" w:rsidP="00D966B4">
      <w:pPr>
        <w:rPr>
          <w:color w:val="000000" w:themeColor="text1"/>
        </w:rPr>
      </w:pPr>
      <w:r w:rsidRPr="00D966B4">
        <w:rPr>
          <w:color w:val="000000" w:themeColor="text1"/>
        </w:rPr>
        <w:t>Housing is considered, looking at ownership, renting, or reliance on council housing, alongside variations in housing quality</w:t>
      </w:r>
      <w:r w:rsidR="006B3822">
        <w:rPr>
          <w:color w:val="000000" w:themeColor="text1"/>
        </w:rPr>
        <w:t xml:space="preserve"> (IFS, 2023)</w:t>
      </w:r>
    </w:p>
    <w:p w14:paraId="56FDF2E8" w14:textId="5FEBD030" w:rsidR="00D966B4" w:rsidRPr="00D966B4" w:rsidRDefault="00D966B4" w:rsidP="00D966B4">
      <w:pPr>
        <w:rPr>
          <w:color w:val="000000" w:themeColor="text1"/>
        </w:rPr>
      </w:pPr>
      <w:r w:rsidRPr="00D966B4">
        <w:rPr>
          <w:color w:val="000000" w:themeColor="text1"/>
        </w:rPr>
        <w:t xml:space="preserve">Health outcomes and access to care often correlate with economic standing, and </w:t>
      </w:r>
      <w:r w:rsidR="00D06416">
        <w:rPr>
          <w:color w:val="000000" w:themeColor="text1"/>
        </w:rPr>
        <w:t xml:space="preserve">assessments </w:t>
      </w:r>
      <w:r w:rsidRPr="00D966B4">
        <w:rPr>
          <w:color w:val="000000" w:themeColor="text1"/>
        </w:rPr>
        <w:t>like the Index of Multiple Deprivation (</w:t>
      </w:r>
      <w:proofErr w:type="spellStart"/>
      <w:r w:rsidRPr="00D966B4">
        <w:rPr>
          <w:color w:val="000000" w:themeColor="text1"/>
        </w:rPr>
        <w:t>IMD</w:t>
      </w:r>
      <w:proofErr w:type="spellEnd"/>
      <w:r w:rsidRPr="00D966B4">
        <w:rPr>
          <w:color w:val="000000" w:themeColor="text1"/>
        </w:rPr>
        <w:t xml:space="preserve">) measure these alongside other factors </w:t>
      </w:r>
      <w:r w:rsidR="006B3822" w:rsidRPr="006B3822">
        <w:rPr>
          <w:color w:val="000000" w:themeColor="text1"/>
        </w:rPr>
        <w:t>(Abel et al., 2016)</w:t>
      </w:r>
      <w:r w:rsidR="006B3822">
        <w:rPr>
          <w:color w:val="000000" w:themeColor="text1"/>
        </w:rPr>
        <w:t>.</w:t>
      </w:r>
    </w:p>
    <w:p w14:paraId="70353861" w14:textId="2D3D6FAA" w:rsidR="00D966B4" w:rsidRDefault="00D966B4" w:rsidP="00D966B4">
      <w:pPr>
        <w:rPr>
          <w:color w:val="000000" w:themeColor="text1"/>
        </w:rPr>
      </w:pPr>
      <w:r w:rsidRPr="00D966B4">
        <w:rPr>
          <w:color w:val="000000" w:themeColor="text1"/>
        </w:rPr>
        <w:t xml:space="preserve">Cultural and social capital, such as access to networks and activities, </w:t>
      </w:r>
      <w:r w:rsidR="00D06416">
        <w:rPr>
          <w:color w:val="000000" w:themeColor="text1"/>
        </w:rPr>
        <w:t xml:space="preserve">are also considered when assessing </w:t>
      </w:r>
      <w:r w:rsidRPr="00D966B4">
        <w:rPr>
          <w:color w:val="000000" w:themeColor="text1"/>
        </w:rPr>
        <w:t xml:space="preserve">SES. </w:t>
      </w:r>
      <w:r w:rsidR="00D06416" w:rsidRPr="00D06416">
        <w:rPr>
          <w:color w:val="000000" w:themeColor="text1"/>
        </w:rPr>
        <w:t>(Li et al., 2008</w:t>
      </w:r>
      <w:r w:rsidR="00D06416">
        <w:rPr>
          <w:color w:val="000000" w:themeColor="text1"/>
        </w:rPr>
        <w:t xml:space="preserve">; </w:t>
      </w:r>
      <w:r w:rsidR="00D06416">
        <w:rPr>
          <w:color w:val="000000"/>
        </w:rPr>
        <w:t>‌</w:t>
      </w:r>
      <w:r w:rsidR="00D06416" w:rsidRPr="00D06416">
        <w:rPr>
          <w:color w:val="000000"/>
        </w:rPr>
        <w:t>Nguyen, (2019).</w:t>
      </w:r>
    </w:p>
    <w:p w14:paraId="35760ABB" w14:textId="77777777" w:rsidR="00D966B4" w:rsidRDefault="00D966B4" w:rsidP="00AE3BFD">
      <w:pPr>
        <w:rPr>
          <w:color w:val="000000" w:themeColor="text1"/>
        </w:rPr>
      </w:pPr>
    </w:p>
    <w:p w14:paraId="1EAC006C" w14:textId="77777777" w:rsidR="00D966B4" w:rsidRDefault="00D966B4" w:rsidP="00AE3BFD">
      <w:pPr>
        <w:rPr>
          <w:color w:val="000000" w:themeColor="text1"/>
        </w:rPr>
      </w:pPr>
    </w:p>
    <w:p w14:paraId="53F85B58" w14:textId="77777777" w:rsidR="00D966B4" w:rsidRDefault="00D966B4" w:rsidP="00AE3BFD">
      <w:pPr>
        <w:rPr>
          <w:color w:val="000000" w:themeColor="text1"/>
        </w:rPr>
      </w:pPr>
    </w:p>
    <w:p w14:paraId="7DC9BE84" w14:textId="77777777" w:rsidR="00D966B4" w:rsidRDefault="00D966B4" w:rsidP="00AE3BFD">
      <w:pPr>
        <w:rPr>
          <w:color w:val="000000" w:themeColor="text1"/>
        </w:rPr>
      </w:pPr>
    </w:p>
    <w:p w14:paraId="45F790B5" w14:textId="4E91D9FB" w:rsidR="00CE1D2A" w:rsidRPr="009712D3" w:rsidRDefault="009712D3" w:rsidP="00AE3BFD">
      <w:pPr>
        <w:rPr>
          <w:color w:val="000000" w:themeColor="text1"/>
        </w:rPr>
      </w:pPr>
      <w:r w:rsidRPr="009712D3">
        <w:rPr>
          <w:color w:val="000000" w:themeColor="text1"/>
        </w:rPr>
        <w:lastRenderedPageBreak/>
        <w:t xml:space="preserve">Research consistently shows that students from higher SES backgrounds are more likely to </w:t>
      </w:r>
      <w:r>
        <w:rPr>
          <w:color w:val="000000" w:themeColor="text1"/>
        </w:rPr>
        <w:t>enrol</w:t>
      </w:r>
      <w:r w:rsidRPr="009712D3">
        <w:rPr>
          <w:color w:val="000000" w:themeColor="text1"/>
        </w:rPr>
        <w:t xml:space="preserve"> in and complete higher education programs </w:t>
      </w:r>
      <w:r w:rsidR="003821DE">
        <w:rPr>
          <w:color w:val="000000" w:themeColor="text1"/>
        </w:rPr>
        <w:t>than</w:t>
      </w:r>
      <w:r w:rsidRPr="009712D3">
        <w:rPr>
          <w:color w:val="000000" w:themeColor="text1"/>
        </w:rPr>
        <w:t xml:space="preserve"> their lower SES counterparts. This disparity is </w:t>
      </w:r>
      <w:r>
        <w:rPr>
          <w:color w:val="000000" w:themeColor="text1"/>
        </w:rPr>
        <w:t xml:space="preserve">often </w:t>
      </w:r>
      <w:r w:rsidRPr="009712D3">
        <w:rPr>
          <w:color w:val="000000" w:themeColor="text1"/>
        </w:rPr>
        <w:t>attributed to access to resources, parental education levels, and social capital</w:t>
      </w:r>
      <w:r w:rsidR="008B3F9D">
        <w:rPr>
          <w:color w:val="000000" w:themeColor="text1"/>
        </w:rPr>
        <w:t xml:space="preserve"> </w:t>
      </w:r>
      <w:r w:rsidR="008B3F9D" w:rsidRPr="008B3F9D">
        <w:rPr>
          <w:color w:val="000000" w:themeColor="text1"/>
        </w:rPr>
        <w:t>(Galindo-Rueda et al., 2004</w:t>
      </w:r>
      <w:r w:rsidR="008B3F9D">
        <w:rPr>
          <w:color w:val="000000" w:themeColor="text1"/>
        </w:rPr>
        <w:t xml:space="preserve">; </w:t>
      </w:r>
      <w:r w:rsidR="008B3F9D" w:rsidRPr="008B3F9D">
        <w:rPr>
          <w:color w:val="000000" w:themeColor="text1"/>
        </w:rPr>
        <w:t>Crawford,</w:t>
      </w:r>
      <w:r w:rsidR="008B3F9D">
        <w:rPr>
          <w:color w:val="000000" w:themeColor="text1"/>
        </w:rPr>
        <w:t xml:space="preserve"> 2014</w:t>
      </w:r>
      <w:r w:rsidR="008B3F9D" w:rsidRPr="008B3F9D">
        <w:rPr>
          <w:color w:val="000000" w:themeColor="text1"/>
        </w:rPr>
        <w:t>)</w:t>
      </w:r>
      <w:r w:rsidR="00CE1D2A">
        <w:rPr>
          <w:color w:val="000000" w:themeColor="text1"/>
        </w:rPr>
        <w:t>.</w:t>
      </w:r>
    </w:p>
    <w:p w14:paraId="529E3D56" w14:textId="1E9450C1" w:rsidR="00AE3BFD" w:rsidRPr="00AE3BFD" w:rsidRDefault="00AE3BFD" w:rsidP="00AE3BFD">
      <w:r w:rsidRPr="00AE3BFD">
        <w:t xml:space="preserve">Research </w:t>
      </w:r>
      <w:r w:rsidR="004219B2">
        <w:t xml:space="preserve">further </w:t>
      </w:r>
      <w:r w:rsidRPr="00AE3BFD">
        <w:t>indicates that students from lower-income backgrounds face systemic barriers to access, integration, retention, and long-term opportunities</w:t>
      </w:r>
      <w:r w:rsidR="004219B2">
        <w:t xml:space="preserve"> </w:t>
      </w:r>
      <w:r w:rsidR="004219B2" w:rsidRPr="004219B2">
        <w:t>(Bolton &amp; Lewis, 2024)</w:t>
      </w:r>
      <w:r w:rsidR="004219B2">
        <w:t xml:space="preserve">. </w:t>
      </w:r>
      <w:r w:rsidRPr="00AE3BFD">
        <w:t xml:space="preserve">These challenges are not isolated to admissions but persist throughout the academic and post-graduation journey. This literature review examines ten significant studies that explore the role of SES in higher education through various </w:t>
      </w:r>
      <w:r w:rsidR="004219B2">
        <w:t>perspectives</w:t>
      </w:r>
      <w:r w:rsidRPr="00AE3BFD">
        <w:t xml:space="preserve">, </w:t>
      </w:r>
      <w:r w:rsidR="004219B2">
        <w:t xml:space="preserve">each </w:t>
      </w:r>
      <w:r w:rsidRPr="00AE3BFD">
        <w:t xml:space="preserve">offering diverse methodologies and </w:t>
      </w:r>
      <w:r w:rsidR="004219B2">
        <w:t xml:space="preserve">approaches to understand better and </w:t>
      </w:r>
      <w:r w:rsidRPr="00AE3BFD">
        <w:t>address this issue.</w:t>
      </w:r>
    </w:p>
    <w:p w14:paraId="1BA3FE83" w14:textId="6A94DFA2" w:rsidR="00AE3BFD" w:rsidRPr="00AE3BFD" w:rsidRDefault="00AE3BFD" w:rsidP="00AE3BFD">
      <w:r w:rsidRPr="00AE3BFD">
        <w:t>The disparity in access to higher education</w:t>
      </w:r>
      <w:r w:rsidR="00F24A2E">
        <w:t xml:space="preserve"> for low-SES </w:t>
      </w:r>
      <w:r w:rsidRPr="00AE3BFD">
        <w:t>is well-documented</w:t>
      </w:r>
      <w:r w:rsidR="00F24A2E">
        <w:t xml:space="preserve">, especially for ‘elite’ universities </w:t>
      </w:r>
      <w:r w:rsidR="00F24A2E" w:rsidRPr="00F24A2E">
        <w:t>(José Luis Mateos-González &amp; Wakeling, 2021)</w:t>
      </w:r>
      <w:r w:rsidR="00F24A2E">
        <w:t xml:space="preserve">. </w:t>
      </w:r>
      <w:r w:rsidRPr="00AE3BFD">
        <w:t>Financial limitations, early academic tracking, and institutional biases disproportionately affect students from low-SES backgrounds</w:t>
      </w:r>
      <w:r w:rsidR="00F24A2E">
        <w:t xml:space="preserve"> </w:t>
      </w:r>
      <w:r w:rsidR="00F24A2E" w:rsidRPr="00F24A2E">
        <w:t>(Crawford et al., 2016)</w:t>
      </w:r>
      <w:r w:rsidR="00F24A2E">
        <w:t>. In this 10</w:t>
      </w:r>
      <w:r w:rsidR="00D06416">
        <w:t>-</w:t>
      </w:r>
      <w:r w:rsidR="00F24A2E">
        <w:t xml:space="preserve">paper </w:t>
      </w:r>
      <w:r w:rsidR="00D06416">
        <w:t xml:space="preserve">narrative </w:t>
      </w:r>
      <w:r w:rsidR="00F24A2E">
        <w:t>review of literature, s</w:t>
      </w:r>
      <w:r w:rsidRPr="00AE3BFD">
        <w:t xml:space="preserve">tudies such as those by </w:t>
      </w:r>
      <w:r w:rsidRPr="00F24A2E">
        <w:rPr>
          <w:color w:val="FF0000"/>
        </w:rPr>
        <w:t xml:space="preserve">Britton et al. and Mateos-González and Wakeling </w:t>
      </w:r>
      <w:r w:rsidRPr="00AE3BFD">
        <w:t>provide quantitative insights into these barriers, focusing on enrolment trends and economic returns. However, these analyses often omit the nuanced lived experiences of affected students, central to works like Reay’s, where qualitative methods highlight structural inequities and psychological barriers.</w:t>
      </w:r>
    </w:p>
    <w:p w14:paraId="7D679B23" w14:textId="7BEB7D26" w:rsidR="00AE3BFD" w:rsidRPr="00AE3BFD" w:rsidRDefault="00AE3BFD" w:rsidP="00AE3BFD">
      <w:r w:rsidRPr="00AE3BFD">
        <w:t>Once admitted, integration into academic and social environments presents further hurdles for low-SES students</w:t>
      </w:r>
      <w:r w:rsidR="00102C87">
        <w:t>, not least learning alongside students from a higher SES (</w:t>
      </w:r>
      <w:r w:rsidR="00102C87" w:rsidRPr="00102C87">
        <w:t xml:space="preserve">Devlin &amp; McKay, 2014). </w:t>
      </w:r>
      <w:r w:rsidR="00102C87">
        <w:t xml:space="preserve"> </w:t>
      </w:r>
      <w:r w:rsidRPr="00AE3BFD">
        <w:t>Cultural capital or the familiarity with norms and expectations</w:t>
      </w:r>
      <w:r w:rsidR="00102C87">
        <w:t xml:space="preserve"> often expressed</w:t>
      </w:r>
      <w:r w:rsidRPr="00AE3BFD">
        <w:t xml:space="preserve"> in higher education, is often limited among this group</w:t>
      </w:r>
      <w:r w:rsidR="00F32DCD">
        <w:t xml:space="preserve"> </w:t>
      </w:r>
      <w:r w:rsidR="00F32DCD" w:rsidRPr="00F32DCD">
        <w:t>(Hannon et al., 2017</w:t>
      </w:r>
      <w:proofErr w:type="gramStart"/>
      <w:r w:rsidR="00F32DCD" w:rsidRPr="00F32DCD">
        <w:t>)</w:t>
      </w:r>
      <w:r w:rsidR="00F32DCD">
        <w:t xml:space="preserve"> .</w:t>
      </w:r>
      <w:proofErr w:type="gramEnd"/>
      <w:r w:rsidR="00F32DCD">
        <w:t xml:space="preserve"> </w:t>
      </w:r>
      <w:r w:rsidRPr="00F32DCD">
        <w:rPr>
          <w:color w:val="FF0000"/>
        </w:rPr>
        <w:t xml:space="preserve">Ahn and Davis </w:t>
      </w:r>
      <w:r w:rsidRPr="00AE3BFD">
        <w:t xml:space="preserve">suggest without addressing structural inequities, attempts to improve engagement </w:t>
      </w:r>
      <w:r w:rsidR="00F32DCD">
        <w:t xml:space="preserve">for low-SES students will </w:t>
      </w:r>
      <w:r w:rsidRPr="00AE3BFD">
        <w:t>remain superficial.</w:t>
      </w:r>
    </w:p>
    <w:p w14:paraId="0AB78CB9" w14:textId="44EE37C0" w:rsidR="00AE3BFD" w:rsidRPr="00AE3BFD" w:rsidRDefault="00AE3BFD" w:rsidP="00AE3BFD">
      <w:r w:rsidRPr="00AE3BFD">
        <w:t xml:space="preserve">Financial barriers remain a significant determinant of both access and retention. Studies like those by </w:t>
      </w:r>
      <w:r w:rsidRPr="00F32DCD">
        <w:rPr>
          <w:color w:val="FF0000"/>
        </w:rPr>
        <w:t>Bakour</w:t>
      </w:r>
      <w:r w:rsidRPr="00AE3BFD">
        <w:t xml:space="preserve"> identify targeted interventions, such as financial aid and mentorship programs, as effective measures to reduce barriers. In contrast</w:t>
      </w:r>
      <w:r w:rsidRPr="00F32DCD">
        <w:rPr>
          <w:color w:val="FF0000"/>
        </w:rPr>
        <w:t xml:space="preserve">, Aina et al. </w:t>
      </w:r>
      <w:r w:rsidR="006615AB" w:rsidRPr="001D7135">
        <w:t>emphasise</w:t>
      </w:r>
      <w:r w:rsidRPr="00AE3BFD">
        <w:t xml:space="preserve"> the broader systemic challenges, such as balancing academic demands with financial constraints, which are not resolved by interventions alone. This highlights </w:t>
      </w:r>
      <w:r w:rsidR="003A68DD">
        <w:t xml:space="preserve">the challenge of </w:t>
      </w:r>
      <w:r w:rsidRPr="00AE3BFD">
        <w:t>ongoing debates regarding the effectiveness of addressing immediate needs versus implementing long-term systemic reforms.</w:t>
      </w:r>
    </w:p>
    <w:p w14:paraId="3E9E4430" w14:textId="1E0ADAF4" w:rsidR="00AE3BFD" w:rsidRPr="00AE3BFD" w:rsidRDefault="00AE3BFD" w:rsidP="00AE3BFD">
      <w:r w:rsidRPr="00AE3BFD">
        <w:t xml:space="preserve">Policy </w:t>
      </w:r>
      <w:r w:rsidR="003A68DD">
        <w:t xml:space="preserve">interventions </w:t>
      </w:r>
      <w:r w:rsidRPr="00AE3BFD">
        <w:t>to widen participation have achieved mixed outcomes</w:t>
      </w:r>
      <w:r w:rsidR="003A68DD">
        <w:t xml:space="preserve"> </w:t>
      </w:r>
      <w:r w:rsidR="003A68DD" w:rsidRPr="003A68DD">
        <w:t>(Britton et al.,</w:t>
      </w:r>
      <w:r w:rsidR="003A68DD">
        <w:t xml:space="preserve"> 2023). </w:t>
      </w:r>
      <w:r w:rsidRPr="00AE3BFD">
        <w:t xml:space="preserve">While some </w:t>
      </w:r>
      <w:r w:rsidR="003A68DD">
        <w:t xml:space="preserve">show the potential benefits of effective policy interventions </w:t>
      </w:r>
      <w:r w:rsidR="003A68DD" w:rsidRPr="003A68DD">
        <w:t>(Chetty et al., 2020)</w:t>
      </w:r>
      <w:r w:rsidR="003A68DD">
        <w:t xml:space="preserve">, research </w:t>
      </w:r>
      <w:r w:rsidRPr="00AE3BFD">
        <w:t xml:space="preserve">such as those by </w:t>
      </w:r>
      <w:r w:rsidRPr="003A68DD">
        <w:rPr>
          <w:color w:val="FF0000"/>
        </w:rPr>
        <w:t xml:space="preserve">Cunningham and Samson </w:t>
      </w:r>
      <w:r w:rsidRPr="00AE3BFD">
        <w:t>suggest that many policies reinforce existing inequities rather than dismantling them</w:t>
      </w:r>
      <w:r w:rsidR="00376B47">
        <w:t xml:space="preserve">, stating the deficiencies of a </w:t>
      </w:r>
      <w:r w:rsidRPr="00AE3BFD">
        <w:t>neoliberal meritocracy, where market-driven priorities</w:t>
      </w:r>
      <w:r w:rsidR="00376B47">
        <w:t xml:space="preserve"> determine </w:t>
      </w:r>
      <w:r w:rsidRPr="00AE3BFD">
        <w:t>institutional practices at the expense of equity</w:t>
      </w:r>
      <w:r w:rsidR="00376B47">
        <w:t xml:space="preserve"> (</w:t>
      </w:r>
      <w:r w:rsidR="00376B47" w:rsidRPr="00376B47">
        <w:t>Cunningham and Samson</w:t>
      </w:r>
      <w:r w:rsidR="00376B47">
        <w:t>).</w:t>
      </w:r>
    </w:p>
    <w:p w14:paraId="58AABB01" w14:textId="14BD5E78" w:rsidR="00AE3BFD" w:rsidRPr="00AE3BFD" w:rsidRDefault="00AE3BFD" w:rsidP="00AE3BFD">
      <w:r w:rsidRPr="00AE3BFD">
        <w:lastRenderedPageBreak/>
        <w:t xml:space="preserve">The impact of SES extends beyond the </w:t>
      </w:r>
      <w:r w:rsidR="00376B47">
        <w:t xml:space="preserve">undergraduate </w:t>
      </w:r>
      <w:r w:rsidRPr="00AE3BFD">
        <w:t>university experience, influencing access to postgraduate education and career opportunities. Higher-income graduates are more likely to secure advanced degrees and higher-paying roles</w:t>
      </w:r>
      <w:r w:rsidR="00376B47">
        <w:t xml:space="preserve"> </w:t>
      </w:r>
      <w:r w:rsidR="00376B47" w:rsidRPr="00376B47">
        <w:rPr>
          <w:color w:val="FF0000"/>
        </w:rPr>
        <w:t>(</w:t>
      </w:r>
      <w:r w:rsidRPr="00376B47">
        <w:rPr>
          <w:color w:val="FF0000"/>
        </w:rPr>
        <w:t>Mateos-González and Wakeling</w:t>
      </w:r>
      <w:r w:rsidR="00376B47" w:rsidRPr="00376B47">
        <w:rPr>
          <w:color w:val="FF0000"/>
        </w:rPr>
        <w:t>)</w:t>
      </w:r>
      <w:r w:rsidRPr="00376B47">
        <w:rPr>
          <w:color w:val="FF0000"/>
        </w:rPr>
        <w:t xml:space="preserve">, </w:t>
      </w:r>
      <w:r w:rsidRPr="00AE3BFD">
        <w:t xml:space="preserve">while low-SES graduates </w:t>
      </w:r>
      <w:r w:rsidR="00376B47">
        <w:t xml:space="preserve">can still subsequently </w:t>
      </w:r>
      <w:r w:rsidRPr="00AE3BFD">
        <w:t>face systemic barriers in both employment and career progression</w:t>
      </w:r>
      <w:r w:rsidR="00932E3B">
        <w:t>,</w:t>
      </w:r>
      <w:r w:rsidR="00376B47">
        <w:t xml:space="preserve"> </w:t>
      </w:r>
      <w:r w:rsidRPr="00AE3BFD">
        <w:t>challeng</w:t>
      </w:r>
      <w:r w:rsidR="00376B47">
        <w:t>ing</w:t>
      </w:r>
      <w:r w:rsidRPr="00AE3BFD">
        <w:t xml:space="preserve"> the notion of higher education as an </w:t>
      </w:r>
      <w:r w:rsidR="00376B47">
        <w:t>equaliser</w:t>
      </w:r>
      <w:r w:rsidRPr="00AE3BFD">
        <w:t>, instead pointing to persistent structural disparities</w:t>
      </w:r>
      <w:r w:rsidR="00376B47">
        <w:t xml:space="preserve"> (IFS, 2022)</w:t>
      </w:r>
    </w:p>
    <w:p w14:paraId="28D4FFD7" w14:textId="77777777" w:rsidR="00AE3BFD" w:rsidRPr="00AE3BFD" w:rsidRDefault="00AE3BFD" w:rsidP="00AE3BFD">
      <w:r w:rsidRPr="00AE3BFD">
        <w:t>This review highlights the multifaceted relationship between SES and higher education, with studies differing in their methodological approaches, ontological assumptions, and epistemological frameworks. Quantitative research provides critical data on trends and outcomes, while qualitative studies offer depth by capturing individual experiences. Bridging these approaches and addressing contradictions in findings are crucial for developing effective strategies to ensure equitable access and outcomes for all students.</w:t>
      </w:r>
    </w:p>
    <w:p w14:paraId="0E6792DB" w14:textId="77777777" w:rsidR="00AE3BFD" w:rsidRPr="001C475E" w:rsidRDefault="00AE3BFD" w:rsidP="00AE3BFD">
      <w:pPr>
        <w:rPr>
          <w:b/>
          <w:bCs/>
          <w:color w:val="FF0000"/>
        </w:rPr>
      </w:pPr>
      <w:r w:rsidRPr="001C475E">
        <w:rPr>
          <w:b/>
          <w:bCs/>
          <w:color w:val="FF0000"/>
        </w:rPr>
        <w:t>Search Methodology</w:t>
      </w:r>
    </w:p>
    <w:p w14:paraId="3679946E" w14:textId="15DA8982" w:rsidR="00AE3BFD" w:rsidRPr="00AE3BFD" w:rsidRDefault="00AE3BFD" w:rsidP="00AE3BFD">
      <w:r w:rsidRPr="00AE3BFD">
        <w:t>The impact of socioeconomic status on access to and success within UK higher education institutions</w:t>
      </w:r>
      <w:r w:rsidR="00CE1D2A">
        <w:t xml:space="preserve">, specifically literature associated with individuals from low socioeconomic </w:t>
      </w:r>
      <w:proofErr w:type="gramStart"/>
      <w:r w:rsidR="00CE1D2A">
        <w:t xml:space="preserve">status, </w:t>
      </w:r>
      <w:r w:rsidRPr="00AE3BFD">
        <w:t xml:space="preserve"> was</w:t>
      </w:r>
      <w:proofErr w:type="gramEnd"/>
      <w:r w:rsidRPr="00AE3BFD">
        <w:t xml:space="preserve"> examined through a systematic search strategy. Google Scholar was </w:t>
      </w:r>
      <w:r w:rsidR="00D06416">
        <w:t xml:space="preserve">used </w:t>
      </w:r>
      <w:r w:rsidRPr="00AE3BFD">
        <w:t>as a primary tool, using Boolean operators to combine terms like "socioeconomic status," "higher education," "UK," "access," and "retention." Advanced search features filtered results to include only sources published within the last five years to ensure relevance. Journals accessed included platforms such as Springer, Taylor &amp; Francis, and Sage to locate peer-reviewed materials and reports.</w:t>
      </w:r>
    </w:p>
    <w:p w14:paraId="1CFE267C" w14:textId="3EFA1D0D" w:rsidR="00AE3BFD" w:rsidRDefault="00AE3BFD" w:rsidP="00AE3BFD">
      <w:r w:rsidRPr="00AE3BFD">
        <w:t>The University of Wales Trinity Saint David (UWTSD) library resources provided additional access to databases</w:t>
      </w:r>
      <w:r w:rsidR="00D06416">
        <w:t>,</w:t>
      </w:r>
      <w:r w:rsidRPr="00AE3BFD">
        <w:t xml:space="preserve"> including </w:t>
      </w:r>
      <w:proofErr w:type="spellStart"/>
      <w:r w:rsidRPr="00AE3BFD">
        <w:t>JSTOR</w:t>
      </w:r>
      <w:proofErr w:type="spellEnd"/>
      <w:r w:rsidRPr="00AE3BFD">
        <w:t xml:space="preserve"> and ProQuest. </w:t>
      </w:r>
      <w:r w:rsidR="00D06416">
        <w:t>Specialised</w:t>
      </w:r>
      <w:r w:rsidRPr="00AE3BFD">
        <w:t xml:space="preserve"> sites like ResearchGate were searched to find emerging studies and preprints. Grey literature, including institutional analyses and policy reports, was considered where peer-reviewed sources were unavailable. </w:t>
      </w:r>
    </w:p>
    <w:p w14:paraId="5BE825C3" w14:textId="77777777" w:rsidR="00D06416" w:rsidRPr="00D06416" w:rsidRDefault="00D06416" w:rsidP="00AE3BFD"/>
    <w:p w14:paraId="5D17377D" w14:textId="2D3C8DFD" w:rsidR="00AE3BFD" w:rsidRPr="003D0607" w:rsidRDefault="003D0607" w:rsidP="00AE3BFD">
      <w:pPr>
        <w:rPr>
          <w:b/>
          <w:bCs/>
          <w:color w:val="000000" w:themeColor="text1"/>
        </w:rPr>
      </w:pPr>
      <w:r w:rsidRPr="003D0607">
        <w:rPr>
          <w:b/>
          <w:bCs/>
          <w:color w:val="000000" w:themeColor="text1"/>
        </w:rPr>
        <w:t>P</w:t>
      </w:r>
      <w:r w:rsidR="00AE3BFD" w:rsidRPr="003D0607">
        <w:rPr>
          <w:b/>
          <w:bCs/>
          <w:color w:val="000000" w:themeColor="text1"/>
        </w:rPr>
        <w:t>hilosophical assumptions</w:t>
      </w:r>
    </w:p>
    <w:p w14:paraId="62E1D727" w14:textId="277CD2F5" w:rsidR="00D06416" w:rsidRDefault="00D06416" w:rsidP="00AE3BFD">
      <w:pPr>
        <w:rPr>
          <w:color w:val="000000" w:themeColor="text1"/>
        </w:rPr>
      </w:pPr>
      <w:r>
        <w:rPr>
          <w:color w:val="000000" w:themeColor="text1"/>
        </w:rPr>
        <w:t xml:space="preserve">The research provided a wide range of approaches, findings, and conclusions. However, what was clear was that research often contradicted not necessarily the conclusions of a particular study but a specific philosophical approach </w:t>
      </w:r>
      <w:r w:rsidR="00387B0C">
        <w:rPr>
          <w:color w:val="000000" w:themeColor="text1"/>
        </w:rPr>
        <w:t>of</w:t>
      </w:r>
      <w:r>
        <w:rPr>
          <w:color w:val="000000" w:themeColor="text1"/>
        </w:rPr>
        <w:t xml:space="preserve"> a study. Consequently, this literature review will not only critically analyse key findings</w:t>
      </w:r>
      <w:r w:rsidR="00387B0C">
        <w:rPr>
          <w:color w:val="000000" w:themeColor="text1"/>
        </w:rPr>
        <w:t xml:space="preserve"> but also consider the ontological, epistemological, and axiological basis on which conclusions were drawn to better understand the efficacy of those key findings.</w:t>
      </w:r>
    </w:p>
    <w:p w14:paraId="07FC74B8" w14:textId="06FD4694" w:rsidR="00D61D35" w:rsidRDefault="0070117C" w:rsidP="00DE6C52">
      <w:pPr>
        <w:rPr>
          <w:color w:val="000000" w:themeColor="text1"/>
        </w:rPr>
      </w:pPr>
      <w:r>
        <w:rPr>
          <w:color w:val="000000" w:themeColor="text1"/>
        </w:rPr>
        <w:t xml:space="preserve">Research is shaped by a framework of beliefs known as paradigms. </w:t>
      </w:r>
      <w:r w:rsidRPr="0070117C">
        <w:rPr>
          <w:color w:val="000000" w:themeColor="text1"/>
        </w:rPr>
        <w:t xml:space="preserve">These paradigms represent </w:t>
      </w:r>
      <w:r w:rsidR="00D61D35">
        <w:rPr>
          <w:color w:val="000000" w:themeColor="text1"/>
        </w:rPr>
        <w:t xml:space="preserve">a researcher's perspective when studying a social phenomenon, providing the </w:t>
      </w:r>
      <w:r w:rsidRPr="0070117C">
        <w:rPr>
          <w:color w:val="000000" w:themeColor="text1"/>
        </w:rPr>
        <w:t>foundation for understanding it</w:t>
      </w:r>
      <w:r w:rsidR="00D61D35">
        <w:rPr>
          <w:color w:val="000000" w:themeColor="text1"/>
        </w:rPr>
        <w:t xml:space="preserve"> (</w:t>
      </w:r>
      <w:r w:rsidR="00D61D35" w:rsidRPr="00D61D35">
        <w:rPr>
          <w:color w:val="000000" w:themeColor="text1"/>
        </w:rPr>
        <w:t>Saunders,</w:t>
      </w:r>
      <w:r w:rsidR="00D61D35">
        <w:rPr>
          <w:color w:val="000000" w:themeColor="text1"/>
        </w:rPr>
        <w:t xml:space="preserve"> </w:t>
      </w:r>
      <w:r w:rsidR="00D61D35" w:rsidRPr="00D61D35">
        <w:rPr>
          <w:color w:val="000000" w:themeColor="text1"/>
        </w:rPr>
        <w:t>2009).</w:t>
      </w:r>
      <w:r>
        <w:rPr>
          <w:color w:val="000000" w:themeColor="text1"/>
        </w:rPr>
        <w:t xml:space="preserve"> </w:t>
      </w:r>
      <w:r w:rsidR="00DE6C52" w:rsidRPr="00DE6C52">
        <w:rPr>
          <w:color w:val="000000" w:themeColor="text1"/>
        </w:rPr>
        <w:t>This set of beliefs is based on ontological,</w:t>
      </w:r>
      <w:r w:rsidR="00DE6C52">
        <w:rPr>
          <w:color w:val="000000" w:themeColor="text1"/>
        </w:rPr>
        <w:t xml:space="preserve"> </w:t>
      </w:r>
      <w:r w:rsidR="00DE6C52" w:rsidRPr="00DE6C52">
        <w:rPr>
          <w:color w:val="000000" w:themeColor="text1"/>
        </w:rPr>
        <w:t>epistemological</w:t>
      </w:r>
      <w:r w:rsidR="00DE6C52">
        <w:rPr>
          <w:color w:val="000000" w:themeColor="text1"/>
        </w:rPr>
        <w:t xml:space="preserve"> </w:t>
      </w:r>
      <w:r w:rsidR="00DE6C52" w:rsidRPr="00DE6C52">
        <w:rPr>
          <w:color w:val="000000" w:themeColor="text1"/>
        </w:rPr>
        <w:t>assumptions</w:t>
      </w:r>
      <w:r w:rsidR="00DE6C52">
        <w:rPr>
          <w:color w:val="000000" w:themeColor="text1"/>
        </w:rPr>
        <w:t xml:space="preserve"> and methodological approaches (Gaba &amp; Lincoln, 1994)</w:t>
      </w:r>
    </w:p>
    <w:p w14:paraId="5FCC5E12" w14:textId="5F6385A4" w:rsidR="00387B0C" w:rsidRPr="00387B0C" w:rsidRDefault="00387B0C" w:rsidP="00387B0C">
      <w:pPr>
        <w:rPr>
          <w:color w:val="000000" w:themeColor="text1"/>
        </w:rPr>
      </w:pPr>
      <w:r w:rsidRPr="00387B0C">
        <w:rPr>
          <w:color w:val="000000" w:themeColor="text1"/>
        </w:rPr>
        <w:lastRenderedPageBreak/>
        <w:t xml:space="preserve">Ontology, epistemology, and axiology are </w:t>
      </w:r>
      <w:r w:rsidRPr="00387B0C">
        <w:rPr>
          <w:color w:val="FF0000"/>
        </w:rPr>
        <w:t>foundational</w:t>
      </w:r>
      <w:r w:rsidRPr="00387B0C">
        <w:rPr>
          <w:color w:val="000000" w:themeColor="text1"/>
        </w:rPr>
        <w:t xml:space="preserve"> concepts in research that shape </w:t>
      </w:r>
      <w:r w:rsidR="00D61D35">
        <w:rPr>
          <w:color w:val="000000" w:themeColor="text1"/>
        </w:rPr>
        <w:t>how</w:t>
      </w:r>
      <w:r w:rsidRPr="00387B0C">
        <w:rPr>
          <w:color w:val="000000" w:themeColor="text1"/>
        </w:rPr>
        <w:t xml:space="preserve"> studies are conducted</w:t>
      </w:r>
      <w:r w:rsidR="00DA1224">
        <w:rPr>
          <w:color w:val="000000" w:themeColor="text1"/>
        </w:rPr>
        <w:t xml:space="preserve"> </w:t>
      </w:r>
      <w:r w:rsidR="00DA1224" w:rsidRPr="00DA1224">
        <w:rPr>
          <w:color w:val="000000" w:themeColor="text1"/>
        </w:rPr>
        <w:t>(</w:t>
      </w:r>
      <w:proofErr w:type="spellStart"/>
      <w:r w:rsidR="00DA1224" w:rsidRPr="00DA1224">
        <w:rPr>
          <w:color w:val="000000" w:themeColor="text1"/>
        </w:rPr>
        <w:t>Kivunja</w:t>
      </w:r>
      <w:proofErr w:type="spellEnd"/>
      <w:r w:rsidR="00DA1224" w:rsidRPr="00DA1224">
        <w:rPr>
          <w:color w:val="000000" w:themeColor="text1"/>
        </w:rPr>
        <w:t xml:space="preserve"> &amp; </w:t>
      </w:r>
      <w:proofErr w:type="spellStart"/>
      <w:r w:rsidR="00DA1224" w:rsidRPr="00DA1224">
        <w:rPr>
          <w:color w:val="000000" w:themeColor="text1"/>
        </w:rPr>
        <w:t>Kuyini</w:t>
      </w:r>
      <w:proofErr w:type="spellEnd"/>
      <w:r w:rsidR="00DA1224" w:rsidRPr="00DA1224">
        <w:rPr>
          <w:color w:val="000000" w:themeColor="text1"/>
        </w:rPr>
        <w:t>, 2017)</w:t>
      </w:r>
      <w:r w:rsidR="00DA1224">
        <w:rPr>
          <w:color w:val="000000" w:themeColor="text1"/>
        </w:rPr>
        <w:t xml:space="preserve">. </w:t>
      </w:r>
      <w:r w:rsidRPr="00387B0C">
        <w:rPr>
          <w:color w:val="000000" w:themeColor="text1"/>
        </w:rPr>
        <w:t>Ontology</w:t>
      </w:r>
      <w:r w:rsidR="00DA1224">
        <w:rPr>
          <w:color w:val="000000" w:themeColor="text1"/>
        </w:rPr>
        <w:t>, often the starting point for most researchers (Easterby-Smith et al., 2008),</w:t>
      </w:r>
      <w:r w:rsidRPr="00387B0C">
        <w:rPr>
          <w:color w:val="000000" w:themeColor="text1"/>
        </w:rPr>
        <w:t xml:space="preserve"> deals with the nature of reality, questioning what exists and how entities are </w:t>
      </w:r>
      <w:r w:rsidR="00DA1224">
        <w:rPr>
          <w:color w:val="000000" w:themeColor="text1"/>
        </w:rPr>
        <w:t>categorised</w:t>
      </w:r>
      <w:r w:rsidRPr="00387B0C">
        <w:rPr>
          <w:color w:val="000000" w:themeColor="text1"/>
        </w:rPr>
        <w:t>. It defines the lens through which a researcher views the subject matter, whether as objective and independent of perception (realism) or subjective and socially constructed (constructivism)</w:t>
      </w:r>
      <w:r w:rsidR="00DA1224">
        <w:rPr>
          <w:color w:val="000000" w:themeColor="text1"/>
        </w:rPr>
        <w:t xml:space="preserve"> (</w:t>
      </w:r>
      <w:proofErr w:type="spellStart"/>
      <w:r w:rsidR="00DA1224">
        <w:rPr>
          <w:color w:val="000000"/>
          <w:shd w:val="clear" w:color="auto" w:fill="FFFFFF"/>
        </w:rPr>
        <w:t>Pessu</w:t>
      </w:r>
      <w:proofErr w:type="spellEnd"/>
      <w:r w:rsidR="00DA1224">
        <w:rPr>
          <w:color w:val="000000"/>
          <w:shd w:val="clear" w:color="auto" w:fill="FFFFFF"/>
        </w:rPr>
        <w:t>, 2019).</w:t>
      </w:r>
      <w:r w:rsidRPr="00387B0C">
        <w:rPr>
          <w:color w:val="000000" w:themeColor="text1"/>
        </w:rPr>
        <w:t xml:space="preserve"> Epistemology</w:t>
      </w:r>
      <w:r w:rsidR="0070117C">
        <w:rPr>
          <w:color w:val="000000" w:themeColor="text1"/>
        </w:rPr>
        <w:t xml:space="preserve">, </w:t>
      </w:r>
      <w:r w:rsidR="00DE6C52">
        <w:rPr>
          <w:color w:val="000000" w:themeColor="text1"/>
        </w:rPr>
        <w:t xml:space="preserve">is </w:t>
      </w:r>
      <w:r w:rsidR="0070117C" w:rsidRPr="0070117C">
        <w:rPr>
          <w:color w:val="000000" w:themeColor="text1"/>
        </w:rPr>
        <w:t>driven by ontological beliefs</w:t>
      </w:r>
      <w:r w:rsidR="0070117C">
        <w:rPr>
          <w:color w:val="000000" w:themeColor="text1"/>
        </w:rPr>
        <w:t xml:space="preserve"> </w:t>
      </w:r>
      <w:r w:rsidR="0070117C" w:rsidRPr="0070117C">
        <w:rPr>
          <w:color w:val="000000" w:themeColor="text1"/>
        </w:rPr>
        <w:t>(Pessu,2019)</w:t>
      </w:r>
      <w:r w:rsidR="0070117C">
        <w:rPr>
          <w:color w:val="000000" w:themeColor="text1"/>
        </w:rPr>
        <w:t xml:space="preserve"> </w:t>
      </w:r>
      <w:r w:rsidR="00DE6C52">
        <w:rPr>
          <w:color w:val="000000" w:themeColor="text1"/>
        </w:rPr>
        <w:t xml:space="preserve">and </w:t>
      </w:r>
      <w:r w:rsidR="00DA1224">
        <w:rPr>
          <w:color w:val="000000" w:themeColor="text1"/>
        </w:rPr>
        <w:t>considers</w:t>
      </w:r>
      <w:r w:rsidRPr="00387B0C">
        <w:rPr>
          <w:color w:val="000000" w:themeColor="text1"/>
        </w:rPr>
        <w:t xml:space="preserve"> the nature and scope of knowledge, asking how we know what we know and what constitutes valid evidence</w:t>
      </w:r>
      <w:r w:rsidR="00DA1224">
        <w:rPr>
          <w:color w:val="000000" w:themeColor="text1"/>
        </w:rPr>
        <w:t xml:space="preserve"> </w:t>
      </w:r>
      <w:r w:rsidR="003D0607">
        <w:rPr>
          <w:color w:val="000000" w:themeColor="text1"/>
        </w:rPr>
        <w:t>(</w:t>
      </w:r>
      <w:r w:rsidR="00DA1224" w:rsidRPr="00DA1224">
        <w:rPr>
          <w:color w:val="000000" w:themeColor="text1"/>
        </w:rPr>
        <w:t>Moser</w:t>
      </w:r>
      <w:r w:rsidR="003D0607">
        <w:rPr>
          <w:color w:val="000000" w:themeColor="text1"/>
        </w:rPr>
        <w:t xml:space="preserve">, 2009). </w:t>
      </w:r>
      <w:r w:rsidRPr="00387B0C">
        <w:rPr>
          <w:color w:val="000000" w:themeColor="text1"/>
        </w:rPr>
        <w:t>Axiology examines the role of values in research, considering the ethical and moral principles that guide the researcher’s decisions and the impact of their work</w:t>
      </w:r>
      <w:r w:rsidR="003D0607">
        <w:rPr>
          <w:color w:val="000000" w:themeColor="text1"/>
        </w:rPr>
        <w:t xml:space="preserve"> (</w:t>
      </w:r>
      <w:r w:rsidR="003D0607" w:rsidRPr="003D0607">
        <w:rPr>
          <w:color w:val="000000" w:themeColor="text1"/>
        </w:rPr>
        <w:t>Guba</w:t>
      </w:r>
      <w:r w:rsidR="003D0607">
        <w:rPr>
          <w:color w:val="000000" w:themeColor="text1"/>
        </w:rPr>
        <w:t xml:space="preserve"> </w:t>
      </w:r>
      <w:r w:rsidR="003D0607" w:rsidRPr="003D0607">
        <w:rPr>
          <w:color w:val="000000" w:themeColor="text1"/>
        </w:rPr>
        <w:t>&amp; Lincoln</w:t>
      </w:r>
      <w:r w:rsidR="003D0607">
        <w:rPr>
          <w:color w:val="000000" w:themeColor="text1"/>
        </w:rPr>
        <w:t xml:space="preserve">, </w:t>
      </w:r>
      <w:r w:rsidR="003D0607" w:rsidRPr="003D0607">
        <w:rPr>
          <w:color w:val="000000" w:themeColor="text1"/>
        </w:rPr>
        <w:t xml:space="preserve">2005). </w:t>
      </w:r>
    </w:p>
    <w:p w14:paraId="5C1C0661" w14:textId="2333E972" w:rsidR="00413098" w:rsidRDefault="00387B0C" w:rsidP="00387B0C">
      <w:pPr>
        <w:rPr>
          <w:color w:val="000000" w:themeColor="text1"/>
        </w:rPr>
      </w:pPr>
      <w:r w:rsidRPr="00387B0C">
        <w:rPr>
          <w:color w:val="000000" w:themeColor="text1"/>
        </w:rPr>
        <w:t>Choosing a methodology and methods aligned with these philosophical stances is critical for achieving coherence in research design</w:t>
      </w:r>
      <w:r w:rsidR="003D0607">
        <w:rPr>
          <w:color w:val="000000" w:themeColor="text1"/>
        </w:rPr>
        <w:t xml:space="preserve"> </w:t>
      </w:r>
      <w:r w:rsidR="003D0607" w:rsidRPr="003D0607">
        <w:rPr>
          <w:color w:val="000000" w:themeColor="text1"/>
        </w:rPr>
        <w:t>(Al-Ababneh, 2020)</w:t>
      </w:r>
      <w:r w:rsidR="003D0607">
        <w:rPr>
          <w:color w:val="000000" w:themeColor="text1"/>
        </w:rPr>
        <w:t xml:space="preserve">. </w:t>
      </w:r>
      <w:r w:rsidRPr="00387B0C">
        <w:rPr>
          <w:color w:val="000000" w:themeColor="text1"/>
        </w:rPr>
        <w:t xml:space="preserve">For instance, </w:t>
      </w:r>
      <w:r w:rsidR="00413098">
        <w:rPr>
          <w:color w:val="000000" w:themeColor="text1"/>
        </w:rPr>
        <w:t xml:space="preserve">positivist ontology and epistemology expect data and </w:t>
      </w:r>
      <w:r w:rsidRPr="00387B0C">
        <w:rPr>
          <w:color w:val="000000" w:themeColor="text1"/>
        </w:rPr>
        <w:t xml:space="preserve">quantitative methods, </w:t>
      </w:r>
      <w:r w:rsidR="00DA1224">
        <w:rPr>
          <w:color w:val="000000" w:themeColor="text1"/>
        </w:rPr>
        <w:t>emphasising</w:t>
      </w:r>
      <w:r w:rsidRPr="00387B0C">
        <w:rPr>
          <w:color w:val="000000" w:themeColor="text1"/>
        </w:rPr>
        <w:t xml:space="preserve"> measurable variables and statistical analysis. Conversely, an interpretivist stance might </w:t>
      </w:r>
      <w:r w:rsidR="00413098">
        <w:rPr>
          <w:color w:val="000000" w:themeColor="text1"/>
        </w:rPr>
        <w:t xml:space="preserve">expect </w:t>
      </w:r>
      <w:r w:rsidRPr="00387B0C">
        <w:rPr>
          <w:color w:val="000000" w:themeColor="text1"/>
        </w:rPr>
        <w:t xml:space="preserve">qualitative approaches, </w:t>
      </w:r>
      <w:r w:rsidR="00413098">
        <w:rPr>
          <w:color w:val="000000" w:themeColor="text1"/>
        </w:rPr>
        <w:t>obtaining a depth of</w:t>
      </w:r>
      <w:r w:rsidRPr="00387B0C">
        <w:rPr>
          <w:color w:val="000000" w:themeColor="text1"/>
        </w:rPr>
        <w:t xml:space="preserve"> context</w:t>
      </w:r>
      <w:r w:rsidR="00413098">
        <w:rPr>
          <w:color w:val="000000" w:themeColor="text1"/>
        </w:rPr>
        <w:t xml:space="preserve"> that primary data may not give</w:t>
      </w:r>
      <w:r w:rsidR="00413098" w:rsidRPr="00387B0C">
        <w:rPr>
          <w:color w:val="000000" w:themeColor="text1"/>
        </w:rPr>
        <w:t xml:space="preserve"> through</w:t>
      </w:r>
      <w:r w:rsidRPr="00387B0C">
        <w:rPr>
          <w:color w:val="000000" w:themeColor="text1"/>
        </w:rPr>
        <w:t xml:space="preserve"> interviews or ethnography</w:t>
      </w:r>
      <w:r w:rsidR="00413098">
        <w:rPr>
          <w:color w:val="000000" w:themeColor="text1"/>
        </w:rPr>
        <w:t xml:space="preserve"> (culturally immersive research)</w:t>
      </w:r>
      <w:r w:rsidRPr="00387B0C">
        <w:rPr>
          <w:color w:val="000000" w:themeColor="text1"/>
        </w:rPr>
        <w:t>.</w:t>
      </w:r>
      <w:r w:rsidR="00413098">
        <w:rPr>
          <w:color w:val="000000" w:themeColor="text1"/>
        </w:rPr>
        <w:t xml:space="preserve"> In simple terms, a positivist approach assumes an objective reality, and an interpretivism approach assumes individuals have their </w:t>
      </w:r>
      <w:r w:rsidR="002C19A5">
        <w:rPr>
          <w:color w:val="000000" w:themeColor="text1"/>
        </w:rPr>
        <w:t xml:space="preserve">own </w:t>
      </w:r>
      <w:r w:rsidR="00413098">
        <w:rPr>
          <w:color w:val="000000" w:themeColor="text1"/>
        </w:rPr>
        <w:t>understanding of reality</w:t>
      </w:r>
      <w:r w:rsidR="002C19A5">
        <w:rPr>
          <w:color w:val="000000" w:themeColor="text1"/>
        </w:rPr>
        <w:t xml:space="preserve"> </w:t>
      </w:r>
      <w:r w:rsidR="002C19A5" w:rsidRPr="002C19A5">
        <w:rPr>
          <w:color w:val="000000" w:themeColor="text1"/>
        </w:rPr>
        <w:t>(</w:t>
      </w:r>
      <w:proofErr w:type="spellStart"/>
      <w:r w:rsidR="002C19A5" w:rsidRPr="002C19A5">
        <w:rPr>
          <w:color w:val="000000" w:themeColor="text1"/>
        </w:rPr>
        <w:t>Alharahsheh</w:t>
      </w:r>
      <w:proofErr w:type="spellEnd"/>
      <w:r w:rsidR="002C19A5" w:rsidRPr="002C19A5">
        <w:rPr>
          <w:color w:val="000000" w:themeColor="text1"/>
        </w:rPr>
        <w:t xml:space="preserve"> &amp; Pius, 2020)</w:t>
      </w:r>
    </w:p>
    <w:p w14:paraId="7D1F59F8" w14:textId="5B09D111" w:rsidR="00387B0C" w:rsidRPr="00387B0C" w:rsidRDefault="00387B0C" w:rsidP="00387B0C">
      <w:pPr>
        <w:rPr>
          <w:color w:val="000000" w:themeColor="text1"/>
        </w:rPr>
      </w:pPr>
      <w:r w:rsidRPr="00387B0C">
        <w:rPr>
          <w:color w:val="000000" w:themeColor="text1"/>
        </w:rPr>
        <w:t>Axiology</w:t>
      </w:r>
      <w:r w:rsidR="002C19A5">
        <w:rPr>
          <w:color w:val="000000" w:themeColor="text1"/>
        </w:rPr>
        <w:t>, the study and assessment of research values, shapes</w:t>
      </w:r>
      <w:r w:rsidRPr="00387B0C">
        <w:rPr>
          <w:color w:val="000000" w:themeColor="text1"/>
        </w:rPr>
        <w:t xml:space="preserve"> decisions about the purpose of the study and the researcher’s ethical obligations to participants and broader society.</w:t>
      </w:r>
      <w:r w:rsidR="002C19A5">
        <w:rPr>
          <w:color w:val="000000"/>
          <w:shd w:val="clear" w:color="auto" w:fill="FFFFFF"/>
        </w:rPr>
        <w:t xml:space="preserve"> Bell &amp; Bryman, 2006).</w:t>
      </w:r>
    </w:p>
    <w:p w14:paraId="1AAED3D4" w14:textId="16429DE3" w:rsidR="0070117C" w:rsidRDefault="00387B0C" w:rsidP="00387B0C">
      <w:pPr>
        <w:rPr>
          <w:color w:val="000000" w:themeColor="text1"/>
        </w:rPr>
      </w:pPr>
      <w:r w:rsidRPr="00387B0C">
        <w:rPr>
          <w:color w:val="000000" w:themeColor="text1"/>
        </w:rPr>
        <w:t>Misalignment between ontology, epistemology, axiology, and methods can compromise the validity and credibility of a study</w:t>
      </w:r>
      <w:r w:rsidR="00E929FF">
        <w:rPr>
          <w:color w:val="000000" w:themeColor="text1"/>
        </w:rPr>
        <w:t xml:space="preserve"> (</w:t>
      </w:r>
      <w:r w:rsidR="001C475E">
        <w:rPr>
          <w:color w:val="000000" w:themeColor="text1"/>
        </w:rPr>
        <w:t xml:space="preserve">Hall, 2003; </w:t>
      </w:r>
      <w:r w:rsidR="00E929FF" w:rsidRPr="00E929FF">
        <w:rPr>
          <w:color w:val="000000" w:themeColor="text1"/>
        </w:rPr>
        <w:t>Al-Ababneh</w:t>
      </w:r>
      <w:r w:rsidR="00E929FF">
        <w:rPr>
          <w:color w:val="000000" w:themeColor="text1"/>
        </w:rPr>
        <w:t xml:space="preserve">, </w:t>
      </w:r>
      <w:r w:rsidR="00E929FF" w:rsidRPr="00E929FF">
        <w:rPr>
          <w:color w:val="000000" w:themeColor="text1"/>
        </w:rPr>
        <w:t>2020)</w:t>
      </w:r>
      <w:r w:rsidR="00E929FF">
        <w:rPr>
          <w:color w:val="000000" w:themeColor="text1"/>
        </w:rPr>
        <w:t>.</w:t>
      </w:r>
      <w:r w:rsidRPr="00387B0C">
        <w:rPr>
          <w:color w:val="000000" w:themeColor="text1"/>
        </w:rPr>
        <w:t xml:space="preserve"> </w:t>
      </w:r>
      <w:r w:rsidR="0070117C">
        <w:t>For example, applying quantitative methods in a study based on constructivist ontology might fail to capture the nuanced, subjective nature of the data</w:t>
      </w:r>
      <w:r w:rsidR="0047465B">
        <w:t xml:space="preserve"> </w:t>
      </w:r>
    </w:p>
    <w:p w14:paraId="6D9629F9" w14:textId="5DE8C6F3" w:rsidR="00AE3BFD" w:rsidRPr="0047465B" w:rsidRDefault="00387B0C" w:rsidP="00AE3BFD">
      <w:pPr>
        <w:rPr>
          <w:color w:val="000000" w:themeColor="text1"/>
        </w:rPr>
      </w:pPr>
      <w:r w:rsidRPr="00387B0C">
        <w:rPr>
          <w:color w:val="000000" w:themeColor="text1"/>
        </w:rPr>
        <w:t xml:space="preserve">Similarly, ignoring the ethical </w:t>
      </w:r>
      <w:r w:rsidRPr="00DE6C52">
        <w:rPr>
          <w:color w:val="FF0000"/>
        </w:rPr>
        <w:t>dimensions</w:t>
      </w:r>
      <w:r w:rsidRPr="00387B0C">
        <w:rPr>
          <w:color w:val="000000" w:themeColor="text1"/>
        </w:rPr>
        <w:t xml:space="preserve"> of axiology risks harm to participants or undermines trust in the research process</w:t>
      </w:r>
      <w:r w:rsidR="00E461BC">
        <w:rPr>
          <w:color w:val="000000" w:themeColor="text1"/>
        </w:rPr>
        <w:t xml:space="preserve"> </w:t>
      </w:r>
      <w:r w:rsidR="00E461BC" w:rsidRPr="00E461BC">
        <w:rPr>
          <w:color w:val="000000" w:themeColor="text1"/>
        </w:rPr>
        <w:t>(Ohler, 2001</w:t>
      </w:r>
      <w:r w:rsidR="00932E3B">
        <w:rPr>
          <w:color w:val="000000" w:themeColor="text1"/>
        </w:rPr>
        <w:t>;</w:t>
      </w:r>
      <w:r w:rsidR="00932E3B">
        <w:rPr>
          <w:color w:val="000000"/>
          <w:shd w:val="clear" w:color="auto" w:fill="FFFFFF"/>
        </w:rPr>
        <w:t xml:space="preserve"> </w:t>
      </w:r>
      <w:r w:rsidR="00932E3B" w:rsidRPr="00A357D9">
        <w:rPr>
          <w:color w:val="FF0000"/>
          <w:shd w:val="clear" w:color="auto" w:fill="FFFFFF"/>
        </w:rPr>
        <w:t xml:space="preserve">Hendrik </w:t>
      </w:r>
      <w:proofErr w:type="spellStart"/>
      <w:r w:rsidR="00932E3B" w:rsidRPr="00A357D9">
        <w:rPr>
          <w:color w:val="FF0000"/>
          <w:shd w:val="clear" w:color="auto" w:fill="FFFFFF"/>
        </w:rPr>
        <w:t>Berghaeuser</w:t>
      </w:r>
      <w:proofErr w:type="spellEnd"/>
      <w:r w:rsidR="00932E3B" w:rsidRPr="00A357D9">
        <w:rPr>
          <w:color w:val="FF0000"/>
          <w:shd w:val="clear" w:color="auto" w:fill="FFFFFF"/>
        </w:rPr>
        <w:t xml:space="preserve"> </w:t>
      </w:r>
      <w:r w:rsidR="00932E3B">
        <w:rPr>
          <w:color w:val="000000"/>
          <w:shd w:val="clear" w:color="auto" w:fill="FFFFFF"/>
        </w:rPr>
        <w:t>et al., 2024</w:t>
      </w:r>
      <w:r w:rsidR="00E461BC" w:rsidRPr="00E461BC">
        <w:rPr>
          <w:color w:val="000000" w:themeColor="text1"/>
        </w:rPr>
        <w:t>)</w:t>
      </w:r>
      <w:r w:rsidR="00E461BC">
        <w:rPr>
          <w:color w:val="000000" w:themeColor="text1"/>
        </w:rPr>
        <w:t xml:space="preserve">. </w:t>
      </w:r>
      <w:r w:rsidRPr="00387B0C">
        <w:rPr>
          <w:color w:val="000000" w:themeColor="text1"/>
        </w:rPr>
        <w:t xml:space="preserve">Ensuring that these elements </w:t>
      </w:r>
      <w:r w:rsidR="00932E3B">
        <w:rPr>
          <w:color w:val="000000" w:themeColor="text1"/>
        </w:rPr>
        <w:t>are aligned</w:t>
      </w:r>
      <w:r w:rsidRPr="00387B0C">
        <w:rPr>
          <w:color w:val="000000" w:themeColor="text1"/>
        </w:rPr>
        <w:t xml:space="preserve"> supports the production of meaningful and credible findings while respecting the subject matter and those involved. Failure to achieve this alignment risks methodological incoherence, undermines the integrity of the research, and reduces its impact</w:t>
      </w:r>
      <w:r w:rsidR="0047465B">
        <w:rPr>
          <w:color w:val="000000" w:themeColor="text1"/>
        </w:rPr>
        <w:t xml:space="preserve"> </w:t>
      </w:r>
      <w:r w:rsidR="0047465B" w:rsidRPr="0047465B">
        <w:rPr>
          <w:color w:val="000000" w:themeColor="text1"/>
        </w:rPr>
        <w:t xml:space="preserve">(Bracken, </w:t>
      </w:r>
      <w:r w:rsidR="0047465B">
        <w:rPr>
          <w:color w:val="000000" w:themeColor="text1"/>
        </w:rPr>
        <w:t>2010</w:t>
      </w:r>
      <w:r w:rsidR="00A357D9">
        <w:rPr>
          <w:color w:val="000000" w:themeColor="text1"/>
        </w:rPr>
        <w:t xml:space="preserve">; </w:t>
      </w:r>
      <w:r w:rsidR="00A357D9" w:rsidRPr="00A357D9">
        <w:rPr>
          <w:color w:val="000000" w:themeColor="text1"/>
        </w:rPr>
        <w:t>Al-Ababneh, 2020</w:t>
      </w:r>
      <w:r w:rsidR="0047465B" w:rsidRPr="0047465B">
        <w:rPr>
          <w:color w:val="000000" w:themeColor="text1"/>
        </w:rPr>
        <w:t>)</w:t>
      </w:r>
      <w:r w:rsidR="0047465B">
        <w:rPr>
          <w:color w:val="000000" w:themeColor="text1"/>
        </w:rPr>
        <w:t>. I</w:t>
      </w:r>
      <w:r w:rsidRPr="00387B0C">
        <w:rPr>
          <w:color w:val="000000" w:themeColor="text1"/>
        </w:rPr>
        <w:t xml:space="preserve">ntegration of these philosophical components </w:t>
      </w:r>
      <w:r w:rsidR="00A357D9">
        <w:rPr>
          <w:color w:val="000000" w:themeColor="text1"/>
        </w:rPr>
        <w:t xml:space="preserve">correctly </w:t>
      </w:r>
      <w:r w:rsidRPr="00387B0C">
        <w:rPr>
          <w:color w:val="000000" w:themeColor="text1"/>
        </w:rPr>
        <w:t>strengthens the overall study and its contributions to knowledge</w:t>
      </w:r>
      <w:r w:rsidR="0047465B">
        <w:rPr>
          <w:color w:val="000000" w:themeColor="text1"/>
        </w:rPr>
        <w:t xml:space="preserve"> (</w:t>
      </w:r>
      <w:r w:rsidR="00A357D9" w:rsidRPr="00A357D9">
        <w:rPr>
          <w:color w:val="000000" w:themeColor="text1"/>
        </w:rPr>
        <w:t>Al-Ababneh, 2020</w:t>
      </w:r>
      <w:r w:rsidR="00A357D9">
        <w:rPr>
          <w:color w:val="000000" w:themeColor="text1"/>
        </w:rPr>
        <w:t xml:space="preserve">; </w:t>
      </w:r>
      <w:r w:rsidR="0047465B" w:rsidRPr="0047465B">
        <w:rPr>
          <w:color w:val="000000" w:themeColor="text1"/>
        </w:rPr>
        <w:t>Nichol</w:t>
      </w:r>
      <w:r w:rsidR="0047465B">
        <w:rPr>
          <w:color w:val="000000" w:themeColor="text1"/>
        </w:rPr>
        <w:t xml:space="preserve"> et al., </w:t>
      </w:r>
      <w:r w:rsidR="0047465B" w:rsidRPr="0047465B">
        <w:rPr>
          <w:color w:val="000000" w:themeColor="text1"/>
        </w:rPr>
        <w:t xml:space="preserve">2023). </w:t>
      </w:r>
    </w:p>
    <w:p w14:paraId="34D53570" w14:textId="77777777" w:rsidR="006615AB" w:rsidRPr="001D7135" w:rsidRDefault="006615AB" w:rsidP="00AE3BFD"/>
    <w:p w14:paraId="726FC674" w14:textId="77777777" w:rsidR="006615AB" w:rsidRDefault="006615AB" w:rsidP="00AE3BFD">
      <w:pPr>
        <w:rPr>
          <w:b/>
          <w:bCs/>
        </w:rPr>
      </w:pPr>
      <w:r w:rsidRPr="001D7135">
        <w:rPr>
          <w:b/>
          <w:bCs/>
        </w:rPr>
        <w:t>Summary Analysis of the 10 individual research papers</w:t>
      </w:r>
    </w:p>
    <w:p w14:paraId="28348988" w14:textId="59C8606B" w:rsidR="00CD1602" w:rsidRPr="00CD1602" w:rsidRDefault="00CD1602" w:rsidP="00AE3BFD">
      <w:pPr>
        <w:rPr>
          <w:b/>
          <w:bCs/>
          <w:color w:val="7030A0"/>
        </w:rPr>
      </w:pPr>
      <w:r w:rsidRPr="00CD1602">
        <w:rPr>
          <w:b/>
          <w:bCs/>
          <w:color w:val="7030A0"/>
        </w:rPr>
        <w:t xml:space="preserve">Introduce the approach and why (10 individual summarises </w:t>
      </w:r>
      <w:proofErr w:type="spellStart"/>
      <w:r w:rsidRPr="00CD1602">
        <w:rPr>
          <w:b/>
          <w:bCs/>
          <w:color w:val="7030A0"/>
        </w:rPr>
        <w:t>considiering</w:t>
      </w:r>
      <w:proofErr w:type="spellEnd"/>
      <w:r w:rsidRPr="00CD1602">
        <w:rPr>
          <w:b/>
          <w:bCs/>
          <w:color w:val="7030A0"/>
        </w:rPr>
        <w:t xml:space="preserve"> … followed by</w:t>
      </w:r>
    </w:p>
    <w:p w14:paraId="451D35E5" w14:textId="77777777" w:rsidR="00DA78D4" w:rsidRPr="00CD1602" w:rsidRDefault="00DA78D4" w:rsidP="00AE3BFD">
      <w:pPr>
        <w:rPr>
          <w:b/>
          <w:bCs/>
          <w:color w:val="7030A0"/>
        </w:rPr>
      </w:pPr>
    </w:p>
    <w:p w14:paraId="0CA95F72" w14:textId="77777777" w:rsidR="00DA78D4" w:rsidRPr="001D7135" w:rsidRDefault="006615AB" w:rsidP="00AE3BFD">
      <w:pPr>
        <w:rPr>
          <w:b/>
          <w:bCs/>
        </w:rPr>
      </w:pPr>
      <w:r w:rsidRPr="001D7135">
        <w:rPr>
          <w:b/>
          <w:bCs/>
        </w:rPr>
        <w:lastRenderedPageBreak/>
        <w:t>Paper One:</w:t>
      </w:r>
    </w:p>
    <w:p w14:paraId="58BF564E" w14:textId="77777777" w:rsidR="006615AB" w:rsidRPr="001D7135" w:rsidRDefault="006615AB" w:rsidP="00AE3BFD">
      <w:pPr>
        <w:rPr>
          <w:b/>
          <w:bCs/>
        </w:rPr>
      </w:pPr>
      <w:r w:rsidRPr="006615AB">
        <w:rPr>
          <w:b/>
          <w:bCs/>
        </w:rPr>
        <w:t>A Critical Review of "Which University Degrees Are Best for Intergenerational Mobility?" Britton et al.</w:t>
      </w:r>
    </w:p>
    <w:p w14:paraId="3F5EC986" w14:textId="77777777" w:rsidR="00DA78D4" w:rsidRPr="001D7135" w:rsidRDefault="00DA78D4" w:rsidP="00DA78D4">
      <w:pPr>
        <w:rPr>
          <w:b/>
          <w:bCs/>
        </w:rPr>
      </w:pPr>
      <w:r w:rsidRPr="001D7135">
        <w:rPr>
          <w:b/>
          <w:bCs/>
        </w:rPr>
        <w:t>Content Summary</w:t>
      </w:r>
    </w:p>
    <w:p w14:paraId="3265F5B1" w14:textId="77777777" w:rsidR="00DA78D4" w:rsidRPr="001D7135" w:rsidRDefault="00DA78D4" w:rsidP="00DA78D4">
      <w:r w:rsidRPr="001D7135">
        <w:t>The study by Britton, Drayton, and van der Erve (2021) examines how university courses and institutions influence intergenerational mobility in England. Using the Longitudinal Education Outcomes (LEO) dataset, the authors calculate mobility rates by combining access rates (representation of students from low-income backgrounds) with success rates (these students' transition into the top 20% of earners by age 30). The findings reveal substantial differences in mobility rates, with less selective universities in London and high-return fields such as pharmacology, computing, and law performing strongly. Conversely, prestigious institutions like Oxford and Cambridge exhibit low mobility due to limited access for disadvantaged groups.</w:t>
      </w:r>
    </w:p>
    <w:p w14:paraId="0C8F633E" w14:textId="77777777" w:rsidR="00DA78D4" w:rsidRPr="001D7135" w:rsidRDefault="00DA78D4" w:rsidP="00DA78D4">
      <w:pPr>
        <w:rPr>
          <w:b/>
          <w:bCs/>
        </w:rPr>
      </w:pPr>
      <w:r w:rsidRPr="001D7135">
        <w:rPr>
          <w:b/>
          <w:bCs/>
        </w:rPr>
        <w:t>Authority</w:t>
      </w:r>
    </w:p>
    <w:p w14:paraId="73DEF020" w14:textId="77777777" w:rsidR="00DA78D4" w:rsidRPr="001D7135" w:rsidRDefault="00DA78D4" w:rsidP="00DA78D4">
      <w:r w:rsidRPr="001D7135">
        <w:t>The research team is connected to the well-regarded Institute for Fiscal Studies, which has a strong reputation in educational and economic policy analysis. Their use of extensive national datasets and established methodologies reinforces the study’s credibility.</w:t>
      </w:r>
    </w:p>
    <w:p w14:paraId="4AAEFB14" w14:textId="77777777" w:rsidR="00DA78D4" w:rsidRPr="001D7135" w:rsidRDefault="00DA78D4" w:rsidP="00DA78D4">
      <w:pPr>
        <w:rPr>
          <w:b/>
          <w:bCs/>
        </w:rPr>
      </w:pPr>
      <w:r w:rsidRPr="001D7135">
        <w:rPr>
          <w:b/>
          <w:bCs/>
        </w:rPr>
        <w:t>Methodology</w:t>
      </w:r>
    </w:p>
    <w:p w14:paraId="35E3070E" w14:textId="77777777" w:rsidR="00DA78D4" w:rsidRPr="001D7135" w:rsidRDefault="00DA78D4" w:rsidP="00DA78D4">
      <w:r w:rsidRPr="001D7135">
        <w:t>The study employs a quantitative approach with a focus on measurable outcomes like earnings and access rates. It adopts a systemic view, treating mobility outcomes as observable and structured phenomena. The research prioritises equity by exploring pathways to improve opportunities for students from disadvantaged backgrounds.</w:t>
      </w:r>
    </w:p>
    <w:p w14:paraId="6192874A" w14:textId="77777777" w:rsidR="00DA78D4" w:rsidRPr="001D7135" w:rsidRDefault="00DA78D4" w:rsidP="00DA78D4"/>
    <w:p w14:paraId="4D5D0E9A" w14:textId="77777777" w:rsidR="00DA78D4" w:rsidRPr="001D7135" w:rsidRDefault="00DA78D4" w:rsidP="00DA78D4">
      <w:pPr>
        <w:rPr>
          <w:b/>
          <w:bCs/>
        </w:rPr>
      </w:pPr>
      <w:r w:rsidRPr="001D7135">
        <w:rPr>
          <w:b/>
          <w:bCs/>
        </w:rPr>
        <w:t>Critical Analysis</w:t>
      </w:r>
    </w:p>
    <w:p w14:paraId="0606194B" w14:textId="77777777" w:rsidR="00DA78D4" w:rsidRPr="001D7135" w:rsidRDefault="00DA78D4" w:rsidP="00DA78D4">
      <w:pPr>
        <w:rPr>
          <w:b/>
          <w:bCs/>
        </w:rPr>
      </w:pPr>
      <w:r w:rsidRPr="001D7135">
        <w:rPr>
          <w:b/>
          <w:bCs/>
        </w:rPr>
        <w:t>Accuracy</w:t>
      </w:r>
    </w:p>
    <w:p w14:paraId="33050293" w14:textId="77777777" w:rsidR="00DA78D4" w:rsidRPr="001D7135" w:rsidRDefault="00DA78D4" w:rsidP="00DA78D4">
      <w:r w:rsidRPr="001D7135">
        <w:t xml:space="preserve">The research demonstrates high reliability </w:t>
      </w:r>
      <w:proofErr w:type="gramStart"/>
      <w:r w:rsidRPr="001D7135">
        <w:t>through the use of</w:t>
      </w:r>
      <w:proofErr w:type="gramEnd"/>
      <w:r w:rsidRPr="001D7135">
        <w:t xml:space="preserve"> a dataset encompassing approximately 570,000 individuals. Its findings align with existing theories on inequality in higher education. However, using Free School Meals (FSM) eligibility as the sole indicator of socioeconomic status overlooks other critical factors, including ethnicity and disability.</w:t>
      </w:r>
    </w:p>
    <w:p w14:paraId="6240A14F" w14:textId="77777777" w:rsidR="00DA78D4" w:rsidRPr="001D7135" w:rsidRDefault="00DA78D4" w:rsidP="00DA78D4">
      <w:pPr>
        <w:rPr>
          <w:b/>
          <w:bCs/>
        </w:rPr>
      </w:pPr>
      <w:r w:rsidRPr="001D7135">
        <w:rPr>
          <w:b/>
          <w:bCs/>
        </w:rPr>
        <w:t>Objectivity</w:t>
      </w:r>
    </w:p>
    <w:p w14:paraId="647940B8" w14:textId="77777777" w:rsidR="00DA78D4" w:rsidRPr="001D7135" w:rsidRDefault="00DA78D4" w:rsidP="00DA78D4">
      <w:r w:rsidRPr="001D7135">
        <w:t>The reliance on quantitative data offers a clear and measurable analysis. However, the absence of qualitative insights limits a deeper understanding of the experiences of disadvantaged students. While the study’s recommendations are evidence-based, it does not address how institutional cultures may perpetuate stratification.</w:t>
      </w:r>
    </w:p>
    <w:p w14:paraId="1AB4B7B3" w14:textId="77777777" w:rsidR="00DA78D4" w:rsidRPr="001D7135" w:rsidRDefault="00DA78D4" w:rsidP="00DA78D4">
      <w:pPr>
        <w:rPr>
          <w:b/>
          <w:bCs/>
        </w:rPr>
      </w:pPr>
      <w:r w:rsidRPr="001D7135">
        <w:rPr>
          <w:b/>
          <w:bCs/>
        </w:rPr>
        <w:lastRenderedPageBreak/>
        <w:t>Currency</w:t>
      </w:r>
    </w:p>
    <w:p w14:paraId="21F8143D" w14:textId="77777777" w:rsidR="00DA78D4" w:rsidRPr="001D7135" w:rsidRDefault="00DA78D4" w:rsidP="00DA78D4">
      <w:r w:rsidRPr="001D7135">
        <w:t>Published in 2021, the study remains relevant to current discussions about equity in UK higher education. To sustain its relevance, periodic updates reflecting new policies and trends would be beneficial.</w:t>
      </w:r>
    </w:p>
    <w:p w14:paraId="452D2334" w14:textId="77777777" w:rsidR="00DA78D4" w:rsidRPr="001D7135" w:rsidRDefault="00DA78D4" w:rsidP="00DA78D4">
      <w:pPr>
        <w:rPr>
          <w:b/>
          <w:bCs/>
        </w:rPr>
      </w:pPr>
      <w:r w:rsidRPr="001D7135">
        <w:rPr>
          <w:b/>
          <w:bCs/>
        </w:rPr>
        <w:t>Coverage</w:t>
      </w:r>
    </w:p>
    <w:p w14:paraId="6FAC60D2" w14:textId="77777777" w:rsidR="00DA78D4" w:rsidRPr="001D7135" w:rsidRDefault="00DA78D4" w:rsidP="00DA78D4">
      <w:r w:rsidRPr="001D7135">
        <w:t>The analysis provides detailed insights into mobility rates across universities and subjects. However, it could broaden its scope to examine intersectional aspects, including gender and ethnicity, for a more comprehensive understanding.</w:t>
      </w:r>
    </w:p>
    <w:p w14:paraId="430B5DD0" w14:textId="77777777" w:rsidR="00DA78D4" w:rsidRPr="001D7135" w:rsidRDefault="00DA78D4" w:rsidP="00DA78D4">
      <w:pPr>
        <w:rPr>
          <w:b/>
          <w:bCs/>
        </w:rPr>
      </w:pPr>
      <w:r w:rsidRPr="001D7135">
        <w:rPr>
          <w:b/>
          <w:bCs/>
        </w:rPr>
        <w:t>Uniqueness</w:t>
      </w:r>
    </w:p>
    <w:p w14:paraId="261AC26A" w14:textId="77777777" w:rsidR="00DA78D4" w:rsidRPr="001D7135" w:rsidRDefault="00DA78D4" w:rsidP="00DA78D4">
      <w:r w:rsidRPr="001D7135">
        <w:t>The study stands out by combining access and success rates, shedding light on variations across institutions and academic disciplines.</w:t>
      </w:r>
    </w:p>
    <w:p w14:paraId="6BA12BC8" w14:textId="77777777" w:rsidR="00DA78D4" w:rsidRPr="001D7135" w:rsidRDefault="00DA78D4" w:rsidP="00DA78D4"/>
    <w:p w14:paraId="2119783E" w14:textId="77777777" w:rsidR="00DA78D4" w:rsidRPr="001D7135" w:rsidRDefault="00DA78D4" w:rsidP="00DA78D4">
      <w:pPr>
        <w:rPr>
          <w:b/>
          <w:bCs/>
        </w:rPr>
      </w:pPr>
      <w:r w:rsidRPr="001D7135">
        <w:rPr>
          <w:b/>
          <w:bCs/>
        </w:rPr>
        <w:t>Epistemology, Ontology, and Axiology</w:t>
      </w:r>
    </w:p>
    <w:p w14:paraId="69269B3E" w14:textId="77777777" w:rsidR="00DA78D4" w:rsidRPr="001D7135" w:rsidRDefault="00DA78D4" w:rsidP="00DA78D4">
      <w:r w:rsidRPr="001D7135">
        <w:t>The research adopts a positivist approach, focusing on objective measurements. It views social mobility as a quantifiable and systemic issue. The study’s emphasis on equity highlights its commitment to addressing underrepresentation. While the methodology is rigorous and the recommendations are actionable, the lack of qualitative perspectives and intersectional analysis limits its depth.</w:t>
      </w:r>
    </w:p>
    <w:p w14:paraId="091E869F" w14:textId="77777777" w:rsidR="00DA78D4" w:rsidRPr="001D7135" w:rsidRDefault="00DA78D4" w:rsidP="00DA78D4">
      <w:pPr>
        <w:rPr>
          <w:b/>
          <w:bCs/>
        </w:rPr>
      </w:pPr>
      <w:r w:rsidRPr="001D7135">
        <w:rPr>
          <w:b/>
          <w:bCs/>
        </w:rPr>
        <w:t>Reliability, Validity, and Ethical Considerations</w:t>
      </w:r>
    </w:p>
    <w:p w14:paraId="731F4738" w14:textId="77777777" w:rsidR="00DA78D4" w:rsidRPr="001D7135" w:rsidRDefault="00DA78D4" w:rsidP="00DA78D4">
      <w:r w:rsidRPr="001D7135">
        <w:t xml:space="preserve">The reliability is reinforced </w:t>
      </w:r>
      <w:proofErr w:type="gramStart"/>
      <w:r w:rsidRPr="001D7135">
        <w:t>by the use of</w:t>
      </w:r>
      <w:proofErr w:type="gramEnd"/>
      <w:r w:rsidRPr="001D7135">
        <w:t xml:space="preserve"> high-quality data and transparent methods. However, validity is affected by the exclusive use of FSM as a socioeconomic proxy. Ethical considerations are well-addressed through data confidentiality and a focus on promoting fairness. Future work could improve validity by incorporating more inclusive socioeconomic indicators and engaging directly with affected groups.</w:t>
      </w:r>
    </w:p>
    <w:p w14:paraId="11FC17CC" w14:textId="77777777" w:rsidR="00DA78D4" w:rsidRPr="001D7135" w:rsidRDefault="00DA78D4" w:rsidP="00DA78D4">
      <w:pPr>
        <w:rPr>
          <w:b/>
          <w:bCs/>
        </w:rPr>
      </w:pPr>
      <w:r w:rsidRPr="001D7135">
        <w:rPr>
          <w:b/>
          <w:bCs/>
        </w:rPr>
        <w:t>Future Research</w:t>
      </w:r>
    </w:p>
    <w:p w14:paraId="0F29A8AE" w14:textId="77777777" w:rsidR="00DA78D4" w:rsidRPr="001D7135" w:rsidRDefault="00DA78D4" w:rsidP="00DA78D4">
      <w:r w:rsidRPr="001D7135">
        <w:t>This study highlights the importance of systemic changes in higher education to improve opportunities for disadvantaged students. Incorporating qualitative methods and intersectional analysis would enrich understanding of barriers. Expanding the scope to include international comparisons could provide insights into broader equity strategies.</w:t>
      </w:r>
    </w:p>
    <w:p w14:paraId="4C38DE32" w14:textId="77777777" w:rsidR="00DA78D4" w:rsidRPr="001D7135" w:rsidRDefault="00DA78D4" w:rsidP="00DA78D4">
      <w:pPr>
        <w:rPr>
          <w:b/>
          <w:bCs/>
        </w:rPr>
      </w:pPr>
      <w:r w:rsidRPr="001D7135">
        <w:rPr>
          <w:b/>
          <w:bCs/>
        </w:rPr>
        <w:t>Conclusion</w:t>
      </w:r>
    </w:p>
    <w:p w14:paraId="3CB10CD7" w14:textId="77777777" w:rsidR="006615AB" w:rsidRPr="001D7135" w:rsidRDefault="00DA78D4" w:rsidP="00DA78D4">
      <w:r w:rsidRPr="001D7135">
        <w:t xml:space="preserve">The research makes a significant contribution to understanding intergenerational mobility in higher education. Future work should adopt </w:t>
      </w:r>
      <w:proofErr w:type="gramStart"/>
      <w:r w:rsidRPr="001D7135">
        <w:t>mixed-methods</w:t>
      </w:r>
      <w:proofErr w:type="gramEnd"/>
      <w:r w:rsidRPr="001D7135">
        <w:t xml:space="preserve"> approaches, integrating qualitative data to explore lived experiences and intersectionality. Longitudinal studies could </w:t>
      </w:r>
      <w:r w:rsidRPr="001D7135">
        <w:lastRenderedPageBreak/>
        <w:t>offer deeper insights into how systemic barriers evolve and the long-term impacts of policy changes.</w:t>
      </w:r>
    </w:p>
    <w:p w14:paraId="6F46646D" w14:textId="77777777" w:rsidR="00FD5CC9" w:rsidRPr="001D7135" w:rsidRDefault="00FD5CC9" w:rsidP="00DA78D4"/>
    <w:p w14:paraId="7A879F02" w14:textId="77777777" w:rsidR="00FD5CC9" w:rsidRPr="001D7135" w:rsidRDefault="00FD5CC9" w:rsidP="00DA78D4">
      <w:pPr>
        <w:rPr>
          <w:b/>
          <w:bCs/>
        </w:rPr>
      </w:pPr>
      <w:r w:rsidRPr="001D7135">
        <w:rPr>
          <w:b/>
          <w:bCs/>
        </w:rPr>
        <w:t>Paper 2</w:t>
      </w:r>
    </w:p>
    <w:p w14:paraId="3FEC01D8" w14:textId="77777777" w:rsidR="00FD5CC9" w:rsidRPr="001D7135" w:rsidRDefault="00FD5CC9" w:rsidP="00FD5CC9">
      <w:pPr>
        <w:rPr>
          <w:b/>
          <w:bCs/>
        </w:rPr>
      </w:pPr>
      <w:bookmarkStart w:id="0" w:name="_Hlk187844812"/>
      <w:r w:rsidRPr="001D7135">
        <w:rPr>
          <w:b/>
          <w:bCs/>
        </w:rPr>
        <w:t>Title: A Critical Review of "Determining Factors of Access and Equity in Higher Education: A Systematic Review"</w:t>
      </w:r>
    </w:p>
    <w:p w14:paraId="5C0F8785" w14:textId="77777777" w:rsidR="00FD5CC9" w:rsidRPr="001D7135" w:rsidRDefault="00FD5CC9" w:rsidP="00FD5CC9"/>
    <w:p w14:paraId="5ACEE12A" w14:textId="77777777" w:rsidR="00FD5CC9" w:rsidRPr="001D7135" w:rsidRDefault="00FD5CC9" w:rsidP="00FD5CC9">
      <w:pPr>
        <w:rPr>
          <w:b/>
          <w:bCs/>
        </w:rPr>
      </w:pPr>
      <w:r w:rsidRPr="001D7135">
        <w:rPr>
          <w:b/>
          <w:bCs/>
        </w:rPr>
        <w:t xml:space="preserve">Content Summary </w:t>
      </w:r>
    </w:p>
    <w:p w14:paraId="4DA0FF05" w14:textId="77777777" w:rsidR="00FD5CC9" w:rsidRPr="001D7135" w:rsidRDefault="00FD5CC9" w:rsidP="00FD5CC9">
      <w:r w:rsidRPr="001D7135">
        <w:t xml:space="preserve">Mega Wanti et al. (2022) explore factors shaping access and equity in higher education through a systematic review of global research. The study identifies systemic, institutional, and financial barriers disproportionately affecting </w:t>
      </w:r>
      <w:r w:rsidR="003A51E2" w:rsidRPr="001D7135">
        <w:t>marginalised</w:t>
      </w:r>
      <w:r w:rsidRPr="001D7135">
        <w:t xml:space="preserve"> groups, including those from low-income backgrounds. Key influences highlighted include tuition costs, cultural norms, geographic challenges, and inadequate institutional support. The authors challenge deficit-based models and recommend reforms such as financial aid programs, inclusive policies, and structural changes aimed at improving equity. While comprehensive in its analysis, the review’s reliance on secondary data limits its capacity to address specific regional or contemporary challenges fully.</w:t>
      </w:r>
    </w:p>
    <w:p w14:paraId="346438D6" w14:textId="77777777" w:rsidR="00FD5CC9" w:rsidRPr="001D7135" w:rsidRDefault="00FD5CC9" w:rsidP="00FD5CC9">
      <w:pPr>
        <w:rPr>
          <w:b/>
          <w:bCs/>
        </w:rPr>
      </w:pPr>
      <w:r w:rsidRPr="001D7135">
        <w:rPr>
          <w:b/>
          <w:bCs/>
        </w:rPr>
        <w:t>Authority</w:t>
      </w:r>
    </w:p>
    <w:p w14:paraId="03E5314D" w14:textId="77777777" w:rsidR="00FD5CC9" w:rsidRPr="001D7135" w:rsidRDefault="00FD5CC9" w:rsidP="00FD5CC9">
      <w:r w:rsidRPr="001D7135">
        <w:t>The authors establish credibility through their association with respected academic institutions and their systematic approach. The inclusion of international perspectives adds significant value to the discussion.</w:t>
      </w:r>
    </w:p>
    <w:p w14:paraId="0AA11C5C" w14:textId="77777777" w:rsidR="00FD5CC9" w:rsidRPr="001D7135" w:rsidRDefault="00FD5CC9" w:rsidP="00FD5CC9">
      <w:pPr>
        <w:rPr>
          <w:b/>
          <w:bCs/>
        </w:rPr>
      </w:pPr>
      <w:r w:rsidRPr="001D7135">
        <w:rPr>
          <w:b/>
          <w:bCs/>
        </w:rPr>
        <w:t>Methodology</w:t>
      </w:r>
    </w:p>
    <w:p w14:paraId="61C9B08A" w14:textId="77777777" w:rsidR="00FD5CC9" w:rsidRPr="001D7135" w:rsidRDefault="00FD5CC9" w:rsidP="00FD5CC9">
      <w:r w:rsidRPr="001D7135">
        <w:t xml:space="preserve">This systematic review employs a qualitative approach grounded in critical constructivist principles. Inequities are framed as structural and entrenched within institutions and society. The study </w:t>
      </w:r>
      <w:r w:rsidR="00573A9F" w:rsidRPr="001D7135">
        <w:t>emphasises</w:t>
      </w:r>
      <w:r w:rsidRPr="001D7135">
        <w:t xml:space="preserve"> equity but is constrained by its dependence on secondary sources, which limits insights into region-specific or emerging issues.</w:t>
      </w:r>
    </w:p>
    <w:p w14:paraId="1186840A" w14:textId="77777777" w:rsidR="00FD5CC9" w:rsidRPr="001D7135" w:rsidRDefault="00FD5CC9" w:rsidP="00FD5CC9">
      <w:pPr>
        <w:rPr>
          <w:b/>
          <w:bCs/>
        </w:rPr>
      </w:pPr>
      <w:r w:rsidRPr="001D7135">
        <w:rPr>
          <w:b/>
          <w:bCs/>
        </w:rPr>
        <w:t xml:space="preserve">Critical Assessment </w:t>
      </w:r>
    </w:p>
    <w:p w14:paraId="7084284E" w14:textId="77777777" w:rsidR="00FD5CC9" w:rsidRPr="001D7135" w:rsidRDefault="00FD5CC9" w:rsidP="00FD5CC9">
      <w:pPr>
        <w:rPr>
          <w:b/>
          <w:bCs/>
        </w:rPr>
      </w:pPr>
      <w:r w:rsidRPr="001D7135">
        <w:rPr>
          <w:b/>
          <w:bCs/>
        </w:rPr>
        <w:t>Accuracy</w:t>
      </w:r>
    </w:p>
    <w:p w14:paraId="190B2CC7" w14:textId="77777777" w:rsidR="00FD5CC9" w:rsidRPr="001D7135" w:rsidRDefault="00FD5CC9" w:rsidP="00FD5CC9">
      <w:r w:rsidRPr="001D7135">
        <w:t xml:space="preserve">The review’s systematic methodology and stringent inclusion criteria enhance its reliability by </w:t>
      </w:r>
      <w:r w:rsidR="00573A9F" w:rsidRPr="001D7135">
        <w:t>integrating</w:t>
      </w:r>
      <w:r w:rsidRPr="001D7135">
        <w:t xml:space="preserve"> findings across varied contexts. However, relying on existing literature can introduce gaps, as new challenges and underrepresented perspectives may not be adequately captured.</w:t>
      </w:r>
    </w:p>
    <w:p w14:paraId="5CC18C42" w14:textId="77777777" w:rsidR="00FD5CC9" w:rsidRPr="001D7135" w:rsidRDefault="00FD5CC9" w:rsidP="00FD5CC9"/>
    <w:p w14:paraId="082EA223" w14:textId="77777777" w:rsidR="00FD5CC9" w:rsidRPr="001D7135" w:rsidRDefault="00FD5CC9" w:rsidP="00FD5CC9">
      <w:pPr>
        <w:rPr>
          <w:b/>
          <w:bCs/>
        </w:rPr>
      </w:pPr>
      <w:r w:rsidRPr="001D7135">
        <w:rPr>
          <w:b/>
          <w:bCs/>
        </w:rPr>
        <w:t>Objectivity</w:t>
      </w:r>
    </w:p>
    <w:p w14:paraId="000ECA3F" w14:textId="77777777" w:rsidR="00FD5CC9" w:rsidRPr="001D7135" w:rsidRDefault="00FD5CC9" w:rsidP="00FD5CC9">
      <w:r w:rsidRPr="001D7135">
        <w:lastRenderedPageBreak/>
        <w:t>The study critiques traditional deficit-based frameworks and proposes systemic reforms to improve equity in higher education. While this balanced approach addresses broad challenges, the limited exploration of intersectional issues, such as the interplay of gender, ethnicity, and disability, narrows its scope.</w:t>
      </w:r>
    </w:p>
    <w:p w14:paraId="527188D6" w14:textId="77777777" w:rsidR="00FD5CC9" w:rsidRPr="001D7135" w:rsidRDefault="00FD5CC9" w:rsidP="00FD5CC9">
      <w:pPr>
        <w:rPr>
          <w:b/>
          <w:bCs/>
        </w:rPr>
      </w:pPr>
      <w:r w:rsidRPr="001D7135">
        <w:rPr>
          <w:b/>
          <w:bCs/>
        </w:rPr>
        <w:t>Currency</w:t>
      </w:r>
    </w:p>
    <w:p w14:paraId="689B4B30" w14:textId="77777777" w:rsidR="00FD5CC9" w:rsidRPr="001D7135" w:rsidRDefault="00FD5CC9" w:rsidP="00FD5CC9">
      <w:r w:rsidRPr="001D7135">
        <w:t>The publication, from 2022, remains relevant to ongoing debates about equity in education. However, shifts in global education practices, particularly those influenced by the COVID-19 pandemic, highlight the need for continuous updates.</w:t>
      </w:r>
    </w:p>
    <w:p w14:paraId="28A068ED" w14:textId="77777777" w:rsidR="00FD5CC9" w:rsidRPr="001D7135" w:rsidRDefault="00FD5CC9" w:rsidP="00FD5CC9">
      <w:pPr>
        <w:rPr>
          <w:b/>
          <w:bCs/>
        </w:rPr>
      </w:pPr>
      <w:r w:rsidRPr="001D7135">
        <w:rPr>
          <w:b/>
          <w:bCs/>
        </w:rPr>
        <w:t>Coverage</w:t>
      </w:r>
    </w:p>
    <w:p w14:paraId="2CE60292" w14:textId="77777777" w:rsidR="00FD5CC9" w:rsidRPr="001D7135" w:rsidRDefault="00FD5CC9" w:rsidP="00FD5CC9">
      <w:r w:rsidRPr="001D7135">
        <w:t>The analysis provides a detailed examination of systemic barriers but does not delve deeply into intersecting influences that could further illuminate disparities. Broadening the study’s focus to include these factors would enhance its applicability and relevance.</w:t>
      </w:r>
    </w:p>
    <w:p w14:paraId="0EFD76E8" w14:textId="77777777" w:rsidR="003A51E2" w:rsidRPr="001D7135" w:rsidRDefault="003A51E2" w:rsidP="00FD5CC9">
      <w:pPr>
        <w:rPr>
          <w:b/>
          <w:bCs/>
        </w:rPr>
      </w:pPr>
      <w:r w:rsidRPr="001D7135">
        <w:rPr>
          <w:b/>
          <w:bCs/>
        </w:rPr>
        <w:t>Uniqueness</w:t>
      </w:r>
    </w:p>
    <w:p w14:paraId="2CC749EB" w14:textId="77777777" w:rsidR="003A51E2" w:rsidRPr="001D7135" w:rsidRDefault="003A51E2" w:rsidP="00FD5CC9">
      <w:r w:rsidRPr="001D7135">
        <w:t>Highlights global barriers and critiques deficit-based approaches</w:t>
      </w:r>
    </w:p>
    <w:p w14:paraId="746B9994" w14:textId="77777777" w:rsidR="00FD5CC9" w:rsidRPr="001D7135" w:rsidRDefault="00FD5CC9" w:rsidP="00FD5CC9">
      <w:pPr>
        <w:rPr>
          <w:b/>
          <w:bCs/>
        </w:rPr>
      </w:pPr>
      <w:r w:rsidRPr="001D7135">
        <w:rPr>
          <w:b/>
          <w:bCs/>
        </w:rPr>
        <w:t>Epistemology, Ontology, and Axiology</w:t>
      </w:r>
    </w:p>
    <w:p w14:paraId="5EEFC178" w14:textId="77777777" w:rsidR="00FD5CC9" w:rsidRPr="001D7135" w:rsidRDefault="00FD5CC9" w:rsidP="00FD5CC9">
      <w:r w:rsidRPr="001D7135">
        <w:t>The review applies a critical constructivist approach, viewing inequities as societal and institutional constructs. This perspective frames the challenges as systemic, advocating structural reforms to address barriers. The reliance on secondary data, however, limits its ability to incorporate lived experiences or focus on regional disparities fully.</w:t>
      </w:r>
    </w:p>
    <w:p w14:paraId="2EDDF86E" w14:textId="77777777" w:rsidR="00FD5CC9" w:rsidRPr="001D7135" w:rsidRDefault="00FD5CC9" w:rsidP="00FD5CC9">
      <w:pPr>
        <w:rPr>
          <w:b/>
          <w:bCs/>
        </w:rPr>
      </w:pPr>
      <w:r w:rsidRPr="001D7135">
        <w:rPr>
          <w:b/>
          <w:bCs/>
        </w:rPr>
        <w:t>Reliability, Validity, and Ethical Considerations</w:t>
      </w:r>
    </w:p>
    <w:p w14:paraId="149053A7" w14:textId="77777777" w:rsidR="00FD5CC9" w:rsidRPr="001D7135" w:rsidRDefault="00FD5CC9" w:rsidP="00FD5CC9">
      <w:r w:rsidRPr="001D7135">
        <w:t>The study ensures reliability through rigorous criteria and a transparent methodology. Validity could be improved by using primary data and conducting region-specific analyses. Ethical concerns are addressed by prioritising fairness and inclusive reforms. Future research should employ participatory approaches to centre marginalised voices, ensuring comprehensive representation.</w:t>
      </w:r>
    </w:p>
    <w:p w14:paraId="7FE5F047" w14:textId="77777777" w:rsidR="003A51E2" w:rsidRPr="003A51E2" w:rsidRDefault="003A51E2" w:rsidP="003A51E2">
      <w:pPr>
        <w:rPr>
          <w:b/>
          <w:bCs/>
        </w:rPr>
      </w:pPr>
      <w:r w:rsidRPr="003A51E2">
        <w:rPr>
          <w:b/>
          <w:bCs/>
        </w:rPr>
        <w:t xml:space="preserve">Future </w:t>
      </w:r>
      <w:r w:rsidR="00573A9F" w:rsidRPr="001D7135">
        <w:rPr>
          <w:b/>
          <w:bCs/>
        </w:rPr>
        <w:t>Research</w:t>
      </w:r>
    </w:p>
    <w:p w14:paraId="333FBFFE" w14:textId="77777777" w:rsidR="003A51E2" w:rsidRPr="003A51E2" w:rsidRDefault="003A51E2" w:rsidP="003A51E2">
      <w:r w:rsidRPr="003A51E2">
        <w:t xml:space="preserve">Mega Wanti et al. (2022) provide important </w:t>
      </w:r>
      <w:r w:rsidRPr="00CD1602">
        <w:rPr>
          <w:color w:val="FF0000"/>
        </w:rPr>
        <w:t xml:space="preserve">perspectives </w:t>
      </w:r>
      <w:r w:rsidRPr="003A51E2">
        <w:t>on structural barriers in higher education. Future research should adopt mixed methodologies, integrating both qualitative and quantitative data to address gaps. Longitudinal studies and regional analyses would contextualise systemic issues and inform more targeted reforms.</w:t>
      </w:r>
    </w:p>
    <w:p w14:paraId="2FB531D7" w14:textId="77777777" w:rsidR="003A51E2" w:rsidRPr="001D7135" w:rsidRDefault="003A51E2" w:rsidP="00FD5CC9">
      <w:pPr>
        <w:rPr>
          <w:b/>
          <w:bCs/>
        </w:rPr>
      </w:pPr>
      <w:r w:rsidRPr="001D7135">
        <w:rPr>
          <w:b/>
          <w:bCs/>
        </w:rPr>
        <w:t>Conclusion</w:t>
      </w:r>
    </w:p>
    <w:p w14:paraId="5545D248" w14:textId="77777777" w:rsidR="00573A9F" w:rsidRPr="001D7135" w:rsidRDefault="00573A9F" w:rsidP="00FD5CC9">
      <w:r w:rsidRPr="001D7135">
        <w:t xml:space="preserve">Mega Wanti et al. (2022) examine barriers affecting access and equity in higher education, presenting actionable suggestions for systemic change. The study provides a comprehensive view of global trends and critiques traditional deficit-based perspectives. Despite its </w:t>
      </w:r>
      <w:r w:rsidRPr="001D7135">
        <w:lastRenderedPageBreak/>
        <w:t>strengths, the reliance on secondary data limits its ability to explore specific regional challenges and lived experiences. Emphasising structural change and equity-focused approaches lays a strong groundwork for future research. Addressing gaps through primary data collection, intersectional analysis, and targeted regional studies will strengthen policies to reduce education inequities.</w:t>
      </w:r>
    </w:p>
    <w:bookmarkEnd w:id="0"/>
    <w:p w14:paraId="72A0F170" w14:textId="77777777" w:rsidR="00573A9F" w:rsidRPr="001D7135" w:rsidRDefault="00573A9F" w:rsidP="00FD5CC9"/>
    <w:p w14:paraId="235B5B5D" w14:textId="77777777" w:rsidR="0004195A" w:rsidRPr="001D7135" w:rsidRDefault="00FE342B" w:rsidP="0004195A">
      <w:pPr>
        <w:rPr>
          <w:b/>
          <w:bCs/>
        </w:rPr>
      </w:pPr>
      <w:r w:rsidRPr="001D7135">
        <w:rPr>
          <w:b/>
          <w:bCs/>
        </w:rPr>
        <w:t>Paper 3</w:t>
      </w:r>
    </w:p>
    <w:p w14:paraId="02CCB410" w14:textId="77777777" w:rsidR="00FE342B" w:rsidRPr="001D7135" w:rsidRDefault="00FE342B" w:rsidP="00FE342B">
      <w:pPr>
        <w:rPr>
          <w:b/>
          <w:bCs/>
        </w:rPr>
      </w:pPr>
      <w:r w:rsidRPr="001D7135">
        <w:rPr>
          <w:b/>
          <w:bCs/>
        </w:rPr>
        <w:t>Title: Neoliberal Meritocracy and Class Divisions in Higher Education</w:t>
      </w:r>
    </w:p>
    <w:p w14:paraId="022482E9" w14:textId="77777777" w:rsidR="00FE342B" w:rsidRPr="001D7135" w:rsidRDefault="00FE342B" w:rsidP="00FE342B">
      <w:pPr>
        <w:rPr>
          <w:b/>
          <w:bCs/>
        </w:rPr>
      </w:pPr>
      <w:r w:rsidRPr="001D7135">
        <w:rPr>
          <w:b/>
          <w:bCs/>
        </w:rPr>
        <w:t>Content Summary</w:t>
      </w:r>
    </w:p>
    <w:p w14:paraId="4DBEE7DB" w14:textId="77777777" w:rsidR="00686A97" w:rsidRPr="001D7135" w:rsidRDefault="00FE342B" w:rsidP="00686A97">
      <w:r w:rsidRPr="001D7135">
        <w:t>The study examines how widening participation policies in English universities reinforce class divisions instead of promoting social mobility. It critiques neoliberal meritocracy and its role in institutionalising inequality through education.</w:t>
      </w:r>
    </w:p>
    <w:p w14:paraId="2FD1AAC6" w14:textId="77777777" w:rsidR="00686A97" w:rsidRPr="001D7135" w:rsidRDefault="00686A97" w:rsidP="00686A97">
      <w:pPr>
        <w:rPr>
          <w:color w:val="7030A0"/>
        </w:rPr>
      </w:pPr>
      <w:r w:rsidRPr="001D7135">
        <w:rPr>
          <w:color w:val="7030A0"/>
        </w:rPr>
        <w:t xml:space="preserve">Key Findings: </w:t>
      </w:r>
    </w:p>
    <w:p w14:paraId="1991478C" w14:textId="77777777" w:rsidR="00FE342B" w:rsidRPr="001D7135" w:rsidRDefault="00686A97" w:rsidP="00686A97">
      <w:r w:rsidRPr="001D7135">
        <w:t>Despite increasing access to universities for disadvantaged groups, systemic inequalities persist. Universities commodify education and fail to deliver promised social mobility. Economic aspirations drive participation, but structural barriers reinforce class hierarchies.</w:t>
      </w:r>
    </w:p>
    <w:p w14:paraId="757282A0" w14:textId="77777777" w:rsidR="00686A97" w:rsidRPr="001D7135" w:rsidRDefault="00686A97" w:rsidP="00686A97">
      <w:pPr>
        <w:rPr>
          <w:color w:val="7030A0"/>
        </w:rPr>
      </w:pPr>
      <w:r w:rsidRPr="001D7135">
        <w:rPr>
          <w:color w:val="7030A0"/>
        </w:rPr>
        <w:t xml:space="preserve">Recommendations: </w:t>
      </w:r>
    </w:p>
    <w:p w14:paraId="450A19E1" w14:textId="77777777" w:rsidR="00686A97" w:rsidRPr="001D7135" w:rsidRDefault="00686A97" w:rsidP="00686A97">
      <w:r w:rsidRPr="001D7135">
        <w:t>Reforming funding models, prioritising equity-driven policies, and addressing systemic inequalities in higher education to foster genuine mobility.</w:t>
      </w:r>
    </w:p>
    <w:p w14:paraId="2F8F99FE" w14:textId="77777777" w:rsidR="00FE342B" w:rsidRPr="001D7135" w:rsidRDefault="00FE342B" w:rsidP="00FE342B">
      <w:pPr>
        <w:rPr>
          <w:b/>
          <w:bCs/>
        </w:rPr>
      </w:pPr>
      <w:r w:rsidRPr="001D7135">
        <w:rPr>
          <w:b/>
          <w:bCs/>
        </w:rPr>
        <w:t>Authority</w:t>
      </w:r>
    </w:p>
    <w:p w14:paraId="3313632A" w14:textId="77777777" w:rsidR="00FE342B" w:rsidRPr="001D7135" w:rsidRDefault="00FE342B" w:rsidP="00FE342B">
      <w:r w:rsidRPr="001D7135">
        <w:t>The research is authored by Chris Cunningham and Colin Samson, who are affiliated with the University of Essex and demonstrate expertise in critical social mobility studies and higher education policy.</w:t>
      </w:r>
    </w:p>
    <w:p w14:paraId="09D01D73" w14:textId="77777777" w:rsidR="00FE342B" w:rsidRPr="001D7135" w:rsidRDefault="00FE342B" w:rsidP="00FE342B">
      <w:pPr>
        <w:rPr>
          <w:b/>
          <w:bCs/>
        </w:rPr>
      </w:pPr>
      <w:r w:rsidRPr="001D7135">
        <w:rPr>
          <w:b/>
          <w:bCs/>
        </w:rPr>
        <w:t>Methodology</w:t>
      </w:r>
    </w:p>
    <w:p w14:paraId="10067A6E" w14:textId="77777777" w:rsidR="00FE342B" w:rsidRPr="001D7135" w:rsidRDefault="00FE342B" w:rsidP="00FE342B">
      <w:r w:rsidRPr="001D7135">
        <w:t xml:space="preserve">The study employs critical policy analysis, focusing on qualitative insights. Its structuralist ontology views class divisions as embedded within institutional frameworks. The epistemological approach is critical constructivist, examining societal and institutional power dynamics. Its axiological focus advocates systemic equity and challenges neoliberal ideologies </w:t>
      </w:r>
      <w:r w:rsidR="001232BC" w:rsidRPr="001D7135">
        <w:rPr>
          <w:color w:val="7030A0"/>
        </w:rPr>
        <w:t>perpetuating</w:t>
      </w:r>
      <w:r w:rsidRPr="001D7135">
        <w:rPr>
          <w:color w:val="7030A0"/>
        </w:rPr>
        <w:t xml:space="preserve"> </w:t>
      </w:r>
      <w:r w:rsidRPr="001D7135">
        <w:t xml:space="preserve">social </w:t>
      </w:r>
      <w:r w:rsidRPr="001D7135">
        <w:rPr>
          <w:color w:val="7030A0"/>
        </w:rPr>
        <w:t>stratification.</w:t>
      </w:r>
    </w:p>
    <w:p w14:paraId="63938388" w14:textId="77777777" w:rsidR="00FE342B" w:rsidRPr="001D7135" w:rsidRDefault="00FE342B" w:rsidP="00FE342B">
      <w:pPr>
        <w:rPr>
          <w:b/>
          <w:bCs/>
        </w:rPr>
      </w:pPr>
      <w:r w:rsidRPr="001D7135">
        <w:rPr>
          <w:b/>
          <w:bCs/>
        </w:rPr>
        <w:t>Critical Assessment</w:t>
      </w:r>
    </w:p>
    <w:p w14:paraId="2D29F3BD" w14:textId="77777777" w:rsidR="00FE342B" w:rsidRPr="001D7135" w:rsidRDefault="00FE342B" w:rsidP="00FE342B">
      <w:pPr>
        <w:rPr>
          <w:b/>
          <w:bCs/>
        </w:rPr>
      </w:pPr>
      <w:r w:rsidRPr="001D7135">
        <w:rPr>
          <w:b/>
          <w:bCs/>
        </w:rPr>
        <w:t>Accuracy:</w:t>
      </w:r>
    </w:p>
    <w:p w14:paraId="3D7872C0" w14:textId="77777777" w:rsidR="00FE342B" w:rsidRPr="001D7135" w:rsidRDefault="00FE342B" w:rsidP="00FE342B">
      <w:r w:rsidRPr="001D7135">
        <w:lastRenderedPageBreak/>
        <w:t>The analysis is grounded in historical and contemporary policy evaluations supported by academic and governmental sources. However, reliance on secondary data restricts empirical validation.</w:t>
      </w:r>
    </w:p>
    <w:p w14:paraId="50D70877" w14:textId="77777777" w:rsidR="00FE342B" w:rsidRPr="001D7135" w:rsidRDefault="00FE342B" w:rsidP="00FE342B">
      <w:pPr>
        <w:rPr>
          <w:b/>
          <w:bCs/>
        </w:rPr>
      </w:pPr>
      <w:r w:rsidRPr="001D7135">
        <w:rPr>
          <w:b/>
          <w:bCs/>
        </w:rPr>
        <w:t>Objectivity:</w:t>
      </w:r>
    </w:p>
    <w:p w14:paraId="646C9977" w14:textId="77777777" w:rsidR="00FE342B" w:rsidRPr="001D7135" w:rsidRDefault="00FE342B" w:rsidP="00FE342B">
      <w:r w:rsidRPr="001D7135">
        <w:t>The study critiques systemic flaws effectively, though its strong focus on neoliberalism may reduce consideration of alternative perspectives.</w:t>
      </w:r>
    </w:p>
    <w:p w14:paraId="35485B13" w14:textId="77777777" w:rsidR="00FE342B" w:rsidRPr="001D7135" w:rsidRDefault="00FE342B" w:rsidP="00FE342B">
      <w:pPr>
        <w:rPr>
          <w:b/>
          <w:bCs/>
        </w:rPr>
      </w:pPr>
      <w:r w:rsidRPr="001D7135">
        <w:rPr>
          <w:b/>
          <w:bCs/>
        </w:rPr>
        <w:t>Currency:</w:t>
      </w:r>
    </w:p>
    <w:p w14:paraId="33DAB082" w14:textId="77777777" w:rsidR="00686A97" w:rsidRPr="001D7135" w:rsidRDefault="00FE342B" w:rsidP="00686A97">
      <w:r w:rsidRPr="001D7135">
        <w:t>Published in 2021, the paper remains relevant</w:t>
      </w:r>
      <w:r w:rsidR="00686A97" w:rsidRPr="001D7135">
        <w:t>. It addresses enduring issues in higher education and current higher education policies in England.</w:t>
      </w:r>
    </w:p>
    <w:p w14:paraId="67B24570" w14:textId="77777777" w:rsidR="00FE342B" w:rsidRPr="001D7135" w:rsidRDefault="00FE342B" w:rsidP="00FE342B">
      <w:pPr>
        <w:rPr>
          <w:b/>
          <w:bCs/>
        </w:rPr>
      </w:pPr>
      <w:r w:rsidRPr="001D7135">
        <w:rPr>
          <w:b/>
          <w:bCs/>
        </w:rPr>
        <w:t>Coverage:</w:t>
      </w:r>
    </w:p>
    <w:p w14:paraId="3D1ECE34" w14:textId="77777777" w:rsidR="00FE342B" w:rsidRPr="001D7135" w:rsidRDefault="00FE342B" w:rsidP="00FE342B">
      <w:r w:rsidRPr="001D7135">
        <w:t>The research provides a detailed critique of widening participation policies but does not address intersectional factors such as ethnicity and gender.</w:t>
      </w:r>
    </w:p>
    <w:p w14:paraId="61D965AC" w14:textId="77777777" w:rsidR="00FE342B" w:rsidRPr="001D7135" w:rsidRDefault="00FE342B" w:rsidP="00FE342B">
      <w:pPr>
        <w:rPr>
          <w:b/>
          <w:bCs/>
        </w:rPr>
      </w:pPr>
      <w:r w:rsidRPr="001D7135">
        <w:rPr>
          <w:b/>
          <w:bCs/>
        </w:rPr>
        <w:t>Uniqueness:</w:t>
      </w:r>
    </w:p>
    <w:p w14:paraId="6C1E6DF2" w14:textId="77777777" w:rsidR="00FE342B" w:rsidRPr="001D7135" w:rsidRDefault="00FE342B" w:rsidP="00FE342B">
      <w:r w:rsidRPr="001D7135">
        <w:t>The study offers a distinct critique of neoliberal ideologies and their role in shaping education policies but lacks practical case studies or examples to complement its analysis.</w:t>
      </w:r>
    </w:p>
    <w:p w14:paraId="666CBD6B" w14:textId="77777777" w:rsidR="00FE342B" w:rsidRPr="001D7135" w:rsidRDefault="00FE342B" w:rsidP="00FE342B">
      <w:pPr>
        <w:rPr>
          <w:b/>
          <w:bCs/>
        </w:rPr>
      </w:pPr>
      <w:r w:rsidRPr="001D7135">
        <w:rPr>
          <w:b/>
          <w:bCs/>
        </w:rPr>
        <w:t>Epistemology, Ontology, and Axiology:</w:t>
      </w:r>
    </w:p>
    <w:p w14:paraId="74ABB046" w14:textId="77777777" w:rsidR="00FE342B" w:rsidRPr="001D7135" w:rsidRDefault="00FE342B" w:rsidP="00FE342B">
      <w:r w:rsidRPr="001D7135">
        <w:t>The epistemology interrogates the societal forces shaping educational access, the ontology situates inequities within institutional structures, and the axiological perspective promotes systemic equity through policy reform.</w:t>
      </w:r>
    </w:p>
    <w:p w14:paraId="799657AD" w14:textId="77777777" w:rsidR="00FE342B" w:rsidRPr="001D7135" w:rsidRDefault="00FE342B" w:rsidP="00FE342B">
      <w:pPr>
        <w:rPr>
          <w:b/>
          <w:bCs/>
        </w:rPr>
      </w:pPr>
      <w:r w:rsidRPr="001D7135">
        <w:rPr>
          <w:b/>
          <w:bCs/>
        </w:rPr>
        <w:t>Reliability, Validity, and Ethical Considerations:</w:t>
      </w:r>
    </w:p>
    <w:p w14:paraId="17AE7792" w14:textId="77777777" w:rsidR="00FE342B" w:rsidRPr="001D7135" w:rsidRDefault="00FE342B" w:rsidP="00FE342B">
      <w:r w:rsidRPr="001D7135">
        <w:t>Reliability is ensured through rigorous qualitative analysis and a transparent framework. Validity could improve with the inclusion of primary data. Ethical considerations focus on advocating fairness and addressing structural inequities.</w:t>
      </w:r>
    </w:p>
    <w:p w14:paraId="1B2DC8EC" w14:textId="77777777" w:rsidR="00FE342B" w:rsidRPr="001D7135" w:rsidRDefault="00FE342B" w:rsidP="00FE342B">
      <w:pPr>
        <w:rPr>
          <w:b/>
          <w:bCs/>
        </w:rPr>
      </w:pPr>
      <w:r w:rsidRPr="001D7135">
        <w:rPr>
          <w:b/>
          <w:bCs/>
        </w:rPr>
        <w:t>Future Research</w:t>
      </w:r>
    </w:p>
    <w:p w14:paraId="4681D801" w14:textId="77777777" w:rsidR="00FE342B" w:rsidRPr="001D7135" w:rsidRDefault="00FE342B" w:rsidP="00FE342B">
      <w:r w:rsidRPr="001D7135">
        <w:t xml:space="preserve">Future studies should include </w:t>
      </w:r>
      <w:proofErr w:type="gramStart"/>
      <w:r w:rsidRPr="001D7135">
        <w:t>mixed-method</w:t>
      </w:r>
      <w:proofErr w:type="gramEnd"/>
      <w:r w:rsidRPr="001D7135">
        <w:t xml:space="preserve"> approaches and longitudinal analyses to capture nuanced barriers more effectively. Examining the practical implementation of equity-focused policies and incorporating intersectional factors will broaden the scope of the research. Primary data collection and regional studies could further enrich the understanding of systemic barriers in education.</w:t>
      </w:r>
    </w:p>
    <w:p w14:paraId="7E488922" w14:textId="77777777" w:rsidR="00FE342B" w:rsidRPr="001D7135" w:rsidRDefault="00FE342B" w:rsidP="00FE342B">
      <w:pPr>
        <w:rPr>
          <w:b/>
          <w:bCs/>
        </w:rPr>
      </w:pPr>
      <w:r w:rsidRPr="001D7135">
        <w:rPr>
          <w:b/>
          <w:bCs/>
        </w:rPr>
        <w:t xml:space="preserve">Conclusion </w:t>
      </w:r>
    </w:p>
    <w:p w14:paraId="3FC1D756" w14:textId="77777777" w:rsidR="00FE342B" w:rsidRPr="001D7135" w:rsidRDefault="00FE342B" w:rsidP="00FE342B">
      <w:r w:rsidRPr="001D7135">
        <w:t xml:space="preserve">Cunningham and Samson’s work provides a detailed critique of systemic inequities in English higher education, focusing on neoliberal policies that reinforce class divisions. The strengths lie in its theoretical depth and strong argumentation against deficit-based ideologies. </w:t>
      </w:r>
      <w:r w:rsidRPr="001D7135">
        <w:lastRenderedPageBreak/>
        <w:t>Weaknesses include reliance on secondary data and a lack of practical examples or case studies. Recommendations for future research include integrating intersectional analyses, primary data collection, and exploring the impact of implemented policy reforms. By addressing these gaps, the study’s findings can inform more comprehensive and effective equity-driven strategies in higher education.</w:t>
      </w:r>
    </w:p>
    <w:p w14:paraId="0A6ECCFF" w14:textId="77777777" w:rsidR="00FE342B" w:rsidRPr="001D7135" w:rsidRDefault="00FE342B" w:rsidP="0004195A"/>
    <w:p w14:paraId="57BB0271" w14:textId="77777777" w:rsidR="001232BC" w:rsidRPr="001D7135" w:rsidRDefault="001232BC" w:rsidP="0004195A">
      <w:pPr>
        <w:rPr>
          <w:b/>
          <w:bCs/>
        </w:rPr>
      </w:pPr>
      <w:r w:rsidRPr="001D7135">
        <w:rPr>
          <w:b/>
          <w:bCs/>
        </w:rPr>
        <w:t>Paper 4</w:t>
      </w:r>
    </w:p>
    <w:p w14:paraId="3C597E8B" w14:textId="77777777" w:rsidR="001232BC" w:rsidRPr="001D7135" w:rsidRDefault="001232BC" w:rsidP="001232BC">
      <w:pPr>
        <w:rPr>
          <w:b/>
          <w:bCs/>
        </w:rPr>
      </w:pPr>
      <w:r w:rsidRPr="001D7135">
        <w:rPr>
          <w:b/>
          <w:bCs/>
        </w:rPr>
        <w:t xml:space="preserve">Title: Critical Review of "The Working Classes and Higher Education: Meritocratic Fallacies of Upward Mobility in the United Kingdom" </w:t>
      </w:r>
    </w:p>
    <w:p w14:paraId="50587E00" w14:textId="77777777" w:rsidR="001232BC" w:rsidRPr="001D7135" w:rsidRDefault="001232BC" w:rsidP="001232BC">
      <w:pPr>
        <w:rPr>
          <w:b/>
          <w:bCs/>
        </w:rPr>
      </w:pPr>
      <w:r w:rsidRPr="001D7135">
        <w:rPr>
          <w:b/>
          <w:bCs/>
        </w:rPr>
        <w:t>Diane Reay</w:t>
      </w:r>
    </w:p>
    <w:p w14:paraId="6DE6A83A" w14:textId="77777777" w:rsidR="001232BC" w:rsidRPr="001D7135" w:rsidRDefault="001232BC" w:rsidP="001232BC"/>
    <w:p w14:paraId="44D0BE4B" w14:textId="77777777" w:rsidR="001232BC" w:rsidRPr="001D7135" w:rsidRDefault="001232BC" w:rsidP="001232BC">
      <w:pPr>
        <w:rPr>
          <w:b/>
          <w:bCs/>
        </w:rPr>
      </w:pPr>
      <w:r w:rsidRPr="001D7135">
        <w:rPr>
          <w:b/>
          <w:bCs/>
        </w:rPr>
        <w:t>Content Summary</w:t>
      </w:r>
    </w:p>
    <w:p w14:paraId="1E00EFC9" w14:textId="77777777" w:rsidR="005C4945" w:rsidRDefault="001232BC" w:rsidP="001232BC">
      <w:r w:rsidRPr="001D7135">
        <w:t>The study investigates systemic disadvantages faced by working-class students in elite UK universities, emphasizing their marginalization in academic and social contexts. Utilizing Bourdieu’s concepts of habitus, capitals, and field, it explores tensions between working-class identities and elite educational settings.</w:t>
      </w:r>
    </w:p>
    <w:p w14:paraId="17211B97" w14:textId="179DDBAB" w:rsidR="001232BC" w:rsidRPr="001D7135" w:rsidRDefault="001232BC" w:rsidP="001232BC">
      <w:r w:rsidRPr="001D7135">
        <w:t>Currency: Published in 2021, the research addresses current issues, reflecting debates on inequality in higher education and advocating for systemic reforms.</w:t>
      </w:r>
    </w:p>
    <w:p w14:paraId="6C2C2940" w14:textId="77777777" w:rsidR="001232BC" w:rsidRPr="001D7135" w:rsidRDefault="001232BC" w:rsidP="001232BC">
      <w:pPr>
        <w:rPr>
          <w:b/>
          <w:bCs/>
        </w:rPr>
      </w:pPr>
      <w:r w:rsidRPr="001D7135">
        <w:rPr>
          <w:b/>
          <w:bCs/>
        </w:rPr>
        <w:t>Authority</w:t>
      </w:r>
    </w:p>
    <w:p w14:paraId="75375B55" w14:textId="77777777" w:rsidR="0056077F" w:rsidRPr="001D7135" w:rsidRDefault="001232BC" w:rsidP="001232BC">
      <w:r w:rsidRPr="001D7135">
        <w:t>Diane Reay, a professor at the University of Cambridge, is an established expert in sociology and education.</w:t>
      </w:r>
    </w:p>
    <w:p w14:paraId="67B7B90C" w14:textId="77777777" w:rsidR="001232BC" w:rsidRPr="001D7135" w:rsidRDefault="001232BC" w:rsidP="001232BC">
      <w:r w:rsidRPr="001D7135">
        <w:t xml:space="preserve">Reay’s extensive research on class-based inequalities and her academic position </w:t>
      </w:r>
      <w:r w:rsidR="0056077F" w:rsidRPr="001D7135">
        <w:t>reinforces</w:t>
      </w:r>
      <w:r w:rsidRPr="001D7135">
        <w:t xml:space="preserve"> the authority of this study.</w:t>
      </w:r>
    </w:p>
    <w:p w14:paraId="0E42F43A" w14:textId="77777777" w:rsidR="001232BC" w:rsidRPr="001D7135" w:rsidRDefault="001232BC" w:rsidP="001232BC">
      <w:pPr>
        <w:rPr>
          <w:b/>
          <w:bCs/>
        </w:rPr>
      </w:pPr>
      <w:r w:rsidRPr="001D7135">
        <w:rPr>
          <w:b/>
          <w:bCs/>
        </w:rPr>
        <w:t>Methodology</w:t>
      </w:r>
    </w:p>
    <w:p w14:paraId="39A01A01" w14:textId="77777777" w:rsidR="001232BC" w:rsidRPr="001D7135" w:rsidRDefault="001232BC" w:rsidP="001232BC">
      <w:r w:rsidRPr="001D7135">
        <w:t>Qualitative Approach: Grounded theory, combined with Bourdieu’s theoretical framework, guides the analysis of nine interviews with working-class students and focus groups involving 11 upper</w:t>
      </w:r>
      <w:r w:rsidR="0056077F" w:rsidRPr="001D7135">
        <w:t xml:space="preserve"> </w:t>
      </w:r>
      <w:r w:rsidRPr="001D7135">
        <w:t>and middle-class peers.</w:t>
      </w:r>
    </w:p>
    <w:p w14:paraId="4E127666" w14:textId="77777777" w:rsidR="001232BC" w:rsidRPr="001D7135" w:rsidRDefault="001232BC" w:rsidP="001232BC">
      <w:r w:rsidRPr="001D7135">
        <w:t>Ontological Perspective: Social realities are viewed as constructed and influenced by class hierarchies and power dynamics.</w:t>
      </w:r>
    </w:p>
    <w:p w14:paraId="3554FF52" w14:textId="77777777" w:rsidR="001232BC" w:rsidRPr="001D7135" w:rsidRDefault="001232BC" w:rsidP="001232BC">
      <w:r w:rsidRPr="001D7135">
        <w:t>Epistemological Perspective: The study adopts an interpretivist stance, generating knowledge from participants’ lived experiences and narratives.</w:t>
      </w:r>
    </w:p>
    <w:p w14:paraId="18D3C595" w14:textId="77777777" w:rsidR="001232BC" w:rsidRPr="001D7135" w:rsidRDefault="001232BC" w:rsidP="001232BC"/>
    <w:p w14:paraId="0F4FA1F9" w14:textId="77777777" w:rsidR="001232BC" w:rsidRPr="001D7135" w:rsidRDefault="001232BC" w:rsidP="001232BC">
      <w:pPr>
        <w:rPr>
          <w:b/>
          <w:bCs/>
        </w:rPr>
      </w:pPr>
      <w:r w:rsidRPr="001D7135">
        <w:rPr>
          <w:b/>
          <w:bCs/>
        </w:rPr>
        <w:t>Critical Assessment</w:t>
      </w:r>
    </w:p>
    <w:p w14:paraId="7D0593D0" w14:textId="77777777" w:rsidR="001232BC" w:rsidRPr="001D7135" w:rsidRDefault="001232BC" w:rsidP="001232BC">
      <w:pPr>
        <w:rPr>
          <w:b/>
          <w:bCs/>
        </w:rPr>
      </w:pPr>
      <w:r w:rsidRPr="001D7135">
        <w:rPr>
          <w:b/>
          <w:bCs/>
        </w:rPr>
        <w:lastRenderedPageBreak/>
        <w:t>Accuracy:</w:t>
      </w:r>
    </w:p>
    <w:p w14:paraId="5A0481E8" w14:textId="77777777" w:rsidR="001232BC" w:rsidRPr="001D7135" w:rsidRDefault="001232BC" w:rsidP="001232BC">
      <w:r w:rsidRPr="001D7135">
        <w:t>The use of Bourdieu’s framework and primary data collection strengthens the study’s reliability. However, the limited diversity of participants, particularly the absence of BAME voices, reduces its broader applicability.</w:t>
      </w:r>
    </w:p>
    <w:p w14:paraId="79F8781F" w14:textId="77777777" w:rsidR="001232BC" w:rsidRPr="001D7135" w:rsidRDefault="001232BC" w:rsidP="001232BC"/>
    <w:p w14:paraId="4C252B1B" w14:textId="77777777" w:rsidR="001232BC" w:rsidRPr="001D7135" w:rsidRDefault="001232BC" w:rsidP="001232BC">
      <w:pPr>
        <w:rPr>
          <w:b/>
          <w:bCs/>
        </w:rPr>
      </w:pPr>
      <w:r w:rsidRPr="001D7135">
        <w:rPr>
          <w:b/>
          <w:bCs/>
        </w:rPr>
        <w:t>Objectivity:</w:t>
      </w:r>
    </w:p>
    <w:p w14:paraId="48F38FBD" w14:textId="77777777" w:rsidR="001232BC" w:rsidRPr="001D7135" w:rsidRDefault="001232BC" w:rsidP="001232BC">
      <w:r w:rsidRPr="001D7135">
        <w:t>The critique of institutional cultures is well-supported but may reflect biases against elite universities. Greater participant diversity, including race and gender, could provide a more balanced perspective.</w:t>
      </w:r>
    </w:p>
    <w:p w14:paraId="42DE12D6" w14:textId="77777777" w:rsidR="001232BC" w:rsidRPr="001D7135" w:rsidRDefault="001232BC" w:rsidP="001232BC">
      <w:pPr>
        <w:rPr>
          <w:b/>
          <w:bCs/>
        </w:rPr>
      </w:pPr>
      <w:r w:rsidRPr="001D7135">
        <w:rPr>
          <w:b/>
          <w:bCs/>
        </w:rPr>
        <w:t>Currency:</w:t>
      </w:r>
    </w:p>
    <w:p w14:paraId="5C857907" w14:textId="77777777" w:rsidR="001232BC" w:rsidRPr="001D7135" w:rsidRDefault="001232BC" w:rsidP="001232BC">
      <w:r w:rsidRPr="001D7135">
        <w:t>The study remains relevant by addressing persistent inequalities in elite institutions and contributing to ongoing discussions about social mobility.</w:t>
      </w:r>
    </w:p>
    <w:p w14:paraId="0780E0DB" w14:textId="77777777" w:rsidR="001232BC" w:rsidRPr="001D7135" w:rsidRDefault="001232BC" w:rsidP="001232BC">
      <w:pPr>
        <w:rPr>
          <w:b/>
          <w:bCs/>
        </w:rPr>
      </w:pPr>
      <w:r w:rsidRPr="001D7135">
        <w:rPr>
          <w:b/>
          <w:bCs/>
        </w:rPr>
        <w:t>Coverage:</w:t>
      </w:r>
    </w:p>
    <w:p w14:paraId="763EE6D4" w14:textId="77777777" w:rsidR="001232BC" w:rsidRPr="001D7135" w:rsidRDefault="001232BC" w:rsidP="001232BC">
      <w:r w:rsidRPr="001D7135">
        <w:t>The analysis offers detailed insights into class-based exclusions but could benefit from including intersectional factors like race and gender. Broader demographic representation and longitudinal approaches would enhance its comprehensiveness.</w:t>
      </w:r>
    </w:p>
    <w:p w14:paraId="662A58D6" w14:textId="77777777" w:rsidR="001232BC" w:rsidRPr="001D7135" w:rsidRDefault="001232BC" w:rsidP="001232BC">
      <w:pPr>
        <w:rPr>
          <w:b/>
          <w:bCs/>
        </w:rPr>
      </w:pPr>
      <w:r w:rsidRPr="001D7135">
        <w:rPr>
          <w:b/>
          <w:bCs/>
        </w:rPr>
        <w:t>Uniqueness:</w:t>
      </w:r>
    </w:p>
    <w:p w14:paraId="019EF378" w14:textId="77777777" w:rsidR="001232BC" w:rsidRPr="001D7135" w:rsidRDefault="001232BC" w:rsidP="001232BC">
      <w:r w:rsidRPr="001D7135">
        <w:t>This research stands out by applying Bourdieu’s theories to examine class tensions within elite education. Expanding its focus beyond elite institutions would increase its relevance across different educational contexts.</w:t>
      </w:r>
    </w:p>
    <w:p w14:paraId="49EF0162" w14:textId="77777777" w:rsidR="0056077F" w:rsidRPr="001D7135" w:rsidRDefault="0056077F" w:rsidP="001232BC"/>
    <w:p w14:paraId="7114EEAE" w14:textId="77777777" w:rsidR="001232BC" w:rsidRPr="001D7135" w:rsidRDefault="001232BC" w:rsidP="001232BC">
      <w:pPr>
        <w:rPr>
          <w:b/>
          <w:bCs/>
        </w:rPr>
      </w:pPr>
      <w:r w:rsidRPr="001D7135">
        <w:rPr>
          <w:b/>
          <w:bCs/>
        </w:rPr>
        <w:t>Epistemology, Ontology, and Axiology</w:t>
      </w:r>
      <w:r w:rsidR="0056077F" w:rsidRPr="001D7135">
        <w:rPr>
          <w:b/>
          <w:bCs/>
        </w:rPr>
        <w:t xml:space="preserve"> Considerations:</w:t>
      </w:r>
    </w:p>
    <w:p w14:paraId="4B158BF6" w14:textId="77777777" w:rsidR="001232BC" w:rsidRPr="001D7135" w:rsidRDefault="001232BC" w:rsidP="001232BC">
      <w:r w:rsidRPr="001D7135">
        <w:t>The epistemological approach centres on interpreting participants’ narratives, while the ontological view highlights systemic class structures. The axiological perspective emphasizes equity and challenges entrenched power dynamics in education.</w:t>
      </w:r>
    </w:p>
    <w:p w14:paraId="14A734DC" w14:textId="77777777" w:rsidR="001232BC" w:rsidRPr="001D7135" w:rsidRDefault="001232BC" w:rsidP="001232BC"/>
    <w:p w14:paraId="6DA3A340" w14:textId="77777777" w:rsidR="001232BC" w:rsidRPr="001D7135" w:rsidRDefault="001232BC" w:rsidP="001232BC">
      <w:pPr>
        <w:rPr>
          <w:b/>
          <w:bCs/>
        </w:rPr>
      </w:pPr>
      <w:r w:rsidRPr="001D7135">
        <w:rPr>
          <w:b/>
          <w:bCs/>
        </w:rPr>
        <w:t>Reliability, Validity, and Ethical:</w:t>
      </w:r>
    </w:p>
    <w:p w14:paraId="39BACB75" w14:textId="77777777" w:rsidR="001232BC" w:rsidRPr="001D7135" w:rsidRDefault="001232BC" w:rsidP="001232BC">
      <w:r w:rsidRPr="001D7135">
        <w:t>Reliability is enhanced by the study’s theoretical grounding and qualitative methods. Validity could be improved by diversifying participant demographics and broadening the scope of analysis. Ethical considerations are addressed through respectful engagement with participants’ experiences and advocating systemic reforms.</w:t>
      </w:r>
    </w:p>
    <w:p w14:paraId="4E1C0F0F" w14:textId="77777777" w:rsidR="0056077F" w:rsidRPr="001D7135" w:rsidRDefault="0056077F" w:rsidP="001232BC"/>
    <w:p w14:paraId="257A9E33" w14:textId="77777777" w:rsidR="001232BC" w:rsidRPr="001D7135" w:rsidRDefault="001232BC" w:rsidP="001232BC">
      <w:pPr>
        <w:rPr>
          <w:b/>
          <w:bCs/>
        </w:rPr>
      </w:pPr>
      <w:r w:rsidRPr="001D7135">
        <w:rPr>
          <w:b/>
          <w:bCs/>
        </w:rPr>
        <w:lastRenderedPageBreak/>
        <w:t>Future Research</w:t>
      </w:r>
    </w:p>
    <w:p w14:paraId="6C13C5A5" w14:textId="77777777" w:rsidR="001232BC" w:rsidRPr="001D7135" w:rsidRDefault="001232BC" w:rsidP="001232BC">
      <w:r w:rsidRPr="001D7135">
        <w:t>Include more diverse participant demographics, incorporating BAME and gender-diverse perspectives.</w:t>
      </w:r>
    </w:p>
    <w:p w14:paraId="4D9230D8" w14:textId="77777777" w:rsidR="001232BC" w:rsidRPr="001D7135" w:rsidRDefault="001232BC" w:rsidP="001232BC">
      <w:r w:rsidRPr="001D7135">
        <w:t>Employ intersectional and longitudinal methods to capture nuanced barriers and long-term impacts.</w:t>
      </w:r>
    </w:p>
    <w:p w14:paraId="7C68A981" w14:textId="77777777" w:rsidR="001232BC" w:rsidRPr="001D7135" w:rsidRDefault="001232BC" w:rsidP="001232BC">
      <w:r w:rsidRPr="001D7135">
        <w:t>Broaden the study’s scope to explore systemic reforms in a wider range of educational institutions.</w:t>
      </w:r>
    </w:p>
    <w:p w14:paraId="563BAE4D" w14:textId="77777777" w:rsidR="001232BC" w:rsidRPr="001D7135" w:rsidRDefault="001232BC" w:rsidP="001232BC">
      <w:r w:rsidRPr="001D7135">
        <w:rPr>
          <w:b/>
          <w:bCs/>
        </w:rPr>
        <w:t>Conclusion</w:t>
      </w:r>
      <w:r w:rsidRPr="001D7135">
        <w:t xml:space="preserve"> </w:t>
      </w:r>
    </w:p>
    <w:p w14:paraId="4A9AA44D" w14:textId="77777777" w:rsidR="001232BC" w:rsidRPr="001D7135" w:rsidRDefault="001232BC" w:rsidP="001232BC">
      <w:r w:rsidRPr="001D7135">
        <w:t xml:space="preserve">Reay’s study effectively critiques the limitations of meritocratic narratives in elite UK universities, </w:t>
      </w:r>
      <w:r w:rsidR="0056077F" w:rsidRPr="001D7135">
        <w:t>emphasising</w:t>
      </w:r>
      <w:r w:rsidRPr="001D7135">
        <w:t xml:space="preserve"> the need for systemic reform. Its strengths include the application of Bourdieu’s framework and focus on class-based exclusions. Weaknesses involve limited participant diversity and a narrow institutional focus. Recommendations for future research include expanding demographic representation, integrating intersectional analyses, and exploring reforms across a broader spectrum of higher education institutions.</w:t>
      </w:r>
    </w:p>
    <w:p w14:paraId="299E0021" w14:textId="77777777" w:rsidR="0056077F" w:rsidRPr="001D7135" w:rsidRDefault="0056077F" w:rsidP="001232BC"/>
    <w:p w14:paraId="2D77C9E1" w14:textId="77777777" w:rsidR="0056077F" w:rsidRPr="001D7135" w:rsidRDefault="0056077F" w:rsidP="001232BC">
      <w:pPr>
        <w:rPr>
          <w:b/>
          <w:bCs/>
        </w:rPr>
      </w:pPr>
      <w:r w:rsidRPr="001D7135">
        <w:rPr>
          <w:b/>
          <w:bCs/>
        </w:rPr>
        <w:t>Paper 5</w:t>
      </w:r>
    </w:p>
    <w:p w14:paraId="6788990C" w14:textId="77777777" w:rsidR="0056077F" w:rsidRPr="001D7135" w:rsidRDefault="0056077F" w:rsidP="0056077F">
      <w:pPr>
        <w:rPr>
          <w:b/>
          <w:bCs/>
        </w:rPr>
      </w:pPr>
      <w:r w:rsidRPr="001D7135">
        <w:rPr>
          <w:b/>
          <w:bCs/>
        </w:rPr>
        <w:t>Title: Exploring Socioeconomic Inequalities and Access to Elite Postgraduate Education Among English Graduates</w:t>
      </w:r>
    </w:p>
    <w:p w14:paraId="7E64592B" w14:textId="77777777" w:rsidR="0056077F" w:rsidRPr="001D7135" w:rsidRDefault="0056077F" w:rsidP="0056077F"/>
    <w:p w14:paraId="6ABDB177" w14:textId="77777777" w:rsidR="0056077F" w:rsidRPr="001D7135" w:rsidRDefault="0056077F" w:rsidP="0056077F">
      <w:pPr>
        <w:rPr>
          <w:b/>
          <w:bCs/>
        </w:rPr>
      </w:pPr>
      <w:r w:rsidRPr="001D7135">
        <w:rPr>
          <w:b/>
          <w:bCs/>
        </w:rPr>
        <w:t>Content Summary</w:t>
      </w:r>
    </w:p>
    <w:p w14:paraId="0A4E2356" w14:textId="77777777" w:rsidR="0056077F" w:rsidRPr="001D7135" w:rsidRDefault="0056077F" w:rsidP="0056077F">
      <w:r w:rsidRPr="001D7135">
        <w:t>This study examines how socioeconomic factors affect access to postgraduate education in elite UK institutions, focusing on Russell Group universities.</w:t>
      </w:r>
      <w:r w:rsidR="00CB3891" w:rsidRPr="001D7135">
        <w:t xml:space="preserve"> </w:t>
      </w:r>
      <w:r w:rsidRPr="001D7135">
        <w:rPr>
          <w:b/>
          <w:bCs/>
        </w:rPr>
        <w:t>Key Findings:</w:t>
      </w:r>
      <w:r w:rsidRPr="001D7135">
        <w:t xml:space="preserve"> Significant inequalities are influenced by undergraduate institutional type and academic achievement, with advantaged students more likely to access elite postgraduate programs. Educational pathways strongly predict progression. The paper </w:t>
      </w:r>
      <w:r w:rsidR="00CB3891" w:rsidRPr="001D7135">
        <w:t>emphasises</w:t>
      </w:r>
      <w:r w:rsidRPr="001D7135">
        <w:t xml:space="preserve"> institutional </w:t>
      </w:r>
      <w:r w:rsidRPr="001D7135">
        <w:rPr>
          <w:b/>
          <w:bCs/>
          <w:color w:val="7030A0"/>
        </w:rPr>
        <w:t xml:space="preserve">stratification </w:t>
      </w:r>
      <w:r w:rsidRPr="001D7135">
        <w:t>and advocates reforms to broaden access.</w:t>
      </w:r>
    </w:p>
    <w:p w14:paraId="72AE4C71" w14:textId="77777777" w:rsidR="0056077F" w:rsidRPr="001D7135" w:rsidRDefault="0056077F" w:rsidP="0056077F"/>
    <w:p w14:paraId="23B77FB7" w14:textId="77777777" w:rsidR="0056077F" w:rsidRPr="001D7135" w:rsidRDefault="0056077F" w:rsidP="0056077F">
      <w:pPr>
        <w:rPr>
          <w:b/>
          <w:bCs/>
        </w:rPr>
      </w:pPr>
      <w:r w:rsidRPr="001D7135">
        <w:rPr>
          <w:b/>
          <w:bCs/>
        </w:rPr>
        <w:t>Authority</w:t>
      </w:r>
    </w:p>
    <w:p w14:paraId="51AB6247" w14:textId="77777777" w:rsidR="0056077F" w:rsidRPr="001D7135" w:rsidRDefault="0056077F" w:rsidP="0056077F">
      <w:r w:rsidRPr="001D7135">
        <w:t>José Luis Mateos-González and Paul Wakeling are affiliated with the University of York, a reputable institution.</w:t>
      </w:r>
      <w:r w:rsidR="00CB3891" w:rsidRPr="001D7135">
        <w:t xml:space="preserve"> </w:t>
      </w:r>
      <w:r w:rsidRPr="001D7135">
        <w:t>Their expertise in higher education and social mobility reinforces the reliability of the study.</w:t>
      </w:r>
    </w:p>
    <w:p w14:paraId="36E60C9E" w14:textId="77777777" w:rsidR="0056077F" w:rsidRPr="001D7135" w:rsidRDefault="0056077F" w:rsidP="0056077F"/>
    <w:p w14:paraId="327EE689" w14:textId="77777777" w:rsidR="0056077F" w:rsidRPr="001D7135" w:rsidRDefault="0056077F" w:rsidP="0056077F">
      <w:pPr>
        <w:rPr>
          <w:b/>
          <w:bCs/>
        </w:rPr>
      </w:pPr>
      <w:r w:rsidRPr="001D7135">
        <w:rPr>
          <w:b/>
          <w:bCs/>
        </w:rPr>
        <w:t>Methodology</w:t>
      </w:r>
    </w:p>
    <w:p w14:paraId="495EE724" w14:textId="77777777" w:rsidR="0056077F" w:rsidRPr="001D7135" w:rsidRDefault="0056077F" w:rsidP="0056077F">
      <w:r w:rsidRPr="001D7135">
        <w:lastRenderedPageBreak/>
        <w:t xml:space="preserve">Quantitative Approach: The study uses </w:t>
      </w:r>
      <w:proofErr w:type="spellStart"/>
      <w:r w:rsidRPr="001D7135">
        <w:t>HESA</w:t>
      </w:r>
      <w:proofErr w:type="spellEnd"/>
      <w:r w:rsidRPr="001D7135">
        <w:t xml:space="preserve"> data (N=533,885) and applies multinomial logistic regression.</w:t>
      </w:r>
    </w:p>
    <w:p w14:paraId="58D633F5" w14:textId="77777777" w:rsidR="00CB3891" w:rsidRPr="001D7135" w:rsidRDefault="0056077F" w:rsidP="0056077F">
      <w:r w:rsidRPr="001D7135">
        <w:t>Ontological Perspective: Relational ontology, examining how structural inequalities are mediated through educational pathways.</w:t>
      </w:r>
    </w:p>
    <w:p w14:paraId="2C941CB7" w14:textId="77777777" w:rsidR="0056077F" w:rsidRPr="001D7135" w:rsidRDefault="0056077F" w:rsidP="0056077F">
      <w:r w:rsidRPr="001D7135">
        <w:t xml:space="preserve">Epistemological Perspective: Positivist epistemology, focusing on measurable variables such as socioeconomic background and academic trajectories to </w:t>
      </w:r>
      <w:r w:rsidR="00CB3891" w:rsidRPr="001D7135">
        <w:t>analyse</w:t>
      </w:r>
      <w:r w:rsidRPr="001D7135">
        <w:t xml:space="preserve"> inequalities.</w:t>
      </w:r>
    </w:p>
    <w:p w14:paraId="491E62BC" w14:textId="77777777" w:rsidR="0056077F" w:rsidRPr="001D7135" w:rsidRDefault="0056077F" w:rsidP="0056077F"/>
    <w:p w14:paraId="2DBEA05D" w14:textId="77777777" w:rsidR="0056077F" w:rsidRPr="001D7135" w:rsidRDefault="0056077F" w:rsidP="0056077F">
      <w:pPr>
        <w:rPr>
          <w:b/>
          <w:bCs/>
        </w:rPr>
      </w:pPr>
      <w:r w:rsidRPr="001D7135">
        <w:rPr>
          <w:b/>
          <w:bCs/>
        </w:rPr>
        <w:t>Critical Analysis</w:t>
      </w:r>
    </w:p>
    <w:p w14:paraId="051AD001" w14:textId="77777777" w:rsidR="00CB3891" w:rsidRPr="001D7135" w:rsidRDefault="0056077F" w:rsidP="0056077F">
      <w:pPr>
        <w:rPr>
          <w:b/>
          <w:bCs/>
        </w:rPr>
      </w:pPr>
      <w:r w:rsidRPr="001D7135">
        <w:rPr>
          <w:b/>
          <w:bCs/>
        </w:rPr>
        <w:t>Accuracy:</w:t>
      </w:r>
    </w:p>
    <w:p w14:paraId="70AA5D06" w14:textId="77777777" w:rsidR="0056077F" w:rsidRPr="001D7135" w:rsidRDefault="0056077F" w:rsidP="0056077F">
      <w:r w:rsidRPr="001D7135">
        <w:t>The study uses reliable large-scale datasets and robust statistical techniques, including post-stratification weighting to address non-response bias. However, reliance on quantitative methods limits exploration of individual decision-making processes.</w:t>
      </w:r>
    </w:p>
    <w:p w14:paraId="52BFA4E4" w14:textId="77777777" w:rsidR="00CB3891" w:rsidRPr="001D7135" w:rsidRDefault="0056077F" w:rsidP="0056077F">
      <w:pPr>
        <w:rPr>
          <w:b/>
          <w:bCs/>
        </w:rPr>
      </w:pPr>
      <w:r w:rsidRPr="001D7135">
        <w:rPr>
          <w:b/>
          <w:bCs/>
        </w:rPr>
        <w:t>Objectivity:</w:t>
      </w:r>
    </w:p>
    <w:p w14:paraId="1D25A675" w14:textId="77777777" w:rsidR="0056077F" w:rsidRPr="001D7135" w:rsidRDefault="0056077F" w:rsidP="0056077F">
      <w:r w:rsidRPr="001D7135">
        <w:t xml:space="preserve">The research advocates equity while maintaining neutrality in </w:t>
      </w:r>
      <w:r w:rsidR="00CB3891" w:rsidRPr="001D7135">
        <w:t>analysing</w:t>
      </w:r>
      <w:r w:rsidRPr="001D7135">
        <w:t xml:space="preserve"> institutional stratification's role in perpetuating inequalities. The emphasis on measurable outcomes </w:t>
      </w:r>
      <w:r w:rsidR="00CB3891" w:rsidRPr="001D7135">
        <w:t>minimises</w:t>
      </w:r>
      <w:r w:rsidRPr="001D7135">
        <w:t xml:space="preserve"> bias, though the absence of qualitative perspectives on lived experiences is a limitation.</w:t>
      </w:r>
    </w:p>
    <w:p w14:paraId="486F91FF" w14:textId="77777777" w:rsidR="00CB3891" w:rsidRPr="001D7135" w:rsidRDefault="0056077F" w:rsidP="0056077F">
      <w:pPr>
        <w:rPr>
          <w:b/>
          <w:bCs/>
        </w:rPr>
      </w:pPr>
      <w:r w:rsidRPr="001D7135">
        <w:rPr>
          <w:b/>
          <w:bCs/>
        </w:rPr>
        <w:t>Currency:</w:t>
      </w:r>
    </w:p>
    <w:p w14:paraId="7B40C604" w14:textId="77777777" w:rsidR="00CB3891" w:rsidRPr="001D7135" w:rsidRDefault="0056077F" w:rsidP="00CB3891">
      <w:r w:rsidRPr="001D7135">
        <w:t>Published in 2021, the research remains relevant, addressing ongoing issues in postgraduate education and reflecting changes such as postgraduate loans introduced in 2016.</w:t>
      </w:r>
    </w:p>
    <w:p w14:paraId="7EF9743F" w14:textId="77777777" w:rsidR="0056077F" w:rsidRPr="001D7135" w:rsidRDefault="00CB3891" w:rsidP="0056077F">
      <w:r w:rsidRPr="001D7135">
        <w:t>Published in 2021, it analyses data from the UK Higher Education Statistics Agency (</w:t>
      </w:r>
      <w:proofErr w:type="spellStart"/>
      <w:r w:rsidRPr="001D7135">
        <w:t>HESA</w:t>
      </w:r>
      <w:proofErr w:type="spellEnd"/>
      <w:r w:rsidRPr="001D7135">
        <w:t>) for graduates between 2015 and 2017.</w:t>
      </w:r>
    </w:p>
    <w:p w14:paraId="42ED8B33" w14:textId="77777777" w:rsidR="00CB3891" w:rsidRPr="001D7135" w:rsidRDefault="0056077F" w:rsidP="0056077F">
      <w:pPr>
        <w:rPr>
          <w:b/>
          <w:bCs/>
        </w:rPr>
      </w:pPr>
      <w:r w:rsidRPr="001D7135">
        <w:rPr>
          <w:b/>
          <w:bCs/>
        </w:rPr>
        <w:t>Coverage:</w:t>
      </w:r>
    </w:p>
    <w:p w14:paraId="2E01F62D" w14:textId="77777777" w:rsidR="0056077F" w:rsidRPr="001D7135" w:rsidRDefault="0056077F" w:rsidP="0056077F">
      <w:r w:rsidRPr="001D7135">
        <w:t>The analysis thoroughly examines socioeconomic and educational influences on postgraduate access but lacks intersectional exploration of ethnicity and gender. Including these dimensions could enhance its scope.</w:t>
      </w:r>
    </w:p>
    <w:p w14:paraId="1C4DDD3D" w14:textId="77777777" w:rsidR="00CB3891" w:rsidRPr="001D7135" w:rsidRDefault="0056077F" w:rsidP="0056077F">
      <w:pPr>
        <w:rPr>
          <w:b/>
          <w:bCs/>
        </w:rPr>
      </w:pPr>
      <w:r w:rsidRPr="001D7135">
        <w:rPr>
          <w:b/>
          <w:bCs/>
        </w:rPr>
        <w:t>Uniqueness:</w:t>
      </w:r>
    </w:p>
    <w:p w14:paraId="722D2C2C" w14:textId="77777777" w:rsidR="0056077F" w:rsidRPr="001D7135" w:rsidRDefault="0056077F" w:rsidP="0056077F">
      <w:r w:rsidRPr="001D7135">
        <w:t>The study’s focus on institutional stratification within postgraduate education is notable, offering insights into how educational pathways mediate access. Broadening this focus to international contexts would further its impact.</w:t>
      </w:r>
    </w:p>
    <w:p w14:paraId="4A048AF8" w14:textId="77777777" w:rsidR="00CB3891" w:rsidRPr="001D7135" w:rsidRDefault="0056077F" w:rsidP="0056077F">
      <w:pPr>
        <w:rPr>
          <w:b/>
          <w:bCs/>
        </w:rPr>
      </w:pPr>
      <w:r w:rsidRPr="001D7135">
        <w:rPr>
          <w:b/>
          <w:bCs/>
        </w:rPr>
        <w:t>Epistemology, Ontology, and Axiology:</w:t>
      </w:r>
    </w:p>
    <w:p w14:paraId="2B543705" w14:textId="77777777" w:rsidR="00CB3891" w:rsidRPr="001D7135" w:rsidRDefault="0056077F" w:rsidP="0056077F">
      <w:r w:rsidRPr="001D7135">
        <w:t>The positivist epistemology aligns with its focus on measurable inequalities, while the relational ontology situates these within broader structural frameworks.</w:t>
      </w:r>
    </w:p>
    <w:p w14:paraId="58CF7602" w14:textId="77777777" w:rsidR="0056077F" w:rsidRPr="001D7135" w:rsidRDefault="0056077F" w:rsidP="0056077F">
      <w:r w:rsidRPr="001D7135">
        <w:lastRenderedPageBreak/>
        <w:t>Axiologically, the study emphasizes equity in higher education, though it could incorporate qualitative methods for a more comprehensive analysis.</w:t>
      </w:r>
    </w:p>
    <w:p w14:paraId="29EF1799" w14:textId="77777777" w:rsidR="00CB3891" w:rsidRPr="001D7135" w:rsidRDefault="0056077F" w:rsidP="0056077F">
      <w:pPr>
        <w:rPr>
          <w:b/>
          <w:bCs/>
        </w:rPr>
      </w:pPr>
      <w:r w:rsidRPr="001D7135">
        <w:rPr>
          <w:b/>
          <w:bCs/>
        </w:rPr>
        <w:t>Reliability, Validity, and Ethical Considerations:</w:t>
      </w:r>
    </w:p>
    <w:p w14:paraId="54691F7F" w14:textId="77777777" w:rsidR="00CB3891" w:rsidRPr="001D7135" w:rsidRDefault="0056077F" w:rsidP="0056077F">
      <w:r w:rsidRPr="001D7135">
        <w:t xml:space="preserve">Reliability is supported </w:t>
      </w:r>
      <w:proofErr w:type="gramStart"/>
      <w:r w:rsidRPr="001D7135">
        <w:t>by the use of</w:t>
      </w:r>
      <w:proofErr w:type="gramEnd"/>
      <w:r w:rsidRPr="001D7135">
        <w:t xml:space="preserve"> a large dataset and transparent methodology.</w:t>
      </w:r>
    </w:p>
    <w:p w14:paraId="5FEA3FF3" w14:textId="77777777" w:rsidR="00CB3891" w:rsidRPr="001D7135" w:rsidRDefault="0056077F" w:rsidP="0056077F">
      <w:r w:rsidRPr="001D7135">
        <w:t xml:space="preserve">Validity is </w:t>
      </w:r>
      <w:r w:rsidRPr="001D7135">
        <w:rPr>
          <w:color w:val="7030A0"/>
        </w:rPr>
        <w:t>underpinned</w:t>
      </w:r>
      <w:r w:rsidRPr="001D7135">
        <w:t xml:space="preserve"> by a theoretical grounding in maintained inequality frameworks. Potential bias arises from the exclusion of qualitative perspectives and limited intersectionality.</w:t>
      </w:r>
    </w:p>
    <w:p w14:paraId="38A42DF0" w14:textId="77777777" w:rsidR="0056077F" w:rsidRPr="001D7135" w:rsidRDefault="0056077F" w:rsidP="0056077F">
      <w:r w:rsidRPr="001D7135">
        <w:t>Ethical considerations are met through data anonymization and a focus on equity.</w:t>
      </w:r>
    </w:p>
    <w:p w14:paraId="0D830FCE" w14:textId="77777777" w:rsidR="0056077F" w:rsidRPr="001D7135" w:rsidRDefault="0056077F" w:rsidP="0056077F">
      <w:pPr>
        <w:rPr>
          <w:b/>
          <w:bCs/>
        </w:rPr>
      </w:pPr>
      <w:r w:rsidRPr="001D7135">
        <w:rPr>
          <w:b/>
          <w:bCs/>
        </w:rPr>
        <w:t>Future Research</w:t>
      </w:r>
    </w:p>
    <w:p w14:paraId="78020D7A" w14:textId="77777777" w:rsidR="0056077F" w:rsidRPr="001D7135" w:rsidRDefault="0056077F" w:rsidP="0056077F">
      <w:r w:rsidRPr="001D7135">
        <w:t>Include intersectional analyses of ethnicity, gender, and socioeconomic status.</w:t>
      </w:r>
    </w:p>
    <w:p w14:paraId="01CBF1A4" w14:textId="77777777" w:rsidR="0056077F" w:rsidRPr="001D7135" w:rsidRDefault="0056077F" w:rsidP="0056077F">
      <w:r w:rsidRPr="001D7135">
        <w:t xml:space="preserve">Use </w:t>
      </w:r>
      <w:proofErr w:type="gramStart"/>
      <w:r w:rsidRPr="001D7135">
        <w:t>mixed-method</w:t>
      </w:r>
      <w:proofErr w:type="gramEnd"/>
      <w:r w:rsidRPr="001D7135">
        <w:t xml:space="preserve"> approaches to capture both quantitative and qualitative dimensions.</w:t>
      </w:r>
    </w:p>
    <w:p w14:paraId="0801DED9" w14:textId="77777777" w:rsidR="0056077F" w:rsidRPr="001D7135" w:rsidRDefault="0056077F" w:rsidP="0056077F">
      <w:r w:rsidRPr="001D7135">
        <w:t>Broaden the analysis to explore institutional stratification in international postgraduate education.</w:t>
      </w:r>
    </w:p>
    <w:p w14:paraId="4ACEDC23" w14:textId="77777777" w:rsidR="00CB3891" w:rsidRPr="001D7135" w:rsidRDefault="0056077F" w:rsidP="0056077F">
      <w:r w:rsidRPr="001D7135">
        <w:t>Investigate the long-term impacts of postgraduate education reforms on systemic inequalities.</w:t>
      </w:r>
    </w:p>
    <w:p w14:paraId="7CE0091D" w14:textId="77777777" w:rsidR="0056077F" w:rsidRPr="001D7135" w:rsidRDefault="0056077F" w:rsidP="0056077F">
      <w:pPr>
        <w:rPr>
          <w:b/>
          <w:bCs/>
        </w:rPr>
      </w:pPr>
      <w:r w:rsidRPr="001D7135">
        <w:rPr>
          <w:b/>
          <w:bCs/>
        </w:rPr>
        <w:t>Conclusion of Strengths, Weaknesses, and Recommendations</w:t>
      </w:r>
    </w:p>
    <w:p w14:paraId="39CA895C" w14:textId="77777777" w:rsidR="0056077F" w:rsidRPr="001D7135" w:rsidRDefault="0056077F" w:rsidP="0056077F">
      <w:r w:rsidRPr="001D7135">
        <w:t xml:space="preserve">This study provides a detailed analysis of how socioeconomic inequalities shape access to elite postgraduate education in the UK. Its strengths include the use of large-scale data and rigorous statistical methods. Weaknesses lie in the exclusion of qualitative perspectives and limited attention to intersectionality. Recommendations for future research involve integrating diverse participant demographics, adopting mixed-method approaches, and extending the focus to international contexts. </w:t>
      </w:r>
      <w:r w:rsidR="00CB3891" w:rsidRPr="001D7135">
        <w:t>The study’s findings would, therefore, contribute to more effective policies promoting equity in postgraduate education by addressing these gaps</w:t>
      </w:r>
      <w:r w:rsidRPr="001D7135">
        <w:t>.</w:t>
      </w:r>
    </w:p>
    <w:p w14:paraId="2A045096" w14:textId="77777777" w:rsidR="00534D86" w:rsidRPr="001D7135" w:rsidRDefault="00534D86" w:rsidP="0056077F">
      <w:pPr>
        <w:rPr>
          <w:b/>
          <w:bCs/>
        </w:rPr>
      </w:pPr>
    </w:p>
    <w:p w14:paraId="02944CE2" w14:textId="77777777" w:rsidR="00CB3891" w:rsidRPr="001D7135" w:rsidRDefault="00CB3891" w:rsidP="0056077F">
      <w:pPr>
        <w:rPr>
          <w:b/>
          <w:bCs/>
        </w:rPr>
      </w:pPr>
      <w:r w:rsidRPr="001D7135">
        <w:rPr>
          <w:b/>
          <w:bCs/>
        </w:rPr>
        <w:t>Paper 6</w:t>
      </w:r>
    </w:p>
    <w:p w14:paraId="0E562B08" w14:textId="77777777" w:rsidR="00CB3891" w:rsidRPr="001D7135" w:rsidRDefault="00CB3891" w:rsidP="00CB3891">
      <w:pPr>
        <w:rPr>
          <w:b/>
          <w:bCs/>
        </w:rPr>
      </w:pPr>
      <w:r w:rsidRPr="001D7135">
        <w:rPr>
          <w:b/>
          <w:bCs/>
        </w:rPr>
        <w:t>Critical Analysis of "Students' Sense of Belonging and Their Socioeconomic Status in Higher Education: A Quantitative Approach"</w:t>
      </w:r>
    </w:p>
    <w:p w14:paraId="1ABD9CD7" w14:textId="77777777" w:rsidR="00CB3891" w:rsidRPr="001D7135" w:rsidRDefault="00CB3891" w:rsidP="00CB3891">
      <w:pPr>
        <w:rPr>
          <w:b/>
          <w:bCs/>
        </w:rPr>
      </w:pPr>
      <w:r w:rsidRPr="001D7135">
        <w:rPr>
          <w:b/>
          <w:bCs/>
        </w:rPr>
        <w:t>Content Summary</w:t>
      </w:r>
    </w:p>
    <w:p w14:paraId="7736A0CB" w14:textId="77777777" w:rsidR="00534D86" w:rsidRPr="001D7135" w:rsidRDefault="00CB3891" w:rsidP="00CB3891">
      <w:r w:rsidRPr="001D7135">
        <w:t>This study examines the relationship between academic and social engagement and students’ sense of belonging and retention in higher education, focusing on disadvantaged groups defined by age, class, and ethnicity. Using survey data from 380 participants across 16 academic departments, it highlights the impact of socio-economic factors.</w:t>
      </w:r>
    </w:p>
    <w:p w14:paraId="05C390E6" w14:textId="77777777" w:rsidR="00CB3891" w:rsidRPr="001D7135" w:rsidRDefault="00CB3891" w:rsidP="00CB3891"/>
    <w:p w14:paraId="3A9A727D" w14:textId="77777777" w:rsidR="00CB3891" w:rsidRPr="001D7135" w:rsidRDefault="00CB3891" w:rsidP="00CB3891">
      <w:pPr>
        <w:rPr>
          <w:b/>
          <w:bCs/>
        </w:rPr>
      </w:pPr>
      <w:r w:rsidRPr="001D7135">
        <w:rPr>
          <w:b/>
          <w:bCs/>
        </w:rPr>
        <w:t>Authority</w:t>
      </w:r>
    </w:p>
    <w:p w14:paraId="52270252" w14:textId="77777777" w:rsidR="00534D86" w:rsidRPr="001D7135" w:rsidRDefault="00CB3891" w:rsidP="00CB3891">
      <w:r w:rsidRPr="001D7135">
        <w:t>Authors: Mi Young Ahn and Howard H. Davis, affiliated with University College London and Bangor University, respectively</w:t>
      </w:r>
      <w:r w:rsidR="00534D86" w:rsidRPr="001D7135">
        <w:t>.</w:t>
      </w:r>
    </w:p>
    <w:p w14:paraId="3D90E69F" w14:textId="77777777" w:rsidR="00CB3891" w:rsidRPr="001D7135" w:rsidRDefault="00CB3891" w:rsidP="00CB3891">
      <w:r w:rsidRPr="001D7135">
        <w:t>Credibility: Their speciali</w:t>
      </w:r>
      <w:r w:rsidR="00534D86" w:rsidRPr="001D7135">
        <w:t>s</w:t>
      </w:r>
      <w:r w:rsidRPr="001D7135">
        <w:t>ation in education and social sciences strengthens the study’s reliability and relevance.</w:t>
      </w:r>
    </w:p>
    <w:p w14:paraId="7AEC2BA3" w14:textId="77777777" w:rsidR="00CB3891" w:rsidRPr="001D7135" w:rsidRDefault="00CB3891" w:rsidP="00CB3891"/>
    <w:p w14:paraId="5153102A" w14:textId="77777777" w:rsidR="00CB3891" w:rsidRPr="001D7135" w:rsidRDefault="00CB3891" w:rsidP="00CB3891">
      <w:pPr>
        <w:rPr>
          <w:b/>
          <w:bCs/>
        </w:rPr>
      </w:pPr>
      <w:r w:rsidRPr="001D7135">
        <w:rPr>
          <w:b/>
          <w:bCs/>
        </w:rPr>
        <w:t>Methodology</w:t>
      </w:r>
    </w:p>
    <w:p w14:paraId="7A9FF026" w14:textId="77777777" w:rsidR="00534D86" w:rsidRPr="001D7135" w:rsidRDefault="00CB3891" w:rsidP="00CB3891">
      <w:r w:rsidRPr="001D7135">
        <w:t>Quantitative Design: The study uses Principal Component Analysis (</w:t>
      </w:r>
      <w:proofErr w:type="spellStart"/>
      <w:r w:rsidRPr="001D7135">
        <w:t>PCA</w:t>
      </w:r>
      <w:proofErr w:type="spellEnd"/>
      <w:r w:rsidRPr="001D7135">
        <w:t xml:space="preserve">) and t-tests to </w:t>
      </w:r>
      <w:proofErr w:type="spellStart"/>
      <w:r w:rsidRPr="001D7135">
        <w:t>analyze</w:t>
      </w:r>
      <w:proofErr w:type="spellEnd"/>
      <w:r w:rsidRPr="001D7135">
        <w:t xml:space="preserve"> survey data, linking socio-economic and demographic factors to belonging and retention.</w:t>
      </w:r>
    </w:p>
    <w:p w14:paraId="64CCDA4A" w14:textId="77777777" w:rsidR="00534D86" w:rsidRPr="001D7135" w:rsidRDefault="00CB3891" w:rsidP="00CB3891">
      <w:r w:rsidRPr="001D7135">
        <w:t>Ontological Perspective: Assumes belonging is an objective construct influenced by structural and institutional factors.</w:t>
      </w:r>
    </w:p>
    <w:p w14:paraId="21DF25B9" w14:textId="77777777" w:rsidR="00CB3891" w:rsidRPr="001D7135" w:rsidRDefault="00CB3891" w:rsidP="00CB3891">
      <w:r w:rsidRPr="001D7135">
        <w:t>Epistemological Perspective: Positivist epistemology, emphasizing quantitative methods to establish relationships between belonging, socio-economic status, and retention.</w:t>
      </w:r>
    </w:p>
    <w:p w14:paraId="08B6DFB6" w14:textId="77777777" w:rsidR="00CB3891" w:rsidRPr="001D7135" w:rsidRDefault="00CB3891" w:rsidP="00CB3891"/>
    <w:p w14:paraId="6AB0F0C1" w14:textId="77777777" w:rsidR="00CB3891" w:rsidRPr="001D7135" w:rsidRDefault="00CB3891" w:rsidP="00CB3891">
      <w:pPr>
        <w:rPr>
          <w:b/>
          <w:bCs/>
        </w:rPr>
      </w:pPr>
      <w:r w:rsidRPr="001D7135">
        <w:rPr>
          <w:b/>
          <w:bCs/>
        </w:rPr>
        <w:t>Critical Analysis</w:t>
      </w:r>
    </w:p>
    <w:p w14:paraId="2110F954" w14:textId="77777777" w:rsidR="00534D86" w:rsidRPr="001D7135" w:rsidRDefault="00CB3891" w:rsidP="00CB3891">
      <w:pPr>
        <w:rPr>
          <w:b/>
          <w:bCs/>
        </w:rPr>
      </w:pPr>
      <w:r w:rsidRPr="001D7135">
        <w:rPr>
          <w:b/>
          <w:bCs/>
        </w:rPr>
        <w:t>Accuracy:</w:t>
      </w:r>
    </w:p>
    <w:p w14:paraId="2339BD7F" w14:textId="77777777" w:rsidR="00CB3891" w:rsidRPr="001D7135" w:rsidRDefault="00CB3891" w:rsidP="00CB3891">
      <w:r w:rsidRPr="001D7135">
        <w:t>The research is reliable due to validated survey instruments and statistical methods. Validity is reinforced by consistency with existing literature, though reliance on self-reported data introduces potential biases.</w:t>
      </w:r>
    </w:p>
    <w:p w14:paraId="79276A87" w14:textId="77777777" w:rsidR="00534D86" w:rsidRPr="001D7135" w:rsidRDefault="00CB3891" w:rsidP="00CB3891">
      <w:pPr>
        <w:rPr>
          <w:b/>
          <w:bCs/>
        </w:rPr>
      </w:pPr>
      <w:r w:rsidRPr="001D7135">
        <w:rPr>
          <w:b/>
          <w:bCs/>
        </w:rPr>
        <w:t>Objectivity:</w:t>
      </w:r>
    </w:p>
    <w:p w14:paraId="782EC27D" w14:textId="77777777" w:rsidR="00CB3891" w:rsidRPr="001D7135" w:rsidRDefault="00CB3891" w:rsidP="00CB3891">
      <w:r w:rsidRPr="001D7135">
        <w:t>Findings are evidence-based and align with goals for equity, though the exclusive focus on measurable constructs overlooks subjective experiences and individual narratives.</w:t>
      </w:r>
    </w:p>
    <w:p w14:paraId="34E82295" w14:textId="77777777" w:rsidR="00534D86" w:rsidRPr="001D7135" w:rsidRDefault="00CB3891" w:rsidP="00534D86">
      <w:pPr>
        <w:rPr>
          <w:b/>
          <w:bCs/>
        </w:rPr>
      </w:pPr>
      <w:r w:rsidRPr="001D7135">
        <w:rPr>
          <w:b/>
          <w:bCs/>
        </w:rPr>
        <w:t>Currency:</w:t>
      </w:r>
    </w:p>
    <w:p w14:paraId="48837AA1" w14:textId="77777777" w:rsidR="00534D86" w:rsidRPr="001D7135" w:rsidRDefault="00CB3891" w:rsidP="00534D86">
      <w:r w:rsidRPr="001D7135">
        <w:t>The 2023 publication ensures relevance to current debates around equity and retention in higher education, especially for socio-economically disadvantaged groups.</w:t>
      </w:r>
    </w:p>
    <w:p w14:paraId="77045DC8" w14:textId="77777777" w:rsidR="00CB3891" w:rsidRPr="001D7135" w:rsidRDefault="00CB3891" w:rsidP="00CB3891"/>
    <w:p w14:paraId="7D8EC60D" w14:textId="77777777" w:rsidR="00534D86" w:rsidRPr="001D7135" w:rsidRDefault="00CB3891" w:rsidP="00CB3891">
      <w:pPr>
        <w:rPr>
          <w:b/>
          <w:bCs/>
        </w:rPr>
      </w:pPr>
      <w:r w:rsidRPr="001D7135">
        <w:rPr>
          <w:b/>
          <w:bCs/>
        </w:rPr>
        <w:t>Coverage:</w:t>
      </w:r>
    </w:p>
    <w:p w14:paraId="6950DF6D" w14:textId="77777777" w:rsidR="00CB3891" w:rsidRPr="001D7135" w:rsidRDefault="00CB3891" w:rsidP="00CB3891">
      <w:r w:rsidRPr="001D7135">
        <w:t>The study thoroughly examines socio-economic influences on belonging but lacks longitudinal analysis and intersectional perspectives, such as gender and race, which could provide a fuller understanding.</w:t>
      </w:r>
    </w:p>
    <w:p w14:paraId="5E98386E" w14:textId="77777777" w:rsidR="00534D86" w:rsidRPr="001D7135" w:rsidRDefault="00CB3891" w:rsidP="00CB3891">
      <w:pPr>
        <w:rPr>
          <w:b/>
          <w:bCs/>
        </w:rPr>
      </w:pPr>
      <w:r w:rsidRPr="001D7135">
        <w:rPr>
          <w:b/>
          <w:bCs/>
        </w:rPr>
        <w:lastRenderedPageBreak/>
        <w:t>Uniqueness:</w:t>
      </w:r>
    </w:p>
    <w:p w14:paraId="10B9BA04" w14:textId="77777777" w:rsidR="00CB3891" w:rsidRPr="001D7135" w:rsidRDefault="00CB3891" w:rsidP="00CB3891">
      <w:r w:rsidRPr="001D7135">
        <w:t>The study’s quantitative focus on belonging and socio-economic factors offers valuable insights but could benefit from exploring belonging as a dynamic process over time.</w:t>
      </w:r>
    </w:p>
    <w:p w14:paraId="4021EE11" w14:textId="77777777" w:rsidR="00CB3891" w:rsidRPr="001D7135" w:rsidRDefault="00CB3891" w:rsidP="00CB3891">
      <w:pPr>
        <w:rPr>
          <w:b/>
          <w:bCs/>
        </w:rPr>
      </w:pPr>
      <w:r w:rsidRPr="001D7135">
        <w:rPr>
          <w:b/>
          <w:bCs/>
        </w:rPr>
        <w:t xml:space="preserve">Epistemology, Ontology, and </w:t>
      </w:r>
      <w:r w:rsidR="00534D86" w:rsidRPr="001D7135">
        <w:rPr>
          <w:b/>
          <w:bCs/>
        </w:rPr>
        <w:t>Axiology</w:t>
      </w:r>
    </w:p>
    <w:p w14:paraId="70B6C802" w14:textId="77777777" w:rsidR="00CB3891" w:rsidRPr="001D7135" w:rsidRDefault="00CB3891" w:rsidP="00CB3891">
      <w:r w:rsidRPr="001D7135">
        <w:t>Epistemology: Relies on positivist principles, offering measurable insights but potentially oversimplifying complex dynamics.</w:t>
      </w:r>
    </w:p>
    <w:p w14:paraId="2F23D9A8" w14:textId="77777777" w:rsidR="00CB3891" w:rsidRPr="001D7135" w:rsidRDefault="00CB3891" w:rsidP="00CB3891">
      <w:r w:rsidRPr="001D7135">
        <w:t>Ontology: Views belonging as shaped by systemic structures, overlooking subjective interpretations.</w:t>
      </w:r>
    </w:p>
    <w:p w14:paraId="0D61CF49" w14:textId="77777777" w:rsidR="00CB3891" w:rsidRPr="001D7135" w:rsidRDefault="00CB3891" w:rsidP="00CB3891">
      <w:r w:rsidRPr="001D7135">
        <w:t>Axiology: Equity-focused, advocating support for disadvantaged groups, though it lacks depth in addressing individual experiences.</w:t>
      </w:r>
    </w:p>
    <w:p w14:paraId="7C59E168" w14:textId="77777777" w:rsidR="00534D86" w:rsidRPr="001D7135" w:rsidRDefault="00CB3891" w:rsidP="00CB3891">
      <w:pPr>
        <w:rPr>
          <w:b/>
          <w:bCs/>
        </w:rPr>
      </w:pPr>
      <w:r w:rsidRPr="001D7135">
        <w:rPr>
          <w:b/>
          <w:bCs/>
        </w:rPr>
        <w:t>Reliability, Validity, and Ethical Considerations:</w:t>
      </w:r>
    </w:p>
    <w:p w14:paraId="1F295456" w14:textId="77777777" w:rsidR="00CB3891" w:rsidRPr="001D7135" w:rsidRDefault="00CB3891" w:rsidP="00CB3891">
      <w:r w:rsidRPr="001D7135">
        <w:t>Reliability is ensured through statistical rigor and validated tools, while validity aligns with theoretical frameworks. Ethical considerations include anonymized data and a focus on equity. The study could improve by integrating diverse participant narratives and adopting mixed methods.</w:t>
      </w:r>
    </w:p>
    <w:p w14:paraId="0F951CF8" w14:textId="77777777" w:rsidR="00CB3891" w:rsidRPr="001D7135" w:rsidRDefault="00CB3891" w:rsidP="00CB3891">
      <w:pPr>
        <w:rPr>
          <w:b/>
          <w:bCs/>
        </w:rPr>
      </w:pPr>
      <w:r w:rsidRPr="001D7135">
        <w:rPr>
          <w:b/>
          <w:bCs/>
        </w:rPr>
        <w:t>Opportunities for Future Research</w:t>
      </w:r>
    </w:p>
    <w:p w14:paraId="668512A2" w14:textId="77777777" w:rsidR="00CB3891" w:rsidRPr="001D7135" w:rsidRDefault="00CB3891" w:rsidP="00CB3891">
      <w:r w:rsidRPr="001D7135">
        <w:t>Combine quantitative and qualitative methodologies to capture both measurable and lived experiences.</w:t>
      </w:r>
    </w:p>
    <w:p w14:paraId="1A28C811" w14:textId="77777777" w:rsidR="00CB3891" w:rsidRPr="001D7135" w:rsidRDefault="00CB3891" w:rsidP="00CB3891">
      <w:r w:rsidRPr="001D7135">
        <w:t>Address intersectional factors such as race, gender, and socio-economic status for a nuanced perspective.</w:t>
      </w:r>
    </w:p>
    <w:p w14:paraId="298FE747" w14:textId="77777777" w:rsidR="00CB3891" w:rsidRPr="001D7135" w:rsidRDefault="00CB3891" w:rsidP="00CB3891">
      <w:r w:rsidRPr="001D7135">
        <w:t>Explore belonging as a dynamic process through longitudinal research.</w:t>
      </w:r>
    </w:p>
    <w:p w14:paraId="10A863FD" w14:textId="77777777" w:rsidR="00CB3891" w:rsidRPr="001D7135" w:rsidRDefault="00CB3891" w:rsidP="00CB3891"/>
    <w:p w14:paraId="2710A88B" w14:textId="77777777" w:rsidR="00CB3891" w:rsidRPr="001D7135" w:rsidRDefault="00CB3891" w:rsidP="00CB3891">
      <w:r w:rsidRPr="001D7135">
        <w:t>Investigate the role of institutional practices in shaping engagement and retention.</w:t>
      </w:r>
    </w:p>
    <w:p w14:paraId="451EA8D9" w14:textId="77777777" w:rsidR="00CB3891" w:rsidRPr="001D7135" w:rsidRDefault="00CB3891" w:rsidP="00CB3891">
      <w:pPr>
        <w:rPr>
          <w:b/>
          <w:bCs/>
        </w:rPr>
      </w:pPr>
      <w:r w:rsidRPr="001D7135">
        <w:rPr>
          <w:b/>
          <w:bCs/>
        </w:rPr>
        <w:t>Conclusion of Strengths, Weaknesses, and Recommendations</w:t>
      </w:r>
    </w:p>
    <w:p w14:paraId="44406A31" w14:textId="77777777" w:rsidR="00CB3891" w:rsidRPr="001D7135" w:rsidRDefault="00CB3891" w:rsidP="00CB3891">
      <w:r w:rsidRPr="001D7135">
        <w:t xml:space="preserve">The study provides </w:t>
      </w:r>
      <w:r w:rsidR="00534D86" w:rsidRPr="001D7135">
        <w:t xml:space="preserve">a valuable analysis of the impact of socioeconomic factors on belonging and retention in higher education. Its strengths include statistical rigour and actionable findings. Weaknesses include limited qualitative depth, the </w:t>
      </w:r>
      <w:r w:rsidRPr="001D7135">
        <w:t>absence of longitudinal perspectives, and a lack of intersectional analysis. Future research should incorporate mixed methods, address intersectionality, and adopt longitudinal approaches to enhance understanding and support inclusive policy development in higher education.</w:t>
      </w:r>
    </w:p>
    <w:p w14:paraId="7636C013" w14:textId="77777777" w:rsidR="00534D86" w:rsidRPr="001D7135" w:rsidRDefault="00534D86" w:rsidP="00CB3891"/>
    <w:p w14:paraId="2D7396C9" w14:textId="77777777" w:rsidR="00534D86" w:rsidRPr="001D7135" w:rsidRDefault="00534D86" w:rsidP="00CB3891">
      <w:pPr>
        <w:rPr>
          <w:b/>
          <w:bCs/>
        </w:rPr>
      </w:pPr>
      <w:r w:rsidRPr="001D7135">
        <w:rPr>
          <w:b/>
          <w:bCs/>
        </w:rPr>
        <w:t>Paper 7</w:t>
      </w:r>
    </w:p>
    <w:p w14:paraId="466C567D" w14:textId="77777777" w:rsidR="00D262ED" w:rsidRPr="001D7135" w:rsidRDefault="00D262ED" w:rsidP="00D262ED">
      <w:pPr>
        <w:rPr>
          <w:b/>
          <w:bCs/>
        </w:rPr>
      </w:pPr>
      <w:r w:rsidRPr="001D7135">
        <w:rPr>
          <w:b/>
          <w:bCs/>
        </w:rPr>
        <w:lastRenderedPageBreak/>
        <w:t>Analysis of Widening Participation Interventions in Higher Education: Enhancing Self-Belief and Confidence</w:t>
      </w:r>
    </w:p>
    <w:p w14:paraId="453EDF76" w14:textId="77777777" w:rsidR="00D262ED" w:rsidRPr="001D7135" w:rsidRDefault="00D262ED" w:rsidP="00D262ED">
      <w:pPr>
        <w:rPr>
          <w:b/>
          <w:bCs/>
        </w:rPr>
      </w:pPr>
      <w:r w:rsidRPr="001D7135">
        <w:rPr>
          <w:b/>
          <w:bCs/>
        </w:rPr>
        <w:t>Content Summary</w:t>
      </w:r>
    </w:p>
    <w:p w14:paraId="180F9AD8" w14:textId="77777777" w:rsidR="00D262ED" w:rsidRPr="001D7135" w:rsidRDefault="00D262ED" w:rsidP="00D262ED">
      <w:r w:rsidRPr="001D7135">
        <w:t>The study examines the effectiveness of widening participation (WP) interventions in improving the self-belief and confidence of underrepresented students, drawing on the perspectives of WP tutors rather than students.</w:t>
      </w:r>
    </w:p>
    <w:p w14:paraId="29B4164E" w14:textId="77777777" w:rsidR="00D262ED" w:rsidRPr="001D7135" w:rsidRDefault="00D262ED" w:rsidP="00D262ED">
      <w:pPr>
        <w:rPr>
          <w:b/>
          <w:bCs/>
        </w:rPr>
      </w:pPr>
      <w:r w:rsidRPr="001D7135">
        <w:rPr>
          <w:b/>
          <w:bCs/>
        </w:rPr>
        <w:t>Authority</w:t>
      </w:r>
    </w:p>
    <w:p w14:paraId="7CC86CE6" w14:textId="77777777" w:rsidR="00D262ED" w:rsidRPr="001D7135" w:rsidRDefault="00D262ED" w:rsidP="00D262ED">
      <w:proofErr w:type="spellStart"/>
      <w:r w:rsidRPr="001D7135">
        <w:t>Shagaf</w:t>
      </w:r>
      <w:proofErr w:type="spellEnd"/>
      <w:r w:rsidRPr="001D7135">
        <w:t xml:space="preserve"> Bakour, affiliated with Aston University, adds credibility through their alignment with UK higher education priorities and expertise in WP initiatives.</w:t>
      </w:r>
    </w:p>
    <w:p w14:paraId="3006A718" w14:textId="77777777" w:rsidR="00D262ED" w:rsidRPr="001D7135" w:rsidRDefault="00D262ED" w:rsidP="00D262ED">
      <w:pPr>
        <w:rPr>
          <w:b/>
          <w:bCs/>
        </w:rPr>
      </w:pPr>
      <w:r w:rsidRPr="001D7135">
        <w:rPr>
          <w:b/>
          <w:bCs/>
        </w:rPr>
        <w:t>Methodology</w:t>
      </w:r>
    </w:p>
    <w:p w14:paraId="0A452128" w14:textId="77777777" w:rsidR="00D262ED" w:rsidRPr="001D7135" w:rsidRDefault="00D262ED" w:rsidP="00D262ED">
      <w:r w:rsidRPr="001D7135">
        <w:t>Qualitative Approach: Semi-structured interviews with six WP tutors are analysed using a thematic approach.</w:t>
      </w:r>
    </w:p>
    <w:p w14:paraId="1915C26B" w14:textId="77777777" w:rsidR="00D262ED" w:rsidRPr="001D7135" w:rsidRDefault="00D262ED" w:rsidP="00D262ED">
      <w:r w:rsidRPr="001D7135">
        <w:t>Ontological Perspective: Inequalities in higher education are viewed as systemic and structural.</w:t>
      </w:r>
    </w:p>
    <w:p w14:paraId="72D02FE6" w14:textId="77777777" w:rsidR="00D262ED" w:rsidRPr="001D7135" w:rsidRDefault="00D262ED" w:rsidP="00D262ED">
      <w:r w:rsidRPr="001D7135">
        <w:t>Epistemological Perspective: The study adopts an interpretivist stance, focusing on the subjective experiences of WP tutors.</w:t>
      </w:r>
    </w:p>
    <w:p w14:paraId="37CA9120" w14:textId="77777777" w:rsidR="00D262ED" w:rsidRPr="001D7135" w:rsidRDefault="00D262ED" w:rsidP="00D262ED"/>
    <w:p w14:paraId="712E5B27" w14:textId="77777777" w:rsidR="00D262ED" w:rsidRPr="001D7135" w:rsidRDefault="00D262ED" w:rsidP="00D262ED">
      <w:pPr>
        <w:rPr>
          <w:b/>
          <w:bCs/>
        </w:rPr>
      </w:pPr>
      <w:r w:rsidRPr="001D7135">
        <w:rPr>
          <w:b/>
          <w:bCs/>
        </w:rPr>
        <w:t>Critical Analysis</w:t>
      </w:r>
    </w:p>
    <w:p w14:paraId="1A6BE1E7" w14:textId="77777777" w:rsidR="00D262ED" w:rsidRPr="001D7135" w:rsidRDefault="00D262ED" w:rsidP="00D262ED">
      <w:pPr>
        <w:rPr>
          <w:b/>
          <w:bCs/>
        </w:rPr>
      </w:pPr>
      <w:r w:rsidRPr="001D7135">
        <w:rPr>
          <w:b/>
          <w:bCs/>
        </w:rPr>
        <w:t>Accuracy:</w:t>
      </w:r>
    </w:p>
    <w:p w14:paraId="37C622C6" w14:textId="77777777" w:rsidR="00D262ED" w:rsidRPr="001D7135" w:rsidRDefault="00D262ED" w:rsidP="00D262ED">
      <w:r w:rsidRPr="001D7135">
        <w:t>The use of thematic analysis and references to frameworks like Self-Determination Theory ensures methodological rigor. However, the reliance on qualitative data limits generalizability and introduces interpretative biases.</w:t>
      </w:r>
    </w:p>
    <w:p w14:paraId="4730E730" w14:textId="77777777" w:rsidR="00D262ED" w:rsidRPr="001D7135" w:rsidRDefault="00D262ED" w:rsidP="00D262ED"/>
    <w:p w14:paraId="3A21ED70" w14:textId="77777777" w:rsidR="00D262ED" w:rsidRPr="001D7135" w:rsidRDefault="00D262ED" w:rsidP="00D262ED">
      <w:pPr>
        <w:rPr>
          <w:b/>
          <w:bCs/>
        </w:rPr>
      </w:pPr>
      <w:r w:rsidRPr="001D7135">
        <w:rPr>
          <w:b/>
          <w:bCs/>
        </w:rPr>
        <w:t>Objectivity:</w:t>
      </w:r>
    </w:p>
    <w:p w14:paraId="429EA2BA" w14:textId="77777777" w:rsidR="00D262ED" w:rsidRPr="001D7135" w:rsidRDefault="00D262ED" w:rsidP="00D262ED">
      <w:r w:rsidRPr="001D7135">
        <w:t>The study aligns with factual accounts from tutors but lacks corroboration from diverse stakeholder groups. The absence of quantitative data reduces the universality of its conclusions.</w:t>
      </w:r>
    </w:p>
    <w:p w14:paraId="5AD58685" w14:textId="77777777" w:rsidR="00D262ED" w:rsidRPr="001D7135" w:rsidRDefault="00D262ED" w:rsidP="00D262ED"/>
    <w:p w14:paraId="4C968B0F" w14:textId="77777777" w:rsidR="00D262ED" w:rsidRPr="001D7135" w:rsidRDefault="00D262ED" w:rsidP="00D262ED">
      <w:pPr>
        <w:rPr>
          <w:b/>
          <w:bCs/>
        </w:rPr>
      </w:pPr>
      <w:r w:rsidRPr="001D7135">
        <w:rPr>
          <w:b/>
          <w:bCs/>
        </w:rPr>
        <w:t>Currency:</w:t>
      </w:r>
    </w:p>
    <w:p w14:paraId="4661AA1F" w14:textId="77777777" w:rsidR="00D262ED" w:rsidRPr="001D7135" w:rsidRDefault="00D262ED" w:rsidP="00D262ED">
      <w:r w:rsidRPr="001D7135">
        <w:t xml:space="preserve">As a 2024 publication, the research remains relevant to contemporary challenges in widening participation and reflects ongoing debates in higher education. Currency: </w:t>
      </w:r>
      <w:r w:rsidRPr="001D7135">
        <w:lastRenderedPageBreak/>
        <w:t>Published in 2024, the research provides timely insights into current efforts to address inequalities in access to higher education.</w:t>
      </w:r>
    </w:p>
    <w:p w14:paraId="2BC841C7" w14:textId="77777777" w:rsidR="00D262ED" w:rsidRPr="001D7135" w:rsidRDefault="00D262ED" w:rsidP="00D262ED"/>
    <w:p w14:paraId="3C9032F4" w14:textId="77777777" w:rsidR="00D262ED" w:rsidRPr="001D7135" w:rsidRDefault="00D262ED" w:rsidP="00D262ED">
      <w:pPr>
        <w:rPr>
          <w:b/>
          <w:bCs/>
        </w:rPr>
      </w:pPr>
      <w:r w:rsidRPr="001D7135">
        <w:rPr>
          <w:b/>
          <w:bCs/>
        </w:rPr>
        <w:t>Coverage:</w:t>
      </w:r>
    </w:p>
    <w:p w14:paraId="02FF954F" w14:textId="77777777" w:rsidR="00D262ED" w:rsidRPr="001D7135" w:rsidRDefault="00D262ED" w:rsidP="00D262ED">
      <w:r w:rsidRPr="001D7135">
        <w:t>The analysis provides detailed insights into the role of WP interventions in building self-belief but excludes critical perspectives from students and institutional leaders, narrowing its scope.</w:t>
      </w:r>
    </w:p>
    <w:p w14:paraId="220FA2EF" w14:textId="77777777" w:rsidR="00D262ED" w:rsidRPr="001D7135" w:rsidRDefault="00D262ED" w:rsidP="00D262ED"/>
    <w:p w14:paraId="4CEA7D3F" w14:textId="77777777" w:rsidR="00D262ED" w:rsidRPr="001D7135" w:rsidRDefault="00D262ED" w:rsidP="00D262ED">
      <w:pPr>
        <w:rPr>
          <w:b/>
          <w:bCs/>
        </w:rPr>
      </w:pPr>
      <w:r w:rsidRPr="001D7135">
        <w:rPr>
          <w:b/>
          <w:bCs/>
        </w:rPr>
        <w:t>Uniqueness:</w:t>
      </w:r>
    </w:p>
    <w:p w14:paraId="5AD3C33C" w14:textId="77777777" w:rsidR="00D262ED" w:rsidRPr="001D7135" w:rsidRDefault="00D262ED" w:rsidP="00D262ED">
      <w:r w:rsidRPr="001D7135">
        <w:t>The study’s focus on tutor perspectives offers a distinct angle, though a broader inclusion of stakeholders would enhance its impact.</w:t>
      </w:r>
    </w:p>
    <w:p w14:paraId="08F5BD7A" w14:textId="77777777" w:rsidR="00D262ED" w:rsidRPr="001D7135" w:rsidRDefault="00D262ED" w:rsidP="00D262ED"/>
    <w:p w14:paraId="56729B47" w14:textId="77777777" w:rsidR="00D262ED" w:rsidRPr="001D7135" w:rsidRDefault="00D262ED" w:rsidP="00D262ED">
      <w:pPr>
        <w:rPr>
          <w:b/>
          <w:bCs/>
        </w:rPr>
      </w:pPr>
      <w:r w:rsidRPr="001D7135">
        <w:rPr>
          <w:b/>
          <w:bCs/>
        </w:rPr>
        <w:t>Epistemology, Ontology, and Axiology:</w:t>
      </w:r>
    </w:p>
    <w:p w14:paraId="05BBE836" w14:textId="77777777" w:rsidR="00D262ED" w:rsidRPr="001D7135" w:rsidRDefault="00D262ED" w:rsidP="00D262ED">
      <w:r w:rsidRPr="001D7135">
        <w:t>Epistemology: Relies on interpretivist principles, offering rich qualitative insights but lacking in quantitative validation.</w:t>
      </w:r>
    </w:p>
    <w:p w14:paraId="14C804EF" w14:textId="77777777" w:rsidR="00D262ED" w:rsidRPr="001D7135" w:rsidRDefault="00D262ED" w:rsidP="00D262ED">
      <w:r w:rsidRPr="001D7135">
        <w:t>Ontology: Situates inequalities within systemic and structural frameworks, grounding its recommendations.</w:t>
      </w:r>
    </w:p>
    <w:p w14:paraId="587209D5" w14:textId="77777777" w:rsidR="00D262ED" w:rsidRPr="001D7135" w:rsidRDefault="00D262ED" w:rsidP="00D262ED">
      <w:r w:rsidRPr="001D7135">
        <w:t>Axiology: Advocates for equity and inclusion but does not fully explore ethical dimensions or intersectional complexities.</w:t>
      </w:r>
    </w:p>
    <w:p w14:paraId="29F01562" w14:textId="77777777" w:rsidR="00D262ED" w:rsidRPr="001D7135" w:rsidRDefault="00D262ED" w:rsidP="00D262ED"/>
    <w:p w14:paraId="7A7124BE" w14:textId="77777777" w:rsidR="00D262ED" w:rsidRPr="001D7135" w:rsidRDefault="00D262ED" w:rsidP="00D262ED">
      <w:pPr>
        <w:rPr>
          <w:b/>
          <w:bCs/>
        </w:rPr>
      </w:pPr>
      <w:r w:rsidRPr="001D7135">
        <w:rPr>
          <w:b/>
          <w:bCs/>
        </w:rPr>
        <w:t>Reliability, Validity, and Ethical Considerations:</w:t>
      </w:r>
    </w:p>
    <w:p w14:paraId="619B8C8D" w14:textId="77777777" w:rsidR="00D262ED" w:rsidRPr="001D7135" w:rsidRDefault="00D262ED" w:rsidP="00D262ED">
      <w:r w:rsidRPr="001D7135">
        <w:t>Reliability is supported by a clear thematic approach, while validity aligns with theoretical frameworks. Ethical considerations include a focus on equity, though the exclusion of diverse participant groups weakens comprehensive representation.</w:t>
      </w:r>
    </w:p>
    <w:p w14:paraId="276BDD0F" w14:textId="77777777" w:rsidR="00D262ED" w:rsidRPr="001D7135" w:rsidRDefault="00D262ED" w:rsidP="00D262ED"/>
    <w:p w14:paraId="700C4823" w14:textId="77777777" w:rsidR="00D262ED" w:rsidRPr="001D7135" w:rsidRDefault="00D262ED" w:rsidP="00D262ED">
      <w:pPr>
        <w:rPr>
          <w:b/>
          <w:bCs/>
        </w:rPr>
      </w:pPr>
      <w:r w:rsidRPr="001D7135">
        <w:rPr>
          <w:b/>
          <w:bCs/>
        </w:rPr>
        <w:t>Opportunities for Future Research</w:t>
      </w:r>
    </w:p>
    <w:p w14:paraId="22384FB1" w14:textId="77777777" w:rsidR="00D262ED" w:rsidRPr="001D7135" w:rsidRDefault="00D262ED" w:rsidP="00D262ED">
      <w:r w:rsidRPr="001D7135">
        <w:t>Incorporate mixed methods to combine qualitative insights with quantitative data for broader applicability.</w:t>
      </w:r>
    </w:p>
    <w:p w14:paraId="6555FF35" w14:textId="77777777" w:rsidR="00D262ED" w:rsidRPr="001D7135" w:rsidRDefault="00D262ED" w:rsidP="00D262ED">
      <w:r w:rsidRPr="001D7135">
        <w:t>Expand the participant pool to include students, institutional leaders, and other stakeholders.</w:t>
      </w:r>
    </w:p>
    <w:p w14:paraId="2F2C8027" w14:textId="77777777" w:rsidR="00D262ED" w:rsidRPr="001D7135" w:rsidRDefault="00D262ED" w:rsidP="00D262ED">
      <w:r w:rsidRPr="001D7135">
        <w:t>Address intersectionality to explore how overlapping identities influence WP outcomes.</w:t>
      </w:r>
    </w:p>
    <w:p w14:paraId="593D2139" w14:textId="77777777" w:rsidR="00D262ED" w:rsidRPr="001D7135" w:rsidRDefault="00D262ED" w:rsidP="00D262ED">
      <w:r w:rsidRPr="001D7135">
        <w:lastRenderedPageBreak/>
        <w:t>Conduct longitudinal studies to assess the long-term impact of WP interventions on self-belief and confidence.</w:t>
      </w:r>
    </w:p>
    <w:p w14:paraId="1930655F" w14:textId="77777777" w:rsidR="00D262ED" w:rsidRPr="001D7135" w:rsidRDefault="00D262ED" w:rsidP="00D262ED"/>
    <w:p w14:paraId="70ADA2EF" w14:textId="77777777" w:rsidR="00D262ED" w:rsidRPr="001D7135" w:rsidRDefault="00D262ED" w:rsidP="00D262ED">
      <w:pPr>
        <w:rPr>
          <w:b/>
          <w:bCs/>
        </w:rPr>
      </w:pPr>
      <w:r w:rsidRPr="001D7135">
        <w:rPr>
          <w:b/>
          <w:bCs/>
        </w:rPr>
        <w:t>Conclusion of Strengths, Weaknesses, and Recommendations</w:t>
      </w:r>
    </w:p>
    <w:p w14:paraId="50509838" w14:textId="77777777" w:rsidR="00D262ED" w:rsidRPr="001D7135" w:rsidRDefault="00D262ED" w:rsidP="00D262ED">
      <w:r w:rsidRPr="001D7135">
        <w:t>The study effectively highlights the role of WP interventions in enhancing self-belief among underrepresented students. Strengths include its thematic rigor and alignment with equity-driven goals. Weaknesses involve limited participant diversity and the absence of quantitative data. Recommendations for future research include adopting mixed methods, addressing intersectionality, and broadening the scope to incorporate perspectives from a wider range of stakeholders. These adjustments would strengthen the study’s applicability and provide a more comprehensive analysis of WP efforts in higher education.</w:t>
      </w:r>
    </w:p>
    <w:p w14:paraId="3EEC7DAD" w14:textId="77777777" w:rsidR="00D262ED" w:rsidRPr="001D7135" w:rsidRDefault="00D262ED" w:rsidP="00D262ED"/>
    <w:p w14:paraId="119E2DD1" w14:textId="77777777" w:rsidR="00D262ED" w:rsidRPr="001D7135" w:rsidRDefault="00D262ED" w:rsidP="00D262ED">
      <w:pPr>
        <w:rPr>
          <w:b/>
          <w:bCs/>
        </w:rPr>
      </w:pPr>
      <w:r w:rsidRPr="001D7135">
        <w:rPr>
          <w:b/>
          <w:bCs/>
        </w:rPr>
        <w:t>Paper 8</w:t>
      </w:r>
    </w:p>
    <w:p w14:paraId="7C5067D7" w14:textId="77777777" w:rsidR="004A04C1" w:rsidRPr="001D7135" w:rsidRDefault="004A04C1" w:rsidP="004A04C1">
      <w:pPr>
        <w:rPr>
          <w:b/>
          <w:bCs/>
        </w:rPr>
      </w:pPr>
      <w:r w:rsidRPr="001D7135">
        <w:rPr>
          <w:b/>
          <w:bCs/>
        </w:rPr>
        <w:t>Socio-Economic Status and Subject Choice at Age 14: Influence on University Access and Inequality</w:t>
      </w:r>
    </w:p>
    <w:p w14:paraId="33AC96CC" w14:textId="77777777" w:rsidR="004A04C1" w:rsidRPr="001D7135" w:rsidRDefault="004A04C1" w:rsidP="004A04C1">
      <w:pPr>
        <w:rPr>
          <w:b/>
          <w:bCs/>
        </w:rPr>
      </w:pPr>
      <w:r w:rsidRPr="001D7135">
        <w:rPr>
          <w:b/>
          <w:bCs/>
        </w:rPr>
        <w:t>Content Summary</w:t>
      </w:r>
    </w:p>
    <w:p w14:paraId="7F21D4F7" w14:textId="77777777" w:rsidR="004A04C1" w:rsidRPr="001D7135" w:rsidRDefault="004A04C1" w:rsidP="004A04C1">
      <w:r w:rsidRPr="001D7135">
        <w:t>The study explores how socio-economic status (SES) and subject choices at age 14 shape access to higher education (HE) and highly selective universities in England.</w:t>
      </w:r>
    </w:p>
    <w:p w14:paraId="4FF40529" w14:textId="77777777" w:rsidR="004A04C1" w:rsidRPr="001D7135" w:rsidRDefault="004A04C1" w:rsidP="004A04C1">
      <w:pPr>
        <w:rPr>
          <w:b/>
          <w:bCs/>
        </w:rPr>
      </w:pPr>
      <w:r w:rsidRPr="001D7135">
        <w:rPr>
          <w:b/>
          <w:bCs/>
        </w:rPr>
        <w:t>Authority</w:t>
      </w:r>
    </w:p>
    <w:p w14:paraId="5F76D26E" w14:textId="77777777" w:rsidR="004A04C1" w:rsidRPr="001D7135" w:rsidRDefault="004A04C1" w:rsidP="004A04C1">
      <w:r w:rsidRPr="001D7135">
        <w:t>Jake Anders and colleagues from the UCL Institute of Education.</w:t>
      </w:r>
    </w:p>
    <w:p w14:paraId="6C73AC50" w14:textId="77777777" w:rsidR="004A04C1" w:rsidRPr="001D7135" w:rsidRDefault="004A04C1" w:rsidP="004A04C1">
      <w:pPr>
        <w:rPr>
          <w:b/>
          <w:bCs/>
        </w:rPr>
      </w:pPr>
      <w:r w:rsidRPr="001D7135">
        <w:rPr>
          <w:b/>
          <w:bCs/>
        </w:rPr>
        <w:t>Methodology</w:t>
      </w:r>
    </w:p>
    <w:p w14:paraId="2CA6578C" w14:textId="77777777" w:rsidR="004A04C1" w:rsidRPr="001D7135" w:rsidRDefault="004A04C1" w:rsidP="004A04C1">
      <w:r w:rsidRPr="001D7135">
        <w:t>Quantitative Approach: The study utilizes administrative data (NPD) and longitudinal data (Next Steps), applying multivariate regression models to analyse SES and subject choices.</w:t>
      </w:r>
    </w:p>
    <w:p w14:paraId="047971A7" w14:textId="77777777" w:rsidR="004A04C1" w:rsidRPr="001D7135" w:rsidRDefault="004A04C1" w:rsidP="004A04C1">
      <w:r w:rsidRPr="001D7135">
        <w:t>Ontological Perspective: Assumes educational inequalities are objective realities measurable through SES and curriculum decisions.</w:t>
      </w:r>
    </w:p>
    <w:p w14:paraId="4209B456" w14:textId="77777777" w:rsidR="004A04C1" w:rsidRPr="001D7135" w:rsidRDefault="004A04C1" w:rsidP="004A04C1">
      <w:r w:rsidRPr="001D7135">
        <w:t>Epistemological Perspective: Adopts a positivist approach, focusing on data-driven evidence to evaluate systemic patterns.</w:t>
      </w:r>
    </w:p>
    <w:p w14:paraId="09582894" w14:textId="77777777" w:rsidR="004A04C1" w:rsidRPr="001D7135" w:rsidRDefault="004A04C1" w:rsidP="004A04C1"/>
    <w:p w14:paraId="1619675F" w14:textId="77777777" w:rsidR="004A04C1" w:rsidRPr="001D7135" w:rsidRDefault="004A04C1" w:rsidP="004A04C1">
      <w:pPr>
        <w:rPr>
          <w:b/>
          <w:bCs/>
        </w:rPr>
      </w:pPr>
      <w:r w:rsidRPr="001D7135">
        <w:rPr>
          <w:b/>
          <w:bCs/>
        </w:rPr>
        <w:t>Critical Analysis</w:t>
      </w:r>
    </w:p>
    <w:p w14:paraId="679F646D" w14:textId="77777777" w:rsidR="004A04C1" w:rsidRPr="001D7135" w:rsidRDefault="004A04C1" w:rsidP="004A04C1">
      <w:pPr>
        <w:rPr>
          <w:b/>
          <w:bCs/>
        </w:rPr>
      </w:pPr>
      <w:r w:rsidRPr="001D7135">
        <w:rPr>
          <w:b/>
          <w:bCs/>
        </w:rPr>
        <w:t>Accuracy:</w:t>
      </w:r>
    </w:p>
    <w:p w14:paraId="68DC9D49" w14:textId="77777777" w:rsidR="004A04C1" w:rsidRPr="001D7135" w:rsidRDefault="004A04C1" w:rsidP="004A04C1">
      <w:r w:rsidRPr="001D7135">
        <w:lastRenderedPageBreak/>
        <w:t>The study’s use of large datasets such as NPD and Next Steps ensures reliable and comprehensive coverage. Statistically rigorous methods, including multilevel regression models, support its findings.</w:t>
      </w:r>
    </w:p>
    <w:p w14:paraId="728AE4BD" w14:textId="77777777" w:rsidR="004A04C1" w:rsidRPr="001D7135" w:rsidRDefault="004A04C1" w:rsidP="004A04C1"/>
    <w:p w14:paraId="55762417" w14:textId="77777777" w:rsidR="004A04C1" w:rsidRPr="001D7135" w:rsidRDefault="004A04C1" w:rsidP="004A04C1">
      <w:pPr>
        <w:rPr>
          <w:b/>
          <w:bCs/>
        </w:rPr>
      </w:pPr>
      <w:r w:rsidRPr="001D7135">
        <w:rPr>
          <w:b/>
          <w:bCs/>
        </w:rPr>
        <w:t>Objectivity:</w:t>
      </w:r>
    </w:p>
    <w:p w14:paraId="305362E5" w14:textId="77777777" w:rsidR="004A04C1" w:rsidRPr="001D7135" w:rsidRDefault="004A04C1" w:rsidP="004A04C1">
      <w:r w:rsidRPr="001D7135">
        <w:t>Grounded in factual data, the research advocates equity-focused policies. While normative elements are present, it avoids undue bias by basing conclusions on evidence.</w:t>
      </w:r>
    </w:p>
    <w:p w14:paraId="0A05AB2F" w14:textId="77777777" w:rsidR="004A04C1" w:rsidRPr="001D7135" w:rsidRDefault="004A04C1" w:rsidP="004A04C1"/>
    <w:p w14:paraId="1684E233" w14:textId="77777777" w:rsidR="004A04C1" w:rsidRPr="001D7135" w:rsidRDefault="004A04C1" w:rsidP="004A04C1">
      <w:pPr>
        <w:rPr>
          <w:b/>
          <w:bCs/>
        </w:rPr>
      </w:pPr>
      <w:r w:rsidRPr="001D7135">
        <w:rPr>
          <w:b/>
          <w:bCs/>
        </w:rPr>
        <w:t>Currency:</w:t>
      </w:r>
    </w:p>
    <w:p w14:paraId="02E673E1" w14:textId="77777777" w:rsidR="004A04C1" w:rsidRPr="001D7135" w:rsidRDefault="004A04C1" w:rsidP="004A04C1">
      <w:r w:rsidRPr="001D7135">
        <w:t xml:space="preserve">Published in November 2017, the research addresses persistent gaps in HE </w:t>
      </w:r>
      <w:proofErr w:type="gramStart"/>
      <w:r w:rsidRPr="001D7135">
        <w:t>access</w:t>
      </w:r>
      <w:proofErr w:type="gramEnd"/>
      <w:r w:rsidRPr="001D7135">
        <w:t xml:space="preserve"> linked to SES and curriculum decisions during compulsory education.</w:t>
      </w:r>
    </w:p>
    <w:p w14:paraId="5DF83ECD" w14:textId="77777777" w:rsidR="004A04C1" w:rsidRPr="001D7135" w:rsidRDefault="004A04C1" w:rsidP="004A04C1"/>
    <w:p w14:paraId="178E23EE" w14:textId="77777777" w:rsidR="004A04C1" w:rsidRPr="001D7135" w:rsidRDefault="004A04C1" w:rsidP="004A04C1">
      <w:pPr>
        <w:rPr>
          <w:b/>
          <w:bCs/>
        </w:rPr>
      </w:pPr>
      <w:r w:rsidRPr="001D7135">
        <w:rPr>
          <w:b/>
          <w:bCs/>
        </w:rPr>
        <w:t>Coverage:</w:t>
      </w:r>
    </w:p>
    <w:p w14:paraId="430529B1" w14:textId="77777777" w:rsidR="004A04C1" w:rsidRPr="001D7135" w:rsidRDefault="004A04C1" w:rsidP="004A04C1">
      <w:r w:rsidRPr="001D7135">
        <w:t>The analysis provides extensive insights into the effects of SES on subject choice and university access. However, the exclusion of qualitative perspectives limits its exploration of students’ lived experiences.</w:t>
      </w:r>
    </w:p>
    <w:p w14:paraId="381D4909" w14:textId="77777777" w:rsidR="004A04C1" w:rsidRPr="001D7135" w:rsidRDefault="004A04C1" w:rsidP="004A04C1"/>
    <w:p w14:paraId="5687C106" w14:textId="77777777" w:rsidR="004A04C1" w:rsidRPr="001D7135" w:rsidRDefault="004A04C1" w:rsidP="004A04C1">
      <w:pPr>
        <w:rPr>
          <w:b/>
          <w:bCs/>
        </w:rPr>
      </w:pPr>
      <w:r w:rsidRPr="001D7135">
        <w:rPr>
          <w:b/>
          <w:bCs/>
        </w:rPr>
        <w:t>Uniqueness:</w:t>
      </w:r>
    </w:p>
    <w:p w14:paraId="3104EC75" w14:textId="77777777" w:rsidR="004A04C1" w:rsidRPr="001D7135" w:rsidRDefault="004A04C1" w:rsidP="004A04C1">
      <w:r w:rsidRPr="001D7135">
        <w:t xml:space="preserve">The study introduces a novel metric of curriculum selectivity for 14-16-year-olds and its implications for HE </w:t>
      </w:r>
      <w:proofErr w:type="gramStart"/>
      <w:r w:rsidRPr="001D7135">
        <w:t>access</w:t>
      </w:r>
      <w:proofErr w:type="gramEnd"/>
      <w:r w:rsidRPr="001D7135">
        <w:t>, offering new dimensions to the analysis of SES disparities.</w:t>
      </w:r>
    </w:p>
    <w:p w14:paraId="24EFFFD9" w14:textId="77777777" w:rsidR="004A04C1" w:rsidRPr="001D7135" w:rsidRDefault="004A04C1" w:rsidP="004A04C1"/>
    <w:p w14:paraId="2636FC47" w14:textId="77777777" w:rsidR="004A04C1" w:rsidRPr="001D7135" w:rsidRDefault="004A04C1" w:rsidP="004A04C1">
      <w:pPr>
        <w:rPr>
          <w:b/>
          <w:bCs/>
        </w:rPr>
      </w:pPr>
      <w:r w:rsidRPr="001D7135">
        <w:rPr>
          <w:b/>
          <w:bCs/>
        </w:rPr>
        <w:t>Epistemology, Ontology, and Axiology:</w:t>
      </w:r>
    </w:p>
    <w:p w14:paraId="2678FE78" w14:textId="77777777" w:rsidR="004A04C1" w:rsidRPr="001D7135" w:rsidRDefault="004A04C1" w:rsidP="004A04C1">
      <w:r w:rsidRPr="001D7135">
        <w:t>Epistemology: A positivist framework prioritises measurable inequalities.</w:t>
      </w:r>
    </w:p>
    <w:p w14:paraId="0AC710CC" w14:textId="77777777" w:rsidR="004A04C1" w:rsidRPr="001D7135" w:rsidRDefault="004A04C1" w:rsidP="004A04C1">
      <w:r w:rsidRPr="001D7135">
        <w:t>Ontology: Centres on systemic and structural barriers as objective realities.</w:t>
      </w:r>
    </w:p>
    <w:p w14:paraId="11DC155D" w14:textId="77777777" w:rsidR="004A04C1" w:rsidRPr="001D7135" w:rsidRDefault="004A04C1" w:rsidP="004A04C1">
      <w:r w:rsidRPr="001D7135">
        <w:t>Axiology: Focuses on equity, recommending policy reforms to address socio-economic disparities.</w:t>
      </w:r>
    </w:p>
    <w:p w14:paraId="432C4D8D" w14:textId="77777777" w:rsidR="004A04C1" w:rsidRPr="001D7135" w:rsidRDefault="004A04C1" w:rsidP="004A04C1"/>
    <w:p w14:paraId="15A7FFFA" w14:textId="77777777" w:rsidR="004A04C1" w:rsidRPr="001D7135" w:rsidRDefault="004A04C1" w:rsidP="004A04C1">
      <w:pPr>
        <w:rPr>
          <w:b/>
          <w:bCs/>
        </w:rPr>
      </w:pPr>
      <w:r w:rsidRPr="001D7135">
        <w:rPr>
          <w:b/>
          <w:bCs/>
        </w:rPr>
        <w:t>Reliability, Validity, and Ethical Considerations:</w:t>
      </w:r>
    </w:p>
    <w:p w14:paraId="6913E6EB" w14:textId="77777777" w:rsidR="004A04C1" w:rsidRPr="001D7135" w:rsidRDefault="004A04C1" w:rsidP="004A04C1">
      <w:r w:rsidRPr="001D7135">
        <w:t xml:space="preserve">Reliability is ensured </w:t>
      </w:r>
      <w:proofErr w:type="gramStart"/>
      <w:r w:rsidRPr="001D7135">
        <w:t>through the use of</w:t>
      </w:r>
      <w:proofErr w:type="gramEnd"/>
      <w:r w:rsidRPr="001D7135">
        <w:t xml:space="preserve"> comprehensive datasets and robust statistical methods.</w:t>
      </w:r>
    </w:p>
    <w:p w14:paraId="3B8EC20D" w14:textId="77777777" w:rsidR="004A04C1" w:rsidRPr="001D7135" w:rsidRDefault="004A04C1" w:rsidP="004A04C1">
      <w:r w:rsidRPr="001D7135">
        <w:lastRenderedPageBreak/>
        <w:t>Validity is supported by controlling for prior attainment and school characteristics, though unmeasured variables like aspirations limit internal validity.</w:t>
      </w:r>
    </w:p>
    <w:p w14:paraId="6EB75026" w14:textId="77777777" w:rsidR="004A04C1" w:rsidRPr="001D7135" w:rsidRDefault="004A04C1" w:rsidP="004A04C1">
      <w:r w:rsidRPr="001D7135">
        <w:t>Ethical standards are maintained through anonymized data and equity-focused research aims, though explicit discussion of safeguards could be expanded.</w:t>
      </w:r>
    </w:p>
    <w:p w14:paraId="098AC36F" w14:textId="77777777" w:rsidR="004A04C1" w:rsidRPr="001D7135" w:rsidRDefault="004A04C1" w:rsidP="004A04C1"/>
    <w:p w14:paraId="2B783618" w14:textId="77777777" w:rsidR="004A04C1" w:rsidRPr="001D7135" w:rsidRDefault="004A04C1" w:rsidP="004A04C1">
      <w:pPr>
        <w:rPr>
          <w:b/>
          <w:bCs/>
        </w:rPr>
      </w:pPr>
      <w:r w:rsidRPr="001D7135">
        <w:rPr>
          <w:b/>
          <w:bCs/>
        </w:rPr>
        <w:t>Opportunities for Future Research</w:t>
      </w:r>
    </w:p>
    <w:p w14:paraId="3DBFF61C" w14:textId="77777777" w:rsidR="004A04C1" w:rsidRPr="001D7135" w:rsidRDefault="004A04C1" w:rsidP="004A04C1">
      <w:r w:rsidRPr="001D7135">
        <w:t>Incorporate intersectional analyses of ethnicity, gender, and socio-economic status for a broader perspective.</w:t>
      </w:r>
    </w:p>
    <w:p w14:paraId="08515D47" w14:textId="77777777" w:rsidR="004A04C1" w:rsidRPr="001D7135" w:rsidRDefault="004A04C1" w:rsidP="004A04C1">
      <w:r w:rsidRPr="001D7135">
        <w:t xml:space="preserve">Use longitudinal designs to examine the long-term impacts of subject choices on HE </w:t>
      </w:r>
      <w:proofErr w:type="gramStart"/>
      <w:r w:rsidRPr="001D7135">
        <w:t>access</w:t>
      </w:r>
      <w:proofErr w:type="gramEnd"/>
      <w:r w:rsidRPr="001D7135">
        <w:t>.</w:t>
      </w:r>
    </w:p>
    <w:p w14:paraId="34741CC0" w14:textId="77777777" w:rsidR="004A04C1" w:rsidRPr="001D7135" w:rsidRDefault="004A04C1" w:rsidP="004A04C1">
      <w:r w:rsidRPr="001D7135">
        <w:t>Integrate qualitative methods to explore the lived experiences of disadvantaged students.</w:t>
      </w:r>
    </w:p>
    <w:p w14:paraId="657FAED1" w14:textId="77777777" w:rsidR="004A04C1" w:rsidRPr="001D7135" w:rsidRDefault="004A04C1" w:rsidP="004A04C1">
      <w:r w:rsidRPr="001D7135">
        <w:t>Expand the study’s scope to international contexts for comparative insights.</w:t>
      </w:r>
    </w:p>
    <w:p w14:paraId="6E626330" w14:textId="77777777" w:rsidR="004A04C1" w:rsidRPr="001D7135" w:rsidRDefault="004A04C1" w:rsidP="004A04C1"/>
    <w:p w14:paraId="4F840B6B" w14:textId="77777777" w:rsidR="004A04C1" w:rsidRPr="001D7135" w:rsidRDefault="004A04C1" w:rsidP="004A04C1">
      <w:pPr>
        <w:rPr>
          <w:b/>
          <w:bCs/>
        </w:rPr>
      </w:pPr>
      <w:r w:rsidRPr="001D7135">
        <w:rPr>
          <w:b/>
          <w:bCs/>
        </w:rPr>
        <w:t>Conclusion of Strengths, Weaknesses, and Recommendations</w:t>
      </w:r>
    </w:p>
    <w:p w14:paraId="17B6DFC4" w14:textId="77777777" w:rsidR="004A04C1" w:rsidRPr="001D7135" w:rsidRDefault="004A04C1" w:rsidP="004A04C1">
      <w:r w:rsidRPr="001D7135">
        <w:t xml:space="preserve">This study provides a detailed examination of SES disparities in subject </w:t>
      </w:r>
      <w:proofErr w:type="gramStart"/>
      <w:r w:rsidRPr="001D7135">
        <w:t>choice</w:t>
      </w:r>
      <w:proofErr w:type="gramEnd"/>
      <w:r w:rsidRPr="001D7135">
        <w:t xml:space="preserve"> and HE access. Strengths include the use of extensive datasets and rigorous quantitative methods. Weaknesses involve the lack of qualitative insights and limited intersectional analysis. Recommendations for future research include adopting mixed methods, addressing intersectionality, and exploring the broader implications of curriculum selectivity on educational inequality. These enhancements would provide a more comprehensive understanding of SES-driven disparities in HE </w:t>
      </w:r>
      <w:proofErr w:type="gramStart"/>
      <w:r w:rsidRPr="001D7135">
        <w:t>access</w:t>
      </w:r>
      <w:proofErr w:type="gramEnd"/>
      <w:r w:rsidRPr="001D7135">
        <w:t>.</w:t>
      </w:r>
    </w:p>
    <w:p w14:paraId="5DB31826" w14:textId="77777777" w:rsidR="004A04C1" w:rsidRPr="001D7135" w:rsidRDefault="004A04C1" w:rsidP="004A04C1"/>
    <w:p w14:paraId="3AB2619E" w14:textId="77777777" w:rsidR="004A04C1" w:rsidRPr="005C4945" w:rsidRDefault="004A04C1" w:rsidP="004A04C1">
      <w:pPr>
        <w:rPr>
          <w:b/>
          <w:bCs/>
        </w:rPr>
      </w:pPr>
      <w:r w:rsidRPr="005C4945">
        <w:rPr>
          <w:b/>
          <w:bCs/>
        </w:rPr>
        <w:t>Paper 9</w:t>
      </w:r>
    </w:p>
    <w:p w14:paraId="6857AEE1" w14:textId="77777777" w:rsidR="008B3AE5" w:rsidRPr="001D7135" w:rsidRDefault="008B3AE5" w:rsidP="008B3AE5">
      <w:pPr>
        <w:rPr>
          <w:b/>
          <w:bCs/>
        </w:rPr>
      </w:pPr>
      <w:r w:rsidRPr="001D7135">
        <w:rPr>
          <w:b/>
          <w:bCs/>
        </w:rPr>
        <w:t>Determinants of University Dropout: A Review of the Socio-Economic Literature</w:t>
      </w:r>
    </w:p>
    <w:p w14:paraId="06DCEEB2" w14:textId="77777777" w:rsidR="008B3AE5" w:rsidRPr="001D7135" w:rsidRDefault="008B3AE5" w:rsidP="008B3AE5"/>
    <w:p w14:paraId="64BDC6ED" w14:textId="77777777" w:rsidR="008B3AE5" w:rsidRPr="001D7135" w:rsidRDefault="008B3AE5" w:rsidP="008B3AE5">
      <w:r w:rsidRPr="001D7135">
        <w:t>Content Summary</w:t>
      </w:r>
    </w:p>
    <w:p w14:paraId="5F856F00" w14:textId="77777777" w:rsidR="008B3AE5" w:rsidRPr="001D7135" w:rsidRDefault="008B3AE5" w:rsidP="008B3AE5">
      <w:r w:rsidRPr="001D7135">
        <w:t>This paper examines socio-economic factors influencing university dropout rates. By integrating economic and sociological perspectives, it investigates individual, institutional, and relational determinants of retention, offering insights relevant to policy development.</w:t>
      </w:r>
    </w:p>
    <w:p w14:paraId="1D004B56" w14:textId="77777777" w:rsidR="008B3AE5" w:rsidRPr="001D7135" w:rsidRDefault="008B3AE5" w:rsidP="008B3AE5"/>
    <w:p w14:paraId="2F56F125" w14:textId="77777777" w:rsidR="008B3AE5" w:rsidRPr="001D7135" w:rsidRDefault="008B3AE5" w:rsidP="008B3AE5">
      <w:pPr>
        <w:rPr>
          <w:b/>
          <w:bCs/>
        </w:rPr>
      </w:pPr>
      <w:r w:rsidRPr="001D7135">
        <w:rPr>
          <w:b/>
          <w:bCs/>
        </w:rPr>
        <w:t>Authority</w:t>
      </w:r>
    </w:p>
    <w:p w14:paraId="356DD62F" w14:textId="77777777" w:rsidR="008B3AE5" w:rsidRPr="001D7135" w:rsidRDefault="008B3AE5" w:rsidP="008B3AE5">
      <w:r w:rsidRPr="001D7135">
        <w:t>Carmen Aina and colleagues, affiliated with respected academic institutions in economics and social policy.</w:t>
      </w:r>
    </w:p>
    <w:p w14:paraId="51BE9653" w14:textId="77777777" w:rsidR="008B3AE5" w:rsidRPr="001D7135" w:rsidRDefault="008B3AE5" w:rsidP="008B3AE5">
      <w:r w:rsidRPr="001D7135">
        <w:lastRenderedPageBreak/>
        <w:t>Credibility: The authors’ expertise and institutional affiliations enhance the reliability of their analysis.</w:t>
      </w:r>
    </w:p>
    <w:p w14:paraId="1799D269" w14:textId="77777777" w:rsidR="008B3AE5" w:rsidRPr="001D7135" w:rsidRDefault="008B3AE5" w:rsidP="008B3AE5"/>
    <w:p w14:paraId="0329BAF9" w14:textId="77777777" w:rsidR="008B3AE5" w:rsidRPr="001D7135" w:rsidRDefault="008B3AE5" w:rsidP="008B3AE5">
      <w:pPr>
        <w:rPr>
          <w:b/>
          <w:bCs/>
        </w:rPr>
      </w:pPr>
      <w:r w:rsidRPr="001D7135">
        <w:rPr>
          <w:b/>
          <w:bCs/>
        </w:rPr>
        <w:t>Methodology</w:t>
      </w:r>
    </w:p>
    <w:p w14:paraId="72F6981A" w14:textId="77777777" w:rsidR="008B3AE5" w:rsidRPr="001D7135" w:rsidRDefault="008B3AE5" w:rsidP="008B3AE5">
      <w:r w:rsidRPr="001D7135">
        <w:t xml:space="preserve">Qualitative Review: The study </w:t>
      </w:r>
      <w:r w:rsidRPr="001D7135">
        <w:rPr>
          <w:color w:val="7030A0"/>
        </w:rPr>
        <w:t xml:space="preserve">synthesizes </w:t>
      </w:r>
      <w:r w:rsidRPr="001D7135">
        <w:t>empirical evidence from economics and sociology, employing a unified theoretical framework that merges human capital models with sociological insights.</w:t>
      </w:r>
    </w:p>
    <w:p w14:paraId="79361FBF" w14:textId="77777777" w:rsidR="008B3AE5" w:rsidRPr="001D7135" w:rsidRDefault="008B3AE5" w:rsidP="008B3AE5">
      <w:r w:rsidRPr="001D7135">
        <w:t>Ontological Perspective: Treats dropout as a dynamic phenomenon influenced by individual and systemic factors.</w:t>
      </w:r>
    </w:p>
    <w:p w14:paraId="2C6CCE5C" w14:textId="77777777" w:rsidR="008B3AE5" w:rsidRPr="001D7135" w:rsidRDefault="008B3AE5" w:rsidP="008B3AE5">
      <w:r w:rsidRPr="001D7135">
        <w:t>Epistemological Perspective: Adopts a positivist approach, relying on quantifiable data to analyse relationships between dropout determinants and outcomes.</w:t>
      </w:r>
    </w:p>
    <w:p w14:paraId="65356F85" w14:textId="77777777" w:rsidR="008B3AE5" w:rsidRPr="001D7135" w:rsidRDefault="008B3AE5" w:rsidP="008B3AE5"/>
    <w:p w14:paraId="0F9273B2" w14:textId="6C00BFD4" w:rsidR="008B3AE5" w:rsidRPr="00284141" w:rsidRDefault="008B3AE5" w:rsidP="008B3AE5">
      <w:pPr>
        <w:rPr>
          <w:b/>
          <w:bCs/>
        </w:rPr>
      </w:pPr>
      <w:r w:rsidRPr="001D7135">
        <w:rPr>
          <w:b/>
          <w:bCs/>
        </w:rPr>
        <w:t>Critical Assessment</w:t>
      </w:r>
    </w:p>
    <w:p w14:paraId="006D378E" w14:textId="77777777" w:rsidR="008B3AE5" w:rsidRPr="001D7135" w:rsidRDefault="008B3AE5" w:rsidP="008B3AE5">
      <w:pPr>
        <w:rPr>
          <w:b/>
          <w:bCs/>
        </w:rPr>
      </w:pPr>
      <w:r w:rsidRPr="001D7135">
        <w:rPr>
          <w:b/>
          <w:bCs/>
        </w:rPr>
        <w:t>Accuracy:</w:t>
      </w:r>
    </w:p>
    <w:p w14:paraId="78F8E56D" w14:textId="77777777" w:rsidR="008B3AE5" w:rsidRPr="001D7135" w:rsidRDefault="008B3AE5" w:rsidP="008B3AE5">
      <w:r w:rsidRPr="001D7135">
        <w:t>The review uses reliable datasets (e.g., OECD and national surveys) and integrates decades of research. While comprehensive, the reliance on secondary data may limit contextual specificity.</w:t>
      </w:r>
    </w:p>
    <w:p w14:paraId="7F867231" w14:textId="77777777" w:rsidR="008B3AE5" w:rsidRPr="001D7135" w:rsidRDefault="008B3AE5" w:rsidP="008B3AE5">
      <w:pPr>
        <w:rPr>
          <w:b/>
          <w:bCs/>
        </w:rPr>
      </w:pPr>
      <w:r w:rsidRPr="001D7135">
        <w:rPr>
          <w:b/>
          <w:bCs/>
        </w:rPr>
        <w:t>Objectivity:</w:t>
      </w:r>
    </w:p>
    <w:p w14:paraId="63D7C73F" w14:textId="77777777" w:rsidR="008B3AE5" w:rsidRPr="001D7135" w:rsidRDefault="008B3AE5" w:rsidP="008B3AE5">
      <w:r w:rsidRPr="001D7135">
        <w:t>Combining empirical data with theoretical insights, the study critiques existing models effectively. However, its emphasis on quantitative studies may overlook the nuances of subjective experiences.</w:t>
      </w:r>
    </w:p>
    <w:p w14:paraId="6803A90E" w14:textId="77777777" w:rsidR="008B3AE5" w:rsidRPr="001D7135" w:rsidRDefault="008B3AE5" w:rsidP="008B3AE5">
      <w:pPr>
        <w:rPr>
          <w:b/>
          <w:bCs/>
        </w:rPr>
      </w:pPr>
      <w:r w:rsidRPr="001D7135">
        <w:rPr>
          <w:b/>
          <w:bCs/>
        </w:rPr>
        <w:t>Currency:</w:t>
      </w:r>
    </w:p>
    <w:p w14:paraId="6F7970E0" w14:textId="77777777" w:rsidR="008B3AE5" w:rsidRPr="001D7135" w:rsidRDefault="008B3AE5" w:rsidP="008B3AE5">
      <w:r w:rsidRPr="001D7135">
        <w:t>As a 2022 publication, the paper remains relevant, though the limited availability of longitudinal studies reduces its capacity to validate emerging trends over time.</w:t>
      </w:r>
    </w:p>
    <w:p w14:paraId="20EC25B5" w14:textId="77777777" w:rsidR="008B3AE5" w:rsidRPr="001D7135" w:rsidRDefault="008B3AE5" w:rsidP="008B3AE5">
      <w:r w:rsidRPr="001D7135">
        <w:t>Currency: Published in 2022, the study incorporates recent data and theories, maintaining relevance in contemporary discussions about educational outcomes.</w:t>
      </w:r>
    </w:p>
    <w:p w14:paraId="1E6F4CA0" w14:textId="77777777" w:rsidR="008B3AE5" w:rsidRPr="001D7135" w:rsidRDefault="008B3AE5" w:rsidP="008B3AE5">
      <w:pPr>
        <w:rPr>
          <w:b/>
          <w:bCs/>
        </w:rPr>
      </w:pPr>
      <w:r w:rsidRPr="001D7135">
        <w:rPr>
          <w:b/>
          <w:bCs/>
        </w:rPr>
        <w:t>Coverage:</w:t>
      </w:r>
    </w:p>
    <w:p w14:paraId="2EDB4E9F" w14:textId="77777777" w:rsidR="008B3AE5" w:rsidRPr="001D7135" w:rsidRDefault="008B3AE5" w:rsidP="008B3AE5">
      <w:r w:rsidRPr="001D7135">
        <w:t>The research addresses dropout determinants across individual, institutional, and societal levels. However, its global scope limits the depth of regional and contextual analyses.</w:t>
      </w:r>
    </w:p>
    <w:p w14:paraId="2E6401F4" w14:textId="77777777" w:rsidR="008B3AE5" w:rsidRPr="001D7135" w:rsidRDefault="008B3AE5" w:rsidP="008B3AE5">
      <w:pPr>
        <w:rPr>
          <w:b/>
          <w:bCs/>
        </w:rPr>
      </w:pPr>
      <w:r w:rsidRPr="001D7135">
        <w:rPr>
          <w:b/>
          <w:bCs/>
        </w:rPr>
        <w:t>Uniqueness:</w:t>
      </w:r>
    </w:p>
    <w:p w14:paraId="4DABBF76" w14:textId="77777777" w:rsidR="008B3AE5" w:rsidRPr="001D7135" w:rsidRDefault="008B3AE5" w:rsidP="008B3AE5">
      <w:r w:rsidRPr="001D7135">
        <w:lastRenderedPageBreak/>
        <w:t>By integrating economic and sociological perspectives, the study offers a comprehensive approach to understanding dropout. Expanding on qualitative and regional analyses would enhance its practical application.</w:t>
      </w:r>
    </w:p>
    <w:p w14:paraId="50DCF931" w14:textId="77777777" w:rsidR="008B3AE5" w:rsidRPr="001D7135" w:rsidRDefault="008B3AE5" w:rsidP="008B3AE5"/>
    <w:p w14:paraId="4850B926" w14:textId="77777777" w:rsidR="008B3AE5" w:rsidRPr="001D7135" w:rsidRDefault="008B3AE5" w:rsidP="008B3AE5">
      <w:pPr>
        <w:rPr>
          <w:b/>
          <w:bCs/>
        </w:rPr>
      </w:pPr>
      <w:r w:rsidRPr="001D7135">
        <w:rPr>
          <w:b/>
          <w:bCs/>
        </w:rPr>
        <w:t>Epistemology, Ontology, and Axiology:</w:t>
      </w:r>
    </w:p>
    <w:p w14:paraId="5BDBB34E" w14:textId="77777777" w:rsidR="008B3AE5" w:rsidRPr="001D7135" w:rsidRDefault="008B3AE5" w:rsidP="008B3AE5">
      <w:r w:rsidRPr="001D7135">
        <w:t>Epistemology: Emphasizes measurable data, facilitating evidence-based policy recommendations.</w:t>
      </w:r>
    </w:p>
    <w:p w14:paraId="167AA2A3" w14:textId="77777777" w:rsidR="008B3AE5" w:rsidRPr="001D7135" w:rsidRDefault="008B3AE5" w:rsidP="008B3AE5">
      <w:r w:rsidRPr="001D7135">
        <w:t>Ontology: Frames dropout as a multivariate issue shaped by systemic and individual influences.</w:t>
      </w:r>
    </w:p>
    <w:p w14:paraId="79BDFEE2" w14:textId="77777777" w:rsidR="008B3AE5" w:rsidRPr="001D7135" w:rsidRDefault="008B3AE5" w:rsidP="008B3AE5">
      <w:r w:rsidRPr="001D7135">
        <w:t>Axiology: Promotes equity by addressing systemic inequities and recommending policy interventions.</w:t>
      </w:r>
    </w:p>
    <w:p w14:paraId="08E822BC" w14:textId="77777777" w:rsidR="008B3AE5" w:rsidRPr="001D7135" w:rsidRDefault="008B3AE5" w:rsidP="008B3AE5"/>
    <w:p w14:paraId="4C8938DF" w14:textId="77777777" w:rsidR="008B3AE5" w:rsidRPr="001D7135" w:rsidRDefault="008B3AE5" w:rsidP="008B3AE5">
      <w:pPr>
        <w:rPr>
          <w:b/>
          <w:bCs/>
        </w:rPr>
      </w:pPr>
      <w:r w:rsidRPr="001D7135">
        <w:rPr>
          <w:b/>
          <w:bCs/>
        </w:rPr>
        <w:t>Reliability, Validity, and Ethical Considerations:</w:t>
      </w:r>
    </w:p>
    <w:p w14:paraId="4757B427" w14:textId="77777777" w:rsidR="008B3AE5" w:rsidRPr="001D7135" w:rsidRDefault="008B3AE5" w:rsidP="008B3AE5">
      <w:r w:rsidRPr="001D7135">
        <w:t>Reliability is supported through the integration of robust datasets and established theories. Validity could improve with the inclusion of qualitative methods to capture diverse perspectives. Ethical considerations focus on equity, though a more explicit discussion of ethical practices would strengthen transparency.</w:t>
      </w:r>
    </w:p>
    <w:p w14:paraId="0AA720A6" w14:textId="77777777" w:rsidR="008B3AE5" w:rsidRPr="001D7135" w:rsidRDefault="008B3AE5" w:rsidP="008B3AE5"/>
    <w:p w14:paraId="489C4A09" w14:textId="77777777" w:rsidR="008B3AE5" w:rsidRPr="001D7135" w:rsidRDefault="008B3AE5" w:rsidP="008B3AE5">
      <w:pPr>
        <w:rPr>
          <w:b/>
          <w:bCs/>
        </w:rPr>
      </w:pPr>
      <w:r w:rsidRPr="001D7135">
        <w:rPr>
          <w:b/>
          <w:bCs/>
        </w:rPr>
        <w:t>Future Research</w:t>
      </w:r>
    </w:p>
    <w:p w14:paraId="2ED10AEB" w14:textId="77777777" w:rsidR="008B3AE5" w:rsidRPr="001D7135" w:rsidRDefault="008B3AE5" w:rsidP="008B3AE5">
      <w:r w:rsidRPr="001D7135">
        <w:t>Incorporate qualitative methods to explore subjective experiences and intersectional factors such as race and gender.</w:t>
      </w:r>
    </w:p>
    <w:p w14:paraId="249CB66F" w14:textId="1D2C8408" w:rsidR="008B3AE5" w:rsidRPr="001D7135" w:rsidRDefault="008B3AE5" w:rsidP="008B3AE5">
      <w:r w:rsidRPr="001D7135">
        <w:t>Utili</w:t>
      </w:r>
      <w:r w:rsidR="00284141">
        <w:t>s</w:t>
      </w:r>
      <w:r w:rsidRPr="001D7135">
        <w:t xml:space="preserve">e </w:t>
      </w:r>
      <w:proofErr w:type="gramStart"/>
      <w:r w:rsidRPr="001D7135">
        <w:t>mixed-methods</w:t>
      </w:r>
      <w:proofErr w:type="gramEnd"/>
      <w:r w:rsidRPr="001D7135">
        <w:t xml:space="preserve"> approaches to combine quantitative and qualitative insights for a more comprehensive analysis.</w:t>
      </w:r>
    </w:p>
    <w:p w14:paraId="2B0F8ABB" w14:textId="77EDC836" w:rsidR="008B3AE5" w:rsidRPr="001D7135" w:rsidRDefault="008B3AE5" w:rsidP="008B3AE5">
      <w:r w:rsidRPr="001D7135">
        <w:t>Conduct longitudinal studies to validate emerging trends and assess</w:t>
      </w:r>
      <w:r w:rsidR="00284141">
        <w:t xml:space="preserve"> the</w:t>
      </w:r>
      <w:r w:rsidRPr="001D7135">
        <w:t xml:space="preserve"> long-term impacts of dropout determinants.</w:t>
      </w:r>
    </w:p>
    <w:p w14:paraId="0E49E993" w14:textId="381A822D" w:rsidR="008B3AE5" w:rsidRPr="001D7135" w:rsidRDefault="008B3AE5" w:rsidP="008B3AE5">
      <w:r w:rsidRPr="001D7135">
        <w:t xml:space="preserve">Focus on regional and contextual analyses to </w:t>
      </w:r>
      <w:r w:rsidR="00284141">
        <w:t xml:space="preserve">better </w:t>
      </w:r>
      <w:r w:rsidRPr="001D7135">
        <w:t>tailor policy recommendations to specific settings.</w:t>
      </w:r>
    </w:p>
    <w:p w14:paraId="44926460" w14:textId="77777777" w:rsidR="008B3AE5" w:rsidRPr="001D7135" w:rsidRDefault="008B3AE5" w:rsidP="008B3AE5">
      <w:pPr>
        <w:rPr>
          <w:b/>
          <w:bCs/>
        </w:rPr>
      </w:pPr>
      <w:r w:rsidRPr="001D7135">
        <w:rPr>
          <w:b/>
          <w:bCs/>
        </w:rPr>
        <w:t xml:space="preserve">Conclusion </w:t>
      </w:r>
    </w:p>
    <w:p w14:paraId="3F2184A7" w14:textId="4BAB220A" w:rsidR="004A04C1" w:rsidRPr="001D7135" w:rsidRDefault="008B3AE5" w:rsidP="008B3AE5">
      <w:r w:rsidRPr="001D7135">
        <w:t xml:space="preserve">This study effectively </w:t>
      </w:r>
      <w:r w:rsidR="00696434" w:rsidRPr="001D7135">
        <w:t>analyses</w:t>
      </w:r>
      <w:r w:rsidRPr="001D7135">
        <w:t xml:space="preserve"> socio-economic influences on university dropout, integrating economic and sociological frameworks. Its strengths include a robust theoretical foundation and reliable datasets. Weaknesses involve limited qualitative exploration and insufficient regional depth. Recommendations for future research involve adopting mixed methods, incorporating longitudinal designs, and addressing intersectional factors to enhance the </w:t>
      </w:r>
      <w:r w:rsidRPr="001D7135">
        <w:lastRenderedPageBreak/>
        <w:t>depth and applicability of findings. These steps would better inform policies aimed at reducing dropout rates and addressing systemic inequities in higher education.</w:t>
      </w:r>
    </w:p>
    <w:p w14:paraId="03EAC2FA" w14:textId="77777777" w:rsidR="0089451A" w:rsidRPr="001D7135" w:rsidRDefault="0089451A" w:rsidP="008B3AE5"/>
    <w:p w14:paraId="6046AF29" w14:textId="77777777" w:rsidR="0089451A" w:rsidRPr="00284141" w:rsidRDefault="0089451A" w:rsidP="008B3AE5">
      <w:pPr>
        <w:rPr>
          <w:b/>
          <w:bCs/>
        </w:rPr>
      </w:pPr>
      <w:r w:rsidRPr="00284141">
        <w:rPr>
          <w:b/>
          <w:bCs/>
        </w:rPr>
        <w:t>Paper 10</w:t>
      </w:r>
    </w:p>
    <w:p w14:paraId="12BA9688" w14:textId="77777777" w:rsidR="0089451A" w:rsidRPr="001D7135" w:rsidRDefault="0089451A" w:rsidP="0089451A">
      <w:pPr>
        <w:rPr>
          <w:b/>
          <w:bCs/>
        </w:rPr>
      </w:pPr>
      <w:r w:rsidRPr="001D7135">
        <w:rPr>
          <w:b/>
          <w:bCs/>
        </w:rPr>
        <w:t>Socioeconomic Status and Student Learning: Insights from an Umbrella Review</w:t>
      </w:r>
    </w:p>
    <w:p w14:paraId="1B2DA2B2" w14:textId="77777777" w:rsidR="0089451A" w:rsidRPr="001D7135" w:rsidRDefault="0089451A" w:rsidP="0089451A">
      <w:pPr>
        <w:rPr>
          <w:b/>
          <w:bCs/>
        </w:rPr>
      </w:pPr>
      <w:r w:rsidRPr="001D7135">
        <w:rPr>
          <w:b/>
          <w:bCs/>
        </w:rPr>
        <w:t>Content Summary</w:t>
      </w:r>
    </w:p>
    <w:p w14:paraId="40C73E7C" w14:textId="77777777" w:rsidR="0089451A" w:rsidRPr="001D7135" w:rsidRDefault="0089451A" w:rsidP="0089451A">
      <w:r w:rsidRPr="001D7135">
        <w:t>This study examines the relationship between socioeconomic status (SES) and student learning outcomes. It explores how SES influences learning, identifies mediators and moderators of this relationship, and evaluates SES's conceptualization and measurement.</w:t>
      </w:r>
    </w:p>
    <w:p w14:paraId="36B50140" w14:textId="77777777" w:rsidR="0089451A" w:rsidRPr="001D7135" w:rsidRDefault="0089451A" w:rsidP="0089451A">
      <w:pPr>
        <w:rPr>
          <w:b/>
          <w:bCs/>
        </w:rPr>
      </w:pPr>
      <w:r w:rsidRPr="001D7135">
        <w:rPr>
          <w:b/>
          <w:bCs/>
        </w:rPr>
        <w:t>Authority</w:t>
      </w:r>
    </w:p>
    <w:p w14:paraId="58FDC4CC" w14:textId="77777777" w:rsidR="0089451A" w:rsidRPr="001D7135" w:rsidRDefault="0089451A" w:rsidP="0089451A">
      <w:r w:rsidRPr="001D7135">
        <w:t>Author: Cheng Yong Tan, affiliated with the Faculty of Education at The University of Hong Kong.</w:t>
      </w:r>
    </w:p>
    <w:p w14:paraId="1A73AA11" w14:textId="77777777" w:rsidR="0089451A" w:rsidRPr="001D7135" w:rsidRDefault="0089451A" w:rsidP="0089451A">
      <w:r w:rsidRPr="001D7135">
        <w:t>Credibility: The author’s expertise and academic affiliation reinforce the study’s reliability in educational research.</w:t>
      </w:r>
    </w:p>
    <w:p w14:paraId="62500D7D" w14:textId="77777777" w:rsidR="0089451A" w:rsidRPr="001D7135" w:rsidRDefault="0089451A" w:rsidP="0089451A"/>
    <w:p w14:paraId="342260E8" w14:textId="77777777" w:rsidR="0089451A" w:rsidRPr="001D7135" w:rsidRDefault="0089451A" w:rsidP="0089451A">
      <w:pPr>
        <w:rPr>
          <w:b/>
          <w:bCs/>
        </w:rPr>
      </w:pPr>
      <w:r w:rsidRPr="001D7135">
        <w:rPr>
          <w:b/>
          <w:bCs/>
        </w:rPr>
        <w:t>Methodology</w:t>
      </w:r>
    </w:p>
    <w:p w14:paraId="0E7E1FFD" w14:textId="77777777" w:rsidR="005C4945" w:rsidRDefault="0089451A" w:rsidP="0089451A">
      <w:r w:rsidRPr="001D7135">
        <w:t>Mixed-Methods Umbrella Review: The study synthesizes qualitative, quantitative, and systematic reviews to evaluate the impact of SES on learning.</w:t>
      </w:r>
    </w:p>
    <w:p w14:paraId="14632EBA" w14:textId="3C045D5A" w:rsidR="005C4945" w:rsidRDefault="0089451A" w:rsidP="0089451A">
      <w:r w:rsidRPr="001D7135">
        <w:t>Ontological Perspective: Treats SES and its effects on learning as dynamic and shaped by systemic, individual, and familial interactions</w:t>
      </w:r>
    </w:p>
    <w:p w14:paraId="7CC63BE5" w14:textId="7613AD6C" w:rsidR="0089451A" w:rsidRPr="001D7135" w:rsidRDefault="0089451A" w:rsidP="0089451A">
      <w:r w:rsidRPr="001D7135">
        <w:t>Epistemological Perspective: Post-positivist, integrating measurable and subjective dimensions of SES and emphasizing ecological and relational factors</w:t>
      </w:r>
    </w:p>
    <w:p w14:paraId="5BF4C556" w14:textId="77777777" w:rsidR="0089451A" w:rsidRPr="001D7135" w:rsidRDefault="0089451A" w:rsidP="0089451A">
      <w:pPr>
        <w:rPr>
          <w:b/>
          <w:bCs/>
        </w:rPr>
      </w:pPr>
      <w:r w:rsidRPr="001D7135">
        <w:rPr>
          <w:b/>
          <w:bCs/>
        </w:rPr>
        <w:t>Critical Assessment</w:t>
      </w:r>
    </w:p>
    <w:p w14:paraId="58436BE7" w14:textId="77777777" w:rsidR="0089451A" w:rsidRPr="001D7135" w:rsidRDefault="0089451A" w:rsidP="0089451A">
      <w:pPr>
        <w:rPr>
          <w:b/>
          <w:bCs/>
        </w:rPr>
      </w:pPr>
      <w:r w:rsidRPr="001D7135">
        <w:rPr>
          <w:b/>
          <w:bCs/>
        </w:rPr>
        <w:t>Accuracy:</w:t>
      </w:r>
    </w:p>
    <w:p w14:paraId="2D8F59D5" w14:textId="77777777" w:rsidR="0089451A" w:rsidRPr="001D7135" w:rsidRDefault="0089451A" w:rsidP="0089451A">
      <w:r w:rsidRPr="001D7135">
        <w:t>Grounded in rigorous data analysis, the study employs thematic and meta-analytical approaches to ensure reliability. Limitations arise from the reliance on secondary data, which may not fully account for cultural biases in SES measures.</w:t>
      </w:r>
    </w:p>
    <w:p w14:paraId="6F75FCD8" w14:textId="77777777" w:rsidR="0089451A" w:rsidRPr="001D7135" w:rsidRDefault="0089451A" w:rsidP="0089451A"/>
    <w:p w14:paraId="1C71DAB7" w14:textId="77777777" w:rsidR="0089451A" w:rsidRPr="001D7135" w:rsidRDefault="0089451A" w:rsidP="0089451A">
      <w:pPr>
        <w:rPr>
          <w:b/>
          <w:bCs/>
        </w:rPr>
      </w:pPr>
      <w:r w:rsidRPr="001D7135">
        <w:rPr>
          <w:b/>
          <w:bCs/>
        </w:rPr>
        <w:t>Objectivity:</w:t>
      </w:r>
    </w:p>
    <w:p w14:paraId="56E055DA" w14:textId="77777777" w:rsidR="0089451A" w:rsidRPr="001D7135" w:rsidRDefault="0089451A" w:rsidP="0089451A">
      <w:r w:rsidRPr="001D7135">
        <w:t>Equity-driven, the research challenges deficit-based narratives and advocates systemic reforms to enhance access and outcomes for students from low-SES backgrounds.</w:t>
      </w:r>
    </w:p>
    <w:p w14:paraId="774A6EF3" w14:textId="77777777" w:rsidR="0089451A" w:rsidRPr="001D7135" w:rsidRDefault="0089451A" w:rsidP="0089451A">
      <w:pPr>
        <w:rPr>
          <w:b/>
          <w:bCs/>
        </w:rPr>
      </w:pPr>
      <w:r w:rsidRPr="001D7135">
        <w:rPr>
          <w:b/>
          <w:bCs/>
        </w:rPr>
        <w:lastRenderedPageBreak/>
        <w:t>Currency:</w:t>
      </w:r>
    </w:p>
    <w:p w14:paraId="7D8F498C" w14:textId="77777777" w:rsidR="0089451A" w:rsidRPr="001D7135" w:rsidRDefault="0089451A" w:rsidP="0089451A">
      <w:r w:rsidRPr="001D7135">
        <w:t>Published in 2024, the study’s findings remain highly relevant, offering global implications for addressing SES-related disparities in education.</w:t>
      </w:r>
    </w:p>
    <w:p w14:paraId="7D058800" w14:textId="77777777" w:rsidR="0089451A" w:rsidRPr="001D7135" w:rsidRDefault="0089451A" w:rsidP="0089451A">
      <w:r w:rsidRPr="001D7135">
        <w:t>Currency: Published in 2024, the research synthesizes findings from 48 reviews, addressing contemporary educational challenges.</w:t>
      </w:r>
    </w:p>
    <w:p w14:paraId="583F69D9" w14:textId="77777777" w:rsidR="0089451A" w:rsidRPr="001D7135" w:rsidRDefault="0089451A" w:rsidP="0089451A">
      <w:pPr>
        <w:rPr>
          <w:b/>
          <w:bCs/>
        </w:rPr>
      </w:pPr>
      <w:r w:rsidRPr="001D7135">
        <w:rPr>
          <w:b/>
          <w:bCs/>
        </w:rPr>
        <w:t>Coverage:</w:t>
      </w:r>
    </w:p>
    <w:p w14:paraId="13CCA1CC" w14:textId="77777777" w:rsidR="0089451A" w:rsidRPr="001D7135" w:rsidRDefault="0089451A" w:rsidP="0089451A">
      <w:r w:rsidRPr="001D7135">
        <w:t>Comprehensive in scope, the study examines SES through conceptual, relational, and ecological lenses. However, it identifies gaps such as insufficient exploration of intersectionality and cultural specificity.</w:t>
      </w:r>
    </w:p>
    <w:p w14:paraId="2C67BB2B" w14:textId="77777777" w:rsidR="0089451A" w:rsidRPr="001D7135" w:rsidRDefault="0089451A" w:rsidP="0089451A">
      <w:pPr>
        <w:rPr>
          <w:b/>
          <w:bCs/>
        </w:rPr>
      </w:pPr>
      <w:r w:rsidRPr="001D7135">
        <w:rPr>
          <w:b/>
          <w:bCs/>
        </w:rPr>
        <w:t>Uniqueness:</w:t>
      </w:r>
    </w:p>
    <w:p w14:paraId="228432F8" w14:textId="7D47B089" w:rsidR="0089451A" w:rsidRPr="001D7135" w:rsidRDefault="0089451A" w:rsidP="0089451A">
      <w:r w:rsidRPr="001D7135">
        <w:t xml:space="preserve">The research expands the </w:t>
      </w:r>
      <w:r w:rsidR="00E93CB2">
        <w:t>conceptualisation</w:t>
      </w:r>
      <w:r w:rsidRPr="001D7135">
        <w:t xml:space="preserve"> of SES to include both objective and subjective measures, </w:t>
      </w:r>
      <w:r w:rsidR="00E93CB2" w:rsidRPr="00E93CB2">
        <w:rPr>
          <w:color w:val="7030A0"/>
        </w:rPr>
        <w:t>emphasising</w:t>
      </w:r>
      <w:r w:rsidRPr="00E93CB2">
        <w:rPr>
          <w:color w:val="7030A0"/>
        </w:rPr>
        <w:t xml:space="preserve"> </w:t>
      </w:r>
      <w:r w:rsidRPr="001D7135">
        <w:t>ecological models as explanatory frameworks for SES impacts.</w:t>
      </w:r>
    </w:p>
    <w:p w14:paraId="44A41F79" w14:textId="77777777" w:rsidR="0089451A" w:rsidRPr="001D7135" w:rsidRDefault="0089451A" w:rsidP="0089451A"/>
    <w:p w14:paraId="67583474" w14:textId="77777777" w:rsidR="0089451A" w:rsidRPr="001D7135" w:rsidRDefault="0089451A" w:rsidP="0089451A">
      <w:pPr>
        <w:rPr>
          <w:b/>
          <w:bCs/>
        </w:rPr>
      </w:pPr>
      <w:r w:rsidRPr="001D7135">
        <w:rPr>
          <w:b/>
          <w:bCs/>
        </w:rPr>
        <w:t>Epistemology, Ontology, and Axiology:</w:t>
      </w:r>
    </w:p>
    <w:p w14:paraId="3DE13BA1" w14:textId="1D140F40" w:rsidR="0089451A" w:rsidRPr="001D7135" w:rsidRDefault="0089451A" w:rsidP="0089451A">
      <w:r w:rsidRPr="001D7135">
        <w:t>Epistemology: Post-positivist,</w:t>
      </w:r>
      <w:r w:rsidRPr="001D7135">
        <w:rPr>
          <w:color w:val="7030A0"/>
        </w:rPr>
        <w:t xml:space="preserve"> </w:t>
      </w:r>
      <w:r w:rsidR="00E93CB2">
        <w:rPr>
          <w:color w:val="7030A0"/>
        </w:rPr>
        <w:t>synthesising</w:t>
      </w:r>
      <w:r w:rsidRPr="001D7135">
        <w:rPr>
          <w:color w:val="7030A0"/>
        </w:rPr>
        <w:t xml:space="preserve"> </w:t>
      </w:r>
      <w:r w:rsidRPr="001D7135">
        <w:t>diverse evidence to provide comprehensive insights while recognising inherent biases.</w:t>
      </w:r>
    </w:p>
    <w:p w14:paraId="04B96223" w14:textId="77777777" w:rsidR="0089451A" w:rsidRPr="001D7135" w:rsidRDefault="0089451A" w:rsidP="0089451A">
      <w:r w:rsidRPr="001D7135">
        <w:t>Ontology: Views SES as a dynamic construct influenced by systemic and contextual factors.</w:t>
      </w:r>
    </w:p>
    <w:p w14:paraId="56F6999A" w14:textId="77777777" w:rsidR="0089451A" w:rsidRPr="001D7135" w:rsidRDefault="0089451A" w:rsidP="0089451A">
      <w:r w:rsidRPr="001D7135">
        <w:t>Axiology: Advocates equity and systemic reforms, aligning findings with social justice principles.</w:t>
      </w:r>
    </w:p>
    <w:p w14:paraId="4D6F8E53" w14:textId="77777777" w:rsidR="0089451A" w:rsidRPr="001D7135" w:rsidRDefault="0089451A" w:rsidP="0089451A"/>
    <w:p w14:paraId="4BB3D6C6" w14:textId="77777777" w:rsidR="0089451A" w:rsidRPr="001D7135" w:rsidRDefault="0089451A" w:rsidP="0089451A">
      <w:pPr>
        <w:rPr>
          <w:b/>
          <w:bCs/>
        </w:rPr>
      </w:pPr>
      <w:r w:rsidRPr="001D7135">
        <w:rPr>
          <w:b/>
          <w:bCs/>
        </w:rPr>
        <w:t>Reliability, Validity, and Ethical Considerations:</w:t>
      </w:r>
    </w:p>
    <w:p w14:paraId="4D4354DA" w14:textId="0BDF70FE" w:rsidR="0089451A" w:rsidRPr="001D7135" w:rsidRDefault="0089451A" w:rsidP="0089451A">
      <w:r w:rsidRPr="001D7135">
        <w:t xml:space="preserve">Reliability is ensured through methodological </w:t>
      </w:r>
      <w:r w:rsidR="00E93CB2">
        <w:t>rigour</w:t>
      </w:r>
      <w:r w:rsidRPr="001D7135">
        <w:t xml:space="preserve"> and the use of multiple reviews. </w:t>
      </w:r>
    </w:p>
    <w:p w14:paraId="2B1B10C1" w14:textId="77777777" w:rsidR="0089451A" w:rsidRPr="001D7135" w:rsidRDefault="0089451A" w:rsidP="0089451A">
      <w:r w:rsidRPr="001D7135">
        <w:t xml:space="preserve">Validity could improve with primary data collection and culturally sensitive measures. </w:t>
      </w:r>
    </w:p>
    <w:p w14:paraId="485E829F" w14:textId="77777777" w:rsidR="0089451A" w:rsidRPr="001D7135" w:rsidRDefault="0089451A" w:rsidP="0089451A">
      <w:r w:rsidRPr="001D7135">
        <w:t>Ethical considerations include promoting equity, though future work should address participant diversity more explicitly.</w:t>
      </w:r>
    </w:p>
    <w:p w14:paraId="6CC5E4AD" w14:textId="77777777" w:rsidR="0089451A" w:rsidRPr="001D7135" w:rsidRDefault="0089451A" w:rsidP="0089451A"/>
    <w:p w14:paraId="7EE2B5A8" w14:textId="77777777" w:rsidR="0089451A" w:rsidRPr="001D7135" w:rsidRDefault="0089451A" w:rsidP="0089451A">
      <w:pPr>
        <w:rPr>
          <w:b/>
          <w:bCs/>
        </w:rPr>
      </w:pPr>
      <w:r w:rsidRPr="001D7135">
        <w:rPr>
          <w:b/>
          <w:bCs/>
        </w:rPr>
        <w:t>Opportunities for Future Research</w:t>
      </w:r>
    </w:p>
    <w:p w14:paraId="5A5FF520" w14:textId="77777777" w:rsidR="0089451A" w:rsidRPr="001D7135" w:rsidRDefault="0089451A" w:rsidP="0089451A">
      <w:r w:rsidRPr="001D7135">
        <w:t>Conduct longitudinal studies to examine SES impacts over time.</w:t>
      </w:r>
    </w:p>
    <w:p w14:paraId="2E4BB9A6" w14:textId="77777777" w:rsidR="0089451A" w:rsidRPr="001D7135" w:rsidRDefault="0089451A" w:rsidP="0089451A">
      <w:r w:rsidRPr="001D7135">
        <w:t>Explore intersectionality to understand how SES interacts with factors like ethnicity and gender.</w:t>
      </w:r>
    </w:p>
    <w:p w14:paraId="2A1DD3CC" w14:textId="77777777" w:rsidR="0089451A" w:rsidRPr="001D7135" w:rsidRDefault="0089451A" w:rsidP="0089451A">
      <w:r w:rsidRPr="001D7135">
        <w:t>Develop culturally inclusive measures of SES to mitigate systemic biases.</w:t>
      </w:r>
    </w:p>
    <w:p w14:paraId="5552FF51" w14:textId="77777777" w:rsidR="0089451A" w:rsidRPr="001D7135" w:rsidRDefault="0089451A" w:rsidP="0089451A">
      <w:r w:rsidRPr="001D7135">
        <w:lastRenderedPageBreak/>
        <w:t>Investigate region-specific and institutional influences on SES-related educational outcomes.</w:t>
      </w:r>
    </w:p>
    <w:p w14:paraId="6C19A7D5" w14:textId="77777777" w:rsidR="0089451A" w:rsidRPr="001D7135" w:rsidRDefault="0089451A" w:rsidP="0089451A">
      <w:pPr>
        <w:rPr>
          <w:b/>
          <w:bCs/>
        </w:rPr>
      </w:pPr>
      <w:r w:rsidRPr="001D7135">
        <w:rPr>
          <w:b/>
          <w:bCs/>
        </w:rPr>
        <w:t xml:space="preserve">Conclusion </w:t>
      </w:r>
    </w:p>
    <w:p w14:paraId="2F487550" w14:textId="77777777" w:rsidR="0089451A" w:rsidRPr="001D7135" w:rsidRDefault="0089451A" w:rsidP="0089451A">
      <w:r w:rsidRPr="001D7135">
        <w:t>This study provides a detailed synthesis of SES impacts on student learning, combining methodological rigor with actionable policy recommendations. Strengths include its comprehensive review and emphasis on ecological models. Weaknesses involve the reliance on secondary data and insufficient focus on intersectionality. Future research should adopt longitudinal approaches, enhance cultural inclusivity in SES measures, and address intersectional dynamics to build on the study’s contributions and inform more effective educational policies.</w:t>
      </w:r>
    </w:p>
    <w:p w14:paraId="09C95D4D" w14:textId="77777777" w:rsidR="0089451A" w:rsidRPr="001D7135" w:rsidRDefault="0089451A" w:rsidP="0089451A"/>
    <w:p w14:paraId="0D0D0148" w14:textId="77777777" w:rsidR="0089451A" w:rsidRPr="001D7135" w:rsidRDefault="0089451A" w:rsidP="0089451A">
      <w:pPr>
        <w:rPr>
          <w:b/>
          <w:bCs/>
        </w:rPr>
      </w:pPr>
      <w:r w:rsidRPr="001D7135">
        <w:rPr>
          <w:b/>
          <w:bCs/>
        </w:rPr>
        <w:t>Thematic Analysis of Research</w:t>
      </w:r>
    </w:p>
    <w:p w14:paraId="28E9B184" w14:textId="4775A061" w:rsidR="00696434" w:rsidRDefault="00696434" w:rsidP="0089451A">
      <w:pPr>
        <w:rPr>
          <w:b/>
          <w:bCs/>
        </w:rPr>
      </w:pPr>
      <w:bookmarkStart w:id="1" w:name="_Hlk187933066"/>
      <w:r w:rsidRPr="00696434">
        <w:rPr>
          <w:b/>
          <w:bCs/>
        </w:rPr>
        <w:t>Access to Higher Education for low</w:t>
      </w:r>
      <w:r w:rsidR="00284141">
        <w:rPr>
          <w:b/>
          <w:bCs/>
        </w:rPr>
        <w:t>-</w:t>
      </w:r>
      <w:r w:rsidRPr="00696434">
        <w:rPr>
          <w:b/>
          <w:bCs/>
        </w:rPr>
        <w:t xml:space="preserve">SES </w:t>
      </w:r>
      <w:r w:rsidR="00284141">
        <w:rPr>
          <w:b/>
          <w:bCs/>
        </w:rPr>
        <w:t>S</w:t>
      </w:r>
      <w:r w:rsidRPr="00696434">
        <w:rPr>
          <w:b/>
          <w:bCs/>
        </w:rPr>
        <w:t>tudents</w:t>
      </w:r>
      <w:r>
        <w:rPr>
          <w:b/>
          <w:bCs/>
        </w:rPr>
        <w:t>.</w:t>
      </w:r>
    </w:p>
    <w:p w14:paraId="08A3F9B7" w14:textId="2B9FB4D9" w:rsidR="0089451A" w:rsidRPr="001D7135" w:rsidRDefault="0089451A" w:rsidP="0089451A">
      <w:r w:rsidRPr="001D7135">
        <w:t xml:space="preserve">The link between SES and access to higher education is well-established. Britton et al. </w:t>
      </w:r>
      <w:r w:rsidR="00E93CB2" w:rsidRPr="00284141">
        <w:rPr>
          <w:b/>
          <w:bCs/>
          <w:color w:val="7030A0"/>
        </w:rPr>
        <w:t>emphasise</w:t>
      </w:r>
      <w:r w:rsidRPr="00284141">
        <w:rPr>
          <w:b/>
          <w:bCs/>
          <w:color w:val="7030A0"/>
        </w:rPr>
        <w:t xml:space="preserve"> </w:t>
      </w:r>
      <w:r w:rsidRPr="001D7135">
        <w:t>disparities in access to elite institutions, showing that students from lower-income families are less likely to gain admission to prestigious universities such as those in the Russell Group. The reliance on economic metrics in their study offers clear quantitative insights but neglects qualitative dimensions, such as personal barriers faced by these students. Mateos-González and Wakeling extend this analysis to postgraduate education, illustrating how SES influences enrolment in advanced degree programs. Their findings underscore the systemic nature of inequality but do not explore the intersection of SES with other identity factors, such as race or gender.</w:t>
      </w:r>
    </w:p>
    <w:p w14:paraId="15AF95DC" w14:textId="23EB8FA5" w:rsidR="0089451A" w:rsidRPr="001D7135" w:rsidRDefault="0089451A" w:rsidP="0089451A">
      <w:r w:rsidRPr="001D7135">
        <w:t xml:space="preserve">Reay critiques the meritocratic framing of higher education, arguing that systemic barriers often negate the potential benefits of access for working-class students. Using qualitative methods, Reay’s work offers valuable narratives that challenge the positivist assumptions of studies like Britton et al. While both approaches identify barriers, they differ in their focus: Reay critiques systemic structures, whereas Britton et al. </w:t>
      </w:r>
      <w:r w:rsidR="00696434">
        <w:rPr>
          <w:color w:val="000000" w:themeColor="text1"/>
        </w:rPr>
        <w:t>highlight</w:t>
      </w:r>
      <w:r w:rsidRPr="001D7135">
        <w:t xml:space="preserve"> economic returns as a rationale for improving access.</w:t>
      </w:r>
    </w:p>
    <w:p w14:paraId="138E5762" w14:textId="563DF2CD" w:rsidR="00696434" w:rsidRDefault="00696434" w:rsidP="0089451A">
      <w:pPr>
        <w:rPr>
          <w:b/>
          <w:bCs/>
        </w:rPr>
      </w:pPr>
      <w:r w:rsidRPr="00696434">
        <w:rPr>
          <w:b/>
          <w:bCs/>
        </w:rPr>
        <w:t>Cultural Integration of low</w:t>
      </w:r>
      <w:r>
        <w:rPr>
          <w:b/>
          <w:bCs/>
        </w:rPr>
        <w:t>-</w:t>
      </w:r>
      <w:r w:rsidRPr="00696434">
        <w:rPr>
          <w:b/>
          <w:bCs/>
        </w:rPr>
        <w:t xml:space="preserve">SES </w:t>
      </w:r>
      <w:r w:rsidR="00284141">
        <w:rPr>
          <w:b/>
          <w:bCs/>
        </w:rPr>
        <w:t>S</w:t>
      </w:r>
      <w:r w:rsidRPr="00696434">
        <w:rPr>
          <w:b/>
          <w:bCs/>
        </w:rPr>
        <w:t>tudents in Higher Education</w:t>
      </w:r>
    </w:p>
    <w:p w14:paraId="14C158EE" w14:textId="2A2CCBAC" w:rsidR="0089451A" w:rsidRPr="001D7135" w:rsidRDefault="0089451A" w:rsidP="0089451A">
      <w:r w:rsidRPr="001D7135">
        <w:t>Once admitted, students from low-SES backgrounds often face challenges in integrating into the social and cultural fabric of higher education institutions. Ahn and Davis use surveys to examine students’ sense of belonging, finding that engagement in academic and social activities can mitigate feelings of alienation. Their focus on measurable constructs provides actionable insights but simplifies the complexities of cultural disconnection.</w:t>
      </w:r>
    </w:p>
    <w:p w14:paraId="587D4ED1" w14:textId="77777777" w:rsidR="0089451A" w:rsidRPr="001D7135" w:rsidRDefault="0089451A" w:rsidP="0089451A">
      <w:r w:rsidRPr="001D7135">
        <w:t xml:space="preserve">Reay, drawing on qualitative interviews, highlights the isolation experienced by working-class students in elite institutions. These students often encounter environments dominated by middle- and upper-class norms, leading to feelings of inadequacy and exclusion. </w:t>
      </w:r>
      <w:r w:rsidRPr="001D7135">
        <w:lastRenderedPageBreak/>
        <w:t>Cunningham and Samson similarly explore the role of cultural capital, demonstrating how its absence can hinder integration. While Ahn and Davis suggest institutional interventions to foster belonging, Reay and Cunningham argue that structural inequities require more systemic changes.</w:t>
      </w:r>
    </w:p>
    <w:p w14:paraId="0C44D50B" w14:textId="11A88766" w:rsidR="00696434" w:rsidRDefault="00696434" w:rsidP="0089451A">
      <w:pPr>
        <w:rPr>
          <w:b/>
          <w:bCs/>
        </w:rPr>
      </w:pPr>
      <w:r w:rsidRPr="00696434">
        <w:rPr>
          <w:b/>
          <w:bCs/>
        </w:rPr>
        <w:t xml:space="preserve">Economic Factors and Financial Barriers with </w:t>
      </w:r>
      <w:r w:rsidR="00284141">
        <w:rPr>
          <w:b/>
          <w:bCs/>
        </w:rPr>
        <w:t>R</w:t>
      </w:r>
      <w:r w:rsidRPr="00696434">
        <w:rPr>
          <w:b/>
          <w:bCs/>
        </w:rPr>
        <w:t>espect to low</w:t>
      </w:r>
      <w:r>
        <w:rPr>
          <w:b/>
          <w:bCs/>
        </w:rPr>
        <w:t>-</w:t>
      </w:r>
      <w:r w:rsidRPr="00696434">
        <w:rPr>
          <w:b/>
          <w:bCs/>
        </w:rPr>
        <w:t xml:space="preserve">SES </w:t>
      </w:r>
      <w:r w:rsidR="00284141">
        <w:rPr>
          <w:b/>
          <w:bCs/>
        </w:rPr>
        <w:t>Students</w:t>
      </w:r>
      <w:r w:rsidRPr="00696434">
        <w:rPr>
          <w:b/>
          <w:bCs/>
        </w:rPr>
        <w:t xml:space="preserve"> and H</w:t>
      </w:r>
      <w:r w:rsidR="00284141">
        <w:rPr>
          <w:b/>
          <w:bCs/>
        </w:rPr>
        <w:t>igher Education</w:t>
      </w:r>
    </w:p>
    <w:p w14:paraId="3A9DEAB3" w14:textId="32F963FE" w:rsidR="0089451A" w:rsidRPr="001D7135" w:rsidRDefault="0089451A" w:rsidP="0089451A">
      <w:r w:rsidRPr="001D7135">
        <w:t xml:space="preserve">Financial challenges </w:t>
      </w:r>
      <w:r w:rsidR="00696434">
        <w:t>persist in preventing low-SES students from</w:t>
      </w:r>
      <w:r w:rsidRPr="001D7135">
        <w:t xml:space="preserve"> accessing and succeeding in higher education. Bakour examines the effectiveness of financial aid and interventions designed to boost confidence, suggesting that targeted support can alleviate some barriers. However, this perspective is challenged by Aina et al., who emphasize the overarching role of economic constraints in dropout rates. Their quantitative analysis shows that financial aid alone is insufficient without addressing broader systemic issues.</w:t>
      </w:r>
    </w:p>
    <w:p w14:paraId="5741A606" w14:textId="77777777" w:rsidR="0089451A" w:rsidRPr="001D7135" w:rsidRDefault="0089451A" w:rsidP="0089451A">
      <w:r w:rsidRPr="001D7135">
        <w:t xml:space="preserve">Britton et al. highlight the long-term economic returns of higher education but note that low-SES students are often underrepresented in high-paying fields. This creates a cyclical pattern </w:t>
      </w:r>
      <w:proofErr w:type="gramStart"/>
      <w:r w:rsidRPr="001D7135">
        <w:t>where</w:t>
      </w:r>
      <w:proofErr w:type="gramEnd"/>
      <w:r w:rsidRPr="001D7135">
        <w:t xml:space="preserve"> financial barriers limit access to lucrative opportunities, perpetuating income inequality. The emphasis on economic outcomes in these studies contrasts with the equity-focused perspectives of researchers like Reay and Bakour, who advocate for addressing structural barriers rather than merely improving financial metrics.</w:t>
      </w:r>
    </w:p>
    <w:p w14:paraId="130528CB" w14:textId="4725ECB0" w:rsidR="00696434" w:rsidRDefault="00696434" w:rsidP="0089451A">
      <w:pPr>
        <w:rPr>
          <w:b/>
          <w:bCs/>
        </w:rPr>
      </w:pPr>
      <w:r w:rsidRPr="00696434">
        <w:rPr>
          <w:b/>
          <w:bCs/>
        </w:rPr>
        <w:t>Higher Education Policy and Institutional Interventions for low</w:t>
      </w:r>
      <w:r>
        <w:rPr>
          <w:b/>
          <w:bCs/>
        </w:rPr>
        <w:t>-</w:t>
      </w:r>
      <w:r w:rsidRPr="00696434">
        <w:rPr>
          <w:b/>
          <w:bCs/>
        </w:rPr>
        <w:t>SES individuals in Higher Education</w:t>
      </w:r>
    </w:p>
    <w:p w14:paraId="4FADF014" w14:textId="52229043" w:rsidR="0089451A" w:rsidRPr="001D7135" w:rsidRDefault="0089451A" w:rsidP="0089451A">
      <w:r w:rsidRPr="001D7135">
        <w:t>Widening participation initiatives have been central to addressing SES disparities in higher education, but their effectiveness remains contested. Bakour identifies specific programs, such as mentoring and financial support, that have demonstrated success in improving access for low-SES students. Tan, synthesizing findings from multiple studies, calls for comprehensive policies that address both individual and systemic barriers. While these approaches highlight potential solutions, Reay critiques the broader policy framework, arguing that many interventions fail to tackle the root causes of inequality.</w:t>
      </w:r>
    </w:p>
    <w:p w14:paraId="5EE01E02" w14:textId="77777777" w:rsidR="0089451A" w:rsidRPr="001D7135" w:rsidRDefault="0089451A" w:rsidP="0089451A">
      <w:r w:rsidRPr="001D7135">
        <w:t>Cunningham and Samson provide a theoretical critique of neoliberal meritocracy, highlighting how current policies often reinforce existing class divisions rather than dismantling them. Their analysis challenges the optimism of studies like Bakour’s, suggesting that meaningful change requires a fundamental rethinking of institutional priorities and practices.</w:t>
      </w:r>
    </w:p>
    <w:p w14:paraId="5ED70023" w14:textId="66D33EAC" w:rsidR="00696434" w:rsidRDefault="00696434" w:rsidP="0089451A">
      <w:pPr>
        <w:rPr>
          <w:b/>
          <w:bCs/>
        </w:rPr>
      </w:pPr>
      <w:r w:rsidRPr="00696434">
        <w:rPr>
          <w:b/>
          <w:bCs/>
        </w:rPr>
        <w:t xml:space="preserve">Academic </w:t>
      </w:r>
      <w:r w:rsidR="00284141">
        <w:rPr>
          <w:b/>
          <w:bCs/>
        </w:rPr>
        <w:t>Preparedness</w:t>
      </w:r>
      <w:r w:rsidRPr="00696434">
        <w:rPr>
          <w:b/>
          <w:bCs/>
        </w:rPr>
        <w:t xml:space="preserve"> and Retention with </w:t>
      </w:r>
      <w:r w:rsidR="00284141">
        <w:rPr>
          <w:b/>
          <w:bCs/>
        </w:rPr>
        <w:t>Respect</w:t>
      </w:r>
      <w:r w:rsidRPr="00696434">
        <w:rPr>
          <w:b/>
          <w:bCs/>
        </w:rPr>
        <w:t xml:space="preserve"> of low</w:t>
      </w:r>
      <w:r>
        <w:rPr>
          <w:b/>
          <w:bCs/>
        </w:rPr>
        <w:t>-</w:t>
      </w:r>
      <w:r w:rsidRPr="00696434">
        <w:rPr>
          <w:b/>
          <w:bCs/>
        </w:rPr>
        <w:t xml:space="preserve">SES </w:t>
      </w:r>
      <w:r w:rsidR="00284141">
        <w:rPr>
          <w:b/>
          <w:bCs/>
        </w:rPr>
        <w:t>Students</w:t>
      </w:r>
      <w:r w:rsidRPr="00696434">
        <w:rPr>
          <w:b/>
          <w:bCs/>
        </w:rPr>
        <w:t xml:space="preserve"> in Higher Education</w:t>
      </w:r>
    </w:p>
    <w:p w14:paraId="3B570992" w14:textId="7944C8C4" w:rsidR="0089451A" w:rsidRPr="001D7135" w:rsidRDefault="0089451A" w:rsidP="0089451A">
      <w:r w:rsidRPr="001D7135">
        <w:t xml:space="preserve">Academic preparedness is closely linked to SES, influencing both access and retention in higher education. Anders et al. explore the impact of early academic tracking, showing that subject choices made at age 14 significantly affect university eligibility. Their longitudinal </w:t>
      </w:r>
      <w:r w:rsidRPr="001D7135">
        <w:lastRenderedPageBreak/>
        <w:t>analysis provides robust evidence of the systemic nature of these disparities but does not account for unobservable factors, such as family support or individual motivation.</w:t>
      </w:r>
    </w:p>
    <w:p w14:paraId="1516E9B4" w14:textId="77777777" w:rsidR="0089451A" w:rsidRPr="001D7135" w:rsidRDefault="0089451A" w:rsidP="0089451A">
      <w:r w:rsidRPr="001D7135">
        <w:t>Ahn and Davis focus on retention, emphasizing the role of engagement in reducing dropout rates. Their findings suggest that fostering a sense of belonging can help mitigate the disadvantages faced by low-SES students. However, this perspective contrasts with Aina et al., who argue that financial and institutional factors play a more significant role in retention. These differing conclusions highlight the multifaceted nature of retention challenges and the need for integrated solutions.</w:t>
      </w:r>
    </w:p>
    <w:p w14:paraId="7EF23C41" w14:textId="2817802C" w:rsidR="00696434" w:rsidRDefault="00696434" w:rsidP="0089451A">
      <w:pPr>
        <w:rPr>
          <w:b/>
          <w:bCs/>
        </w:rPr>
      </w:pPr>
      <w:r w:rsidRPr="00696434">
        <w:rPr>
          <w:b/>
          <w:bCs/>
        </w:rPr>
        <w:t>Post-Graduation Opportunities for low</w:t>
      </w:r>
      <w:r>
        <w:rPr>
          <w:b/>
          <w:bCs/>
        </w:rPr>
        <w:t>-</w:t>
      </w:r>
      <w:r w:rsidRPr="00696434">
        <w:rPr>
          <w:b/>
          <w:bCs/>
        </w:rPr>
        <w:t>SES in Higher Education</w:t>
      </w:r>
    </w:p>
    <w:p w14:paraId="2C4121E6" w14:textId="54849FC5" w:rsidR="0089451A" w:rsidRPr="001D7135" w:rsidRDefault="0089451A" w:rsidP="0089451A">
      <w:r w:rsidRPr="001D7135">
        <w:t>SES continues to influence outcomes beyond higher education, affecting access to postgraduate study and employment opportunities. Mateos-González and Wakeling demonstrate that students from higher-income families are more likely to pursue advanced degrees, securing advantages in competitive job markets. Britton et al. extend this analysis to employment outcomes, showing that low-SES graduates often face lower salaries and limited career progression, even with comparable qualifications.</w:t>
      </w:r>
    </w:p>
    <w:p w14:paraId="59BE46F9" w14:textId="77777777" w:rsidR="0089451A" w:rsidRPr="001D7135" w:rsidRDefault="0089451A" w:rsidP="0089451A">
      <w:r w:rsidRPr="001D7135">
        <w:t>Reay critiques this focus on economic outcomes, arguing that the structural barriers faced by low-SES students limit the transformative potential of higher education. This perspective challenges the findings of Britton et al., suggesting that addressing inequities requires more than improving financial metrics. Instead, systemic changes are needed to create equitable opportunities for all students, regardless of their socioeconomic background.</w:t>
      </w:r>
    </w:p>
    <w:p w14:paraId="200D0D80" w14:textId="77777777" w:rsidR="00696434" w:rsidRDefault="00696434" w:rsidP="0089451A">
      <w:pPr>
        <w:rPr>
          <w:b/>
          <w:bCs/>
        </w:rPr>
      </w:pPr>
      <w:r w:rsidRPr="00696434">
        <w:rPr>
          <w:b/>
          <w:bCs/>
        </w:rPr>
        <w:t xml:space="preserve">Intersectionality </w:t>
      </w:r>
      <w:proofErr w:type="gramStart"/>
      <w:r>
        <w:rPr>
          <w:b/>
          <w:bCs/>
        </w:rPr>
        <w:t xml:space="preserve">and </w:t>
      </w:r>
      <w:r w:rsidRPr="00696434">
        <w:rPr>
          <w:b/>
          <w:bCs/>
        </w:rPr>
        <w:t xml:space="preserve"> low</w:t>
      </w:r>
      <w:proofErr w:type="gramEnd"/>
      <w:r w:rsidRPr="00696434">
        <w:rPr>
          <w:b/>
          <w:bCs/>
        </w:rPr>
        <w:t xml:space="preserve"> SES</w:t>
      </w:r>
      <w:r>
        <w:rPr>
          <w:b/>
          <w:bCs/>
        </w:rPr>
        <w:t xml:space="preserve"> individuals</w:t>
      </w:r>
      <w:r w:rsidRPr="00696434">
        <w:rPr>
          <w:b/>
          <w:bCs/>
        </w:rPr>
        <w:t xml:space="preserve"> in Higher Education</w:t>
      </w:r>
    </w:p>
    <w:p w14:paraId="1D40B800" w14:textId="33CECFF7" w:rsidR="0089451A" w:rsidRPr="001D7135" w:rsidRDefault="0089451A" w:rsidP="0089451A">
      <w:r w:rsidRPr="001D7135">
        <w:t>The intersection of SES with other identity factors, such as race, gender, and geographic location, adds another layer of complexity to higher education disparities. Reay explores how compounded disadvantages affect minority students from low-SES backgrounds, emphasizing the importance of considering these intersecting identities in research and policy. Tan similarly advocates for intersectional approaches, highlighting the need for targeted interventions that address multiple dimensions of disadvantage.</w:t>
      </w:r>
    </w:p>
    <w:p w14:paraId="56DFA7A6" w14:textId="77777777" w:rsidR="0089451A" w:rsidRPr="001D7135" w:rsidRDefault="0089451A" w:rsidP="0089451A">
      <w:r w:rsidRPr="001D7135">
        <w:t>Ahn and Davis, focusing solely on SES, provide a more limited perspective that overlooks the broader context of intersectionality. This gap underscores the importance of integrating diverse perspectives to fully capture the experiences of marginalized students.</w:t>
      </w:r>
    </w:p>
    <w:p w14:paraId="5D2F685D" w14:textId="77777777" w:rsidR="0089451A" w:rsidRPr="001D7135" w:rsidRDefault="0089451A" w:rsidP="0089451A">
      <w:r w:rsidRPr="001D7135">
        <w:t xml:space="preserve">The reviewed studies offer valuable insights into the relationship between SES and higher education, highlighting both progress and persistent challenges. Quantitative research provides important data on trends and outcomes, while qualitative studies enrich these findings with narratives of lived experience. However, the divide between positivist and constructivist approaches reflects broader debates about how best to address SES disparities. Contradictions in findings, such as the effectiveness of interventions or the role of systemic barriers, underscore the need for further research that bridges these </w:t>
      </w:r>
      <w:r w:rsidRPr="001D7135">
        <w:lastRenderedPageBreak/>
        <w:t xml:space="preserve">methodological and theoretical divides. Addressing SES disparities in higher education requires a multifaceted approach that combines targeted support with systemic reform, ensuring that all students </w:t>
      </w:r>
      <w:proofErr w:type="gramStart"/>
      <w:r w:rsidRPr="001D7135">
        <w:t>have the opportunity to</w:t>
      </w:r>
      <w:proofErr w:type="gramEnd"/>
      <w:r w:rsidRPr="001D7135">
        <w:t xml:space="preserve"> succeed</w:t>
      </w:r>
    </w:p>
    <w:bookmarkEnd w:id="1"/>
    <w:p w14:paraId="7EC3A88C" w14:textId="77777777" w:rsidR="0089451A" w:rsidRPr="001D7135" w:rsidRDefault="0089451A" w:rsidP="0089451A"/>
    <w:p w14:paraId="33261139" w14:textId="77777777" w:rsidR="0089451A" w:rsidRPr="001D7135" w:rsidRDefault="0089451A" w:rsidP="0089451A">
      <w:pPr>
        <w:rPr>
          <w:b/>
          <w:bCs/>
        </w:rPr>
      </w:pPr>
      <w:r w:rsidRPr="001D7135">
        <w:rPr>
          <w:b/>
          <w:bCs/>
        </w:rPr>
        <w:t>Analysis of Research Approaches – Recommendations</w:t>
      </w:r>
    </w:p>
    <w:p w14:paraId="566F960A" w14:textId="77777777" w:rsidR="0089451A" w:rsidRPr="001D7135" w:rsidRDefault="0089451A" w:rsidP="0089451A">
      <w:r w:rsidRPr="001D7135">
        <w:t>Consideration should be given to:</w:t>
      </w:r>
    </w:p>
    <w:p w14:paraId="11DBF1C6" w14:textId="77777777" w:rsidR="0089451A" w:rsidRPr="001D7135" w:rsidRDefault="0089451A" w:rsidP="0089451A">
      <w:pPr>
        <w:rPr>
          <w:b/>
          <w:bCs/>
        </w:rPr>
      </w:pPr>
      <w:r w:rsidRPr="001D7135">
        <w:rPr>
          <w:b/>
          <w:bCs/>
        </w:rPr>
        <w:t>Mixed-Methods Approaches:</w:t>
      </w:r>
    </w:p>
    <w:p w14:paraId="3DD7013C" w14:textId="77777777" w:rsidR="0089451A" w:rsidRPr="001D7135" w:rsidRDefault="0089451A" w:rsidP="0089451A">
      <w:r w:rsidRPr="001D7135">
        <w:t>Combining large-scale datasets with interviews or focus groups can bridge the gap between systemic trends and personal narratives. For example, studies like Britton et al. could enhance their insights by incorporating qualitative interviews to explore how low-SES students experience mobility barriers.</w:t>
      </w:r>
    </w:p>
    <w:p w14:paraId="7C573F7F" w14:textId="77777777" w:rsidR="0089451A" w:rsidRPr="001D7135" w:rsidRDefault="0089451A" w:rsidP="0089451A">
      <w:pPr>
        <w:rPr>
          <w:b/>
          <w:bCs/>
        </w:rPr>
      </w:pPr>
      <w:r w:rsidRPr="001D7135">
        <w:rPr>
          <w:b/>
          <w:bCs/>
        </w:rPr>
        <w:t>Intersectionality:</w:t>
      </w:r>
    </w:p>
    <w:p w14:paraId="3A2BF023" w14:textId="77777777" w:rsidR="0089451A" w:rsidRPr="001D7135" w:rsidRDefault="0089451A" w:rsidP="0089451A">
      <w:r w:rsidRPr="001D7135">
        <w:t>Expanding research to include intersecting factors like race, gender, and geographic location will provide a more comprehensive understanding of systemic barriers.</w:t>
      </w:r>
    </w:p>
    <w:p w14:paraId="42A83213" w14:textId="77777777" w:rsidR="0089451A" w:rsidRPr="001D7135" w:rsidRDefault="0089451A" w:rsidP="0089451A">
      <w:pPr>
        <w:rPr>
          <w:b/>
          <w:bCs/>
        </w:rPr>
      </w:pPr>
      <w:r w:rsidRPr="001D7135">
        <w:rPr>
          <w:b/>
          <w:bCs/>
        </w:rPr>
        <w:t>Longitudinal Studies:</w:t>
      </w:r>
    </w:p>
    <w:p w14:paraId="4995E80E" w14:textId="77777777" w:rsidR="0089451A" w:rsidRPr="001D7135" w:rsidRDefault="0089451A" w:rsidP="0089451A">
      <w:r w:rsidRPr="001D7135">
        <w:t>Exploring the long-term impact of interventions and systemic barriers can deepen understanding and inform policies.</w:t>
      </w:r>
    </w:p>
    <w:p w14:paraId="16F4432B" w14:textId="77777777" w:rsidR="0089451A" w:rsidRPr="001D7135" w:rsidRDefault="0089451A" w:rsidP="0089451A">
      <w:pPr>
        <w:rPr>
          <w:b/>
          <w:bCs/>
        </w:rPr>
      </w:pPr>
      <w:r w:rsidRPr="001D7135">
        <w:rPr>
          <w:b/>
          <w:bCs/>
        </w:rPr>
        <w:t>Ethical Considerations:</w:t>
      </w:r>
    </w:p>
    <w:p w14:paraId="252C49EE" w14:textId="6BF0F4CE" w:rsidR="0089451A" w:rsidRDefault="0089451A" w:rsidP="0089451A">
      <w:r w:rsidRPr="001D7135">
        <w:t>Greater attention to ethical implications, such as cultural inclusion and the psychological effects of exclusion, can ensure findings are relevant and actionable.</w:t>
      </w:r>
    </w:p>
    <w:p w14:paraId="28D15D68" w14:textId="77777777" w:rsidR="00284141" w:rsidRPr="001D7135" w:rsidRDefault="00284141" w:rsidP="0089451A"/>
    <w:p w14:paraId="2F1D0089" w14:textId="77777777" w:rsidR="0089451A" w:rsidRPr="001D7135" w:rsidRDefault="0089451A" w:rsidP="0089451A">
      <w:pPr>
        <w:rPr>
          <w:b/>
          <w:bCs/>
        </w:rPr>
      </w:pPr>
      <w:r w:rsidRPr="001D7135">
        <w:rPr>
          <w:b/>
          <w:bCs/>
        </w:rPr>
        <w:t>Conclusion</w:t>
      </w:r>
    </w:p>
    <w:p w14:paraId="06AA4FC8" w14:textId="3AF9B31F" w:rsidR="0089451A" w:rsidRPr="001D7135" w:rsidRDefault="0089451A" w:rsidP="0089451A">
      <w:r w:rsidRPr="001D7135">
        <w:t xml:space="preserve">The review </w:t>
      </w:r>
      <w:r w:rsidR="00284141" w:rsidRPr="00284141">
        <w:rPr>
          <w:color w:val="000000" w:themeColor="text1"/>
        </w:rPr>
        <w:t>identifies</w:t>
      </w:r>
      <w:r w:rsidRPr="001D7135">
        <w:t xml:space="preserve"> the significant impact of socioeconomic status (SES) on higher education, shaping access, integration, retention, and post-graduation outcomes. Quantitative research highlights systemic trends, such as disparities in access to elite institutions and the long-term economic returns of higher education (Britton et al., 2021; Mateos-González &amp; Wakeling, 2021). Qualitative studies provide narratives that uncover lived experiences, showcasing cultural isolation and systemic barriers faced by low-SES students (Reay, 2021; Cunningham &amp; Samson, 2021). While interventions like financial aid and mentoring programs show promise (Bakour, 2024), they are often insufficient without addressing broader systemic inequities (Aina et al., 2022; Tan, 2024). The interplay of policy frameworks and institutional practices frequently reinforces class-based divisions rather than mitigating them (Cunningham &amp; Samson, 2021).</w:t>
      </w:r>
    </w:p>
    <w:p w14:paraId="7C076631" w14:textId="77777777" w:rsidR="00CD1602" w:rsidRDefault="00CD1602" w:rsidP="0089451A">
      <w:pPr>
        <w:rPr>
          <w:b/>
          <w:bCs/>
        </w:rPr>
      </w:pPr>
    </w:p>
    <w:p w14:paraId="4EC34E1F" w14:textId="04C45BEE" w:rsidR="0089451A" w:rsidRPr="001D7135" w:rsidRDefault="0089451A" w:rsidP="0089451A">
      <w:pPr>
        <w:rPr>
          <w:b/>
          <w:bCs/>
        </w:rPr>
      </w:pPr>
      <w:r w:rsidRPr="001D7135">
        <w:rPr>
          <w:b/>
          <w:bCs/>
        </w:rPr>
        <w:lastRenderedPageBreak/>
        <w:t>Identified Gaps</w:t>
      </w:r>
    </w:p>
    <w:p w14:paraId="3598EA62" w14:textId="09599F7E" w:rsidR="0089451A" w:rsidRPr="001D7135" w:rsidRDefault="0089451A" w:rsidP="0089451A">
      <w:r w:rsidRPr="001D7135">
        <w:t>Research lacks consensus on the effectiveness of interventions, with discrepancies between studies focusing on immediate support and those advocating systemic reforms (Ahn &amp; Davis, 2023; Reay, 2021). Intersectionality is insufficiently explored, particularly regarding compounded disadvantages related to race, gender, and geographic location (Tan, 2024; Reay, 2021). Methodological divides</w:t>
      </w:r>
      <w:r w:rsidR="00284141">
        <w:t xml:space="preserve">, </w:t>
      </w:r>
      <w:r w:rsidRPr="001D7135">
        <w:t>quantitative versus qualitative approaches</w:t>
      </w:r>
      <w:r w:rsidR="00284141">
        <w:t xml:space="preserve">, </w:t>
      </w:r>
      <w:r w:rsidRPr="001D7135">
        <w:t>further complicate efforts to develop cohesive strategies for addressing SES disparities (Britton et al., 2021; Bakour, 2024).</w:t>
      </w:r>
    </w:p>
    <w:p w14:paraId="65650B26" w14:textId="77777777" w:rsidR="00CD1602" w:rsidRDefault="00CD1602" w:rsidP="0089451A">
      <w:pPr>
        <w:rPr>
          <w:b/>
          <w:bCs/>
        </w:rPr>
      </w:pPr>
    </w:p>
    <w:p w14:paraId="46647363" w14:textId="42E85080" w:rsidR="0089451A" w:rsidRPr="001D7135" w:rsidRDefault="0089451A" w:rsidP="0089451A">
      <w:pPr>
        <w:rPr>
          <w:b/>
          <w:bCs/>
        </w:rPr>
      </w:pPr>
      <w:r w:rsidRPr="001D7135">
        <w:rPr>
          <w:b/>
          <w:bCs/>
        </w:rPr>
        <w:t>Implications for the Field</w:t>
      </w:r>
    </w:p>
    <w:p w14:paraId="16AB893D" w14:textId="77777777" w:rsidR="0089451A" w:rsidRPr="001D7135" w:rsidRDefault="0089451A" w:rsidP="0089451A">
      <w:r w:rsidRPr="001D7135">
        <w:t>Findings highlight the necessity of embedding equity-focused frameworks within higher education policy and practice. Quantitative insights provide essential data for large-scale interventions (Mateos-González &amp; Wakeling, 2021), while qualitative research underscores the need for policies that reflect the diverse realities of low-SES students (Reay, 2021; Cunningham &amp; Samson, 2021). Bridging these methodologies could enhance both theoretical advancements and practical applications, ensuring interventions address individual and structural dimensions (Tan, 2024; Ahn &amp; Davis, 2023).</w:t>
      </w:r>
    </w:p>
    <w:p w14:paraId="20AD176E" w14:textId="77777777" w:rsidR="00CD1602" w:rsidRDefault="00CD1602" w:rsidP="0089451A">
      <w:pPr>
        <w:rPr>
          <w:b/>
          <w:bCs/>
        </w:rPr>
      </w:pPr>
    </w:p>
    <w:p w14:paraId="4DBCAEB1" w14:textId="7069AA09" w:rsidR="0089451A" w:rsidRPr="001D7135" w:rsidRDefault="0089451A" w:rsidP="0089451A">
      <w:pPr>
        <w:rPr>
          <w:b/>
          <w:bCs/>
        </w:rPr>
      </w:pPr>
      <w:r w:rsidRPr="001D7135">
        <w:rPr>
          <w:b/>
          <w:bCs/>
        </w:rPr>
        <w:t>Future Directions</w:t>
      </w:r>
    </w:p>
    <w:p w14:paraId="5A86ABB8" w14:textId="77777777" w:rsidR="0089451A" w:rsidRPr="001D7135" w:rsidRDefault="0089451A" w:rsidP="0089451A">
      <w:r w:rsidRPr="001D7135">
        <w:t>Future research should adopt mixed-method approaches, combining large-scale datasets with qualitative narratives to provide a more comprehensive understanding (Britton et al., 2021; Reay, 2021). Longitudinal studies are needed to assess the sustained impact of interventions over time (Aina et al., 2022; Tan, 2024). Intersectional analyses should be prioritized to better capture the nuanced experiences of students navigating multiple dimensions of disadvantage (Reay, 2021; Tan, 2024). Incorporating culturally inclusive metrics and participatory research methods can strengthen equity-focused efforts (Bakour, 2024; Cunningham &amp; Samson, 2021).</w:t>
      </w:r>
    </w:p>
    <w:p w14:paraId="6476FDA7" w14:textId="77777777" w:rsidR="00CD1602" w:rsidRDefault="00CD1602" w:rsidP="0089451A">
      <w:pPr>
        <w:rPr>
          <w:b/>
          <w:bCs/>
        </w:rPr>
      </w:pPr>
    </w:p>
    <w:p w14:paraId="7B768F80" w14:textId="2B6889B0" w:rsidR="0089451A" w:rsidRPr="001D7135" w:rsidRDefault="001D7135" w:rsidP="0089451A">
      <w:pPr>
        <w:rPr>
          <w:b/>
          <w:bCs/>
        </w:rPr>
      </w:pPr>
      <w:r w:rsidRPr="001D7135">
        <w:rPr>
          <w:b/>
          <w:bCs/>
        </w:rPr>
        <w:t xml:space="preserve">Conclusion. </w:t>
      </w:r>
    </w:p>
    <w:p w14:paraId="0E6C23A7" w14:textId="77777777" w:rsidR="0089451A" w:rsidRPr="001D7135" w:rsidRDefault="0089451A" w:rsidP="0089451A">
      <w:r w:rsidRPr="001D7135">
        <w:t>Understanding the multifaceted impact of SES on higher education is critical for fostering equitable access and outcomes. While substantial progress has been made, persistent challenges underscore the importance of continued research and reform. Advancing equity in education demands sustained commitment to systemic change and individual support, ensuring opportunities for all students to thrive (Reay, 2021; Tan, 2024).</w:t>
      </w:r>
    </w:p>
    <w:p w14:paraId="14B44DC3" w14:textId="77777777" w:rsidR="00CD1602" w:rsidRDefault="00CD1602" w:rsidP="001D7135"/>
    <w:p w14:paraId="37684F64" w14:textId="06EFC1A2" w:rsidR="00E461BC" w:rsidRPr="00CD1602" w:rsidRDefault="001D7135" w:rsidP="00CD1602">
      <w:pPr>
        <w:rPr>
          <w:b/>
          <w:bCs/>
        </w:rPr>
      </w:pPr>
      <w:r w:rsidRPr="001D7135">
        <w:rPr>
          <w:b/>
          <w:bCs/>
        </w:rPr>
        <w:lastRenderedPageBreak/>
        <w:t>References</w:t>
      </w:r>
    </w:p>
    <w:p w14:paraId="71642C71" w14:textId="77777777" w:rsidR="00CD1602" w:rsidRDefault="00CD1602" w:rsidP="006B3822">
      <w:pPr>
        <w:pStyle w:val="NormalWeb"/>
        <w:spacing w:before="0" w:beforeAutospacing="0" w:after="0" w:afterAutospacing="0" w:line="480" w:lineRule="atLeast"/>
        <w:ind w:left="600" w:hanging="600"/>
        <w:rPr>
          <w:color w:val="000000"/>
        </w:rPr>
      </w:pPr>
    </w:p>
    <w:p w14:paraId="2B09CDF5" w14:textId="77777777" w:rsidR="00CD1602" w:rsidRDefault="00CD1602" w:rsidP="00413098">
      <w:pPr>
        <w:pStyle w:val="NormalWeb"/>
        <w:spacing w:before="0" w:beforeAutospacing="0" w:after="0" w:afterAutospacing="0" w:line="480" w:lineRule="atLeast"/>
        <w:ind w:left="600" w:hanging="600"/>
        <w:rPr>
          <w:color w:val="000000"/>
        </w:rPr>
      </w:pPr>
    </w:p>
    <w:p w14:paraId="322F00DA" w14:textId="77777777" w:rsidR="00CD1602" w:rsidRDefault="00CD1602" w:rsidP="002C19A5">
      <w:pPr>
        <w:pStyle w:val="NormalWeb"/>
        <w:spacing w:before="0" w:beforeAutospacing="0" w:after="0" w:afterAutospacing="0" w:line="480" w:lineRule="atLeast"/>
        <w:ind w:left="600" w:hanging="600"/>
        <w:rPr>
          <w:color w:val="000000"/>
        </w:rPr>
      </w:pPr>
    </w:p>
    <w:p w14:paraId="504084A9" w14:textId="77777777" w:rsidR="00CD1602" w:rsidRDefault="00CD1602" w:rsidP="003A68DD">
      <w:pPr>
        <w:pStyle w:val="NormalWeb"/>
        <w:spacing w:before="0" w:beforeAutospacing="0" w:after="0" w:afterAutospacing="0" w:line="480" w:lineRule="atLeast"/>
        <w:ind w:left="600" w:hanging="600"/>
        <w:rPr>
          <w:color w:val="000000"/>
        </w:rPr>
      </w:pPr>
    </w:p>
    <w:p w14:paraId="562E1C96" w14:textId="77777777" w:rsidR="00CD1602" w:rsidRDefault="00CD1602" w:rsidP="00441F20">
      <w:pPr>
        <w:pStyle w:val="NormalWeb"/>
        <w:spacing w:before="0" w:beforeAutospacing="0" w:after="0" w:afterAutospacing="0" w:line="480" w:lineRule="atLeast"/>
        <w:ind w:left="600" w:hanging="600"/>
        <w:rPr>
          <w:color w:val="000000"/>
        </w:rPr>
      </w:pPr>
    </w:p>
    <w:p w14:paraId="420B947D" w14:textId="77777777" w:rsidR="00CD1602" w:rsidRDefault="00CD1602" w:rsidP="003A68DD">
      <w:pPr>
        <w:pStyle w:val="NormalWeb"/>
        <w:spacing w:before="0" w:beforeAutospacing="0" w:after="0" w:afterAutospacing="0" w:line="480" w:lineRule="atLeast"/>
        <w:ind w:left="600" w:hanging="600"/>
        <w:rPr>
          <w:color w:val="000000"/>
        </w:rPr>
      </w:pPr>
    </w:p>
    <w:p w14:paraId="514C4BC3" w14:textId="77777777" w:rsidR="00CD1602" w:rsidRDefault="00CD1602" w:rsidP="006B3822">
      <w:pPr>
        <w:pStyle w:val="NormalWeb"/>
        <w:spacing w:before="0" w:beforeAutospacing="0" w:after="0" w:afterAutospacing="0" w:line="480" w:lineRule="atLeast"/>
        <w:ind w:left="600" w:hanging="600"/>
        <w:rPr>
          <w:color w:val="000000"/>
        </w:rPr>
      </w:pPr>
    </w:p>
    <w:p w14:paraId="77035533" w14:textId="77777777" w:rsidR="00CD1602" w:rsidRDefault="00CD1602" w:rsidP="008B3F9D">
      <w:pPr>
        <w:pStyle w:val="NormalWeb"/>
        <w:spacing w:before="0" w:beforeAutospacing="0" w:after="0" w:afterAutospacing="0" w:line="480" w:lineRule="atLeast"/>
        <w:ind w:left="600" w:hanging="600"/>
        <w:rPr>
          <w:color w:val="000000"/>
        </w:rPr>
      </w:pPr>
    </w:p>
    <w:p w14:paraId="55E86BCE" w14:textId="77777777" w:rsidR="00CD1602" w:rsidRDefault="00CD1602" w:rsidP="00F24A2E">
      <w:pPr>
        <w:pStyle w:val="NormalWeb"/>
        <w:spacing w:before="0" w:beforeAutospacing="0" w:after="0" w:afterAutospacing="0" w:line="480" w:lineRule="atLeast"/>
        <w:ind w:left="600" w:hanging="600"/>
        <w:rPr>
          <w:color w:val="000000"/>
        </w:rPr>
      </w:pPr>
    </w:p>
    <w:p w14:paraId="507C956D" w14:textId="77777777" w:rsidR="00CD1602" w:rsidRDefault="00CD1602" w:rsidP="00C71B3C">
      <w:pPr>
        <w:pStyle w:val="NormalWeb"/>
        <w:spacing w:before="0" w:beforeAutospacing="0" w:after="0" w:afterAutospacing="0" w:line="480" w:lineRule="atLeast"/>
        <w:ind w:left="600" w:hanging="600"/>
        <w:rPr>
          <w:color w:val="000000"/>
        </w:rPr>
      </w:pPr>
    </w:p>
    <w:p w14:paraId="567D5D66" w14:textId="77777777" w:rsidR="00CD1602" w:rsidRDefault="00CD1602" w:rsidP="008B3F9D">
      <w:pPr>
        <w:pStyle w:val="NormalWeb"/>
        <w:spacing w:before="0" w:beforeAutospacing="0" w:after="0" w:afterAutospacing="0" w:line="480" w:lineRule="atLeast"/>
        <w:ind w:left="600" w:hanging="600"/>
        <w:rPr>
          <w:color w:val="000000"/>
        </w:rPr>
      </w:pPr>
    </w:p>
    <w:p w14:paraId="2274F3FD" w14:textId="77777777" w:rsidR="00CD1602" w:rsidRDefault="00CD1602" w:rsidP="00C71B3C">
      <w:pPr>
        <w:pStyle w:val="NormalWeb"/>
        <w:spacing w:before="0" w:beforeAutospacing="0" w:after="0" w:afterAutospacing="0" w:line="480" w:lineRule="atLeast"/>
        <w:ind w:left="600" w:hanging="600"/>
        <w:rPr>
          <w:color w:val="000000"/>
        </w:rPr>
      </w:pPr>
    </w:p>
    <w:p w14:paraId="7BC0F3E5" w14:textId="77777777" w:rsidR="00CD1602" w:rsidRDefault="00CD1602" w:rsidP="00F32DCD">
      <w:pPr>
        <w:pStyle w:val="NormalWeb"/>
        <w:spacing w:before="0" w:beforeAutospacing="0" w:after="0" w:afterAutospacing="0" w:line="480" w:lineRule="atLeast"/>
        <w:ind w:left="600" w:hanging="600"/>
        <w:rPr>
          <w:color w:val="000000"/>
        </w:rPr>
      </w:pPr>
    </w:p>
    <w:p w14:paraId="345980DE" w14:textId="77777777" w:rsidR="00CD1602" w:rsidRDefault="00CD1602" w:rsidP="006B3822">
      <w:pPr>
        <w:pStyle w:val="NormalWeb"/>
        <w:spacing w:before="0" w:beforeAutospacing="0" w:after="0" w:afterAutospacing="0" w:line="480" w:lineRule="atLeast"/>
        <w:ind w:left="600" w:hanging="600"/>
        <w:rPr>
          <w:color w:val="000000"/>
        </w:rPr>
      </w:pPr>
    </w:p>
    <w:p w14:paraId="68B1950B" w14:textId="77777777" w:rsidR="00CD1602" w:rsidRDefault="00CD1602" w:rsidP="00F24A2E">
      <w:pPr>
        <w:pStyle w:val="NormalWeb"/>
        <w:spacing w:before="0" w:beforeAutospacing="0" w:after="0" w:afterAutospacing="0" w:line="480" w:lineRule="atLeast"/>
        <w:ind w:left="600" w:hanging="600"/>
        <w:rPr>
          <w:color w:val="000000"/>
        </w:rPr>
      </w:pPr>
    </w:p>
    <w:p w14:paraId="7FAFC360" w14:textId="77777777" w:rsidR="00CD1602" w:rsidRDefault="00CD1602" w:rsidP="00DA1224">
      <w:pPr>
        <w:pStyle w:val="NormalWeb"/>
        <w:spacing w:before="0" w:beforeAutospacing="0" w:after="0" w:afterAutospacing="0" w:line="480" w:lineRule="atLeast"/>
        <w:ind w:left="600" w:hanging="600"/>
        <w:rPr>
          <w:color w:val="000000"/>
        </w:rPr>
      </w:pPr>
    </w:p>
    <w:p w14:paraId="14E727CC" w14:textId="77777777" w:rsidR="00CD1602" w:rsidRDefault="00CD1602" w:rsidP="00D06416">
      <w:pPr>
        <w:pStyle w:val="NormalWeb"/>
        <w:spacing w:before="0" w:beforeAutospacing="0" w:after="0" w:afterAutospacing="0" w:line="480" w:lineRule="atLeast"/>
        <w:ind w:left="600" w:hanging="600"/>
        <w:rPr>
          <w:color w:val="000000"/>
        </w:rPr>
      </w:pPr>
    </w:p>
    <w:p w14:paraId="02EE8292" w14:textId="77777777" w:rsidR="00CD1602" w:rsidRDefault="00CD1602" w:rsidP="003D0607">
      <w:pPr>
        <w:pStyle w:val="NormalWeb"/>
        <w:spacing w:before="0" w:beforeAutospacing="0" w:after="0" w:afterAutospacing="0" w:line="480" w:lineRule="atLeast"/>
        <w:ind w:left="600" w:hanging="600"/>
        <w:rPr>
          <w:color w:val="000000"/>
        </w:rPr>
      </w:pPr>
    </w:p>
    <w:p w14:paraId="1313DD21" w14:textId="77777777" w:rsidR="00CD1602" w:rsidRDefault="00CD1602" w:rsidP="00E461BC">
      <w:pPr>
        <w:pStyle w:val="NormalWeb"/>
        <w:spacing w:before="0" w:beforeAutospacing="0" w:after="0" w:afterAutospacing="0" w:line="480" w:lineRule="atLeast"/>
        <w:ind w:left="600" w:hanging="600"/>
        <w:rPr>
          <w:color w:val="000000"/>
        </w:rPr>
      </w:pPr>
    </w:p>
    <w:p w14:paraId="7C16F668" w14:textId="77777777" w:rsidR="00CD1602" w:rsidRDefault="00CD1602" w:rsidP="00DA1224">
      <w:pPr>
        <w:pStyle w:val="NormalWeb"/>
        <w:spacing w:before="0" w:beforeAutospacing="0" w:after="0" w:afterAutospacing="0" w:line="480" w:lineRule="atLeast"/>
        <w:ind w:left="600" w:hanging="600"/>
        <w:rPr>
          <w:color w:val="000000"/>
        </w:rPr>
      </w:pPr>
    </w:p>
    <w:p w14:paraId="17F7E633" w14:textId="77777777" w:rsidR="00CD1602" w:rsidRDefault="00CD1602" w:rsidP="00412BD1">
      <w:pPr>
        <w:pStyle w:val="NormalWeb"/>
        <w:spacing w:before="0" w:beforeAutospacing="0" w:after="0" w:afterAutospacing="0" w:line="480" w:lineRule="atLeast"/>
        <w:ind w:left="600" w:hanging="600"/>
        <w:rPr>
          <w:color w:val="000000"/>
        </w:rPr>
      </w:pPr>
    </w:p>
    <w:p w14:paraId="1C46F418" w14:textId="77777777" w:rsidR="00CD1602" w:rsidRDefault="00CD1602" w:rsidP="001C475E">
      <w:pPr>
        <w:pStyle w:val="NormalWeb"/>
        <w:spacing w:before="0" w:beforeAutospacing="0" w:after="0" w:afterAutospacing="0" w:line="480" w:lineRule="atLeast"/>
        <w:ind w:left="600" w:hanging="600"/>
        <w:rPr>
          <w:color w:val="000000"/>
        </w:rPr>
      </w:pPr>
    </w:p>
    <w:p w14:paraId="690EEDB8" w14:textId="77777777" w:rsidR="00CD1602" w:rsidRDefault="00CD1602" w:rsidP="00932E3B">
      <w:pPr>
        <w:pStyle w:val="NormalWeb"/>
        <w:spacing w:before="0" w:beforeAutospacing="0" w:after="0" w:afterAutospacing="0" w:line="480" w:lineRule="atLeast"/>
        <w:ind w:left="600" w:hanging="600"/>
        <w:rPr>
          <w:color w:val="000000"/>
        </w:rPr>
      </w:pPr>
    </w:p>
    <w:p w14:paraId="7CC2A41A" w14:textId="77777777" w:rsidR="00CD1602" w:rsidRDefault="00CD1602" w:rsidP="006B3822">
      <w:pPr>
        <w:pStyle w:val="NormalWeb"/>
        <w:spacing w:before="0" w:beforeAutospacing="0" w:after="0" w:afterAutospacing="0" w:line="480" w:lineRule="atLeast"/>
        <w:ind w:left="600" w:hanging="600"/>
        <w:rPr>
          <w:color w:val="000000"/>
        </w:rPr>
      </w:pPr>
      <w:r>
        <w:rPr>
          <w:color w:val="000000"/>
        </w:rPr>
        <w:t>Abel, G. A., Barclay, M. E., &amp; Payne, R. A. (2016). Adjusted indices of multiple deprivation to enable comparisons within and between constituent countries of the UK including an illustration using mortality rates. </w:t>
      </w:r>
      <w:r>
        <w:rPr>
          <w:i/>
          <w:iCs/>
          <w:color w:val="000000"/>
        </w:rPr>
        <w:t>BMJ Open</w:t>
      </w:r>
      <w:r>
        <w:rPr>
          <w:color w:val="000000"/>
        </w:rPr>
        <w:t>, </w:t>
      </w:r>
      <w:r>
        <w:rPr>
          <w:i/>
          <w:iCs/>
          <w:color w:val="000000"/>
        </w:rPr>
        <w:t>6</w:t>
      </w:r>
      <w:r>
        <w:rPr>
          <w:color w:val="000000"/>
        </w:rPr>
        <w:t xml:space="preserve">(11), e012750. </w:t>
      </w:r>
      <w:hyperlink r:id="rId10" w:history="1">
        <w:r w:rsidRPr="007E45CC">
          <w:rPr>
            <w:rStyle w:val="Hyperlink"/>
          </w:rPr>
          <w:t>https://doi.org/10.1136/bmjopen-2016-012750</w:t>
        </w:r>
      </w:hyperlink>
    </w:p>
    <w:p w14:paraId="521E67BD" w14:textId="77777777" w:rsidR="00CD1602" w:rsidRDefault="00CD1602" w:rsidP="00413098">
      <w:pPr>
        <w:pStyle w:val="NormalWeb"/>
        <w:spacing w:before="0" w:beforeAutospacing="0" w:after="0" w:afterAutospacing="0" w:line="480" w:lineRule="atLeast"/>
        <w:ind w:left="600" w:hanging="600"/>
        <w:rPr>
          <w:color w:val="000000"/>
        </w:rPr>
      </w:pPr>
      <w:r>
        <w:rPr>
          <w:color w:val="000000"/>
        </w:rPr>
        <w:lastRenderedPageBreak/>
        <w:t xml:space="preserve">Al-Ababneh, M. M. (2020). Linking Ontology, Epistemology </w:t>
      </w:r>
      <w:proofErr w:type="gramStart"/>
      <w:r>
        <w:rPr>
          <w:color w:val="000000"/>
        </w:rPr>
        <w:t>And</w:t>
      </w:r>
      <w:proofErr w:type="gramEnd"/>
      <w:r>
        <w:rPr>
          <w:color w:val="000000"/>
        </w:rPr>
        <w:t xml:space="preserve"> Research Methodology. </w:t>
      </w:r>
      <w:proofErr w:type="spellStart"/>
      <w:r>
        <w:rPr>
          <w:i/>
          <w:iCs/>
          <w:color w:val="000000"/>
        </w:rPr>
        <w:t>DOAJ</w:t>
      </w:r>
      <w:proofErr w:type="spellEnd"/>
      <w:r>
        <w:rPr>
          <w:i/>
          <w:iCs/>
          <w:color w:val="000000"/>
        </w:rPr>
        <w:t xml:space="preserve"> (</w:t>
      </w:r>
      <w:proofErr w:type="spellStart"/>
      <w:r>
        <w:rPr>
          <w:i/>
          <w:iCs/>
          <w:color w:val="000000"/>
        </w:rPr>
        <w:t>DOAJ</w:t>
      </w:r>
      <w:proofErr w:type="spellEnd"/>
      <w:r>
        <w:rPr>
          <w:i/>
          <w:iCs/>
          <w:color w:val="000000"/>
        </w:rPr>
        <w:t>: Directory of Open Access Journals)</w:t>
      </w:r>
      <w:r>
        <w:rPr>
          <w:color w:val="000000"/>
        </w:rPr>
        <w:t xml:space="preserve">. </w:t>
      </w:r>
      <w:hyperlink r:id="rId11" w:history="1">
        <w:r w:rsidRPr="007E45CC">
          <w:rPr>
            <w:rStyle w:val="Hyperlink"/>
          </w:rPr>
          <w:t>https://doi.org/10.23756/sp.v8i1.500</w:t>
        </w:r>
      </w:hyperlink>
    </w:p>
    <w:p w14:paraId="1C8E0E13" w14:textId="77777777" w:rsidR="00CD1602" w:rsidRDefault="00CD1602" w:rsidP="00413098">
      <w:pPr>
        <w:pStyle w:val="NormalWeb"/>
        <w:spacing w:before="0" w:beforeAutospacing="0" w:after="0" w:afterAutospacing="0" w:line="480" w:lineRule="atLeast"/>
        <w:ind w:left="600" w:hanging="600"/>
        <w:rPr>
          <w:color w:val="000000"/>
        </w:rPr>
      </w:pPr>
    </w:p>
    <w:p w14:paraId="737EA5E2" w14:textId="3D292BF0" w:rsidR="00CD1602" w:rsidRDefault="00CD1602" w:rsidP="002C19A5">
      <w:pPr>
        <w:pStyle w:val="NormalWeb"/>
        <w:spacing w:before="0" w:beforeAutospacing="0" w:after="0" w:afterAutospacing="0" w:line="480" w:lineRule="atLeast"/>
        <w:ind w:left="600" w:hanging="600"/>
        <w:rPr>
          <w:color w:val="000000"/>
        </w:rPr>
      </w:pPr>
      <w:proofErr w:type="spellStart"/>
      <w:r>
        <w:rPr>
          <w:color w:val="000000"/>
        </w:rPr>
        <w:t>Alharahsheh</w:t>
      </w:r>
      <w:proofErr w:type="spellEnd"/>
      <w:r>
        <w:rPr>
          <w:color w:val="000000"/>
        </w:rPr>
        <w:t>, H. H., &amp; Pius, A. (2020, December). </w:t>
      </w:r>
      <w:r>
        <w:rPr>
          <w:i/>
          <w:iCs/>
          <w:color w:val="000000"/>
        </w:rPr>
        <w:t>A Review of key paradigms: positivism VS interpretivism</w:t>
      </w:r>
      <w:r>
        <w:rPr>
          <w:color w:val="000000"/>
        </w:rPr>
        <w:t xml:space="preserve">. ResearchGate. </w:t>
      </w:r>
      <w:hyperlink r:id="rId12" w:history="1">
        <w:r w:rsidRPr="007E45CC">
          <w:rPr>
            <w:rStyle w:val="Hyperlink"/>
          </w:rPr>
          <w:t>https://www.researchgate.net/publication/338244145_A_Review_of_key_paradigms_positivism_VS_interpretivism</w:t>
        </w:r>
      </w:hyperlink>
    </w:p>
    <w:p w14:paraId="3998293A" w14:textId="77777777" w:rsidR="00CD1602" w:rsidRDefault="00CD1602" w:rsidP="002C19A5">
      <w:pPr>
        <w:pStyle w:val="NormalWeb"/>
        <w:spacing w:before="0" w:beforeAutospacing="0" w:after="0" w:afterAutospacing="0" w:line="480" w:lineRule="atLeast"/>
        <w:ind w:left="600" w:hanging="600"/>
        <w:rPr>
          <w:color w:val="000000"/>
        </w:rPr>
      </w:pPr>
    </w:p>
    <w:p w14:paraId="5CAEC257" w14:textId="77777777" w:rsidR="00CD1602" w:rsidRDefault="00CD1602" w:rsidP="008B3F9D">
      <w:pPr>
        <w:pStyle w:val="NormalWeb"/>
        <w:rPr>
          <w:rFonts w:ascii="Helvetica" w:hAnsi="Helvetica" w:cs="Helvetica"/>
          <w:color w:val="000000"/>
          <w:spacing w:val="-5"/>
          <w:shd w:val="clear" w:color="auto" w:fill="FFFFFF"/>
        </w:rPr>
      </w:pPr>
      <w:r>
        <w:rPr>
          <w:rFonts w:ascii="Helvetica" w:hAnsi="Helvetica" w:cs="Helvetica"/>
          <w:color w:val="000000"/>
          <w:spacing w:val="-5"/>
          <w:shd w:val="clear" w:color="auto" w:fill="FFFFFF"/>
        </w:rPr>
        <w:t>Anders, J. (2012). The Link between Household Income, University Applications and University Attendance. </w:t>
      </w:r>
      <w:r>
        <w:rPr>
          <w:rFonts w:ascii="Helvetica" w:hAnsi="Helvetica" w:cs="Helvetica"/>
          <w:i/>
          <w:iCs/>
          <w:color w:val="000000"/>
          <w:spacing w:val="-5"/>
          <w:shd w:val="clear" w:color="auto" w:fill="FFFFFF"/>
        </w:rPr>
        <w:t>Fiscal Studies</w:t>
      </w:r>
      <w:r>
        <w:rPr>
          <w:rFonts w:ascii="Helvetica" w:hAnsi="Helvetica" w:cs="Helvetica"/>
          <w:color w:val="000000"/>
          <w:spacing w:val="-5"/>
          <w:shd w:val="clear" w:color="auto" w:fill="FFFFFF"/>
        </w:rPr>
        <w:t>, </w:t>
      </w:r>
      <w:r>
        <w:rPr>
          <w:rFonts w:ascii="Helvetica" w:hAnsi="Helvetica" w:cs="Helvetica"/>
          <w:i/>
          <w:iCs/>
          <w:color w:val="000000"/>
          <w:spacing w:val="-5"/>
          <w:shd w:val="clear" w:color="auto" w:fill="FFFFFF"/>
        </w:rPr>
        <w:t>33</w:t>
      </w:r>
      <w:r>
        <w:rPr>
          <w:rFonts w:ascii="Helvetica" w:hAnsi="Helvetica" w:cs="Helvetica"/>
          <w:color w:val="000000"/>
          <w:spacing w:val="-5"/>
          <w:shd w:val="clear" w:color="auto" w:fill="FFFFFF"/>
        </w:rPr>
        <w:t xml:space="preserve">(2), 185–210. </w:t>
      </w:r>
      <w:hyperlink r:id="rId13" w:history="1">
        <w:r w:rsidRPr="007E45CC">
          <w:rPr>
            <w:rStyle w:val="Hyperlink"/>
            <w:rFonts w:ascii="Helvetica" w:hAnsi="Helvetica" w:cs="Helvetica"/>
            <w:spacing w:val="-5"/>
            <w:shd w:val="clear" w:color="auto" w:fill="FFFFFF"/>
          </w:rPr>
          <w:t>http://www.jstor.org/stable/24440174</w:t>
        </w:r>
      </w:hyperlink>
    </w:p>
    <w:p w14:paraId="37626B88" w14:textId="77777777" w:rsidR="00CD1602" w:rsidRDefault="00CD1602" w:rsidP="00F32DCD">
      <w:pPr>
        <w:pStyle w:val="NormalWeb"/>
        <w:rPr>
          <w:color w:val="000000"/>
        </w:rPr>
      </w:pPr>
      <w:r w:rsidRPr="00D966B4">
        <w:rPr>
          <w:color w:val="000000"/>
        </w:rPr>
        <w:t xml:space="preserve">APA. (2018). Socioeconomic status. Retrieved from </w:t>
      </w:r>
      <w:hyperlink r:id="rId14" w:history="1">
        <w:r w:rsidRPr="007E45CC">
          <w:rPr>
            <w:rStyle w:val="Hyperlink"/>
          </w:rPr>
          <w:t>http://www.apa.org/topics/socioeconomic/status/</w:t>
        </w:r>
      </w:hyperlink>
    </w:p>
    <w:p w14:paraId="55C417C6" w14:textId="77777777" w:rsidR="00CD1602" w:rsidRDefault="00CD1602" w:rsidP="002C19A5">
      <w:pPr>
        <w:pStyle w:val="NormalWeb"/>
        <w:spacing w:before="0" w:beforeAutospacing="0" w:after="0" w:afterAutospacing="0" w:line="480" w:lineRule="atLeast"/>
        <w:ind w:left="600" w:hanging="600"/>
        <w:rPr>
          <w:color w:val="000000"/>
        </w:rPr>
      </w:pPr>
      <w:r>
        <w:rPr>
          <w:color w:val="000000"/>
        </w:rPr>
        <w:t>Bell, E., &amp; Bryman, A. (2006). The Ethics of Management Research: An Exploratory Content Analysis. </w:t>
      </w:r>
      <w:r>
        <w:rPr>
          <w:i/>
          <w:iCs/>
          <w:color w:val="000000"/>
        </w:rPr>
        <w:t>British Journal of Management</w:t>
      </w:r>
      <w:r>
        <w:rPr>
          <w:color w:val="000000"/>
        </w:rPr>
        <w:t>, </w:t>
      </w:r>
      <w:r>
        <w:rPr>
          <w:i/>
          <w:iCs/>
          <w:color w:val="000000"/>
        </w:rPr>
        <w:t>18</w:t>
      </w:r>
      <w:r>
        <w:rPr>
          <w:color w:val="000000"/>
        </w:rPr>
        <w:t xml:space="preserve">(1), 63–77. </w:t>
      </w:r>
      <w:hyperlink r:id="rId15" w:history="1">
        <w:r w:rsidRPr="007E45CC">
          <w:rPr>
            <w:rStyle w:val="Hyperlink"/>
          </w:rPr>
          <w:t>https://doi.org/10.1111/j.1467-8551.2006.00487.x</w:t>
        </w:r>
      </w:hyperlink>
    </w:p>
    <w:p w14:paraId="28AD6B1A" w14:textId="77777777" w:rsidR="00CD1602" w:rsidRDefault="00CD1602" w:rsidP="002C19A5">
      <w:pPr>
        <w:pStyle w:val="NormalWeb"/>
        <w:spacing w:before="0" w:beforeAutospacing="0" w:after="0" w:afterAutospacing="0" w:line="480" w:lineRule="atLeast"/>
        <w:ind w:left="600" w:hanging="600"/>
        <w:rPr>
          <w:color w:val="000000"/>
        </w:rPr>
      </w:pPr>
    </w:p>
    <w:p w14:paraId="5ED0D8D3" w14:textId="77777777" w:rsidR="00CD1602" w:rsidRDefault="00CD1602" w:rsidP="00F24A2E">
      <w:pPr>
        <w:pStyle w:val="NormalWeb"/>
        <w:spacing w:before="0" w:beforeAutospacing="0" w:after="0" w:afterAutospacing="0" w:line="480" w:lineRule="atLeast"/>
        <w:ind w:left="600" w:hanging="600"/>
        <w:rPr>
          <w:color w:val="000000"/>
        </w:rPr>
      </w:pPr>
      <w:r>
        <w:rPr>
          <w:color w:val="000000"/>
        </w:rPr>
        <w:t>Bolton, P., &amp; Lewis, J. (2024). </w:t>
      </w:r>
      <w:r>
        <w:rPr>
          <w:i/>
          <w:iCs/>
          <w:color w:val="000000"/>
        </w:rPr>
        <w:t>Equality of access and outcomes in higher education in England</w:t>
      </w:r>
      <w:r>
        <w:rPr>
          <w:color w:val="000000"/>
        </w:rPr>
        <w:t xml:space="preserve">. </w:t>
      </w:r>
      <w:hyperlink r:id="rId16" w:history="1">
        <w:r w:rsidRPr="007E45CC">
          <w:rPr>
            <w:rStyle w:val="Hyperlink"/>
          </w:rPr>
          <w:t>https://researchbriefings.files.parliament.uk/documents/CBP-9195/CBP-9195.pdf</w:t>
        </w:r>
      </w:hyperlink>
    </w:p>
    <w:p w14:paraId="0D1B04F3" w14:textId="77777777" w:rsidR="00CD1602" w:rsidRDefault="00CD1602" w:rsidP="003A68DD">
      <w:pPr>
        <w:pStyle w:val="NormalWeb"/>
        <w:rPr>
          <w:color w:val="000000"/>
        </w:rPr>
      </w:pPr>
      <w:r w:rsidRPr="00D966B4">
        <w:rPr>
          <w:color w:val="000000"/>
        </w:rPr>
        <w:t xml:space="preserve">Bornstein, M.H., &amp; Bradley, </w:t>
      </w:r>
      <w:proofErr w:type="spellStart"/>
      <w:r w:rsidRPr="00D966B4">
        <w:rPr>
          <w:color w:val="000000"/>
        </w:rPr>
        <w:t>R.H</w:t>
      </w:r>
      <w:proofErr w:type="spellEnd"/>
      <w:r w:rsidRPr="00D966B4">
        <w:rPr>
          <w:color w:val="000000"/>
        </w:rPr>
        <w:t xml:space="preserve">. (Eds.). (2002). Socioeconomic Status, Parenting, and Child Development (1st ed.). Routledge. </w:t>
      </w:r>
      <w:hyperlink r:id="rId17" w:history="1">
        <w:r w:rsidRPr="007E45CC">
          <w:rPr>
            <w:rStyle w:val="Hyperlink"/>
          </w:rPr>
          <w:t>https://doi.org/10.4324/9781410607027</w:t>
        </w:r>
      </w:hyperlink>
    </w:p>
    <w:p w14:paraId="6099A023" w14:textId="77777777" w:rsidR="00CD1602" w:rsidRDefault="00CD1602" w:rsidP="00F24A2E">
      <w:pPr>
        <w:pStyle w:val="NormalWeb"/>
        <w:rPr>
          <w:color w:val="000000"/>
        </w:rPr>
      </w:pPr>
      <w:r w:rsidRPr="00441F20">
        <w:rPr>
          <w:color w:val="000000"/>
        </w:rPr>
        <w:t xml:space="preserve">Brese, F., &amp; </w:t>
      </w:r>
      <w:proofErr w:type="spellStart"/>
      <w:r w:rsidRPr="00441F20">
        <w:rPr>
          <w:color w:val="000000"/>
        </w:rPr>
        <w:t>Mirazchiyski</w:t>
      </w:r>
      <w:proofErr w:type="spellEnd"/>
      <w:r w:rsidRPr="00441F20">
        <w:rPr>
          <w:color w:val="000000"/>
        </w:rPr>
        <w:t>, P. (2013). Measuring students’ family background in large-scale international education studies. Issues and Methodologies in Large Scale Assessments; Special, 2.</w:t>
      </w:r>
    </w:p>
    <w:p w14:paraId="00A151F5" w14:textId="77777777" w:rsidR="00CD1602" w:rsidRDefault="00CD1602" w:rsidP="003A68DD">
      <w:pPr>
        <w:pStyle w:val="NormalWeb"/>
        <w:spacing w:before="0" w:beforeAutospacing="0" w:after="0" w:afterAutospacing="0" w:line="480" w:lineRule="atLeast"/>
        <w:ind w:left="600" w:hanging="600"/>
        <w:rPr>
          <w:color w:val="000000"/>
        </w:rPr>
      </w:pPr>
      <w:r>
        <w:rPr>
          <w:color w:val="000000"/>
        </w:rPr>
        <w:t xml:space="preserve">‌Britton, J., Dias, M., &amp; Goll, D. </w:t>
      </w:r>
      <w:r w:rsidRPr="00441F20">
        <w:rPr>
          <w:color w:val="FF0000"/>
        </w:rPr>
        <w:t>(n.d.). </w:t>
      </w:r>
      <w:r>
        <w:rPr>
          <w:i/>
          <w:iCs/>
          <w:color w:val="000000"/>
        </w:rPr>
        <w:t>Working paper Can higher education policy boost intergenerational mobility? Evidence from an empirical matching model</w:t>
      </w:r>
      <w:r>
        <w:rPr>
          <w:color w:val="000000"/>
        </w:rPr>
        <w:t xml:space="preserve">. </w:t>
      </w:r>
      <w:hyperlink r:id="rId18" w:history="1">
        <w:r w:rsidRPr="007E45CC">
          <w:rPr>
            <w:rStyle w:val="Hyperlink"/>
          </w:rPr>
          <w:t>https://ifs.org.uk/sites/default/files/2023-01/WP202306-Can-higher-education-policy-boost-intergenerational-mobility-evidence-from-an-empirical-matching-model.pdf</w:t>
        </w:r>
      </w:hyperlink>
    </w:p>
    <w:p w14:paraId="47D1E56B" w14:textId="77777777" w:rsidR="00CD1602" w:rsidRDefault="00CD1602" w:rsidP="00441F20">
      <w:pPr>
        <w:pStyle w:val="NormalWeb"/>
        <w:spacing w:before="0" w:beforeAutospacing="0" w:after="0" w:afterAutospacing="0" w:line="480" w:lineRule="atLeast"/>
        <w:ind w:left="600" w:hanging="600"/>
        <w:rPr>
          <w:color w:val="000000"/>
        </w:rPr>
      </w:pPr>
      <w:r>
        <w:rPr>
          <w:color w:val="000000"/>
        </w:rPr>
        <w:t>Broer, M., Bai, Y., &amp; Fonseca, F. (2019). Socioeconomic Inequality and Educational Outcomes: An Introduction. </w:t>
      </w:r>
      <w:r>
        <w:rPr>
          <w:i/>
          <w:iCs/>
          <w:color w:val="000000"/>
        </w:rPr>
        <w:t>IEA Research for Education</w:t>
      </w:r>
      <w:r>
        <w:rPr>
          <w:color w:val="000000"/>
        </w:rPr>
        <w:t>, </w:t>
      </w:r>
      <w:r>
        <w:rPr>
          <w:i/>
          <w:iCs/>
          <w:color w:val="000000"/>
        </w:rPr>
        <w:t>5</w:t>
      </w:r>
      <w:r>
        <w:rPr>
          <w:color w:val="000000"/>
        </w:rPr>
        <w:t xml:space="preserve">, 1–6. </w:t>
      </w:r>
      <w:hyperlink r:id="rId19" w:history="1">
        <w:r w:rsidRPr="007E45CC">
          <w:rPr>
            <w:rStyle w:val="Hyperlink"/>
          </w:rPr>
          <w:t>https://doi.org/10.1007/978-3-030-11991-1_1</w:t>
        </w:r>
      </w:hyperlink>
    </w:p>
    <w:p w14:paraId="5A5B034D" w14:textId="77777777" w:rsidR="00CD1602" w:rsidRDefault="00CD1602" w:rsidP="00441F20">
      <w:pPr>
        <w:pStyle w:val="NormalWeb"/>
        <w:rPr>
          <w:color w:val="000000"/>
        </w:rPr>
      </w:pPr>
      <w:r w:rsidRPr="002A2153">
        <w:rPr>
          <w:color w:val="000000"/>
        </w:rPr>
        <w:t xml:space="preserve">Broer, M., Bai, Y., Fonseca, F. (2019). A Review of the Literature on Socioeconomic Status and Educational Achievement. In: </w:t>
      </w:r>
      <w:r w:rsidRPr="00441F20">
        <w:rPr>
          <w:i/>
          <w:iCs/>
          <w:color w:val="000000"/>
        </w:rPr>
        <w:t>Socioeconomic Inequality and Educational Outcomes. IEA Research for Education, 5</w:t>
      </w:r>
      <w:r w:rsidRPr="002A2153">
        <w:rPr>
          <w:color w:val="000000"/>
        </w:rPr>
        <w:t xml:space="preserve">. Springer, Cham. </w:t>
      </w:r>
      <w:hyperlink r:id="rId20" w:history="1">
        <w:r w:rsidRPr="007E45CC">
          <w:rPr>
            <w:rStyle w:val="Hyperlink"/>
          </w:rPr>
          <w:t>https://doi.org/10.1007/978-3-030-11991-1_2</w:t>
        </w:r>
      </w:hyperlink>
    </w:p>
    <w:p w14:paraId="709A8693" w14:textId="77777777" w:rsidR="00CD1602" w:rsidRDefault="00CD1602" w:rsidP="003A68DD">
      <w:pPr>
        <w:pStyle w:val="NormalWeb"/>
        <w:spacing w:before="0" w:beforeAutospacing="0" w:after="0" w:afterAutospacing="0" w:line="480" w:lineRule="atLeast"/>
        <w:ind w:left="600" w:hanging="600"/>
        <w:rPr>
          <w:color w:val="000000"/>
        </w:rPr>
      </w:pPr>
      <w:r>
        <w:rPr>
          <w:color w:val="000000"/>
        </w:rPr>
        <w:t>‌Chetty, R., Friedman, J. N., Saez, E., Turner, N., &amp; Yagan, D. (2020). Income Segregation and Intergenerational Mobility Across Colleges in the United States*. </w:t>
      </w:r>
      <w:r>
        <w:rPr>
          <w:i/>
          <w:iCs/>
          <w:color w:val="000000"/>
        </w:rPr>
        <w:t>The Quarterly Journal of Economics</w:t>
      </w:r>
      <w:r>
        <w:rPr>
          <w:color w:val="000000"/>
        </w:rPr>
        <w:t>, </w:t>
      </w:r>
      <w:r>
        <w:rPr>
          <w:i/>
          <w:iCs/>
          <w:color w:val="000000"/>
        </w:rPr>
        <w:t>135</w:t>
      </w:r>
      <w:r>
        <w:rPr>
          <w:color w:val="000000"/>
        </w:rPr>
        <w:t xml:space="preserve">(3), 1567–1633. </w:t>
      </w:r>
      <w:hyperlink r:id="rId21" w:history="1">
        <w:r w:rsidRPr="007E45CC">
          <w:rPr>
            <w:rStyle w:val="Hyperlink"/>
          </w:rPr>
          <w:t>https://doi.org/10.1093/qje/qjaa005</w:t>
        </w:r>
      </w:hyperlink>
    </w:p>
    <w:p w14:paraId="3E6CBC4F" w14:textId="77777777" w:rsidR="00CD1602" w:rsidRDefault="00CD1602" w:rsidP="003A68DD">
      <w:pPr>
        <w:pStyle w:val="NormalWeb"/>
        <w:spacing w:before="0" w:beforeAutospacing="0" w:after="0" w:afterAutospacing="0" w:line="480" w:lineRule="atLeast"/>
        <w:ind w:left="600" w:hanging="600"/>
        <w:rPr>
          <w:color w:val="000000"/>
        </w:rPr>
      </w:pPr>
    </w:p>
    <w:p w14:paraId="73299AED" w14:textId="77777777" w:rsidR="00CD1602" w:rsidRDefault="00CD1602" w:rsidP="006B3822">
      <w:pPr>
        <w:pStyle w:val="NormalWeb"/>
        <w:spacing w:before="0" w:beforeAutospacing="0" w:after="0" w:afterAutospacing="0" w:line="480" w:lineRule="atLeast"/>
        <w:ind w:left="600" w:hanging="600"/>
        <w:rPr>
          <w:color w:val="000000"/>
        </w:rPr>
      </w:pPr>
      <w:proofErr w:type="spellStart"/>
      <w:r>
        <w:rPr>
          <w:color w:val="000000"/>
        </w:rPr>
        <w:t>Choondiyanil</w:t>
      </w:r>
      <w:proofErr w:type="spellEnd"/>
      <w:r>
        <w:rPr>
          <w:color w:val="000000"/>
        </w:rPr>
        <w:t xml:space="preserve">, A. (2024) </w:t>
      </w:r>
      <w:r>
        <w:rPr>
          <w:i/>
          <w:iCs/>
          <w:color w:val="000000"/>
        </w:rPr>
        <w:t>Wealth and health inequality in the elderly: a narrative review of the challenges in an ageing UK population</w:t>
      </w:r>
      <w:r>
        <w:rPr>
          <w:color w:val="000000"/>
        </w:rPr>
        <w:t xml:space="preserve">. ResearchGate; unknown. </w:t>
      </w:r>
      <w:hyperlink r:id="rId22" w:history="1">
        <w:r w:rsidRPr="007E45CC">
          <w:rPr>
            <w:rStyle w:val="Hyperlink"/>
          </w:rPr>
          <w:t>https://www.researchgate.net/publication/383409318_Wealth_and_health_inequality_in_the_elderly_a_narrative_review_of_the_challenges_in_an_ageing_UK_population</w:t>
        </w:r>
      </w:hyperlink>
    </w:p>
    <w:p w14:paraId="0C19AC49" w14:textId="77777777" w:rsidR="00CD1602" w:rsidRDefault="00CD1602" w:rsidP="006B3822">
      <w:pPr>
        <w:pStyle w:val="NormalWeb"/>
        <w:spacing w:before="0" w:beforeAutospacing="0" w:after="0" w:afterAutospacing="0" w:line="480" w:lineRule="atLeast"/>
        <w:ind w:left="600" w:hanging="600"/>
        <w:rPr>
          <w:color w:val="000000"/>
        </w:rPr>
      </w:pPr>
    </w:p>
    <w:p w14:paraId="1E297B19" w14:textId="77777777" w:rsidR="00CD1602" w:rsidRDefault="00CD1602" w:rsidP="008B3F9D">
      <w:pPr>
        <w:pStyle w:val="NormalWeb"/>
        <w:spacing w:before="0" w:beforeAutospacing="0" w:after="0" w:afterAutospacing="0" w:line="480" w:lineRule="atLeast"/>
        <w:ind w:left="600" w:hanging="600"/>
        <w:rPr>
          <w:color w:val="FF0000"/>
        </w:rPr>
      </w:pPr>
      <w:r>
        <w:rPr>
          <w:color w:val="000000"/>
        </w:rPr>
        <w:t>‌Crawford, C. (2014). </w:t>
      </w:r>
      <w:r>
        <w:rPr>
          <w:i/>
          <w:iCs/>
          <w:color w:val="000000"/>
        </w:rPr>
        <w:t>Socio-economic differences in university outcomes in the UK: drop-out, degree completion and degree class IFS Working Paper W14/31</w:t>
      </w:r>
      <w:r>
        <w:rPr>
          <w:color w:val="000000"/>
        </w:rPr>
        <w:t xml:space="preserve">. Retrieved January 16, 2025, from </w:t>
      </w:r>
      <w:hyperlink r:id="rId23" w:history="1">
        <w:r w:rsidRPr="0011098E">
          <w:rPr>
            <w:rStyle w:val="Hyperlink"/>
            <w:color w:val="FF0000"/>
          </w:rPr>
          <w:t>https://ifs.org.uk/sites/default/files/output_url_files/WP201431.pdf?utm_source=chatgpt.com</w:t>
        </w:r>
      </w:hyperlink>
    </w:p>
    <w:p w14:paraId="39927852" w14:textId="77777777" w:rsidR="00CD1602" w:rsidRDefault="00CD1602" w:rsidP="008B3F9D">
      <w:pPr>
        <w:pStyle w:val="NormalWeb"/>
        <w:spacing w:before="0" w:beforeAutospacing="0" w:after="0" w:afterAutospacing="0" w:line="480" w:lineRule="atLeast"/>
        <w:ind w:left="600" w:hanging="600"/>
        <w:rPr>
          <w:color w:val="000000"/>
        </w:rPr>
      </w:pPr>
    </w:p>
    <w:p w14:paraId="38643171" w14:textId="77777777" w:rsidR="00CD1602" w:rsidRDefault="00CD1602" w:rsidP="00F24A2E">
      <w:pPr>
        <w:pStyle w:val="NormalWeb"/>
        <w:spacing w:before="0" w:beforeAutospacing="0" w:after="0" w:afterAutospacing="0" w:line="480" w:lineRule="atLeast"/>
        <w:ind w:left="600" w:hanging="600"/>
        <w:rPr>
          <w:color w:val="000000"/>
        </w:rPr>
      </w:pPr>
      <w:r>
        <w:rPr>
          <w:color w:val="000000"/>
        </w:rPr>
        <w:t>Crawford, C., Gregg, P., Macmillan, L., Vignoles, A., &amp; Gill Wyness. (2016). Higher education, career opportunities, and intergenerational inequality. </w:t>
      </w:r>
      <w:r>
        <w:rPr>
          <w:i/>
          <w:iCs/>
          <w:color w:val="000000"/>
        </w:rPr>
        <w:t>Oxford Review of Economic Policy</w:t>
      </w:r>
      <w:r>
        <w:rPr>
          <w:color w:val="000000"/>
        </w:rPr>
        <w:t>, </w:t>
      </w:r>
      <w:r>
        <w:rPr>
          <w:i/>
          <w:iCs/>
          <w:color w:val="000000"/>
        </w:rPr>
        <w:t>32</w:t>
      </w:r>
      <w:r>
        <w:rPr>
          <w:color w:val="000000"/>
        </w:rPr>
        <w:t xml:space="preserve">(4), 553–575. </w:t>
      </w:r>
      <w:hyperlink r:id="rId24" w:history="1">
        <w:r w:rsidRPr="007E45CC">
          <w:rPr>
            <w:rStyle w:val="Hyperlink"/>
          </w:rPr>
          <w:t>https://doi.org/10.1093/oxrep/grw030</w:t>
        </w:r>
      </w:hyperlink>
    </w:p>
    <w:p w14:paraId="76C9A133" w14:textId="77777777" w:rsidR="00CD1602" w:rsidRDefault="00CD1602" w:rsidP="00F24A2E">
      <w:pPr>
        <w:pStyle w:val="NormalWeb"/>
        <w:rPr>
          <w:rFonts w:ascii="Helvetica" w:hAnsi="Helvetica" w:cs="Helvetica"/>
          <w:color w:val="000000"/>
          <w:spacing w:val="-5"/>
          <w:shd w:val="clear" w:color="auto" w:fill="FFFFFF"/>
        </w:rPr>
      </w:pPr>
      <w:r>
        <w:rPr>
          <w:color w:val="000000"/>
        </w:rPr>
        <w:t>‌</w:t>
      </w:r>
      <w:r>
        <w:rPr>
          <w:rFonts w:ascii="Helvetica" w:hAnsi="Helvetica" w:cs="Helvetica"/>
          <w:color w:val="000000"/>
          <w:spacing w:val="-5"/>
          <w:shd w:val="clear" w:color="auto" w:fill="FFFFFF"/>
        </w:rPr>
        <w:t xml:space="preserve">Devlin, M., &amp; McKay, J. (2014). </w:t>
      </w:r>
      <w:r w:rsidRPr="00102C87">
        <w:rPr>
          <w:rFonts w:ascii="Helvetica" w:hAnsi="Helvetica" w:cs="Helvetica"/>
          <w:i/>
          <w:iCs/>
          <w:color w:val="000000"/>
          <w:spacing w:val="-5"/>
          <w:shd w:val="clear" w:color="auto" w:fill="FFFFFF"/>
        </w:rPr>
        <w:t>Reframing ‘the problem’: students from low socio-economic status backgrounds transitioning to university</w:t>
      </w:r>
      <w:r>
        <w:rPr>
          <w:rFonts w:ascii="Helvetica" w:hAnsi="Helvetica" w:cs="Helvetica"/>
          <w:color w:val="000000"/>
          <w:spacing w:val="-5"/>
          <w:shd w:val="clear" w:color="auto" w:fill="FFFFFF"/>
        </w:rPr>
        <w:t xml:space="preserve">. In H. Brook, D. Fergie, M. </w:t>
      </w:r>
      <w:proofErr w:type="spellStart"/>
      <w:r>
        <w:rPr>
          <w:rFonts w:ascii="Helvetica" w:hAnsi="Helvetica" w:cs="Helvetica"/>
          <w:color w:val="000000"/>
          <w:spacing w:val="-5"/>
          <w:shd w:val="clear" w:color="auto" w:fill="FFFFFF"/>
        </w:rPr>
        <w:t>Maeorg</w:t>
      </w:r>
      <w:proofErr w:type="spellEnd"/>
      <w:r>
        <w:rPr>
          <w:rFonts w:ascii="Helvetica" w:hAnsi="Helvetica" w:cs="Helvetica"/>
          <w:color w:val="000000"/>
          <w:spacing w:val="-5"/>
          <w:shd w:val="clear" w:color="auto" w:fill="FFFFFF"/>
        </w:rPr>
        <w:t>, &amp; D. Michell (Eds.), </w:t>
      </w:r>
      <w:r>
        <w:rPr>
          <w:rFonts w:ascii="Helvetica" w:hAnsi="Helvetica" w:cs="Helvetica"/>
          <w:i/>
          <w:iCs/>
          <w:color w:val="000000"/>
          <w:spacing w:val="-5"/>
          <w:shd w:val="clear" w:color="auto" w:fill="FFFFFF"/>
        </w:rPr>
        <w:t xml:space="preserve">Universities in Transition: Foregrounding Social Contexts of </w:t>
      </w:r>
      <w:r>
        <w:rPr>
          <w:rFonts w:ascii="Helvetica" w:hAnsi="Helvetica" w:cs="Helvetica"/>
          <w:i/>
          <w:iCs/>
          <w:color w:val="000000"/>
          <w:spacing w:val="-5"/>
          <w:shd w:val="clear" w:color="auto" w:fill="FFFFFF"/>
        </w:rPr>
        <w:lastRenderedPageBreak/>
        <w:t>Knowledge in the First Year Experience</w:t>
      </w:r>
      <w:r>
        <w:rPr>
          <w:rFonts w:ascii="Helvetica" w:hAnsi="Helvetica" w:cs="Helvetica"/>
          <w:color w:val="000000"/>
          <w:spacing w:val="-5"/>
          <w:shd w:val="clear" w:color="auto" w:fill="FFFFFF"/>
        </w:rPr>
        <w:t xml:space="preserve"> (pp. 97–126). University of Adelaide Press. </w:t>
      </w:r>
      <w:hyperlink r:id="rId25" w:history="1">
        <w:r w:rsidRPr="007E45CC">
          <w:rPr>
            <w:rStyle w:val="Hyperlink"/>
            <w:rFonts w:ascii="Helvetica" w:hAnsi="Helvetica" w:cs="Helvetica"/>
            <w:spacing w:val="-5"/>
            <w:shd w:val="clear" w:color="auto" w:fill="FFFFFF"/>
          </w:rPr>
          <w:t>http://www.jstor.org/stable/10.20851/j.ctt1t304xh.8</w:t>
        </w:r>
      </w:hyperlink>
    </w:p>
    <w:p w14:paraId="303A29F9" w14:textId="77777777" w:rsidR="00CD1602" w:rsidRDefault="00CD1602" w:rsidP="00C71B3C">
      <w:pPr>
        <w:pStyle w:val="NormalWeb"/>
        <w:spacing w:before="0" w:beforeAutospacing="0" w:after="0" w:afterAutospacing="0" w:line="480" w:lineRule="atLeast"/>
        <w:ind w:left="600" w:hanging="600"/>
        <w:rPr>
          <w:color w:val="000000"/>
        </w:rPr>
      </w:pPr>
      <w:r>
        <w:rPr>
          <w:color w:val="000000"/>
        </w:rPr>
        <w:t>Early, E., Miller, S., Dunne, L., Thurston, A., &amp; Mehmet Filiz. (2019). The influence of socio‐economic background and gender on school attainment in the United Kingdom: A systematic review. </w:t>
      </w:r>
      <w:r>
        <w:rPr>
          <w:i/>
          <w:iCs/>
          <w:color w:val="000000"/>
        </w:rPr>
        <w:t>Review of Education</w:t>
      </w:r>
      <w:r>
        <w:rPr>
          <w:color w:val="000000"/>
        </w:rPr>
        <w:t>, </w:t>
      </w:r>
      <w:r>
        <w:rPr>
          <w:i/>
          <w:iCs/>
          <w:color w:val="000000"/>
        </w:rPr>
        <w:t>8</w:t>
      </w:r>
      <w:r>
        <w:rPr>
          <w:color w:val="000000"/>
        </w:rPr>
        <w:t xml:space="preserve">(1), 120–152. </w:t>
      </w:r>
      <w:hyperlink r:id="rId26" w:history="1">
        <w:r w:rsidRPr="007E45CC">
          <w:rPr>
            <w:rStyle w:val="Hyperlink"/>
          </w:rPr>
          <w:t>https://doi.org/10.1002/rev3.3175</w:t>
        </w:r>
      </w:hyperlink>
    </w:p>
    <w:p w14:paraId="42690674" w14:textId="77777777" w:rsidR="00CD1602" w:rsidRDefault="00CD1602" w:rsidP="00DA1224">
      <w:pPr>
        <w:pStyle w:val="NormalWeb"/>
        <w:rPr>
          <w:color w:val="000000"/>
        </w:rPr>
      </w:pPr>
      <w:r>
        <w:rPr>
          <w:color w:val="000000"/>
        </w:rPr>
        <w:t>‌</w:t>
      </w:r>
      <w:r w:rsidRPr="00DA1224">
        <w:rPr>
          <w:color w:val="000000"/>
        </w:rPr>
        <w:t>Easterby-Smith, M. Thorpe, R. and Jackson, P.R. (2008) Management research. 3rd edition. CA: Sage, Thousand Oaks.</w:t>
      </w:r>
    </w:p>
    <w:p w14:paraId="5229778A" w14:textId="77777777" w:rsidR="00CD1602" w:rsidRDefault="00CD1602" w:rsidP="008B3F9D">
      <w:pPr>
        <w:pStyle w:val="NormalWeb"/>
        <w:spacing w:before="0" w:beforeAutospacing="0" w:after="0" w:afterAutospacing="0" w:line="480" w:lineRule="atLeast"/>
        <w:ind w:left="600" w:hanging="600"/>
        <w:rPr>
          <w:color w:val="000000"/>
        </w:rPr>
      </w:pPr>
      <w:r>
        <w:rPr>
          <w:color w:val="000000"/>
        </w:rPr>
        <w:t xml:space="preserve">‌Galindo-Rueda, F., </w:t>
      </w:r>
      <w:proofErr w:type="spellStart"/>
      <w:r>
        <w:rPr>
          <w:color w:val="000000"/>
        </w:rPr>
        <w:t>Marcenaro</w:t>
      </w:r>
      <w:proofErr w:type="spellEnd"/>
      <w:r>
        <w:rPr>
          <w:color w:val="000000"/>
        </w:rPr>
        <w:t>-Gutierrez, O., &amp; Vignoles, A. (2004). The Widening Socio-Economic Gap in UK Higher Education. </w:t>
      </w:r>
      <w:r>
        <w:rPr>
          <w:i/>
          <w:iCs/>
          <w:color w:val="000000"/>
        </w:rPr>
        <w:t>National Institute Economic Review</w:t>
      </w:r>
      <w:r>
        <w:rPr>
          <w:color w:val="000000"/>
        </w:rPr>
        <w:t>, </w:t>
      </w:r>
      <w:r>
        <w:rPr>
          <w:i/>
          <w:iCs/>
          <w:color w:val="000000"/>
        </w:rPr>
        <w:t>190</w:t>
      </w:r>
      <w:r>
        <w:rPr>
          <w:color w:val="000000"/>
        </w:rPr>
        <w:t xml:space="preserve">, 75–88. </w:t>
      </w:r>
      <w:hyperlink r:id="rId27" w:history="1">
        <w:r w:rsidRPr="007E45CC">
          <w:rPr>
            <w:rStyle w:val="Hyperlink"/>
          </w:rPr>
          <w:t>https://doi.org/10.1177/002795010419000108</w:t>
        </w:r>
      </w:hyperlink>
    </w:p>
    <w:p w14:paraId="2C53E4F0" w14:textId="77777777" w:rsidR="00CD1602" w:rsidRDefault="00CD1602" w:rsidP="008B3F9D">
      <w:pPr>
        <w:pStyle w:val="NormalWeb"/>
        <w:spacing w:before="0" w:beforeAutospacing="0" w:after="0" w:afterAutospacing="0" w:line="480" w:lineRule="atLeast"/>
        <w:ind w:left="600" w:hanging="600"/>
        <w:rPr>
          <w:color w:val="000000"/>
        </w:rPr>
      </w:pPr>
    </w:p>
    <w:p w14:paraId="1BDBDC73" w14:textId="77777777" w:rsidR="00CD1602" w:rsidRDefault="00CD1602" w:rsidP="00C71B3C">
      <w:pPr>
        <w:pStyle w:val="NormalWeb"/>
        <w:spacing w:before="0" w:beforeAutospacing="0" w:after="0" w:afterAutospacing="0" w:line="480" w:lineRule="atLeast"/>
        <w:ind w:left="600" w:hanging="600"/>
        <w:rPr>
          <w:color w:val="000000"/>
        </w:rPr>
      </w:pPr>
      <w:r w:rsidRPr="00C71B3C">
        <w:rPr>
          <w:color w:val="000000"/>
        </w:rPr>
        <w:t>GOV.UK. (2024</w:t>
      </w:r>
      <w:r w:rsidRPr="00C71B3C">
        <w:rPr>
          <w:i/>
          <w:iCs/>
          <w:color w:val="000000"/>
        </w:rPr>
        <w:t>)</w:t>
      </w:r>
      <w:r>
        <w:rPr>
          <w:i/>
          <w:iCs/>
          <w:color w:val="000000"/>
        </w:rPr>
        <w:t xml:space="preserve">. Income returns to education - Social Mobility Commission State of the Nation </w:t>
      </w:r>
      <w:proofErr w:type="gramStart"/>
      <w:r>
        <w:rPr>
          <w:i/>
          <w:iCs/>
          <w:color w:val="000000"/>
        </w:rPr>
        <w:t xml:space="preserve">- </w:t>
      </w:r>
      <w:r>
        <w:rPr>
          <w:color w:val="000000"/>
        </w:rPr>
        <w:t>.</w:t>
      </w:r>
      <w:proofErr w:type="gramEnd"/>
      <w:r>
        <w:rPr>
          <w:color w:val="000000"/>
        </w:rPr>
        <w:t xml:space="preserve"> Data.gov.uk. </w:t>
      </w:r>
      <w:hyperlink r:id="rId28" w:history="1">
        <w:r w:rsidRPr="007E45CC">
          <w:rPr>
            <w:rStyle w:val="Hyperlink"/>
          </w:rPr>
          <w:t>https://social-mobility.data.gov.uk/intermediate_outcomes/work_in_early_adulthood_(25_to_29_years)/income_returns_to_education/latest</w:t>
        </w:r>
      </w:hyperlink>
    </w:p>
    <w:p w14:paraId="11A06AA3" w14:textId="77777777" w:rsidR="00CD1602" w:rsidRDefault="00CD1602" w:rsidP="00C71B3C">
      <w:pPr>
        <w:pStyle w:val="NormalWeb"/>
        <w:spacing w:before="0" w:beforeAutospacing="0" w:after="0" w:afterAutospacing="0" w:line="480" w:lineRule="atLeast"/>
        <w:ind w:left="600" w:hanging="600"/>
        <w:rPr>
          <w:color w:val="000000"/>
        </w:rPr>
      </w:pPr>
    </w:p>
    <w:p w14:paraId="5CA4F028" w14:textId="77777777" w:rsidR="00CD1602" w:rsidRDefault="00CD1602" w:rsidP="00DE6C52">
      <w:pPr>
        <w:pStyle w:val="NormalWeb"/>
        <w:rPr>
          <w:color w:val="000000"/>
        </w:rPr>
      </w:pPr>
      <w:r>
        <w:rPr>
          <w:color w:val="000000"/>
        </w:rPr>
        <w:t>‌</w:t>
      </w:r>
      <w:r w:rsidRPr="00DE6C52">
        <w:rPr>
          <w:color w:val="000000"/>
        </w:rPr>
        <w:t xml:space="preserve">Guba, E.G., and Lincoln, </w:t>
      </w:r>
      <w:proofErr w:type="spellStart"/>
      <w:r w:rsidRPr="00DE6C52">
        <w:rPr>
          <w:color w:val="000000"/>
        </w:rPr>
        <w:t>Y.S</w:t>
      </w:r>
      <w:proofErr w:type="spellEnd"/>
      <w:r w:rsidRPr="00DE6C52">
        <w:rPr>
          <w:color w:val="000000"/>
        </w:rPr>
        <w:t xml:space="preserve">. (1998) Competing Paradigms in Qualitative research. In Denzin, N.K. and Lincoln, </w:t>
      </w:r>
      <w:proofErr w:type="spellStart"/>
      <w:r w:rsidRPr="00DE6C52">
        <w:rPr>
          <w:color w:val="000000"/>
        </w:rPr>
        <w:t>Y.S</w:t>
      </w:r>
      <w:proofErr w:type="spellEnd"/>
      <w:r w:rsidRPr="00DE6C52">
        <w:rPr>
          <w:color w:val="000000"/>
        </w:rPr>
        <w:t>. (Eds). The</w:t>
      </w:r>
      <w:r>
        <w:rPr>
          <w:color w:val="000000"/>
        </w:rPr>
        <w:t xml:space="preserve"> </w:t>
      </w:r>
      <w:r w:rsidRPr="00DE6C52">
        <w:rPr>
          <w:color w:val="000000"/>
        </w:rPr>
        <w:t>landscape of Qualitative Research. CA: Sage, Thousand Oaks</w:t>
      </w:r>
    </w:p>
    <w:p w14:paraId="543A81C0" w14:textId="77777777" w:rsidR="00CD1602" w:rsidRDefault="00CD1602" w:rsidP="00DE6C52">
      <w:pPr>
        <w:pStyle w:val="NormalWeb"/>
        <w:rPr>
          <w:color w:val="000000"/>
        </w:rPr>
      </w:pPr>
    </w:p>
    <w:p w14:paraId="3E9E1A34" w14:textId="77777777" w:rsidR="00CD1602" w:rsidRDefault="00CD1602" w:rsidP="00D06416">
      <w:pPr>
        <w:pStyle w:val="NormalWeb"/>
        <w:rPr>
          <w:color w:val="000000"/>
        </w:rPr>
      </w:pPr>
      <w:r w:rsidRPr="001C475E">
        <w:rPr>
          <w:color w:val="000000"/>
        </w:rPr>
        <w:t xml:space="preserve">Hall, P. A. (2003). Aligning ontology and methodology in comparative research. Comparative historical analysis in the social sciences, </w:t>
      </w:r>
      <w:r>
        <w:rPr>
          <w:color w:val="000000"/>
        </w:rPr>
        <w:t>p.</w:t>
      </w:r>
      <w:r w:rsidRPr="001C475E">
        <w:rPr>
          <w:color w:val="000000"/>
        </w:rPr>
        <w:t>374.</w:t>
      </w:r>
    </w:p>
    <w:p w14:paraId="52601767" w14:textId="77777777" w:rsidR="00CD1602" w:rsidRDefault="00CD1602" w:rsidP="00F32DCD">
      <w:pPr>
        <w:pStyle w:val="NormalWeb"/>
        <w:spacing w:before="0" w:beforeAutospacing="0" w:after="0" w:afterAutospacing="0" w:line="480" w:lineRule="atLeast"/>
        <w:ind w:left="600" w:hanging="600"/>
        <w:rPr>
          <w:color w:val="000000"/>
        </w:rPr>
      </w:pPr>
      <w:r>
        <w:rPr>
          <w:color w:val="000000"/>
        </w:rPr>
        <w:t>Hannon, C., Faas, D., &amp; O’Sullivan, K. (2017). Widening the educational capabilities of socio-economically disadvantaged students through a model of social and cultural capital development. </w:t>
      </w:r>
      <w:r>
        <w:rPr>
          <w:i/>
          <w:iCs/>
          <w:color w:val="000000"/>
        </w:rPr>
        <w:t>British Educational Research Journal</w:t>
      </w:r>
      <w:r>
        <w:rPr>
          <w:color w:val="000000"/>
        </w:rPr>
        <w:t>, </w:t>
      </w:r>
      <w:r>
        <w:rPr>
          <w:i/>
          <w:iCs/>
          <w:color w:val="000000"/>
        </w:rPr>
        <w:t>43</w:t>
      </w:r>
      <w:r>
        <w:rPr>
          <w:color w:val="000000"/>
        </w:rPr>
        <w:t xml:space="preserve">(6), 1225–1245. </w:t>
      </w:r>
      <w:hyperlink r:id="rId29" w:history="1">
        <w:r w:rsidRPr="007E45CC">
          <w:rPr>
            <w:rStyle w:val="Hyperlink"/>
          </w:rPr>
          <w:t>https://doi.org/10.1002/berj.3309</w:t>
        </w:r>
      </w:hyperlink>
    </w:p>
    <w:p w14:paraId="7F4761D6" w14:textId="77777777" w:rsidR="00CD1602" w:rsidRDefault="00CD1602" w:rsidP="00F32DCD">
      <w:pPr>
        <w:pStyle w:val="NormalWeb"/>
        <w:spacing w:before="0" w:beforeAutospacing="0" w:after="0" w:afterAutospacing="0" w:line="480" w:lineRule="atLeast"/>
        <w:ind w:left="600" w:hanging="600"/>
        <w:rPr>
          <w:color w:val="000000"/>
        </w:rPr>
      </w:pPr>
    </w:p>
    <w:p w14:paraId="4B6EB471" w14:textId="77777777" w:rsidR="00CD1602" w:rsidRDefault="00CD1602" w:rsidP="00932E3B">
      <w:pPr>
        <w:pStyle w:val="NormalWeb"/>
        <w:spacing w:before="0" w:beforeAutospacing="0" w:after="0" w:afterAutospacing="0" w:line="480" w:lineRule="atLeast"/>
        <w:ind w:left="600" w:hanging="600"/>
        <w:rPr>
          <w:color w:val="000000"/>
        </w:rPr>
      </w:pPr>
      <w:r w:rsidRPr="0047465B">
        <w:rPr>
          <w:color w:val="FF0000"/>
        </w:rPr>
        <w:lastRenderedPageBreak/>
        <w:t xml:space="preserve">Hendrik </w:t>
      </w:r>
      <w:proofErr w:type="spellStart"/>
      <w:r w:rsidRPr="0047465B">
        <w:rPr>
          <w:color w:val="FF0000"/>
        </w:rPr>
        <w:t>Berghaeuser</w:t>
      </w:r>
      <w:proofErr w:type="spellEnd"/>
      <w:r w:rsidRPr="0047465B">
        <w:rPr>
          <w:color w:val="FF0000"/>
        </w:rPr>
        <w:t xml:space="preserve">, </w:t>
      </w:r>
      <w:r>
        <w:rPr>
          <w:color w:val="000000"/>
        </w:rPr>
        <w:t>Prass, M., &amp; Lindner, R. (2024). Researchers’ Practice and Perception of Research Ethics and the Role of Institutional Support: Insights From a pan-European Researcher Survey. </w:t>
      </w:r>
      <w:r>
        <w:rPr>
          <w:i/>
          <w:iCs/>
          <w:color w:val="000000"/>
        </w:rPr>
        <w:t>Journal of Academic Ethics</w:t>
      </w:r>
      <w:r>
        <w:rPr>
          <w:color w:val="000000"/>
        </w:rPr>
        <w:t xml:space="preserve">. </w:t>
      </w:r>
      <w:hyperlink r:id="rId30" w:history="1">
        <w:r w:rsidRPr="007E45CC">
          <w:rPr>
            <w:rStyle w:val="Hyperlink"/>
          </w:rPr>
          <w:t>https://doi.org/10.1007/s10805-024-09590-z</w:t>
        </w:r>
      </w:hyperlink>
    </w:p>
    <w:p w14:paraId="710D2DB6" w14:textId="77777777" w:rsidR="00CD1602" w:rsidRDefault="00CD1602" w:rsidP="008B3F9D">
      <w:pPr>
        <w:pStyle w:val="NormalWeb"/>
      </w:pPr>
      <w:r>
        <w:rPr>
          <w:color w:val="000000"/>
        </w:rPr>
        <w:t>‌</w:t>
      </w:r>
      <w:proofErr w:type="spellStart"/>
      <w:r>
        <w:t>HESA</w:t>
      </w:r>
      <w:proofErr w:type="spellEnd"/>
      <w:r>
        <w:t xml:space="preserve">. (2023). </w:t>
      </w:r>
      <w:r>
        <w:rPr>
          <w:rStyle w:val="Emphasis"/>
          <w:rFonts w:eastAsiaTheme="majorEastAsia"/>
        </w:rPr>
        <w:t>Degree attainment by socioeconomic background: UK, 2017/18 to 2020/21</w:t>
      </w:r>
      <w:r>
        <w:t xml:space="preserve">. Higher Education Statistics Agency. Retrieved from </w:t>
      </w:r>
      <w:hyperlink r:id="rId31" w:history="1">
        <w:r w:rsidRPr="007E45CC">
          <w:rPr>
            <w:rStyle w:val="Hyperlink"/>
          </w:rPr>
          <w:t>https://www.hesa.ac.uk/news/18-04-2023/ah2304-degree-attainment-socioeconomic-background</w:t>
        </w:r>
      </w:hyperlink>
    </w:p>
    <w:p w14:paraId="219F9714" w14:textId="77777777" w:rsidR="00CD1602" w:rsidRDefault="00CD1602" w:rsidP="003A68DD">
      <w:pPr>
        <w:pStyle w:val="NormalWeb"/>
        <w:rPr>
          <w:color w:val="000000"/>
        </w:rPr>
      </w:pPr>
      <w:r w:rsidRPr="00376B47">
        <w:rPr>
          <w:color w:val="000000"/>
        </w:rPr>
        <w:t>IFS. (2022, September 13). The UK education system preserves inequality</w:t>
      </w:r>
      <w:r>
        <w:rPr>
          <w:color w:val="000000"/>
        </w:rPr>
        <w:t xml:space="preserve">. </w:t>
      </w:r>
      <w:r w:rsidRPr="00376B47">
        <w:rPr>
          <w:color w:val="000000"/>
        </w:rPr>
        <w:t xml:space="preserve">Institute for Fiscal Studies. Retrieved 10 December. 2024, from </w:t>
      </w:r>
      <w:hyperlink r:id="rId32" w:history="1">
        <w:r w:rsidRPr="007E45CC">
          <w:rPr>
            <w:rStyle w:val="Hyperlink"/>
          </w:rPr>
          <w:t>https://ifs.org.uk/articles/uk-education-system-preserves-inequality-new-report</w:t>
        </w:r>
      </w:hyperlink>
      <w:r w:rsidRPr="00376B47">
        <w:rPr>
          <w:color w:val="000000"/>
        </w:rPr>
        <w:t>.</w:t>
      </w:r>
    </w:p>
    <w:p w14:paraId="0273ACC4" w14:textId="77777777" w:rsidR="00CD1602" w:rsidRDefault="00CD1602" w:rsidP="006B3822">
      <w:pPr>
        <w:pStyle w:val="NormalWeb"/>
        <w:spacing w:before="0" w:beforeAutospacing="0" w:after="0" w:afterAutospacing="0" w:line="480" w:lineRule="atLeast"/>
        <w:ind w:left="600" w:hanging="600"/>
        <w:rPr>
          <w:color w:val="000000"/>
        </w:rPr>
      </w:pPr>
      <w:r>
        <w:rPr>
          <w:color w:val="000000"/>
        </w:rPr>
        <w:t xml:space="preserve">‌IFS. (2023). </w:t>
      </w:r>
      <w:r>
        <w:rPr>
          <w:i/>
          <w:iCs/>
          <w:color w:val="000000"/>
        </w:rPr>
        <w:t>Housing quality and affordability for lower-income households | Institute for Fiscal Studies</w:t>
      </w:r>
      <w:r>
        <w:rPr>
          <w:color w:val="000000"/>
        </w:rPr>
        <w:t xml:space="preserve">. Institute for Fiscal Studies. </w:t>
      </w:r>
      <w:hyperlink r:id="rId33" w:history="1">
        <w:r w:rsidRPr="007E45CC">
          <w:rPr>
            <w:rStyle w:val="Hyperlink"/>
          </w:rPr>
          <w:t>https://ifs.org.uk/publications/housing-quality-and-affordability-lower-income-households</w:t>
        </w:r>
      </w:hyperlink>
    </w:p>
    <w:p w14:paraId="4E2FBF5A" w14:textId="77777777" w:rsidR="00CD1602" w:rsidRDefault="00CD1602" w:rsidP="006B3822">
      <w:pPr>
        <w:pStyle w:val="NormalWeb"/>
        <w:spacing w:before="0" w:beforeAutospacing="0" w:after="0" w:afterAutospacing="0" w:line="480" w:lineRule="atLeast"/>
        <w:ind w:left="600" w:hanging="600"/>
        <w:rPr>
          <w:color w:val="000000"/>
        </w:rPr>
      </w:pPr>
    </w:p>
    <w:p w14:paraId="2AB78E28" w14:textId="77777777" w:rsidR="00CD1602" w:rsidRDefault="00CD1602" w:rsidP="00F24A2E">
      <w:pPr>
        <w:pStyle w:val="NormalWeb"/>
        <w:spacing w:before="0" w:beforeAutospacing="0" w:after="0" w:afterAutospacing="0" w:line="480" w:lineRule="atLeast"/>
        <w:ind w:left="600" w:hanging="600"/>
        <w:rPr>
          <w:color w:val="000000"/>
        </w:rPr>
      </w:pPr>
      <w:r>
        <w:rPr>
          <w:color w:val="000000"/>
        </w:rPr>
        <w:t>José Luis Mateos-González, &amp; Wakeling, P. (2021). Exploring socioeconomic inequalities and access to elite postgraduate education among English graduates. </w:t>
      </w:r>
      <w:r>
        <w:rPr>
          <w:i/>
          <w:iCs/>
          <w:color w:val="000000"/>
        </w:rPr>
        <w:t>Higher Education</w:t>
      </w:r>
      <w:r>
        <w:rPr>
          <w:color w:val="000000"/>
        </w:rPr>
        <w:t>, </w:t>
      </w:r>
      <w:r>
        <w:rPr>
          <w:i/>
          <w:iCs/>
          <w:color w:val="000000"/>
        </w:rPr>
        <w:t>83</w:t>
      </w:r>
      <w:r>
        <w:rPr>
          <w:color w:val="000000"/>
        </w:rPr>
        <w:t xml:space="preserve">(3), 673–694. </w:t>
      </w:r>
      <w:hyperlink r:id="rId34" w:history="1">
        <w:r w:rsidRPr="007E45CC">
          <w:rPr>
            <w:rStyle w:val="Hyperlink"/>
          </w:rPr>
          <w:t>https://doi.org/10.1007/s10734-021-00693-9</w:t>
        </w:r>
      </w:hyperlink>
    </w:p>
    <w:p w14:paraId="65F916F8" w14:textId="77777777" w:rsidR="00CD1602" w:rsidRDefault="00CD1602" w:rsidP="00F24A2E">
      <w:pPr>
        <w:pStyle w:val="NormalWeb"/>
        <w:spacing w:before="0" w:beforeAutospacing="0" w:after="0" w:afterAutospacing="0" w:line="480" w:lineRule="atLeast"/>
        <w:ind w:left="600" w:hanging="600"/>
        <w:rPr>
          <w:color w:val="000000"/>
        </w:rPr>
      </w:pPr>
    </w:p>
    <w:p w14:paraId="5ED55BCA" w14:textId="77777777" w:rsidR="00CD1602" w:rsidRDefault="00CD1602" w:rsidP="00DA1224">
      <w:pPr>
        <w:pStyle w:val="NormalWeb"/>
        <w:spacing w:before="0" w:beforeAutospacing="0" w:after="0" w:afterAutospacing="0" w:line="480" w:lineRule="atLeast"/>
        <w:ind w:left="600" w:hanging="600"/>
        <w:rPr>
          <w:color w:val="000000"/>
        </w:rPr>
      </w:pPr>
      <w:r w:rsidRPr="00DA1224">
        <w:rPr>
          <w:color w:val="000000"/>
          <w:lang w:val="pl-PL"/>
        </w:rPr>
        <w:t xml:space="preserve">Kivunja, C., &amp; Kuyini, A. B. (2017). </w:t>
      </w:r>
      <w:r>
        <w:rPr>
          <w:color w:val="000000"/>
        </w:rPr>
        <w:t>Understanding and Applying Research Paradigms in Educational Contexts. </w:t>
      </w:r>
      <w:r>
        <w:rPr>
          <w:i/>
          <w:iCs/>
          <w:color w:val="000000"/>
        </w:rPr>
        <w:t>International Journal of Higher Education</w:t>
      </w:r>
      <w:r>
        <w:rPr>
          <w:color w:val="000000"/>
        </w:rPr>
        <w:t>, </w:t>
      </w:r>
      <w:r>
        <w:rPr>
          <w:i/>
          <w:iCs/>
          <w:color w:val="000000"/>
        </w:rPr>
        <w:t>6</w:t>
      </w:r>
      <w:r>
        <w:rPr>
          <w:color w:val="000000"/>
        </w:rPr>
        <w:t xml:space="preserve">(5), 26–41. </w:t>
      </w:r>
      <w:hyperlink r:id="rId35" w:history="1">
        <w:r w:rsidRPr="007E45CC">
          <w:rPr>
            <w:rStyle w:val="Hyperlink"/>
          </w:rPr>
          <w:t>https://doi.org/10.5430/ijhe.v6n5p26</w:t>
        </w:r>
      </w:hyperlink>
    </w:p>
    <w:p w14:paraId="042C2105" w14:textId="77777777" w:rsidR="00CD1602" w:rsidRDefault="00CD1602" w:rsidP="00DA1224">
      <w:pPr>
        <w:pStyle w:val="NormalWeb"/>
        <w:spacing w:before="0" w:beforeAutospacing="0" w:after="0" w:afterAutospacing="0" w:line="480" w:lineRule="atLeast"/>
        <w:ind w:left="600" w:hanging="600"/>
        <w:rPr>
          <w:color w:val="000000"/>
        </w:rPr>
      </w:pPr>
    </w:p>
    <w:p w14:paraId="3A2F3B43" w14:textId="77777777" w:rsidR="00CD1602" w:rsidRDefault="00CD1602" w:rsidP="00D06416">
      <w:pPr>
        <w:pStyle w:val="NormalWeb"/>
        <w:spacing w:before="0" w:beforeAutospacing="0" w:after="0" w:afterAutospacing="0" w:line="480" w:lineRule="atLeast"/>
        <w:ind w:left="600" w:hanging="600"/>
        <w:rPr>
          <w:color w:val="000000"/>
        </w:rPr>
      </w:pPr>
      <w:r>
        <w:rPr>
          <w:color w:val="000000"/>
        </w:rPr>
        <w:t>‌Li, Y., Savage, M., &amp; Warde, A. (2008). Social mobility and social capital in contemporary Britain. </w:t>
      </w:r>
      <w:r>
        <w:rPr>
          <w:i/>
          <w:iCs/>
          <w:color w:val="000000"/>
        </w:rPr>
        <w:t>British Journal of Sociology</w:t>
      </w:r>
      <w:r>
        <w:rPr>
          <w:color w:val="000000"/>
        </w:rPr>
        <w:t>, </w:t>
      </w:r>
      <w:r>
        <w:rPr>
          <w:i/>
          <w:iCs/>
          <w:color w:val="000000"/>
        </w:rPr>
        <w:t>59</w:t>
      </w:r>
      <w:r>
        <w:rPr>
          <w:color w:val="000000"/>
        </w:rPr>
        <w:t xml:space="preserve">(3), 391–411. </w:t>
      </w:r>
      <w:hyperlink r:id="rId36" w:history="1">
        <w:r w:rsidRPr="007E45CC">
          <w:rPr>
            <w:rStyle w:val="Hyperlink"/>
          </w:rPr>
          <w:t>https://doi.org/10.1111/j.1468-4446.2008.00200.x</w:t>
        </w:r>
      </w:hyperlink>
    </w:p>
    <w:p w14:paraId="379013B3" w14:textId="77777777" w:rsidR="00CD1602" w:rsidRDefault="00CD1602" w:rsidP="00D06416">
      <w:pPr>
        <w:pStyle w:val="NormalWeb"/>
        <w:spacing w:before="0" w:beforeAutospacing="0" w:after="0" w:afterAutospacing="0" w:line="480" w:lineRule="atLeast"/>
        <w:ind w:left="600" w:hanging="600"/>
        <w:rPr>
          <w:color w:val="000000"/>
        </w:rPr>
      </w:pPr>
    </w:p>
    <w:p w14:paraId="41013BE0" w14:textId="77777777" w:rsidR="00CD1602" w:rsidRDefault="00CD1602" w:rsidP="003D0607">
      <w:pPr>
        <w:pStyle w:val="NormalWeb"/>
        <w:spacing w:before="0" w:beforeAutospacing="0" w:after="0" w:afterAutospacing="0" w:line="480" w:lineRule="atLeast"/>
        <w:ind w:left="600" w:hanging="600"/>
        <w:rPr>
          <w:color w:val="000000"/>
        </w:rPr>
      </w:pPr>
      <w:r>
        <w:rPr>
          <w:color w:val="000000"/>
        </w:rPr>
        <w:t>Moser, P. K. (2009). The Oxford Handbook of Epistemology. In </w:t>
      </w:r>
      <w:r>
        <w:rPr>
          <w:i/>
          <w:iCs/>
          <w:color w:val="000000"/>
        </w:rPr>
        <w:t>Oxford University Press eBooks</w:t>
      </w:r>
      <w:r>
        <w:rPr>
          <w:color w:val="000000"/>
        </w:rPr>
        <w:t xml:space="preserve">. Oxford University Press. </w:t>
      </w:r>
      <w:hyperlink r:id="rId37" w:history="1">
        <w:r w:rsidRPr="007E45CC">
          <w:rPr>
            <w:rStyle w:val="Hyperlink"/>
          </w:rPr>
          <w:t>https://doi.org/10.1093/oxfordhb/9780195301700.001.0001</w:t>
        </w:r>
      </w:hyperlink>
    </w:p>
    <w:p w14:paraId="6762E59A" w14:textId="77777777" w:rsidR="00CD1602" w:rsidRDefault="00CD1602" w:rsidP="00D06416">
      <w:pPr>
        <w:pStyle w:val="NormalWeb"/>
        <w:rPr>
          <w:color w:val="000000"/>
        </w:rPr>
      </w:pPr>
      <w:bookmarkStart w:id="2" w:name="_Hlk187955829"/>
      <w:r>
        <w:rPr>
          <w:color w:val="000000"/>
        </w:rPr>
        <w:lastRenderedPageBreak/>
        <w:t>‌</w:t>
      </w:r>
      <w:r w:rsidRPr="00D06416">
        <w:rPr>
          <w:color w:val="000000"/>
        </w:rPr>
        <w:t xml:space="preserve">Nguyen, D. (2019). </w:t>
      </w:r>
      <w:bookmarkEnd w:id="2"/>
      <w:r w:rsidRPr="00D06416">
        <w:rPr>
          <w:color w:val="000000"/>
        </w:rPr>
        <w:t>Regional economic disparities and development in the UK (No. 10). National Institute of Economic and Social Research.</w:t>
      </w:r>
      <w:r>
        <w:rPr>
          <w:color w:val="000000"/>
        </w:rPr>
        <w:t xml:space="preserve"> </w:t>
      </w:r>
    </w:p>
    <w:p w14:paraId="580F2DFE" w14:textId="77777777" w:rsidR="00CD1602" w:rsidRPr="00D06416" w:rsidRDefault="00CD1602" w:rsidP="0047465B">
      <w:pPr>
        <w:rPr>
          <w:color w:val="000000" w:themeColor="text1"/>
        </w:rPr>
      </w:pPr>
      <w:r>
        <w:rPr>
          <w:color w:val="000000"/>
        </w:rPr>
        <w:t>‌</w:t>
      </w:r>
      <w:r w:rsidRPr="0047465B">
        <w:rPr>
          <w:color w:val="000000" w:themeColor="text1"/>
        </w:rPr>
        <w:t xml:space="preserve">Nichol, A. J., Hastings, C., &amp; Elder-Vass, D. (2023). Putting philosophy to </w:t>
      </w:r>
      <w:proofErr w:type="gramStart"/>
      <w:r w:rsidRPr="0047465B">
        <w:rPr>
          <w:color w:val="000000" w:themeColor="text1"/>
        </w:rPr>
        <w:t>work:</w:t>
      </w:r>
      <w:proofErr w:type="gramEnd"/>
      <w:r w:rsidRPr="0047465B">
        <w:rPr>
          <w:color w:val="000000" w:themeColor="text1"/>
        </w:rPr>
        <w:t xml:space="preserve"> developing the conceptual architecture of research projects. Journal of Critical Realism, 22(3), 364–383. https://doi.org/10.1080/14767430.2023.2217054</w:t>
      </w:r>
    </w:p>
    <w:p w14:paraId="59645C70" w14:textId="77777777" w:rsidR="00CD1602" w:rsidRDefault="00CD1602" w:rsidP="00E461BC">
      <w:pPr>
        <w:pStyle w:val="NormalWeb"/>
        <w:spacing w:before="0" w:beforeAutospacing="0" w:after="0" w:afterAutospacing="0" w:line="480" w:lineRule="atLeast"/>
        <w:ind w:left="600" w:hanging="600"/>
        <w:rPr>
          <w:color w:val="000000"/>
        </w:rPr>
      </w:pPr>
      <w:r>
        <w:rPr>
          <w:color w:val="000000"/>
        </w:rPr>
        <w:t>Ohler, L. (2001). Ethical Considerations in Research: A Framework for Practice. </w:t>
      </w:r>
      <w:r>
        <w:rPr>
          <w:i/>
          <w:iCs/>
          <w:color w:val="000000"/>
        </w:rPr>
        <w:t>Progress in Transplantation</w:t>
      </w:r>
      <w:r>
        <w:rPr>
          <w:color w:val="000000"/>
        </w:rPr>
        <w:t>, </w:t>
      </w:r>
      <w:r>
        <w:rPr>
          <w:i/>
          <w:iCs/>
          <w:color w:val="000000"/>
        </w:rPr>
        <w:t>11</w:t>
      </w:r>
      <w:r>
        <w:rPr>
          <w:color w:val="000000"/>
        </w:rPr>
        <w:t xml:space="preserve">(4), 240–242. </w:t>
      </w:r>
      <w:hyperlink r:id="rId38" w:history="1">
        <w:r w:rsidRPr="007E45CC">
          <w:rPr>
            <w:rStyle w:val="Hyperlink"/>
          </w:rPr>
          <w:t>https://doi.org/10.1177/152692480101100401</w:t>
        </w:r>
      </w:hyperlink>
    </w:p>
    <w:p w14:paraId="01EABC0F" w14:textId="77777777" w:rsidR="00CD1602" w:rsidRDefault="00CD1602" w:rsidP="00E461BC">
      <w:pPr>
        <w:pStyle w:val="NormalWeb"/>
        <w:spacing w:before="0" w:beforeAutospacing="0" w:after="0" w:afterAutospacing="0" w:line="480" w:lineRule="atLeast"/>
        <w:ind w:left="600" w:hanging="600"/>
        <w:rPr>
          <w:color w:val="000000"/>
        </w:rPr>
      </w:pPr>
    </w:p>
    <w:p w14:paraId="7A3B157E" w14:textId="77777777" w:rsidR="00CD1602" w:rsidRDefault="00CD1602" w:rsidP="00412BD1">
      <w:pPr>
        <w:pStyle w:val="NormalWeb"/>
        <w:spacing w:before="0" w:beforeAutospacing="0" w:after="0" w:afterAutospacing="0" w:line="480" w:lineRule="atLeast"/>
        <w:ind w:left="600" w:hanging="600"/>
        <w:rPr>
          <w:color w:val="000000"/>
        </w:rPr>
      </w:pPr>
      <w:r>
        <w:rPr>
          <w:color w:val="000000"/>
        </w:rPr>
        <w:t xml:space="preserve">‌ONS (2021). </w:t>
      </w:r>
      <w:r>
        <w:rPr>
          <w:i/>
          <w:iCs/>
          <w:color w:val="000000"/>
        </w:rPr>
        <w:t>The National Statistics Socio-economic classification (NS-SEC) - Office for National Statistics</w:t>
      </w:r>
      <w:r>
        <w:rPr>
          <w:color w:val="000000"/>
        </w:rPr>
        <w:t xml:space="preserve">. </w:t>
      </w:r>
      <w:r w:rsidRPr="0011098E">
        <w:rPr>
          <w:color w:val="FF0000"/>
        </w:rPr>
        <w:t>https://www.ons.gov.uk/methodology/classificationsandstandards/otherclassifications/thenationalstatisticssocioeconomicclassificationnssecrebasedonsoc2010?utm_source=chatgpt.com</w:t>
      </w:r>
    </w:p>
    <w:p w14:paraId="47B476B0" w14:textId="77777777" w:rsidR="00CD1602" w:rsidRDefault="00CD1602" w:rsidP="00DA1224">
      <w:pPr>
        <w:pStyle w:val="NormalWeb"/>
        <w:spacing w:before="0" w:beforeAutospacing="0" w:after="0" w:afterAutospacing="0" w:line="480" w:lineRule="atLeast"/>
        <w:ind w:left="600" w:hanging="600"/>
        <w:rPr>
          <w:color w:val="000000"/>
        </w:rPr>
      </w:pPr>
      <w:r>
        <w:rPr>
          <w:color w:val="000000"/>
        </w:rPr>
        <w:t>‌</w:t>
      </w:r>
      <w:proofErr w:type="spellStart"/>
      <w:r>
        <w:rPr>
          <w:color w:val="000000"/>
        </w:rPr>
        <w:t>Pessu</w:t>
      </w:r>
      <w:proofErr w:type="spellEnd"/>
      <w:r>
        <w:rPr>
          <w:color w:val="000000"/>
        </w:rPr>
        <w:t>, T. R. (2019). Understanding Research Paradigms: An Ontological Perspective to Business Research. </w:t>
      </w:r>
      <w:proofErr w:type="spellStart"/>
      <w:r>
        <w:rPr>
          <w:i/>
          <w:iCs/>
          <w:color w:val="000000"/>
        </w:rPr>
        <w:t>IOSR</w:t>
      </w:r>
      <w:proofErr w:type="spellEnd"/>
      <w:r>
        <w:rPr>
          <w:i/>
          <w:iCs/>
          <w:color w:val="000000"/>
        </w:rPr>
        <w:t xml:space="preserve"> Journal of Research &amp; Method in Education</w:t>
      </w:r>
      <w:r>
        <w:rPr>
          <w:color w:val="000000"/>
        </w:rPr>
        <w:t>, </w:t>
      </w:r>
      <w:r>
        <w:rPr>
          <w:i/>
          <w:iCs/>
          <w:color w:val="000000"/>
        </w:rPr>
        <w:t>9</w:t>
      </w:r>
      <w:r>
        <w:rPr>
          <w:color w:val="000000"/>
        </w:rPr>
        <w:t xml:space="preserve">(4), 38–40. </w:t>
      </w:r>
      <w:hyperlink r:id="rId39" w:history="1">
        <w:r w:rsidRPr="007E45CC">
          <w:rPr>
            <w:rStyle w:val="Hyperlink"/>
          </w:rPr>
          <w:t>https://doi.org/10.9790/1959-0904033840</w:t>
        </w:r>
      </w:hyperlink>
    </w:p>
    <w:p w14:paraId="7AFC20E2" w14:textId="77777777" w:rsidR="00CD1602" w:rsidRDefault="00CD1602" w:rsidP="00DA1224">
      <w:pPr>
        <w:pStyle w:val="NormalWeb"/>
        <w:spacing w:before="0" w:beforeAutospacing="0" w:after="0" w:afterAutospacing="0" w:line="480" w:lineRule="atLeast"/>
        <w:ind w:left="600" w:hanging="600"/>
        <w:rPr>
          <w:color w:val="000000"/>
        </w:rPr>
      </w:pPr>
    </w:p>
    <w:p w14:paraId="713A17C6" w14:textId="77777777" w:rsidR="00CD1602" w:rsidRDefault="00CD1602" w:rsidP="00413098">
      <w:pPr>
        <w:pStyle w:val="NormalWeb"/>
        <w:rPr>
          <w:color w:val="000000"/>
        </w:rPr>
      </w:pPr>
      <w:r w:rsidRPr="00D61D35">
        <w:rPr>
          <w:color w:val="000000"/>
        </w:rPr>
        <w:t>Saunders, M. (2009). Research methods for business students. Person Education Limited.</w:t>
      </w:r>
    </w:p>
    <w:p w14:paraId="5CAEFEF7" w14:textId="77777777" w:rsidR="00CD1602" w:rsidRDefault="00CD1602" w:rsidP="00412BD1">
      <w:pPr>
        <w:pStyle w:val="NormalWeb"/>
        <w:spacing w:before="0" w:beforeAutospacing="0" w:after="0" w:afterAutospacing="0" w:line="480" w:lineRule="atLeast"/>
        <w:ind w:left="600" w:hanging="600"/>
        <w:rPr>
          <w:color w:val="000000"/>
        </w:rPr>
      </w:pPr>
      <w:r>
        <w:rPr>
          <w:color w:val="000000"/>
        </w:rPr>
        <w:t>‌Takeuchi, H., Yamaguchi, E., Wada, H., &amp; Sato, Y. (2017). Socioeconomic status based on household income - findings from Japan. </w:t>
      </w:r>
      <w:r>
        <w:rPr>
          <w:i/>
          <w:iCs/>
          <w:color w:val="000000"/>
        </w:rPr>
        <w:t>European Journal of Public Health</w:t>
      </w:r>
      <w:r>
        <w:rPr>
          <w:color w:val="000000"/>
        </w:rPr>
        <w:t>, </w:t>
      </w:r>
      <w:r>
        <w:rPr>
          <w:i/>
          <w:iCs/>
          <w:color w:val="000000"/>
        </w:rPr>
        <w:t>27</w:t>
      </w:r>
      <w:r>
        <w:rPr>
          <w:color w:val="000000"/>
        </w:rPr>
        <w:t xml:space="preserve">(suppl_3). </w:t>
      </w:r>
      <w:hyperlink r:id="rId40" w:history="1">
        <w:r w:rsidRPr="007E45CC">
          <w:rPr>
            <w:rStyle w:val="Hyperlink"/>
          </w:rPr>
          <w:t>https://doi.org/10.1093/eurpub/ckx186.307</w:t>
        </w:r>
      </w:hyperlink>
    </w:p>
    <w:p w14:paraId="6975B96A" w14:textId="77777777" w:rsidR="00CD1602" w:rsidRDefault="00CD1602" w:rsidP="00412BD1">
      <w:pPr>
        <w:pStyle w:val="NormalWeb"/>
        <w:spacing w:before="0" w:beforeAutospacing="0" w:after="0" w:afterAutospacing="0" w:line="480" w:lineRule="atLeast"/>
        <w:ind w:left="600" w:hanging="600"/>
        <w:rPr>
          <w:color w:val="000000"/>
        </w:rPr>
      </w:pPr>
    </w:p>
    <w:p w14:paraId="40782345" w14:textId="77777777" w:rsidR="00CD1602" w:rsidRDefault="00CD1602" w:rsidP="001C475E">
      <w:pPr>
        <w:pStyle w:val="NormalWeb"/>
        <w:spacing w:before="0" w:beforeAutospacing="0" w:after="0" w:afterAutospacing="0" w:line="480" w:lineRule="atLeast"/>
        <w:ind w:left="600" w:hanging="600"/>
        <w:rPr>
          <w:color w:val="000000"/>
        </w:rPr>
      </w:pPr>
      <w:r w:rsidRPr="00E461BC">
        <w:rPr>
          <w:color w:val="000000"/>
          <w:lang w:val="pl-PL"/>
        </w:rPr>
        <w:t xml:space="preserve">Tomaszewski, W., Xiang, N., &amp; Kubler, M. (2024). </w:t>
      </w:r>
      <w:r>
        <w:rPr>
          <w:color w:val="000000"/>
        </w:rPr>
        <w:t>Socio-economic status, school performance, and university participation: evidence from linked administrative and survey data from Australia. </w:t>
      </w:r>
      <w:r>
        <w:rPr>
          <w:i/>
          <w:iCs/>
          <w:color w:val="000000"/>
        </w:rPr>
        <w:t>Higher Education</w:t>
      </w:r>
      <w:r>
        <w:rPr>
          <w:color w:val="000000"/>
        </w:rPr>
        <w:t xml:space="preserve">. </w:t>
      </w:r>
      <w:hyperlink r:id="rId41" w:history="1">
        <w:r w:rsidRPr="007E45CC">
          <w:rPr>
            <w:rStyle w:val="Hyperlink"/>
          </w:rPr>
          <w:t>https://doi.org/10.1007/s10734-024-01245-7</w:t>
        </w:r>
      </w:hyperlink>
    </w:p>
    <w:p w14:paraId="36DD1156" w14:textId="2D2BB059" w:rsidR="00932E3B" w:rsidRDefault="00932E3B" w:rsidP="00932E3B">
      <w:pPr>
        <w:pStyle w:val="NormalWeb"/>
        <w:rPr>
          <w:color w:val="000000"/>
        </w:rPr>
      </w:pPr>
    </w:p>
    <w:p w14:paraId="573C581E" w14:textId="1E7F909A" w:rsidR="006B3822" w:rsidRDefault="006B3822" w:rsidP="006B3822">
      <w:pPr>
        <w:pStyle w:val="NormalWeb"/>
        <w:pBdr>
          <w:bottom w:val="single" w:sz="12" w:space="1" w:color="auto"/>
        </w:pBdr>
        <w:rPr>
          <w:color w:val="000000"/>
        </w:rPr>
      </w:pPr>
    </w:p>
    <w:p w14:paraId="34000BBF" w14:textId="77777777" w:rsidR="00B854EE" w:rsidRPr="00B854EE" w:rsidRDefault="00B854EE" w:rsidP="00B854EE">
      <w:pPr>
        <w:spacing w:before="100" w:beforeAutospacing="1" w:after="100" w:afterAutospacing="1" w:line="240" w:lineRule="auto"/>
        <w:rPr>
          <w:rFonts w:ascii="Times New Roman" w:eastAsia="Times New Roman" w:hAnsi="Times New Roman" w:cs="Times New Roman"/>
          <w:kern w:val="0"/>
          <w:lang w:eastAsia="en-GB"/>
          <w14:ligatures w14:val="none"/>
        </w:rPr>
      </w:pPr>
      <w:r w:rsidRPr="00B854EE">
        <w:rPr>
          <w:rFonts w:ascii="Times New Roman" w:eastAsia="Times New Roman" w:hAnsi="Times New Roman" w:cs="Times New Roman"/>
          <w:kern w:val="0"/>
          <w:lang w:eastAsia="en-GB"/>
          <w14:ligatures w14:val="none"/>
        </w:rPr>
        <w:lastRenderedPageBreak/>
        <w:t xml:space="preserve">Abel, G. A., Barclay, M. E., &amp; Payne, R. A. (2016). Adjusted indices of multiple deprivation to enable comparisons within and between constituent countries of the UK including an illustration using mortality rates. </w:t>
      </w:r>
      <w:r w:rsidRPr="00B854EE">
        <w:rPr>
          <w:rFonts w:ascii="Times New Roman" w:eastAsia="Times New Roman" w:hAnsi="Times New Roman" w:cs="Times New Roman"/>
          <w:i/>
          <w:iCs/>
          <w:kern w:val="0"/>
          <w:lang w:eastAsia="en-GB"/>
          <w14:ligatures w14:val="none"/>
        </w:rPr>
        <w:t>BMJ Open, 6</w:t>
      </w:r>
      <w:r w:rsidRPr="00B854EE">
        <w:rPr>
          <w:rFonts w:ascii="Times New Roman" w:eastAsia="Times New Roman" w:hAnsi="Times New Roman" w:cs="Times New Roman"/>
          <w:kern w:val="0"/>
          <w:lang w:eastAsia="en-GB"/>
          <w14:ligatures w14:val="none"/>
        </w:rPr>
        <w:t xml:space="preserve">(11), e012750. </w:t>
      </w:r>
      <w:hyperlink r:id="rId42" w:tgtFrame="_new" w:history="1">
        <w:r w:rsidRPr="00B854EE">
          <w:rPr>
            <w:rFonts w:ascii="Times New Roman" w:eastAsia="Times New Roman" w:hAnsi="Times New Roman" w:cs="Times New Roman"/>
            <w:color w:val="0000FF"/>
            <w:kern w:val="0"/>
            <w:u w:val="single"/>
            <w:lang w:eastAsia="en-GB"/>
            <w14:ligatures w14:val="none"/>
          </w:rPr>
          <w:t>https://doi.org/10.1136/bmjopen-2016-012750</w:t>
        </w:r>
      </w:hyperlink>
    </w:p>
    <w:p w14:paraId="00CF5D8E" w14:textId="77777777" w:rsidR="00B854EE" w:rsidRPr="00B854EE" w:rsidRDefault="00B854EE" w:rsidP="00B854EE">
      <w:pPr>
        <w:spacing w:before="100" w:beforeAutospacing="1" w:after="100" w:afterAutospacing="1" w:line="240" w:lineRule="auto"/>
        <w:rPr>
          <w:rFonts w:ascii="Times New Roman" w:eastAsia="Times New Roman" w:hAnsi="Times New Roman" w:cs="Times New Roman"/>
          <w:kern w:val="0"/>
          <w:lang w:eastAsia="en-GB"/>
          <w14:ligatures w14:val="none"/>
        </w:rPr>
      </w:pPr>
      <w:r w:rsidRPr="00B854EE">
        <w:rPr>
          <w:rFonts w:ascii="Times New Roman" w:eastAsia="Times New Roman" w:hAnsi="Times New Roman" w:cs="Times New Roman"/>
          <w:kern w:val="0"/>
          <w:lang w:eastAsia="en-GB"/>
          <w14:ligatures w14:val="none"/>
        </w:rPr>
        <w:t xml:space="preserve">Al-Ababneh, M. M. (2020). Linking ontology, epistemology, and research methodology. </w:t>
      </w:r>
      <w:r w:rsidRPr="00B854EE">
        <w:rPr>
          <w:rFonts w:ascii="Times New Roman" w:eastAsia="Times New Roman" w:hAnsi="Times New Roman" w:cs="Times New Roman"/>
          <w:i/>
          <w:iCs/>
          <w:kern w:val="0"/>
          <w:lang w:eastAsia="en-GB"/>
          <w14:ligatures w14:val="none"/>
        </w:rPr>
        <w:t>Directory of Open Access Journals (</w:t>
      </w:r>
      <w:proofErr w:type="spellStart"/>
      <w:r w:rsidRPr="00B854EE">
        <w:rPr>
          <w:rFonts w:ascii="Times New Roman" w:eastAsia="Times New Roman" w:hAnsi="Times New Roman" w:cs="Times New Roman"/>
          <w:i/>
          <w:iCs/>
          <w:kern w:val="0"/>
          <w:lang w:eastAsia="en-GB"/>
          <w14:ligatures w14:val="none"/>
        </w:rPr>
        <w:t>DOAJ</w:t>
      </w:r>
      <w:proofErr w:type="spellEnd"/>
      <w:r w:rsidRPr="00B854EE">
        <w:rPr>
          <w:rFonts w:ascii="Times New Roman" w:eastAsia="Times New Roman" w:hAnsi="Times New Roman" w:cs="Times New Roman"/>
          <w:i/>
          <w:iCs/>
          <w:kern w:val="0"/>
          <w:lang w:eastAsia="en-GB"/>
          <w14:ligatures w14:val="none"/>
        </w:rPr>
        <w:t>)</w:t>
      </w:r>
      <w:r w:rsidRPr="00B854EE">
        <w:rPr>
          <w:rFonts w:ascii="Times New Roman" w:eastAsia="Times New Roman" w:hAnsi="Times New Roman" w:cs="Times New Roman"/>
          <w:kern w:val="0"/>
          <w:lang w:eastAsia="en-GB"/>
          <w14:ligatures w14:val="none"/>
        </w:rPr>
        <w:t xml:space="preserve">. </w:t>
      </w:r>
      <w:hyperlink r:id="rId43" w:tgtFrame="_new" w:history="1">
        <w:r w:rsidRPr="00B854EE">
          <w:rPr>
            <w:rFonts w:ascii="Times New Roman" w:eastAsia="Times New Roman" w:hAnsi="Times New Roman" w:cs="Times New Roman"/>
            <w:color w:val="0000FF"/>
            <w:kern w:val="0"/>
            <w:u w:val="single"/>
            <w:lang w:eastAsia="en-GB"/>
            <w14:ligatures w14:val="none"/>
          </w:rPr>
          <w:t>https://doi.org/10.23756/sp.v8i1.500</w:t>
        </w:r>
      </w:hyperlink>
    </w:p>
    <w:p w14:paraId="2E44C8C9" w14:textId="77777777" w:rsidR="00B854EE" w:rsidRPr="00B854EE" w:rsidRDefault="00B854EE" w:rsidP="00B854EE">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B854EE">
        <w:rPr>
          <w:rFonts w:ascii="Times New Roman" w:eastAsia="Times New Roman" w:hAnsi="Times New Roman" w:cs="Times New Roman"/>
          <w:color w:val="FF0000"/>
          <w:kern w:val="0"/>
          <w:lang w:eastAsia="en-GB"/>
          <w14:ligatures w14:val="none"/>
        </w:rPr>
        <w:t>Alharahsheh</w:t>
      </w:r>
      <w:proofErr w:type="spellEnd"/>
      <w:r w:rsidRPr="00B854EE">
        <w:rPr>
          <w:rFonts w:ascii="Times New Roman" w:eastAsia="Times New Roman" w:hAnsi="Times New Roman" w:cs="Times New Roman"/>
          <w:kern w:val="0"/>
          <w:lang w:eastAsia="en-GB"/>
          <w14:ligatures w14:val="none"/>
        </w:rPr>
        <w:t xml:space="preserve">, H. H., &amp; Pius, A. (2020, December). A review of key paradigms: Positivism vs interpretivism. </w:t>
      </w:r>
      <w:r w:rsidRPr="00B854EE">
        <w:rPr>
          <w:rFonts w:ascii="Times New Roman" w:eastAsia="Times New Roman" w:hAnsi="Times New Roman" w:cs="Times New Roman"/>
          <w:i/>
          <w:iCs/>
          <w:kern w:val="0"/>
          <w:lang w:eastAsia="en-GB"/>
          <w14:ligatures w14:val="none"/>
        </w:rPr>
        <w:t>ResearchGate</w:t>
      </w:r>
      <w:r w:rsidRPr="00B854EE">
        <w:rPr>
          <w:rFonts w:ascii="Times New Roman" w:eastAsia="Times New Roman" w:hAnsi="Times New Roman" w:cs="Times New Roman"/>
          <w:kern w:val="0"/>
          <w:lang w:eastAsia="en-GB"/>
          <w14:ligatures w14:val="none"/>
        </w:rPr>
        <w:t xml:space="preserve">. </w:t>
      </w:r>
      <w:hyperlink r:id="rId44" w:tgtFrame="_new" w:history="1">
        <w:r w:rsidRPr="00B854EE">
          <w:rPr>
            <w:rFonts w:ascii="Times New Roman" w:eastAsia="Times New Roman" w:hAnsi="Times New Roman" w:cs="Times New Roman"/>
            <w:color w:val="0000FF"/>
            <w:kern w:val="0"/>
            <w:u w:val="single"/>
            <w:lang w:eastAsia="en-GB"/>
            <w14:ligatures w14:val="none"/>
          </w:rPr>
          <w:t>https://www.researchgate.net/publication/338244145_A_Review_of_key_paradigms_positivism_VS_interpretivism</w:t>
        </w:r>
      </w:hyperlink>
    </w:p>
    <w:p w14:paraId="1FD78357" w14:textId="77777777" w:rsidR="00B854EE" w:rsidRPr="00B854EE" w:rsidRDefault="00B854EE" w:rsidP="00B854EE">
      <w:pPr>
        <w:spacing w:before="100" w:beforeAutospacing="1" w:after="100" w:afterAutospacing="1" w:line="240" w:lineRule="auto"/>
        <w:rPr>
          <w:rFonts w:ascii="Times New Roman" w:eastAsia="Times New Roman" w:hAnsi="Times New Roman" w:cs="Times New Roman"/>
          <w:kern w:val="0"/>
          <w:lang w:eastAsia="en-GB"/>
          <w14:ligatures w14:val="none"/>
        </w:rPr>
      </w:pPr>
      <w:r w:rsidRPr="00B854EE">
        <w:rPr>
          <w:rFonts w:ascii="Times New Roman" w:eastAsia="Times New Roman" w:hAnsi="Times New Roman" w:cs="Times New Roman"/>
          <w:kern w:val="0"/>
          <w:lang w:eastAsia="en-GB"/>
          <w14:ligatures w14:val="none"/>
        </w:rPr>
        <w:t xml:space="preserve">Anders, J. (2012). The link between household income, university applications, and university attendance. </w:t>
      </w:r>
      <w:r w:rsidRPr="00B854EE">
        <w:rPr>
          <w:rFonts w:ascii="Times New Roman" w:eastAsia="Times New Roman" w:hAnsi="Times New Roman" w:cs="Times New Roman"/>
          <w:i/>
          <w:iCs/>
          <w:kern w:val="0"/>
          <w:lang w:eastAsia="en-GB"/>
          <w14:ligatures w14:val="none"/>
        </w:rPr>
        <w:t>Fiscal Studies, 33</w:t>
      </w:r>
      <w:r w:rsidRPr="00B854EE">
        <w:rPr>
          <w:rFonts w:ascii="Times New Roman" w:eastAsia="Times New Roman" w:hAnsi="Times New Roman" w:cs="Times New Roman"/>
          <w:kern w:val="0"/>
          <w:lang w:eastAsia="en-GB"/>
          <w14:ligatures w14:val="none"/>
        </w:rPr>
        <w:t xml:space="preserve">(2), 185–210. </w:t>
      </w:r>
      <w:hyperlink r:id="rId45" w:tgtFrame="_new" w:history="1">
        <w:r w:rsidRPr="00B854EE">
          <w:rPr>
            <w:rFonts w:ascii="Times New Roman" w:eastAsia="Times New Roman" w:hAnsi="Times New Roman" w:cs="Times New Roman"/>
            <w:color w:val="0000FF"/>
            <w:kern w:val="0"/>
            <w:u w:val="single"/>
            <w:lang w:eastAsia="en-GB"/>
            <w14:ligatures w14:val="none"/>
          </w:rPr>
          <w:t>http://www.jstor.org/stable/24440174</w:t>
        </w:r>
      </w:hyperlink>
    </w:p>
    <w:p w14:paraId="29D6680D" w14:textId="77777777" w:rsidR="00B854EE" w:rsidRPr="00B854EE" w:rsidRDefault="00B854EE" w:rsidP="00B854EE">
      <w:pPr>
        <w:spacing w:before="100" w:beforeAutospacing="1" w:after="100" w:afterAutospacing="1" w:line="240" w:lineRule="auto"/>
        <w:rPr>
          <w:rFonts w:ascii="Times New Roman" w:eastAsia="Times New Roman" w:hAnsi="Times New Roman" w:cs="Times New Roman"/>
          <w:kern w:val="0"/>
          <w:lang w:eastAsia="en-GB"/>
          <w14:ligatures w14:val="none"/>
        </w:rPr>
      </w:pPr>
      <w:r w:rsidRPr="00B854EE">
        <w:rPr>
          <w:rFonts w:ascii="Times New Roman" w:eastAsia="Times New Roman" w:hAnsi="Times New Roman" w:cs="Times New Roman"/>
          <w:kern w:val="0"/>
          <w:lang w:eastAsia="en-GB"/>
          <w14:ligatures w14:val="none"/>
        </w:rPr>
        <w:t xml:space="preserve">APA. (2018). Socioeconomic status. </w:t>
      </w:r>
      <w:r w:rsidRPr="00B854EE">
        <w:rPr>
          <w:rFonts w:ascii="Times New Roman" w:eastAsia="Times New Roman" w:hAnsi="Times New Roman" w:cs="Times New Roman"/>
          <w:i/>
          <w:iCs/>
          <w:kern w:val="0"/>
          <w:lang w:eastAsia="en-GB"/>
          <w14:ligatures w14:val="none"/>
        </w:rPr>
        <w:t>American Psychological Association</w:t>
      </w:r>
      <w:r w:rsidRPr="00B854EE">
        <w:rPr>
          <w:rFonts w:ascii="Times New Roman" w:eastAsia="Times New Roman" w:hAnsi="Times New Roman" w:cs="Times New Roman"/>
          <w:kern w:val="0"/>
          <w:lang w:eastAsia="en-GB"/>
          <w14:ligatures w14:val="none"/>
        </w:rPr>
        <w:t xml:space="preserve">. Retrieved from </w:t>
      </w:r>
      <w:hyperlink r:id="rId46" w:tgtFrame="_new" w:history="1">
        <w:r w:rsidRPr="00B854EE">
          <w:rPr>
            <w:rFonts w:ascii="Times New Roman" w:eastAsia="Times New Roman" w:hAnsi="Times New Roman" w:cs="Times New Roman"/>
            <w:color w:val="0000FF"/>
            <w:kern w:val="0"/>
            <w:u w:val="single"/>
            <w:lang w:eastAsia="en-GB"/>
            <w14:ligatures w14:val="none"/>
          </w:rPr>
          <w:t>http://www.apa.org/topics/socioeconomic/status/</w:t>
        </w:r>
      </w:hyperlink>
    </w:p>
    <w:p w14:paraId="216288D6" w14:textId="77777777" w:rsidR="00B854EE" w:rsidRPr="00B854EE" w:rsidRDefault="00B854EE" w:rsidP="00B854EE">
      <w:pPr>
        <w:spacing w:before="100" w:beforeAutospacing="1" w:after="100" w:afterAutospacing="1" w:line="240" w:lineRule="auto"/>
        <w:rPr>
          <w:rFonts w:ascii="Times New Roman" w:eastAsia="Times New Roman" w:hAnsi="Times New Roman" w:cs="Times New Roman"/>
          <w:kern w:val="0"/>
          <w:lang w:eastAsia="en-GB"/>
          <w14:ligatures w14:val="none"/>
        </w:rPr>
      </w:pPr>
      <w:r w:rsidRPr="00B854EE">
        <w:rPr>
          <w:rFonts w:ascii="Times New Roman" w:eastAsia="Times New Roman" w:hAnsi="Times New Roman" w:cs="Times New Roman"/>
          <w:kern w:val="0"/>
          <w:lang w:eastAsia="en-GB"/>
          <w14:ligatures w14:val="none"/>
        </w:rPr>
        <w:t xml:space="preserve">Bell, E., &amp; Bryman, A. (2006). The ethics of management research: An exploratory content analysis. </w:t>
      </w:r>
      <w:r w:rsidRPr="00B854EE">
        <w:rPr>
          <w:rFonts w:ascii="Times New Roman" w:eastAsia="Times New Roman" w:hAnsi="Times New Roman" w:cs="Times New Roman"/>
          <w:i/>
          <w:iCs/>
          <w:kern w:val="0"/>
          <w:lang w:eastAsia="en-GB"/>
          <w14:ligatures w14:val="none"/>
        </w:rPr>
        <w:t>British Journal of Management, 18</w:t>
      </w:r>
      <w:r w:rsidRPr="00B854EE">
        <w:rPr>
          <w:rFonts w:ascii="Times New Roman" w:eastAsia="Times New Roman" w:hAnsi="Times New Roman" w:cs="Times New Roman"/>
          <w:kern w:val="0"/>
          <w:lang w:eastAsia="en-GB"/>
          <w14:ligatures w14:val="none"/>
        </w:rPr>
        <w:t xml:space="preserve">(1), 63–77. </w:t>
      </w:r>
      <w:hyperlink r:id="rId47" w:tgtFrame="_new" w:history="1">
        <w:r w:rsidRPr="00B854EE">
          <w:rPr>
            <w:rFonts w:ascii="Times New Roman" w:eastAsia="Times New Roman" w:hAnsi="Times New Roman" w:cs="Times New Roman"/>
            <w:color w:val="0000FF"/>
            <w:kern w:val="0"/>
            <w:u w:val="single"/>
            <w:lang w:eastAsia="en-GB"/>
            <w14:ligatures w14:val="none"/>
          </w:rPr>
          <w:t>https://doi.org/10.1111/j.1467-8551.2006.00487.x</w:t>
        </w:r>
      </w:hyperlink>
    </w:p>
    <w:p w14:paraId="5C284E39" w14:textId="77777777" w:rsidR="00B854EE" w:rsidRPr="00B854EE" w:rsidRDefault="00B854EE" w:rsidP="00B854EE">
      <w:pPr>
        <w:spacing w:before="100" w:beforeAutospacing="1" w:after="100" w:afterAutospacing="1" w:line="240" w:lineRule="auto"/>
        <w:rPr>
          <w:rFonts w:ascii="Times New Roman" w:eastAsia="Times New Roman" w:hAnsi="Times New Roman" w:cs="Times New Roman"/>
          <w:kern w:val="0"/>
          <w:lang w:eastAsia="en-GB"/>
          <w14:ligatures w14:val="none"/>
        </w:rPr>
      </w:pPr>
      <w:r w:rsidRPr="00B854EE">
        <w:rPr>
          <w:rFonts w:ascii="Times New Roman" w:eastAsia="Times New Roman" w:hAnsi="Times New Roman" w:cs="Times New Roman"/>
          <w:kern w:val="0"/>
          <w:lang w:eastAsia="en-GB"/>
          <w14:ligatures w14:val="none"/>
        </w:rPr>
        <w:t xml:space="preserve">Bolton, P., &amp; Lewis, J. (2024). Equality of access and outcomes in higher education in England. </w:t>
      </w:r>
      <w:r w:rsidRPr="00B854EE">
        <w:rPr>
          <w:rFonts w:ascii="Times New Roman" w:eastAsia="Times New Roman" w:hAnsi="Times New Roman" w:cs="Times New Roman"/>
          <w:i/>
          <w:iCs/>
          <w:kern w:val="0"/>
          <w:lang w:eastAsia="en-GB"/>
          <w14:ligatures w14:val="none"/>
        </w:rPr>
        <w:t>House of Commons Library</w:t>
      </w:r>
      <w:r w:rsidRPr="00B854EE">
        <w:rPr>
          <w:rFonts w:ascii="Times New Roman" w:eastAsia="Times New Roman" w:hAnsi="Times New Roman" w:cs="Times New Roman"/>
          <w:kern w:val="0"/>
          <w:lang w:eastAsia="en-GB"/>
          <w14:ligatures w14:val="none"/>
        </w:rPr>
        <w:t xml:space="preserve">. </w:t>
      </w:r>
      <w:hyperlink r:id="rId48" w:tgtFrame="_new" w:history="1">
        <w:r w:rsidRPr="00B854EE">
          <w:rPr>
            <w:rFonts w:ascii="Times New Roman" w:eastAsia="Times New Roman" w:hAnsi="Times New Roman" w:cs="Times New Roman"/>
            <w:color w:val="0000FF"/>
            <w:kern w:val="0"/>
            <w:u w:val="single"/>
            <w:lang w:eastAsia="en-GB"/>
            <w14:ligatures w14:val="none"/>
          </w:rPr>
          <w:t>https://researchbriefings.files.parliament.uk/documents/CBP-9195/CBP-9195.pdf</w:t>
        </w:r>
      </w:hyperlink>
    </w:p>
    <w:p w14:paraId="114DC60D" w14:textId="77777777" w:rsidR="00B854EE" w:rsidRPr="00B854EE" w:rsidRDefault="00B854EE" w:rsidP="00B854EE">
      <w:pPr>
        <w:spacing w:before="100" w:beforeAutospacing="1" w:after="100" w:afterAutospacing="1" w:line="240" w:lineRule="auto"/>
        <w:rPr>
          <w:rFonts w:ascii="Times New Roman" w:eastAsia="Times New Roman" w:hAnsi="Times New Roman" w:cs="Times New Roman"/>
          <w:kern w:val="0"/>
          <w:lang w:eastAsia="en-GB"/>
          <w14:ligatures w14:val="none"/>
        </w:rPr>
      </w:pPr>
      <w:r w:rsidRPr="00B854EE">
        <w:rPr>
          <w:rFonts w:ascii="Times New Roman" w:eastAsia="Times New Roman" w:hAnsi="Times New Roman" w:cs="Times New Roman"/>
          <w:kern w:val="0"/>
          <w:lang w:eastAsia="en-GB"/>
          <w14:ligatures w14:val="none"/>
        </w:rPr>
        <w:t xml:space="preserve">Bornstein, M. H., &amp; Bradley, R. H. (Eds.). (2002). </w:t>
      </w:r>
      <w:r w:rsidRPr="00B854EE">
        <w:rPr>
          <w:rFonts w:ascii="Times New Roman" w:eastAsia="Times New Roman" w:hAnsi="Times New Roman" w:cs="Times New Roman"/>
          <w:i/>
          <w:iCs/>
          <w:kern w:val="0"/>
          <w:lang w:eastAsia="en-GB"/>
          <w14:ligatures w14:val="none"/>
        </w:rPr>
        <w:t>Socioeconomic status, parenting, and child development</w:t>
      </w:r>
      <w:r w:rsidRPr="00B854EE">
        <w:rPr>
          <w:rFonts w:ascii="Times New Roman" w:eastAsia="Times New Roman" w:hAnsi="Times New Roman" w:cs="Times New Roman"/>
          <w:kern w:val="0"/>
          <w:lang w:eastAsia="en-GB"/>
          <w14:ligatures w14:val="none"/>
        </w:rPr>
        <w:t xml:space="preserve"> (1st ed.). Routledge. </w:t>
      </w:r>
      <w:hyperlink r:id="rId49" w:tgtFrame="_new" w:history="1">
        <w:r w:rsidRPr="00B854EE">
          <w:rPr>
            <w:rFonts w:ascii="Times New Roman" w:eastAsia="Times New Roman" w:hAnsi="Times New Roman" w:cs="Times New Roman"/>
            <w:color w:val="0000FF"/>
            <w:kern w:val="0"/>
            <w:u w:val="single"/>
            <w:lang w:eastAsia="en-GB"/>
            <w14:ligatures w14:val="none"/>
          </w:rPr>
          <w:t>https://doi.org/10.4324/9781410607027</w:t>
        </w:r>
      </w:hyperlink>
    </w:p>
    <w:p w14:paraId="6FB39AB7" w14:textId="77777777" w:rsidR="00B854EE" w:rsidRPr="00B854EE" w:rsidRDefault="00B854EE" w:rsidP="00B854EE">
      <w:pPr>
        <w:spacing w:before="100" w:beforeAutospacing="1" w:after="100" w:afterAutospacing="1" w:line="240" w:lineRule="auto"/>
        <w:rPr>
          <w:rFonts w:ascii="Times New Roman" w:eastAsia="Times New Roman" w:hAnsi="Times New Roman" w:cs="Times New Roman"/>
          <w:kern w:val="0"/>
          <w:lang w:eastAsia="en-GB"/>
          <w14:ligatures w14:val="none"/>
        </w:rPr>
      </w:pPr>
      <w:r w:rsidRPr="00B854EE">
        <w:rPr>
          <w:rFonts w:ascii="Times New Roman" w:eastAsia="Times New Roman" w:hAnsi="Times New Roman" w:cs="Times New Roman"/>
          <w:kern w:val="0"/>
          <w:lang w:eastAsia="en-GB"/>
          <w14:ligatures w14:val="none"/>
        </w:rPr>
        <w:t xml:space="preserve">Brese, F., &amp; </w:t>
      </w:r>
      <w:proofErr w:type="spellStart"/>
      <w:r w:rsidRPr="00B854EE">
        <w:rPr>
          <w:rFonts w:ascii="Times New Roman" w:eastAsia="Times New Roman" w:hAnsi="Times New Roman" w:cs="Times New Roman"/>
          <w:kern w:val="0"/>
          <w:lang w:eastAsia="en-GB"/>
          <w14:ligatures w14:val="none"/>
        </w:rPr>
        <w:t>Mirazchiyski</w:t>
      </w:r>
      <w:proofErr w:type="spellEnd"/>
      <w:r w:rsidRPr="00B854EE">
        <w:rPr>
          <w:rFonts w:ascii="Times New Roman" w:eastAsia="Times New Roman" w:hAnsi="Times New Roman" w:cs="Times New Roman"/>
          <w:kern w:val="0"/>
          <w:lang w:eastAsia="en-GB"/>
          <w14:ligatures w14:val="none"/>
        </w:rPr>
        <w:t xml:space="preserve">, P. (2013). Measuring students’ family background in large-scale international education studies. </w:t>
      </w:r>
      <w:r w:rsidRPr="00B854EE">
        <w:rPr>
          <w:rFonts w:ascii="Times New Roman" w:eastAsia="Times New Roman" w:hAnsi="Times New Roman" w:cs="Times New Roman"/>
          <w:i/>
          <w:iCs/>
          <w:kern w:val="0"/>
          <w:lang w:eastAsia="en-GB"/>
          <w14:ligatures w14:val="none"/>
        </w:rPr>
        <w:t>Issues and Methodologies in Large Scale Assessments, 2</w:t>
      </w:r>
      <w:r w:rsidRPr="00B854EE">
        <w:rPr>
          <w:rFonts w:ascii="Times New Roman" w:eastAsia="Times New Roman" w:hAnsi="Times New Roman" w:cs="Times New Roman"/>
          <w:kern w:val="0"/>
          <w:lang w:eastAsia="en-GB"/>
          <w14:ligatures w14:val="none"/>
        </w:rPr>
        <w:t>.</w:t>
      </w:r>
    </w:p>
    <w:p w14:paraId="58434EF2" w14:textId="77777777" w:rsidR="00B854EE" w:rsidRPr="00B854EE" w:rsidRDefault="00B854EE" w:rsidP="00B854EE">
      <w:pPr>
        <w:spacing w:before="100" w:beforeAutospacing="1" w:after="100" w:afterAutospacing="1" w:line="240" w:lineRule="auto"/>
        <w:rPr>
          <w:rFonts w:ascii="Times New Roman" w:eastAsia="Times New Roman" w:hAnsi="Times New Roman" w:cs="Times New Roman"/>
          <w:kern w:val="0"/>
          <w:lang w:eastAsia="en-GB"/>
          <w14:ligatures w14:val="none"/>
        </w:rPr>
      </w:pPr>
      <w:r w:rsidRPr="00B854EE">
        <w:rPr>
          <w:rFonts w:ascii="Times New Roman" w:eastAsia="Times New Roman" w:hAnsi="Times New Roman" w:cs="Times New Roman"/>
          <w:kern w:val="0"/>
          <w:lang w:eastAsia="en-GB"/>
          <w14:ligatures w14:val="none"/>
        </w:rPr>
        <w:t xml:space="preserve">Britton, J., Dias, M., &amp; Goll, D. (n.d.). </w:t>
      </w:r>
      <w:r w:rsidRPr="00B854EE">
        <w:rPr>
          <w:rFonts w:ascii="Times New Roman" w:eastAsia="Times New Roman" w:hAnsi="Times New Roman" w:cs="Times New Roman"/>
          <w:i/>
          <w:iCs/>
          <w:kern w:val="0"/>
          <w:lang w:eastAsia="en-GB"/>
          <w14:ligatures w14:val="none"/>
        </w:rPr>
        <w:t>Can higher education policy boost intergenerational mobility? Evidence from an empirical matching model</w:t>
      </w:r>
      <w:r w:rsidRPr="00B854EE">
        <w:rPr>
          <w:rFonts w:ascii="Times New Roman" w:eastAsia="Times New Roman" w:hAnsi="Times New Roman" w:cs="Times New Roman"/>
          <w:kern w:val="0"/>
          <w:lang w:eastAsia="en-GB"/>
          <w14:ligatures w14:val="none"/>
        </w:rPr>
        <w:t xml:space="preserve"> (Working Paper). Institute for Fiscal Studies. </w:t>
      </w:r>
      <w:hyperlink r:id="rId50" w:tgtFrame="_new" w:history="1">
        <w:r w:rsidRPr="00B854EE">
          <w:rPr>
            <w:rFonts w:ascii="Times New Roman" w:eastAsia="Times New Roman" w:hAnsi="Times New Roman" w:cs="Times New Roman"/>
            <w:color w:val="0000FF"/>
            <w:kern w:val="0"/>
            <w:u w:val="single"/>
            <w:lang w:eastAsia="en-GB"/>
            <w14:ligatures w14:val="none"/>
          </w:rPr>
          <w:t>https://ifs.org.uk/sites/default/files/2023-01/WP202306-Can-higher-education-policy-boost-intergenerational-mobility-evidence-from-an-empirical-matching-model.pdf</w:t>
        </w:r>
      </w:hyperlink>
    </w:p>
    <w:p w14:paraId="29388C7B" w14:textId="77777777" w:rsidR="00B854EE" w:rsidRPr="00B854EE" w:rsidRDefault="00B854EE" w:rsidP="00B854EE">
      <w:pPr>
        <w:spacing w:before="100" w:beforeAutospacing="1" w:after="100" w:afterAutospacing="1" w:line="240" w:lineRule="auto"/>
        <w:rPr>
          <w:rFonts w:ascii="Times New Roman" w:eastAsia="Times New Roman" w:hAnsi="Times New Roman" w:cs="Times New Roman"/>
          <w:kern w:val="0"/>
          <w:lang w:eastAsia="en-GB"/>
          <w14:ligatures w14:val="none"/>
        </w:rPr>
      </w:pPr>
      <w:r w:rsidRPr="00B854EE">
        <w:rPr>
          <w:rFonts w:ascii="Times New Roman" w:eastAsia="Times New Roman" w:hAnsi="Times New Roman" w:cs="Times New Roman"/>
          <w:kern w:val="0"/>
          <w:lang w:eastAsia="en-GB"/>
          <w14:ligatures w14:val="none"/>
        </w:rPr>
        <w:t xml:space="preserve">Broer, M., Bai, Y., &amp; Fonseca, F. (2019). A review of the literature on socioeconomic status and educational achievement. In M. Broer, Y. Bai, &amp; F. Fonseca (Eds.), </w:t>
      </w:r>
      <w:r w:rsidRPr="00B854EE">
        <w:rPr>
          <w:rFonts w:ascii="Times New Roman" w:eastAsia="Times New Roman" w:hAnsi="Times New Roman" w:cs="Times New Roman"/>
          <w:i/>
          <w:iCs/>
          <w:kern w:val="0"/>
          <w:lang w:eastAsia="en-GB"/>
          <w14:ligatures w14:val="none"/>
        </w:rPr>
        <w:t>Socioeconomic inequality and educational outcomes</w:t>
      </w:r>
      <w:r w:rsidRPr="00B854EE">
        <w:rPr>
          <w:rFonts w:ascii="Times New Roman" w:eastAsia="Times New Roman" w:hAnsi="Times New Roman" w:cs="Times New Roman"/>
          <w:kern w:val="0"/>
          <w:lang w:eastAsia="en-GB"/>
          <w14:ligatures w14:val="none"/>
        </w:rPr>
        <w:t xml:space="preserve"> (pp. 1–20). Springer. </w:t>
      </w:r>
      <w:hyperlink r:id="rId51" w:tgtFrame="_new" w:history="1">
        <w:r w:rsidRPr="00B854EE">
          <w:rPr>
            <w:rFonts w:ascii="Times New Roman" w:eastAsia="Times New Roman" w:hAnsi="Times New Roman" w:cs="Times New Roman"/>
            <w:color w:val="0000FF"/>
            <w:kern w:val="0"/>
            <w:u w:val="single"/>
            <w:lang w:eastAsia="en-GB"/>
            <w14:ligatures w14:val="none"/>
          </w:rPr>
          <w:t>https://doi.org/10.1007/978-3-030-11991-1_2</w:t>
        </w:r>
      </w:hyperlink>
    </w:p>
    <w:p w14:paraId="79721A1B" w14:textId="77777777" w:rsidR="00B854EE" w:rsidRPr="00B854EE" w:rsidRDefault="00B854EE" w:rsidP="00B854EE">
      <w:pPr>
        <w:spacing w:before="100" w:beforeAutospacing="1" w:after="100" w:afterAutospacing="1" w:line="240" w:lineRule="auto"/>
        <w:rPr>
          <w:rFonts w:ascii="Times New Roman" w:eastAsia="Times New Roman" w:hAnsi="Times New Roman" w:cs="Times New Roman"/>
          <w:kern w:val="0"/>
          <w:lang w:eastAsia="en-GB"/>
          <w14:ligatures w14:val="none"/>
        </w:rPr>
      </w:pPr>
      <w:r w:rsidRPr="00B854EE">
        <w:rPr>
          <w:rFonts w:ascii="Times New Roman" w:eastAsia="Times New Roman" w:hAnsi="Times New Roman" w:cs="Times New Roman"/>
          <w:kern w:val="0"/>
          <w:lang w:eastAsia="en-GB"/>
          <w14:ligatures w14:val="none"/>
        </w:rPr>
        <w:t xml:space="preserve">Broer, M., Bai, Y., &amp; Fonseca, F. (2019). Socioeconomic inequality and educational outcomes: An introduction. </w:t>
      </w:r>
      <w:r w:rsidRPr="00B854EE">
        <w:rPr>
          <w:rFonts w:ascii="Times New Roman" w:eastAsia="Times New Roman" w:hAnsi="Times New Roman" w:cs="Times New Roman"/>
          <w:i/>
          <w:iCs/>
          <w:kern w:val="0"/>
          <w:lang w:eastAsia="en-GB"/>
          <w14:ligatures w14:val="none"/>
        </w:rPr>
        <w:t>IEA Research for Education, 5</w:t>
      </w:r>
      <w:r w:rsidRPr="00B854EE">
        <w:rPr>
          <w:rFonts w:ascii="Times New Roman" w:eastAsia="Times New Roman" w:hAnsi="Times New Roman" w:cs="Times New Roman"/>
          <w:kern w:val="0"/>
          <w:lang w:eastAsia="en-GB"/>
          <w14:ligatures w14:val="none"/>
        </w:rPr>
        <w:t xml:space="preserve">, 1–6. </w:t>
      </w:r>
      <w:hyperlink r:id="rId52" w:tgtFrame="_new" w:history="1">
        <w:r w:rsidRPr="00B854EE">
          <w:rPr>
            <w:rFonts w:ascii="Times New Roman" w:eastAsia="Times New Roman" w:hAnsi="Times New Roman" w:cs="Times New Roman"/>
            <w:color w:val="0000FF"/>
            <w:kern w:val="0"/>
            <w:u w:val="single"/>
            <w:lang w:eastAsia="en-GB"/>
            <w14:ligatures w14:val="none"/>
          </w:rPr>
          <w:t>https://doi.org/10.1007/978-3-030-11991-1_1</w:t>
        </w:r>
      </w:hyperlink>
    </w:p>
    <w:p w14:paraId="29606C54" w14:textId="77777777" w:rsidR="00B854EE" w:rsidRPr="00B854EE" w:rsidRDefault="00B854EE" w:rsidP="00B854EE">
      <w:pPr>
        <w:spacing w:before="100" w:beforeAutospacing="1" w:after="100" w:afterAutospacing="1" w:line="240" w:lineRule="auto"/>
        <w:rPr>
          <w:rFonts w:ascii="Times New Roman" w:eastAsia="Times New Roman" w:hAnsi="Times New Roman" w:cs="Times New Roman"/>
          <w:kern w:val="0"/>
          <w:lang w:eastAsia="en-GB"/>
          <w14:ligatures w14:val="none"/>
        </w:rPr>
      </w:pPr>
      <w:r w:rsidRPr="00B854EE">
        <w:rPr>
          <w:rFonts w:ascii="Times New Roman" w:eastAsia="Times New Roman" w:hAnsi="Times New Roman" w:cs="Times New Roman"/>
          <w:kern w:val="0"/>
          <w:lang w:eastAsia="en-GB"/>
          <w14:ligatures w14:val="none"/>
        </w:rPr>
        <w:t xml:space="preserve">Chetty, R., Friedman, J. N., Saez, E., Turner, N., &amp; Yagan, D. (2020). Income segregation and intergenerational mobility across colleges in the United States. </w:t>
      </w:r>
      <w:r w:rsidRPr="00B854EE">
        <w:rPr>
          <w:rFonts w:ascii="Times New Roman" w:eastAsia="Times New Roman" w:hAnsi="Times New Roman" w:cs="Times New Roman"/>
          <w:i/>
          <w:iCs/>
          <w:kern w:val="0"/>
          <w:lang w:eastAsia="en-GB"/>
          <w14:ligatures w14:val="none"/>
        </w:rPr>
        <w:t>The Quarterly Journal of Economics, 135</w:t>
      </w:r>
      <w:r w:rsidRPr="00B854EE">
        <w:rPr>
          <w:rFonts w:ascii="Times New Roman" w:eastAsia="Times New Roman" w:hAnsi="Times New Roman" w:cs="Times New Roman"/>
          <w:kern w:val="0"/>
          <w:lang w:eastAsia="en-GB"/>
          <w14:ligatures w14:val="none"/>
        </w:rPr>
        <w:t xml:space="preserve">(3), 1567–1633. </w:t>
      </w:r>
      <w:hyperlink r:id="rId53" w:tgtFrame="_new" w:history="1">
        <w:r w:rsidRPr="00B854EE">
          <w:rPr>
            <w:rFonts w:ascii="Times New Roman" w:eastAsia="Times New Roman" w:hAnsi="Times New Roman" w:cs="Times New Roman"/>
            <w:color w:val="0000FF"/>
            <w:kern w:val="0"/>
            <w:u w:val="single"/>
            <w:lang w:eastAsia="en-GB"/>
            <w14:ligatures w14:val="none"/>
          </w:rPr>
          <w:t>https://doi.org/10.1093/qje/qjaa005</w:t>
        </w:r>
      </w:hyperlink>
    </w:p>
    <w:p w14:paraId="7328A95B" w14:textId="77777777" w:rsidR="00B854EE" w:rsidRPr="00B854EE" w:rsidRDefault="00B854EE" w:rsidP="00B854EE">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B854EE">
        <w:rPr>
          <w:rFonts w:ascii="Times New Roman" w:eastAsia="Times New Roman" w:hAnsi="Times New Roman" w:cs="Times New Roman"/>
          <w:kern w:val="0"/>
          <w:lang w:eastAsia="en-GB"/>
          <w14:ligatures w14:val="none"/>
        </w:rPr>
        <w:lastRenderedPageBreak/>
        <w:t>Choondiyanil</w:t>
      </w:r>
      <w:proofErr w:type="spellEnd"/>
      <w:r w:rsidRPr="00B854EE">
        <w:rPr>
          <w:rFonts w:ascii="Times New Roman" w:eastAsia="Times New Roman" w:hAnsi="Times New Roman" w:cs="Times New Roman"/>
          <w:kern w:val="0"/>
          <w:lang w:eastAsia="en-GB"/>
          <w14:ligatures w14:val="none"/>
        </w:rPr>
        <w:t xml:space="preserve">, A. (2024). Wealth and health inequality in the elderly: A narrative review of the challenges in an ageing UK population. </w:t>
      </w:r>
      <w:r w:rsidRPr="00B854EE">
        <w:rPr>
          <w:rFonts w:ascii="Times New Roman" w:eastAsia="Times New Roman" w:hAnsi="Times New Roman" w:cs="Times New Roman"/>
          <w:i/>
          <w:iCs/>
          <w:kern w:val="0"/>
          <w:lang w:eastAsia="en-GB"/>
          <w14:ligatures w14:val="none"/>
        </w:rPr>
        <w:t>ResearchGate</w:t>
      </w:r>
      <w:r w:rsidRPr="00B854EE">
        <w:rPr>
          <w:rFonts w:ascii="Times New Roman" w:eastAsia="Times New Roman" w:hAnsi="Times New Roman" w:cs="Times New Roman"/>
          <w:kern w:val="0"/>
          <w:lang w:eastAsia="en-GB"/>
          <w14:ligatures w14:val="none"/>
        </w:rPr>
        <w:t xml:space="preserve">. </w:t>
      </w:r>
      <w:hyperlink r:id="rId54" w:tgtFrame="_new" w:history="1">
        <w:r w:rsidRPr="00B854EE">
          <w:rPr>
            <w:rFonts w:ascii="Times New Roman" w:eastAsia="Times New Roman" w:hAnsi="Times New Roman" w:cs="Times New Roman"/>
            <w:color w:val="0000FF"/>
            <w:kern w:val="0"/>
            <w:u w:val="single"/>
            <w:lang w:eastAsia="en-GB"/>
            <w14:ligatures w14:val="none"/>
          </w:rPr>
          <w:t>https://www.researchgate.net/publication/383409318_Wealth_and_health_inequality_in_the_elderly_a_narrative_review_of_the_challenges_in_an_ageing_UK_population</w:t>
        </w:r>
      </w:hyperlink>
    </w:p>
    <w:p w14:paraId="79F5F5E6" w14:textId="77777777" w:rsidR="00B854EE" w:rsidRPr="00B854EE" w:rsidRDefault="00B854EE" w:rsidP="00B854EE">
      <w:pPr>
        <w:spacing w:before="100" w:beforeAutospacing="1" w:after="100" w:afterAutospacing="1" w:line="240" w:lineRule="auto"/>
        <w:rPr>
          <w:rFonts w:ascii="Times New Roman" w:eastAsia="Times New Roman" w:hAnsi="Times New Roman" w:cs="Times New Roman"/>
          <w:kern w:val="0"/>
          <w:lang w:eastAsia="en-GB"/>
          <w14:ligatures w14:val="none"/>
        </w:rPr>
      </w:pPr>
      <w:r w:rsidRPr="00B854EE">
        <w:rPr>
          <w:rFonts w:ascii="Times New Roman" w:eastAsia="Times New Roman" w:hAnsi="Times New Roman" w:cs="Times New Roman"/>
          <w:kern w:val="0"/>
          <w:lang w:eastAsia="en-GB"/>
          <w14:ligatures w14:val="none"/>
        </w:rPr>
        <w:t xml:space="preserve">Crawford, C. (2014). Socio-economic differences in university outcomes in the UK: Drop-out, degree completion, and degree class. </w:t>
      </w:r>
      <w:r w:rsidRPr="00B854EE">
        <w:rPr>
          <w:rFonts w:ascii="Times New Roman" w:eastAsia="Times New Roman" w:hAnsi="Times New Roman" w:cs="Times New Roman"/>
          <w:i/>
          <w:iCs/>
          <w:kern w:val="0"/>
          <w:lang w:eastAsia="en-GB"/>
          <w14:ligatures w14:val="none"/>
        </w:rPr>
        <w:t>IFS Working Paper W14/31</w:t>
      </w:r>
      <w:r w:rsidRPr="00B854EE">
        <w:rPr>
          <w:rFonts w:ascii="Times New Roman" w:eastAsia="Times New Roman" w:hAnsi="Times New Roman" w:cs="Times New Roman"/>
          <w:kern w:val="0"/>
          <w:lang w:eastAsia="en-GB"/>
          <w14:ligatures w14:val="none"/>
        </w:rPr>
        <w:t xml:space="preserve">. Retrieved January 16, 2025, from </w:t>
      </w:r>
      <w:hyperlink r:id="rId55" w:tgtFrame="_new" w:history="1">
        <w:r w:rsidRPr="00B854EE">
          <w:rPr>
            <w:rFonts w:ascii="Times New Roman" w:eastAsia="Times New Roman" w:hAnsi="Times New Roman" w:cs="Times New Roman"/>
            <w:color w:val="0000FF"/>
            <w:kern w:val="0"/>
            <w:u w:val="single"/>
            <w:lang w:eastAsia="en-GB"/>
            <w14:ligatures w14:val="none"/>
          </w:rPr>
          <w:t>https://ifs.org.uk/sites/default/files/output_url_files/WP201431.pdf</w:t>
        </w:r>
      </w:hyperlink>
    </w:p>
    <w:p w14:paraId="6BE783D8" w14:textId="77777777" w:rsidR="00B854EE" w:rsidRPr="00B854EE" w:rsidRDefault="00B854EE" w:rsidP="00B854EE">
      <w:pPr>
        <w:spacing w:before="100" w:beforeAutospacing="1" w:after="100" w:afterAutospacing="1" w:line="240" w:lineRule="auto"/>
        <w:rPr>
          <w:rFonts w:ascii="Times New Roman" w:eastAsia="Times New Roman" w:hAnsi="Times New Roman" w:cs="Times New Roman"/>
          <w:kern w:val="0"/>
          <w:lang w:eastAsia="en-GB"/>
          <w14:ligatures w14:val="none"/>
        </w:rPr>
      </w:pPr>
      <w:r w:rsidRPr="00B854EE">
        <w:rPr>
          <w:rFonts w:ascii="Times New Roman" w:eastAsia="Times New Roman" w:hAnsi="Times New Roman" w:cs="Times New Roman"/>
          <w:kern w:val="0"/>
          <w:lang w:eastAsia="en-GB"/>
          <w14:ligatures w14:val="none"/>
        </w:rPr>
        <w:t xml:space="preserve">Crawford, C., Gregg, P., Macmillan, L., Vignoles, A., &amp; Wyness, G. (2016). Higher education, career opportunities, and intergenerational inequality. </w:t>
      </w:r>
      <w:r w:rsidRPr="00B854EE">
        <w:rPr>
          <w:rFonts w:ascii="Times New Roman" w:eastAsia="Times New Roman" w:hAnsi="Times New Roman" w:cs="Times New Roman"/>
          <w:i/>
          <w:iCs/>
          <w:kern w:val="0"/>
          <w:lang w:eastAsia="en-GB"/>
          <w14:ligatures w14:val="none"/>
        </w:rPr>
        <w:t>Oxford Review of Economic Policy, 32</w:t>
      </w:r>
      <w:r w:rsidRPr="00B854EE">
        <w:rPr>
          <w:rFonts w:ascii="Times New Roman" w:eastAsia="Times New Roman" w:hAnsi="Times New Roman" w:cs="Times New Roman"/>
          <w:kern w:val="0"/>
          <w:lang w:eastAsia="en-GB"/>
          <w14:ligatures w14:val="none"/>
        </w:rPr>
        <w:t xml:space="preserve">(4), 553–575. </w:t>
      </w:r>
      <w:hyperlink r:id="rId56" w:tgtFrame="_new" w:history="1">
        <w:r w:rsidRPr="00B854EE">
          <w:rPr>
            <w:rFonts w:ascii="Times New Roman" w:eastAsia="Times New Roman" w:hAnsi="Times New Roman" w:cs="Times New Roman"/>
            <w:color w:val="0000FF"/>
            <w:kern w:val="0"/>
            <w:u w:val="single"/>
            <w:lang w:eastAsia="en-GB"/>
            <w14:ligatures w14:val="none"/>
          </w:rPr>
          <w:t>https://doi.org/10.1093/oxrep/grw030</w:t>
        </w:r>
      </w:hyperlink>
    </w:p>
    <w:p w14:paraId="2BB9E916" w14:textId="77777777" w:rsidR="00B854EE" w:rsidRPr="00B854EE" w:rsidRDefault="00B854EE" w:rsidP="00B854EE">
      <w:pPr>
        <w:spacing w:before="100" w:beforeAutospacing="1" w:after="100" w:afterAutospacing="1" w:line="240" w:lineRule="auto"/>
        <w:rPr>
          <w:rFonts w:ascii="Times New Roman" w:eastAsia="Times New Roman" w:hAnsi="Times New Roman" w:cs="Times New Roman"/>
          <w:kern w:val="0"/>
          <w:lang w:eastAsia="en-GB"/>
          <w14:ligatures w14:val="none"/>
        </w:rPr>
      </w:pPr>
      <w:r w:rsidRPr="00B854EE">
        <w:rPr>
          <w:rFonts w:ascii="Times New Roman" w:eastAsia="Times New Roman" w:hAnsi="Times New Roman" w:cs="Times New Roman"/>
          <w:kern w:val="0"/>
          <w:lang w:eastAsia="en-GB"/>
          <w14:ligatures w14:val="none"/>
        </w:rPr>
        <w:t xml:space="preserve">Devlin, M., &amp; McKay, J. (2014). Reframing ‘the problem’: Students from low socioeconomic status backgrounds transitioning to university. In H. Brook, D. Fergie, M. </w:t>
      </w:r>
      <w:proofErr w:type="spellStart"/>
      <w:r w:rsidRPr="00B854EE">
        <w:rPr>
          <w:rFonts w:ascii="Times New Roman" w:eastAsia="Times New Roman" w:hAnsi="Times New Roman" w:cs="Times New Roman"/>
          <w:kern w:val="0"/>
          <w:lang w:eastAsia="en-GB"/>
          <w14:ligatures w14:val="none"/>
        </w:rPr>
        <w:t>Maeorg</w:t>
      </w:r>
      <w:proofErr w:type="spellEnd"/>
      <w:r w:rsidRPr="00B854EE">
        <w:rPr>
          <w:rFonts w:ascii="Times New Roman" w:eastAsia="Times New Roman" w:hAnsi="Times New Roman" w:cs="Times New Roman"/>
          <w:kern w:val="0"/>
          <w:lang w:eastAsia="en-GB"/>
          <w14:ligatures w14:val="none"/>
        </w:rPr>
        <w:t xml:space="preserve">, &amp; D. Michell (Eds.), </w:t>
      </w:r>
      <w:r w:rsidRPr="00B854EE">
        <w:rPr>
          <w:rFonts w:ascii="Times New Roman" w:eastAsia="Times New Roman" w:hAnsi="Times New Roman" w:cs="Times New Roman"/>
          <w:i/>
          <w:iCs/>
          <w:kern w:val="0"/>
          <w:lang w:eastAsia="en-GB"/>
          <w14:ligatures w14:val="none"/>
        </w:rPr>
        <w:t>Universities in transition: Foregrounding social contexts of knowledge in the first-year experience</w:t>
      </w:r>
      <w:r w:rsidRPr="00B854EE">
        <w:rPr>
          <w:rFonts w:ascii="Times New Roman" w:eastAsia="Times New Roman" w:hAnsi="Times New Roman" w:cs="Times New Roman"/>
          <w:kern w:val="0"/>
          <w:lang w:eastAsia="en-GB"/>
          <w14:ligatures w14:val="none"/>
        </w:rPr>
        <w:t xml:space="preserve"> (pp. 97–126). University of Adelaide Press. </w:t>
      </w:r>
      <w:hyperlink r:id="rId57" w:tgtFrame="_new" w:history="1">
        <w:r w:rsidRPr="00B854EE">
          <w:rPr>
            <w:rFonts w:ascii="Times New Roman" w:eastAsia="Times New Roman" w:hAnsi="Times New Roman" w:cs="Times New Roman"/>
            <w:color w:val="0000FF"/>
            <w:kern w:val="0"/>
            <w:u w:val="single"/>
            <w:lang w:eastAsia="en-GB"/>
            <w14:ligatures w14:val="none"/>
          </w:rPr>
          <w:t>http://www.jstor.org/stable/10.20851/j.ctt1t304xh.8</w:t>
        </w:r>
      </w:hyperlink>
    </w:p>
    <w:p w14:paraId="162FAEF6" w14:textId="77777777" w:rsidR="00B854EE" w:rsidRPr="00B854EE" w:rsidRDefault="00B854EE" w:rsidP="00B854EE">
      <w:pPr>
        <w:spacing w:before="100" w:beforeAutospacing="1" w:after="100" w:afterAutospacing="1" w:line="240" w:lineRule="auto"/>
        <w:rPr>
          <w:rFonts w:ascii="Times New Roman" w:eastAsia="Times New Roman" w:hAnsi="Times New Roman" w:cs="Times New Roman"/>
          <w:kern w:val="0"/>
          <w:lang w:eastAsia="en-GB"/>
          <w14:ligatures w14:val="none"/>
        </w:rPr>
      </w:pPr>
      <w:r w:rsidRPr="00B854EE">
        <w:rPr>
          <w:rFonts w:ascii="Times New Roman" w:eastAsia="Times New Roman" w:hAnsi="Times New Roman" w:cs="Times New Roman"/>
          <w:kern w:val="0"/>
          <w:lang w:eastAsia="en-GB"/>
          <w14:ligatures w14:val="none"/>
        </w:rPr>
        <w:t xml:space="preserve">Early, E., Miller, S., Dunne, L., Thurston, A., &amp; Filiz, M. (2019). The influence of socio-economic background and gender on school attainment in the United Kingdom: A systematic review. </w:t>
      </w:r>
      <w:r w:rsidRPr="00B854EE">
        <w:rPr>
          <w:rFonts w:ascii="Times New Roman" w:eastAsia="Times New Roman" w:hAnsi="Times New Roman" w:cs="Times New Roman"/>
          <w:i/>
          <w:iCs/>
          <w:kern w:val="0"/>
          <w:lang w:eastAsia="en-GB"/>
          <w14:ligatures w14:val="none"/>
        </w:rPr>
        <w:t>Review of Education, 8</w:t>
      </w:r>
      <w:r w:rsidRPr="00B854EE">
        <w:rPr>
          <w:rFonts w:ascii="Times New Roman" w:eastAsia="Times New Roman" w:hAnsi="Times New Roman" w:cs="Times New Roman"/>
          <w:kern w:val="0"/>
          <w:lang w:eastAsia="en-GB"/>
          <w14:ligatures w14:val="none"/>
        </w:rPr>
        <w:t xml:space="preserve">(1), 120–152. </w:t>
      </w:r>
      <w:hyperlink r:id="rId58" w:tgtFrame="_new" w:history="1">
        <w:r w:rsidRPr="00B854EE">
          <w:rPr>
            <w:rFonts w:ascii="Times New Roman" w:eastAsia="Times New Roman" w:hAnsi="Times New Roman" w:cs="Times New Roman"/>
            <w:color w:val="0000FF"/>
            <w:kern w:val="0"/>
            <w:u w:val="single"/>
            <w:lang w:eastAsia="en-GB"/>
            <w14:ligatures w14:val="none"/>
          </w:rPr>
          <w:t>https://doi.org/10.1002/rev3.3175</w:t>
        </w:r>
      </w:hyperlink>
    </w:p>
    <w:p w14:paraId="3E57CF29" w14:textId="77777777" w:rsidR="00B854EE" w:rsidRPr="00B854EE" w:rsidRDefault="00B854EE" w:rsidP="00B854EE">
      <w:pPr>
        <w:spacing w:before="100" w:beforeAutospacing="1" w:after="100" w:afterAutospacing="1" w:line="240" w:lineRule="auto"/>
        <w:rPr>
          <w:rFonts w:ascii="Times New Roman" w:eastAsia="Times New Roman" w:hAnsi="Times New Roman" w:cs="Times New Roman"/>
          <w:kern w:val="0"/>
          <w:lang w:eastAsia="en-GB"/>
          <w14:ligatures w14:val="none"/>
        </w:rPr>
      </w:pPr>
      <w:r w:rsidRPr="00B854EE">
        <w:rPr>
          <w:rFonts w:ascii="Times New Roman" w:eastAsia="Times New Roman" w:hAnsi="Times New Roman" w:cs="Times New Roman"/>
          <w:kern w:val="0"/>
          <w:lang w:eastAsia="en-GB"/>
          <w14:ligatures w14:val="none"/>
        </w:rPr>
        <w:t xml:space="preserve">Easterby-Smith, M., Thorpe, R., &amp; Jackson, P. R. (2008). </w:t>
      </w:r>
      <w:r w:rsidRPr="00B854EE">
        <w:rPr>
          <w:rFonts w:ascii="Times New Roman" w:eastAsia="Times New Roman" w:hAnsi="Times New Roman" w:cs="Times New Roman"/>
          <w:i/>
          <w:iCs/>
          <w:kern w:val="0"/>
          <w:lang w:eastAsia="en-GB"/>
          <w14:ligatures w14:val="none"/>
        </w:rPr>
        <w:t>Management research</w:t>
      </w:r>
      <w:r w:rsidRPr="00B854EE">
        <w:rPr>
          <w:rFonts w:ascii="Times New Roman" w:eastAsia="Times New Roman" w:hAnsi="Times New Roman" w:cs="Times New Roman"/>
          <w:kern w:val="0"/>
          <w:lang w:eastAsia="en-GB"/>
          <w14:ligatures w14:val="none"/>
        </w:rPr>
        <w:t xml:space="preserve"> (3rd ed.). Sage.</w:t>
      </w:r>
    </w:p>
    <w:p w14:paraId="49B32FC9" w14:textId="77777777" w:rsidR="00B854EE" w:rsidRPr="00B854EE" w:rsidRDefault="00B854EE" w:rsidP="00B854EE">
      <w:pPr>
        <w:spacing w:before="100" w:beforeAutospacing="1" w:after="100" w:afterAutospacing="1" w:line="240" w:lineRule="auto"/>
        <w:rPr>
          <w:rFonts w:ascii="Times New Roman" w:eastAsia="Times New Roman" w:hAnsi="Times New Roman" w:cs="Times New Roman"/>
          <w:kern w:val="0"/>
          <w:lang w:eastAsia="en-GB"/>
          <w14:ligatures w14:val="none"/>
        </w:rPr>
      </w:pPr>
      <w:r w:rsidRPr="00B854EE">
        <w:rPr>
          <w:rFonts w:ascii="Times New Roman" w:eastAsia="Times New Roman" w:hAnsi="Times New Roman" w:cs="Times New Roman"/>
          <w:kern w:val="0"/>
          <w:lang w:eastAsia="en-GB"/>
          <w14:ligatures w14:val="none"/>
        </w:rPr>
        <w:t xml:space="preserve">Galindo-Rueda, F., </w:t>
      </w:r>
      <w:proofErr w:type="spellStart"/>
      <w:r w:rsidRPr="00B854EE">
        <w:rPr>
          <w:rFonts w:ascii="Times New Roman" w:eastAsia="Times New Roman" w:hAnsi="Times New Roman" w:cs="Times New Roman"/>
          <w:kern w:val="0"/>
          <w:lang w:eastAsia="en-GB"/>
          <w14:ligatures w14:val="none"/>
        </w:rPr>
        <w:t>Marcenaro</w:t>
      </w:r>
      <w:proofErr w:type="spellEnd"/>
      <w:r w:rsidRPr="00B854EE">
        <w:rPr>
          <w:rFonts w:ascii="Times New Roman" w:eastAsia="Times New Roman" w:hAnsi="Times New Roman" w:cs="Times New Roman"/>
          <w:kern w:val="0"/>
          <w:lang w:eastAsia="en-GB"/>
          <w14:ligatures w14:val="none"/>
        </w:rPr>
        <w:t xml:space="preserve">-Gutierrez, O., &amp; Vignoles, A. (2004). The widening socio-economic gap in UK higher education. </w:t>
      </w:r>
      <w:r w:rsidRPr="00B854EE">
        <w:rPr>
          <w:rFonts w:ascii="Times New Roman" w:eastAsia="Times New Roman" w:hAnsi="Times New Roman" w:cs="Times New Roman"/>
          <w:i/>
          <w:iCs/>
          <w:kern w:val="0"/>
          <w:lang w:eastAsia="en-GB"/>
          <w14:ligatures w14:val="none"/>
        </w:rPr>
        <w:t>National Institute Economic Review, 190</w:t>
      </w:r>
      <w:r w:rsidRPr="00B854EE">
        <w:rPr>
          <w:rFonts w:ascii="Times New Roman" w:eastAsia="Times New Roman" w:hAnsi="Times New Roman" w:cs="Times New Roman"/>
          <w:kern w:val="0"/>
          <w:lang w:eastAsia="en-GB"/>
          <w14:ligatures w14:val="none"/>
        </w:rPr>
        <w:t xml:space="preserve">, 75–88. </w:t>
      </w:r>
      <w:hyperlink r:id="rId59" w:tgtFrame="_new" w:history="1">
        <w:r w:rsidRPr="00B854EE">
          <w:rPr>
            <w:rFonts w:ascii="Times New Roman" w:eastAsia="Times New Roman" w:hAnsi="Times New Roman" w:cs="Times New Roman"/>
            <w:color w:val="0000FF"/>
            <w:kern w:val="0"/>
            <w:u w:val="single"/>
            <w:lang w:eastAsia="en-GB"/>
            <w14:ligatures w14:val="none"/>
          </w:rPr>
          <w:t>https://doi.org/10.1177/002795010419000108</w:t>
        </w:r>
      </w:hyperlink>
    </w:p>
    <w:p w14:paraId="7A3D0E54" w14:textId="77777777" w:rsidR="00B854EE" w:rsidRPr="00B854EE" w:rsidRDefault="00B854EE" w:rsidP="00B854EE">
      <w:pPr>
        <w:spacing w:before="100" w:beforeAutospacing="1" w:after="100" w:afterAutospacing="1" w:line="240" w:lineRule="auto"/>
        <w:rPr>
          <w:rFonts w:ascii="Times New Roman" w:eastAsia="Times New Roman" w:hAnsi="Times New Roman" w:cs="Times New Roman"/>
          <w:kern w:val="0"/>
          <w:lang w:eastAsia="en-GB"/>
          <w14:ligatures w14:val="none"/>
        </w:rPr>
      </w:pPr>
      <w:r w:rsidRPr="00B854EE">
        <w:rPr>
          <w:rFonts w:ascii="Times New Roman" w:eastAsia="Times New Roman" w:hAnsi="Times New Roman" w:cs="Times New Roman"/>
          <w:kern w:val="0"/>
          <w:lang w:eastAsia="en-GB"/>
          <w14:ligatures w14:val="none"/>
        </w:rPr>
        <w:t xml:space="preserve">GOV.UK. (2024). Income returns to education: Social Mobility Commission state of the nation. </w:t>
      </w:r>
      <w:r w:rsidRPr="00B854EE">
        <w:rPr>
          <w:rFonts w:ascii="Times New Roman" w:eastAsia="Times New Roman" w:hAnsi="Times New Roman" w:cs="Times New Roman"/>
          <w:i/>
          <w:iCs/>
          <w:kern w:val="0"/>
          <w:lang w:eastAsia="en-GB"/>
          <w14:ligatures w14:val="none"/>
        </w:rPr>
        <w:t>Data.gov.uk</w:t>
      </w:r>
      <w:r w:rsidRPr="00B854EE">
        <w:rPr>
          <w:rFonts w:ascii="Times New Roman" w:eastAsia="Times New Roman" w:hAnsi="Times New Roman" w:cs="Times New Roman"/>
          <w:kern w:val="0"/>
          <w:lang w:eastAsia="en-GB"/>
          <w14:ligatures w14:val="none"/>
        </w:rPr>
        <w:t xml:space="preserve">. </w:t>
      </w:r>
      <w:hyperlink r:id="rId60" w:tgtFrame="_new" w:history="1">
        <w:r w:rsidRPr="00B854EE">
          <w:rPr>
            <w:rFonts w:ascii="Times New Roman" w:eastAsia="Times New Roman" w:hAnsi="Times New Roman" w:cs="Times New Roman"/>
            <w:color w:val="0000FF"/>
            <w:kern w:val="0"/>
            <w:u w:val="single"/>
            <w:lang w:eastAsia="en-GB"/>
            <w14:ligatures w14:val="none"/>
          </w:rPr>
          <w:t>https://social-mobility.data.gov.uk/intermediate_outcomes/work_in_early_adulthood_(25_to_29_years)/income_returns_to_education/latest</w:t>
        </w:r>
      </w:hyperlink>
    </w:p>
    <w:p w14:paraId="135BA454" w14:textId="77777777" w:rsidR="00B854EE" w:rsidRPr="00B854EE" w:rsidRDefault="00B854EE" w:rsidP="00B854EE">
      <w:pPr>
        <w:spacing w:before="100" w:beforeAutospacing="1" w:after="100" w:afterAutospacing="1" w:line="240" w:lineRule="auto"/>
        <w:rPr>
          <w:rFonts w:ascii="Times New Roman" w:eastAsia="Times New Roman" w:hAnsi="Times New Roman" w:cs="Times New Roman"/>
          <w:kern w:val="0"/>
          <w:lang w:eastAsia="en-GB"/>
          <w14:ligatures w14:val="none"/>
        </w:rPr>
      </w:pPr>
      <w:r w:rsidRPr="00B854EE">
        <w:rPr>
          <w:rFonts w:ascii="Times New Roman" w:eastAsia="Times New Roman" w:hAnsi="Times New Roman" w:cs="Times New Roman"/>
          <w:kern w:val="0"/>
          <w:lang w:eastAsia="en-GB"/>
          <w14:ligatures w14:val="none"/>
        </w:rPr>
        <w:t xml:space="preserve">Guba, E. G., &amp; Lincoln, Y. S. (1998). Competing paradigms in qualitative research. In N. K. Denzin &amp; Y. S. Lincoln (Eds.), </w:t>
      </w:r>
      <w:r w:rsidRPr="00B854EE">
        <w:rPr>
          <w:rFonts w:ascii="Times New Roman" w:eastAsia="Times New Roman" w:hAnsi="Times New Roman" w:cs="Times New Roman"/>
          <w:i/>
          <w:iCs/>
          <w:kern w:val="0"/>
          <w:lang w:eastAsia="en-GB"/>
          <w14:ligatures w14:val="none"/>
        </w:rPr>
        <w:t>The landscape of qualitative research</w:t>
      </w:r>
      <w:r w:rsidRPr="00B854EE">
        <w:rPr>
          <w:rFonts w:ascii="Times New Roman" w:eastAsia="Times New Roman" w:hAnsi="Times New Roman" w:cs="Times New Roman"/>
          <w:kern w:val="0"/>
          <w:lang w:eastAsia="en-GB"/>
          <w14:ligatures w14:val="none"/>
        </w:rPr>
        <w:t xml:space="preserve"> (pp. 195–220). Sage.</w:t>
      </w:r>
    </w:p>
    <w:p w14:paraId="3DBBEF13" w14:textId="77777777" w:rsidR="00B854EE" w:rsidRPr="00B854EE" w:rsidRDefault="00B854EE" w:rsidP="00B854EE">
      <w:pPr>
        <w:spacing w:before="100" w:beforeAutospacing="1" w:after="100" w:afterAutospacing="1" w:line="240" w:lineRule="auto"/>
        <w:rPr>
          <w:rFonts w:ascii="Times New Roman" w:eastAsia="Times New Roman" w:hAnsi="Times New Roman" w:cs="Times New Roman"/>
          <w:kern w:val="0"/>
          <w:lang w:eastAsia="en-GB"/>
          <w14:ligatures w14:val="none"/>
        </w:rPr>
      </w:pPr>
      <w:r w:rsidRPr="00B854EE">
        <w:rPr>
          <w:rFonts w:ascii="Times New Roman" w:eastAsia="Times New Roman" w:hAnsi="Times New Roman" w:cs="Times New Roman"/>
          <w:kern w:val="0"/>
          <w:lang w:eastAsia="en-GB"/>
          <w14:ligatures w14:val="none"/>
        </w:rPr>
        <w:t xml:space="preserve">Hall, P. A. (2003). Aligning ontology and methodology in comparative research. In J. Mahoney &amp; D. </w:t>
      </w:r>
      <w:proofErr w:type="spellStart"/>
      <w:r w:rsidRPr="00B854EE">
        <w:rPr>
          <w:rFonts w:ascii="Times New Roman" w:eastAsia="Times New Roman" w:hAnsi="Times New Roman" w:cs="Times New Roman"/>
          <w:kern w:val="0"/>
          <w:lang w:eastAsia="en-GB"/>
          <w14:ligatures w14:val="none"/>
        </w:rPr>
        <w:t>Rueschemeyer</w:t>
      </w:r>
      <w:proofErr w:type="spellEnd"/>
      <w:r w:rsidRPr="00B854EE">
        <w:rPr>
          <w:rFonts w:ascii="Times New Roman" w:eastAsia="Times New Roman" w:hAnsi="Times New Roman" w:cs="Times New Roman"/>
          <w:kern w:val="0"/>
          <w:lang w:eastAsia="en-GB"/>
          <w14:ligatures w14:val="none"/>
        </w:rPr>
        <w:t xml:space="preserve"> (Eds.), </w:t>
      </w:r>
      <w:r w:rsidRPr="00B854EE">
        <w:rPr>
          <w:rFonts w:ascii="Times New Roman" w:eastAsia="Times New Roman" w:hAnsi="Times New Roman" w:cs="Times New Roman"/>
          <w:i/>
          <w:iCs/>
          <w:kern w:val="0"/>
          <w:lang w:eastAsia="en-GB"/>
          <w14:ligatures w14:val="none"/>
        </w:rPr>
        <w:t>Comparative historical analysis in the social sciences</w:t>
      </w:r>
      <w:r w:rsidRPr="00B854EE">
        <w:rPr>
          <w:rFonts w:ascii="Times New Roman" w:eastAsia="Times New Roman" w:hAnsi="Times New Roman" w:cs="Times New Roman"/>
          <w:kern w:val="0"/>
          <w:lang w:eastAsia="en-GB"/>
          <w14:ligatures w14:val="none"/>
        </w:rPr>
        <w:t xml:space="preserve"> (pp. 374–404). Cambridge University Press.</w:t>
      </w:r>
    </w:p>
    <w:p w14:paraId="6DCF8D75" w14:textId="77777777" w:rsidR="00B854EE" w:rsidRPr="00B854EE" w:rsidRDefault="00B854EE" w:rsidP="00B854EE">
      <w:pPr>
        <w:spacing w:before="100" w:beforeAutospacing="1" w:after="100" w:afterAutospacing="1" w:line="240" w:lineRule="auto"/>
        <w:rPr>
          <w:rFonts w:ascii="Times New Roman" w:eastAsia="Times New Roman" w:hAnsi="Times New Roman" w:cs="Times New Roman"/>
          <w:kern w:val="0"/>
          <w:lang w:eastAsia="en-GB"/>
          <w14:ligatures w14:val="none"/>
        </w:rPr>
      </w:pPr>
      <w:r w:rsidRPr="00B854EE">
        <w:rPr>
          <w:rFonts w:ascii="Times New Roman" w:eastAsia="Times New Roman" w:hAnsi="Times New Roman" w:cs="Times New Roman"/>
          <w:kern w:val="0"/>
          <w:lang w:eastAsia="en-GB"/>
          <w14:ligatures w14:val="none"/>
        </w:rPr>
        <w:t xml:space="preserve">Hannon, C., Faas, D., &amp; O’Sullivan, K. (2017). Widening the educational capabilities of socio-economically disadvantaged students through a model of social and cultural capital development. </w:t>
      </w:r>
      <w:r w:rsidRPr="00B854EE">
        <w:rPr>
          <w:rFonts w:ascii="Times New Roman" w:eastAsia="Times New Roman" w:hAnsi="Times New Roman" w:cs="Times New Roman"/>
          <w:i/>
          <w:iCs/>
          <w:kern w:val="0"/>
          <w:lang w:eastAsia="en-GB"/>
          <w14:ligatures w14:val="none"/>
        </w:rPr>
        <w:t>British Educational Research Journal, 43</w:t>
      </w:r>
      <w:r w:rsidRPr="00B854EE">
        <w:rPr>
          <w:rFonts w:ascii="Times New Roman" w:eastAsia="Times New Roman" w:hAnsi="Times New Roman" w:cs="Times New Roman"/>
          <w:kern w:val="0"/>
          <w:lang w:eastAsia="en-GB"/>
          <w14:ligatures w14:val="none"/>
        </w:rPr>
        <w:t xml:space="preserve">(6), 1225–1245. </w:t>
      </w:r>
      <w:hyperlink r:id="rId61" w:tgtFrame="_new" w:history="1">
        <w:r w:rsidRPr="00B854EE">
          <w:rPr>
            <w:rFonts w:ascii="Times New Roman" w:eastAsia="Times New Roman" w:hAnsi="Times New Roman" w:cs="Times New Roman"/>
            <w:color w:val="0000FF"/>
            <w:kern w:val="0"/>
            <w:u w:val="single"/>
            <w:lang w:eastAsia="en-GB"/>
            <w14:ligatures w14:val="none"/>
          </w:rPr>
          <w:t>https://doi.org/10.1002/berj.3309</w:t>
        </w:r>
      </w:hyperlink>
    </w:p>
    <w:p w14:paraId="4E72AE60" w14:textId="77777777" w:rsidR="00B854EE" w:rsidRPr="00B854EE" w:rsidRDefault="00B854EE" w:rsidP="00B854EE">
      <w:pPr>
        <w:spacing w:before="100" w:beforeAutospacing="1" w:after="100" w:afterAutospacing="1" w:line="240" w:lineRule="auto"/>
        <w:rPr>
          <w:rFonts w:ascii="Times New Roman" w:eastAsia="Times New Roman" w:hAnsi="Times New Roman" w:cs="Times New Roman"/>
          <w:kern w:val="0"/>
          <w:lang w:eastAsia="en-GB"/>
          <w14:ligatures w14:val="none"/>
        </w:rPr>
      </w:pPr>
      <w:r w:rsidRPr="00B854EE">
        <w:rPr>
          <w:rFonts w:ascii="Times New Roman" w:eastAsia="Times New Roman" w:hAnsi="Times New Roman" w:cs="Times New Roman"/>
          <w:color w:val="FF0000"/>
          <w:kern w:val="0"/>
          <w:lang w:eastAsia="en-GB"/>
          <w14:ligatures w14:val="none"/>
        </w:rPr>
        <w:t xml:space="preserve">Hendrik </w:t>
      </w:r>
      <w:proofErr w:type="spellStart"/>
      <w:r w:rsidRPr="00B854EE">
        <w:rPr>
          <w:rFonts w:ascii="Times New Roman" w:eastAsia="Times New Roman" w:hAnsi="Times New Roman" w:cs="Times New Roman"/>
          <w:color w:val="FF0000"/>
          <w:kern w:val="0"/>
          <w:lang w:eastAsia="en-GB"/>
          <w14:ligatures w14:val="none"/>
        </w:rPr>
        <w:t>Berghaeuser</w:t>
      </w:r>
      <w:proofErr w:type="spellEnd"/>
      <w:r w:rsidRPr="00B854EE">
        <w:rPr>
          <w:rFonts w:ascii="Times New Roman" w:eastAsia="Times New Roman" w:hAnsi="Times New Roman" w:cs="Times New Roman"/>
          <w:kern w:val="0"/>
          <w:lang w:eastAsia="en-GB"/>
          <w14:ligatures w14:val="none"/>
        </w:rPr>
        <w:t xml:space="preserve">, Prass, M., &amp; Lindner, R. (2024). Researchers’ practice and perception of research ethics and the role of institutional support: Insights from a pan-European researcher survey. </w:t>
      </w:r>
      <w:r w:rsidRPr="00B854EE">
        <w:rPr>
          <w:rFonts w:ascii="Times New Roman" w:eastAsia="Times New Roman" w:hAnsi="Times New Roman" w:cs="Times New Roman"/>
          <w:i/>
          <w:iCs/>
          <w:kern w:val="0"/>
          <w:lang w:eastAsia="en-GB"/>
          <w14:ligatures w14:val="none"/>
        </w:rPr>
        <w:t>Journal of Academic Ethics.</w:t>
      </w:r>
      <w:r w:rsidRPr="00B854EE">
        <w:rPr>
          <w:rFonts w:ascii="Times New Roman" w:eastAsia="Times New Roman" w:hAnsi="Times New Roman" w:cs="Times New Roman"/>
          <w:kern w:val="0"/>
          <w:lang w:eastAsia="en-GB"/>
          <w14:ligatures w14:val="none"/>
        </w:rPr>
        <w:t xml:space="preserve"> </w:t>
      </w:r>
      <w:hyperlink r:id="rId62" w:tgtFrame="_new" w:history="1">
        <w:r w:rsidRPr="00B854EE">
          <w:rPr>
            <w:rFonts w:ascii="Times New Roman" w:eastAsia="Times New Roman" w:hAnsi="Times New Roman" w:cs="Times New Roman"/>
            <w:color w:val="0000FF"/>
            <w:kern w:val="0"/>
            <w:u w:val="single"/>
            <w:lang w:eastAsia="en-GB"/>
            <w14:ligatures w14:val="none"/>
          </w:rPr>
          <w:t>https://doi.org/10.1007/s10805-024-09590-z</w:t>
        </w:r>
      </w:hyperlink>
    </w:p>
    <w:p w14:paraId="20986FDE" w14:textId="77777777" w:rsidR="00B854EE" w:rsidRPr="00B854EE" w:rsidRDefault="00B854EE" w:rsidP="00B854EE">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B854EE">
        <w:rPr>
          <w:rFonts w:ascii="Times New Roman" w:eastAsia="Times New Roman" w:hAnsi="Times New Roman" w:cs="Times New Roman"/>
          <w:kern w:val="0"/>
          <w:lang w:eastAsia="en-GB"/>
          <w14:ligatures w14:val="none"/>
        </w:rPr>
        <w:lastRenderedPageBreak/>
        <w:t>HESA</w:t>
      </w:r>
      <w:proofErr w:type="spellEnd"/>
      <w:r w:rsidRPr="00B854EE">
        <w:rPr>
          <w:rFonts w:ascii="Times New Roman" w:eastAsia="Times New Roman" w:hAnsi="Times New Roman" w:cs="Times New Roman"/>
          <w:kern w:val="0"/>
          <w:lang w:eastAsia="en-GB"/>
          <w14:ligatures w14:val="none"/>
        </w:rPr>
        <w:t xml:space="preserve">. (2023). Degree attainment by socioeconomic background: UK, 2017/18 to 2020/21. </w:t>
      </w:r>
      <w:r w:rsidRPr="00B854EE">
        <w:rPr>
          <w:rFonts w:ascii="Times New Roman" w:eastAsia="Times New Roman" w:hAnsi="Times New Roman" w:cs="Times New Roman"/>
          <w:i/>
          <w:iCs/>
          <w:kern w:val="0"/>
          <w:lang w:eastAsia="en-GB"/>
          <w14:ligatures w14:val="none"/>
        </w:rPr>
        <w:t>Higher Education Statistics Agency.</w:t>
      </w:r>
      <w:r w:rsidRPr="00B854EE">
        <w:rPr>
          <w:rFonts w:ascii="Times New Roman" w:eastAsia="Times New Roman" w:hAnsi="Times New Roman" w:cs="Times New Roman"/>
          <w:kern w:val="0"/>
          <w:lang w:eastAsia="en-GB"/>
          <w14:ligatures w14:val="none"/>
        </w:rPr>
        <w:t xml:space="preserve"> Retrieved from </w:t>
      </w:r>
      <w:hyperlink r:id="rId63" w:tgtFrame="_new" w:history="1">
        <w:r w:rsidRPr="00B854EE">
          <w:rPr>
            <w:rFonts w:ascii="Times New Roman" w:eastAsia="Times New Roman" w:hAnsi="Times New Roman" w:cs="Times New Roman"/>
            <w:color w:val="0000FF"/>
            <w:kern w:val="0"/>
            <w:u w:val="single"/>
            <w:lang w:eastAsia="en-GB"/>
            <w14:ligatures w14:val="none"/>
          </w:rPr>
          <w:t>https://www.hesa.ac.uk/news/18-04-2023/ah2304-degree-attainment-socioeconomic-background</w:t>
        </w:r>
      </w:hyperlink>
    </w:p>
    <w:p w14:paraId="13086D12" w14:textId="77777777" w:rsidR="00B854EE" w:rsidRPr="00B854EE" w:rsidRDefault="00B854EE" w:rsidP="00B854EE">
      <w:pPr>
        <w:spacing w:before="100" w:beforeAutospacing="1" w:after="100" w:afterAutospacing="1" w:line="240" w:lineRule="auto"/>
        <w:rPr>
          <w:rFonts w:ascii="Times New Roman" w:eastAsia="Times New Roman" w:hAnsi="Times New Roman" w:cs="Times New Roman"/>
          <w:kern w:val="0"/>
          <w:lang w:eastAsia="en-GB"/>
          <w14:ligatures w14:val="none"/>
        </w:rPr>
      </w:pPr>
      <w:r w:rsidRPr="00B854EE">
        <w:rPr>
          <w:rFonts w:ascii="Times New Roman" w:eastAsia="Times New Roman" w:hAnsi="Times New Roman" w:cs="Times New Roman"/>
          <w:kern w:val="0"/>
          <w:lang w:eastAsia="en-GB"/>
          <w14:ligatures w14:val="none"/>
        </w:rPr>
        <w:t xml:space="preserve">IFS. (2022, September 13). The UK education system preserves inequality. </w:t>
      </w:r>
      <w:r w:rsidRPr="00B854EE">
        <w:rPr>
          <w:rFonts w:ascii="Times New Roman" w:eastAsia="Times New Roman" w:hAnsi="Times New Roman" w:cs="Times New Roman"/>
          <w:i/>
          <w:iCs/>
          <w:kern w:val="0"/>
          <w:lang w:eastAsia="en-GB"/>
          <w14:ligatures w14:val="none"/>
        </w:rPr>
        <w:t>Institute for Fiscal Studies.</w:t>
      </w:r>
      <w:r w:rsidRPr="00B854EE">
        <w:rPr>
          <w:rFonts w:ascii="Times New Roman" w:eastAsia="Times New Roman" w:hAnsi="Times New Roman" w:cs="Times New Roman"/>
          <w:kern w:val="0"/>
          <w:lang w:eastAsia="en-GB"/>
          <w14:ligatures w14:val="none"/>
        </w:rPr>
        <w:t xml:space="preserve"> Retrieved December 10, 2024, from </w:t>
      </w:r>
      <w:hyperlink r:id="rId64" w:tgtFrame="_new" w:history="1">
        <w:r w:rsidRPr="00B854EE">
          <w:rPr>
            <w:rFonts w:ascii="Times New Roman" w:eastAsia="Times New Roman" w:hAnsi="Times New Roman" w:cs="Times New Roman"/>
            <w:color w:val="0000FF"/>
            <w:kern w:val="0"/>
            <w:u w:val="single"/>
            <w:lang w:eastAsia="en-GB"/>
            <w14:ligatures w14:val="none"/>
          </w:rPr>
          <w:t>https://ifs.org.uk/articles/uk-education-system-preserves-inequality-new-report</w:t>
        </w:r>
      </w:hyperlink>
    </w:p>
    <w:p w14:paraId="454D01B6" w14:textId="77777777" w:rsidR="00B854EE" w:rsidRPr="00B854EE" w:rsidRDefault="00B854EE" w:rsidP="00B854EE">
      <w:pPr>
        <w:spacing w:before="100" w:beforeAutospacing="1" w:after="100" w:afterAutospacing="1" w:line="240" w:lineRule="auto"/>
        <w:rPr>
          <w:rFonts w:ascii="Times New Roman" w:eastAsia="Times New Roman" w:hAnsi="Times New Roman" w:cs="Times New Roman"/>
          <w:kern w:val="0"/>
          <w:lang w:eastAsia="en-GB"/>
          <w14:ligatures w14:val="none"/>
        </w:rPr>
      </w:pPr>
      <w:r w:rsidRPr="00B854EE">
        <w:rPr>
          <w:rFonts w:ascii="Times New Roman" w:eastAsia="Times New Roman" w:hAnsi="Times New Roman" w:cs="Times New Roman"/>
          <w:kern w:val="0"/>
          <w:lang w:eastAsia="en-GB"/>
          <w14:ligatures w14:val="none"/>
        </w:rPr>
        <w:t xml:space="preserve">IFS. (2023). Housing quality and affordability for lower-income households. </w:t>
      </w:r>
      <w:r w:rsidRPr="00B854EE">
        <w:rPr>
          <w:rFonts w:ascii="Times New Roman" w:eastAsia="Times New Roman" w:hAnsi="Times New Roman" w:cs="Times New Roman"/>
          <w:i/>
          <w:iCs/>
          <w:kern w:val="0"/>
          <w:lang w:eastAsia="en-GB"/>
          <w14:ligatures w14:val="none"/>
        </w:rPr>
        <w:t>Institute for Fiscal Studies.</w:t>
      </w:r>
      <w:r w:rsidRPr="00B854EE">
        <w:rPr>
          <w:rFonts w:ascii="Times New Roman" w:eastAsia="Times New Roman" w:hAnsi="Times New Roman" w:cs="Times New Roman"/>
          <w:kern w:val="0"/>
          <w:lang w:eastAsia="en-GB"/>
          <w14:ligatures w14:val="none"/>
        </w:rPr>
        <w:t xml:space="preserve"> </w:t>
      </w:r>
      <w:hyperlink r:id="rId65" w:tgtFrame="_new" w:history="1">
        <w:r w:rsidRPr="00B854EE">
          <w:rPr>
            <w:rFonts w:ascii="Times New Roman" w:eastAsia="Times New Roman" w:hAnsi="Times New Roman" w:cs="Times New Roman"/>
            <w:color w:val="0000FF"/>
            <w:kern w:val="0"/>
            <w:u w:val="single"/>
            <w:lang w:eastAsia="en-GB"/>
            <w14:ligatures w14:val="none"/>
          </w:rPr>
          <w:t>https://ifs.org.uk/publications/housing-quality-and-affordability-lower-income-households</w:t>
        </w:r>
      </w:hyperlink>
    </w:p>
    <w:p w14:paraId="36478978" w14:textId="77777777" w:rsidR="00B854EE" w:rsidRPr="00B854EE" w:rsidRDefault="00B854EE" w:rsidP="00B854EE">
      <w:pPr>
        <w:spacing w:before="100" w:beforeAutospacing="1" w:after="100" w:afterAutospacing="1" w:line="240" w:lineRule="auto"/>
        <w:rPr>
          <w:rFonts w:ascii="Times New Roman" w:eastAsia="Times New Roman" w:hAnsi="Times New Roman" w:cs="Times New Roman"/>
          <w:kern w:val="0"/>
          <w:lang w:eastAsia="en-GB"/>
          <w14:ligatures w14:val="none"/>
        </w:rPr>
      </w:pPr>
      <w:r w:rsidRPr="00B854EE">
        <w:rPr>
          <w:rFonts w:ascii="Times New Roman" w:eastAsia="Times New Roman" w:hAnsi="Times New Roman" w:cs="Times New Roman"/>
          <w:color w:val="FF0000"/>
          <w:kern w:val="0"/>
          <w:lang w:eastAsia="en-GB"/>
          <w14:ligatures w14:val="none"/>
        </w:rPr>
        <w:t>José Luis Mateos-González</w:t>
      </w:r>
      <w:r w:rsidRPr="00B854EE">
        <w:rPr>
          <w:rFonts w:ascii="Times New Roman" w:eastAsia="Times New Roman" w:hAnsi="Times New Roman" w:cs="Times New Roman"/>
          <w:kern w:val="0"/>
          <w:lang w:eastAsia="en-GB"/>
          <w14:ligatures w14:val="none"/>
        </w:rPr>
        <w:t xml:space="preserve">, &amp; Wakeling, P. (2021). Exploring socioeconomic inequalities and access to elite postgraduate education among English graduates. </w:t>
      </w:r>
      <w:r w:rsidRPr="00B854EE">
        <w:rPr>
          <w:rFonts w:ascii="Times New Roman" w:eastAsia="Times New Roman" w:hAnsi="Times New Roman" w:cs="Times New Roman"/>
          <w:i/>
          <w:iCs/>
          <w:kern w:val="0"/>
          <w:lang w:eastAsia="en-GB"/>
          <w14:ligatures w14:val="none"/>
        </w:rPr>
        <w:t>Higher Education, 83</w:t>
      </w:r>
      <w:r w:rsidRPr="00B854EE">
        <w:rPr>
          <w:rFonts w:ascii="Times New Roman" w:eastAsia="Times New Roman" w:hAnsi="Times New Roman" w:cs="Times New Roman"/>
          <w:kern w:val="0"/>
          <w:lang w:eastAsia="en-GB"/>
          <w14:ligatures w14:val="none"/>
        </w:rPr>
        <w:t xml:space="preserve">(3), 673–694. </w:t>
      </w:r>
      <w:hyperlink r:id="rId66" w:tgtFrame="_new" w:history="1">
        <w:r w:rsidRPr="00B854EE">
          <w:rPr>
            <w:rFonts w:ascii="Times New Roman" w:eastAsia="Times New Roman" w:hAnsi="Times New Roman" w:cs="Times New Roman"/>
            <w:color w:val="0000FF"/>
            <w:kern w:val="0"/>
            <w:u w:val="single"/>
            <w:lang w:eastAsia="en-GB"/>
            <w14:ligatures w14:val="none"/>
          </w:rPr>
          <w:t>https://doi.org/10.1007/s10734-021-00693-9</w:t>
        </w:r>
      </w:hyperlink>
    </w:p>
    <w:p w14:paraId="71719F13" w14:textId="77777777" w:rsidR="00B854EE" w:rsidRPr="00B854EE" w:rsidRDefault="00B854EE" w:rsidP="00B854EE">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B854EE">
        <w:rPr>
          <w:rFonts w:ascii="Times New Roman" w:eastAsia="Times New Roman" w:hAnsi="Times New Roman" w:cs="Times New Roman"/>
          <w:kern w:val="0"/>
          <w:lang w:eastAsia="en-GB"/>
          <w14:ligatures w14:val="none"/>
        </w:rPr>
        <w:t>Kivunja</w:t>
      </w:r>
      <w:proofErr w:type="spellEnd"/>
      <w:r w:rsidRPr="00B854EE">
        <w:rPr>
          <w:rFonts w:ascii="Times New Roman" w:eastAsia="Times New Roman" w:hAnsi="Times New Roman" w:cs="Times New Roman"/>
          <w:kern w:val="0"/>
          <w:lang w:eastAsia="en-GB"/>
          <w14:ligatures w14:val="none"/>
        </w:rPr>
        <w:t xml:space="preserve">, C., &amp; </w:t>
      </w:r>
      <w:proofErr w:type="spellStart"/>
      <w:r w:rsidRPr="00B854EE">
        <w:rPr>
          <w:rFonts w:ascii="Times New Roman" w:eastAsia="Times New Roman" w:hAnsi="Times New Roman" w:cs="Times New Roman"/>
          <w:kern w:val="0"/>
          <w:lang w:eastAsia="en-GB"/>
          <w14:ligatures w14:val="none"/>
        </w:rPr>
        <w:t>Kuyini</w:t>
      </w:r>
      <w:proofErr w:type="spellEnd"/>
      <w:r w:rsidRPr="00B854EE">
        <w:rPr>
          <w:rFonts w:ascii="Times New Roman" w:eastAsia="Times New Roman" w:hAnsi="Times New Roman" w:cs="Times New Roman"/>
          <w:kern w:val="0"/>
          <w:lang w:eastAsia="en-GB"/>
          <w14:ligatures w14:val="none"/>
        </w:rPr>
        <w:t xml:space="preserve">, A. B. (2017). Understanding and applying research paradigms in educational contexts. </w:t>
      </w:r>
      <w:r w:rsidRPr="00B854EE">
        <w:rPr>
          <w:rFonts w:ascii="Times New Roman" w:eastAsia="Times New Roman" w:hAnsi="Times New Roman" w:cs="Times New Roman"/>
          <w:i/>
          <w:iCs/>
          <w:kern w:val="0"/>
          <w:lang w:eastAsia="en-GB"/>
          <w14:ligatures w14:val="none"/>
        </w:rPr>
        <w:t>International Journal of Higher Education, 6</w:t>
      </w:r>
      <w:r w:rsidRPr="00B854EE">
        <w:rPr>
          <w:rFonts w:ascii="Times New Roman" w:eastAsia="Times New Roman" w:hAnsi="Times New Roman" w:cs="Times New Roman"/>
          <w:kern w:val="0"/>
          <w:lang w:eastAsia="en-GB"/>
          <w14:ligatures w14:val="none"/>
        </w:rPr>
        <w:t xml:space="preserve">(5), 26–41. </w:t>
      </w:r>
      <w:hyperlink r:id="rId67" w:tgtFrame="_new" w:history="1">
        <w:r w:rsidRPr="00B854EE">
          <w:rPr>
            <w:rFonts w:ascii="Times New Roman" w:eastAsia="Times New Roman" w:hAnsi="Times New Roman" w:cs="Times New Roman"/>
            <w:color w:val="0000FF"/>
            <w:kern w:val="0"/>
            <w:u w:val="single"/>
            <w:lang w:eastAsia="en-GB"/>
            <w14:ligatures w14:val="none"/>
          </w:rPr>
          <w:t>https://doi.org/10.5430/ijhe.v6n5p26</w:t>
        </w:r>
      </w:hyperlink>
    </w:p>
    <w:p w14:paraId="2EF09DFB" w14:textId="77777777" w:rsidR="00B854EE" w:rsidRPr="00B854EE" w:rsidRDefault="00B854EE" w:rsidP="00B854EE">
      <w:pPr>
        <w:spacing w:before="100" w:beforeAutospacing="1" w:after="100" w:afterAutospacing="1" w:line="240" w:lineRule="auto"/>
        <w:rPr>
          <w:rFonts w:ascii="Times New Roman" w:eastAsia="Times New Roman" w:hAnsi="Times New Roman" w:cs="Times New Roman"/>
          <w:kern w:val="0"/>
          <w:lang w:eastAsia="en-GB"/>
          <w14:ligatures w14:val="none"/>
        </w:rPr>
      </w:pPr>
      <w:r w:rsidRPr="00B854EE">
        <w:rPr>
          <w:rFonts w:ascii="Times New Roman" w:eastAsia="Times New Roman" w:hAnsi="Times New Roman" w:cs="Times New Roman"/>
          <w:kern w:val="0"/>
          <w:lang w:eastAsia="en-GB"/>
          <w14:ligatures w14:val="none"/>
        </w:rPr>
        <w:t xml:space="preserve">Li, Y., Savage, M., &amp; Warde, A. (2008). Social mobility and social capital in contemporary Britain. </w:t>
      </w:r>
      <w:r w:rsidRPr="00B854EE">
        <w:rPr>
          <w:rFonts w:ascii="Times New Roman" w:eastAsia="Times New Roman" w:hAnsi="Times New Roman" w:cs="Times New Roman"/>
          <w:i/>
          <w:iCs/>
          <w:kern w:val="0"/>
          <w:lang w:eastAsia="en-GB"/>
          <w14:ligatures w14:val="none"/>
        </w:rPr>
        <w:t>British Journal of Sociology, 59</w:t>
      </w:r>
      <w:r w:rsidRPr="00B854EE">
        <w:rPr>
          <w:rFonts w:ascii="Times New Roman" w:eastAsia="Times New Roman" w:hAnsi="Times New Roman" w:cs="Times New Roman"/>
          <w:kern w:val="0"/>
          <w:lang w:eastAsia="en-GB"/>
          <w14:ligatures w14:val="none"/>
        </w:rPr>
        <w:t xml:space="preserve">(3), 391–411. </w:t>
      </w:r>
      <w:hyperlink r:id="rId68" w:tgtFrame="_new" w:history="1">
        <w:r w:rsidRPr="00B854EE">
          <w:rPr>
            <w:rFonts w:ascii="Times New Roman" w:eastAsia="Times New Roman" w:hAnsi="Times New Roman" w:cs="Times New Roman"/>
            <w:color w:val="0000FF"/>
            <w:kern w:val="0"/>
            <w:u w:val="single"/>
            <w:lang w:eastAsia="en-GB"/>
            <w14:ligatures w14:val="none"/>
          </w:rPr>
          <w:t>https://doi.org/10.1111/j.1468-4446.2008.00200.x</w:t>
        </w:r>
      </w:hyperlink>
    </w:p>
    <w:p w14:paraId="5FE9663F" w14:textId="77777777" w:rsidR="00B854EE" w:rsidRPr="00B854EE" w:rsidRDefault="00B854EE" w:rsidP="00B854EE">
      <w:pPr>
        <w:spacing w:before="100" w:beforeAutospacing="1" w:after="100" w:afterAutospacing="1" w:line="240" w:lineRule="auto"/>
        <w:rPr>
          <w:rFonts w:ascii="Times New Roman" w:eastAsia="Times New Roman" w:hAnsi="Times New Roman" w:cs="Times New Roman"/>
          <w:kern w:val="0"/>
          <w:lang w:eastAsia="en-GB"/>
          <w14:ligatures w14:val="none"/>
        </w:rPr>
      </w:pPr>
      <w:r w:rsidRPr="00B854EE">
        <w:rPr>
          <w:rFonts w:ascii="Times New Roman" w:eastAsia="Times New Roman" w:hAnsi="Times New Roman" w:cs="Times New Roman"/>
          <w:kern w:val="0"/>
          <w:lang w:eastAsia="en-GB"/>
          <w14:ligatures w14:val="none"/>
        </w:rPr>
        <w:t xml:space="preserve">Moser, P. K. (2009). </w:t>
      </w:r>
      <w:r w:rsidRPr="00B854EE">
        <w:rPr>
          <w:rFonts w:ascii="Times New Roman" w:eastAsia="Times New Roman" w:hAnsi="Times New Roman" w:cs="Times New Roman"/>
          <w:i/>
          <w:iCs/>
          <w:kern w:val="0"/>
          <w:lang w:eastAsia="en-GB"/>
          <w14:ligatures w14:val="none"/>
        </w:rPr>
        <w:t>The Oxford handbook of epistemology.</w:t>
      </w:r>
      <w:r w:rsidRPr="00B854EE">
        <w:rPr>
          <w:rFonts w:ascii="Times New Roman" w:eastAsia="Times New Roman" w:hAnsi="Times New Roman" w:cs="Times New Roman"/>
          <w:kern w:val="0"/>
          <w:lang w:eastAsia="en-GB"/>
          <w14:ligatures w14:val="none"/>
        </w:rPr>
        <w:t xml:space="preserve"> Oxford University Press. </w:t>
      </w:r>
      <w:hyperlink r:id="rId69" w:tgtFrame="_new" w:history="1">
        <w:r w:rsidRPr="00B854EE">
          <w:rPr>
            <w:rFonts w:ascii="Times New Roman" w:eastAsia="Times New Roman" w:hAnsi="Times New Roman" w:cs="Times New Roman"/>
            <w:color w:val="0000FF"/>
            <w:kern w:val="0"/>
            <w:u w:val="single"/>
            <w:lang w:eastAsia="en-GB"/>
            <w14:ligatures w14:val="none"/>
          </w:rPr>
          <w:t>https://doi.org/10.1093/oxfordhb/9780195301700.001.0001</w:t>
        </w:r>
      </w:hyperlink>
    </w:p>
    <w:p w14:paraId="18046458" w14:textId="77777777" w:rsidR="00B854EE" w:rsidRPr="00B854EE" w:rsidRDefault="00B854EE" w:rsidP="00B854EE">
      <w:pPr>
        <w:spacing w:before="100" w:beforeAutospacing="1" w:after="100" w:afterAutospacing="1" w:line="240" w:lineRule="auto"/>
        <w:rPr>
          <w:rFonts w:ascii="Times New Roman" w:eastAsia="Times New Roman" w:hAnsi="Times New Roman" w:cs="Times New Roman"/>
          <w:kern w:val="0"/>
          <w:lang w:eastAsia="en-GB"/>
          <w14:ligatures w14:val="none"/>
        </w:rPr>
      </w:pPr>
      <w:r w:rsidRPr="00B854EE">
        <w:rPr>
          <w:rFonts w:ascii="Times New Roman" w:eastAsia="Times New Roman" w:hAnsi="Times New Roman" w:cs="Times New Roman"/>
          <w:kern w:val="0"/>
          <w:lang w:eastAsia="en-GB"/>
          <w14:ligatures w14:val="none"/>
        </w:rPr>
        <w:t xml:space="preserve">Nguyen, D. (2019). Regional economic disparities and development in the UK (No. 10). </w:t>
      </w:r>
      <w:r w:rsidRPr="00B854EE">
        <w:rPr>
          <w:rFonts w:ascii="Times New Roman" w:eastAsia="Times New Roman" w:hAnsi="Times New Roman" w:cs="Times New Roman"/>
          <w:i/>
          <w:iCs/>
          <w:kern w:val="0"/>
          <w:lang w:eastAsia="en-GB"/>
          <w14:ligatures w14:val="none"/>
        </w:rPr>
        <w:t>National Institute of Economic and Social Research.</w:t>
      </w:r>
    </w:p>
    <w:p w14:paraId="7B8A3531" w14:textId="77777777" w:rsidR="00B854EE" w:rsidRPr="00B854EE" w:rsidRDefault="00B854EE" w:rsidP="00B854EE">
      <w:pPr>
        <w:spacing w:before="100" w:beforeAutospacing="1" w:after="100" w:afterAutospacing="1" w:line="240" w:lineRule="auto"/>
        <w:rPr>
          <w:rFonts w:ascii="Times New Roman" w:eastAsia="Times New Roman" w:hAnsi="Times New Roman" w:cs="Times New Roman"/>
          <w:kern w:val="0"/>
          <w:lang w:eastAsia="en-GB"/>
          <w14:ligatures w14:val="none"/>
        </w:rPr>
      </w:pPr>
      <w:r w:rsidRPr="00B854EE">
        <w:rPr>
          <w:rFonts w:ascii="Times New Roman" w:eastAsia="Times New Roman" w:hAnsi="Times New Roman" w:cs="Times New Roman"/>
          <w:kern w:val="0"/>
          <w:lang w:eastAsia="en-GB"/>
          <w14:ligatures w14:val="none"/>
        </w:rPr>
        <w:t xml:space="preserve">Nichol, A. J., Hastings, C., &amp; Elder-Vass, D. (2023). Putting philosophy to work: Developing the conceptual architecture of research projects. </w:t>
      </w:r>
      <w:r w:rsidRPr="00B854EE">
        <w:rPr>
          <w:rFonts w:ascii="Times New Roman" w:eastAsia="Times New Roman" w:hAnsi="Times New Roman" w:cs="Times New Roman"/>
          <w:i/>
          <w:iCs/>
          <w:kern w:val="0"/>
          <w:lang w:eastAsia="en-GB"/>
          <w14:ligatures w14:val="none"/>
        </w:rPr>
        <w:t>Journal of Critical Realism, 22</w:t>
      </w:r>
      <w:r w:rsidRPr="00B854EE">
        <w:rPr>
          <w:rFonts w:ascii="Times New Roman" w:eastAsia="Times New Roman" w:hAnsi="Times New Roman" w:cs="Times New Roman"/>
          <w:kern w:val="0"/>
          <w:lang w:eastAsia="en-GB"/>
          <w14:ligatures w14:val="none"/>
        </w:rPr>
        <w:t xml:space="preserve">(3), 364–383. </w:t>
      </w:r>
      <w:hyperlink r:id="rId70" w:tgtFrame="_new" w:history="1">
        <w:r w:rsidRPr="00B854EE">
          <w:rPr>
            <w:rFonts w:ascii="Times New Roman" w:eastAsia="Times New Roman" w:hAnsi="Times New Roman" w:cs="Times New Roman"/>
            <w:color w:val="0000FF"/>
            <w:kern w:val="0"/>
            <w:u w:val="single"/>
            <w:lang w:eastAsia="en-GB"/>
            <w14:ligatures w14:val="none"/>
          </w:rPr>
          <w:t>https://doi.org/10.1080/14767430.2023.2217054</w:t>
        </w:r>
      </w:hyperlink>
    </w:p>
    <w:p w14:paraId="0027A5F8" w14:textId="77777777" w:rsidR="00B854EE" w:rsidRPr="00B854EE" w:rsidRDefault="00B854EE" w:rsidP="00B854EE">
      <w:pPr>
        <w:spacing w:before="100" w:beforeAutospacing="1" w:after="100" w:afterAutospacing="1" w:line="240" w:lineRule="auto"/>
        <w:rPr>
          <w:rFonts w:ascii="Times New Roman" w:eastAsia="Times New Roman" w:hAnsi="Times New Roman" w:cs="Times New Roman"/>
          <w:kern w:val="0"/>
          <w:lang w:eastAsia="en-GB"/>
          <w14:ligatures w14:val="none"/>
        </w:rPr>
      </w:pPr>
      <w:r w:rsidRPr="00B854EE">
        <w:rPr>
          <w:rFonts w:ascii="Times New Roman" w:eastAsia="Times New Roman" w:hAnsi="Times New Roman" w:cs="Times New Roman"/>
          <w:kern w:val="0"/>
          <w:lang w:eastAsia="en-GB"/>
          <w14:ligatures w14:val="none"/>
        </w:rPr>
        <w:t xml:space="preserve">Ohler, L. (2001). Ethical considerations in research: A framework for practice. </w:t>
      </w:r>
      <w:r w:rsidRPr="00B854EE">
        <w:rPr>
          <w:rFonts w:ascii="Times New Roman" w:eastAsia="Times New Roman" w:hAnsi="Times New Roman" w:cs="Times New Roman"/>
          <w:i/>
          <w:iCs/>
          <w:kern w:val="0"/>
          <w:lang w:eastAsia="en-GB"/>
          <w14:ligatures w14:val="none"/>
        </w:rPr>
        <w:t>Progress in Transplantation, 11</w:t>
      </w:r>
      <w:r w:rsidRPr="00B854EE">
        <w:rPr>
          <w:rFonts w:ascii="Times New Roman" w:eastAsia="Times New Roman" w:hAnsi="Times New Roman" w:cs="Times New Roman"/>
          <w:kern w:val="0"/>
          <w:lang w:eastAsia="en-GB"/>
          <w14:ligatures w14:val="none"/>
        </w:rPr>
        <w:t xml:space="preserve">(4), 240–242. </w:t>
      </w:r>
      <w:hyperlink r:id="rId71" w:tgtFrame="_new" w:history="1">
        <w:r w:rsidRPr="00B854EE">
          <w:rPr>
            <w:rFonts w:ascii="Times New Roman" w:eastAsia="Times New Roman" w:hAnsi="Times New Roman" w:cs="Times New Roman"/>
            <w:color w:val="0000FF"/>
            <w:kern w:val="0"/>
            <w:u w:val="single"/>
            <w:lang w:eastAsia="en-GB"/>
            <w14:ligatures w14:val="none"/>
          </w:rPr>
          <w:t>https://doi.org/10.1177/152692480101100401</w:t>
        </w:r>
      </w:hyperlink>
    </w:p>
    <w:p w14:paraId="0C16D6AA" w14:textId="77777777" w:rsidR="00B854EE" w:rsidRPr="00B854EE" w:rsidRDefault="00B854EE" w:rsidP="00B854EE">
      <w:pPr>
        <w:spacing w:before="100" w:beforeAutospacing="1" w:after="100" w:afterAutospacing="1" w:line="240" w:lineRule="auto"/>
        <w:rPr>
          <w:rFonts w:ascii="Times New Roman" w:eastAsia="Times New Roman" w:hAnsi="Times New Roman" w:cs="Times New Roman"/>
          <w:kern w:val="0"/>
          <w:lang w:eastAsia="en-GB"/>
          <w14:ligatures w14:val="none"/>
        </w:rPr>
      </w:pPr>
      <w:r w:rsidRPr="00B854EE">
        <w:rPr>
          <w:rFonts w:ascii="Times New Roman" w:eastAsia="Times New Roman" w:hAnsi="Times New Roman" w:cs="Times New Roman"/>
          <w:kern w:val="0"/>
          <w:lang w:eastAsia="en-GB"/>
          <w14:ligatures w14:val="none"/>
        </w:rPr>
        <w:t xml:space="preserve">ONS. (2021). The National Statistics Socio-economic Classification (NS-SEC). </w:t>
      </w:r>
      <w:r w:rsidRPr="00B854EE">
        <w:rPr>
          <w:rFonts w:ascii="Times New Roman" w:eastAsia="Times New Roman" w:hAnsi="Times New Roman" w:cs="Times New Roman"/>
          <w:i/>
          <w:iCs/>
          <w:kern w:val="0"/>
          <w:lang w:eastAsia="en-GB"/>
          <w14:ligatures w14:val="none"/>
        </w:rPr>
        <w:t>Office for National Statistics.</w:t>
      </w:r>
      <w:r w:rsidRPr="00B854EE">
        <w:rPr>
          <w:rFonts w:ascii="Times New Roman" w:eastAsia="Times New Roman" w:hAnsi="Times New Roman" w:cs="Times New Roman"/>
          <w:kern w:val="0"/>
          <w:lang w:eastAsia="en-GB"/>
          <w14:ligatures w14:val="none"/>
        </w:rPr>
        <w:t xml:space="preserve"> Retrieved from </w:t>
      </w:r>
      <w:hyperlink r:id="rId72" w:tgtFrame="_new" w:history="1">
        <w:r w:rsidRPr="00B854EE">
          <w:rPr>
            <w:rFonts w:ascii="Times New Roman" w:eastAsia="Times New Roman" w:hAnsi="Times New Roman" w:cs="Times New Roman"/>
            <w:color w:val="0000FF"/>
            <w:kern w:val="0"/>
            <w:u w:val="single"/>
            <w:lang w:eastAsia="en-GB"/>
            <w14:ligatures w14:val="none"/>
          </w:rPr>
          <w:t>https://www.ons.gov.uk/methodology/classificationsandstandards/otherclassifications/thenationalstatisticssocioeconomicclassificationnssecrebasedonsoc2010</w:t>
        </w:r>
      </w:hyperlink>
    </w:p>
    <w:p w14:paraId="6335FABE" w14:textId="77777777" w:rsidR="00B854EE" w:rsidRPr="00B854EE" w:rsidRDefault="00B854EE" w:rsidP="00B854EE">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B854EE">
        <w:rPr>
          <w:rFonts w:ascii="Times New Roman" w:eastAsia="Times New Roman" w:hAnsi="Times New Roman" w:cs="Times New Roman"/>
          <w:kern w:val="0"/>
          <w:lang w:eastAsia="en-GB"/>
          <w14:ligatures w14:val="none"/>
        </w:rPr>
        <w:t>Pessu</w:t>
      </w:r>
      <w:proofErr w:type="spellEnd"/>
      <w:r w:rsidRPr="00B854EE">
        <w:rPr>
          <w:rFonts w:ascii="Times New Roman" w:eastAsia="Times New Roman" w:hAnsi="Times New Roman" w:cs="Times New Roman"/>
          <w:kern w:val="0"/>
          <w:lang w:eastAsia="en-GB"/>
          <w14:ligatures w14:val="none"/>
        </w:rPr>
        <w:t xml:space="preserve">, T. R. (2019). Understanding research paradigms: An ontological perspective to business research. </w:t>
      </w:r>
      <w:proofErr w:type="spellStart"/>
      <w:r w:rsidRPr="00B854EE">
        <w:rPr>
          <w:rFonts w:ascii="Times New Roman" w:eastAsia="Times New Roman" w:hAnsi="Times New Roman" w:cs="Times New Roman"/>
          <w:i/>
          <w:iCs/>
          <w:kern w:val="0"/>
          <w:lang w:eastAsia="en-GB"/>
          <w14:ligatures w14:val="none"/>
        </w:rPr>
        <w:t>IOSR</w:t>
      </w:r>
      <w:proofErr w:type="spellEnd"/>
      <w:r w:rsidRPr="00B854EE">
        <w:rPr>
          <w:rFonts w:ascii="Times New Roman" w:eastAsia="Times New Roman" w:hAnsi="Times New Roman" w:cs="Times New Roman"/>
          <w:i/>
          <w:iCs/>
          <w:kern w:val="0"/>
          <w:lang w:eastAsia="en-GB"/>
          <w14:ligatures w14:val="none"/>
        </w:rPr>
        <w:t xml:space="preserve"> Journal of Research &amp; Method in Education, 9</w:t>
      </w:r>
      <w:r w:rsidRPr="00B854EE">
        <w:rPr>
          <w:rFonts w:ascii="Times New Roman" w:eastAsia="Times New Roman" w:hAnsi="Times New Roman" w:cs="Times New Roman"/>
          <w:kern w:val="0"/>
          <w:lang w:eastAsia="en-GB"/>
          <w14:ligatures w14:val="none"/>
        </w:rPr>
        <w:t xml:space="preserve">(4), 38–40. </w:t>
      </w:r>
      <w:hyperlink r:id="rId73" w:tgtFrame="_new" w:history="1">
        <w:r w:rsidRPr="00B854EE">
          <w:rPr>
            <w:rFonts w:ascii="Times New Roman" w:eastAsia="Times New Roman" w:hAnsi="Times New Roman" w:cs="Times New Roman"/>
            <w:color w:val="0000FF"/>
            <w:kern w:val="0"/>
            <w:u w:val="single"/>
            <w:lang w:eastAsia="en-GB"/>
            <w14:ligatures w14:val="none"/>
          </w:rPr>
          <w:t>https://doi.org/10.9790/1959-0904033840</w:t>
        </w:r>
      </w:hyperlink>
    </w:p>
    <w:p w14:paraId="28E14214" w14:textId="77777777" w:rsidR="00B854EE" w:rsidRPr="00B854EE" w:rsidRDefault="00B854EE" w:rsidP="00B854EE">
      <w:pPr>
        <w:spacing w:before="100" w:beforeAutospacing="1" w:after="100" w:afterAutospacing="1" w:line="240" w:lineRule="auto"/>
        <w:rPr>
          <w:rFonts w:ascii="Times New Roman" w:eastAsia="Times New Roman" w:hAnsi="Times New Roman" w:cs="Times New Roman"/>
          <w:kern w:val="0"/>
          <w:lang w:eastAsia="en-GB"/>
          <w14:ligatures w14:val="none"/>
        </w:rPr>
      </w:pPr>
      <w:r w:rsidRPr="00B854EE">
        <w:rPr>
          <w:rFonts w:ascii="Times New Roman" w:eastAsia="Times New Roman" w:hAnsi="Times New Roman" w:cs="Times New Roman"/>
          <w:kern w:val="0"/>
          <w:lang w:eastAsia="en-GB"/>
          <w14:ligatures w14:val="none"/>
        </w:rPr>
        <w:t xml:space="preserve">Saunders, M. (2009). </w:t>
      </w:r>
      <w:r w:rsidRPr="00B854EE">
        <w:rPr>
          <w:rFonts w:ascii="Times New Roman" w:eastAsia="Times New Roman" w:hAnsi="Times New Roman" w:cs="Times New Roman"/>
          <w:i/>
          <w:iCs/>
          <w:kern w:val="0"/>
          <w:lang w:eastAsia="en-GB"/>
          <w14:ligatures w14:val="none"/>
        </w:rPr>
        <w:t>Research methods for business students.</w:t>
      </w:r>
      <w:r w:rsidRPr="00B854EE">
        <w:rPr>
          <w:rFonts w:ascii="Times New Roman" w:eastAsia="Times New Roman" w:hAnsi="Times New Roman" w:cs="Times New Roman"/>
          <w:kern w:val="0"/>
          <w:lang w:eastAsia="en-GB"/>
          <w14:ligatures w14:val="none"/>
        </w:rPr>
        <w:t xml:space="preserve"> Pearson Education Limited.</w:t>
      </w:r>
    </w:p>
    <w:p w14:paraId="64B0B582" w14:textId="77777777" w:rsidR="00B854EE" w:rsidRPr="00B854EE" w:rsidRDefault="00B854EE" w:rsidP="00B854EE">
      <w:pPr>
        <w:spacing w:before="100" w:beforeAutospacing="1" w:after="100" w:afterAutospacing="1" w:line="240" w:lineRule="auto"/>
        <w:rPr>
          <w:rFonts w:ascii="Times New Roman" w:eastAsia="Times New Roman" w:hAnsi="Times New Roman" w:cs="Times New Roman"/>
          <w:kern w:val="0"/>
          <w:lang w:eastAsia="en-GB"/>
          <w14:ligatures w14:val="none"/>
        </w:rPr>
      </w:pPr>
      <w:r w:rsidRPr="00B854EE">
        <w:rPr>
          <w:rFonts w:ascii="Times New Roman" w:eastAsia="Times New Roman" w:hAnsi="Times New Roman" w:cs="Times New Roman"/>
          <w:kern w:val="0"/>
          <w:lang w:eastAsia="en-GB"/>
          <w14:ligatures w14:val="none"/>
        </w:rPr>
        <w:lastRenderedPageBreak/>
        <w:t xml:space="preserve">Takeuchi, H., Yamaguchi, E., Wada, H., &amp; Sato, Y. (2017). Socioeconomic status based on household income - Findings from Japan. </w:t>
      </w:r>
      <w:r w:rsidRPr="00B854EE">
        <w:rPr>
          <w:rFonts w:ascii="Times New Roman" w:eastAsia="Times New Roman" w:hAnsi="Times New Roman" w:cs="Times New Roman"/>
          <w:i/>
          <w:iCs/>
          <w:kern w:val="0"/>
          <w:lang w:eastAsia="en-GB"/>
          <w14:ligatures w14:val="none"/>
        </w:rPr>
        <w:t>European Journal of Public Health, 27</w:t>
      </w:r>
      <w:r w:rsidRPr="00B854EE">
        <w:rPr>
          <w:rFonts w:ascii="Times New Roman" w:eastAsia="Times New Roman" w:hAnsi="Times New Roman" w:cs="Times New Roman"/>
          <w:kern w:val="0"/>
          <w:lang w:eastAsia="en-GB"/>
          <w14:ligatures w14:val="none"/>
        </w:rPr>
        <w:t xml:space="preserve">(suppl_3). </w:t>
      </w:r>
      <w:hyperlink r:id="rId74" w:tgtFrame="_new" w:history="1">
        <w:r w:rsidRPr="00B854EE">
          <w:rPr>
            <w:rFonts w:ascii="Times New Roman" w:eastAsia="Times New Roman" w:hAnsi="Times New Roman" w:cs="Times New Roman"/>
            <w:color w:val="0000FF"/>
            <w:kern w:val="0"/>
            <w:u w:val="single"/>
            <w:lang w:eastAsia="en-GB"/>
            <w14:ligatures w14:val="none"/>
          </w:rPr>
          <w:t>https://doi.org/10.1093/eurpub/ckx186.307</w:t>
        </w:r>
      </w:hyperlink>
    </w:p>
    <w:p w14:paraId="6A301790" w14:textId="77777777" w:rsidR="00B854EE" w:rsidRPr="00B854EE" w:rsidRDefault="00B854EE" w:rsidP="00B854EE">
      <w:pPr>
        <w:spacing w:before="100" w:beforeAutospacing="1" w:after="100" w:afterAutospacing="1" w:line="240" w:lineRule="auto"/>
        <w:rPr>
          <w:rFonts w:ascii="Times New Roman" w:eastAsia="Times New Roman" w:hAnsi="Times New Roman" w:cs="Times New Roman"/>
          <w:kern w:val="0"/>
          <w:lang w:eastAsia="en-GB"/>
          <w14:ligatures w14:val="none"/>
        </w:rPr>
      </w:pPr>
      <w:r w:rsidRPr="00B854EE">
        <w:rPr>
          <w:rFonts w:ascii="Times New Roman" w:eastAsia="Times New Roman" w:hAnsi="Times New Roman" w:cs="Times New Roman"/>
          <w:kern w:val="0"/>
          <w:lang w:val="pl-PL" w:eastAsia="en-GB"/>
          <w14:ligatures w14:val="none"/>
        </w:rPr>
        <w:t xml:space="preserve">Tomaszewski, W., Xiang, N., &amp; Kubler, M. (2024). </w:t>
      </w:r>
      <w:r w:rsidRPr="00B854EE">
        <w:rPr>
          <w:rFonts w:ascii="Times New Roman" w:eastAsia="Times New Roman" w:hAnsi="Times New Roman" w:cs="Times New Roman"/>
          <w:kern w:val="0"/>
          <w:lang w:eastAsia="en-GB"/>
          <w14:ligatures w14:val="none"/>
        </w:rPr>
        <w:t xml:space="preserve">Socio-economic status, school performance, and university participation: Evidence from linked administrative and survey data from Australia. </w:t>
      </w:r>
      <w:r w:rsidRPr="00B854EE">
        <w:rPr>
          <w:rFonts w:ascii="Times New Roman" w:eastAsia="Times New Roman" w:hAnsi="Times New Roman" w:cs="Times New Roman"/>
          <w:i/>
          <w:iCs/>
          <w:kern w:val="0"/>
          <w:lang w:eastAsia="en-GB"/>
          <w14:ligatures w14:val="none"/>
        </w:rPr>
        <w:t>Higher Education.</w:t>
      </w:r>
      <w:r w:rsidRPr="00B854EE">
        <w:rPr>
          <w:rFonts w:ascii="Times New Roman" w:eastAsia="Times New Roman" w:hAnsi="Times New Roman" w:cs="Times New Roman"/>
          <w:kern w:val="0"/>
          <w:lang w:eastAsia="en-GB"/>
          <w14:ligatures w14:val="none"/>
        </w:rPr>
        <w:t xml:space="preserve"> </w:t>
      </w:r>
      <w:hyperlink r:id="rId75" w:tgtFrame="_new" w:history="1">
        <w:r w:rsidRPr="00B854EE">
          <w:rPr>
            <w:rFonts w:ascii="Times New Roman" w:eastAsia="Times New Roman" w:hAnsi="Times New Roman" w:cs="Times New Roman"/>
            <w:color w:val="0000FF"/>
            <w:kern w:val="0"/>
            <w:u w:val="single"/>
            <w:lang w:eastAsia="en-GB"/>
            <w14:ligatures w14:val="none"/>
          </w:rPr>
          <w:t>https://doi.org/10.1007/s10734-024-01245-7</w:t>
        </w:r>
      </w:hyperlink>
    </w:p>
    <w:p w14:paraId="7C0277A9" w14:textId="77777777" w:rsidR="00B854EE" w:rsidRPr="00B854EE" w:rsidRDefault="00B854EE" w:rsidP="00C71B3C">
      <w:pPr>
        <w:pStyle w:val="NormalWeb"/>
        <w:rPr>
          <w:color w:val="FF0000"/>
        </w:rPr>
      </w:pPr>
    </w:p>
    <w:p w14:paraId="77786754" w14:textId="77777777" w:rsidR="004219B2" w:rsidRDefault="004219B2" w:rsidP="008B3F9D">
      <w:pPr>
        <w:pStyle w:val="NormalWeb"/>
      </w:pPr>
    </w:p>
    <w:p w14:paraId="6E0F1724" w14:textId="77777777" w:rsidR="00975114" w:rsidRDefault="00975114" w:rsidP="008B3F9D">
      <w:pPr>
        <w:pStyle w:val="NormalWeb"/>
        <w:rPr>
          <w:color w:val="000000"/>
        </w:rPr>
      </w:pPr>
    </w:p>
    <w:p w14:paraId="3D44B5D9" w14:textId="7855ABC7" w:rsidR="008B3F9D" w:rsidRDefault="008B3F9D" w:rsidP="008B3F9D">
      <w:pPr>
        <w:pStyle w:val="NormalWeb"/>
        <w:rPr>
          <w:color w:val="000000"/>
        </w:rPr>
      </w:pPr>
    </w:p>
    <w:p w14:paraId="09C70E82" w14:textId="10011B67" w:rsidR="003821DE" w:rsidRDefault="003821DE" w:rsidP="003821DE">
      <w:pPr>
        <w:pStyle w:val="NormalWeb"/>
        <w:rPr>
          <w:color w:val="000000"/>
        </w:rPr>
      </w:pPr>
    </w:p>
    <w:p w14:paraId="165CE9A0" w14:textId="77777777" w:rsidR="001D7135" w:rsidRPr="001D7135" w:rsidRDefault="001D7135" w:rsidP="001D7135">
      <w:pPr>
        <w:rPr>
          <w:b/>
          <w:bCs/>
          <w:sz w:val="28"/>
          <w:szCs w:val="28"/>
        </w:rPr>
      </w:pPr>
    </w:p>
    <w:p w14:paraId="057B55D4" w14:textId="77777777" w:rsidR="001D7135" w:rsidRDefault="001D7135" w:rsidP="001D7135">
      <w:pPr>
        <w:rPr>
          <w:b/>
          <w:bCs/>
          <w:sz w:val="28"/>
          <w:szCs w:val="28"/>
        </w:rPr>
      </w:pPr>
    </w:p>
    <w:p w14:paraId="67984A0E" w14:textId="77777777" w:rsidR="001D7135" w:rsidRDefault="001D7135" w:rsidP="001D7135">
      <w:pPr>
        <w:rPr>
          <w:b/>
          <w:bCs/>
          <w:sz w:val="28"/>
          <w:szCs w:val="28"/>
        </w:rPr>
      </w:pPr>
    </w:p>
    <w:p w14:paraId="585DE316" w14:textId="77777777" w:rsidR="001D7135" w:rsidRDefault="001D7135" w:rsidP="001D7135">
      <w:pPr>
        <w:rPr>
          <w:b/>
          <w:bCs/>
          <w:sz w:val="28"/>
          <w:szCs w:val="28"/>
        </w:rPr>
      </w:pPr>
    </w:p>
    <w:p w14:paraId="24DDA154" w14:textId="77777777" w:rsidR="001D7135" w:rsidRDefault="001D7135" w:rsidP="001D7135">
      <w:pPr>
        <w:rPr>
          <w:b/>
          <w:bCs/>
          <w:sz w:val="28"/>
          <w:szCs w:val="28"/>
        </w:rPr>
      </w:pPr>
    </w:p>
    <w:p w14:paraId="6582E14A" w14:textId="77777777" w:rsidR="001D7135" w:rsidRDefault="001D7135" w:rsidP="001D7135">
      <w:pPr>
        <w:rPr>
          <w:b/>
          <w:bCs/>
          <w:sz w:val="28"/>
          <w:szCs w:val="28"/>
        </w:rPr>
      </w:pPr>
    </w:p>
    <w:p w14:paraId="6909C28D" w14:textId="77777777" w:rsidR="001D7135" w:rsidRDefault="001D7135" w:rsidP="001D7135">
      <w:pPr>
        <w:rPr>
          <w:b/>
          <w:bCs/>
          <w:sz w:val="28"/>
          <w:szCs w:val="28"/>
        </w:rPr>
      </w:pPr>
    </w:p>
    <w:p w14:paraId="36797FED" w14:textId="77777777" w:rsidR="001D7135" w:rsidRDefault="001D7135" w:rsidP="001D7135">
      <w:pPr>
        <w:rPr>
          <w:b/>
          <w:bCs/>
          <w:sz w:val="28"/>
          <w:szCs w:val="28"/>
        </w:rPr>
      </w:pPr>
    </w:p>
    <w:p w14:paraId="6E2D85BB" w14:textId="77777777" w:rsidR="001D7135" w:rsidRDefault="001D7135" w:rsidP="001D7135">
      <w:pPr>
        <w:rPr>
          <w:b/>
          <w:bCs/>
          <w:sz w:val="28"/>
          <w:szCs w:val="28"/>
        </w:rPr>
      </w:pPr>
    </w:p>
    <w:p w14:paraId="63704095" w14:textId="77777777" w:rsidR="001D7135" w:rsidRDefault="001D7135" w:rsidP="001D7135">
      <w:pPr>
        <w:rPr>
          <w:b/>
          <w:bCs/>
          <w:sz w:val="28"/>
          <w:szCs w:val="28"/>
        </w:rPr>
      </w:pPr>
    </w:p>
    <w:p w14:paraId="646A7276" w14:textId="77777777" w:rsidR="001D7135" w:rsidRDefault="001D7135" w:rsidP="001D7135">
      <w:pPr>
        <w:rPr>
          <w:b/>
          <w:bCs/>
          <w:sz w:val="28"/>
          <w:szCs w:val="28"/>
        </w:rPr>
      </w:pPr>
    </w:p>
    <w:p w14:paraId="62B60D01" w14:textId="77777777" w:rsidR="001D7135" w:rsidRDefault="001D7135" w:rsidP="001D7135">
      <w:pPr>
        <w:rPr>
          <w:b/>
          <w:bCs/>
          <w:sz w:val="28"/>
          <w:szCs w:val="28"/>
        </w:rPr>
      </w:pPr>
    </w:p>
    <w:p w14:paraId="7D1DCE07" w14:textId="77777777" w:rsidR="001D7135" w:rsidRDefault="001D7135" w:rsidP="001D7135">
      <w:pPr>
        <w:rPr>
          <w:b/>
          <w:bCs/>
          <w:sz w:val="28"/>
          <w:szCs w:val="28"/>
        </w:rPr>
      </w:pPr>
    </w:p>
    <w:p w14:paraId="7B75ED9B" w14:textId="77777777" w:rsidR="001D7135" w:rsidRDefault="001D7135" w:rsidP="001D7135">
      <w:pPr>
        <w:rPr>
          <w:b/>
          <w:bCs/>
          <w:sz w:val="28"/>
          <w:szCs w:val="28"/>
        </w:rPr>
      </w:pPr>
    </w:p>
    <w:p w14:paraId="11A7FCF6" w14:textId="77777777" w:rsidR="00B854EE" w:rsidRDefault="00B854EE" w:rsidP="001D7135">
      <w:pPr>
        <w:rPr>
          <w:b/>
          <w:bCs/>
          <w:sz w:val="28"/>
          <w:szCs w:val="28"/>
        </w:rPr>
      </w:pPr>
    </w:p>
    <w:p w14:paraId="2E86DAF1" w14:textId="77777777" w:rsidR="009A5E7A" w:rsidRDefault="009A5E7A" w:rsidP="001D7135">
      <w:pPr>
        <w:rPr>
          <w:b/>
          <w:bCs/>
          <w:sz w:val="28"/>
          <w:szCs w:val="28"/>
        </w:rPr>
      </w:pPr>
    </w:p>
    <w:p w14:paraId="51B2D73C" w14:textId="17DDAEC8" w:rsidR="001D7135" w:rsidRPr="001D7135" w:rsidRDefault="001D7135" w:rsidP="001D7135">
      <w:pPr>
        <w:rPr>
          <w:b/>
          <w:bCs/>
          <w:sz w:val="28"/>
          <w:szCs w:val="28"/>
        </w:rPr>
      </w:pPr>
      <w:r w:rsidRPr="001D7135">
        <w:rPr>
          <w:b/>
          <w:bCs/>
          <w:sz w:val="28"/>
          <w:szCs w:val="28"/>
        </w:rPr>
        <w:lastRenderedPageBreak/>
        <w:t>Appendices</w:t>
      </w:r>
    </w:p>
    <w:p w14:paraId="54F7E812" w14:textId="77777777" w:rsidR="001D7135" w:rsidRPr="001D7135" w:rsidRDefault="001D7135" w:rsidP="001D7135">
      <w:pPr>
        <w:rPr>
          <w:b/>
          <w:bCs/>
          <w:sz w:val="28"/>
          <w:szCs w:val="28"/>
        </w:rPr>
      </w:pPr>
    </w:p>
    <w:tbl>
      <w:tblPr>
        <w:tblStyle w:val="TableGrid"/>
        <w:tblW w:w="6132" w:type="pct"/>
        <w:tblInd w:w="-998" w:type="dxa"/>
        <w:tblLook w:val="04A0" w:firstRow="1" w:lastRow="0" w:firstColumn="1" w:lastColumn="0" w:noHBand="0" w:noVBand="1"/>
      </w:tblPr>
      <w:tblGrid>
        <w:gridCol w:w="2354"/>
        <w:gridCol w:w="1279"/>
        <w:gridCol w:w="1270"/>
        <w:gridCol w:w="1276"/>
        <w:gridCol w:w="1238"/>
        <w:gridCol w:w="1194"/>
        <w:gridCol w:w="2446"/>
      </w:tblGrid>
      <w:tr w:rsidR="001D7135" w:rsidRPr="001D7135" w14:paraId="3F345371" w14:textId="77777777" w:rsidTr="00B854EE">
        <w:tc>
          <w:tcPr>
            <w:tcW w:w="1064" w:type="pct"/>
            <w:vAlign w:val="center"/>
          </w:tcPr>
          <w:p w14:paraId="458EDB1F" w14:textId="77777777" w:rsidR="001D7135" w:rsidRPr="001D7135" w:rsidRDefault="001D7135" w:rsidP="001D7135">
            <w:pPr>
              <w:spacing w:after="160" w:line="278" w:lineRule="auto"/>
              <w:rPr>
                <w:rFonts w:asciiTheme="minorHAnsi" w:eastAsiaTheme="minorHAnsi" w:hAnsiTheme="minorHAnsi" w:cstheme="minorBidi"/>
                <w:b/>
                <w:bCs/>
                <w:kern w:val="2"/>
                <w:sz w:val="18"/>
                <w:szCs w:val="18"/>
                <w:lang w:eastAsia="en-US"/>
                <w14:ligatures w14:val="standardContextual"/>
              </w:rPr>
            </w:pPr>
            <w:r w:rsidRPr="001D7135">
              <w:rPr>
                <w:rFonts w:asciiTheme="minorHAnsi" w:eastAsiaTheme="minorHAnsi" w:hAnsiTheme="minorHAnsi" w:cstheme="minorBidi"/>
                <w:b/>
                <w:bCs/>
                <w:kern w:val="2"/>
                <w:sz w:val="18"/>
                <w:szCs w:val="18"/>
                <w:lang w:eastAsia="en-US"/>
                <w14:ligatures w14:val="standardContextual"/>
              </w:rPr>
              <w:t>Paper</w:t>
            </w:r>
          </w:p>
        </w:tc>
        <w:tc>
          <w:tcPr>
            <w:tcW w:w="578" w:type="pct"/>
            <w:vAlign w:val="center"/>
          </w:tcPr>
          <w:p w14:paraId="14791346" w14:textId="77777777" w:rsidR="001D7135" w:rsidRPr="001D7135" w:rsidRDefault="001D7135" w:rsidP="001D7135">
            <w:pPr>
              <w:spacing w:after="160" w:line="278" w:lineRule="auto"/>
              <w:rPr>
                <w:rFonts w:asciiTheme="minorHAnsi" w:eastAsiaTheme="minorHAnsi" w:hAnsiTheme="minorHAnsi" w:cstheme="minorBidi"/>
                <w:b/>
                <w:bCs/>
                <w:kern w:val="2"/>
                <w:sz w:val="18"/>
                <w:szCs w:val="18"/>
                <w:lang w:eastAsia="en-US"/>
                <w14:ligatures w14:val="standardContextual"/>
              </w:rPr>
            </w:pPr>
            <w:r w:rsidRPr="001D7135">
              <w:rPr>
                <w:rFonts w:asciiTheme="minorHAnsi" w:eastAsiaTheme="minorHAnsi" w:hAnsiTheme="minorHAnsi" w:cstheme="minorBidi"/>
                <w:b/>
                <w:bCs/>
                <w:kern w:val="2"/>
                <w:sz w:val="18"/>
                <w:szCs w:val="18"/>
                <w:lang w:eastAsia="en-US"/>
                <w14:ligatures w14:val="standardContextual"/>
              </w:rPr>
              <w:t>Methodology</w:t>
            </w:r>
          </w:p>
        </w:tc>
        <w:tc>
          <w:tcPr>
            <w:tcW w:w="574" w:type="pct"/>
            <w:vAlign w:val="center"/>
          </w:tcPr>
          <w:p w14:paraId="03E52433" w14:textId="77777777" w:rsidR="001D7135" w:rsidRPr="001D7135" w:rsidRDefault="001D7135" w:rsidP="001D7135">
            <w:pPr>
              <w:spacing w:after="160" w:line="278" w:lineRule="auto"/>
              <w:rPr>
                <w:rFonts w:asciiTheme="minorHAnsi" w:eastAsiaTheme="minorHAnsi" w:hAnsiTheme="minorHAnsi" w:cstheme="minorBidi"/>
                <w:b/>
                <w:bCs/>
                <w:kern w:val="2"/>
                <w:sz w:val="18"/>
                <w:szCs w:val="18"/>
                <w:lang w:eastAsia="en-US"/>
                <w14:ligatures w14:val="standardContextual"/>
              </w:rPr>
            </w:pPr>
            <w:r w:rsidRPr="001D7135">
              <w:rPr>
                <w:rFonts w:asciiTheme="minorHAnsi" w:eastAsiaTheme="minorHAnsi" w:hAnsiTheme="minorHAnsi" w:cstheme="minorBidi"/>
                <w:b/>
                <w:bCs/>
                <w:kern w:val="2"/>
                <w:sz w:val="18"/>
                <w:szCs w:val="18"/>
                <w:lang w:eastAsia="en-US"/>
                <w14:ligatures w14:val="standardContextual"/>
              </w:rPr>
              <w:t>Ontology</w:t>
            </w:r>
          </w:p>
        </w:tc>
        <w:tc>
          <w:tcPr>
            <w:tcW w:w="577" w:type="pct"/>
            <w:vAlign w:val="center"/>
          </w:tcPr>
          <w:p w14:paraId="08AA5BBF" w14:textId="77777777" w:rsidR="001D7135" w:rsidRPr="001D7135" w:rsidRDefault="001D7135" w:rsidP="001D7135">
            <w:pPr>
              <w:spacing w:after="160" w:line="278" w:lineRule="auto"/>
              <w:rPr>
                <w:rFonts w:asciiTheme="minorHAnsi" w:eastAsiaTheme="minorHAnsi" w:hAnsiTheme="minorHAnsi" w:cstheme="minorBidi"/>
                <w:b/>
                <w:bCs/>
                <w:kern w:val="2"/>
                <w:sz w:val="18"/>
                <w:szCs w:val="18"/>
                <w:lang w:eastAsia="en-US"/>
                <w14:ligatures w14:val="standardContextual"/>
              </w:rPr>
            </w:pPr>
            <w:r w:rsidRPr="001D7135">
              <w:rPr>
                <w:rFonts w:asciiTheme="minorHAnsi" w:eastAsiaTheme="minorHAnsi" w:hAnsiTheme="minorHAnsi" w:cstheme="minorBidi"/>
                <w:b/>
                <w:bCs/>
                <w:kern w:val="2"/>
                <w:sz w:val="18"/>
                <w:szCs w:val="18"/>
                <w:lang w:eastAsia="en-US"/>
                <w14:ligatures w14:val="standardContextual"/>
              </w:rPr>
              <w:t>Epistemology</w:t>
            </w:r>
          </w:p>
        </w:tc>
        <w:tc>
          <w:tcPr>
            <w:tcW w:w="560" w:type="pct"/>
            <w:vAlign w:val="center"/>
          </w:tcPr>
          <w:p w14:paraId="0A8E701A" w14:textId="77777777" w:rsidR="001D7135" w:rsidRPr="001D7135" w:rsidRDefault="001D7135" w:rsidP="001D7135">
            <w:pPr>
              <w:spacing w:after="160" w:line="278" w:lineRule="auto"/>
              <w:rPr>
                <w:rFonts w:asciiTheme="minorHAnsi" w:eastAsiaTheme="minorHAnsi" w:hAnsiTheme="minorHAnsi" w:cstheme="minorBidi"/>
                <w:b/>
                <w:bCs/>
                <w:kern w:val="2"/>
                <w:sz w:val="18"/>
                <w:szCs w:val="18"/>
                <w:lang w:eastAsia="en-US"/>
                <w14:ligatures w14:val="standardContextual"/>
              </w:rPr>
            </w:pPr>
            <w:r w:rsidRPr="001D7135">
              <w:rPr>
                <w:rFonts w:asciiTheme="minorHAnsi" w:eastAsiaTheme="minorHAnsi" w:hAnsiTheme="minorHAnsi" w:cstheme="minorBidi"/>
                <w:b/>
                <w:bCs/>
                <w:kern w:val="2"/>
                <w:sz w:val="18"/>
                <w:szCs w:val="18"/>
                <w:lang w:eastAsia="en-US"/>
                <w14:ligatures w14:val="standardContextual"/>
              </w:rPr>
              <w:t>Axiology</w:t>
            </w:r>
          </w:p>
        </w:tc>
        <w:tc>
          <w:tcPr>
            <w:tcW w:w="540" w:type="pct"/>
            <w:vAlign w:val="center"/>
          </w:tcPr>
          <w:p w14:paraId="156F5463" w14:textId="77777777" w:rsidR="001D7135" w:rsidRPr="001D7135" w:rsidRDefault="001D7135" w:rsidP="001D7135">
            <w:pPr>
              <w:spacing w:after="160" w:line="278" w:lineRule="auto"/>
              <w:rPr>
                <w:rFonts w:asciiTheme="minorHAnsi" w:eastAsiaTheme="minorHAnsi" w:hAnsiTheme="minorHAnsi" w:cstheme="minorBidi"/>
                <w:b/>
                <w:bCs/>
                <w:kern w:val="2"/>
                <w:sz w:val="18"/>
                <w:szCs w:val="18"/>
                <w:lang w:eastAsia="en-US"/>
                <w14:ligatures w14:val="standardContextual"/>
              </w:rPr>
            </w:pPr>
            <w:r w:rsidRPr="001D7135">
              <w:rPr>
                <w:rFonts w:asciiTheme="minorHAnsi" w:eastAsiaTheme="minorHAnsi" w:hAnsiTheme="minorHAnsi" w:cstheme="minorBidi"/>
                <w:b/>
                <w:bCs/>
                <w:kern w:val="2"/>
                <w:sz w:val="18"/>
                <w:szCs w:val="18"/>
                <w:lang w:eastAsia="en-US"/>
                <w14:ligatures w14:val="standardContextual"/>
              </w:rPr>
              <w:t>Methods Used</w:t>
            </w:r>
          </w:p>
        </w:tc>
        <w:tc>
          <w:tcPr>
            <w:tcW w:w="1106" w:type="pct"/>
            <w:vAlign w:val="center"/>
          </w:tcPr>
          <w:p w14:paraId="6B05239E" w14:textId="77777777" w:rsidR="001D7135" w:rsidRPr="001D7135" w:rsidRDefault="001D7135" w:rsidP="001D7135">
            <w:pPr>
              <w:spacing w:after="160" w:line="278" w:lineRule="auto"/>
              <w:rPr>
                <w:rFonts w:asciiTheme="minorHAnsi" w:eastAsiaTheme="minorHAnsi" w:hAnsiTheme="minorHAnsi" w:cstheme="minorBidi"/>
                <w:b/>
                <w:bCs/>
                <w:kern w:val="2"/>
                <w:sz w:val="18"/>
                <w:szCs w:val="18"/>
                <w:lang w:eastAsia="en-US"/>
                <w14:ligatures w14:val="standardContextual"/>
              </w:rPr>
            </w:pPr>
            <w:r w:rsidRPr="001D7135">
              <w:rPr>
                <w:rFonts w:asciiTheme="minorHAnsi" w:eastAsiaTheme="minorHAnsi" w:hAnsiTheme="minorHAnsi" w:cstheme="minorBidi"/>
                <w:b/>
                <w:bCs/>
                <w:kern w:val="2"/>
                <w:sz w:val="18"/>
                <w:szCs w:val="18"/>
                <w:lang w:eastAsia="en-US"/>
                <w14:ligatures w14:val="standardContextual"/>
              </w:rPr>
              <w:t>Contradictions</w:t>
            </w:r>
          </w:p>
        </w:tc>
      </w:tr>
      <w:tr w:rsidR="001D7135" w:rsidRPr="001D7135" w14:paraId="4D6FC36B" w14:textId="77777777" w:rsidTr="00B854EE">
        <w:tc>
          <w:tcPr>
            <w:tcW w:w="1064" w:type="pct"/>
            <w:vAlign w:val="center"/>
          </w:tcPr>
          <w:p w14:paraId="5571F762"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 xml:space="preserve">Britton et al., </w:t>
            </w:r>
            <w:r w:rsidRPr="001D7135">
              <w:rPr>
                <w:rFonts w:asciiTheme="minorHAnsi" w:eastAsiaTheme="minorHAnsi" w:hAnsiTheme="minorHAnsi" w:cstheme="minorBidi"/>
                <w:i/>
                <w:iCs/>
                <w:kern w:val="2"/>
                <w:sz w:val="18"/>
                <w:szCs w:val="18"/>
                <w:lang w:eastAsia="en-US"/>
                <w14:ligatures w14:val="standardContextual"/>
              </w:rPr>
              <w:t>What Degrees Are Best for Social Mobility?</w:t>
            </w:r>
          </w:p>
        </w:tc>
        <w:tc>
          <w:tcPr>
            <w:tcW w:w="578" w:type="pct"/>
            <w:vAlign w:val="center"/>
          </w:tcPr>
          <w:p w14:paraId="102C4292"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Quantitative: relies on economic data to measure degree outcomes</w:t>
            </w:r>
          </w:p>
        </w:tc>
        <w:tc>
          <w:tcPr>
            <w:tcW w:w="574" w:type="pct"/>
            <w:vAlign w:val="center"/>
          </w:tcPr>
          <w:p w14:paraId="0D0297F6"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Positivist</w:t>
            </w:r>
          </w:p>
        </w:tc>
        <w:tc>
          <w:tcPr>
            <w:tcW w:w="577" w:type="pct"/>
            <w:vAlign w:val="center"/>
          </w:tcPr>
          <w:p w14:paraId="378C5F55"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Empirical: based on measurable variables</w:t>
            </w:r>
          </w:p>
        </w:tc>
        <w:tc>
          <w:tcPr>
            <w:tcW w:w="560" w:type="pct"/>
            <w:vAlign w:val="center"/>
          </w:tcPr>
          <w:p w14:paraId="1F3204BE"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Economic mobility: prioritises income as a key metric</w:t>
            </w:r>
          </w:p>
        </w:tc>
        <w:tc>
          <w:tcPr>
            <w:tcW w:w="540" w:type="pct"/>
            <w:vAlign w:val="center"/>
          </w:tcPr>
          <w:p w14:paraId="5CEC9DBA"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Statistical analysis of employment and income data</w:t>
            </w:r>
          </w:p>
        </w:tc>
        <w:tc>
          <w:tcPr>
            <w:tcW w:w="1106" w:type="pct"/>
            <w:vAlign w:val="center"/>
          </w:tcPr>
          <w:p w14:paraId="7C6BC4F4"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Suggests education improves mobility but overlooks systemic barriers highlighted by Reay</w:t>
            </w:r>
          </w:p>
        </w:tc>
      </w:tr>
      <w:tr w:rsidR="001D7135" w:rsidRPr="001D7135" w14:paraId="379EC21C" w14:textId="77777777" w:rsidTr="00B854EE">
        <w:tc>
          <w:tcPr>
            <w:tcW w:w="1064" w:type="pct"/>
            <w:vAlign w:val="center"/>
          </w:tcPr>
          <w:p w14:paraId="53A8C699"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 xml:space="preserve">Mateos-González &amp; Wakeling, </w:t>
            </w:r>
            <w:r w:rsidRPr="001D7135">
              <w:rPr>
                <w:rFonts w:asciiTheme="minorHAnsi" w:eastAsiaTheme="minorHAnsi" w:hAnsiTheme="minorHAnsi" w:cstheme="minorBidi"/>
                <w:i/>
                <w:iCs/>
                <w:kern w:val="2"/>
                <w:sz w:val="18"/>
                <w:szCs w:val="18"/>
                <w:lang w:eastAsia="en-US"/>
                <w14:ligatures w14:val="standardContextual"/>
              </w:rPr>
              <w:t>Socioeconomic Inequalities in Postgraduate Access</w:t>
            </w:r>
          </w:p>
        </w:tc>
        <w:tc>
          <w:tcPr>
            <w:tcW w:w="578" w:type="pct"/>
            <w:vAlign w:val="center"/>
          </w:tcPr>
          <w:p w14:paraId="0CD7B68C"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Quantitative: focuses on postgraduate enrolment data</w:t>
            </w:r>
          </w:p>
        </w:tc>
        <w:tc>
          <w:tcPr>
            <w:tcW w:w="574" w:type="pct"/>
            <w:vAlign w:val="center"/>
          </w:tcPr>
          <w:p w14:paraId="4A82DFF7"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Positivist</w:t>
            </w:r>
          </w:p>
        </w:tc>
        <w:tc>
          <w:tcPr>
            <w:tcW w:w="577" w:type="pct"/>
            <w:vAlign w:val="center"/>
          </w:tcPr>
          <w:p w14:paraId="19D6EF09" w14:textId="56EC9175"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 xml:space="preserve">Empirical: </w:t>
            </w:r>
            <w:r w:rsidR="00B854EE">
              <w:rPr>
                <w:rFonts w:asciiTheme="minorHAnsi" w:eastAsiaTheme="minorHAnsi" w:hAnsiTheme="minorHAnsi" w:cstheme="minorBidi"/>
                <w:kern w:val="2"/>
                <w:sz w:val="18"/>
                <w:szCs w:val="18"/>
                <w:lang w:eastAsia="en-US"/>
                <w14:ligatures w14:val="standardContextual"/>
              </w:rPr>
              <w:t>Patterns</w:t>
            </w:r>
            <w:r w:rsidRPr="001D7135">
              <w:rPr>
                <w:rFonts w:asciiTheme="minorHAnsi" w:eastAsiaTheme="minorHAnsi" w:hAnsiTheme="minorHAnsi" w:cstheme="minorBidi"/>
                <w:kern w:val="2"/>
                <w:sz w:val="18"/>
                <w:szCs w:val="18"/>
                <w:lang w:eastAsia="en-US"/>
                <w14:ligatures w14:val="standardContextual"/>
              </w:rPr>
              <w:t xml:space="preserve"> in enrolment data</w:t>
            </w:r>
          </w:p>
        </w:tc>
        <w:tc>
          <w:tcPr>
            <w:tcW w:w="560" w:type="pct"/>
            <w:vAlign w:val="center"/>
          </w:tcPr>
          <w:p w14:paraId="659CD9C0"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Mobility through postgraduate education</w:t>
            </w:r>
          </w:p>
        </w:tc>
        <w:tc>
          <w:tcPr>
            <w:tcW w:w="540" w:type="pct"/>
            <w:vAlign w:val="center"/>
          </w:tcPr>
          <w:p w14:paraId="4D5A7E67"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Analysis of progression rates using institutional datasets</w:t>
            </w:r>
          </w:p>
        </w:tc>
        <w:tc>
          <w:tcPr>
            <w:tcW w:w="1106" w:type="pct"/>
            <w:vAlign w:val="center"/>
          </w:tcPr>
          <w:p w14:paraId="23B02596"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Highlights elite education’s role in mobility; Reay argues systemic barriers limit these benefits</w:t>
            </w:r>
          </w:p>
        </w:tc>
      </w:tr>
      <w:tr w:rsidR="001D7135" w:rsidRPr="001D7135" w14:paraId="2D5CBD51" w14:textId="77777777" w:rsidTr="00B854EE">
        <w:tc>
          <w:tcPr>
            <w:tcW w:w="1064" w:type="pct"/>
            <w:vAlign w:val="center"/>
          </w:tcPr>
          <w:p w14:paraId="6089851C"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 xml:space="preserve">Reay, </w:t>
            </w:r>
            <w:r w:rsidRPr="001D7135">
              <w:rPr>
                <w:rFonts w:asciiTheme="minorHAnsi" w:eastAsiaTheme="minorHAnsi" w:hAnsiTheme="minorHAnsi" w:cstheme="minorBidi"/>
                <w:i/>
                <w:iCs/>
                <w:kern w:val="2"/>
                <w:sz w:val="18"/>
                <w:szCs w:val="18"/>
                <w:lang w:eastAsia="en-US"/>
                <w14:ligatures w14:val="standardContextual"/>
              </w:rPr>
              <w:t>The Working Classes and Higher Education</w:t>
            </w:r>
          </w:p>
        </w:tc>
        <w:tc>
          <w:tcPr>
            <w:tcW w:w="578" w:type="pct"/>
            <w:vAlign w:val="center"/>
          </w:tcPr>
          <w:p w14:paraId="16C47451"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Qualitative: relies on narratives and interviews</w:t>
            </w:r>
          </w:p>
        </w:tc>
        <w:tc>
          <w:tcPr>
            <w:tcW w:w="574" w:type="pct"/>
            <w:vAlign w:val="center"/>
          </w:tcPr>
          <w:p w14:paraId="09AF058C"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Constructivist</w:t>
            </w:r>
          </w:p>
        </w:tc>
        <w:tc>
          <w:tcPr>
            <w:tcW w:w="577" w:type="pct"/>
            <w:vAlign w:val="center"/>
          </w:tcPr>
          <w:p w14:paraId="1A746F3A"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Interpretivist: focuses on lived experiences</w:t>
            </w:r>
          </w:p>
        </w:tc>
        <w:tc>
          <w:tcPr>
            <w:tcW w:w="560" w:type="pct"/>
            <w:vAlign w:val="center"/>
          </w:tcPr>
          <w:p w14:paraId="7FDBD3B7" w14:textId="5380521B"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 xml:space="preserve">Social justice: </w:t>
            </w:r>
            <w:r w:rsidR="00B854EE">
              <w:rPr>
                <w:rFonts w:asciiTheme="minorHAnsi" w:eastAsiaTheme="minorHAnsi" w:hAnsiTheme="minorHAnsi" w:cstheme="minorBidi"/>
                <w:kern w:val="2"/>
                <w:sz w:val="18"/>
                <w:szCs w:val="18"/>
                <w:lang w:eastAsia="en-US"/>
                <w14:ligatures w14:val="standardContextual"/>
              </w:rPr>
              <w:t>Critiques</w:t>
            </w:r>
            <w:r w:rsidRPr="001D7135">
              <w:rPr>
                <w:rFonts w:asciiTheme="minorHAnsi" w:eastAsiaTheme="minorHAnsi" w:hAnsiTheme="minorHAnsi" w:cstheme="minorBidi"/>
                <w:kern w:val="2"/>
                <w:sz w:val="18"/>
                <w:szCs w:val="18"/>
                <w:lang w:eastAsia="en-US"/>
                <w14:ligatures w14:val="standardContextual"/>
              </w:rPr>
              <w:t xml:space="preserve"> systemic inequities</w:t>
            </w:r>
          </w:p>
        </w:tc>
        <w:tc>
          <w:tcPr>
            <w:tcW w:w="540" w:type="pct"/>
            <w:vAlign w:val="center"/>
          </w:tcPr>
          <w:p w14:paraId="2F5616E8"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Thematic analysis of student interviews</w:t>
            </w:r>
          </w:p>
        </w:tc>
        <w:tc>
          <w:tcPr>
            <w:tcW w:w="1106" w:type="pct"/>
            <w:vAlign w:val="center"/>
          </w:tcPr>
          <w:p w14:paraId="14B98CD6"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Contradicts Britton and Mateos-González by arguing that systemic inequities negate mobility benefits</w:t>
            </w:r>
          </w:p>
        </w:tc>
      </w:tr>
      <w:tr w:rsidR="001D7135" w:rsidRPr="001D7135" w14:paraId="2878A73C" w14:textId="77777777" w:rsidTr="00B854EE">
        <w:tc>
          <w:tcPr>
            <w:tcW w:w="1064" w:type="pct"/>
            <w:vAlign w:val="center"/>
          </w:tcPr>
          <w:p w14:paraId="59D7A284"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 xml:space="preserve">Ahn &amp; Davis, </w:t>
            </w:r>
            <w:r w:rsidRPr="001D7135">
              <w:rPr>
                <w:rFonts w:asciiTheme="minorHAnsi" w:eastAsiaTheme="minorHAnsi" w:hAnsiTheme="minorHAnsi" w:cstheme="minorBidi"/>
                <w:i/>
                <w:iCs/>
                <w:kern w:val="2"/>
                <w:sz w:val="18"/>
                <w:szCs w:val="18"/>
                <w:lang w:eastAsia="en-US"/>
                <w14:ligatures w14:val="standardContextual"/>
              </w:rPr>
              <w:t>Sense of Belonging and Socioeconomic Status</w:t>
            </w:r>
          </w:p>
        </w:tc>
        <w:tc>
          <w:tcPr>
            <w:tcW w:w="578" w:type="pct"/>
            <w:vAlign w:val="center"/>
          </w:tcPr>
          <w:p w14:paraId="408296D7"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Quantitative surveys measuring belonging and engagement</w:t>
            </w:r>
          </w:p>
        </w:tc>
        <w:tc>
          <w:tcPr>
            <w:tcW w:w="574" w:type="pct"/>
            <w:vAlign w:val="center"/>
          </w:tcPr>
          <w:p w14:paraId="6CE19DBB"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Positivist</w:t>
            </w:r>
          </w:p>
        </w:tc>
        <w:tc>
          <w:tcPr>
            <w:tcW w:w="577" w:type="pct"/>
            <w:vAlign w:val="center"/>
          </w:tcPr>
          <w:p w14:paraId="266CF0CB" w14:textId="643034ED"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 xml:space="preserve">Empirical: </w:t>
            </w:r>
            <w:r w:rsidR="00B854EE">
              <w:rPr>
                <w:rFonts w:asciiTheme="minorHAnsi" w:eastAsiaTheme="minorHAnsi" w:hAnsiTheme="minorHAnsi" w:cstheme="minorBidi"/>
                <w:kern w:val="2"/>
                <w:sz w:val="18"/>
                <w:szCs w:val="18"/>
                <w:lang w:eastAsia="en-US"/>
                <w14:ligatures w14:val="standardContextual"/>
              </w:rPr>
              <w:t>Surveys</w:t>
            </w:r>
            <w:r w:rsidRPr="001D7135">
              <w:rPr>
                <w:rFonts w:asciiTheme="minorHAnsi" w:eastAsiaTheme="minorHAnsi" w:hAnsiTheme="minorHAnsi" w:cstheme="minorBidi"/>
                <w:kern w:val="2"/>
                <w:sz w:val="18"/>
                <w:szCs w:val="18"/>
                <w:lang w:eastAsia="en-US"/>
                <w14:ligatures w14:val="standardContextual"/>
              </w:rPr>
              <w:t xml:space="preserve"> measure student attitudes</w:t>
            </w:r>
          </w:p>
        </w:tc>
        <w:tc>
          <w:tcPr>
            <w:tcW w:w="560" w:type="pct"/>
            <w:vAlign w:val="center"/>
          </w:tcPr>
          <w:p w14:paraId="3C5E57EA"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Institutional focus: prioritises belonging as a measurable construct</w:t>
            </w:r>
          </w:p>
        </w:tc>
        <w:tc>
          <w:tcPr>
            <w:tcW w:w="540" w:type="pct"/>
            <w:vAlign w:val="center"/>
          </w:tcPr>
          <w:p w14:paraId="0A5F8061"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Surveys and statistical analysis</w:t>
            </w:r>
          </w:p>
        </w:tc>
        <w:tc>
          <w:tcPr>
            <w:tcW w:w="1106" w:type="pct"/>
            <w:vAlign w:val="center"/>
          </w:tcPr>
          <w:p w14:paraId="0CCCD0F3"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Suggests engagement improves belonging; Reay challenges this, emphasising systemic exclusion</w:t>
            </w:r>
          </w:p>
        </w:tc>
      </w:tr>
      <w:tr w:rsidR="001D7135" w:rsidRPr="001D7135" w14:paraId="34178A22" w14:textId="77777777" w:rsidTr="00B854EE">
        <w:tc>
          <w:tcPr>
            <w:tcW w:w="1064" w:type="pct"/>
            <w:vAlign w:val="center"/>
          </w:tcPr>
          <w:p w14:paraId="37B4820A"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 xml:space="preserve">Bakour, </w:t>
            </w:r>
            <w:r w:rsidRPr="001D7135">
              <w:rPr>
                <w:rFonts w:asciiTheme="minorHAnsi" w:eastAsiaTheme="minorHAnsi" w:hAnsiTheme="minorHAnsi" w:cstheme="minorBidi"/>
                <w:i/>
                <w:iCs/>
                <w:kern w:val="2"/>
                <w:sz w:val="18"/>
                <w:szCs w:val="18"/>
                <w:lang w:eastAsia="en-US"/>
                <w14:ligatures w14:val="standardContextual"/>
              </w:rPr>
              <w:t>Interventions for Enhancing Self-Belief</w:t>
            </w:r>
          </w:p>
        </w:tc>
        <w:tc>
          <w:tcPr>
            <w:tcW w:w="578" w:type="pct"/>
            <w:vAlign w:val="center"/>
          </w:tcPr>
          <w:p w14:paraId="22ED79EC"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Qualitative: examines the effectiveness of confidence-building interventions</w:t>
            </w:r>
          </w:p>
        </w:tc>
        <w:tc>
          <w:tcPr>
            <w:tcW w:w="574" w:type="pct"/>
            <w:vAlign w:val="center"/>
          </w:tcPr>
          <w:p w14:paraId="0B6B26BC"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Constructivist</w:t>
            </w:r>
          </w:p>
        </w:tc>
        <w:tc>
          <w:tcPr>
            <w:tcW w:w="577" w:type="pct"/>
            <w:vAlign w:val="center"/>
          </w:tcPr>
          <w:p w14:paraId="28B99F2A"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Interpretivist: explores individual perspectives</w:t>
            </w:r>
          </w:p>
        </w:tc>
        <w:tc>
          <w:tcPr>
            <w:tcW w:w="560" w:type="pct"/>
            <w:vAlign w:val="center"/>
          </w:tcPr>
          <w:p w14:paraId="741BCFD1"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 xml:space="preserve">Equity in </w:t>
            </w:r>
            <w:proofErr w:type="gramStart"/>
            <w:r w:rsidRPr="001D7135">
              <w:rPr>
                <w:rFonts w:asciiTheme="minorHAnsi" w:eastAsiaTheme="minorHAnsi" w:hAnsiTheme="minorHAnsi" w:cstheme="minorBidi"/>
                <w:kern w:val="2"/>
                <w:sz w:val="18"/>
                <w:szCs w:val="18"/>
                <w:lang w:eastAsia="en-US"/>
                <w14:ligatures w14:val="standardContextual"/>
              </w:rPr>
              <w:t>education:</w:t>
            </w:r>
            <w:proofErr w:type="gramEnd"/>
            <w:r w:rsidRPr="001D7135">
              <w:rPr>
                <w:rFonts w:asciiTheme="minorHAnsi" w:eastAsiaTheme="minorHAnsi" w:hAnsiTheme="minorHAnsi" w:cstheme="minorBidi"/>
                <w:kern w:val="2"/>
                <w:sz w:val="18"/>
                <w:szCs w:val="18"/>
                <w:lang w:eastAsia="en-US"/>
                <w14:ligatures w14:val="standardContextual"/>
              </w:rPr>
              <w:t xml:space="preserve"> focuses on personal growth</w:t>
            </w:r>
          </w:p>
        </w:tc>
        <w:tc>
          <w:tcPr>
            <w:tcW w:w="540" w:type="pct"/>
            <w:vAlign w:val="center"/>
          </w:tcPr>
          <w:p w14:paraId="6A0082A7"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Case studies and participant narratives</w:t>
            </w:r>
          </w:p>
        </w:tc>
        <w:tc>
          <w:tcPr>
            <w:tcW w:w="1106" w:type="pct"/>
            <w:vAlign w:val="center"/>
          </w:tcPr>
          <w:p w14:paraId="30A13914"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Finds interventions effective, but Aina et al. argue financial and systemic factors play a larger role</w:t>
            </w:r>
          </w:p>
        </w:tc>
      </w:tr>
      <w:tr w:rsidR="001D7135" w:rsidRPr="001D7135" w14:paraId="3881F887" w14:textId="77777777" w:rsidTr="00B854EE">
        <w:tc>
          <w:tcPr>
            <w:tcW w:w="1064" w:type="pct"/>
            <w:vAlign w:val="center"/>
          </w:tcPr>
          <w:p w14:paraId="061B1A57"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 xml:space="preserve">Anders et al., </w:t>
            </w:r>
            <w:r w:rsidRPr="001D7135">
              <w:rPr>
                <w:rFonts w:asciiTheme="minorHAnsi" w:eastAsiaTheme="minorHAnsi" w:hAnsiTheme="minorHAnsi" w:cstheme="minorBidi"/>
                <w:i/>
                <w:iCs/>
                <w:kern w:val="2"/>
                <w:sz w:val="18"/>
                <w:szCs w:val="18"/>
                <w:lang w:eastAsia="en-US"/>
                <w14:ligatures w14:val="standardContextual"/>
              </w:rPr>
              <w:t>Socioeconomic Status and Subject Choice</w:t>
            </w:r>
          </w:p>
        </w:tc>
        <w:tc>
          <w:tcPr>
            <w:tcW w:w="578" w:type="pct"/>
            <w:vAlign w:val="center"/>
          </w:tcPr>
          <w:p w14:paraId="58CE22DE"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Quantitative focuses on early academic tracking and its effects on access</w:t>
            </w:r>
          </w:p>
        </w:tc>
        <w:tc>
          <w:tcPr>
            <w:tcW w:w="574" w:type="pct"/>
            <w:vAlign w:val="center"/>
          </w:tcPr>
          <w:p w14:paraId="771C7F61"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Positivist</w:t>
            </w:r>
          </w:p>
        </w:tc>
        <w:tc>
          <w:tcPr>
            <w:tcW w:w="577" w:type="pct"/>
            <w:vAlign w:val="center"/>
          </w:tcPr>
          <w:p w14:paraId="1B4F9930"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Empirical: tracks academic outcomes</w:t>
            </w:r>
          </w:p>
        </w:tc>
        <w:tc>
          <w:tcPr>
            <w:tcW w:w="560" w:type="pct"/>
            <w:vAlign w:val="center"/>
          </w:tcPr>
          <w:p w14:paraId="57B47E1C"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Academic readiness; prioritises early interventions</w:t>
            </w:r>
          </w:p>
        </w:tc>
        <w:tc>
          <w:tcPr>
            <w:tcW w:w="540" w:type="pct"/>
            <w:vAlign w:val="center"/>
          </w:tcPr>
          <w:p w14:paraId="4256D070"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Longitudinal analysis of academic and enrolment data</w:t>
            </w:r>
          </w:p>
        </w:tc>
        <w:tc>
          <w:tcPr>
            <w:tcW w:w="1106" w:type="pct"/>
            <w:vAlign w:val="center"/>
          </w:tcPr>
          <w:p w14:paraId="1787317B"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Suggests early tracking is key; Ahn &amp; Davis emphasise ongoing support as equally important</w:t>
            </w:r>
          </w:p>
        </w:tc>
      </w:tr>
      <w:tr w:rsidR="001D7135" w:rsidRPr="001D7135" w14:paraId="2BF67FC1" w14:textId="77777777" w:rsidTr="00B854EE">
        <w:tc>
          <w:tcPr>
            <w:tcW w:w="1064" w:type="pct"/>
            <w:vAlign w:val="center"/>
          </w:tcPr>
          <w:p w14:paraId="6D281966"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 xml:space="preserve">Aina et al., </w:t>
            </w:r>
            <w:r w:rsidRPr="001D7135">
              <w:rPr>
                <w:rFonts w:asciiTheme="minorHAnsi" w:eastAsiaTheme="minorHAnsi" w:hAnsiTheme="minorHAnsi" w:cstheme="minorBidi"/>
                <w:i/>
                <w:iCs/>
                <w:kern w:val="2"/>
                <w:sz w:val="18"/>
                <w:szCs w:val="18"/>
                <w:lang w:eastAsia="en-US"/>
                <w14:ligatures w14:val="standardContextual"/>
              </w:rPr>
              <w:t>Determinants of University Dropout</w:t>
            </w:r>
          </w:p>
        </w:tc>
        <w:tc>
          <w:tcPr>
            <w:tcW w:w="578" w:type="pct"/>
            <w:vAlign w:val="center"/>
          </w:tcPr>
          <w:p w14:paraId="36634D66"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Quantitative: examines dropout rates using statistical models</w:t>
            </w:r>
          </w:p>
        </w:tc>
        <w:tc>
          <w:tcPr>
            <w:tcW w:w="574" w:type="pct"/>
            <w:vAlign w:val="center"/>
          </w:tcPr>
          <w:p w14:paraId="1A9D18E6"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Positivist</w:t>
            </w:r>
          </w:p>
        </w:tc>
        <w:tc>
          <w:tcPr>
            <w:tcW w:w="577" w:type="pct"/>
            <w:vAlign w:val="center"/>
          </w:tcPr>
          <w:p w14:paraId="17D0F70A"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Empirical: relies on large-scale datasets</w:t>
            </w:r>
          </w:p>
        </w:tc>
        <w:tc>
          <w:tcPr>
            <w:tcW w:w="560" w:type="pct"/>
            <w:vAlign w:val="center"/>
          </w:tcPr>
          <w:p w14:paraId="46A1F90C"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Retention focus; highlights economic and academic integration</w:t>
            </w:r>
          </w:p>
        </w:tc>
        <w:tc>
          <w:tcPr>
            <w:tcW w:w="540" w:type="pct"/>
            <w:vAlign w:val="center"/>
          </w:tcPr>
          <w:p w14:paraId="4EDC26F6"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Statistical analysis of dropout and retention rates</w:t>
            </w:r>
          </w:p>
        </w:tc>
        <w:tc>
          <w:tcPr>
            <w:tcW w:w="1106" w:type="pct"/>
            <w:vAlign w:val="center"/>
          </w:tcPr>
          <w:p w14:paraId="6ECF90E4"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Links dropout to finances and integration; Bakour emphasises interventions can mitigate some challenges</w:t>
            </w:r>
          </w:p>
        </w:tc>
      </w:tr>
      <w:tr w:rsidR="001D7135" w:rsidRPr="001D7135" w14:paraId="4CE73575" w14:textId="77777777" w:rsidTr="00B854EE">
        <w:tc>
          <w:tcPr>
            <w:tcW w:w="1064" w:type="pct"/>
            <w:vAlign w:val="center"/>
          </w:tcPr>
          <w:p w14:paraId="2A8FCB95"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lastRenderedPageBreak/>
              <w:t xml:space="preserve">Tan, </w:t>
            </w:r>
            <w:r w:rsidRPr="001D7135">
              <w:rPr>
                <w:rFonts w:asciiTheme="minorHAnsi" w:eastAsiaTheme="minorHAnsi" w:hAnsiTheme="minorHAnsi" w:cstheme="minorBidi"/>
                <w:i/>
                <w:iCs/>
                <w:kern w:val="2"/>
                <w:sz w:val="18"/>
                <w:szCs w:val="18"/>
                <w:lang w:eastAsia="en-US"/>
                <w14:ligatures w14:val="standardContextual"/>
              </w:rPr>
              <w:t>Socioeconomic Status and Student Learning Insights</w:t>
            </w:r>
          </w:p>
        </w:tc>
        <w:tc>
          <w:tcPr>
            <w:tcW w:w="578" w:type="pct"/>
            <w:vAlign w:val="center"/>
          </w:tcPr>
          <w:p w14:paraId="6981DD02"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Quantitative (Meta-analysis) uses findings from prior studies</w:t>
            </w:r>
          </w:p>
        </w:tc>
        <w:tc>
          <w:tcPr>
            <w:tcW w:w="574" w:type="pct"/>
            <w:vAlign w:val="center"/>
          </w:tcPr>
          <w:p w14:paraId="36087350"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Pragmatic</w:t>
            </w:r>
          </w:p>
        </w:tc>
        <w:tc>
          <w:tcPr>
            <w:tcW w:w="577" w:type="pct"/>
            <w:vAlign w:val="center"/>
          </w:tcPr>
          <w:p w14:paraId="7D3C98E1"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Mixed uses empirical and theoretical insights</w:t>
            </w:r>
          </w:p>
        </w:tc>
        <w:tc>
          <w:tcPr>
            <w:tcW w:w="560" w:type="pct"/>
            <w:vAlign w:val="center"/>
          </w:tcPr>
          <w:p w14:paraId="18C1E142"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Systemic equity advocates multi-level interventions</w:t>
            </w:r>
          </w:p>
        </w:tc>
        <w:tc>
          <w:tcPr>
            <w:tcW w:w="540" w:type="pct"/>
            <w:vAlign w:val="center"/>
          </w:tcPr>
          <w:p w14:paraId="60EB5BA5"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Literature review and second-order meta-analysis</w:t>
            </w:r>
          </w:p>
        </w:tc>
        <w:tc>
          <w:tcPr>
            <w:tcW w:w="1106" w:type="pct"/>
            <w:vAlign w:val="center"/>
          </w:tcPr>
          <w:p w14:paraId="4027AB66"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Argues comprehensive policy reform is needed; Reay critiques similar policies as superficial</w:t>
            </w:r>
          </w:p>
        </w:tc>
      </w:tr>
      <w:tr w:rsidR="001D7135" w:rsidRPr="001D7135" w14:paraId="42746B28" w14:textId="77777777" w:rsidTr="00B854EE">
        <w:tc>
          <w:tcPr>
            <w:tcW w:w="1064" w:type="pct"/>
            <w:vAlign w:val="center"/>
          </w:tcPr>
          <w:p w14:paraId="5CFA9554"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 xml:space="preserve">Cunningham &amp; Samson, </w:t>
            </w:r>
            <w:r w:rsidRPr="001D7135">
              <w:rPr>
                <w:rFonts w:asciiTheme="minorHAnsi" w:eastAsiaTheme="minorHAnsi" w:hAnsiTheme="minorHAnsi" w:cstheme="minorBidi"/>
                <w:i/>
                <w:iCs/>
                <w:kern w:val="2"/>
                <w:sz w:val="18"/>
                <w:szCs w:val="18"/>
                <w:lang w:eastAsia="en-US"/>
                <w14:ligatures w14:val="standardContextual"/>
              </w:rPr>
              <w:t>Neoliberal Meritocracy</w:t>
            </w:r>
          </w:p>
        </w:tc>
        <w:tc>
          <w:tcPr>
            <w:tcW w:w="578" w:type="pct"/>
            <w:vAlign w:val="center"/>
          </w:tcPr>
          <w:p w14:paraId="143FB0D4"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Qualitative:  explores class divisions through interviews and theoretical critique</w:t>
            </w:r>
          </w:p>
        </w:tc>
        <w:tc>
          <w:tcPr>
            <w:tcW w:w="574" w:type="pct"/>
            <w:vAlign w:val="center"/>
          </w:tcPr>
          <w:p w14:paraId="6A6F6B69"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Constructivist</w:t>
            </w:r>
          </w:p>
        </w:tc>
        <w:tc>
          <w:tcPr>
            <w:tcW w:w="577" w:type="pct"/>
            <w:vAlign w:val="center"/>
          </w:tcPr>
          <w:p w14:paraId="4F789667"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Interpretivist critique of ‘meritocratic’ frameworks</w:t>
            </w:r>
          </w:p>
        </w:tc>
        <w:tc>
          <w:tcPr>
            <w:tcW w:w="560" w:type="pct"/>
            <w:vAlign w:val="center"/>
          </w:tcPr>
          <w:p w14:paraId="602EBF8A"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Social equity highlights structural inequality</w:t>
            </w:r>
          </w:p>
        </w:tc>
        <w:tc>
          <w:tcPr>
            <w:tcW w:w="540" w:type="pct"/>
            <w:vAlign w:val="center"/>
          </w:tcPr>
          <w:p w14:paraId="7C76EDF7"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Thematic analysis of policy critiques and interviews</w:t>
            </w:r>
          </w:p>
        </w:tc>
        <w:tc>
          <w:tcPr>
            <w:tcW w:w="1106" w:type="pct"/>
            <w:vAlign w:val="center"/>
          </w:tcPr>
          <w:p w14:paraId="79941EF4"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Challenges policies’ effectiveness; contrasts with Bakour’s optimism about interventions</w:t>
            </w:r>
          </w:p>
        </w:tc>
      </w:tr>
      <w:tr w:rsidR="001D7135" w:rsidRPr="001D7135" w14:paraId="6921268B" w14:textId="77777777" w:rsidTr="00B854EE">
        <w:tc>
          <w:tcPr>
            <w:tcW w:w="1064" w:type="pct"/>
            <w:vAlign w:val="center"/>
          </w:tcPr>
          <w:p w14:paraId="073FA265"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 xml:space="preserve">Anders et al., </w:t>
            </w:r>
            <w:r w:rsidRPr="001D7135">
              <w:rPr>
                <w:rFonts w:asciiTheme="minorHAnsi" w:eastAsiaTheme="minorHAnsi" w:hAnsiTheme="minorHAnsi" w:cstheme="minorBidi"/>
                <w:i/>
                <w:iCs/>
                <w:kern w:val="2"/>
                <w:sz w:val="18"/>
                <w:szCs w:val="18"/>
                <w:lang w:eastAsia="en-US"/>
                <w14:ligatures w14:val="standardContextual"/>
              </w:rPr>
              <w:t>Socioeconomic Status and Subject Choice</w:t>
            </w:r>
          </w:p>
        </w:tc>
        <w:tc>
          <w:tcPr>
            <w:tcW w:w="578" w:type="pct"/>
            <w:vAlign w:val="center"/>
          </w:tcPr>
          <w:p w14:paraId="2F45AD65"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Quantitative: tracks academic outcomes linked to early subject choices</w:t>
            </w:r>
          </w:p>
        </w:tc>
        <w:tc>
          <w:tcPr>
            <w:tcW w:w="574" w:type="pct"/>
            <w:vAlign w:val="center"/>
          </w:tcPr>
          <w:p w14:paraId="1F19D815"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Positivist</w:t>
            </w:r>
          </w:p>
        </w:tc>
        <w:tc>
          <w:tcPr>
            <w:tcW w:w="577" w:type="pct"/>
            <w:vAlign w:val="center"/>
          </w:tcPr>
          <w:p w14:paraId="3D834FAE"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Empirical; longitudinal tracking of outcomes</w:t>
            </w:r>
          </w:p>
        </w:tc>
        <w:tc>
          <w:tcPr>
            <w:tcW w:w="560" w:type="pct"/>
            <w:vAlign w:val="center"/>
          </w:tcPr>
          <w:p w14:paraId="7194ACEF"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Academic progression focuses on systemic academic interventions</w:t>
            </w:r>
          </w:p>
        </w:tc>
        <w:tc>
          <w:tcPr>
            <w:tcW w:w="540" w:type="pct"/>
            <w:vAlign w:val="center"/>
          </w:tcPr>
          <w:p w14:paraId="6FBB4E26"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Longitudinal tracking and regression analysis</w:t>
            </w:r>
          </w:p>
        </w:tc>
        <w:tc>
          <w:tcPr>
            <w:tcW w:w="1106" w:type="pct"/>
            <w:vAlign w:val="center"/>
          </w:tcPr>
          <w:p w14:paraId="7FB1F56C" w14:textId="77777777" w:rsidR="001D7135" w:rsidRPr="001D7135" w:rsidRDefault="001D7135" w:rsidP="001D7135">
            <w:pPr>
              <w:spacing w:after="160" w:line="278" w:lineRule="auto"/>
              <w:rPr>
                <w:rFonts w:asciiTheme="minorHAnsi" w:eastAsiaTheme="minorHAnsi" w:hAnsiTheme="minorHAnsi" w:cstheme="minorBidi"/>
                <w:kern w:val="2"/>
                <w:sz w:val="18"/>
                <w:szCs w:val="18"/>
                <w:lang w:eastAsia="en-US"/>
                <w14:ligatures w14:val="standardContextual"/>
              </w:rPr>
            </w:pPr>
            <w:r w:rsidRPr="001D7135">
              <w:rPr>
                <w:rFonts w:asciiTheme="minorHAnsi" w:eastAsiaTheme="minorHAnsi" w:hAnsiTheme="minorHAnsi" w:cstheme="minorBidi"/>
                <w:kern w:val="2"/>
                <w:sz w:val="18"/>
                <w:szCs w:val="18"/>
                <w:lang w:eastAsia="en-US"/>
                <w14:ligatures w14:val="standardContextual"/>
              </w:rPr>
              <w:t xml:space="preserve">Argues academic tracking determines outcomes, contrasts with Ahn &amp; </w:t>
            </w:r>
            <w:proofErr w:type="spellStart"/>
            <w:r w:rsidRPr="001D7135">
              <w:rPr>
                <w:rFonts w:asciiTheme="minorHAnsi" w:eastAsiaTheme="minorHAnsi" w:hAnsiTheme="minorHAnsi" w:cstheme="minorBidi"/>
                <w:kern w:val="2"/>
                <w:sz w:val="18"/>
                <w:szCs w:val="18"/>
                <w:lang w:eastAsia="en-US"/>
                <w14:ligatures w14:val="standardContextual"/>
              </w:rPr>
              <w:t>Davis’</w:t>
            </w:r>
            <w:proofErr w:type="spellEnd"/>
            <w:r w:rsidRPr="001D7135">
              <w:rPr>
                <w:rFonts w:asciiTheme="minorHAnsi" w:eastAsiaTheme="minorHAnsi" w:hAnsiTheme="minorHAnsi" w:cstheme="minorBidi"/>
                <w:kern w:val="2"/>
                <w:sz w:val="18"/>
                <w:szCs w:val="18"/>
                <w:lang w:eastAsia="en-US"/>
                <w14:ligatures w14:val="standardContextual"/>
              </w:rPr>
              <w:t xml:space="preserve"> emphasis on engagement</w:t>
            </w:r>
          </w:p>
        </w:tc>
      </w:tr>
    </w:tbl>
    <w:p w14:paraId="37D09B82" w14:textId="77777777" w:rsidR="001D7135" w:rsidRPr="001D7135" w:rsidRDefault="001D7135" w:rsidP="001D7135">
      <w:pPr>
        <w:rPr>
          <w:b/>
          <w:bCs/>
          <w:sz w:val="28"/>
          <w:szCs w:val="28"/>
        </w:rPr>
      </w:pPr>
    </w:p>
    <w:p w14:paraId="58EA8B1D" w14:textId="77777777" w:rsidR="00CB3891" w:rsidRPr="0056077F" w:rsidRDefault="00CB3891" w:rsidP="0056077F">
      <w:pPr>
        <w:rPr>
          <w:sz w:val="28"/>
          <w:szCs w:val="28"/>
        </w:rPr>
      </w:pPr>
    </w:p>
    <w:p w14:paraId="38E7BCEA" w14:textId="77777777" w:rsidR="0056077F" w:rsidRDefault="0056077F" w:rsidP="001232BC">
      <w:pPr>
        <w:rPr>
          <w:sz w:val="28"/>
          <w:szCs w:val="28"/>
        </w:rPr>
      </w:pPr>
    </w:p>
    <w:p w14:paraId="2D472DA2" w14:textId="77777777" w:rsidR="0056077F" w:rsidRDefault="0056077F" w:rsidP="001232BC">
      <w:pPr>
        <w:rPr>
          <w:sz w:val="28"/>
          <w:szCs w:val="28"/>
        </w:rPr>
      </w:pPr>
    </w:p>
    <w:p w14:paraId="1EAE646A" w14:textId="77777777" w:rsidR="0056077F" w:rsidRPr="001232BC" w:rsidRDefault="0056077F" w:rsidP="001232BC">
      <w:pPr>
        <w:rPr>
          <w:sz w:val="28"/>
          <w:szCs w:val="28"/>
        </w:rPr>
      </w:pPr>
    </w:p>
    <w:p w14:paraId="234EF1B4" w14:textId="77777777" w:rsidR="001232BC" w:rsidRPr="0004195A" w:rsidRDefault="001232BC" w:rsidP="0004195A">
      <w:pPr>
        <w:rPr>
          <w:sz w:val="28"/>
          <w:szCs w:val="28"/>
        </w:rPr>
      </w:pPr>
    </w:p>
    <w:sectPr w:rsidR="001232BC" w:rsidRPr="0004195A">
      <w:footerReference w:type="default" r:id="rId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852D1F" w14:textId="77777777" w:rsidR="000419A9" w:rsidRDefault="000419A9" w:rsidP="00696434">
      <w:pPr>
        <w:spacing w:after="0" w:line="240" w:lineRule="auto"/>
      </w:pPr>
      <w:r>
        <w:separator/>
      </w:r>
    </w:p>
  </w:endnote>
  <w:endnote w:type="continuationSeparator" w:id="0">
    <w:p w14:paraId="65D3545D" w14:textId="77777777" w:rsidR="000419A9" w:rsidRDefault="000419A9" w:rsidP="006964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2750834"/>
      <w:docPartObj>
        <w:docPartGallery w:val="Page Numbers (Bottom of Page)"/>
        <w:docPartUnique/>
      </w:docPartObj>
    </w:sdtPr>
    <w:sdtEndPr>
      <w:rPr>
        <w:noProof/>
      </w:rPr>
    </w:sdtEndPr>
    <w:sdtContent>
      <w:p w14:paraId="660B67C6" w14:textId="303EFA5D" w:rsidR="00696434" w:rsidRDefault="0069643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7702A0" w14:textId="77777777" w:rsidR="00696434" w:rsidRDefault="006964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4A93D7" w14:textId="77777777" w:rsidR="000419A9" w:rsidRDefault="000419A9" w:rsidP="00696434">
      <w:pPr>
        <w:spacing w:after="0" w:line="240" w:lineRule="auto"/>
      </w:pPr>
      <w:r>
        <w:separator/>
      </w:r>
    </w:p>
  </w:footnote>
  <w:footnote w:type="continuationSeparator" w:id="0">
    <w:p w14:paraId="06E3535A" w14:textId="77777777" w:rsidR="000419A9" w:rsidRDefault="000419A9" w:rsidP="0069643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735F"/>
    <w:rsid w:val="0004195A"/>
    <w:rsid w:val="000419A9"/>
    <w:rsid w:val="00102C87"/>
    <w:rsid w:val="0011098E"/>
    <w:rsid w:val="001232BC"/>
    <w:rsid w:val="001C475E"/>
    <w:rsid w:val="001D7135"/>
    <w:rsid w:val="0025453E"/>
    <w:rsid w:val="00284141"/>
    <w:rsid w:val="002A2153"/>
    <w:rsid w:val="002C19A5"/>
    <w:rsid w:val="00376B47"/>
    <w:rsid w:val="003821DE"/>
    <w:rsid w:val="00387B0C"/>
    <w:rsid w:val="003A51E2"/>
    <w:rsid w:val="003A68DD"/>
    <w:rsid w:val="003D0607"/>
    <w:rsid w:val="00412BD1"/>
    <w:rsid w:val="00413098"/>
    <w:rsid w:val="004219B2"/>
    <w:rsid w:val="00441F20"/>
    <w:rsid w:val="0046127C"/>
    <w:rsid w:val="0047465B"/>
    <w:rsid w:val="004A04C1"/>
    <w:rsid w:val="00534D86"/>
    <w:rsid w:val="0056077F"/>
    <w:rsid w:val="00573A9F"/>
    <w:rsid w:val="005C4945"/>
    <w:rsid w:val="006615AB"/>
    <w:rsid w:val="00686A97"/>
    <w:rsid w:val="00696434"/>
    <w:rsid w:val="006A1E73"/>
    <w:rsid w:val="006B3822"/>
    <w:rsid w:val="0070117C"/>
    <w:rsid w:val="0077735F"/>
    <w:rsid w:val="0089451A"/>
    <w:rsid w:val="008B3AE5"/>
    <w:rsid w:val="008B3F9D"/>
    <w:rsid w:val="00900C14"/>
    <w:rsid w:val="00932E3B"/>
    <w:rsid w:val="009712D3"/>
    <w:rsid w:val="00975114"/>
    <w:rsid w:val="009965DB"/>
    <w:rsid w:val="009A5E7A"/>
    <w:rsid w:val="009B6282"/>
    <w:rsid w:val="00A357D9"/>
    <w:rsid w:val="00AE3BFD"/>
    <w:rsid w:val="00B854EE"/>
    <w:rsid w:val="00C67E35"/>
    <w:rsid w:val="00C71B3C"/>
    <w:rsid w:val="00C9318D"/>
    <w:rsid w:val="00CB3891"/>
    <w:rsid w:val="00CD1602"/>
    <w:rsid w:val="00CE1D2A"/>
    <w:rsid w:val="00D06416"/>
    <w:rsid w:val="00D262ED"/>
    <w:rsid w:val="00D61D35"/>
    <w:rsid w:val="00D966B4"/>
    <w:rsid w:val="00DA1224"/>
    <w:rsid w:val="00DA78D4"/>
    <w:rsid w:val="00DE6C52"/>
    <w:rsid w:val="00E43736"/>
    <w:rsid w:val="00E461BC"/>
    <w:rsid w:val="00E650A5"/>
    <w:rsid w:val="00E929FF"/>
    <w:rsid w:val="00E93CB2"/>
    <w:rsid w:val="00F24A2E"/>
    <w:rsid w:val="00F32DCD"/>
    <w:rsid w:val="00FD5CC9"/>
    <w:rsid w:val="00FE34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AC8EAB"/>
  <w15:chartTrackingRefBased/>
  <w15:docId w15:val="{CF53435B-9A34-4584-A67C-4C598392E9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735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7735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7735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7735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7735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773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73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73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73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735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7735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7735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7735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7735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773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73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73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735F"/>
    <w:rPr>
      <w:rFonts w:eastAsiaTheme="majorEastAsia" w:cstheme="majorBidi"/>
      <w:color w:val="272727" w:themeColor="text1" w:themeTint="D8"/>
    </w:rPr>
  </w:style>
  <w:style w:type="paragraph" w:styleId="Title">
    <w:name w:val="Title"/>
    <w:basedOn w:val="Normal"/>
    <w:next w:val="Normal"/>
    <w:link w:val="TitleChar"/>
    <w:uiPriority w:val="10"/>
    <w:qFormat/>
    <w:rsid w:val="007773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73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73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73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735F"/>
    <w:pPr>
      <w:spacing w:before="160"/>
      <w:jc w:val="center"/>
    </w:pPr>
    <w:rPr>
      <w:i/>
      <w:iCs/>
      <w:color w:val="404040" w:themeColor="text1" w:themeTint="BF"/>
    </w:rPr>
  </w:style>
  <w:style w:type="character" w:customStyle="1" w:styleId="QuoteChar">
    <w:name w:val="Quote Char"/>
    <w:basedOn w:val="DefaultParagraphFont"/>
    <w:link w:val="Quote"/>
    <w:uiPriority w:val="29"/>
    <w:rsid w:val="0077735F"/>
    <w:rPr>
      <w:i/>
      <w:iCs/>
      <w:color w:val="404040" w:themeColor="text1" w:themeTint="BF"/>
    </w:rPr>
  </w:style>
  <w:style w:type="paragraph" w:styleId="ListParagraph">
    <w:name w:val="List Paragraph"/>
    <w:basedOn w:val="Normal"/>
    <w:uiPriority w:val="34"/>
    <w:qFormat/>
    <w:rsid w:val="0077735F"/>
    <w:pPr>
      <w:ind w:left="720"/>
      <w:contextualSpacing/>
    </w:pPr>
  </w:style>
  <w:style w:type="character" w:styleId="IntenseEmphasis">
    <w:name w:val="Intense Emphasis"/>
    <w:basedOn w:val="DefaultParagraphFont"/>
    <w:uiPriority w:val="21"/>
    <w:qFormat/>
    <w:rsid w:val="0077735F"/>
    <w:rPr>
      <w:i/>
      <w:iCs/>
      <w:color w:val="2F5496" w:themeColor="accent1" w:themeShade="BF"/>
    </w:rPr>
  </w:style>
  <w:style w:type="paragraph" w:styleId="IntenseQuote">
    <w:name w:val="Intense Quote"/>
    <w:basedOn w:val="Normal"/>
    <w:next w:val="Normal"/>
    <w:link w:val="IntenseQuoteChar"/>
    <w:uiPriority w:val="30"/>
    <w:qFormat/>
    <w:rsid w:val="0077735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7735F"/>
    <w:rPr>
      <w:i/>
      <w:iCs/>
      <w:color w:val="2F5496" w:themeColor="accent1" w:themeShade="BF"/>
    </w:rPr>
  </w:style>
  <w:style w:type="character" w:styleId="IntenseReference">
    <w:name w:val="Intense Reference"/>
    <w:basedOn w:val="DefaultParagraphFont"/>
    <w:uiPriority w:val="32"/>
    <w:qFormat/>
    <w:rsid w:val="0077735F"/>
    <w:rPr>
      <w:b/>
      <w:bCs/>
      <w:smallCaps/>
      <w:color w:val="2F5496" w:themeColor="accent1" w:themeShade="BF"/>
      <w:spacing w:val="5"/>
    </w:rPr>
  </w:style>
  <w:style w:type="table" w:styleId="TableGrid">
    <w:name w:val="Table Grid"/>
    <w:basedOn w:val="TableNormal"/>
    <w:uiPriority w:val="39"/>
    <w:rsid w:val="0077735F"/>
    <w:pPr>
      <w:spacing w:after="0" w:line="240" w:lineRule="auto"/>
    </w:pPr>
    <w:rPr>
      <w:rFonts w:ascii="Times New Roman" w:eastAsia="Times New Roman" w:hAnsi="Times New Roman" w:cs="Times New Roman"/>
      <w:kern w:val="0"/>
      <w:sz w:val="20"/>
      <w:szCs w:val="20"/>
      <w:lang w:eastAsia="ja-JP"/>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964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6434"/>
  </w:style>
  <w:style w:type="paragraph" w:styleId="Footer">
    <w:name w:val="footer"/>
    <w:basedOn w:val="Normal"/>
    <w:link w:val="FooterChar"/>
    <w:uiPriority w:val="99"/>
    <w:unhideWhenUsed/>
    <w:rsid w:val="006964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6434"/>
  </w:style>
  <w:style w:type="paragraph" w:styleId="NormalWeb">
    <w:name w:val="Normal (Web)"/>
    <w:basedOn w:val="Normal"/>
    <w:uiPriority w:val="99"/>
    <w:semiHidden/>
    <w:unhideWhenUsed/>
    <w:rsid w:val="003821D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8B3F9D"/>
    <w:rPr>
      <w:color w:val="0563C1" w:themeColor="hyperlink"/>
      <w:u w:val="single"/>
    </w:rPr>
  </w:style>
  <w:style w:type="character" w:styleId="UnresolvedMention">
    <w:name w:val="Unresolved Mention"/>
    <w:basedOn w:val="DefaultParagraphFont"/>
    <w:uiPriority w:val="99"/>
    <w:semiHidden/>
    <w:unhideWhenUsed/>
    <w:rsid w:val="008B3F9D"/>
    <w:rPr>
      <w:color w:val="605E5C"/>
      <w:shd w:val="clear" w:color="auto" w:fill="E1DFDD"/>
    </w:rPr>
  </w:style>
  <w:style w:type="character" w:styleId="Emphasis">
    <w:name w:val="Emphasis"/>
    <w:basedOn w:val="DefaultParagraphFont"/>
    <w:uiPriority w:val="20"/>
    <w:qFormat/>
    <w:rsid w:val="0097511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085596">
      <w:bodyDiv w:val="1"/>
      <w:marLeft w:val="0"/>
      <w:marRight w:val="0"/>
      <w:marTop w:val="0"/>
      <w:marBottom w:val="0"/>
      <w:divBdr>
        <w:top w:val="none" w:sz="0" w:space="0" w:color="auto"/>
        <w:left w:val="none" w:sz="0" w:space="0" w:color="auto"/>
        <w:bottom w:val="none" w:sz="0" w:space="0" w:color="auto"/>
        <w:right w:val="none" w:sz="0" w:space="0" w:color="auto"/>
      </w:divBdr>
    </w:div>
    <w:div w:id="81681804">
      <w:bodyDiv w:val="1"/>
      <w:marLeft w:val="0"/>
      <w:marRight w:val="0"/>
      <w:marTop w:val="0"/>
      <w:marBottom w:val="0"/>
      <w:divBdr>
        <w:top w:val="none" w:sz="0" w:space="0" w:color="auto"/>
        <w:left w:val="none" w:sz="0" w:space="0" w:color="auto"/>
        <w:bottom w:val="none" w:sz="0" w:space="0" w:color="auto"/>
        <w:right w:val="none" w:sz="0" w:space="0" w:color="auto"/>
      </w:divBdr>
    </w:div>
    <w:div w:id="86311522">
      <w:bodyDiv w:val="1"/>
      <w:marLeft w:val="0"/>
      <w:marRight w:val="0"/>
      <w:marTop w:val="0"/>
      <w:marBottom w:val="0"/>
      <w:divBdr>
        <w:top w:val="none" w:sz="0" w:space="0" w:color="auto"/>
        <w:left w:val="none" w:sz="0" w:space="0" w:color="auto"/>
        <w:bottom w:val="none" w:sz="0" w:space="0" w:color="auto"/>
        <w:right w:val="none" w:sz="0" w:space="0" w:color="auto"/>
      </w:divBdr>
    </w:div>
    <w:div w:id="124352769">
      <w:bodyDiv w:val="1"/>
      <w:marLeft w:val="0"/>
      <w:marRight w:val="0"/>
      <w:marTop w:val="0"/>
      <w:marBottom w:val="0"/>
      <w:divBdr>
        <w:top w:val="none" w:sz="0" w:space="0" w:color="auto"/>
        <w:left w:val="none" w:sz="0" w:space="0" w:color="auto"/>
        <w:bottom w:val="none" w:sz="0" w:space="0" w:color="auto"/>
        <w:right w:val="none" w:sz="0" w:space="0" w:color="auto"/>
      </w:divBdr>
    </w:div>
    <w:div w:id="378210922">
      <w:bodyDiv w:val="1"/>
      <w:marLeft w:val="0"/>
      <w:marRight w:val="0"/>
      <w:marTop w:val="0"/>
      <w:marBottom w:val="0"/>
      <w:divBdr>
        <w:top w:val="none" w:sz="0" w:space="0" w:color="auto"/>
        <w:left w:val="none" w:sz="0" w:space="0" w:color="auto"/>
        <w:bottom w:val="none" w:sz="0" w:space="0" w:color="auto"/>
        <w:right w:val="none" w:sz="0" w:space="0" w:color="auto"/>
      </w:divBdr>
    </w:div>
    <w:div w:id="512575571">
      <w:bodyDiv w:val="1"/>
      <w:marLeft w:val="0"/>
      <w:marRight w:val="0"/>
      <w:marTop w:val="0"/>
      <w:marBottom w:val="0"/>
      <w:divBdr>
        <w:top w:val="none" w:sz="0" w:space="0" w:color="auto"/>
        <w:left w:val="none" w:sz="0" w:space="0" w:color="auto"/>
        <w:bottom w:val="none" w:sz="0" w:space="0" w:color="auto"/>
        <w:right w:val="none" w:sz="0" w:space="0" w:color="auto"/>
      </w:divBdr>
    </w:div>
    <w:div w:id="518853400">
      <w:bodyDiv w:val="1"/>
      <w:marLeft w:val="0"/>
      <w:marRight w:val="0"/>
      <w:marTop w:val="0"/>
      <w:marBottom w:val="0"/>
      <w:divBdr>
        <w:top w:val="none" w:sz="0" w:space="0" w:color="auto"/>
        <w:left w:val="none" w:sz="0" w:space="0" w:color="auto"/>
        <w:bottom w:val="none" w:sz="0" w:space="0" w:color="auto"/>
        <w:right w:val="none" w:sz="0" w:space="0" w:color="auto"/>
      </w:divBdr>
    </w:div>
    <w:div w:id="628970881">
      <w:bodyDiv w:val="1"/>
      <w:marLeft w:val="0"/>
      <w:marRight w:val="0"/>
      <w:marTop w:val="0"/>
      <w:marBottom w:val="0"/>
      <w:divBdr>
        <w:top w:val="none" w:sz="0" w:space="0" w:color="auto"/>
        <w:left w:val="none" w:sz="0" w:space="0" w:color="auto"/>
        <w:bottom w:val="none" w:sz="0" w:space="0" w:color="auto"/>
        <w:right w:val="none" w:sz="0" w:space="0" w:color="auto"/>
      </w:divBdr>
    </w:div>
    <w:div w:id="643581444">
      <w:bodyDiv w:val="1"/>
      <w:marLeft w:val="0"/>
      <w:marRight w:val="0"/>
      <w:marTop w:val="0"/>
      <w:marBottom w:val="0"/>
      <w:divBdr>
        <w:top w:val="none" w:sz="0" w:space="0" w:color="auto"/>
        <w:left w:val="none" w:sz="0" w:space="0" w:color="auto"/>
        <w:bottom w:val="none" w:sz="0" w:space="0" w:color="auto"/>
        <w:right w:val="none" w:sz="0" w:space="0" w:color="auto"/>
      </w:divBdr>
    </w:div>
    <w:div w:id="778598365">
      <w:bodyDiv w:val="1"/>
      <w:marLeft w:val="0"/>
      <w:marRight w:val="0"/>
      <w:marTop w:val="0"/>
      <w:marBottom w:val="0"/>
      <w:divBdr>
        <w:top w:val="none" w:sz="0" w:space="0" w:color="auto"/>
        <w:left w:val="none" w:sz="0" w:space="0" w:color="auto"/>
        <w:bottom w:val="none" w:sz="0" w:space="0" w:color="auto"/>
        <w:right w:val="none" w:sz="0" w:space="0" w:color="auto"/>
      </w:divBdr>
    </w:div>
    <w:div w:id="827750332">
      <w:bodyDiv w:val="1"/>
      <w:marLeft w:val="0"/>
      <w:marRight w:val="0"/>
      <w:marTop w:val="0"/>
      <w:marBottom w:val="0"/>
      <w:divBdr>
        <w:top w:val="none" w:sz="0" w:space="0" w:color="auto"/>
        <w:left w:val="none" w:sz="0" w:space="0" w:color="auto"/>
        <w:bottom w:val="none" w:sz="0" w:space="0" w:color="auto"/>
        <w:right w:val="none" w:sz="0" w:space="0" w:color="auto"/>
      </w:divBdr>
    </w:div>
    <w:div w:id="963393114">
      <w:bodyDiv w:val="1"/>
      <w:marLeft w:val="0"/>
      <w:marRight w:val="0"/>
      <w:marTop w:val="0"/>
      <w:marBottom w:val="0"/>
      <w:divBdr>
        <w:top w:val="none" w:sz="0" w:space="0" w:color="auto"/>
        <w:left w:val="none" w:sz="0" w:space="0" w:color="auto"/>
        <w:bottom w:val="none" w:sz="0" w:space="0" w:color="auto"/>
        <w:right w:val="none" w:sz="0" w:space="0" w:color="auto"/>
      </w:divBdr>
    </w:div>
    <w:div w:id="976691327">
      <w:bodyDiv w:val="1"/>
      <w:marLeft w:val="0"/>
      <w:marRight w:val="0"/>
      <w:marTop w:val="0"/>
      <w:marBottom w:val="0"/>
      <w:divBdr>
        <w:top w:val="none" w:sz="0" w:space="0" w:color="auto"/>
        <w:left w:val="none" w:sz="0" w:space="0" w:color="auto"/>
        <w:bottom w:val="none" w:sz="0" w:space="0" w:color="auto"/>
        <w:right w:val="none" w:sz="0" w:space="0" w:color="auto"/>
      </w:divBdr>
    </w:div>
    <w:div w:id="983775145">
      <w:bodyDiv w:val="1"/>
      <w:marLeft w:val="0"/>
      <w:marRight w:val="0"/>
      <w:marTop w:val="0"/>
      <w:marBottom w:val="0"/>
      <w:divBdr>
        <w:top w:val="none" w:sz="0" w:space="0" w:color="auto"/>
        <w:left w:val="none" w:sz="0" w:space="0" w:color="auto"/>
        <w:bottom w:val="none" w:sz="0" w:space="0" w:color="auto"/>
        <w:right w:val="none" w:sz="0" w:space="0" w:color="auto"/>
      </w:divBdr>
    </w:div>
    <w:div w:id="993532930">
      <w:bodyDiv w:val="1"/>
      <w:marLeft w:val="0"/>
      <w:marRight w:val="0"/>
      <w:marTop w:val="0"/>
      <w:marBottom w:val="0"/>
      <w:divBdr>
        <w:top w:val="none" w:sz="0" w:space="0" w:color="auto"/>
        <w:left w:val="none" w:sz="0" w:space="0" w:color="auto"/>
        <w:bottom w:val="none" w:sz="0" w:space="0" w:color="auto"/>
        <w:right w:val="none" w:sz="0" w:space="0" w:color="auto"/>
      </w:divBdr>
    </w:div>
    <w:div w:id="1097750866">
      <w:bodyDiv w:val="1"/>
      <w:marLeft w:val="0"/>
      <w:marRight w:val="0"/>
      <w:marTop w:val="0"/>
      <w:marBottom w:val="0"/>
      <w:divBdr>
        <w:top w:val="none" w:sz="0" w:space="0" w:color="auto"/>
        <w:left w:val="none" w:sz="0" w:space="0" w:color="auto"/>
        <w:bottom w:val="none" w:sz="0" w:space="0" w:color="auto"/>
        <w:right w:val="none" w:sz="0" w:space="0" w:color="auto"/>
      </w:divBdr>
    </w:div>
    <w:div w:id="1182819755">
      <w:bodyDiv w:val="1"/>
      <w:marLeft w:val="0"/>
      <w:marRight w:val="0"/>
      <w:marTop w:val="0"/>
      <w:marBottom w:val="0"/>
      <w:divBdr>
        <w:top w:val="none" w:sz="0" w:space="0" w:color="auto"/>
        <w:left w:val="none" w:sz="0" w:space="0" w:color="auto"/>
        <w:bottom w:val="none" w:sz="0" w:space="0" w:color="auto"/>
        <w:right w:val="none" w:sz="0" w:space="0" w:color="auto"/>
      </w:divBdr>
    </w:div>
    <w:div w:id="1473599947">
      <w:bodyDiv w:val="1"/>
      <w:marLeft w:val="0"/>
      <w:marRight w:val="0"/>
      <w:marTop w:val="0"/>
      <w:marBottom w:val="0"/>
      <w:divBdr>
        <w:top w:val="none" w:sz="0" w:space="0" w:color="auto"/>
        <w:left w:val="none" w:sz="0" w:space="0" w:color="auto"/>
        <w:bottom w:val="none" w:sz="0" w:space="0" w:color="auto"/>
        <w:right w:val="none" w:sz="0" w:space="0" w:color="auto"/>
      </w:divBdr>
    </w:div>
    <w:div w:id="1568152604">
      <w:bodyDiv w:val="1"/>
      <w:marLeft w:val="0"/>
      <w:marRight w:val="0"/>
      <w:marTop w:val="0"/>
      <w:marBottom w:val="0"/>
      <w:divBdr>
        <w:top w:val="none" w:sz="0" w:space="0" w:color="auto"/>
        <w:left w:val="none" w:sz="0" w:space="0" w:color="auto"/>
        <w:bottom w:val="none" w:sz="0" w:space="0" w:color="auto"/>
        <w:right w:val="none" w:sz="0" w:space="0" w:color="auto"/>
      </w:divBdr>
    </w:div>
    <w:div w:id="1583878505">
      <w:bodyDiv w:val="1"/>
      <w:marLeft w:val="0"/>
      <w:marRight w:val="0"/>
      <w:marTop w:val="0"/>
      <w:marBottom w:val="0"/>
      <w:divBdr>
        <w:top w:val="none" w:sz="0" w:space="0" w:color="auto"/>
        <w:left w:val="none" w:sz="0" w:space="0" w:color="auto"/>
        <w:bottom w:val="none" w:sz="0" w:space="0" w:color="auto"/>
        <w:right w:val="none" w:sz="0" w:space="0" w:color="auto"/>
      </w:divBdr>
    </w:div>
    <w:div w:id="1589728670">
      <w:bodyDiv w:val="1"/>
      <w:marLeft w:val="0"/>
      <w:marRight w:val="0"/>
      <w:marTop w:val="0"/>
      <w:marBottom w:val="0"/>
      <w:divBdr>
        <w:top w:val="none" w:sz="0" w:space="0" w:color="auto"/>
        <w:left w:val="none" w:sz="0" w:space="0" w:color="auto"/>
        <w:bottom w:val="none" w:sz="0" w:space="0" w:color="auto"/>
        <w:right w:val="none" w:sz="0" w:space="0" w:color="auto"/>
      </w:divBdr>
    </w:div>
    <w:div w:id="1593926995">
      <w:bodyDiv w:val="1"/>
      <w:marLeft w:val="0"/>
      <w:marRight w:val="0"/>
      <w:marTop w:val="0"/>
      <w:marBottom w:val="0"/>
      <w:divBdr>
        <w:top w:val="none" w:sz="0" w:space="0" w:color="auto"/>
        <w:left w:val="none" w:sz="0" w:space="0" w:color="auto"/>
        <w:bottom w:val="none" w:sz="0" w:space="0" w:color="auto"/>
        <w:right w:val="none" w:sz="0" w:space="0" w:color="auto"/>
      </w:divBdr>
    </w:div>
    <w:div w:id="1619213815">
      <w:bodyDiv w:val="1"/>
      <w:marLeft w:val="0"/>
      <w:marRight w:val="0"/>
      <w:marTop w:val="0"/>
      <w:marBottom w:val="0"/>
      <w:divBdr>
        <w:top w:val="none" w:sz="0" w:space="0" w:color="auto"/>
        <w:left w:val="none" w:sz="0" w:space="0" w:color="auto"/>
        <w:bottom w:val="none" w:sz="0" w:space="0" w:color="auto"/>
        <w:right w:val="none" w:sz="0" w:space="0" w:color="auto"/>
      </w:divBdr>
      <w:divsChild>
        <w:div w:id="813647285">
          <w:marLeft w:val="0"/>
          <w:marRight w:val="0"/>
          <w:marTop w:val="0"/>
          <w:marBottom w:val="0"/>
          <w:divBdr>
            <w:top w:val="none" w:sz="0" w:space="0" w:color="auto"/>
            <w:left w:val="none" w:sz="0" w:space="0" w:color="auto"/>
            <w:bottom w:val="none" w:sz="0" w:space="0" w:color="auto"/>
            <w:right w:val="none" w:sz="0" w:space="0" w:color="auto"/>
          </w:divBdr>
          <w:divsChild>
            <w:div w:id="1302617566">
              <w:marLeft w:val="0"/>
              <w:marRight w:val="0"/>
              <w:marTop w:val="0"/>
              <w:marBottom w:val="0"/>
              <w:divBdr>
                <w:top w:val="none" w:sz="0" w:space="0" w:color="auto"/>
                <w:left w:val="none" w:sz="0" w:space="0" w:color="auto"/>
                <w:bottom w:val="none" w:sz="0" w:space="0" w:color="auto"/>
                <w:right w:val="none" w:sz="0" w:space="0" w:color="auto"/>
              </w:divBdr>
              <w:divsChild>
                <w:div w:id="929437156">
                  <w:marLeft w:val="0"/>
                  <w:marRight w:val="0"/>
                  <w:marTop w:val="0"/>
                  <w:marBottom w:val="0"/>
                  <w:divBdr>
                    <w:top w:val="none" w:sz="0" w:space="0" w:color="auto"/>
                    <w:left w:val="none" w:sz="0" w:space="0" w:color="auto"/>
                    <w:bottom w:val="none" w:sz="0" w:space="0" w:color="auto"/>
                    <w:right w:val="none" w:sz="0" w:space="0" w:color="auto"/>
                  </w:divBdr>
                  <w:divsChild>
                    <w:div w:id="1029448608">
                      <w:marLeft w:val="0"/>
                      <w:marRight w:val="0"/>
                      <w:marTop w:val="0"/>
                      <w:marBottom w:val="0"/>
                      <w:divBdr>
                        <w:top w:val="none" w:sz="0" w:space="0" w:color="auto"/>
                        <w:left w:val="none" w:sz="0" w:space="0" w:color="auto"/>
                        <w:bottom w:val="none" w:sz="0" w:space="0" w:color="auto"/>
                        <w:right w:val="none" w:sz="0" w:space="0" w:color="auto"/>
                      </w:divBdr>
                      <w:divsChild>
                        <w:div w:id="184052515">
                          <w:marLeft w:val="0"/>
                          <w:marRight w:val="0"/>
                          <w:marTop w:val="0"/>
                          <w:marBottom w:val="0"/>
                          <w:divBdr>
                            <w:top w:val="none" w:sz="0" w:space="0" w:color="auto"/>
                            <w:left w:val="none" w:sz="0" w:space="0" w:color="auto"/>
                            <w:bottom w:val="none" w:sz="0" w:space="0" w:color="auto"/>
                            <w:right w:val="none" w:sz="0" w:space="0" w:color="auto"/>
                          </w:divBdr>
                          <w:divsChild>
                            <w:div w:id="308288207">
                              <w:marLeft w:val="0"/>
                              <w:marRight w:val="0"/>
                              <w:marTop w:val="0"/>
                              <w:marBottom w:val="0"/>
                              <w:divBdr>
                                <w:top w:val="none" w:sz="0" w:space="0" w:color="auto"/>
                                <w:left w:val="none" w:sz="0" w:space="0" w:color="auto"/>
                                <w:bottom w:val="none" w:sz="0" w:space="0" w:color="auto"/>
                                <w:right w:val="none" w:sz="0" w:space="0" w:color="auto"/>
                              </w:divBdr>
                              <w:divsChild>
                                <w:div w:id="1088695473">
                                  <w:marLeft w:val="0"/>
                                  <w:marRight w:val="0"/>
                                  <w:marTop w:val="0"/>
                                  <w:marBottom w:val="0"/>
                                  <w:divBdr>
                                    <w:top w:val="none" w:sz="0" w:space="0" w:color="auto"/>
                                    <w:left w:val="none" w:sz="0" w:space="0" w:color="auto"/>
                                    <w:bottom w:val="none" w:sz="0" w:space="0" w:color="auto"/>
                                    <w:right w:val="none" w:sz="0" w:space="0" w:color="auto"/>
                                  </w:divBdr>
                                  <w:divsChild>
                                    <w:div w:id="1923567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1865398">
                          <w:marLeft w:val="0"/>
                          <w:marRight w:val="0"/>
                          <w:marTop w:val="0"/>
                          <w:marBottom w:val="0"/>
                          <w:divBdr>
                            <w:top w:val="none" w:sz="0" w:space="0" w:color="auto"/>
                            <w:left w:val="none" w:sz="0" w:space="0" w:color="auto"/>
                            <w:bottom w:val="none" w:sz="0" w:space="0" w:color="auto"/>
                            <w:right w:val="none" w:sz="0" w:space="0" w:color="auto"/>
                          </w:divBdr>
                          <w:divsChild>
                            <w:div w:id="1575235753">
                              <w:marLeft w:val="0"/>
                              <w:marRight w:val="0"/>
                              <w:marTop w:val="0"/>
                              <w:marBottom w:val="0"/>
                              <w:divBdr>
                                <w:top w:val="none" w:sz="0" w:space="0" w:color="auto"/>
                                <w:left w:val="none" w:sz="0" w:space="0" w:color="auto"/>
                                <w:bottom w:val="none" w:sz="0" w:space="0" w:color="auto"/>
                                <w:right w:val="none" w:sz="0" w:space="0" w:color="auto"/>
                              </w:divBdr>
                              <w:divsChild>
                                <w:div w:id="1020544337">
                                  <w:marLeft w:val="0"/>
                                  <w:marRight w:val="0"/>
                                  <w:marTop w:val="0"/>
                                  <w:marBottom w:val="0"/>
                                  <w:divBdr>
                                    <w:top w:val="none" w:sz="0" w:space="0" w:color="auto"/>
                                    <w:left w:val="none" w:sz="0" w:space="0" w:color="auto"/>
                                    <w:bottom w:val="none" w:sz="0" w:space="0" w:color="auto"/>
                                    <w:right w:val="none" w:sz="0" w:space="0" w:color="auto"/>
                                  </w:divBdr>
                                  <w:divsChild>
                                    <w:div w:id="1234511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00161044">
          <w:marLeft w:val="0"/>
          <w:marRight w:val="0"/>
          <w:marTop w:val="0"/>
          <w:marBottom w:val="0"/>
          <w:divBdr>
            <w:top w:val="none" w:sz="0" w:space="0" w:color="auto"/>
            <w:left w:val="none" w:sz="0" w:space="0" w:color="auto"/>
            <w:bottom w:val="none" w:sz="0" w:space="0" w:color="auto"/>
            <w:right w:val="none" w:sz="0" w:space="0" w:color="auto"/>
          </w:divBdr>
          <w:divsChild>
            <w:div w:id="668944736">
              <w:marLeft w:val="0"/>
              <w:marRight w:val="0"/>
              <w:marTop w:val="0"/>
              <w:marBottom w:val="0"/>
              <w:divBdr>
                <w:top w:val="none" w:sz="0" w:space="0" w:color="auto"/>
                <w:left w:val="none" w:sz="0" w:space="0" w:color="auto"/>
                <w:bottom w:val="none" w:sz="0" w:space="0" w:color="auto"/>
                <w:right w:val="none" w:sz="0" w:space="0" w:color="auto"/>
              </w:divBdr>
              <w:divsChild>
                <w:div w:id="397368347">
                  <w:marLeft w:val="0"/>
                  <w:marRight w:val="0"/>
                  <w:marTop w:val="0"/>
                  <w:marBottom w:val="0"/>
                  <w:divBdr>
                    <w:top w:val="none" w:sz="0" w:space="0" w:color="auto"/>
                    <w:left w:val="none" w:sz="0" w:space="0" w:color="auto"/>
                    <w:bottom w:val="none" w:sz="0" w:space="0" w:color="auto"/>
                    <w:right w:val="none" w:sz="0" w:space="0" w:color="auto"/>
                  </w:divBdr>
                  <w:divsChild>
                    <w:div w:id="40131858">
                      <w:marLeft w:val="0"/>
                      <w:marRight w:val="0"/>
                      <w:marTop w:val="0"/>
                      <w:marBottom w:val="0"/>
                      <w:divBdr>
                        <w:top w:val="none" w:sz="0" w:space="0" w:color="auto"/>
                        <w:left w:val="none" w:sz="0" w:space="0" w:color="auto"/>
                        <w:bottom w:val="none" w:sz="0" w:space="0" w:color="auto"/>
                        <w:right w:val="none" w:sz="0" w:space="0" w:color="auto"/>
                      </w:divBdr>
                      <w:divsChild>
                        <w:div w:id="1441418509">
                          <w:marLeft w:val="0"/>
                          <w:marRight w:val="0"/>
                          <w:marTop w:val="0"/>
                          <w:marBottom w:val="0"/>
                          <w:divBdr>
                            <w:top w:val="none" w:sz="0" w:space="0" w:color="auto"/>
                            <w:left w:val="none" w:sz="0" w:space="0" w:color="auto"/>
                            <w:bottom w:val="none" w:sz="0" w:space="0" w:color="auto"/>
                            <w:right w:val="none" w:sz="0" w:space="0" w:color="auto"/>
                          </w:divBdr>
                          <w:divsChild>
                            <w:div w:id="1676180741">
                              <w:marLeft w:val="0"/>
                              <w:marRight w:val="0"/>
                              <w:marTop w:val="0"/>
                              <w:marBottom w:val="0"/>
                              <w:divBdr>
                                <w:top w:val="none" w:sz="0" w:space="0" w:color="auto"/>
                                <w:left w:val="none" w:sz="0" w:space="0" w:color="auto"/>
                                <w:bottom w:val="none" w:sz="0" w:space="0" w:color="auto"/>
                                <w:right w:val="none" w:sz="0" w:space="0" w:color="auto"/>
                              </w:divBdr>
                              <w:divsChild>
                                <w:div w:id="1967737006">
                                  <w:marLeft w:val="0"/>
                                  <w:marRight w:val="0"/>
                                  <w:marTop w:val="0"/>
                                  <w:marBottom w:val="0"/>
                                  <w:divBdr>
                                    <w:top w:val="none" w:sz="0" w:space="0" w:color="auto"/>
                                    <w:left w:val="none" w:sz="0" w:space="0" w:color="auto"/>
                                    <w:bottom w:val="none" w:sz="0" w:space="0" w:color="auto"/>
                                    <w:right w:val="none" w:sz="0" w:space="0" w:color="auto"/>
                                  </w:divBdr>
                                  <w:divsChild>
                                    <w:div w:id="1862740774">
                                      <w:marLeft w:val="0"/>
                                      <w:marRight w:val="0"/>
                                      <w:marTop w:val="0"/>
                                      <w:marBottom w:val="0"/>
                                      <w:divBdr>
                                        <w:top w:val="none" w:sz="0" w:space="0" w:color="auto"/>
                                        <w:left w:val="none" w:sz="0" w:space="0" w:color="auto"/>
                                        <w:bottom w:val="none" w:sz="0" w:space="0" w:color="auto"/>
                                        <w:right w:val="none" w:sz="0" w:space="0" w:color="auto"/>
                                      </w:divBdr>
                                      <w:divsChild>
                                        <w:div w:id="1515220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23159028">
          <w:marLeft w:val="0"/>
          <w:marRight w:val="0"/>
          <w:marTop w:val="0"/>
          <w:marBottom w:val="0"/>
          <w:divBdr>
            <w:top w:val="none" w:sz="0" w:space="0" w:color="auto"/>
            <w:left w:val="none" w:sz="0" w:space="0" w:color="auto"/>
            <w:bottom w:val="none" w:sz="0" w:space="0" w:color="auto"/>
            <w:right w:val="none" w:sz="0" w:space="0" w:color="auto"/>
          </w:divBdr>
          <w:divsChild>
            <w:div w:id="806438830">
              <w:marLeft w:val="0"/>
              <w:marRight w:val="0"/>
              <w:marTop w:val="0"/>
              <w:marBottom w:val="0"/>
              <w:divBdr>
                <w:top w:val="none" w:sz="0" w:space="0" w:color="auto"/>
                <w:left w:val="none" w:sz="0" w:space="0" w:color="auto"/>
                <w:bottom w:val="none" w:sz="0" w:space="0" w:color="auto"/>
                <w:right w:val="none" w:sz="0" w:space="0" w:color="auto"/>
              </w:divBdr>
              <w:divsChild>
                <w:div w:id="2093315863">
                  <w:marLeft w:val="0"/>
                  <w:marRight w:val="0"/>
                  <w:marTop w:val="0"/>
                  <w:marBottom w:val="0"/>
                  <w:divBdr>
                    <w:top w:val="none" w:sz="0" w:space="0" w:color="auto"/>
                    <w:left w:val="none" w:sz="0" w:space="0" w:color="auto"/>
                    <w:bottom w:val="none" w:sz="0" w:space="0" w:color="auto"/>
                    <w:right w:val="none" w:sz="0" w:space="0" w:color="auto"/>
                  </w:divBdr>
                  <w:divsChild>
                    <w:div w:id="666442850">
                      <w:marLeft w:val="0"/>
                      <w:marRight w:val="0"/>
                      <w:marTop w:val="0"/>
                      <w:marBottom w:val="0"/>
                      <w:divBdr>
                        <w:top w:val="none" w:sz="0" w:space="0" w:color="auto"/>
                        <w:left w:val="none" w:sz="0" w:space="0" w:color="auto"/>
                        <w:bottom w:val="none" w:sz="0" w:space="0" w:color="auto"/>
                        <w:right w:val="none" w:sz="0" w:space="0" w:color="auto"/>
                      </w:divBdr>
                      <w:divsChild>
                        <w:div w:id="1573463387">
                          <w:marLeft w:val="0"/>
                          <w:marRight w:val="0"/>
                          <w:marTop w:val="0"/>
                          <w:marBottom w:val="0"/>
                          <w:divBdr>
                            <w:top w:val="none" w:sz="0" w:space="0" w:color="auto"/>
                            <w:left w:val="none" w:sz="0" w:space="0" w:color="auto"/>
                            <w:bottom w:val="none" w:sz="0" w:space="0" w:color="auto"/>
                            <w:right w:val="none" w:sz="0" w:space="0" w:color="auto"/>
                          </w:divBdr>
                          <w:divsChild>
                            <w:div w:id="2139033093">
                              <w:marLeft w:val="0"/>
                              <w:marRight w:val="0"/>
                              <w:marTop w:val="0"/>
                              <w:marBottom w:val="0"/>
                              <w:divBdr>
                                <w:top w:val="none" w:sz="0" w:space="0" w:color="auto"/>
                                <w:left w:val="none" w:sz="0" w:space="0" w:color="auto"/>
                                <w:bottom w:val="none" w:sz="0" w:space="0" w:color="auto"/>
                                <w:right w:val="none" w:sz="0" w:space="0" w:color="auto"/>
                              </w:divBdr>
                              <w:divsChild>
                                <w:div w:id="995651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9068715">
                  <w:marLeft w:val="0"/>
                  <w:marRight w:val="0"/>
                  <w:marTop w:val="0"/>
                  <w:marBottom w:val="0"/>
                  <w:divBdr>
                    <w:top w:val="none" w:sz="0" w:space="0" w:color="auto"/>
                    <w:left w:val="none" w:sz="0" w:space="0" w:color="auto"/>
                    <w:bottom w:val="none" w:sz="0" w:space="0" w:color="auto"/>
                    <w:right w:val="none" w:sz="0" w:space="0" w:color="auto"/>
                  </w:divBdr>
                  <w:divsChild>
                    <w:div w:id="1450009119">
                      <w:marLeft w:val="0"/>
                      <w:marRight w:val="0"/>
                      <w:marTop w:val="0"/>
                      <w:marBottom w:val="0"/>
                      <w:divBdr>
                        <w:top w:val="none" w:sz="0" w:space="0" w:color="auto"/>
                        <w:left w:val="none" w:sz="0" w:space="0" w:color="auto"/>
                        <w:bottom w:val="none" w:sz="0" w:space="0" w:color="auto"/>
                        <w:right w:val="none" w:sz="0" w:space="0" w:color="auto"/>
                      </w:divBdr>
                      <w:divsChild>
                        <w:div w:id="1464345064">
                          <w:marLeft w:val="0"/>
                          <w:marRight w:val="0"/>
                          <w:marTop w:val="0"/>
                          <w:marBottom w:val="0"/>
                          <w:divBdr>
                            <w:top w:val="none" w:sz="0" w:space="0" w:color="auto"/>
                            <w:left w:val="none" w:sz="0" w:space="0" w:color="auto"/>
                            <w:bottom w:val="none" w:sz="0" w:space="0" w:color="auto"/>
                            <w:right w:val="none" w:sz="0" w:space="0" w:color="auto"/>
                          </w:divBdr>
                          <w:divsChild>
                            <w:div w:id="1196236958">
                              <w:marLeft w:val="0"/>
                              <w:marRight w:val="0"/>
                              <w:marTop w:val="0"/>
                              <w:marBottom w:val="0"/>
                              <w:divBdr>
                                <w:top w:val="none" w:sz="0" w:space="0" w:color="auto"/>
                                <w:left w:val="none" w:sz="0" w:space="0" w:color="auto"/>
                                <w:bottom w:val="none" w:sz="0" w:space="0" w:color="auto"/>
                                <w:right w:val="none" w:sz="0" w:space="0" w:color="auto"/>
                              </w:divBdr>
                              <w:divsChild>
                                <w:div w:id="1847866580">
                                  <w:marLeft w:val="0"/>
                                  <w:marRight w:val="0"/>
                                  <w:marTop w:val="0"/>
                                  <w:marBottom w:val="0"/>
                                  <w:divBdr>
                                    <w:top w:val="none" w:sz="0" w:space="0" w:color="auto"/>
                                    <w:left w:val="none" w:sz="0" w:space="0" w:color="auto"/>
                                    <w:bottom w:val="none" w:sz="0" w:space="0" w:color="auto"/>
                                    <w:right w:val="none" w:sz="0" w:space="0" w:color="auto"/>
                                  </w:divBdr>
                                  <w:divsChild>
                                    <w:div w:id="1281448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42423216">
      <w:bodyDiv w:val="1"/>
      <w:marLeft w:val="0"/>
      <w:marRight w:val="0"/>
      <w:marTop w:val="0"/>
      <w:marBottom w:val="0"/>
      <w:divBdr>
        <w:top w:val="none" w:sz="0" w:space="0" w:color="auto"/>
        <w:left w:val="none" w:sz="0" w:space="0" w:color="auto"/>
        <w:bottom w:val="none" w:sz="0" w:space="0" w:color="auto"/>
        <w:right w:val="none" w:sz="0" w:space="0" w:color="auto"/>
      </w:divBdr>
    </w:div>
    <w:div w:id="1683505472">
      <w:bodyDiv w:val="1"/>
      <w:marLeft w:val="0"/>
      <w:marRight w:val="0"/>
      <w:marTop w:val="0"/>
      <w:marBottom w:val="0"/>
      <w:divBdr>
        <w:top w:val="none" w:sz="0" w:space="0" w:color="auto"/>
        <w:left w:val="none" w:sz="0" w:space="0" w:color="auto"/>
        <w:bottom w:val="none" w:sz="0" w:space="0" w:color="auto"/>
        <w:right w:val="none" w:sz="0" w:space="0" w:color="auto"/>
      </w:divBdr>
    </w:div>
    <w:div w:id="1726758405">
      <w:bodyDiv w:val="1"/>
      <w:marLeft w:val="0"/>
      <w:marRight w:val="0"/>
      <w:marTop w:val="0"/>
      <w:marBottom w:val="0"/>
      <w:divBdr>
        <w:top w:val="none" w:sz="0" w:space="0" w:color="auto"/>
        <w:left w:val="none" w:sz="0" w:space="0" w:color="auto"/>
        <w:bottom w:val="none" w:sz="0" w:space="0" w:color="auto"/>
        <w:right w:val="none" w:sz="0" w:space="0" w:color="auto"/>
      </w:divBdr>
    </w:div>
    <w:div w:id="1810710223">
      <w:bodyDiv w:val="1"/>
      <w:marLeft w:val="0"/>
      <w:marRight w:val="0"/>
      <w:marTop w:val="0"/>
      <w:marBottom w:val="0"/>
      <w:divBdr>
        <w:top w:val="none" w:sz="0" w:space="0" w:color="auto"/>
        <w:left w:val="none" w:sz="0" w:space="0" w:color="auto"/>
        <w:bottom w:val="none" w:sz="0" w:space="0" w:color="auto"/>
        <w:right w:val="none" w:sz="0" w:space="0" w:color="auto"/>
      </w:divBdr>
    </w:div>
    <w:div w:id="1863736834">
      <w:bodyDiv w:val="1"/>
      <w:marLeft w:val="0"/>
      <w:marRight w:val="0"/>
      <w:marTop w:val="0"/>
      <w:marBottom w:val="0"/>
      <w:divBdr>
        <w:top w:val="none" w:sz="0" w:space="0" w:color="auto"/>
        <w:left w:val="none" w:sz="0" w:space="0" w:color="auto"/>
        <w:bottom w:val="none" w:sz="0" w:space="0" w:color="auto"/>
        <w:right w:val="none" w:sz="0" w:space="0" w:color="auto"/>
      </w:divBdr>
    </w:div>
    <w:div w:id="2040161794">
      <w:bodyDiv w:val="1"/>
      <w:marLeft w:val="0"/>
      <w:marRight w:val="0"/>
      <w:marTop w:val="0"/>
      <w:marBottom w:val="0"/>
      <w:divBdr>
        <w:top w:val="none" w:sz="0" w:space="0" w:color="auto"/>
        <w:left w:val="none" w:sz="0" w:space="0" w:color="auto"/>
        <w:bottom w:val="none" w:sz="0" w:space="0" w:color="auto"/>
        <w:right w:val="none" w:sz="0" w:space="0" w:color="auto"/>
      </w:divBdr>
    </w:div>
    <w:div w:id="2041975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02/rev3.3175" TargetMode="External"/><Relationship Id="rId21" Type="http://schemas.openxmlformats.org/officeDocument/2006/relationships/hyperlink" Target="https://doi.org/10.1093/qje/qjaa005" TargetMode="External"/><Relationship Id="rId42" Type="http://schemas.openxmlformats.org/officeDocument/2006/relationships/hyperlink" Target="https://doi.org/10.1136/bmjopen-2016-012750" TargetMode="External"/><Relationship Id="rId47" Type="http://schemas.openxmlformats.org/officeDocument/2006/relationships/hyperlink" Target="https://doi.org/10.1111/j.1467-8551.2006.00487.x" TargetMode="External"/><Relationship Id="rId63" Type="http://schemas.openxmlformats.org/officeDocument/2006/relationships/hyperlink" Target="https://www.hesa.ac.uk/news/18-04-2023/ah2304-degree-attainment-socioeconomic-background" TargetMode="External"/><Relationship Id="rId68" Type="http://schemas.openxmlformats.org/officeDocument/2006/relationships/hyperlink" Target="https://doi.org/10.1111/j.1468-4446.2008.00200.x" TargetMode="External"/><Relationship Id="rId16" Type="http://schemas.openxmlformats.org/officeDocument/2006/relationships/hyperlink" Target="https://researchbriefings.files.parliament.uk/documents/CBP-9195/CBP-9195.pdf" TargetMode="External"/><Relationship Id="rId11" Type="http://schemas.openxmlformats.org/officeDocument/2006/relationships/hyperlink" Target="https://doi.org/10.23756/sp.v8i1.500" TargetMode="External"/><Relationship Id="rId24" Type="http://schemas.openxmlformats.org/officeDocument/2006/relationships/hyperlink" Target="https://doi.org/10.1093/oxrep/grw030" TargetMode="External"/><Relationship Id="rId32" Type="http://schemas.openxmlformats.org/officeDocument/2006/relationships/hyperlink" Target="https://ifs.org.uk/articles/uk-education-system-preserves-inequality-new-report" TargetMode="External"/><Relationship Id="rId37" Type="http://schemas.openxmlformats.org/officeDocument/2006/relationships/hyperlink" Target="https://doi.org/10.1093/oxfordhb/9780195301700.001.0001" TargetMode="External"/><Relationship Id="rId40" Type="http://schemas.openxmlformats.org/officeDocument/2006/relationships/hyperlink" Target="https://doi.org/10.1093/eurpub/ckx186.307" TargetMode="External"/><Relationship Id="rId45" Type="http://schemas.openxmlformats.org/officeDocument/2006/relationships/hyperlink" Target="http://www.jstor.org/stable/24440174" TargetMode="External"/><Relationship Id="rId53" Type="http://schemas.openxmlformats.org/officeDocument/2006/relationships/hyperlink" Target="https://doi.org/10.1093/qje/qjaa005" TargetMode="External"/><Relationship Id="rId58" Type="http://schemas.openxmlformats.org/officeDocument/2006/relationships/hyperlink" Target="https://doi.org/10.1002/rev3.3175" TargetMode="External"/><Relationship Id="rId66" Type="http://schemas.openxmlformats.org/officeDocument/2006/relationships/hyperlink" Target="https://doi.org/10.1007/s10734-021-00693-9" TargetMode="External"/><Relationship Id="rId74" Type="http://schemas.openxmlformats.org/officeDocument/2006/relationships/hyperlink" Target="https://doi.org/10.1093/eurpub/ckx186.307" TargetMode="External"/><Relationship Id="rId5" Type="http://schemas.openxmlformats.org/officeDocument/2006/relationships/settings" Target="settings.xml"/><Relationship Id="rId61" Type="http://schemas.openxmlformats.org/officeDocument/2006/relationships/hyperlink" Target="https://doi.org/10.1002/berj.3309" TargetMode="External"/><Relationship Id="rId19" Type="http://schemas.openxmlformats.org/officeDocument/2006/relationships/hyperlink" Target="https://doi.org/10.1007/978-3-030-11991-1_1" TargetMode="External"/><Relationship Id="rId14" Type="http://schemas.openxmlformats.org/officeDocument/2006/relationships/hyperlink" Target="http://www.apa.org/topics/socioeconomic/status/" TargetMode="External"/><Relationship Id="rId22" Type="http://schemas.openxmlformats.org/officeDocument/2006/relationships/hyperlink" Target="https://www.researchgate.net/publication/383409318_Wealth_and_health_inequality_in_the_elderly_a_narrative_review_of_the_challenges_in_an_ageing_UK_population" TargetMode="External"/><Relationship Id="rId27" Type="http://schemas.openxmlformats.org/officeDocument/2006/relationships/hyperlink" Target="https://doi.org/10.1177/002795010419000108" TargetMode="External"/><Relationship Id="rId30" Type="http://schemas.openxmlformats.org/officeDocument/2006/relationships/hyperlink" Target="https://doi.org/10.1007/s10805-024-09590-z" TargetMode="External"/><Relationship Id="rId35" Type="http://schemas.openxmlformats.org/officeDocument/2006/relationships/hyperlink" Target="https://doi.org/10.5430/ijhe.v6n5p26" TargetMode="External"/><Relationship Id="rId43" Type="http://schemas.openxmlformats.org/officeDocument/2006/relationships/hyperlink" Target="https://doi.org/10.23756/sp.v8i1.500" TargetMode="External"/><Relationship Id="rId48" Type="http://schemas.openxmlformats.org/officeDocument/2006/relationships/hyperlink" Target="https://researchbriefings.files.parliament.uk/documents/CBP-9195/CBP-9195.pdf" TargetMode="External"/><Relationship Id="rId56" Type="http://schemas.openxmlformats.org/officeDocument/2006/relationships/hyperlink" Target="https://doi.org/10.1093/oxrep/grw030" TargetMode="External"/><Relationship Id="rId64" Type="http://schemas.openxmlformats.org/officeDocument/2006/relationships/hyperlink" Target="https://ifs.org.uk/articles/uk-education-system-preserves-inequality-new-report" TargetMode="External"/><Relationship Id="rId69" Type="http://schemas.openxmlformats.org/officeDocument/2006/relationships/hyperlink" Target="https://doi.org/10.1093/oxfordhb/9780195301700.001.0001" TargetMode="External"/><Relationship Id="rId77"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hyperlink" Target="https://doi.org/10.1007/978-3-030-11991-1_2" TargetMode="External"/><Relationship Id="rId72" Type="http://schemas.openxmlformats.org/officeDocument/2006/relationships/hyperlink" Target="https://www.ons.gov.uk/methodology/classificationsandstandards/otherclassifications/thenationalstatisticssocioeconomicclassificationnssecrebasedonsoc2010" TargetMode="External"/><Relationship Id="rId3" Type="http://schemas.openxmlformats.org/officeDocument/2006/relationships/customXml" Target="../customXml/item3.xml"/><Relationship Id="rId12" Type="http://schemas.openxmlformats.org/officeDocument/2006/relationships/hyperlink" Target="https://www.researchgate.net/publication/338244145_A_Review_of_key_paradigms_positivism_VS_interpretivism" TargetMode="External"/><Relationship Id="rId17" Type="http://schemas.openxmlformats.org/officeDocument/2006/relationships/hyperlink" Target="https://doi.org/10.4324/9781410607027" TargetMode="External"/><Relationship Id="rId25" Type="http://schemas.openxmlformats.org/officeDocument/2006/relationships/hyperlink" Target="http://www.jstor.org/stable/10.20851/j.ctt1t304xh.8" TargetMode="External"/><Relationship Id="rId33" Type="http://schemas.openxmlformats.org/officeDocument/2006/relationships/hyperlink" Target="https://ifs.org.uk/publications/housing-quality-and-affordability-lower-income-households" TargetMode="External"/><Relationship Id="rId38" Type="http://schemas.openxmlformats.org/officeDocument/2006/relationships/hyperlink" Target="https://doi.org/10.1177/152692480101100401" TargetMode="External"/><Relationship Id="rId46" Type="http://schemas.openxmlformats.org/officeDocument/2006/relationships/hyperlink" Target="http://www.apa.org/topics/socioeconomic/status/" TargetMode="External"/><Relationship Id="rId59" Type="http://schemas.openxmlformats.org/officeDocument/2006/relationships/hyperlink" Target="https://doi.org/10.1177/002795010419000108" TargetMode="External"/><Relationship Id="rId67" Type="http://schemas.openxmlformats.org/officeDocument/2006/relationships/hyperlink" Target="https://doi.org/10.5430/ijhe.v6n5p26" TargetMode="External"/><Relationship Id="rId20" Type="http://schemas.openxmlformats.org/officeDocument/2006/relationships/hyperlink" Target="https://doi.org/10.1007/978-3-030-11991-1_2" TargetMode="External"/><Relationship Id="rId41" Type="http://schemas.openxmlformats.org/officeDocument/2006/relationships/hyperlink" Target="https://doi.org/10.1007/s10734-024-01245-7" TargetMode="External"/><Relationship Id="rId54" Type="http://schemas.openxmlformats.org/officeDocument/2006/relationships/hyperlink" Target="https://www.researchgate.net/publication/383409318_Wealth_and_health_inequality_in_the_elderly_a_narrative_review_of_the_challenges_in_an_ageing_UK_population" TargetMode="External"/><Relationship Id="rId62" Type="http://schemas.openxmlformats.org/officeDocument/2006/relationships/hyperlink" Target="https://doi.org/10.1007/s10805-024-09590-z" TargetMode="External"/><Relationship Id="rId70" Type="http://schemas.openxmlformats.org/officeDocument/2006/relationships/hyperlink" Target="https://doi.org/10.1080/14767430.2023.2217054" TargetMode="External"/><Relationship Id="rId75" Type="http://schemas.openxmlformats.org/officeDocument/2006/relationships/hyperlink" Target="https://doi.org/10.1007/s10734-024-01245-7"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doi.org/10.1111/j.1467-8551.2006.00487.x" TargetMode="External"/><Relationship Id="rId23" Type="http://schemas.openxmlformats.org/officeDocument/2006/relationships/hyperlink" Target="https://ifs.org.uk/sites/default/files/output_url_files/WP201431.pdf?utm_source=chatgpt.com" TargetMode="External"/><Relationship Id="rId28" Type="http://schemas.openxmlformats.org/officeDocument/2006/relationships/hyperlink" Target="https://social-mobility.data.gov.uk/intermediate_outcomes/work_in_early_adulthood_(25_to_29_years)/income_returns_to_education/latest" TargetMode="External"/><Relationship Id="rId36" Type="http://schemas.openxmlformats.org/officeDocument/2006/relationships/hyperlink" Target="https://doi.org/10.1111/j.1468-4446.2008.00200.x" TargetMode="External"/><Relationship Id="rId49" Type="http://schemas.openxmlformats.org/officeDocument/2006/relationships/hyperlink" Target="https://doi.org/10.4324/9781410607027" TargetMode="External"/><Relationship Id="rId57" Type="http://schemas.openxmlformats.org/officeDocument/2006/relationships/hyperlink" Target="http://www.jstor.org/stable/10.20851/j.ctt1t304xh.8" TargetMode="External"/><Relationship Id="rId10" Type="http://schemas.openxmlformats.org/officeDocument/2006/relationships/hyperlink" Target="https://doi.org/10.1136/bmjopen-2016-012750" TargetMode="External"/><Relationship Id="rId31" Type="http://schemas.openxmlformats.org/officeDocument/2006/relationships/hyperlink" Target="https://www.hesa.ac.uk/news/18-04-2023/ah2304-degree-attainment-socioeconomic-background" TargetMode="External"/><Relationship Id="rId44" Type="http://schemas.openxmlformats.org/officeDocument/2006/relationships/hyperlink" Target="https://www.researchgate.net/publication/338244145_A_Review_of_key_paradigms_positivism_VS_interpretivism" TargetMode="External"/><Relationship Id="rId52" Type="http://schemas.openxmlformats.org/officeDocument/2006/relationships/hyperlink" Target="https://doi.org/10.1007/978-3-030-11991-1_1" TargetMode="External"/><Relationship Id="rId60" Type="http://schemas.openxmlformats.org/officeDocument/2006/relationships/hyperlink" Target="https://social-mobility.data.gov.uk/intermediate_outcomes/work_in_early_adulthood_(25_to_29_years)/income_returns_to_education/latest" TargetMode="External"/><Relationship Id="rId65" Type="http://schemas.openxmlformats.org/officeDocument/2006/relationships/hyperlink" Target="https://ifs.org.uk/publications/housing-quality-and-affordability-lower-income-households" TargetMode="External"/><Relationship Id="rId73" Type="http://schemas.openxmlformats.org/officeDocument/2006/relationships/hyperlink" Target="https://doi.org/10.9790/1959-0904033840" TargetMode="External"/><Relationship Id="rId78"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hyperlink" Target="http://www.jstor.org/stable/24440174" TargetMode="External"/><Relationship Id="rId18" Type="http://schemas.openxmlformats.org/officeDocument/2006/relationships/hyperlink" Target="https://ifs.org.uk/sites/default/files/2023-01/WP202306-Can-higher-education-policy-boost-intergenerational-mobility-evidence-from-an-empirical-matching-model.pdf" TargetMode="External"/><Relationship Id="rId39" Type="http://schemas.openxmlformats.org/officeDocument/2006/relationships/hyperlink" Target="https://doi.org/10.9790/1959-0904033840" TargetMode="External"/><Relationship Id="rId34" Type="http://schemas.openxmlformats.org/officeDocument/2006/relationships/hyperlink" Target="https://doi.org/10.1007/s10734-021-00693-9" TargetMode="External"/><Relationship Id="rId50" Type="http://schemas.openxmlformats.org/officeDocument/2006/relationships/hyperlink" Target="https://ifs.org.uk/sites/default/files/2023-01/WP202306-Can-higher-education-policy-boost-intergenerational-mobility-evidence-from-an-empirical-matching-model.pdf" TargetMode="External"/><Relationship Id="rId55" Type="http://schemas.openxmlformats.org/officeDocument/2006/relationships/hyperlink" Target="https://ifs.org.uk/sites/default/files/output_url_files/WP201431.pdf" TargetMode="External"/><Relationship Id="rId76" Type="http://schemas.openxmlformats.org/officeDocument/2006/relationships/footer" Target="footer1.xml"/><Relationship Id="rId7" Type="http://schemas.openxmlformats.org/officeDocument/2006/relationships/footnotes" Target="footnotes.xml"/><Relationship Id="rId71" Type="http://schemas.openxmlformats.org/officeDocument/2006/relationships/hyperlink" Target="https://doi.org/10.1177/152692480101100401" TargetMode="External"/><Relationship Id="rId2" Type="http://schemas.openxmlformats.org/officeDocument/2006/relationships/customXml" Target="../customXml/item2.xml"/><Relationship Id="rId29" Type="http://schemas.openxmlformats.org/officeDocument/2006/relationships/hyperlink" Target="https://doi.org/10.1002/berj.33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fb8d8ad0-312e-46a2-9327-b65a0e9852c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5DE7180B2459040B8ADB0F36372BEBE" ma:contentTypeVersion="17" ma:contentTypeDescription="Create a new document." ma:contentTypeScope="" ma:versionID="24b1f6a1a1f730c757c76d29251fc831">
  <xsd:schema xmlns:xsd="http://www.w3.org/2001/XMLSchema" xmlns:xs="http://www.w3.org/2001/XMLSchema" xmlns:p="http://schemas.microsoft.com/office/2006/metadata/properties" xmlns:ns3="fb8d8ad0-312e-46a2-9327-b65a0e9852ce" xmlns:ns4="9267ca95-43da-40e6-a5f4-91ddd9965bdf" targetNamespace="http://schemas.microsoft.com/office/2006/metadata/properties" ma:root="true" ma:fieldsID="d009bd21943839245a0e3339b9075dc7" ns3:_="" ns4:_="">
    <xsd:import namespace="fb8d8ad0-312e-46a2-9327-b65a0e9852ce"/>
    <xsd:import namespace="9267ca95-43da-40e6-a5f4-91ddd9965bd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b8d8ad0-312e-46a2-9327-b65a0e9852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MediaLengthInSeconds" ma:index="24"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267ca95-43da-40e6-a5f4-91ddd9965bdf"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69C862F-CBFA-4F58-8F17-EA34075B235B}">
  <ds:schemaRefs>
    <ds:schemaRef ds:uri="http://schemas.microsoft.com/office/2006/metadata/properties"/>
    <ds:schemaRef ds:uri="http://schemas.microsoft.com/office/infopath/2007/PartnerControls"/>
    <ds:schemaRef ds:uri="fb8d8ad0-312e-46a2-9327-b65a0e9852ce"/>
  </ds:schemaRefs>
</ds:datastoreItem>
</file>

<file path=customXml/itemProps2.xml><?xml version="1.0" encoding="utf-8"?>
<ds:datastoreItem xmlns:ds="http://schemas.openxmlformats.org/officeDocument/2006/customXml" ds:itemID="{E516B748-B448-47BF-A199-D85C7AD08C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b8d8ad0-312e-46a2-9327-b65a0e9852ce"/>
    <ds:schemaRef ds:uri="9267ca95-43da-40e6-a5f4-91ddd9965bd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5A097C4-1E4B-4173-B11D-350DA997609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46</Pages>
  <Words>11012</Words>
  <Characters>76680</Characters>
  <Application>Microsoft Office Word</Application>
  <DocSecurity>0</DocSecurity>
  <Lines>1718</Lines>
  <Paragraphs>590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Karine Williams</dc:creator>
  <cp:keywords/>
  <dc:description/>
  <cp:lastModifiedBy>Karine Williams</cp:lastModifiedBy>
  <cp:revision>2</cp:revision>
  <dcterms:created xsi:type="dcterms:W3CDTF">2025-01-17T16:21:00Z</dcterms:created>
  <dcterms:modified xsi:type="dcterms:W3CDTF">2025-01-17T16:21:00Z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6961b2dd-7673-45dc-9ba3-e70d99480298</vt:lpwstr>
  </property>
  <property fmtid="{D5CDD505-2E9C-101B-9397-08002B2CF9AE}" pid="3" name="ContentTypeId">
    <vt:lpwstr>0x01010045DE7180B2459040B8ADB0F36372BEBE</vt:lpwstr>
  </property>
</Properties>
</file>