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widowControl/>
        <w:jc w:val="center"/>
        <w:rPr>
          <w:b/>
          <w:sz w:val="32"/>
          <w:szCs w:val="24"/>
        </w:rPr>
      </w:pPr>
    </w:p>
    <w:p>
      <w:pPr>
        <w:widowControl/>
        <w:jc w:val="center"/>
        <w:rPr>
          <w:b/>
          <w:sz w:val="32"/>
          <w:szCs w:val="24"/>
        </w:rPr>
      </w:pPr>
    </w:p>
    <w:p>
      <w:pPr>
        <w:widowControl/>
        <w:jc w:val="center"/>
        <w:rPr>
          <w:b/>
          <w:sz w:val="32"/>
          <w:szCs w:val="24"/>
        </w:rPr>
      </w:pPr>
    </w:p>
    <w:p>
      <w:pPr>
        <w:widowControl/>
        <w:jc w:val="center"/>
        <w:rPr>
          <w:b/>
          <w:sz w:val="32"/>
          <w:szCs w:val="24"/>
        </w:rPr>
      </w:pPr>
    </w:p>
    <w:p>
      <w:pPr>
        <w:widowControl/>
        <w:jc w:val="center"/>
        <w:rPr>
          <w:b/>
          <w:sz w:val="32"/>
          <w:szCs w:val="24"/>
        </w:rPr>
      </w:pPr>
    </w:p>
    <w:p>
      <w:pPr>
        <w:widowControl/>
        <w:jc w:val="center"/>
        <w:rPr>
          <w:b/>
          <w:sz w:val="32"/>
          <w:szCs w:val="24"/>
        </w:rPr>
      </w:pPr>
    </w:p>
    <w:p>
      <w:pPr>
        <w:widowControl/>
        <w:jc w:val="center"/>
        <w:rPr>
          <w:b/>
          <w:sz w:val="32"/>
          <w:szCs w:val="24"/>
        </w:rPr>
      </w:pPr>
    </w:p>
    <w:p>
      <w:pPr>
        <w:widowControl/>
        <w:jc w:val="center"/>
        <w:rPr>
          <w:rFonts w:hint="eastAsia"/>
          <w:b/>
          <w:sz w:val="32"/>
          <w:szCs w:val="24"/>
        </w:rPr>
      </w:pPr>
      <w:r>
        <w:rPr>
          <w:rFonts w:hint="eastAsia"/>
          <w:b/>
          <w:sz w:val="32"/>
          <w:szCs w:val="24"/>
        </w:rPr>
        <w:t>W</w:t>
      </w:r>
      <w:r>
        <w:rPr>
          <w:b/>
          <w:sz w:val="32"/>
          <w:szCs w:val="24"/>
        </w:rPr>
        <w:t xml:space="preserve">ater Scarcity and Corporate Social </w:t>
      </w:r>
      <w:r>
        <w:rPr>
          <w:rFonts w:hint="eastAsia"/>
          <w:b/>
          <w:sz w:val="32"/>
          <w:szCs w:val="24"/>
        </w:rPr>
        <w:t>Responsibility</w:t>
      </w:r>
    </w:p>
    <w:p>
      <w:pPr>
        <w:widowControl/>
        <w:jc w:val="center"/>
        <w:rPr>
          <w:rFonts w:hint="eastAsia"/>
          <w:b/>
          <w:sz w:val="32"/>
          <w:szCs w:val="24"/>
        </w:rPr>
      </w:pPr>
    </w:p>
    <w:p>
      <w:pPr>
        <w:widowControl/>
        <w:jc w:val="center"/>
        <w:rPr>
          <w:rFonts w:hint="eastAsia"/>
          <w:b/>
          <w:sz w:val="32"/>
          <w:szCs w:val="24"/>
        </w:rPr>
      </w:pPr>
    </w:p>
    <w:p>
      <w:pPr>
        <w:widowControl/>
        <w:jc w:val="center"/>
        <w:rPr>
          <w:rFonts w:hint="eastAsia"/>
          <w:b/>
          <w:sz w:val="32"/>
          <w:szCs w:val="24"/>
        </w:rPr>
      </w:pPr>
      <w:bookmarkStart w:id="8" w:name="_GoBack"/>
      <w:bookmarkEnd w:id="8"/>
    </w:p>
    <w:p>
      <w:pPr>
        <w:widowControl/>
        <w:jc w:val="center"/>
        <w:rPr>
          <w:rFonts w:hint="default"/>
          <w:b/>
          <w:sz w:val="32"/>
          <w:szCs w:val="24"/>
          <w:lang w:val="en-GB"/>
        </w:rPr>
      </w:pPr>
      <w:r>
        <w:rPr>
          <w:rFonts w:hint="default"/>
          <w:b/>
          <w:sz w:val="32"/>
          <w:szCs w:val="24"/>
          <w:lang w:val="en-GB"/>
        </w:rPr>
        <w:t>Student name:Hang Wen</w:t>
      </w:r>
    </w:p>
    <w:p>
      <w:pPr>
        <w:widowControl/>
        <w:jc w:val="center"/>
        <w:rPr>
          <w:rFonts w:hint="default"/>
          <w:b/>
          <w:sz w:val="32"/>
          <w:szCs w:val="24"/>
          <w:lang w:val="en-GB"/>
        </w:rPr>
      </w:pPr>
      <w:r>
        <w:rPr>
          <w:rFonts w:hint="default"/>
          <w:b/>
          <w:sz w:val="32"/>
          <w:szCs w:val="24"/>
          <w:lang w:val="en-GB"/>
        </w:rPr>
        <w:t>Student NO:1801428</w:t>
      </w:r>
    </w:p>
    <w:p>
      <w:pPr>
        <w:widowControl/>
        <w:jc w:val="center"/>
        <w:rPr>
          <w:rFonts w:hint="eastAsia"/>
          <w:b/>
          <w:sz w:val="32"/>
          <w:szCs w:val="24"/>
        </w:rPr>
      </w:pPr>
    </w:p>
    <w:p>
      <w:pPr>
        <w:widowControl/>
        <w:jc w:val="center"/>
        <w:rPr>
          <w:rFonts w:hint="eastAsia"/>
          <w:b/>
          <w:sz w:val="32"/>
          <w:szCs w:val="24"/>
        </w:rPr>
      </w:pPr>
    </w:p>
    <w:p>
      <w:pPr>
        <w:widowControl/>
        <w:jc w:val="center"/>
        <w:rPr>
          <w:b/>
          <w:bCs/>
          <w:kern w:val="44"/>
          <w:sz w:val="28"/>
          <w:szCs w:val="24"/>
        </w:rPr>
      </w:pPr>
      <w:r>
        <w:rPr>
          <w:b/>
          <w:sz w:val="28"/>
          <w:szCs w:val="24"/>
        </w:rPr>
        <w:br w:type="page"/>
      </w:r>
    </w:p>
    <w:p>
      <w:pPr>
        <w:pStyle w:val="2"/>
        <w:spacing w:before="156" w:beforeLines="50" w:after="156" w:afterLines="50"/>
        <w:rPr>
          <w:sz w:val="36"/>
          <w:szCs w:val="24"/>
        </w:rPr>
      </w:pPr>
      <w:bookmarkStart w:id="0" w:name="_Toc6176166"/>
      <w:r>
        <w:rPr>
          <w:sz w:val="36"/>
          <w:szCs w:val="24"/>
        </w:rPr>
        <w:t>Table of Contents</w:t>
      </w:r>
      <w:bookmarkEnd w:id="0"/>
    </w:p>
    <w:sdt>
      <w:sdtPr>
        <w:rPr>
          <w:rFonts w:asciiTheme="minorHAnsi" w:hAnsiTheme="minorHAnsi" w:eastAsiaTheme="minorEastAsia" w:cstheme="minorBidi"/>
          <w:color w:val="auto"/>
          <w:kern w:val="2"/>
          <w:sz w:val="21"/>
          <w:szCs w:val="22"/>
          <w:lang w:val="zh-CN"/>
        </w:rPr>
        <w:id w:val="-1778325137"/>
        <w:docPartObj>
          <w:docPartGallery w:val="Table of Contents"/>
          <w:docPartUnique/>
        </w:docPartObj>
      </w:sdtPr>
      <w:sdtEndPr>
        <w:rPr>
          <w:rFonts w:asciiTheme="minorHAnsi" w:hAnsiTheme="minorHAnsi" w:eastAsiaTheme="minorEastAsia" w:cstheme="minorBidi"/>
          <w:b/>
          <w:bCs/>
          <w:color w:val="auto"/>
          <w:kern w:val="2"/>
          <w:sz w:val="21"/>
          <w:szCs w:val="22"/>
          <w:lang w:val="zh-CN"/>
        </w:rPr>
      </w:sdtEndPr>
      <w:sdtContent>
        <w:p>
          <w:pPr>
            <w:pStyle w:val="15"/>
          </w:pPr>
        </w:p>
        <w:p>
          <w:pPr>
            <w:pStyle w:val="6"/>
            <w:tabs>
              <w:tab w:val="right" w:leader="dot" w:pos="9736"/>
            </w:tabs>
            <w:rPr>
              <w:rFonts w:ascii="Times New Roman" w:hAnsi="Times New Roman" w:cs="Times New Roman"/>
              <w:sz w:val="28"/>
            </w:rPr>
          </w:pPr>
          <w:r>
            <w:rPr>
              <w:rFonts w:ascii="Times New Roman" w:hAnsi="Times New Roman" w:cs="Times New Roman"/>
              <w:sz w:val="28"/>
            </w:rPr>
            <w:fldChar w:fldCharType="begin"/>
          </w:r>
          <w:r>
            <w:rPr>
              <w:rFonts w:ascii="Times New Roman" w:hAnsi="Times New Roman" w:cs="Times New Roman"/>
              <w:sz w:val="28"/>
            </w:rPr>
            <w:instrText xml:space="preserve"> TOC \o "1-3" \h \z \u </w:instrText>
          </w:r>
          <w:r>
            <w:rPr>
              <w:rFonts w:ascii="Times New Roman" w:hAnsi="Times New Roman" w:cs="Times New Roman"/>
              <w:sz w:val="28"/>
            </w:rPr>
            <w:fldChar w:fldCharType="separate"/>
          </w:r>
          <w:r>
            <w:fldChar w:fldCharType="begin"/>
          </w:r>
          <w:r>
            <w:instrText xml:space="preserve"> HYPERLINK \l "_Toc6176167" </w:instrText>
          </w:r>
          <w:r>
            <w:fldChar w:fldCharType="separate"/>
          </w:r>
          <w:r>
            <w:rPr>
              <w:rStyle w:val="9"/>
              <w:rFonts w:ascii="Times New Roman" w:hAnsi="Times New Roman" w:cs="Times New Roman"/>
              <w:sz w:val="28"/>
            </w:rPr>
            <w:t>Introduction</w:t>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PAGEREF _Toc6176167 \h </w:instrText>
          </w:r>
          <w:r>
            <w:rPr>
              <w:rFonts w:ascii="Times New Roman" w:hAnsi="Times New Roman" w:cs="Times New Roman"/>
              <w:sz w:val="28"/>
            </w:rPr>
            <w:fldChar w:fldCharType="separate"/>
          </w:r>
          <w:r>
            <w:rPr>
              <w:rFonts w:ascii="Times New Roman" w:hAnsi="Times New Roman" w:cs="Times New Roman"/>
              <w:sz w:val="28"/>
            </w:rPr>
            <w:t>1</w:t>
          </w:r>
          <w:r>
            <w:rPr>
              <w:rFonts w:ascii="Times New Roman" w:hAnsi="Times New Roman" w:cs="Times New Roman"/>
              <w:sz w:val="28"/>
            </w:rPr>
            <w:fldChar w:fldCharType="end"/>
          </w:r>
          <w:r>
            <w:rPr>
              <w:rFonts w:ascii="Times New Roman" w:hAnsi="Times New Roman" w:cs="Times New Roman"/>
              <w:sz w:val="28"/>
            </w:rPr>
            <w:fldChar w:fldCharType="end"/>
          </w:r>
        </w:p>
        <w:p>
          <w:pPr>
            <w:pStyle w:val="6"/>
            <w:tabs>
              <w:tab w:val="right" w:leader="dot" w:pos="9736"/>
            </w:tabs>
            <w:rPr>
              <w:rFonts w:ascii="Times New Roman" w:hAnsi="Times New Roman" w:cs="Times New Roman"/>
              <w:sz w:val="28"/>
            </w:rPr>
          </w:pPr>
          <w:r>
            <w:fldChar w:fldCharType="begin"/>
          </w:r>
          <w:r>
            <w:instrText xml:space="preserve"> HYPERLINK \l "_Toc6176168" </w:instrText>
          </w:r>
          <w:r>
            <w:fldChar w:fldCharType="separate"/>
          </w:r>
          <w:r>
            <w:rPr>
              <w:rStyle w:val="9"/>
              <w:rFonts w:ascii="Times New Roman" w:hAnsi="Times New Roman" w:cs="Times New Roman"/>
              <w:sz w:val="28"/>
            </w:rPr>
            <w:t>The role of privatised water companies in terms of Carroll’s pyramid</w:t>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PAGEREF _Toc6176168 \h </w:instrText>
          </w:r>
          <w:r>
            <w:rPr>
              <w:rFonts w:ascii="Times New Roman" w:hAnsi="Times New Roman" w:cs="Times New Roman"/>
              <w:sz w:val="28"/>
            </w:rPr>
            <w:fldChar w:fldCharType="separate"/>
          </w:r>
          <w:r>
            <w:rPr>
              <w:rFonts w:ascii="Times New Roman" w:hAnsi="Times New Roman" w:cs="Times New Roman"/>
              <w:sz w:val="28"/>
            </w:rPr>
            <w:t>1</w:t>
          </w:r>
          <w:r>
            <w:rPr>
              <w:rFonts w:ascii="Times New Roman" w:hAnsi="Times New Roman" w:cs="Times New Roman"/>
              <w:sz w:val="28"/>
            </w:rPr>
            <w:fldChar w:fldCharType="end"/>
          </w:r>
          <w:r>
            <w:rPr>
              <w:rFonts w:ascii="Times New Roman" w:hAnsi="Times New Roman" w:cs="Times New Roman"/>
              <w:sz w:val="28"/>
            </w:rPr>
            <w:fldChar w:fldCharType="end"/>
          </w:r>
        </w:p>
        <w:p>
          <w:pPr>
            <w:pStyle w:val="6"/>
            <w:tabs>
              <w:tab w:val="right" w:leader="dot" w:pos="9736"/>
            </w:tabs>
            <w:rPr>
              <w:rFonts w:ascii="Times New Roman" w:hAnsi="Times New Roman" w:cs="Times New Roman"/>
              <w:sz w:val="28"/>
            </w:rPr>
          </w:pPr>
          <w:r>
            <w:fldChar w:fldCharType="begin"/>
          </w:r>
          <w:r>
            <w:instrText xml:space="preserve"> HYPERLINK \l "_Toc6176169" </w:instrText>
          </w:r>
          <w:r>
            <w:fldChar w:fldCharType="separate"/>
          </w:r>
          <w:r>
            <w:rPr>
              <w:rStyle w:val="9"/>
              <w:rFonts w:ascii="Times New Roman" w:hAnsi="Times New Roman" w:cs="Times New Roman"/>
              <w:sz w:val="28"/>
            </w:rPr>
            <w:t>The provision of water by governments&amp; Governments’ motivation for privatisation</w:t>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PAGEREF _Toc6176169 \h </w:instrText>
          </w:r>
          <w:r>
            <w:rPr>
              <w:rFonts w:ascii="Times New Roman" w:hAnsi="Times New Roman" w:cs="Times New Roman"/>
              <w:sz w:val="28"/>
            </w:rPr>
            <w:fldChar w:fldCharType="separate"/>
          </w:r>
          <w:r>
            <w:rPr>
              <w:rFonts w:ascii="Times New Roman" w:hAnsi="Times New Roman" w:cs="Times New Roman"/>
              <w:sz w:val="28"/>
            </w:rPr>
            <w:t>2</w:t>
          </w:r>
          <w:r>
            <w:rPr>
              <w:rFonts w:ascii="Times New Roman" w:hAnsi="Times New Roman" w:cs="Times New Roman"/>
              <w:sz w:val="28"/>
            </w:rPr>
            <w:fldChar w:fldCharType="end"/>
          </w:r>
          <w:r>
            <w:rPr>
              <w:rFonts w:ascii="Times New Roman" w:hAnsi="Times New Roman" w:cs="Times New Roman"/>
              <w:sz w:val="28"/>
            </w:rPr>
            <w:fldChar w:fldCharType="end"/>
          </w:r>
        </w:p>
        <w:p>
          <w:pPr>
            <w:pStyle w:val="6"/>
            <w:tabs>
              <w:tab w:val="right" w:leader="dot" w:pos="9736"/>
            </w:tabs>
            <w:rPr>
              <w:rFonts w:ascii="Times New Roman" w:hAnsi="Times New Roman" w:cs="Times New Roman"/>
              <w:sz w:val="28"/>
            </w:rPr>
          </w:pPr>
          <w:r>
            <w:fldChar w:fldCharType="begin"/>
          </w:r>
          <w:r>
            <w:instrText xml:space="preserve"> HYPERLINK \l "_Toc6176170" </w:instrText>
          </w:r>
          <w:r>
            <w:fldChar w:fldCharType="separate"/>
          </w:r>
          <w:r>
            <w:rPr>
              <w:rStyle w:val="9"/>
              <w:rFonts w:ascii="Times New Roman" w:hAnsi="Times New Roman" w:cs="Times New Roman"/>
              <w:sz w:val="28"/>
            </w:rPr>
            <w:t>The sustainable issue of water provision</w:t>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PAGEREF _Toc6176170 \h </w:instrText>
          </w:r>
          <w:r>
            <w:rPr>
              <w:rFonts w:ascii="Times New Roman" w:hAnsi="Times New Roman" w:cs="Times New Roman"/>
              <w:sz w:val="28"/>
            </w:rPr>
            <w:fldChar w:fldCharType="separate"/>
          </w:r>
          <w:r>
            <w:rPr>
              <w:rFonts w:ascii="Times New Roman" w:hAnsi="Times New Roman" w:cs="Times New Roman"/>
              <w:sz w:val="28"/>
            </w:rPr>
            <w:t>3</w:t>
          </w:r>
          <w:r>
            <w:rPr>
              <w:rFonts w:ascii="Times New Roman" w:hAnsi="Times New Roman" w:cs="Times New Roman"/>
              <w:sz w:val="28"/>
            </w:rPr>
            <w:fldChar w:fldCharType="end"/>
          </w:r>
          <w:r>
            <w:rPr>
              <w:rFonts w:ascii="Times New Roman" w:hAnsi="Times New Roman" w:cs="Times New Roman"/>
              <w:sz w:val="28"/>
            </w:rPr>
            <w:fldChar w:fldCharType="end"/>
          </w:r>
        </w:p>
        <w:p>
          <w:pPr>
            <w:pStyle w:val="6"/>
            <w:tabs>
              <w:tab w:val="right" w:leader="dot" w:pos="9736"/>
            </w:tabs>
            <w:rPr>
              <w:rFonts w:ascii="Times New Roman" w:hAnsi="Times New Roman" w:cs="Times New Roman"/>
              <w:sz w:val="28"/>
            </w:rPr>
          </w:pPr>
          <w:r>
            <w:fldChar w:fldCharType="begin"/>
          </w:r>
          <w:r>
            <w:instrText xml:space="preserve"> HYPERLINK \l "_Toc6176171" </w:instrText>
          </w:r>
          <w:r>
            <w:fldChar w:fldCharType="separate"/>
          </w:r>
          <w:r>
            <w:rPr>
              <w:rStyle w:val="9"/>
              <w:rFonts w:ascii="Times New Roman" w:hAnsi="Times New Roman" w:cs="Times New Roman"/>
              <w:sz w:val="28"/>
            </w:rPr>
            <w:t>Modern examples</w:t>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PAGEREF _Toc6176171 \h </w:instrText>
          </w:r>
          <w:r>
            <w:rPr>
              <w:rFonts w:ascii="Times New Roman" w:hAnsi="Times New Roman" w:cs="Times New Roman"/>
              <w:sz w:val="28"/>
            </w:rPr>
            <w:fldChar w:fldCharType="separate"/>
          </w:r>
          <w:r>
            <w:rPr>
              <w:rFonts w:ascii="Times New Roman" w:hAnsi="Times New Roman" w:cs="Times New Roman"/>
              <w:sz w:val="28"/>
            </w:rPr>
            <w:t>4</w:t>
          </w:r>
          <w:r>
            <w:rPr>
              <w:rFonts w:ascii="Times New Roman" w:hAnsi="Times New Roman" w:cs="Times New Roman"/>
              <w:sz w:val="28"/>
            </w:rPr>
            <w:fldChar w:fldCharType="end"/>
          </w:r>
          <w:r>
            <w:rPr>
              <w:rFonts w:ascii="Times New Roman" w:hAnsi="Times New Roman" w:cs="Times New Roman"/>
              <w:sz w:val="28"/>
            </w:rPr>
            <w:fldChar w:fldCharType="end"/>
          </w:r>
        </w:p>
        <w:p>
          <w:pPr>
            <w:pStyle w:val="6"/>
            <w:tabs>
              <w:tab w:val="right" w:leader="dot" w:pos="9736"/>
            </w:tabs>
            <w:rPr>
              <w:rFonts w:ascii="Times New Roman" w:hAnsi="Times New Roman" w:cs="Times New Roman"/>
              <w:sz w:val="28"/>
            </w:rPr>
          </w:pPr>
          <w:r>
            <w:fldChar w:fldCharType="begin"/>
          </w:r>
          <w:r>
            <w:instrText xml:space="preserve"> HYPERLINK \l "_Toc6176172" </w:instrText>
          </w:r>
          <w:r>
            <w:fldChar w:fldCharType="separate"/>
          </w:r>
          <w:r>
            <w:rPr>
              <w:rStyle w:val="9"/>
              <w:rFonts w:ascii="Times New Roman" w:hAnsi="Times New Roman" w:cs="Times New Roman"/>
              <w:sz w:val="28"/>
            </w:rPr>
            <w:t>Conclusion</w:t>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PAGEREF _Toc6176172 \h </w:instrText>
          </w:r>
          <w:r>
            <w:rPr>
              <w:rFonts w:ascii="Times New Roman" w:hAnsi="Times New Roman" w:cs="Times New Roman"/>
              <w:sz w:val="28"/>
            </w:rPr>
            <w:fldChar w:fldCharType="separate"/>
          </w:r>
          <w:r>
            <w:rPr>
              <w:rFonts w:ascii="Times New Roman" w:hAnsi="Times New Roman" w:cs="Times New Roman"/>
              <w:sz w:val="28"/>
            </w:rPr>
            <w:t>4</w:t>
          </w:r>
          <w:r>
            <w:rPr>
              <w:rFonts w:ascii="Times New Roman" w:hAnsi="Times New Roman" w:cs="Times New Roman"/>
              <w:sz w:val="28"/>
            </w:rPr>
            <w:fldChar w:fldCharType="end"/>
          </w:r>
          <w:r>
            <w:rPr>
              <w:rFonts w:ascii="Times New Roman" w:hAnsi="Times New Roman" w:cs="Times New Roman"/>
              <w:sz w:val="28"/>
            </w:rPr>
            <w:fldChar w:fldCharType="end"/>
          </w:r>
        </w:p>
        <w:p>
          <w:pPr>
            <w:pStyle w:val="6"/>
            <w:tabs>
              <w:tab w:val="right" w:leader="dot" w:pos="9736"/>
            </w:tabs>
            <w:rPr>
              <w:rFonts w:ascii="Times New Roman" w:hAnsi="Times New Roman" w:cs="Times New Roman"/>
              <w:sz w:val="28"/>
            </w:rPr>
          </w:pPr>
          <w:r>
            <w:fldChar w:fldCharType="begin"/>
          </w:r>
          <w:r>
            <w:instrText xml:space="preserve"> HYPERLINK \l "_Toc6176173" </w:instrText>
          </w:r>
          <w:r>
            <w:fldChar w:fldCharType="separate"/>
          </w:r>
          <w:r>
            <w:rPr>
              <w:rStyle w:val="9"/>
              <w:rFonts w:ascii="Times New Roman" w:hAnsi="Times New Roman" w:cs="Times New Roman"/>
              <w:sz w:val="28"/>
            </w:rPr>
            <w:t>Reference List</w:t>
          </w:r>
          <w:r>
            <w:rPr>
              <w:rFonts w:ascii="Times New Roman" w:hAnsi="Times New Roman" w:cs="Times New Roman"/>
              <w:sz w:val="28"/>
            </w:rPr>
            <w:tab/>
          </w:r>
          <w:r>
            <w:rPr>
              <w:rFonts w:ascii="Times New Roman" w:hAnsi="Times New Roman" w:cs="Times New Roman"/>
              <w:sz w:val="28"/>
            </w:rPr>
            <w:fldChar w:fldCharType="begin"/>
          </w:r>
          <w:r>
            <w:rPr>
              <w:rFonts w:ascii="Times New Roman" w:hAnsi="Times New Roman" w:cs="Times New Roman"/>
              <w:sz w:val="28"/>
            </w:rPr>
            <w:instrText xml:space="preserve"> PAGEREF _Toc6176173 \h </w:instrText>
          </w:r>
          <w:r>
            <w:rPr>
              <w:rFonts w:ascii="Times New Roman" w:hAnsi="Times New Roman" w:cs="Times New Roman"/>
              <w:sz w:val="28"/>
            </w:rPr>
            <w:fldChar w:fldCharType="separate"/>
          </w:r>
          <w:r>
            <w:rPr>
              <w:rFonts w:ascii="Times New Roman" w:hAnsi="Times New Roman" w:cs="Times New Roman"/>
              <w:sz w:val="28"/>
            </w:rPr>
            <w:t>5</w:t>
          </w:r>
          <w:r>
            <w:rPr>
              <w:rFonts w:ascii="Times New Roman" w:hAnsi="Times New Roman" w:cs="Times New Roman"/>
              <w:sz w:val="28"/>
            </w:rPr>
            <w:fldChar w:fldCharType="end"/>
          </w:r>
          <w:r>
            <w:rPr>
              <w:rFonts w:ascii="Times New Roman" w:hAnsi="Times New Roman" w:cs="Times New Roman"/>
              <w:sz w:val="28"/>
            </w:rPr>
            <w:fldChar w:fldCharType="end"/>
          </w:r>
        </w:p>
        <w:p>
          <w:r>
            <w:rPr>
              <w:rFonts w:ascii="Times New Roman" w:hAnsi="Times New Roman" w:cs="Times New Roman"/>
              <w:b/>
              <w:bCs/>
              <w:sz w:val="28"/>
              <w:lang w:val="zh-CN"/>
            </w:rPr>
            <w:fldChar w:fldCharType="end"/>
          </w:r>
        </w:p>
      </w:sdtContent>
    </w:sdt>
    <w:p/>
    <w:p>
      <w:pPr>
        <w:widowControl/>
        <w:jc w:val="left"/>
        <w:rPr>
          <w:b/>
          <w:bCs/>
          <w:kern w:val="44"/>
          <w:sz w:val="28"/>
          <w:szCs w:val="24"/>
        </w:rPr>
      </w:pPr>
      <w:r>
        <w:rPr>
          <w:sz w:val="28"/>
          <w:szCs w:val="24"/>
        </w:rPr>
        <w:br w:type="page"/>
      </w:r>
    </w:p>
    <w:p>
      <w:pPr>
        <w:pStyle w:val="2"/>
        <w:spacing w:before="156" w:beforeLines="50" w:after="156" w:afterLines="50"/>
        <w:rPr>
          <w:sz w:val="28"/>
          <w:szCs w:val="24"/>
        </w:rPr>
        <w:sectPr>
          <w:footerReference r:id="rId3" w:type="default"/>
          <w:pgSz w:w="11906" w:h="16838"/>
          <w:pgMar w:top="1440" w:right="1080" w:bottom="1440" w:left="1080" w:header="851" w:footer="992" w:gutter="0"/>
          <w:cols w:space="425" w:num="1"/>
          <w:docGrid w:type="lines" w:linePitch="312" w:charSpace="0"/>
        </w:sectPr>
      </w:pPr>
      <w:bookmarkStart w:id="1" w:name="_Toc6176167"/>
    </w:p>
    <w:p>
      <w:pPr>
        <w:pStyle w:val="2"/>
        <w:spacing w:before="100" w:beforeAutospacing="1" w:after="100" w:afterAutospacing="1" w:line="360" w:lineRule="auto"/>
        <w:rPr>
          <w:sz w:val="28"/>
          <w:szCs w:val="24"/>
        </w:rPr>
      </w:pPr>
      <w:r>
        <w:rPr>
          <w:sz w:val="28"/>
          <w:szCs w:val="24"/>
        </w:rPr>
        <w:t>Introduction</w:t>
      </w:r>
      <w:bookmarkEnd w:id="1"/>
      <w:r>
        <w:rPr>
          <w:sz w:val="28"/>
          <w:szCs w:val="24"/>
        </w:rPr>
        <w:t xml:space="preserve"> </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Corporates do not operate their business in a vacuum environment. Their relationship with the environment and other stakeholders in which they run their businesses is of great importance for them to operate effectively and sustainably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{"citationItems":[{"id":"ITEM-1","itemData":{"DOI":"10.1108/sd.2007.05623ead.006","ISSN":"0258-0543","abstract":"overnments, activists, and the media have become adept at holding companies to account for the social consequences of their activities. Myriad organizations rank companies on the performance of their corporate social responsibility (CSR), and, despite sometimes questionable methodologies, these rankings attract considerable publicity. As a result, CSR has emerged as an inescapable priority for business leaders in every country. Many companies have already done much to improve the social and environ-mental consequences of their activities, yet these efforts have not been nearly as productive as they could be – for two reasons. First, they pit business against so-ciety, when clearly the two are interdependent. Second, they pressure companies to think of corporate social responsibility in generic ways instead of in the way most appropriate to each firm's strategy. 78 harvard business review | hbr.org","author":[{"dropping-particle":"","family":"Porter","given":"Michael E","non-dropping-particle":"","parse-names":false,"suffix":""},{"dropping-particle":"","family":"Kramer","given":"Mark R","non-dropping-particle":"","parse-names":false,"suffix":""},{"dropping-particle":"","family":"Fraser","given":"Doug","non-dropping-particle":"","parse-names":false,"suffix":""}],"container-title":"Harvard Business Review","id":"ITEM-1","issue":"5","issued":{"date-parts":[["2006"]]},"page":"78-92","title":"Strategy and society: the link between competitive advantage and corporate social responsibility","type":"article-journal","volume":"23"},"uris":["http://www.mendeley.com/documents/?uuid=ff89ceec-c522-3404-86fa-870a77f969c1"]}],"mendeley":{"formattedCitation":"(Porter, Kramer and Fraser, 2006)","plainTextFormattedCitation":"(Porter, Kramer and Fraser, 2006)","previouslyFormattedCitation":"(Porter, Kramer, and Fraser 2006)"},"properties":{"noteIndex":0},"schema":"https://github.com/citation-style-language/schema/raw/master/csl-citation.json"}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(Porter, Kramer and Fraser, 2006)</w:t>
      </w:r>
      <w:r>
        <w:rPr>
          <w:rFonts w:ascii="Times New Roman" w:hAnsi="Times New Roman" w:cs="Times New Roman"/>
          <w:sz w:val="24"/>
          <w:szCs w:val="24"/>
        </w:rPr>
        <w:fldChar w:fldCharType="end"/>
      </w:r>
      <w:r>
        <w:rPr>
          <w:rFonts w:ascii="Times New Roman" w:hAnsi="Times New Roman" w:cs="Times New Roman"/>
          <w:sz w:val="24"/>
          <w:szCs w:val="24"/>
        </w:rPr>
        <w:t xml:space="preserve"> Corporate social responsibility refers to sustainable development issues that apply to corporate business operations. According to the definition provided by International Standard Organization 26000, corporate social responsibility is corporates undertake the impact and responsibility for its decisions and activities through transparent and ethical behaviours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iso.org/iso-26000-social-responsibility.html","accessed":{"date-parts":[["2019","4","14"]]},"author":[{"dropping-particle":"","family":"ISO","given":"","non-dropping-particle":"","parse-names":false,"suffix":""}],"id":"ITEM-1","issued":{"date-parts":[["2018"]]},"title":"ISO 26000 Social responsibility","type":"webpage"},"uris":["http://www.mendeley.com/documents/?uuid=92557753-c837-345f-b7f8-6f1acdac7785"]}],"mendeley":{"formattedCitation":"(ISO, 2018)","plainTextFormattedCitation":"(ISO, 2018)","previouslyFormattedCitation":"(ISO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(ISO, 2018)</w:t>
      </w:r>
      <w:r>
        <w:rPr>
          <w:rFonts w:ascii="Times New Roman" w:hAnsi="Times New Roman" w:cs="Times New Roman"/>
          <w:sz w:val="24"/>
          <w:szCs w:val="24"/>
        </w:rPr>
        <w:fldChar w:fldCharType="end"/>
      </w:r>
      <w:r>
        <w:rPr>
          <w:rFonts w:ascii="Times New Roman" w:hAnsi="Times New Roman" w:cs="Times New Roman"/>
          <w:sz w:val="24"/>
          <w:szCs w:val="24"/>
        </w:rPr>
        <w:t xml:space="preserve">. These transparent and ethical behaviours will contribute to the sustainable development of organizations in multiple ways. Basically, these behaviours should be in accordance with international codes of conduct. Based on that, corporations should take full consideration of the benefits and expectations of relevant stakeholders. Ultimately, it will promote sustainable development, public health, and social well-being. Suggested by International Standard Organization 26000, six major issues concerning corporate social responsibility include human rights, labour practices, environment, good business practice, consumer issues, as well as social commitment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iso.org/standard/42546.html","accessed":{"date-parts":[["2019","4","14"]]},"author":[{"dropping-particle":"","family":"ISO","given":"","non-dropping-particle":"","parse-names":false,"suffix":""}],"id":"ITEM-1","issued":{"date-parts":[["2014"]]},"title":"ISO 26000:2010 - Guidance on social responsibility","type":"webpage"},"uris":["http://www.mendeley.com/documents/?uuid=e954997e-7d78-339a-a2e8-310896f431e8"]}],"mendeley":{"formattedCitation":"(ISO, 2014)","plainTextFormattedCitation":"(ISO, 2014)","previouslyFormattedCitation":"(ISO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(ISO, 2014)</w:t>
      </w:r>
      <w:r>
        <w:rPr>
          <w:rFonts w:ascii="Times New Roman" w:hAnsi="Times New Roman" w:cs="Times New Roman"/>
          <w:sz w:val="24"/>
          <w:szCs w:val="24"/>
        </w:rPr>
        <w:fldChar w:fldCharType="end"/>
      </w:r>
      <w:r>
        <w:rPr>
          <w:rFonts w:ascii="Times New Roman" w:hAnsi="Times New Roman" w:cs="Times New Roman"/>
          <w:sz w:val="24"/>
          <w:szCs w:val="24"/>
        </w:rPr>
        <w:t>. This essay will discuss the water scarcity issues, which is under the category of environment. Our water resources are decreasing at an alarming rate. As the world’s population grows, and eating habits change, and climate changes, the challenge of water scarcity will become more urgent than ever.</w:t>
      </w:r>
    </w:p>
    <w:p>
      <w:pPr>
        <w:pStyle w:val="2"/>
        <w:spacing w:before="100" w:beforeAutospacing="1" w:after="100" w:afterAutospacing="1" w:line="360" w:lineRule="auto"/>
        <w:rPr>
          <w:sz w:val="28"/>
          <w:szCs w:val="24"/>
        </w:rPr>
      </w:pPr>
      <w:bookmarkStart w:id="2" w:name="_Toc6176168"/>
      <w:r>
        <w:rPr>
          <w:sz w:val="28"/>
          <w:szCs w:val="24"/>
        </w:rPr>
        <w:t>The role of privatised water companies in terms of Carroll’s pyramid</w:t>
      </w:r>
      <w:bookmarkEnd w:id="2"/>
      <w:r>
        <w:rPr>
          <w:sz w:val="28"/>
          <w:szCs w:val="24"/>
        </w:rPr>
        <w:t xml:space="preserve"> </w:t>
      </w:r>
    </w:p>
    <w:p>
      <w:pPr>
        <w:pStyle w:val="12"/>
        <w:numPr>
          <w:ilvl w:val="0"/>
          <w:numId w:val="1"/>
        </w:numPr>
        <w:spacing w:before="100" w:beforeAutospacing="1" w:after="100" w:afterAutospacing="1" w:line="360" w:lineRule="auto"/>
        <w:ind w:firstLineChars="0"/>
        <w:rPr>
          <w:rFonts w:cs="Times New Roman" w:eastAsiaTheme="minorHAnsi"/>
          <w:b/>
          <w:sz w:val="24"/>
          <w:szCs w:val="24"/>
        </w:rPr>
      </w:pPr>
      <w:r>
        <w:rPr>
          <w:rFonts w:hint="eastAsia" w:cs="Times New Roman" w:eastAsiaTheme="minorHAnsi"/>
          <w:b/>
          <w:sz w:val="24"/>
          <w:szCs w:val="24"/>
        </w:rPr>
        <w:t>E</w:t>
      </w:r>
      <w:r>
        <w:rPr>
          <w:rFonts w:cs="Times New Roman" w:eastAsiaTheme="minorHAnsi"/>
          <w:b/>
          <w:sz w:val="24"/>
          <w:szCs w:val="24"/>
        </w:rPr>
        <w:t>conomic responsibility</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For organizations, economic responsibility is the most fundamental social responsibility. In the context of privatised water companies, the primary economic responsibility for them it to produce and distribute water, dispose of the wasted water, and as well as other water-related services. Profit maximization is the direct purpose of the existence of these privatised water company. However, the economic responsibility contains more than profit maximization; it also takes accounts on the operation efficiency, competitive advantage, etc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{"citationItems":[{"id":"ITEM-1","itemData":{"DOI":"10.1007/978-3-319-48857-8_6","ISBN":"9783319488578","abstract":"The original article can be found at: http://www3.interscience.wiley.com Copyright John Wiley &amp; Sons DOI: 10.1002/pa.231 [Full text of this article is not available in the UHRA]","author":[{"dropping-particle":"","family":"Azzi","given":"Georges","non-dropping-particle":"","parse-names":false,"suffix":""},{"dropping-particle":"","family":"Azoury","given":"Nehme","non-dropping-particle":"","parse-names":false,"suffix":""}],"container-title":"Business and Society in the Middle East: Exploring Responsible Business Practice","id":"ITEM-1","issued":{"date-parts":[["2017"]]},"page":"81-90","title":"Redefining corporate social responsibility","type":"chapter"},"uris":["http://www.mendeley.com/documents/?uuid=49c0b2ae-a8fa-34f6-84d4-d4c792f49c40"]}],"mendeley":{"formattedCitation":"(Azzi and Azoury, 2017)","plainTextFormattedCitation":"(Azzi and Azoury, 2017)","previouslyFormattedCitation":"(Azzi and Azoury 2017)"},"properties":{"noteIndex":0},"schema":"https://github.com/citation-style-language/schema/raw/master/csl-citation.json"}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(Azzi and Azoury, 2017)</w:t>
      </w:r>
      <w:r>
        <w:rPr>
          <w:rFonts w:ascii="Times New Roman" w:hAnsi="Times New Roman" w:cs="Times New Roman"/>
          <w:sz w:val="24"/>
          <w:szCs w:val="24"/>
        </w:rPr>
        <w:fldChar w:fldCharType="end"/>
      </w:r>
      <w:r>
        <w:rPr>
          <w:rFonts w:ascii="Times New Roman" w:hAnsi="Times New Roman" w:cs="Times New Roman"/>
          <w:sz w:val="24"/>
          <w:szCs w:val="24"/>
        </w:rPr>
        <w:t xml:space="preserve">. Using Thames Water as an example, since being privatised decades ago, it has developed into the dominant water, and wastewater service provides within the UK, with annual revenue of above £2 billion and an underlying operating profit of </w:t>
      </w:r>
      <w:r>
        <w:rPr>
          <w:rFonts w:hint="eastAsia" w:ascii="Times New Roman" w:hAnsi="Times New Roman" w:cs="Times New Roman"/>
          <w:sz w:val="24"/>
          <w:szCs w:val="24"/>
        </w:rPr>
        <w:t>£</w:t>
      </w:r>
      <w:r>
        <w:rPr>
          <w:rFonts w:ascii="Times New Roman" w:hAnsi="Times New Roman" w:cs="Times New Roman"/>
          <w:sz w:val="24"/>
          <w:szCs w:val="24"/>
        </w:rPr>
        <w:t xml:space="preserve">517.0 million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{"citationItems":[{"id":"ITEM-1","itemData":{"URL":"https://corporate.thameswater.co.uk/Media/News-releases/Thames-Water-publishes-its-Annual-Performance-Report-for-201718","accessed":{"date-parts":[["2019","4","14"]]},"author":[{"dropping-particle":"","family":"Thames Water","given":"","non-dropping-particle":"","parse-names":false,"suffix":""}],"id":"ITEM-1","issued":{"date-parts":[["2018"]]},"title":"Investment prioritised over dividend as Thames Water puts customers first Last reviewed: 28/06/2018 07:00 AM","type":"webpage"},"uris":["http://www.mendeley.com/documents/?uuid=8d186086-dacc-3396-937b-aea5a8e5ad45"]}],"mendeley":{"formattedCitation":"(Thames Water, 2018c)","plainTextFormattedCitation":"(Thames Water, 2018c)","previouslyFormattedCitation":"(Thames Water 2018a)"},"properties":{"noteIndex":0},"schema":"https://github.com/citation-style-language/schema/raw/master/csl-citation.json"}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(Thames Water, 2018c)</w:t>
      </w:r>
      <w:r>
        <w:rPr>
          <w:rFonts w:ascii="Times New Roman" w:hAnsi="Times New Roman" w:cs="Times New Roman"/>
          <w:sz w:val="24"/>
          <w:szCs w:val="24"/>
        </w:rPr>
        <w:fldChar w:fldCharType="end"/>
      </w:r>
      <w:r>
        <w:rPr>
          <w:rFonts w:ascii="Times New Roman" w:hAnsi="Times New Roman" w:cs="Times New Roman"/>
          <w:sz w:val="24"/>
          <w:szCs w:val="24"/>
        </w:rPr>
        <w:t xml:space="preserve">. At the same time, as the new chairman was an appointment, Thames Water has adjusted its future strategic plan. Capital investment was put a higher priority over dividend as Thames Water wants to pursue the long-term competitive advantage and customer satisfaction. Thus, the dividends for external shareholders are suspended, and the bonus for CEO was deferred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{"citationItems":[{"id":"ITEM-1","itemData":{"URL":"https://www.ft.com/content/c3096722-7a9a-11e8-bc55-50daf11b720d","accessed":{"date-parts":[["2019","4","14"]]},"author":[{"dropping-particle":"","family":"Financial Times","given":"","non-dropping-particle":"","parse-names":false,"suffix":""}],"id":"ITEM-1","issued":{"date-parts":[["2018"]]},"title":"Thames Water defers chief’s £3.8m potential bonus until 2020 | Financial Times","type":"webpage"},"uris":["http://www.mendeley.com/documents/?uuid=ad31c763-f0f5-3aba-8b67-5bf9ec6d13ca"]}],"mendeley":{"formattedCitation":"(Financial Times, 2018)","plainTextFormattedCitation":"(Financial Times, 2018)","previouslyFormattedCitation":"(Financial Times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(Financial Times, 2018)</w:t>
      </w:r>
      <w:r>
        <w:rPr>
          <w:rFonts w:ascii="Times New Roman" w:hAnsi="Times New Roman" w:cs="Times New Roman"/>
          <w:sz w:val="24"/>
          <w:szCs w:val="24"/>
        </w:rPr>
        <w:fldChar w:fldCharType="end"/>
      </w:r>
      <w:r>
        <w:rPr>
          <w:rFonts w:ascii="Times New Roman" w:hAnsi="Times New Roman" w:cs="Times New Roman"/>
          <w:sz w:val="24"/>
          <w:szCs w:val="24"/>
        </w:rPr>
        <w:t xml:space="preserve">. It can be concluded that Thames Water has well fulfilled its economic responsibility, and it is making more efforts to create more economic benefits in the future. </w:t>
      </w:r>
    </w:p>
    <w:p>
      <w:pPr>
        <w:pStyle w:val="12"/>
        <w:numPr>
          <w:ilvl w:val="0"/>
          <w:numId w:val="1"/>
        </w:numPr>
        <w:spacing w:before="100" w:beforeAutospacing="1" w:after="100" w:afterAutospacing="1" w:line="360" w:lineRule="auto"/>
        <w:ind w:firstLineChars="0"/>
        <w:rPr>
          <w:rFonts w:cs="Times New Roman" w:eastAsiaTheme="minorHAnsi"/>
          <w:b/>
          <w:sz w:val="24"/>
          <w:szCs w:val="24"/>
        </w:rPr>
      </w:pPr>
      <w:r>
        <w:rPr>
          <w:rFonts w:cs="Times New Roman" w:eastAsiaTheme="minorHAnsi"/>
          <w:b/>
          <w:sz w:val="24"/>
          <w:szCs w:val="24"/>
        </w:rPr>
        <w:t>Legal responsibility</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Society also requires corporates to achieve economic aims within the legal framework. As the one of ten privatised water providers in the UK, Thames Water is water a legal framework formulated by Ofwat (the economic regulator of the water segment in England and Whales); EA (the Environment Agency) and DWI (the Drinking Water Inspectorate)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{"citationItems":[{"id":"ITEM-1","itemData":{"URL":"https://sustainability.thameswater.co.uk/How-we-do-business/Becoming-more-sustainable/About-Thames-Water","accessed":{"date-parts":[["2019","4","14"]]},"author":[{"dropping-particle":"","family":"Thames Water","given":"","non-dropping-particle":"","parse-names":false,"suffix":""}],"id":"ITEM-1","issued":{"date-parts":[["2018"]]},"title":"About Thames Water","type":"webpage"},"uris":["http://www.mendeley.com/documents/?uuid=91aee4e1-54c3-30f9-bc6c-8474a5dc8ad9"]}],"mendeley":{"formattedCitation":"(Thames Water, 2018a)","plainTextFormattedCitation":"(Thames Water, 2018a)","previouslyFormattedCitation":"(Thames Water 2018b)"},"properties":{"noteIndex":0},"schema":"https://github.com/citation-style-language/schema/raw/master/csl-citation.json"}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(Thames Water, 2018a)</w:t>
      </w:r>
      <w:r>
        <w:rPr>
          <w:rFonts w:ascii="Times New Roman" w:hAnsi="Times New Roman" w:cs="Times New Roman"/>
          <w:sz w:val="24"/>
          <w:szCs w:val="24"/>
        </w:rPr>
        <w:fldChar w:fldCharType="end"/>
      </w:r>
      <w:r>
        <w:rPr>
          <w:rFonts w:ascii="Times New Roman" w:hAnsi="Times New Roman" w:cs="Times New Roman"/>
          <w:sz w:val="24"/>
          <w:szCs w:val="24"/>
        </w:rPr>
        <w:t xml:space="preserve">. the duties of Ofwat are confined by the Water Industry Act 1991, including protects the benefits of customers, encouraging healthy competition, ensuring water companies perform their functions correctly, ensuring water companies finance themselves smoothly, etc. however, EA will make sure that privatised water companies can operate in an eco-friendly manner. While DWI functions as independent reassurance for customers to make sure the supplied water is safe and clean. Water is widely acknowledged as a human right; thus, the fulfilment of legal responsibility matters a lot to people, organizations and the environment. </w:t>
      </w:r>
    </w:p>
    <w:p>
      <w:pPr>
        <w:pStyle w:val="12"/>
        <w:numPr>
          <w:ilvl w:val="0"/>
          <w:numId w:val="1"/>
        </w:numPr>
        <w:spacing w:before="100" w:beforeAutospacing="1" w:after="100" w:afterAutospacing="1" w:line="360" w:lineRule="auto"/>
        <w:ind w:firstLineChars="0"/>
        <w:rPr>
          <w:rFonts w:cs="Times New Roman" w:eastAsiaTheme="minorHAnsi"/>
          <w:b/>
          <w:sz w:val="24"/>
          <w:szCs w:val="24"/>
        </w:rPr>
      </w:pPr>
      <w:r>
        <w:rPr>
          <w:rFonts w:cs="Times New Roman" w:eastAsiaTheme="minorHAnsi"/>
          <w:b/>
          <w:sz w:val="24"/>
          <w:szCs w:val="24"/>
        </w:rPr>
        <w:t>Ethic responsibility</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The public society also wants that corporations abide with the ethical norms that have not yet drafted into the legislation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{"citationItems":[{"id":"ITEM-1","itemData":{"author":[{"dropping-particle":"","family":"Wagner-Tsukamoto","given":"S","non-dropping-particle":"","parse-names":false,"suffix":""}],"container-title":"British Academy of Management Conference","id":"ITEM-1","issued":{"date-parts":[["2015"]]},"page":"1-53","title":"What Ethics ? Economizing the Carroll Pyramid of Corporate Social Responsibilities ( CSR )","type":"article-journal"},"uris":["http://www.mendeley.com/documents/?uuid=96933363-53d1-3b9b-9727-d5e5f651d5cd"]}],"mendeley":{"formattedCitation":"(Wagner-Tsukamoto, 2015)","plainTextFormattedCitation":"(Wagner-Tsukamoto, 2015)","previouslyFormattedCitation":"(Wagner-Tsukamoto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(Wagner-Tsukamoto, 2015)</w:t>
      </w:r>
      <w:r>
        <w:rPr>
          <w:rFonts w:ascii="Times New Roman" w:hAnsi="Times New Roman" w:cs="Times New Roman"/>
          <w:sz w:val="24"/>
          <w:szCs w:val="24"/>
        </w:rPr>
        <w:fldChar w:fldCharType="end"/>
      </w:r>
      <w:r>
        <w:rPr>
          <w:rFonts w:ascii="Times New Roman" w:hAnsi="Times New Roman" w:cs="Times New Roman"/>
          <w:sz w:val="24"/>
          <w:szCs w:val="24"/>
        </w:rPr>
        <w:t xml:space="preserve">. Ethical responsibility can be generally discussed from the internal part and external part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{"citationItems":[{"id":"ITEM-1","itemData":{"DOI":"10.1504/ijbge.2016.076337","ISSN":"1477-9048","abstract":"We investigate the seminal Carroll's corporate social responsibility (CSR) hierarchy using a sample from Nigerian companies. Carroll (1991) outlined four major components of CSR in a cumulative framework with economic responsibilities at the base and philanthropic responsibilities at the top of the pyramid with the legal and ethical components in between. The relevance of Carroll's CSR pyramid in the African context has been questioned and the need for an empirical study on the appropriateness of the CSR pyramid in Africa has been called for. This study is in response to this call to empirically test the relevance of the Carroll's CSR pyramid in the sub-Saharan Africa region. The study also tests the proposition that CSR is viewed through the lens of philanthropy in Africa. The findings empirically validate Visser's (2006) proposition that the philanthropic component weighs heavier than both the legal and ethical components of the CSR pyramid. The results provide a basis for the reliance on corporate philanthropy and guide CSR managers in sub-Saharan Africa in understanding the orientation that would lead to a more effective CSR implementation.","author":[{"dropping-particle":"","family":"Ehie","given":"Ike C.","non-dropping-particle":"","parse-names":false,"suffix":""}],"container-title":"International Journal of Business Governance and Ethics","id":"ITEM-1","issue":"1","issued":{"date-parts":[["2016"]]},"page":"1","title":"Examining the corporate social responsibility orientation in developing countries: an empirical investigation of the Carroll's CSR pyramid","type":"article-journal","volume":"11"},"uris":["http://www.mendeley.com/documents/?uuid=9a75ea92-2741-3c3f-9fb8-14edd2cbc3ae"]}],"mendeley":{"formattedCitation":"(Ehie, 2016)","plainTextFormattedCitation":"(Ehie, 2016)","previouslyFormattedCitation":"(Ehie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(Ehie, 2016)</w:t>
      </w:r>
      <w:r>
        <w:rPr>
          <w:rFonts w:ascii="Times New Roman" w:hAnsi="Times New Roman" w:cs="Times New Roman"/>
          <w:sz w:val="24"/>
          <w:szCs w:val="24"/>
        </w:rPr>
        <w:fldChar w:fldCharType="end"/>
      </w:r>
      <w:r>
        <w:rPr>
          <w:rFonts w:ascii="Times New Roman" w:hAnsi="Times New Roman" w:cs="Times New Roman"/>
          <w:sz w:val="24"/>
          <w:szCs w:val="24"/>
        </w:rPr>
        <w:t xml:space="preserve">. From the internal aspects, the ethical responsibility involves but is not limited to treating employee well, paying attention to their physical health, improving the working environment, and safeguarding the legitimate rights. While, the external ethic responsibility includes obeying business ethics, trading equally, competing in a healthy way, protecting the environment and cherishing resources and energies. The performance of ethical responsibility is essential among privatised water providers. Although there are statutory regulations to contain their behaviours, more expectations are given on their ethical responsibilities than organizations from other sectors due to the scarcity and importance of water resources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{"citationItems":[{"id":"ITEM-1","itemData":{"DOI":"10.4324/9780429495298","author":[{"dropping-particle":"","family":"Traer","given":"Robert","non-dropping-particle":"","parse-names":false,"suffix":""}],"container-title":"Doing Environmental Ethics","id":"ITEM-1","issued":{"date-parts":[["2018"]]},"title":"Doing Environmental Ethics","type":"book"},"uris":["http://www.mendeley.com/documents/?uuid=ec1bf3db-bcf9-3fda-807e-2c28e2634984"]}],"mendeley":{"formattedCitation":"(Traer, 2018)","plainTextFormattedCitation":"(Traer, 2018)","previouslyFormattedCitation":"(Traer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(Traer, 2018)</w:t>
      </w:r>
      <w:r>
        <w:rPr>
          <w:rFonts w:ascii="Times New Roman" w:hAnsi="Times New Roman" w:cs="Times New Roman"/>
          <w:sz w:val="24"/>
          <w:szCs w:val="24"/>
        </w:rPr>
        <w:fldChar w:fldCharType="end"/>
      </w:r>
      <w:r>
        <w:rPr>
          <w:rFonts w:ascii="Times New Roman" w:hAnsi="Times New Roman" w:cs="Times New Roman"/>
          <w:sz w:val="24"/>
          <w:szCs w:val="24"/>
        </w:rPr>
        <w:t>. The greenhouse emissions in 2018 were 67% lower than the level in the 1990s in Thames Water; and above 15</w:t>
      </w:r>
      <w:r>
        <w:rPr>
          <w:rFonts w:hint="eastAsia" w:ascii="Times New Roman" w:hAnsi="Times New Roman" w:cs="Times New Roman"/>
          <w:sz w:val="24"/>
          <w:szCs w:val="24"/>
        </w:rPr>
        <w:t>%</w:t>
      </w:r>
      <w:r>
        <w:rPr>
          <w:rFonts w:ascii="Times New Roman" w:hAnsi="Times New Roman" w:cs="Times New Roman"/>
          <w:sz w:val="24"/>
          <w:szCs w:val="24"/>
        </w:rPr>
        <w:t xml:space="preserve"> </w:t>
      </w:r>
      <w:r>
        <w:rPr>
          <w:rFonts w:hint="eastAsia" w:ascii="Times New Roman" w:hAnsi="Times New Roman" w:cs="Times New Roman"/>
          <w:sz w:val="24"/>
          <w:szCs w:val="24"/>
        </w:rPr>
        <w:t>d</w:t>
      </w:r>
      <w:r>
        <w:rPr>
          <w:rFonts w:ascii="Times New Roman" w:hAnsi="Times New Roman" w:cs="Times New Roman"/>
          <w:sz w:val="24"/>
          <w:szCs w:val="24"/>
        </w:rPr>
        <w:t xml:space="preserve">ecreases in the occurrence of environmental pollution accidents compared with the number in 2016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{"citationItems":[{"id":"ITEM-1","itemData":{"URL":"https://corporate.thameswater.co.uk/sitecore/content/Corporate-Responsibility/Corporate-Responsibility","accessed":{"date-parts":[["2019","4","14"]]},"author":[{"dropping-particle":"","family":"Thames Water","given":"","non-dropping-particle":"","parse-names":false,"suffix":""}],"id":"ITEM-1","issued":{"date-parts":[["2018"]]},"title":"Corporate responsibility &amp;amp; sustainability.","type":"webpage"},"uris":["http://www.mendeley.com/documents/?uuid=d4076545-66a7-3f19-a436-009da5e5f004"]}],"mendeley":{"formattedCitation":"(Thames Water, 2018b)","plainTextFormattedCitation":"(Thames Water, 2018b)","previouslyFormattedCitation":"(Thames Water 2018c)"},"properties":{"noteIndex":0},"schema":"https://github.com/citation-style-language/schema/raw/master/csl-citation.json"}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(Thames Water, 2018b)</w:t>
      </w:r>
      <w:r>
        <w:rPr>
          <w:rFonts w:ascii="Times New Roman" w:hAnsi="Times New Roman" w:cs="Times New Roman"/>
          <w:sz w:val="24"/>
          <w:szCs w:val="24"/>
        </w:rPr>
        <w:fldChar w:fldCharType="end"/>
      </w:r>
      <w:r>
        <w:rPr>
          <w:rFonts w:ascii="Times New Roman" w:hAnsi="Times New Roman" w:cs="Times New Roman"/>
          <w:sz w:val="24"/>
          <w:szCs w:val="24"/>
        </w:rPr>
        <w:t>. Thames Water is committed to performing as a responsible organization, caring for both its customers and the society.</w:t>
      </w:r>
    </w:p>
    <w:p>
      <w:pPr>
        <w:pStyle w:val="12"/>
        <w:numPr>
          <w:ilvl w:val="0"/>
          <w:numId w:val="1"/>
        </w:numPr>
        <w:spacing w:before="100" w:beforeAutospacing="1" w:after="100" w:afterAutospacing="1" w:line="360" w:lineRule="auto"/>
        <w:ind w:firstLineChars="0"/>
        <w:rPr>
          <w:rFonts w:cs="Times New Roman" w:eastAsiaTheme="minorHAnsi"/>
          <w:b/>
          <w:sz w:val="24"/>
          <w:szCs w:val="24"/>
        </w:rPr>
      </w:pPr>
      <w:r>
        <w:rPr>
          <w:rFonts w:cs="Times New Roman" w:eastAsiaTheme="minorHAnsi"/>
          <w:b/>
          <w:sz w:val="24"/>
          <w:szCs w:val="24"/>
        </w:rPr>
        <w:t xml:space="preserve">Philanthropy responsibility </w:t>
      </w:r>
    </w:p>
    <w:p>
      <w:pPr>
        <w:spacing w:before="100" w:beforeAutospacing="1" w:after="100" w:afterAutospacing="1" w:line="360" w:lineRule="auto"/>
        <w:rPr>
          <w:rFonts w:ascii="Times New Roman" w:hAnsi="Times New Roman" w:cs="Times New Roman"/>
          <w:b/>
          <w:i/>
          <w:sz w:val="24"/>
          <w:szCs w:val="24"/>
        </w:rPr>
      </w:pPr>
      <w:r>
        <w:rPr>
          <w:rFonts w:ascii="Times New Roman" w:hAnsi="Times New Roman" w:cs="Times New Roman"/>
          <w:sz w:val="24"/>
          <w:szCs w:val="24"/>
        </w:rPr>
        <w:t>society also places some unclear expectations on organizations. whether or not undertake the philanthropic responsibility is entirely voluntary. Typical philanthropical activities including charitable donations. Although public capital flowed into the water sector since the privatisation wave in the 19</w:t>
      </w:r>
      <w:r>
        <w:rPr>
          <w:rFonts w:ascii="Times New Roman" w:hAnsi="Times New Roman" w:cs="Times New Roman"/>
          <w:sz w:val="24"/>
          <w:szCs w:val="24"/>
          <w:vertAlign w:val="superscript"/>
        </w:rPr>
        <w:t>th</w:t>
      </w:r>
      <w:r>
        <w:rPr>
          <w:rFonts w:ascii="Times New Roman" w:hAnsi="Times New Roman" w:cs="Times New Roman"/>
          <w:sz w:val="24"/>
          <w:szCs w:val="24"/>
        </w:rPr>
        <w:t>, the privatised companies in the UK value their relationship with the local communities. Thames Water launched its community investment programme in 2014 with several strategic objectives to pay back to the community, including education initiatives, cultural heritage protection, wildlife protection, etc…</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{"citationItems":[{"id":"ITEM-1","itemData":{"URL":"https://corporate.thameswater.co.uk/About-us/Corporate-responsibility-and-sustainability/Community-investment","accessed":{"date-parts":[["2019","4","14"]]},"author":[{"dropping-particle":"","family":"Thames Water","given":"","non-dropping-particle":"","parse-names":false,"suffix":""}],"id":"ITEM-1","issued":{"date-parts":[["2016"]]},"title":"Community investment","type":"webpage"},"uris":["http://www.mendeley.com/documents/?uuid=c0eb8c51-2e03-3a37-bdee-03956a33483c"]}],"mendeley":{"formattedCitation":"(Thames Water, 2016)","plainTextFormattedCitation":"(Thames Water, 2016)","previouslyFormattedCitation":"(Thames Water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(Thames Water, 2016)</w:t>
      </w:r>
      <w:r>
        <w:rPr>
          <w:rFonts w:ascii="Times New Roman" w:hAnsi="Times New Roman" w:cs="Times New Roman"/>
          <w:sz w:val="24"/>
          <w:szCs w:val="24"/>
        </w:rPr>
        <w:fldChar w:fldCharType="end"/>
      </w:r>
      <w:r>
        <w:rPr>
          <w:rFonts w:ascii="Times New Roman" w:hAnsi="Times New Roman" w:cs="Times New Roman"/>
          <w:sz w:val="24"/>
          <w:szCs w:val="24"/>
        </w:rPr>
        <w:t xml:space="preserve"> Besides, Thames Water is among the primary donators of WaterAid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wateraid.org/uk/blog/thames-water-transforming-lives-in-malawi","accessed":{"date-parts":[["2019","4","14"]]},"author":[{"dropping-particle":"","family":"WaterAid","given":"","non-dropping-particle":"","parse-names":false,"suffix":""}],"id":"ITEM-1","issued":{"date-parts":[["2016"]]},"title":"Thames Water transforming lives in Malawi | WaterAid UK","type":"webpage"},"uris":["http://www.mendeley.com/documents/?uuid=44f8716c-21be-3bb3-b8a7-1a84d75f8e81"]}],"mendeley":{"formattedCitation":"(WaterAid, 2016)","plainTextFormattedCitation":"(WaterAid, 2016)","previouslyFormattedCitation":"(WaterAid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(WaterAid, 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2"/>
        <w:spacing w:before="100" w:beforeAutospacing="1" w:after="100" w:afterAutospacing="1" w:line="360" w:lineRule="auto"/>
        <w:rPr>
          <w:sz w:val="24"/>
          <w:szCs w:val="24"/>
        </w:rPr>
      </w:pPr>
      <w:bookmarkStart w:id="3" w:name="_Toc6176169"/>
      <w:r>
        <w:rPr>
          <w:sz w:val="24"/>
          <w:szCs w:val="24"/>
        </w:rPr>
        <w:t>The provision of water by governments&amp; Governments’ motivation for privatisation</w:t>
      </w:r>
      <w:bookmarkEnd w:id="3"/>
      <w:r>
        <w:rPr>
          <w:sz w:val="24"/>
          <w:szCs w:val="24"/>
        </w:rPr>
        <w:t xml:space="preserve"> </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The suppliers of water vary from country to country. In the UK, the water is supplied by privatised water companies with governmental interventions for provision and pricing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{"citationItems":[{"id":"ITEM-1","itemData":{"DOI":"10.1002/wat2.1082","abstract":"Water utilities face a variety of challenges in meeting future demands under climate uncertainty, addressing aging infrastructure, ensuring water quality, and reducing energy use. The agility of the utility to implement innovative solutions to these challenges depends upon a variety of factors including utility governance and culture, regulatory environment, condition and performance of water infrastructure, and funding mechanisms for system improvements. The consequences of failing to meet these challenges could include environmental degradation, public health risks, and reductions in the level of service customers have come to expect, all at a highly elevated price. Two different types of water utilities are compared in this context: privately owned companies (using UK water companies as examples) and publicly owned utilities (using US municipal utilities as examples). Examples of innovation in the water industry, in the US and UK as well as globally, provide insight into the key barriers and opportunities for change. The successful drivers of innovation in the water industry are shown to include: a supportive culture at the water utility; a regulatory regime that allows or even promotes innovation; the financial ability to undertake research and implement improvements; and crucially, the backing of the public. Ultimately, neither the municipal nor the private model is perfect but the best elements of these could be combined as the basis for an innovative water utility of the future. (C) 2015 The Author. WIREs Water published by Wiley Periodicals, Inc.","author":[{"dropping-particle":"","family":"Speight","given":"Vanessa L.","non-dropping-particle":"","parse-names":false,"suffix":""}],"container-title":"Wiley Interdisciplinary Reviews: Water","id":"ITEM-1","issue":"4","issued":{"date-parts":[["2015"]]},"page":"301-313","title":"Innovation in the water industry: barriers and opportunities for US and UK utilities","type":"article-journal","volume":"2"},"uris":["http://www.mendeley.com/documents/?uuid=1fd65c78-007a-3f9d-be8c-aed6788a06b8"]}],"mendeley":{"formattedCitation":"(Speight, 2015)","plainTextFormattedCitation":"(Speight, 2015)","previouslyFormattedCitation":"(Speight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(Speight, 2015)</w:t>
      </w:r>
      <w:r>
        <w:rPr>
          <w:rFonts w:ascii="Times New Roman" w:hAnsi="Times New Roman" w:cs="Times New Roman"/>
          <w:sz w:val="24"/>
          <w:szCs w:val="24"/>
        </w:rPr>
        <w:fldChar w:fldCharType="end"/>
      </w:r>
      <w:r>
        <w:rPr>
          <w:rFonts w:ascii="Times New Roman" w:hAnsi="Times New Roman" w:cs="Times New Roman"/>
          <w:sz w:val="24"/>
          <w:szCs w:val="24"/>
        </w:rPr>
        <w:t xml:space="preserve">. However, the water resource in China is monopolised by the authorities. In some under-developed countries, water supply is commonly outsourced to third parties. In poor counties, 97% of water resources are distributed and managed by the public sector, which is the main reason of the water shortage of more than 1billion people over the world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un.org/waterforlifedecade/scarcity.shtml","accessed":{"date-parts":[["2019","4","14"]]},"author":[{"dropping-particle":"","family":"UNDESA","given":"","non-dropping-particle":"","parse-names":false,"suffix":""}],"id":"ITEM-1","issued":{"date-parts":[["2014"]]},"title":"International Decade for Action 'Water for Life' 2005-2015.","type":"webpage"},"uris":["http://www.mendeley.com/documents/?uuid=3b61b42a-14d8-36a6-bee1-31eeb5990537"]}],"mendeley":{"formattedCitation":"(UNDESA, 2014)","plainTextFormattedCitation":"(UNDESA, 2014)","previouslyFormattedCitation":"(UNDESA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(UNDESA, 2014)</w:t>
      </w:r>
      <w:r>
        <w:rPr>
          <w:rFonts w:ascii="Times New Roman" w:hAnsi="Times New Roman" w:cs="Times New Roman"/>
          <w:sz w:val="24"/>
          <w:szCs w:val="24"/>
        </w:rPr>
        <w:fldChar w:fldCharType="end"/>
      </w:r>
      <w:r>
        <w:rPr>
          <w:rFonts w:ascii="Times New Roman" w:hAnsi="Times New Roman" w:cs="Times New Roman"/>
          <w:sz w:val="24"/>
          <w:szCs w:val="24"/>
        </w:rPr>
        <w:t xml:space="preserve">. In order to solve this problem, the governments of some poor counties have turned the privatisation of water provision and generally achieved ideal results. Research suggested that there are more people who have access to the drinkable people than in poor counties with privatised water providers than those without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un.org/waterforlifedecade/scarcity.shtml","accessed":{"date-parts":[["2019","4","14"]]},"author":[{"dropping-particle":"","family":"UNDESA","given":"","non-dropping-particle":"","parse-names":false,"suffix":""}],"id":"ITEM-1","issued":{"date-parts":[["2014"]]},"title":"International Decade for Action 'Water for Life' 2005-2015.","type":"webpage"},"uris":["http://www.mendeley.com/documents/?uuid=3b61b42a-14d8-36a6-bee1-31eeb5990537"]}],"mendeley":{"formattedCitation":"(UNDESA, 2014)","plainTextFormattedCitation":"(UNDESA, 2014)","previouslyFormattedCitation":"(UNDESA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(UNDESA, 2014)</w:t>
      </w:r>
      <w:r>
        <w:rPr>
          <w:rFonts w:ascii="Times New Roman" w:hAnsi="Times New Roman" w:cs="Times New Roman"/>
          <w:sz w:val="24"/>
          <w:szCs w:val="24"/>
        </w:rPr>
        <w:fldChar w:fldCharType="end"/>
      </w:r>
      <w:r>
        <w:rPr>
          <w:rFonts w:ascii="Times New Roman" w:hAnsi="Times New Roman" w:cs="Times New Roman"/>
          <w:sz w:val="24"/>
          <w:szCs w:val="24"/>
        </w:rPr>
        <w:t>. The inability of governments in water provision is just one motivation behind water privatisation. In addition, privatisation can be introduced to improve efficiency.</w:t>
      </w:r>
      <w:r>
        <w:t xml:space="preserve"> </w:t>
      </w:r>
      <w:r>
        <w:rPr>
          <w:rFonts w:ascii="Times New Roman" w:hAnsi="Times New Roman" w:cs="Times New Roman"/>
          <w:sz w:val="24"/>
          <w:szCs w:val="24"/>
        </w:rPr>
        <w:t>In the face of market competition and self-financing, the private sector has a regulatory mechanism that can increase the quality of its services and make its operations more efficient. Besides, Water providers need to pay for the construction of ponds, water plants, pipelines, and their maintenance. The privatization will reduce the government's financial burden in this area and allow the government to have additional resources to respond to other social needs.</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Aside from above, the World Bank has been an active promoter of water service privatization. The economists of the World Bank have suggested that the current world water scarcity issues are that because water is too cheap, it is almost equivalent to free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{"citationItems":[{"id":"ITEM-1","itemData":{"URL":"https://www.brettonwoodsproject.org/2011/11/art-569208/","accessed":{"date-parts":[["2019","4","14"]]},"author":[{"dropping-particle":"","family":"Bretton Woods Project","given":"","non-dropping-particle":"","parse-names":false,"suffix":""}],"id":"ITEM-1","issued":{"date-parts":[["2011"]]},"title":"Despite evidence, World Bank still promoting water privatisation","type":"webpage"},"uris":["http://www.mendeley.com/documents/?uuid=7ca5ad99-67d7-3e7d-8fa2-7b38fbd20901"]}],"mendeley":{"formattedCitation":"(Bretton Woods Project, 2011)","plainTextFormattedCitation":"(Bretton Woods Project, 2011)","previouslyFormattedCitation":"(Bretton Woods Project 2011)"},"properties":{"noteIndex":0},"schema":"https://github.com/citation-style-language/schema/raw/master/csl-citation.json"}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(Bretton Woods Project, 2011)</w:t>
      </w:r>
      <w:r>
        <w:rPr>
          <w:rFonts w:ascii="Times New Roman" w:hAnsi="Times New Roman" w:cs="Times New Roman"/>
          <w:sz w:val="24"/>
          <w:szCs w:val="24"/>
        </w:rPr>
        <w:fldChar w:fldCharType="end"/>
      </w:r>
      <w:r>
        <w:rPr>
          <w:rFonts w:ascii="Times New Roman" w:hAnsi="Times New Roman" w:cs="Times New Roman"/>
          <w:sz w:val="24"/>
          <w:szCs w:val="24"/>
        </w:rPr>
        <w:t xml:space="preserve">. Thus, people have no awareness of cherishing water. Water price should reflect cost through market-based price based on privatisation. </w:t>
      </w:r>
    </w:p>
    <w:p>
      <w:pPr>
        <w:pStyle w:val="2"/>
        <w:spacing w:before="100" w:beforeAutospacing="1" w:after="100" w:afterAutospacing="1" w:line="360" w:lineRule="auto"/>
        <w:rPr>
          <w:sz w:val="24"/>
          <w:szCs w:val="24"/>
        </w:rPr>
      </w:pPr>
      <w:bookmarkStart w:id="4" w:name="_Toc6176170"/>
      <w:r>
        <w:rPr>
          <w:sz w:val="24"/>
          <w:szCs w:val="24"/>
        </w:rPr>
        <w:t>The sustainable issue of water provision</w:t>
      </w:r>
      <w:bookmarkEnd w:id="4"/>
      <w:r>
        <w:rPr>
          <w:sz w:val="24"/>
          <w:szCs w:val="24"/>
        </w:rPr>
        <w:t xml:space="preserve"> </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The three dimensions of sustainable development are respectively society, economy and environment. Three dimensions of development are however constrained by the limited and fragile water supply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{"citationItems":[{"id":"ITEM-1","itemData":{"DOI":"10.1371/journal.pone.0032688","URL":"https://dx.plos.org/10.1371/journal.pone.0032688","accessed":{"date-parts":[["2019","4","14"]]},"author":[{"dropping-particle":"","family":"Save The Water","given":"","non-dropping-particle":"","parse-names":false,"suffix":""}],"id":"ITEM-1","issued":{"date-parts":[["2016"]]},"title":"Water Scarcity and the United Nations","type":"webpage"},"uris":["http://www.mendeley.com/documents/?uuid=dd16ded1-88a0-3aeb-9d83-71d7c79e21f3"]}],"mendeley":{"formattedCitation":"(Save The Water, 2016)","plainTextFormattedCitation":"(Save The Water, 2016)","previouslyFormattedCitation":"(Save The Water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(Save The Water, 2016)</w:t>
      </w:r>
      <w:r>
        <w:rPr>
          <w:rFonts w:ascii="Times New Roman" w:hAnsi="Times New Roman" w:cs="Times New Roman"/>
          <w:sz w:val="24"/>
          <w:szCs w:val="24"/>
        </w:rPr>
        <w:fldChar w:fldCharType="end"/>
      </w:r>
      <w:r>
        <w:rPr>
          <w:rFonts w:ascii="Times New Roman" w:hAnsi="Times New Roman" w:cs="Times New Roman"/>
          <w:sz w:val="24"/>
          <w:szCs w:val="24"/>
        </w:rPr>
        <w:t>.</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Poverty and society equity: on the one hand, the water supply for the households is essential for the health of family members; on the other hand, water resources are also critical for catering to production demands, such as the needs of agricultural businesses. Thus, solving water shortage can reduce poverty and promote sustained economic development. the access to drinkable water is a fundamental human right, but this human right has not been fully realized worldwide, especially for the poor, especially women and children.</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Economic growth: water is a fundamental resource for production. Water supply, in quantity and quality, in a given area must be reliable and predictable for users to support sustainable financial investments in economic activities. It is necessary for governments or privatised water companies to invest sufficient funding for the operations and maintenance of the basic infrastructure, which can drive economic growth in the long term. </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Environmental protection: most economic growth does not pay any attention to the basic services provided by freshwater ecosystems, which often leas to unsustainable water use and ecosystem degradation. Untreated wastewater will hurt the ability of the ecosystem to provide more drinkable water. The researches suggest that in terms of ecosystem protection, the benefits of water-related investment far outweigh the costs. The assessment of benefits and costs is thus important in protecting the ecosystem because it can provide more useful information for developing further plans. </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Almost all countries face the problem of water resources to varying degrees, but the manifestations and degrees of national problems are different, and the solutions are also different. Based on sustainable issues on three levels, many countries have been striving to find solutions in the past few decades, including (1) shifting from traditional sectoral management to integrated water management; and (2) developing new laws and institutional frameworks; (3) increasing use of market instruments; (4) introducing new technological applications to promote operating efficiency;(5) encouraging the governments, the privatised water companies and the public to participate in the water resources management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{"citationItems":[{"id":"ITEM-1","itemData":{"DOI":"10.3390/su8010020","ISSN":"20711050","abstract":"Water Footprint Assessment (WFA) is a quickly growing research field. This Special Issue contains a selection of papers advancing the field or showing innovative applications. The first seven papers are geographic WFA studies, from an urban to a continental scale; the next five papers have a global scope; the final five papers focus on water sustainability from the business point of view. The collection of papers shows that the historical picture of a town relying on its hinterland for its supply of water and food is no longer true: The water footprint of urban consumers is global. It has become clear that wise water governance is no longer the exclusive domain of government, even though water is and will remain a public resource with government in a primary role. With most water being used for producing our food and other consumer goods, and with product supply chains becoming increasingly complex and global, there is a growing awareness that consumers, companies and investors also have a key role. The interest in sustainable water use grows quickly, in both civil society and business communities, but the poor state of transparency of companies regarding their direct and indirect water use implies that there is still a long way to go before we can expect that companies effectively contribute to making water footprints more sustainable at a relevant scale. © 2016 by the authors.","author":[{"dropping-particle":"","family":"Hoekstra","given":"Arjen Y.","non-dropping-particle":"","parse-names":false,"suffix":""},{"dropping-particle":"","family":"Chapagain","given":"Ashok K.","non-dropping-particle":"","parse-names":false,"suffix":""},{"dropping-particle":"","family":"Zhang","given":"Guoping","non-dropping-particle":"","parse-names":false,"suffix":""}],"container-title":"Sustainability (Switzerland)","id":"ITEM-1","issue":"1","issued":{"date-parts":[["2016","12","25"]]},"page":"1-6","publisher":"Multidisciplinary Digital Publishing Institute","title":"Water footprints and sustainablewater allocation","type":"article-magazine","volume":"8"},"uris":["http://www.mendeley.com/documents/?uuid=40816169-4a15-3674-8a25-a189e5e61b0b"]}],"mendeley":{"formattedCitation":"(Hoekstra, Chapagain and Zhang, 2016)","plainTextFormattedCitation":"(Hoekstra, Chapagain and Zhang, 2016)","previouslyFormattedCitation":"(Hoekstra, Chapagain, and Zhang 2016)"},"properties":{"noteIndex":0},"schema":"https://github.com/citation-style-language/schema/raw/master/csl-citation.json"}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(Hoekstra, Chapagain and Zhang, 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pStyle w:val="2"/>
        <w:spacing w:before="100" w:beforeAutospacing="1" w:after="100" w:afterAutospacing="1" w:line="360" w:lineRule="auto"/>
        <w:rPr>
          <w:sz w:val="24"/>
          <w:szCs w:val="24"/>
        </w:rPr>
      </w:pPr>
      <w:bookmarkStart w:id="5" w:name="_Toc6176171"/>
      <w:r>
        <w:rPr>
          <w:sz w:val="24"/>
          <w:szCs w:val="24"/>
        </w:rPr>
        <w:t>Modern examples</w:t>
      </w:r>
      <w:bookmarkEnd w:id="5"/>
    </w:p>
    <w:p>
      <w:pPr>
        <w:spacing w:before="100" w:beforeAutospacing="1" w:after="100" w:afterAutospacing="1" w:line="360" w:lineRule="auto"/>
        <w:rPr>
          <w:rFonts w:ascii="Times New Roman" w:hAnsi="Times New Roman" w:cs="Times New Roman"/>
          <w:sz w:val="24"/>
          <w:szCs w:val="24"/>
        </w:rPr>
      </w:pPr>
      <w:r>
        <w:rPr>
          <w:rFonts w:hint="eastAsia" w:ascii="Times New Roman" w:hAnsi="Times New Roman" w:cs="Times New Roman"/>
          <w:sz w:val="24"/>
          <w:szCs w:val="24"/>
        </w:rPr>
        <w:t>I</w:t>
      </w:r>
      <w:r>
        <w:rPr>
          <w:rFonts w:ascii="Times New Roman" w:hAnsi="Times New Roman" w:cs="Times New Roman"/>
          <w:sz w:val="24"/>
          <w:szCs w:val="24"/>
        </w:rPr>
        <w:t xml:space="preserve">srael is a country suffering from water scarcity issue for a long history. Israel is located in the hot and arid Middle East, where clean water is described as “liquid gold”. However, after decades of research and development, Israel has now successfully solved the problem of water shortage. Besides it has sufficient supply of water for agriculture, Israel is also the only nations where the desert area is declining. This shift from extreme water shortages to sufficient water supply stems from Israel’s large investment in the innovation. After solving the internal water shortage problem, Israel now began to transport water technology to the other areas of the world to fight the water shortage problem. The massive investment has brought with five innovations regarding drip irrigation technology, crop cultivation, wastewater recycles, seawater desalination and pipeline monitor respectively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{"citationItems":[{"id":"ITEM-1","itemData":{"DOI":"10.1080/07900627.2014.940447","ISSN":"13600648","abstract":"Difficulties in integrating technical, economic and institutional factors present a major gap in analytical capacity to guide water policy. This article presents an integrated framework to support water policy and guide water management choices, with application to Israel. That framework rests on the theory of economic policy originally developed by Tinbergen. It sees national water challenges as consisting of external factors, constraints, policy instruments and targets. The need for a modern implementation of the theory of economic policy is motivated by emerging environmental requirements, scarce water, growing demands for domestic use, and ongoing needs to implement existing and potential peace agreements. Keywords:","author":[{"dropping-particle":"","family":"Becker","given":"Nir","non-dropping-particle":"","parse-names":false,"suffix":""},{"dropping-particle":"","family":"Ward","given":"Frank A.","non-dropping-particle":"","parse-names":false,"suffix":""}],"container-title":"International Journal of Water Resources Development","id":"ITEM-1","issue":"4","issued":{"date-parts":[["2015","10","2"]]},"page":"540-557","title":"Adaptive water management in Israel: structure and policy options","type":"article-journal","volume":"31"},"uris":["http://www.mendeley.com/documents/?uuid=8a23a2b7-38d4-37db-b96e-1a2de06b01f2"]}],"mendeley":{"formattedCitation":"(Becker and Ward, 2015)","plainTextFormattedCitation":"(Becker and Ward, 2015)","previouslyFormattedCitation":"(Becker and Ward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(Becker and Ward, 2015)</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Water loss in many cities around the world is caused by leakage, abnormal water pressure, and delays in repairs. This is unacceptable for Israel, which was once extremely short of water resources. So, Israel took a different approach and used high-tech methods to find problems. The most advanced of which was Israel’s Hagihon, a publicly traded company that operates the Jerusalem water system.</w:t>
      </w:r>
      <w:r>
        <w:t xml:space="preserve"> </w:t>
      </w:r>
      <w:r>
        <w:rPr>
          <w:rFonts w:ascii="Times New Roman" w:hAnsi="Times New Roman" w:cs="Times New Roman"/>
          <w:sz w:val="24"/>
          <w:szCs w:val="24"/>
        </w:rPr>
        <w:t xml:space="preserve">Over the past few years, Hagihon has hired a number of high-tech companies to bring the world's most advanced water supply system to Jerusalem, the most important of which is the detection and repair of leaks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{"citationItems":[{"id":"ITEM-1","itemData":{"URL":"http://israelnewtech.com/2014/01/28/hagihon-provides-platform-israeli-water-technology-innovations/","accessed":{"date-parts":[["2019","4","14"]]},"author":[{"dropping-particle":"","family":"Israel NewTech","given":"","non-dropping-particle":"","parse-names":false,"suffix":""}],"id":"ITEM-1","issued":{"date-parts":[["2014"]]},"title":"Hagihon Provides Platform for Israeli Water Technology Innovations","type":"webpage"},"uris":["http://www.mendeley.com/documents/?uuid=e9a82f4b-f0a7-3f1e-8e50-c23a19558044"]}],"mendeley":{"formattedCitation":"(Israel NewTech, 2014)","plainTextFormattedCitation":"(Israel NewTech, 2014)","previouslyFormattedCitation":"(Israel NewTech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(Israel NewTech, 2014)</w:t>
      </w:r>
      <w:r>
        <w:rPr>
          <w:rFonts w:ascii="Times New Roman" w:hAnsi="Times New Roman" w:cs="Times New Roman"/>
          <w:sz w:val="24"/>
          <w:szCs w:val="24"/>
        </w:rPr>
        <w:fldChar w:fldCharType="end"/>
      </w:r>
      <w:r>
        <w:rPr>
          <w:rFonts w:ascii="Times New Roman" w:hAnsi="Times New Roman" w:cs="Times New Roman"/>
          <w:sz w:val="24"/>
          <w:szCs w:val="24"/>
        </w:rPr>
        <w:t>.</w:t>
      </w:r>
      <w:r>
        <w:t xml:space="preserve"> </w:t>
      </w:r>
      <w:r>
        <w:rPr>
          <w:rFonts w:ascii="Times New Roman" w:hAnsi="Times New Roman" w:cs="Times New Roman"/>
          <w:sz w:val="24"/>
          <w:szCs w:val="24"/>
        </w:rPr>
        <w:t>Hagihon is able to track small leaks in the infrastructure and repair them before they get expanded.</w:t>
      </w:r>
      <w:r>
        <w:t xml:space="preserve"> </w:t>
      </w:r>
      <w:r>
        <w:rPr>
          <w:rFonts w:ascii="Times New Roman" w:hAnsi="Times New Roman" w:cs="Times New Roman"/>
          <w:sz w:val="24"/>
          <w:szCs w:val="24"/>
        </w:rPr>
        <w:t xml:space="preserve">Hagihon's advanced technology has successfully reduced water loss in Jerusalem to approximately 11%, which is higher than in most European countries (approximately 20% to 40%), much higher than in some developing regions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{"citationItems":[{"id":"ITEM-1","itemData":{"ISBN":"978-1-250-07395-2","author":[{"dropping-particle":"","family":"Siegel S.M.","given":"","non-dropping-particle":"","parse-names":false,"suffix":""}],"id":"ITEM-1","issued":{"date-parts":[["2015"]]},"publisher":"Blackstone Audio, Inc.","title":"Let There Be Water:Israel’s Solution for a Water-Starved World","type":"book"},"uris":["http://www.mendeley.com/documents/?uuid=edab639b-a9f6-335b-bfa4-c342f761da13"]}],"mendeley":{"formattedCitation":"(Siegel S.M., 2015)","plainTextFormattedCitation":"(Siegel S.M., 2015)","previouslyFormattedCitation":"(Siegel S.M.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(Siegel S.M., 2015)</w:t>
      </w:r>
      <w:r>
        <w:rPr>
          <w:rFonts w:ascii="Times New Roman" w:hAnsi="Times New Roman" w:cs="Times New Roman"/>
          <w:sz w:val="24"/>
          <w:szCs w:val="24"/>
        </w:rPr>
        <w:fldChar w:fldCharType="end"/>
      </w:r>
      <w:r>
        <w:rPr>
          <w:rFonts w:ascii="Times New Roman" w:hAnsi="Times New Roman" w:cs="Times New Roman"/>
          <w:sz w:val="24"/>
          <w:szCs w:val="24"/>
        </w:rPr>
        <w:t>. Israel and water companies in Israel set an example of how organizations should be socially responsible regarding water issues and how governments and water companies should cooperate to face the challenges.</w:t>
      </w:r>
    </w:p>
    <w:p>
      <w:pPr>
        <w:pStyle w:val="2"/>
        <w:spacing w:before="100" w:beforeAutospacing="1" w:after="100" w:afterAutospacing="1" w:line="360" w:lineRule="auto"/>
        <w:rPr>
          <w:sz w:val="24"/>
          <w:szCs w:val="24"/>
        </w:rPr>
      </w:pPr>
      <w:bookmarkStart w:id="6" w:name="_Toc6176172"/>
      <w:r>
        <w:rPr>
          <w:sz w:val="24"/>
          <w:szCs w:val="24"/>
        </w:rPr>
        <w:t>Conclusion</w:t>
      </w:r>
      <w:bookmarkEnd w:id="6"/>
      <w:r>
        <w:rPr>
          <w:sz w:val="24"/>
          <w:szCs w:val="24"/>
        </w:rPr>
        <w:t xml:space="preserve"> </w:t>
      </w:r>
    </w:p>
    <w:p>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Water resource is vital to the human beings, and it also has important implications for many economic growths. However, the whole world is under the urgent pressure to the realistic predicament of water shortage due to human behaviours. This essay reflects the water shortage problem from the angle of corporate social responsibility. To address this issue and realize sustainable development, we need the collective effort of all stakeholders, especially corporates. With increasing attention from the public on corporate social responsibility, corporates in modern time should realize the importance of water and what they need to do to save water.</w:t>
      </w:r>
    </w:p>
    <w:p>
      <w:pPr>
        <w:spacing w:before="100" w:beforeAutospacing="1" w:after="100" w:afterAutospacing="1" w:line="360" w:lineRule="auto"/>
        <w:rPr>
          <w:rFonts w:ascii="Times New Roman" w:hAnsi="Times New Roman" w:cs="Times New Roman"/>
          <w:sz w:val="24"/>
          <w:szCs w:val="24"/>
        </w:rPr>
      </w:pPr>
    </w:p>
    <w:p>
      <w:pPr>
        <w:spacing w:before="100" w:beforeAutospacing="1" w:after="100" w:afterAutospacing="1" w:line="360" w:lineRule="auto"/>
        <w:rPr>
          <w:rFonts w:ascii="Times New Roman" w:hAnsi="Times New Roman" w:cs="Times New Roman"/>
          <w:sz w:val="24"/>
          <w:szCs w:val="24"/>
        </w:rPr>
      </w:pPr>
    </w:p>
    <w:p>
      <w:pPr>
        <w:spacing w:before="100" w:beforeAutospacing="1" w:after="100" w:afterAutospacing="1" w:line="360" w:lineRule="auto"/>
        <w:rPr>
          <w:rFonts w:ascii="Times New Roman" w:hAnsi="Times New Roman" w:cs="Times New Roman"/>
          <w:sz w:val="24"/>
          <w:szCs w:val="24"/>
        </w:rPr>
      </w:pPr>
    </w:p>
    <w:p>
      <w:pPr>
        <w:pStyle w:val="2"/>
        <w:spacing w:before="100" w:beforeAutospacing="1" w:after="100" w:afterAutospacing="1" w:line="360" w:lineRule="auto"/>
        <w:rPr>
          <w:sz w:val="24"/>
          <w:szCs w:val="24"/>
        </w:rPr>
      </w:pPr>
      <w:bookmarkStart w:id="7" w:name="_Toc6176173"/>
      <w:r>
        <w:rPr>
          <w:rFonts w:hint="eastAsia"/>
          <w:sz w:val="24"/>
          <w:szCs w:val="24"/>
        </w:rPr>
        <w:t>R</w:t>
      </w:r>
      <w:r>
        <w:rPr>
          <w:sz w:val="24"/>
          <w:szCs w:val="24"/>
        </w:rPr>
        <w:t>eference List</w:t>
      </w:r>
      <w:bookmarkEnd w:id="7"/>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sz w:val="22"/>
          <w:szCs w:val="24"/>
        </w:rPr>
        <w:fldChar w:fldCharType="begin" w:fldLock="1"/>
      </w:r>
      <w:r>
        <w:rPr>
          <w:rFonts w:ascii="Times New Roman" w:hAnsi="Times New Roman" w:cs="Times New Roman"/>
          <w:sz w:val="22"/>
          <w:szCs w:val="24"/>
        </w:rPr>
        <w:instrText xml:space="preserve">ADDIN Mendeley Bibliography CSL_BIBLIOGRAPHY </w:instrText>
      </w:r>
      <w:r>
        <w:rPr>
          <w:rFonts w:ascii="Times New Roman" w:hAnsi="Times New Roman" w:cs="Times New Roman"/>
          <w:sz w:val="22"/>
          <w:szCs w:val="24"/>
        </w:rPr>
        <w:fldChar w:fldCharType="separate"/>
      </w:r>
      <w:r>
        <w:rPr>
          <w:rFonts w:ascii="Times New Roman" w:hAnsi="Times New Roman" w:cs="Times New Roman"/>
          <w:kern w:val="0"/>
          <w:sz w:val="22"/>
          <w:szCs w:val="24"/>
        </w:rPr>
        <w:t xml:space="preserve">Azzi, G. and Azoury, N. (2017) ‘Redefining corporate social responsibility’, in </w:t>
      </w:r>
      <w:r>
        <w:rPr>
          <w:rFonts w:ascii="Times New Roman" w:hAnsi="Times New Roman" w:cs="Times New Roman"/>
          <w:i/>
          <w:iCs/>
          <w:kern w:val="0"/>
          <w:sz w:val="22"/>
          <w:szCs w:val="24"/>
        </w:rPr>
        <w:t>Business and Society in the Middle East: Exploring Responsible Business Practice</w:t>
      </w:r>
      <w:r>
        <w:rPr>
          <w:rFonts w:ascii="Times New Roman" w:hAnsi="Times New Roman" w:cs="Times New Roman"/>
          <w:kern w:val="0"/>
          <w:sz w:val="22"/>
          <w:szCs w:val="24"/>
        </w:rPr>
        <w:t>, pp. 81–90. doi: 10.1007/978-3-319-48857-8_6.</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Becker, N. and Ward, F. A. (2015) ‘Adaptive water management in Israel: structure and policy options’, </w:t>
      </w:r>
      <w:r>
        <w:rPr>
          <w:rFonts w:ascii="Times New Roman" w:hAnsi="Times New Roman" w:cs="Times New Roman"/>
          <w:i/>
          <w:iCs/>
          <w:kern w:val="0"/>
          <w:sz w:val="22"/>
          <w:szCs w:val="24"/>
        </w:rPr>
        <w:t>International Journal of Water Resources Development</w:t>
      </w:r>
      <w:r>
        <w:rPr>
          <w:rFonts w:ascii="Times New Roman" w:hAnsi="Times New Roman" w:cs="Times New Roman"/>
          <w:kern w:val="0"/>
          <w:sz w:val="22"/>
          <w:szCs w:val="24"/>
        </w:rPr>
        <w:t>, 31(4), pp. 540–557. doi: 10.1080/07900627.2014.940447.</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Bretton Woods Project (2011) </w:t>
      </w:r>
      <w:r>
        <w:rPr>
          <w:rFonts w:ascii="Times New Roman" w:hAnsi="Times New Roman" w:cs="Times New Roman"/>
          <w:i/>
          <w:iCs/>
          <w:kern w:val="0"/>
          <w:sz w:val="22"/>
          <w:szCs w:val="24"/>
        </w:rPr>
        <w:t>Despite evidence, World Bank still promoting water privatisation</w:t>
      </w:r>
      <w:r>
        <w:rPr>
          <w:rFonts w:ascii="Times New Roman" w:hAnsi="Times New Roman" w:cs="Times New Roman"/>
          <w:kern w:val="0"/>
          <w:sz w:val="22"/>
          <w:szCs w:val="24"/>
        </w:rPr>
        <w:t>. Available at: https://www.brettonwoodsproject.org/2011/11/art-569208/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Ehie, I. C. (2016) ‘Examining the corporate social responsibility orientation in developing countries: an empirical investigation of the Carroll’s CSR pyramid’, </w:t>
      </w:r>
      <w:r>
        <w:rPr>
          <w:rFonts w:ascii="Times New Roman" w:hAnsi="Times New Roman" w:cs="Times New Roman"/>
          <w:i/>
          <w:iCs/>
          <w:kern w:val="0"/>
          <w:sz w:val="22"/>
          <w:szCs w:val="24"/>
        </w:rPr>
        <w:t>International Journal of Business Governance and Ethics</w:t>
      </w:r>
      <w:r>
        <w:rPr>
          <w:rFonts w:ascii="Times New Roman" w:hAnsi="Times New Roman" w:cs="Times New Roman"/>
          <w:kern w:val="0"/>
          <w:sz w:val="22"/>
          <w:szCs w:val="24"/>
        </w:rPr>
        <w:t>, 11(1), p. 1. doi: 10.1504/ijbge.2016.076337.</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Financial Times (2018) </w:t>
      </w:r>
      <w:r>
        <w:rPr>
          <w:rFonts w:ascii="Times New Roman" w:hAnsi="Times New Roman" w:cs="Times New Roman"/>
          <w:i/>
          <w:iCs/>
          <w:kern w:val="0"/>
          <w:sz w:val="22"/>
          <w:szCs w:val="24"/>
        </w:rPr>
        <w:t>Thames Water defers chief’s £3.8m potential bonus until 2020 | Financial Times</w:t>
      </w:r>
      <w:r>
        <w:rPr>
          <w:rFonts w:ascii="Times New Roman" w:hAnsi="Times New Roman" w:cs="Times New Roman"/>
          <w:kern w:val="0"/>
          <w:sz w:val="22"/>
          <w:szCs w:val="24"/>
        </w:rPr>
        <w:t>. Available at: https://www.ft.com/content/c3096722-7a9a-11e8-bc55-50daf11b720d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Hoekstra, A. Y., Chapagain, A. K. and Zhang, G. (2016) ‘Water footprints and sustainablewater allocation’, </w:t>
      </w:r>
      <w:r>
        <w:rPr>
          <w:rFonts w:ascii="Times New Roman" w:hAnsi="Times New Roman" w:cs="Times New Roman"/>
          <w:i/>
          <w:iCs/>
          <w:kern w:val="0"/>
          <w:sz w:val="22"/>
          <w:szCs w:val="24"/>
        </w:rPr>
        <w:t>Sustainability (Switzerland)</w:t>
      </w:r>
      <w:r>
        <w:rPr>
          <w:rFonts w:ascii="Times New Roman" w:hAnsi="Times New Roman" w:cs="Times New Roman"/>
          <w:kern w:val="0"/>
          <w:sz w:val="22"/>
          <w:szCs w:val="24"/>
        </w:rPr>
        <w:t>, 25 December, pp. 1–6. doi: 10.3390/su8010020.</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ISO (2014) </w:t>
      </w:r>
      <w:r>
        <w:rPr>
          <w:rFonts w:ascii="Times New Roman" w:hAnsi="Times New Roman" w:cs="Times New Roman"/>
          <w:i/>
          <w:iCs/>
          <w:kern w:val="0"/>
          <w:sz w:val="22"/>
          <w:szCs w:val="24"/>
        </w:rPr>
        <w:t>ISO 26000:2010 - Guidance on social responsibility</w:t>
      </w:r>
      <w:r>
        <w:rPr>
          <w:rFonts w:ascii="Times New Roman" w:hAnsi="Times New Roman" w:cs="Times New Roman"/>
          <w:kern w:val="0"/>
          <w:sz w:val="22"/>
          <w:szCs w:val="24"/>
        </w:rPr>
        <w:t>. Available at: https://www.iso.org/standard/42546.html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ISO (2018) </w:t>
      </w:r>
      <w:r>
        <w:rPr>
          <w:rFonts w:ascii="Times New Roman" w:hAnsi="Times New Roman" w:cs="Times New Roman"/>
          <w:i/>
          <w:iCs/>
          <w:kern w:val="0"/>
          <w:sz w:val="22"/>
          <w:szCs w:val="24"/>
        </w:rPr>
        <w:t>ISO 26000 Social responsibility</w:t>
      </w:r>
      <w:r>
        <w:rPr>
          <w:rFonts w:ascii="Times New Roman" w:hAnsi="Times New Roman" w:cs="Times New Roman"/>
          <w:kern w:val="0"/>
          <w:sz w:val="22"/>
          <w:szCs w:val="24"/>
        </w:rPr>
        <w:t>. Available at: https://www.iso.org/iso-26000-social-responsibility.html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Israel NewTech (2014) </w:t>
      </w:r>
      <w:r>
        <w:rPr>
          <w:rFonts w:ascii="Times New Roman" w:hAnsi="Times New Roman" w:cs="Times New Roman"/>
          <w:i/>
          <w:iCs/>
          <w:kern w:val="0"/>
          <w:sz w:val="22"/>
          <w:szCs w:val="24"/>
        </w:rPr>
        <w:t>Hagihon Provides Platform for Israeli Water Technology Innovations</w:t>
      </w:r>
      <w:r>
        <w:rPr>
          <w:rFonts w:ascii="Times New Roman" w:hAnsi="Times New Roman" w:cs="Times New Roman"/>
          <w:kern w:val="0"/>
          <w:sz w:val="22"/>
          <w:szCs w:val="24"/>
        </w:rPr>
        <w:t>. Available at: http://israelnewtech.com/2014/01/28/hagihon-provides-platform-israeli-water-technology-innovations/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Porter, M. E., Kramer, M. R. and Fraser, D. (2006) ‘Strategy and society: the link between competitive advantage and corporate social responsibility’, </w:t>
      </w:r>
      <w:r>
        <w:rPr>
          <w:rFonts w:ascii="Times New Roman" w:hAnsi="Times New Roman" w:cs="Times New Roman"/>
          <w:i/>
          <w:iCs/>
          <w:kern w:val="0"/>
          <w:sz w:val="22"/>
          <w:szCs w:val="24"/>
        </w:rPr>
        <w:t>Harvard Business Review</w:t>
      </w:r>
      <w:r>
        <w:rPr>
          <w:rFonts w:ascii="Times New Roman" w:hAnsi="Times New Roman" w:cs="Times New Roman"/>
          <w:kern w:val="0"/>
          <w:sz w:val="22"/>
          <w:szCs w:val="24"/>
        </w:rPr>
        <w:t>, 23(5), pp. 78–92. doi: 10.1108/sd.2007.05623ead.006.</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Save The Water (2016) </w:t>
      </w:r>
      <w:r>
        <w:rPr>
          <w:rFonts w:ascii="Times New Roman" w:hAnsi="Times New Roman" w:cs="Times New Roman"/>
          <w:i/>
          <w:iCs/>
          <w:kern w:val="0"/>
          <w:sz w:val="22"/>
          <w:szCs w:val="24"/>
        </w:rPr>
        <w:t>Water Scarcity and the United Nations</w:t>
      </w:r>
      <w:r>
        <w:rPr>
          <w:rFonts w:ascii="Times New Roman" w:hAnsi="Times New Roman" w:cs="Times New Roman"/>
          <w:kern w:val="0"/>
          <w:sz w:val="22"/>
          <w:szCs w:val="24"/>
        </w:rPr>
        <w:t>. doi: 10.1371/journal.pone.0032688.</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Siegel S.M. (2015) </w:t>
      </w:r>
      <w:r>
        <w:rPr>
          <w:rFonts w:ascii="Times New Roman" w:hAnsi="Times New Roman" w:cs="Times New Roman"/>
          <w:i/>
          <w:iCs/>
          <w:kern w:val="0"/>
          <w:sz w:val="22"/>
          <w:szCs w:val="24"/>
        </w:rPr>
        <w:t>Let There Be Water:Israel’s Solution for a Water-Starved World</w:t>
      </w:r>
      <w:r>
        <w:rPr>
          <w:rFonts w:ascii="Times New Roman" w:hAnsi="Times New Roman" w:cs="Times New Roman"/>
          <w:kern w:val="0"/>
          <w:sz w:val="22"/>
          <w:szCs w:val="24"/>
        </w:rPr>
        <w:t>. Blackstone Audio, Inc.</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Speight, V. L. (2015) ‘Innovation in the water industry: barriers and opportunities for US and UK utilities’, </w:t>
      </w:r>
      <w:r>
        <w:rPr>
          <w:rFonts w:ascii="Times New Roman" w:hAnsi="Times New Roman" w:cs="Times New Roman"/>
          <w:i/>
          <w:iCs/>
          <w:kern w:val="0"/>
          <w:sz w:val="22"/>
          <w:szCs w:val="24"/>
        </w:rPr>
        <w:t>Wiley Interdisciplinary Reviews: Water</w:t>
      </w:r>
      <w:r>
        <w:rPr>
          <w:rFonts w:ascii="Times New Roman" w:hAnsi="Times New Roman" w:cs="Times New Roman"/>
          <w:kern w:val="0"/>
          <w:sz w:val="22"/>
          <w:szCs w:val="24"/>
        </w:rPr>
        <w:t>, 2(4), pp. 301–313. doi: 10.1002/wat2.1082.</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Thames Water (2016) </w:t>
      </w:r>
      <w:r>
        <w:rPr>
          <w:rFonts w:ascii="Times New Roman" w:hAnsi="Times New Roman" w:cs="Times New Roman"/>
          <w:i/>
          <w:iCs/>
          <w:kern w:val="0"/>
          <w:sz w:val="22"/>
          <w:szCs w:val="24"/>
        </w:rPr>
        <w:t>Community investment</w:t>
      </w:r>
      <w:r>
        <w:rPr>
          <w:rFonts w:ascii="Times New Roman" w:hAnsi="Times New Roman" w:cs="Times New Roman"/>
          <w:kern w:val="0"/>
          <w:sz w:val="22"/>
          <w:szCs w:val="24"/>
        </w:rPr>
        <w:t>. Available at: https://corporate.thameswater.co.uk/About-us/Corporate-responsibility-and-sustainability/Community-investment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Thames Water (2018a) </w:t>
      </w:r>
      <w:r>
        <w:rPr>
          <w:rFonts w:ascii="Times New Roman" w:hAnsi="Times New Roman" w:cs="Times New Roman"/>
          <w:i/>
          <w:iCs/>
          <w:kern w:val="0"/>
          <w:sz w:val="22"/>
          <w:szCs w:val="24"/>
        </w:rPr>
        <w:t>About Thames Water</w:t>
      </w:r>
      <w:r>
        <w:rPr>
          <w:rFonts w:ascii="Times New Roman" w:hAnsi="Times New Roman" w:cs="Times New Roman"/>
          <w:kern w:val="0"/>
          <w:sz w:val="22"/>
          <w:szCs w:val="24"/>
        </w:rPr>
        <w:t>. Available at: https://sustainability.thameswater.co.uk/How-we-do-business/Becoming-more-sustainable/About-Thames-Water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Thames Water (2018b) </w:t>
      </w:r>
      <w:r>
        <w:rPr>
          <w:rFonts w:ascii="Times New Roman" w:hAnsi="Times New Roman" w:cs="Times New Roman"/>
          <w:i/>
          <w:iCs/>
          <w:kern w:val="0"/>
          <w:sz w:val="22"/>
          <w:szCs w:val="24"/>
        </w:rPr>
        <w:t>Corporate responsibility &amp;amp; sustainability.</w:t>
      </w:r>
      <w:r>
        <w:rPr>
          <w:rFonts w:ascii="Times New Roman" w:hAnsi="Times New Roman" w:cs="Times New Roman"/>
          <w:kern w:val="0"/>
          <w:sz w:val="22"/>
          <w:szCs w:val="24"/>
        </w:rPr>
        <w:t xml:space="preserve"> Available at: https://corporate.thameswater.co.uk/sitecore/content/Corporate-Responsibility/Corporate-Responsibility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Thames Water (2018c) </w:t>
      </w:r>
      <w:r>
        <w:rPr>
          <w:rFonts w:ascii="Times New Roman" w:hAnsi="Times New Roman" w:cs="Times New Roman"/>
          <w:i/>
          <w:iCs/>
          <w:kern w:val="0"/>
          <w:sz w:val="22"/>
          <w:szCs w:val="24"/>
        </w:rPr>
        <w:t>Investment prioritised over dividend as Thames Water puts customers first Last reviewed: 28/06/2018 07:00 AM</w:t>
      </w:r>
      <w:r>
        <w:rPr>
          <w:rFonts w:ascii="Times New Roman" w:hAnsi="Times New Roman" w:cs="Times New Roman"/>
          <w:kern w:val="0"/>
          <w:sz w:val="22"/>
          <w:szCs w:val="24"/>
        </w:rPr>
        <w:t>. Available at: https://corporate.thameswater.co.uk/Media/News-releases/Thames-Water-publishes-its-Annual-Performance-Report-for-201718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Traer, R. (2018) </w:t>
      </w:r>
      <w:r>
        <w:rPr>
          <w:rFonts w:ascii="Times New Roman" w:hAnsi="Times New Roman" w:cs="Times New Roman"/>
          <w:i/>
          <w:iCs/>
          <w:kern w:val="0"/>
          <w:sz w:val="22"/>
          <w:szCs w:val="24"/>
        </w:rPr>
        <w:t>Doing Environmental Ethics</w:t>
      </w:r>
      <w:r>
        <w:rPr>
          <w:rFonts w:ascii="Times New Roman" w:hAnsi="Times New Roman" w:cs="Times New Roman"/>
          <w:kern w:val="0"/>
          <w:sz w:val="22"/>
          <w:szCs w:val="24"/>
        </w:rPr>
        <w:t xml:space="preserve">, </w:t>
      </w:r>
      <w:r>
        <w:rPr>
          <w:rFonts w:ascii="Times New Roman" w:hAnsi="Times New Roman" w:cs="Times New Roman"/>
          <w:i/>
          <w:iCs/>
          <w:kern w:val="0"/>
          <w:sz w:val="22"/>
          <w:szCs w:val="24"/>
        </w:rPr>
        <w:t>Doing Environmental Ethics</w:t>
      </w:r>
      <w:r>
        <w:rPr>
          <w:rFonts w:ascii="Times New Roman" w:hAnsi="Times New Roman" w:cs="Times New Roman"/>
          <w:kern w:val="0"/>
          <w:sz w:val="22"/>
          <w:szCs w:val="24"/>
        </w:rPr>
        <w:t>. doi: 10.4324/9780429495298.</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UNDESA (2014) </w:t>
      </w:r>
      <w:r>
        <w:rPr>
          <w:rFonts w:ascii="Times New Roman" w:hAnsi="Times New Roman" w:cs="Times New Roman"/>
          <w:i/>
          <w:iCs/>
          <w:kern w:val="0"/>
          <w:sz w:val="22"/>
          <w:szCs w:val="24"/>
        </w:rPr>
        <w:t>International Decade for Action ‘Water for Life’ 2005-2015.</w:t>
      </w:r>
      <w:r>
        <w:rPr>
          <w:rFonts w:ascii="Times New Roman" w:hAnsi="Times New Roman" w:cs="Times New Roman"/>
          <w:kern w:val="0"/>
          <w:sz w:val="22"/>
          <w:szCs w:val="24"/>
        </w:rPr>
        <w:t xml:space="preserve"> Available at: https://www.un.org/waterforlifedecade/scarcity.shtml (Accessed: 14 April 2019).</w:t>
      </w:r>
    </w:p>
    <w:p>
      <w:pPr>
        <w:autoSpaceDE w:val="0"/>
        <w:autoSpaceDN w:val="0"/>
        <w:adjustRightInd w:val="0"/>
        <w:spacing w:before="100" w:beforeAutospacing="1" w:after="100" w:afterAutospacing="1"/>
        <w:jc w:val="left"/>
        <w:rPr>
          <w:rFonts w:ascii="Times New Roman" w:hAnsi="Times New Roman" w:cs="Times New Roman"/>
          <w:kern w:val="0"/>
          <w:sz w:val="22"/>
          <w:szCs w:val="24"/>
        </w:rPr>
      </w:pPr>
      <w:r>
        <w:rPr>
          <w:rFonts w:ascii="Times New Roman" w:hAnsi="Times New Roman" w:cs="Times New Roman"/>
          <w:kern w:val="0"/>
          <w:sz w:val="22"/>
          <w:szCs w:val="24"/>
        </w:rPr>
        <w:t xml:space="preserve">Wagner-Tsukamoto, S. (2015) ‘What Ethics ? Economizing the Carroll Pyramid of Corporate Social Responsibilities ( CSR )’, </w:t>
      </w:r>
      <w:r>
        <w:rPr>
          <w:rFonts w:ascii="Times New Roman" w:hAnsi="Times New Roman" w:cs="Times New Roman"/>
          <w:i/>
          <w:iCs/>
          <w:kern w:val="0"/>
          <w:sz w:val="22"/>
          <w:szCs w:val="24"/>
        </w:rPr>
        <w:t>British Academy of Management Conference</w:t>
      </w:r>
      <w:r>
        <w:rPr>
          <w:rFonts w:ascii="Times New Roman" w:hAnsi="Times New Roman" w:cs="Times New Roman"/>
          <w:kern w:val="0"/>
          <w:sz w:val="22"/>
          <w:szCs w:val="24"/>
        </w:rPr>
        <w:t>, pp. 1–53. Available at: https://lra.le.ac.uk/handle/2381/32950 (Accessed: 14 April 2019).</w:t>
      </w:r>
    </w:p>
    <w:p>
      <w:pPr>
        <w:autoSpaceDE w:val="0"/>
        <w:autoSpaceDN w:val="0"/>
        <w:adjustRightInd w:val="0"/>
        <w:spacing w:before="100" w:beforeAutospacing="1" w:after="100" w:afterAutospacing="1"/>
        <w:jc w:val="left"/>
        <w:rPr>
          <w:rFonts w:ascii="Times New Roman" w:hAnsi="Times New Roman" w:cs="Times New Roman"/>
          <w:sz w:val="22"/>
        </w:rPr>
      </w:pPr>
      <w:r>
        <w:rPr>
          <w:rFonts w:ascii="Times New Roman" w:hAnsi="Times New Roman" w:cs="Times New Roman"/>
          <w:kern w:val="0"/>
          <w:sz w:val="22"/>
          <w:szCs w:val="24"/>
        </w:rPr>
        <w:t xml:space="preserve">WaterAid (2016) </w:t>
      </w:r>
      <w:r>
        <w:rPr>
          <w:rFonts w:ascii="Times New Roman" w:hAnsi="Times New Roman" w:cs="Times New Roman"/>
          <w:i/>
          <w:iCs/>
          <w:kern w:val="0"/>
          <w:sz w:val="22"/>
          <w:szCs w:val="24"/>
        </w:rPr>
        <w:t>Thames Water transforming lives in Malawi | WaterAid UK</w:t>
      </w:r>
      <w:r>
        <w:rPr>
          <w:rFonts w:ascii="Times New Roman" w:hAnsi="Times New Roman" w:cs="Times New Roman"/>
          <w:kern w:val="0"/>
          <w:sz w:val="22"/>
          <w:szCs w:val="24"/>
        </w:rPr>
        <w:t>. Available at: https://www.wateraid.org/uk/blog/thames-water-transforming-lives-in-malawi (Accessed: 14 April 2019).</w:t>
      </w:r>
    </w:p>
    <w:p>
      <w:pPr>
        <w:spacing w:before="100" w:beforeAutospacing="1" w:after="100" w:afterAutospacing="1"/>
        <w:rPr>
          <w:rFonts w:ascii="Times New Roman" w:hAnsi="Times New Roman" w:cs="Times New Roman"/>
          <w:sz w:val="24"/>
          <w:szCs w:val="24"/>
        </w:rPr>
      </w:pPr>
      <w:r>
        <w:rPr>
          <w:rFonts w:ascii="Times New Roman" w:hAnsi="Times New Roman" w:cs="Times New Roman"/>
          <w:sz w:val="22"/>
          <w:szCs w:val="24"/>
        </w:rPr>
        <w:fldChar w:fldCharType="end"/>
      </w:r>
    </w:p>
    <w:sectPr>
      <w:footerReference r:id="rId4" w:type="default"/>
      <w:pgSz w:w="11906" w:h="16838"/>
      <w:pgMar w:top="1440" w:right="1080" w:bottom="1440" w:left="108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11154025"/>
      <w:docPartObj>
        <w:docPartGallery w:val="autotext"/>
      </w:docPartObj>
    </w:sdtPr>
    <w:sdtContent>
      <w:p>
        <w:pPr>
          <w:pStyle w:val="4"/>
          <w:jc w:val="center"/>
        </w:pPr>
        <w:r>
          <w:fldChar w:fldCharType="begin"/>
        </w:r>
        <w:r>
          <w:instrText xml:space="preserve">PAGE   \* MERGEFORMAT</w:instrText>
        </w:r>
        <w:r>
          <w:fldChar w:fldCharType="separate"/>
        </w:r>
        <w:r>
          <w:rPr>
            <w:lang w:val="zh-CN"/>
          </w:rPr>
          <w:t>2</w:t>
        </w:r>
        <w:r>
          <w:fldChar w:fldCharType="end"/>
        </w:r>
      </w:p>
    </w:sdtContent>
  </w:sdt>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777547"/>
    <w:multiLevelType w:val="multilevel"/>
    <w:tmpl w:val="55777547"/>
    <w:lvl w:ilvl="0" w:tentative="0">
      <w:start w:val="0"/>
      <w:numFmt w:val="bullet"/>
      <w:lvlText w:val="-"/>
      <w:lvlJc w:val="left"/>
      <w:pPr>
        <w:ind w:left="420" w:hanging="420"/>
      </w:pPr>
      <w:rPr>
        <w:rFonts w:hint="default" w:ascii="Times New Roman" w:hAnsi="Times New Roman" w:cs="Times New Roman" w:eastAsiaTheme="minorEastAsia"/>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Q3tDQwN7e0sDQ2NLdQ0lEKTi0uzszPAykwqgUAlE7+EywAAAA="/>
  </w:docVars>
  <w:rsids>
    <w:rsidRoot w:val="00E62113"/>
    <w:rsid w:val="00010DD9"/>
    <w:rsid w:val="00061CF7"/>
    <w:rsid w:val="00106AC2"/>
    <w:rsid w:val="00110C11"/>
    <w:rsid w:val="001869B7"/>
    <w:rsid w:val="00193D92"/>
    <w:rsid w:val="002652F3"/>
    <w:rsid w:val="0037511C"/>
    <w:rsid w:val="003B0724"/>
    <w:rsid w:val="003B5F21"/>
    <w:rsid w:val="003D6EC2"/>
    <w:rsid w:val="004A7081"/>
    <w:rsid w:val="00504574"/>
    <w:rsid w:val="00545798"/>
    <w:rsid w:val="00566E54"/>
    <w:rsid w:val="00585E41"/>
    <w:rsid w:val="006F663E"/>
    <w:rsid w:val="00721DAF"/>
    <w:rsid w:val="00753B03"/>
    <w:rsid w:val="00795C08"/>
    <w:rsid w:val="007D41A2"/>
    <w:rsid w:val="00826333"/>
    <w:rsid w:val="00857124"/>
    <w:rsid w:val="008A5830"/>
    <w:rsid w:val="008E1093"/>
    <w:rsid w:val="00955C6E"/>
    <w:rsid w:val="00955DB0"/>
    <w:rsid w:val="00A345EA"/>
    <w:rsid w:val="00B35AF0"/>
    <w:rsid w:val="00B7450E"/>
    <w:rsid w:val="00C11AE7"/>
    <w:rsid w:val="00CD275C"/>
    <w:rsid w:val="00D13D01"/>
    <w:rsid w:val="00DC2FD7"/>
    <w:rsid w:val="00E03278"/>
    <w:rsid w:val="00E62113"/>
    <w:rsid w:val="00E92850"/>
    <w:rsid w:val="00EE5BA7"/>
    <w:rsid w:val="00F1507A"/>
    <w:rsid w:val="00F27137"/>
    <w:rsid w:val="00F469AA"/>
    <w:rsid w:val="00FC1ADD"/>
    <w:rsid w:val="35697659"/>
    <w:rsid w:val="61CD0F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GB"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8">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3">
    <w:name w:val="Balloon Text"/>
    <w:basedOn w:val="1"/>
    <w:link w:val="14"/>
    <w:semiHidden/>
    <w:unhideWhenUsed/>
    <w:uiPriority w:val="99"/>
    <w:rPr>
      <w:sz w:val="18"/>
      <w:szCs w:val="18"/>
    </w:r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uiPriority w:val="39"/>
  </w:style>
  <w:style w:type="character" w:styleId="9">
    <w:name w:val="Hyperlink"/>
    <w:basedOn w:val="8"/>
    <w:unhideWhenUsed/>
    <w:uiPriority w:val="99"/>
    <w:rPr>
      <w:color w:val="0563C1" w:themeColor="hyperlink"/>
      <w:u w:val="single"/>
      <w14:textFill>
        <w14:solidFill>
          <w14:schemeClr w14:val="hlink"/>
        </w14:solidFill>
      </w14:textFill>
    </w:rPr>
  </w:style>
  <w:style w:type="character" w:customStyle="1" w:styleId="10">
    <w:name w:val="页眉 字符"/>
    <w:basedOn w:val="8"/>
    <w:link w:val="5"/>
    <w:uiPriority w:val="99"/>
    <w:rPr>
      <w:sz w:val="18"/>
      <w:szCs w:val="18"/>
      <w:lang w:val="en-GB"/>
    </w:rPr>
  </w:style>
  <w:style w:type="character" w:customStyle="1" w:styleId="11">
    <w:name w:val="页脚 字符"/>
    <w:basedOn w:val="8"/>
    <w:link w:val="4"/>
    <w:uiPriority w:val="99"/>
    <w:rPr>
      <w:sz w:val="18"/>
      <w:szCs w:val="18"/>
      <w:lang w:val="en-GB"/>
    </w:rPr>
  </w:style>
  <w:style w:type="paragraph" w:styleId="12">
    <w:name w:val="List Paragraph"/>
    <w:basedOn w:val="1"/>
    <w:qFormat/>
    <w:uiPriority w:val="34"/>
    <w:pPr>
      <w:ind w:firstLine="420" w:firstLineChars="200"/>
    </w:pPr>
  </w:style>
  <w:style w:type="character" w:customStyle="1" w:styleId="13">
    <w:name w:val="标题 1 字符"/>
    <w:basedOn w:val="8"/>
    <w:link w:val="2"/>
    <w:uiPriority w:val="9"/>
    <w:rPr>
      <w:b/>
      <w:bCs/>
      <w:kern w:val="44"/>
      <w:sz w:val="44"/>
      <w:szCs w:val="44"/>
      <w:lang w:val="en-GB"/>
    </w:rPr>
  </w:style>
  <w:style w:type="character" w:customStyle="1" w:styleId="14">
    <w:name w:val="批注框文本 字符"/>
    <w:basedOn w:val="8"/>
    <w:link w:val="3"/>
    <w:semiHidden/>
    <w:uiPriority w:val="99"/>
    <w:rPr>
      <w:sz w:val="18"/>
      <w:szCs w:val="18"/>
      <w:lang w:val="en-GB"/>
    </w:rPr>
  </w:style>
  <w:style w:type="paragraph" w:customStyle="1" w:styleId="15">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386D15-1FB5-4935-9E08-4EF128A01419}">
  <ds:schemaRefs/>
</ds:datastoreItem>
</file>

<file path=docProps/app.xml><?xml version="1.0" encoding="utf-8"?>
<Properties xmlns="http://schemas.openxmlformats.org/officeDocument/2006/extended-properties" xmlns:vt="http://schemas.openxmlformats.org/officeDocument/2006/docPropsVTypes">
  <Template>Normal</Template>
  <Pages>10</Pages>
  <Words>6522</Words>
  <Characters>37181</Characters>
  <Lines>309</Lines>
  <Paragraphs>87</Paragraphs>
  <TotalTime>515</TotalTime>
  <ScaleCrop>false</ScaleCrop>
  <LinksUpToDate>false</LinksUpToDate>
  <CharactersWithSpaces>43616</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2019-04-14T12:37:00Z</dcterms:created>
  <dc:creator>Wei Shanshan</dc:creator>
  <cp:lastModifiedBy>10173</cp:lastModifiedBy>
  <dcterms:modified xsi:type="dcterms:W3CDTF">2019-04-28T21:21:21Z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dc7538be-bcd6-3be4-b1f3-3329b185610b</vt:lpwstr>
  </property>
  <property fmtid="{D5CDD505-2E9C-101B-9397-08002B2CF9AE}" pid="4" name="Mendeley Citation Style_1">
    <vt:lpwstr>http://www.zotero.org/styles/harvard1</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6th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http://www.zotero.org/styles/harvard-coventry-university</vt:lpwstr>
  </property>
  <property fmtid="{D5CDD505-2E9C-101B-9397-08002B2CF9AE}" pid="14" name="Mendeley Recent Style Name 4_1">
    <vt:lpwstr>Coventry University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KSOProductBuildVer">
    <vt:lpwstr>2052-11.1.0.8597</vt:lpwstr>
  </property>
</Properties>
</file>