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52E20" w14:textId="77777777" w:rsidR="00733E1A" w:rsidRPr="00733E1A" w:rsidRDefault="00733E1A" w:rsidP="00733E1A">
      <w:pPr>
        <w:rPr>
          <w:b/>
          <w:bCs/>
          <w:sz w:val="40"/>
          <w:szCs w:val="40"/>
          <w:lang w:val="en-US"/>
        </w:rPr>
      </w:pPr>
      <w:r w:rsidRPr="00733E1A">
        <w:rPr>
          <w:b/>
          <w:bCs/>
          <w:sz w:val="40"/>
          <w:szCs w:val="40"/>
          <w:lang w:val="en-US"/>
        </w:rPr>
        <w:t>Understanding the Role of Statistics in Machine Learning and Data Science</w:t>
      </w:r>
    </w:p>
    <w:p w14:paraId="144754CC" w14:textId="77777777" w:rsidR="00733E1A" w:rsidRPr="00733E1A" w:rsidRDefault="00733E1A" w:rsidP="00733E1A">
      <w:pPr>
        <w:rPr>
          <w:sz w:val="24"/>
          <w:szCs w:val="24"/>
          <w:lang w:val="en-US"/>
        </w:rPr>
      </w:pPr>
      <w:r w:rsidRPr="00733E1A">
        <w:rPr>
          <w:sz w:val="24"/>
          <w:szCs w:val="24"/>
          <w:lang w:val="en-US"/>
        </w:rPr>
        <w:t>The integration of statistical methods into machine learning (ML) and data science (DS) forms the backbone of modern analytical workflows. This report explores how statistical thinking underpins model development, feature selection, and evaluation, drawing on peer-reviewed literature to highlight the foundational role of statistics in intelligent systems.</w:t>
      </w:r>
    </w:p>
    <w:p w14:paraId="0F8CE16A" w14:textId="77777777" w:rsidR="00733E1A" w:rsidRPr="00733E1A" w:rsidRDefault="00733E1A" w:rsidP="00733E1A">
      <w:pPr>
        <w:rPr>
          <w:sz w:val="24"/>
          <w:szCs w:val="24"/>
          <w:lang w:val="en-US"/>
        </w:rPr>
      </w:pPr>
      <w:r w:rsidRPr="00733E1A">
        <w:rPr>
          <w:sz w:val="24"/>
          <w:szCs w:val="24"/>
          <w:lang w:val="en-US"/>
        </w:rPr>
        <w:t>At its core, machine learning is a data-driven discipline that relies heavily on statistical principles to extract patterns, make predictions, and quantify uncertainty. As Bishop [1] notes, probabilistic modeling enables ML algorithms to incorporate prior knowledge and manage noise in data, enhancing robustness and generalizability. Similarly, Hastie et al. [2] emphasize that supervised learning methods—such as linear regression, decision trees, and ensemble models—are deeply rooted in statistical estimation and hypothesis testing.</w:t>
      </w:r>
    </w:p>
    <w:p w14:paraId="2AB0680A" w14:textId="77777777" w:rsidR="00733E1A" w:rsidRPr="00733E1A" w:rsidRDefault="00733E1A" w:rsidP="00733E1A">
      <w:pPr>
        <w:rPr>
          <w:sz w:val="24"/>
          <w:szCs w:val="24"/>
          <w:lang w:val="en-US"/>
        </w:rPr>
      </w:pPr>
      <w:r w:rsidRPr="00733E1A">
        <w:rPr>
          <w:sz w:val="24"/>
          <w:szCs w:val="24"/>
          <w:lang w:val="en-US"/>
        </w:rPr>
        <w:t>Feature selection and dimensionality reduction are also guided by statistical metrics. Techniques like mutual information, variance thresholds, and correlation analysis help identify informative variables while mitigating multicollinearity and overfitting [3]. These methods not only improve model performance but also enhance interpretability—an increasingly critical concern in ethical AI and business intelligence.</w:t>
      </w:r>
    </w:p>
    <w:p w14:paraId="4C941AE1" w14:textId="77777777" w:rsidR="00733E1A" w:rsidRPr="00733E1A" w:rsidRDefault="00733E1A" w:rsidP="00733E1A">
      <w:pPr>
        <w:rPr>
          <w:sz w:val="24"/>
          <w:szCs w:val="24"/>
          <w:lang w:val="en-US"/>
        </w:rPr>
      </w:pPr>
      <w:r w:rsidRPr="00733E1A">
        <w:rPr>
          <w:sz w:val="24"/>
          <w:szCs w:val="24"/>
          <w:lang w:val="en-US"/>
        </w:rPr>
        <w:t>Model evaluation further illustrates the indispensability of statistics. Metrics such as Mean Absolute Error (MAE), Root Mean Squared Error (RMSE), and R² are statistical constructs that quantify prediction accuracy and variance explained. Cross-validation, a statistical resampling technique, ensures that models generalize well to unseen data and guards against overfitting [4].</w:t>
      </w:r>
    </w:p>
    <w:p w14:paraId="68D7FC02" w14:textId="77777777" w:rsidR="00733E1A" w:rsidRPr="00733E1A" w:rsidRDefault="00733E1A" w:rsidP="00733E1A">
      <w:pPr>
        <w:rPr>
          <w:sz w:val="24"/>
          <w:szCs w:val="24"/>
          <w:lang w:val="en-US"/>
        </w:rPr>
      </w:pPr>
      <w:r w:rsidRPr="00733E1A">
        <w:rPr>
          <w:sz w:val="24"/>
          <w:szCs w:val="24"/>
          <w:lang w:val="en-US"/>
        </w:rPr>
        <w:t>Moreover, classical statistical methods continue to influence contemporary DS workflows. Techniques like logistic regression, Bayesian inference, and time series analysis remain relevant, especially in domains requiring transparency and explainability. As Varian [5] argues, the convergence of statistics and ML reflects a shift from algorithmic opacity toward interpretable, data-driven decision-making.</w:t>
      </w:r>
    </w:p>
    <w:p w14:paraId="2FB7D91F" w14:textId="2679D2B6" w:rsidR="00733E1A" w:rsidRDefault="00733E1A" w:rsidP="00733E1A">
      <w:pPr>
        <w:rPr>
          <w:sz w:val="24"/>
          <w:szCs w:val="24"/>
          <w:lang w:val="en-US"/>
        </w:rPr>
      </w:pPr>
      <w:r w:rsidRPr="00733E1A">
        <w:rPr>
          <w:sz w:val="24"/>
          <w:szCs w:val="24"/>
          <w:lang w:val="en-US"/>
        </w:rPr>
        <w:t>In summary, statistics is not merely a supporting tool but a foundational pillar of machine learning and data science. It informs every stage of the analytical pipeline—from data preprocessing and model selection to evaluation and deployment—ensuring that insights are both accurate and actionable.</w:t>
      </w:r>
    </w:p>
    <w:p w14:paraId="3F6540D1" w14:textId="77777777" w:rsidR="00733E1A" w:rsidRPr="00733E1A" w:rsidRDefault="00733E1A" w:rsidP="00733E1A">
      <w:pPr>
        <w:rPr>
          <w:sz w:val="24"/>
          <w:szCs w:val="24"/>
          <w:lang w:val="en-US"/>
        </w:rPr>
      </w:pPr>
    </w:p>
    <w:p w14:paraId="3B114903" w14:textId="77777777" w:rsidR="00733E1A" w:rsidRPr="00733E1A" w:rsidRDefault="00733E1A" w:rsidP="00733E1A">
      <w:pPr>
        <w:rPr>
          <w:b/>
          <w:bCs/>
          <w:sz w:val="24"/>
          <w:szCs w:val="24"/>
          <w:lang w:val="en-US"/>
        </w:rPr>
      </w:pPr>
      <w:r w:rsidRPr="00733E1A">
        <w:rPr>
          <w:b/>
          <w:bCs/>
          <w:sz w:val="24"/>
          <w:szCs w:val="24"/>
          <w:lang w:val="en-US"/>
        </w:rPr>
        <w:t>References</w:t>
      </w:r>
    </w:p>
    <w:p w14:paraId="2887D21A" w14:textId="2FBDFC03" w:rsidR="00733E1A" w:rsidRPr="00733E1A" w:rsidRDefault="00733E1A" w:rsidP="00733E1A">
      <w:pPr>
        <w:rPr>
          <w:lang w:val="en-US"/>
        </w:rPr>
      </w:pPr>
      <w:r w:rsidRPr="00733E1A">
        <w:rPr>
          <w:sz w:val="24"/>
          <w:szCs w:val="24"/>
          <w:lang w:val="en-US"/>
        </w:rPr>
        <w:lastRenderedPageBreak/>
        <w:t xml:space="preserve">[1] C. M. Bishop, </w:t>
      </w:r>
      <w:r w:rsidRPr="00733E1A">
        <w:rPr>
          <w:i/>
          <w:iCs/>
          <w:sz w:val="24"/>
          <w:szCs w:val="24"/>
          <w:lang w:val="en-US"/>
        </w:rPr>
        <w:t>Pattern Recognition and Machine Learning</w:t>
      </w:r>
      <w:r w:rsidRPr="00733E1A">
        <w:rPr>
          <w:sz w:val="24"/>
          <w:szCs w:val="24"/>
          <w:lang w:val="en-US"/>
        </w:rPr>
        <w:t>, Springer, 2006.</w:t>
      </w:r>
      <w:r w:rsidRPr="00733E1A">
        <w:rPr>
          <w:sz w:val="24"/>
          <w:szCs w:val="24"/>
          <w:lang w:val="en-US"/>
        </w:rPr>
        <w:br/>
        <w:t xml:space="preserve">[2] T. Hastie, R. </w:t>
      </w:r>
      <w:proofErr w:type="spellStart"/>
      <w:r w:rsidRPr="00733E1A">
        <w:rPr>
          <w:sz w:val="24"/>
          <w:szCs w:val="24"/>
          <w:lang w:val="en-US"/>
        </w:rPr>
        <w:t>Tibshirani</w:t>
      </w:r>
      <w:proofErr w:type="spellEnd"/>
      <w:r w:rsidRPr="00733E1A">
        <w:rPr>
          <w:sz w:val="24"/>
          <w:szCs w:val="24"/>
          <w:lang w:val="en-US"/>
        </w:rPr>
        <w:t xml:space="preserve">, and J. Friedman, </w:t>
      </w:r>
      <w:r w:rsidRPr="00733E1A">
        <w:rPr>
          <w:i/>
          <w:iCs/>
          <w:sz w:val="24"/>
          <w:szCs w:val="24"/>
          <w:lang w:val="en-US"/>
        </w:rPr>
        <w:t>The Elements of Statistical Learning</w:t>
      </w:r>
      <w:r w:rsidRPr="00733E1A">
        <w:rPr>
          <w:sz w:val="24"/>
          <w:szCs w:val="24"/>
          <w:lang w:val="en-US"/>
        </w:rPr>
        <w:t>, Springer, 2009.</w:t>
      </w:r>
      <w:r w:rsidRPr="00733E1A">
        <w:rPr>
          <w:sz w:val="24"/>
          <w:szCs w:val="24"/>
          <w:lang w:val="en-US"/>
        </w:rPr>
        <w:br/>
        <w:t xml:space="preserve">[3] I. Guyon and A. Elisseeff, “An Introduction to Variable and Feature Selection,” </w:t>
      </w:r>
      <w:r w:rsidRPr="00733E1A">
        <w:rPr>
          <w:i/>
          <w:iCs/>
          <w:sz w:val="24"/>
          <w:szCs w:val="24"/>
          <w:lang w:val="en-US"/>
        </w:rPr>
        <w:t>J. Mach. Learn. Res.</w:t>
      </w:r>
      <w:r w:rsidRPr="00733E1A">
        <w:rPr>
          <w:sz w:val="24"/>
          <w:szCs w:val="24"/>
          <w:lang w:val="en-US"/>
        </w:rPr>
        <w:t>, vol. 3, pp. 1157–1182, 2003.</w:t>
      </w:r>
      <w:r w:rsidRPr="00733E1A">
        <w:rPr>
          <w:sz w:val="24"/>
          <w:szCs w:val="24"/>
          <w:lang w:val="en-US"/>
        </w:rPr>
        <w:br/>
        <w:t xml:space="preserve">[4] R. </w:t>
      </w:r>
      <w:proofErr w:type="spellStart"/>
      <w:r w:rsidRPr="00733E1A">
        <w:rPr>
          <w:sz w:val="24"/>
          <w:szCs w:val="24"/>
          <w:lang w:val="en-US"/>
        </w:rPr>
        <w:t>Kohavi</w:t>
      </w:r>
      <w:proofErr w:type="spellEnd"/>
      <w:r w:rsidRPr="00733E1A">
        <w:rPr>
          <w:sz w:val="24"/>
          <w:szCs w:val="24"/>
          <w:lang w:val="en-US"/>
        </w:rPr>
        <w:t xml:space="preserve">, “A Study of Cross-Validation and Bootstrap for Accuracy Estimation and Model Selection,” in </w:t>
      </w:r>
      <w:r w:rsidRPr="00733E1A">
        <w:rPr>
          <w:i/>
          <w:iCs/>
          <w:sz w:val="24"/>
          <w:szCs w:val="24"/>
          <w:lang w:val="en-US"/>
        </w:rPr>
        <w:t>Proc. IJCAI</w:t>
      </w:r>
      <w:r w:rsidRPr="00733E1A">
        <w:rPr>
          <w:sz w:val="24"/>
          <w:szCs w:val="24"/>
          <w:lang w:val="en-US"/>
        </w:rPr>
        <w:t>, 1995, pp. 1137–1143.</w:t>
      </w:r>
      <w:r w:rsidRPr="00733E1A">
        <w:rPr>
          <w:sz w:val="24"/>
          <w:szCs w:val="24"/>
          <w:lang w:val="en-US"/>
        </w:rPr>
        <w:br/>
        <w:t xml:space="preserve">[5] H. R. Varian, “Big Data: New Tricks for Econometrics,” </w:t>
      </w:r>
      <w:r w:rsidRPr="00733E1A">
        <w:rPr>
          <w:i/>
          <w:iCs/>
          <w:sz w:val="24"/>
          <w:szCs w:val="24"/>
          <w:lang w:val="en-US"/>
        </w:rPr>
        <w:t xml:space="preserve">J. Econ. </w:t>
      </w:r>
      <w:proofErr w:type="spellStart"/>
      <w:r w:rsidRPr="00733E1A">
        <w:rPr>
          <w:i/>
          <w:iCs/>
          <w:sz w:val="24"/>
          <w:szCs w:val="24"/>
          <w:lang w:val="en-US"/>
        </w:rPr>
        <w:t>Perspect</w:t>
      </w:r>
      <w:proofErr w:type="spellEnd"/>
      <w:r w:rsidRPr="00733E1A">
        <w:rPr>
          <w:i/>
          <w:iCs/>
          <w:sz w:val="24"/>
          <w:szCs w:val="24"/>
          <w:lang w:val="en-US"/>
        </w:rPr>
        <w:t>.</w:t>
      </w:r>
      <w:r w:rsidRPr="00733E1A">
        <w:rPr>
          <w:sz w:val="24"/>
          <w:szCs w:val="24"/>
          <w:lang w:val="en-US"/>
        </w:rPr>
        <w:t>, vol. 28, no. 2, pp. 3–28, 2014.</w:t>
      </w:r>
    </w:p>
    <w:p w14:paraId="476E646E" w14:textId="77777777" w:rsidR="007474F1" w:rsidRDefault="007474F1"/>
    <w:sectPr w:rsidR="007474F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33E1A"/>
    <w:rsid w:val="00500F5A"/>
    <w:rsid w:val="00681063"/>
    <w:rsid w:val="00733E1A"/>
    <w:rsid w:val="00741578"/>
    <w:rsid w:val="007474F1"/>
    <w:rsid w:val="009351DA"/>
    <w:rsid w:val="0098087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481C"/>
  <w15:chartTrackingRefBased/>
  <w15:docId w15:val="{232F767B-37EE-4C08-B29D-32AA8E9E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gu-IN"/>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Shruti"/>
    </w:rPr>
  </w:style>
  <w:style w:type="paragraph" w:styleId="Heading1">
    <w:name w:val="heading 1"/>
    <w:basedOn w:val="Normal"/>
    <w:next w:val="Normal"/>
    <w:link w:val="Heading1Char"/>
    <w:uiPriority w:val="9"/>
    <w:qFormat/>
    <w:rsid w:val="00733E1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33E1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33E1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33E1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33E1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33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3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3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3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E1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33E1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33E1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33E1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33E1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33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E1A"/>
    <w:rPr>
      <w:rFonts w:eastAsiaTheme="majorEastAsia" w:cstheme="majorBidi"/>
      <w:color w:val="272727" w:themeColor="text1" w:themeTint="D8"/>
    </w:rPr>
  </w:style>
  <w:style w:type="paragraph" w:styleId="Title">
    <w:name w:val="Title"/>
    <w:basedOn w:val="Normal"/>
    <w:next w:val="Normal"/>
    <w:link w:val="TitleChar"/>
    <w:uiPriority w:val="10"/>
    <w:qFormat/>
    <w:rsid w:val="00733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E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3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E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33E1A"/>
    <w:rPr>
      <w:rFonts w:cs="Shruti"/>
      <w:i/>
      <w:iCs/>
      <w:color w:val="404040" w:themeColor="text1" w:themeTint="BF"/>
    </w:rPr>
  </w:style>
  <w:style w:type="paragraph" w:styleId="ListParagraph">
    <w:name w:val="List Paragraph"/>
    <w:basedOn w:val="Normal"/>
    <w:uiPriority w:val="34"/>
    <w:qFormat/>
    <w:rsid w:val="00733E1A"/>
    <w:pPr>
      <w:ind w:left="720"/>
      <w:contextualSpacing/>
    </w:pPr>
  </w:style>
  <w:style w:type="character" w:styleId="IntenseEmphasis">
    <w:name w:val="Intense Emphasis"/>
    <w:basedOn w:val="DefaultParagraphFont"/>
    <w:uiPriority w:val="21"/>
    <w:qFormat/>
    <w:rsid w:val="00733E1A"/>
    <w:rPr>
      <w:i/>
      <w:iCs/>
      <w:color w:val="365F91" w:themeColor="accent1" w:themeShade="BF"/>
    </w:rPr>
  </w:style>
  <w:style w:type="paragraph" w:styleId="IntenseQuote">
    <w:name w:val="Intense Quote"/>
    <w:basedOn w:val="Normal"/>
    <w:next w:val="Normal"/>
    <w:link w:val="IntenseQuoteChar"/>
    <w:uiPriority w:val="30"/>
    <w:qFormat/>
    <w:rsid w:val="00733E1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33E1A"/>
    <w:rPr>
      <w:rFonts w:cs="Shruti"/>
      <w:i/>
      <w:iCs/>
      <w:color w:val="365F91" w:themeColor="accent1" w:themeShade="BF"/>
    </w:rPr>
  </w:style>
  <w:style w:type="character" w:styleId="IntenseReference">
    <w:name w:val="Intense Reference"/>
    <w:basedOn w:val="DefaultParagraphFont"/>
    <w:uiPriority w:val="32"/>
    <w:qFormat/>
    <w:rsid w:val="00733E1A"/>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455</Words>
  <Characters>2595</Characters>
  <Application>Microsoft Office Word</Application>
  <DocSecurity>0</DocSecurity>
  <Lines>21</Lines>
  <Paragraphs>6</Paragraphs>
  <ScaleCrop>false</ScaleCrop>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Shafikbhai Abdulrahimbhai Nagori (2437695)</dc:creator>
  <cp:keywords/>
  <dc:description/>
  <cp:lastModifiedBy>Shafikbhai Abdulrahimbhai Nagori (2437695)</cp:lastModifiedBy>
  <cp:revision>1</cp:revision>
  <dcterms:created xsi:type="dcterms:W3CDTF">2025-09-17T14:01:00Z</dcterms:created>
  <dcterms:modified xsi:type="dcterms:W3CDTF">2025-09-17T14:03:00Z</dcterms:modified>
</cp:coreProperties>
</file>