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1006474"/>
        <w:docPartObj>
          <w:docPartGallery w:val="Cover Pages"/>
          <w:docPartUnique/>
        </w:docPartObj>
      </w:sdtPr>
      <w:sdtEndPr>
        <w:rPr>
          <w:rFonts w:ascii="Calibri" w:eastAsia="Times New Roman" w:hAnsi="Calibri" w:cs="Calibri"/>
          <w:color w:val="000000"/>
          <w:sz w:val="22"/>
          <w:szCs w:val="22"/>
          <w:lang w:eastAsia="en-GB"/>
        </w:rPr>
      </w:sdtEndPr>
      <w:sdtContent>
        <w:p w14:paraId="0C76A49D" w14:textId="15A52204" w:rsidR="00AD385E" w:rsidRDefault="00AD385E">
          <w:r>
            <w:rPr>
              <w:noProof/>
            </w:rPr>
            <mc:AlternateContent>
              <mc:Choice Requires="wpg">
                <w:drawing>
                  <wp:anchor distT="0" distB="0" distL="114300" distR="114300" simplePos="0" relativeHeight="251660288" behindDoc="0" locked="0" layoutInCell="1" allowOverlap="1" wp14:anchorId="003C6C31" wp14:editId="160654DC">
                    <wp:simplePos x="0" y="0"/>
                    <wp:positionH relativeFrom="page">
                      <wp:align>left</wp:align>
                    </wp:positionH>
                    <wp:positionV relativeFrom="page">
                      <wp:align>top</wp:align>
                    </wp:positionV>
                    <wp:extent cx="6382512" cy="3865944"/>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865944"/>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AFBEBE6" w14:textId="00495969" w:rsidR="00AD385E" w:rsidRDefault="00AD385E">
                                      <w:pPr>
                                        <w:pStyle w:val="NoSpacing"/>
                                        <w:spacing w:after="240" w:line="216" w:lineRule="auto"/>
                                        <w:rPr>
                                          <w:rFonts w:asciiTheme="majorHAnsi" w:hAnsiTheme="majorHAnsi"/>
                                          <w:color w:val="44546A" w:themeColor="text2"/>
                                          <w:spacing w:val="10"/>
                                          <w:sz w:val="36"/>
                                          <w:szCs w:val="36"/>
                                        </w:rPr>
                                      </w:pPr>
                                      <w:r w:rsidRPr="00AD385E">
                                        <w:rPr>
                                          <w:rFonts w:asciiTheme="majorHAnsi" w:hAnsiTheme="majorHAnsi"/>
                                          <w:color w:val="44546A" w:themeColor="text2"/>
                                          <w:spacing w:val="10"/>
                                          <w:sz w:val="36"/>
                                          <w:szCs w:val="36"/>
                                        </w:rPr>
                                        <w:t>BMLW4005</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D95ACE0" w14:textId="42E43EC7" w:rsidR="00AD385E" w:rsidRDefault="00AD385E">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The offences against the person act (1861)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3C6C31" id="Group 39" o:spid="_x0000_s1026" alt="Title: Title and subtitle with crop mark graphic" style="position:absolute;margin-left:0;margin-top:0;width:502.55pt;height:304.4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AFBEBE6" w14:textId="00495969" w:rsidR="00AD385E" w:rsidRDefault="00AD385E">
                                <w:pPr>
                                  <w:pStyle w:val="NoSpacing"/>
                                  <w:spacing w:after="240" w:line="216" w:lineRule="auto"/>
                                  <w:rPr>
                                    <w:rFonts w:asciiTheme="majorHAnsi" w:hAnsiTheme="majorHAnsi"/>
                                    <w:color w:val="44546A" w:themeColor="text2"/>
                                    <w:spacing w:val="10"/>
                                    <w:sz w:val="36"/>
                                    <w:szCs w:val="36"/>
                                  </w:rPr>
                                </w:pPr>
                                <w:r w:rsidRPr="00AD385E">
                                  <w:rPr>
                                    <w:rFonts w:asciiTheme="majorHAnsi" w:hAnsiTheme="majorHAnsi"/>
                                    <w:color w:val="44546A" w:themeColor="text2"/>
                                    <w:spacing w:val="10"/>
                                    <w:sz w:val="36"/>
                                    <w:szCs w:val="36"/>
                                  </w:rPr>
                                  <w:t>BMLW4005</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D95ACE0" w14:textId="42E43EC7" w:rsidR="00AD385E" w:rsidRDefault="00AD385E">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The offences against the person act (1861)</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A2880BA" wp14:editId="0EDF293A">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D69220D"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940572D" w14:textId="7B16A25B" w:rsidR="00AD385E" w:rsidRDefault="00AD385E">
          <w:pPr>
            <w:rPr>
              <w:rFonts w:ascii="Calibri" w:eastAsia="Times New Roman" w:hAnsi="Calibri" w:cs="Calibri"/>
              <w:color w:val="000000"/>
              <w:sz w:val="22"/>
              <w:szCs w:val="22"/>
              <w:lang w:eastAsia="en-GB"/>
            </w:rPr>
          </w:pPr>
          <w:r>
            <w:rPr>
              <w:noProof/>
            </w:rPr>
            <mc:AlternateContent>
              <mc:Choice Requires="wpg">
                <w:drawing>
                  <wp:anchor distT="0" distB="0" distL="114300" distR="114300" simplePos="0" relativeHeight="251661312" behindDoc="0" locked="0" layoutInCell="1" allowOverlap="1" wp14:anchorId="3E95D87A" wp14:editId="39AF7163">
                    <wp:simplePos x="0" y="0"/>
                    <wp:positionH relativeFrom="page">
                      <wp:posOffset>2708275</wp:posOffset>
                    </wp:positionH>
                    <wp:positionV relativeFrom="page">
                      <wp:posOffset>6689725</wp:posOffset>
                    </wp:positionV>
                    <wp:extent cx="5066030" cy="3373755"/>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5066030" cy="3373755"/>
                              <a:chOff x="-393475" y="0"/>
                              <a:chExt cx="5065297"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393475" y="1023877"/>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7F1798E" w14:textId="34F0B2FB" w:rsidR="00AD385E" w:rsidRDefault="00AD385E">
                                      <w:pPr>
                                        <w:pStyle w:val="NoSpacing"/>
                                        <w:spacing w:after="240"/>
                                        <w:jc w:val="right"/>
                                        <w:rPr>
                                          <w:color w:val="44546A" w:themeColor="text2"/>
                                          <w:spacing w:val="10"/>
                                          <w:sz w:val="36"/>
                                          <w:szCs w:val="36"/>
                                        </w:rPr>
                                      </w:pPr>
                                      <w:r>
                                        <w:rPr>
                                          <w:color w:val="44546A" w:themeColor="text2"/>
                                          <w:spacing w:val="10"/>
                                          <w:sz w:val="36"/>
                                          <w:szCs w:val="36"/>
                                        </w:rPr>
                                        <w:t>Leah Thomas</w:t>
                                      </w:r>
                                    </w:p>
                                  </w:sdtContent>
                                </w:sdt>
                                <w:p w14:paraId="45D11FB7" w14:textId="1A9DA641" w:rsidR="00AD385E"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AD385E">
                                        <w:rPr>
                                          <w:color w:val="44546A" w:themeColor="text2"/>
                                          <w:spacing w:val="10"/>
                                          <w:sz w:val="28"/>
                                          <w:szCs w:val="28"/>
                                        </w:rPr>
                                        <w:t>2309644</w:t>
                                      </w:r>
                                    </w:sdtContent>
                                  </w:sdt>
                                </w:p>
                                <w:p w14:paraId="2CFFC370" w14:textId="244B22FB" w:rsidR="00AD385E" w:rsidRDefault="00AD385E">
                                  <w:pPr>
                                    <w:pStyle w:val="NoSpacing"/>
                                    <w:jc w:val="right"/>
                                    <w:rPr>
                                      <w:color w:val="44546A" w:themeColor="text2"/>
                                      <w:spacing w:val="10"/>
                                      <w:sz w:val="28"/>
                                      <w:szCs w:val="28"/>
                                    </w:rPr>
                                  </w:pPr>
                                  <w:r>
                                    <w:rPr>
                                      <w:color w:val="44546A" w:themeColor="text2"/>
                                      <w:spacing w:val="10"/>
                                      <w:sz w:val="28"/>
                                      <w:szCs w:val="28"/>
                                    </w:rPr>
                                    <w:t>Word count-1640</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95D87A" id="Group 38" o:spid="_x0000_s1031" alt="Title: Author and company name with crop mark graphic" style="position:absolute;margin-left:213.25pt;margin-top:526.75pt;width:398.9pt;height:265.65pt;z-index:251661312;mso-position-horizontal-relative:page;mso-position-vertical-relative:page;mso-width-relative:margin;mso-height-relative:margin" coordorigin="-3934" coordsize="50652,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3934;top:10238;width:39041;height:1505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7F1798E" w14:textId="34F0B2FB" w:rsidR="00AD385E" w:rsidRDefault="00AD385E">
                                <w:pPr>
                                  <w:pStyle w:val="NoSpacing"/>
                                  <w:spacing w:after="240"/>
                                  <w:jc w:val="right"/>
                                  <w:rPr>
                                    <w:color w:val="44546A" w:themeColor="text2"/>
                                    <w:spacing w:val="10"/>
                                    <w:sz w:val="36"/>
                                    <w:szCs w:val="36"/>
                                  </w:rPr>
                                </w:pPr>
                                <w:r>
                                  <w:rPr>
                                    <w:color w:val="44546A" w:themeColor="text2"/>
                                    <w:spacing w:val="10"/>
                                    <w:sz w:val="36"/>
                                    <w:szCs w:val="36"/>
                                  </w:rPr>
                                  <w:t>Leah Thomas</w:t>
                                </w:r>
                              </w:p>
                            </w:sdtContent>
                          </w:sdt>
                          <w:p w14:paraId="45D11FB7" w14:textId="1A9DA641" w:rsidR="00AD385E" w:rsidRDefault="00AD385E">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2309644</w:t>
                                </w:r>
                              </w:sdtContent>
                            </w:sdt>
                          </w:p>
                          <w:p w14:paraId="2CFFC370" w14:textId="244B22FB" w:rsidR="00AD385E" w:rsidRDefault="00AD385E">
                            <w:pPr>
                              <w:pStyle w:val="NoSpacing"/>
                              <w:jc w:val="right"/>
                              <w:rPr>
                                <w:color w:val="44546A" w:themeColor="text2"/>
                                <w:spacing w:val="10"/>
                                <w:sz w:val="28"/>
                                <w:szCs w:val="28"/>
                              </w:rPr>
                            </w:pPr>
                            <w:r>
                              <w:rPr>
                                <w:color w:val="44546A" w:themeColor="text2"/>
                                <w:spacing w:val="10"/>
                                <w:sz w:val="28"/>
                                <w:szCs w:val="28"/>
                              </w:rPr>
                              <w:t>Word count-1640</w:t>
                            </w:r>
                          </w:p>
                        </w:txbxContent>
                      </v:textbox>
                    </v:shape>
                    <w10:wrap anchorx="page" anchory="page"/>
                  </v:group>
                </w:pict>
              </mc:Fallback>
            </mc:AlternateContent>
          </w:r>
          <w:r>
            <w:rPr>
              <w:rFonts w:ascii="Calibri" w:eastAsia="Times New Roman" w:hAnsi="Calibri" w:cs="Calibri"/>
              <w:color w:val="000000"/>
              <w:sz w:val="22"/>
              <w:szCs w:val="22"/>
              <w:lang w:eastAsia="en-GB"/>
            </w:rPr>
            <w:br w:type="page"/>
          </w:r>
        </w:p>
      </w:sdtContent>
    </w:sdt>
    <w:p w14:paraId="35D90444" w14:textId="72E43E8B"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lastRenderedPageBreak/>
        <w:t xml:space="preserve">The Offences Against the Person Act (1861) aims to consolidate and revise the statutory laws of England and Wales pertaining to crimes against individuals (Legislation, 1861).  The Act (1861) can be considered a fundamental piece of legislation within the British legal system, that provides guidance on addressing non-fatal offences against individuals. However, as society changes, new challenges emerge questioning the Acts (1861) suitability in the </w:t>
      </w:r>
      <w:r w:rsidRPr="00187C7C">
        <w:rPr>
          <w:rFonts w:eastAsia="Times New Roman" w:cstheme="minorHAnsi"/>
          <w:color w:val="000000"/>
          <w:lang w:eastAsia="en-GB"/>
        </w:rPr>
        <w:t>modern-day</w:t>
      </w:r>
      <w:r w:rsidRPr="00BB598B">
        <w:rPr>
          <w:rFonts w:eastAsia="Times New Roman" w:cstheme="minorHAnsi"/>
          <w:color w:val="000000"/>
          <w:lang w:eastAsia="en-GB"/>
        </w:rPr>
        <w:t xml:space="preserve"> context. </w:t>
      </w:r>
    </w:p>
    <w:p w14:paraId="618573FA"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 </w:t>
      </w:r>
    </w:p>
    <w:p w14:paraId="57BF1E67"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Central to this essay is the observations made in the law commissioners report (2015). This report examines the relevance and efficiency of the Act (1861) and also provides insights on the Acts shortcomings and need for reform to better align with modern society and justice. This essay will assess whether the Act (1861) is still fit for purpose when considering the use of language, hierarchy of offences and modern forms of harm such as harassment. </w:t>
      </w:r>
    </w:p>
    <w:p w14:paraId="59FE346D" w14:textId="77777777" w:rsidR="00BB598B" w:rsidRPr="00BB598B" w:rsidRDefault="00BB598B" w:rsidP="00187C7C">
      <w:pPr>
        <w:spacing w:line="360" w:lineRule="auto"/>
        <w:ind w:left="60"/>
        <w:rPr>
          <w:rFonts w:eastAsia="Times New Roman" w:cstheme="minorHAnsi"/>
          <w:color w:val="000000"/>
          <w:lang w:eastAsia="en-GB"/>
        </w:rPr>
      </w:pPr>
      <w:r w:rsidRPr="00BB598B">
        <w:rPr>
          <w:rFonts w:eastAsia="Times New Roman" w:cstheme="minorHAnsi"/>
          <w:color w:val="000000"/>
          <w:lang w:eastAsia="en-GB"/>
        </w:rPr>
        <w:t> </w:t>
      </w:r>
    </w:p>
    <w:p w14:paraId="082E1FBB" w14:textId="39BA2363"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 xml:space="preserve">According to Eugenicos (2017) the Act (1861) can be considered insufficient as it uses old and outdated language and terminology, posing a significant drawback in its applicability to modern society. Eugenicos (2017) Suggests that the old-fashioned language and phrases used in the Act (1861) is not suitable for the language used today, making it hard to understand and apply the law to modern situations, and therefore having the potential of making it less effective in dealing with new kinds of harm and wrongdoings. </w:t>
      </w:r>
      <w:r w:rsidRPr="00BB598B">
        <w:rPr>
          <w:rFonts w:eastAsia="Times New Roman" w:cstheme="minorHAnsi"/>
          <w:color w:val="000000"/>
          <w:shd w:val="clear" w:color="auto" w:fill="FFFFFF"/>
          <w:lang w:eastAsia="en-GB"/>
        </w:rPr>
        <w:t>The Law Commission's report (2015) also asserts that the language employed in the Act (1861) is ‘obscure and archaic’, indicating its diminishing applicability in contemporary society. Furthermore,</w:t>
      </w:r>
      <w:r w:rsidRPr="00187C7C">
        <w:rPr>
          <w:rFonts w:eastAsia="Times New Roman" w:cstheme="minorHAnsi"/>
          <w:noProof/>
          <w:color w:val="000000"/>
          <w:shd w:val="clear" w:color="auto" w:fill="FFFFFF"/>
          <w:lang w:eastAsia="en-GB"/>
        </w:rPr>
        <w:t xml:space="preserve"> Horder, (1994) emphasises</w:t>
      </w:r>
      <w:r w:rsidRPr="00BB598B">
        <w:rPr>
          <w:rFonts w:eastAsia="Times New Roman" w:cstheme="minorHAnsi"/>
          <w:color w:val="000000"/>
          <w:shd w:val="clear" w:color="auto" w:fill="FFFFFF"/>
          <w:lang w:eastAsia="en-GB"/>
        </w:rPr>
        <w:t xml:space="preserve"> the utilisation of outdated language may pose challenges for modern legal professionals such as judges, lawyers, and police officers in comprehending and applying it effectively. This could potentially lead to unjust or inconsistent outcomes in court.</w:t>
      </w:r>
    </w:p>
    <w:p w14:paraId="6C83EC26" w14:textId="77777777" w:rsidR="00BB598B" w:rsidRPr="00BB598B" w:rsidRDefault="00BB598B" w:rsidP="00187C7C">
      <w:pPr>
        <w:spacing w:line="360" w:lineRule="auto"/>
        <w:rPr>
          <w:rFonts w:eastAsia="Times New Roman" w:cstheme="minorHAnsi"/>
          <w:color w:val="000000"/>
          <w:lang w:eastAsia="en-GB"/>
        </w:rPr>
      </w:pPr>
    </w:p>
    <w:p w14:paraId="1C0755E2"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shd w:val="clear" w:color="auto" w:fill="FFFFFF"/>
          <w:lang w:eastAsia="en-GB"/>
        </w:rPr>
        <w:t xml:space="preserve">The case R v Ireland and Burstow (1997) supports Eugenicos's claim (2017) and highlights the limitations imposed by the outdated language of the Act (1861). In this case, the Court of Appeal questioned whether severe psychological harm could be considered ‘bodily harm’ under the Act (1861). In Contrast, R v Chan-Fook (1994) established that assault could encompass </w:t>
      </w:r>
      <w:r w:rsidRPr="00BB598B">
        <w:rPr>
          <w:rFonts w:eastAsia="Times New Roman" w:cstheme="minorHAnsi"/>
          <w:color w:val="000000"/>
          <w:shd w:val="clear" w:color="auto" w:fill="FFFFFF"/>
          <w:lang w:eastAsia="en-GB"/>
        </w:rPr>
        <w:lastRenderedPageBreak/>
        <w:t>psychological harm, such as inducing fear of immediate harm in someone. This interpretation broadens the definition of assault beyond physical violence, recognising that psychological harm can also constitute an assault. However, this nuance was not explicitly articulated in the language of the Act (1861).</w:t>
      </w:r>
    </w:p>
    <w:p w14:paraId="60767E1D"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 </w:t>
      </w:r>
    </w:p>
    <w:p w14:paraId="2B14B871" w14:textId="5ADF1166" w:rsidR="00BB598B" w:rsidRPr="00BB598B" w:rsidRDefault="00BB598B" w:rsidP="00187C7C">
      <w:pPr>
        <w:spacing w:after="300" w:line="360" w:lineRule="auto"/>
        <w:rPr>
          <w:rFonts w:eastAsia="Times New Roman" w:cstheme="minorHAnsi"/>
          <w:noProof/>
          <w:color w:val="000000"/>
          <w:lang w:eastAsia="en-GB"/>
        </w:rPr>
      </w:pPr>
      <w:r w:rsidRPr="00BB598B">
        <w:rPr>
          <w:rFonts w:eastAsia="Times New Roman" w:cstheme="minorHAnsi"/>
          <w:color w:val="0D0D0D"/>
          <w:shd w:val="clear" w:color="auto" w:fill="FFFFFF"/>
          <w:lang w:eastAsia="en-GB"/>
        </w:rPr>
        <w:t>The necessity for reform within the Offences Against the Person Act (1861) becomes evident when assessing its shortcomings in meeting societal needs and legal standards.</w:t>
      </w:r>
      <w:r w:rsidRPr="00BB598B">
        <w:rPr>
          <w:rFonts w:eastAsia="Times New Roman" w:cstheme="minorHAnsi"/>
          <w:color w:val="000000"/>
          <w:lang w:eastAsia="en-GB"/>
        </w:rPr>
        <w:t xml:space="preserve"> A prominent issue requiring attention relates to the Act's (1861) failure to adequately differentiate between varying levels of harm, resulting in disparities in convictions and sentencing practices. Demetriou (2016) underscores this distinct gap, particularly in the distinction between actual bodily harm (ABH) and grievous bodily harm without intent (GBH). Demetriou (2016) describes ABH as encompassing harm deemed serious but non-life-threatening, such as short periods of unconsciousness or broken teeth, contrasting it with GBH, which involves more severe injuries with long-term psychological effects or organ damage. Despite this discrepancy in the severity of offences, both ABH under section 47 and GBH under section 20 of the Act state a maximum imprisonment term of five years (Wilson, 1998</w:t>
      </w:r>
      <w:r w:rsidRPr="00187C7C">
        <w:rPr>
          <w:rFonts w:eastAsia="Times New Roman" w:cstheme="minorHAnsi"/>
          <w:color w:val="000000"/>
          <w:lang w:eastAsia="en-GB"/>
        </w:rPr>
        <w:t xml:space="preserve">). </w:t>
      </w:r>
      <w:r w:rsidRPr="00187C7C">
        <w:rPr>
          <w:rFonts w:eastAsia="Times New Roman" w:cstheme="minorHAnsi"/>
          <w:noProof/>
          <w:color w:val="000000"/>
          <w:lang w:eastAsia="en-GB"/>
        </w:rPr>
        <w:t xml:space="preserve">Padfield,( 2009) states that </w:t>
      </w:r>
      <w:r w:rsidRPr="00187C7C">
        <w:rPr>
          <w:rFonts w:eastAsia="Times New Roman" w:cstheme="minorHAnsi"/>
          <w:color w:val="000000"/>
          <w:lang w:eastAsia="en-GB"/>
        </w:rPr>
        <w:t>this</w:t>
      </w:r>
      <w:r w:rsidRPr="00BB598B">
        <w:rPr>
          <w:rFonts w:eastAsia="Times New Roman" w:cstheme="minorHAnsi"/>
          <w:color w:val="000000"/>
          <w:lang w:eastAsia="en-GB"/>
        </w:rPr>
        <w:t xml:space="preserve"> sentencing fails to reflect the varying severity of the offences, prompting calls for reform. The Law Commission report (2015) advocates for an amendment to increase the maximum imprisonment term for GBH Section 20 to seven years, aligning the sentencing with the degree of harm inflicted</w:t>
      </w:r>
      <w:r w:rsidRPr="00187C7C">
        <w:rPr>
          <w:rFonts w:eastAsia="Times New Roman" w:cstheme="minorHAnsi"/>
          <w:color w:val="000000"/>
          <w:lang w:eastAsia="en-GB"/>
        </w:rPr>
        <w:t xml:space="preserve"> whereas </w:t>
      </w:r>
      <w:r w:rsidRPr="00187C7C">
        <w:rPr>
          <w:rFonts w:eastAsia="Times New Roman" w:cstheme="minorHAnsi"/>
          <w:noProof/>
          <w:color w:val="000000"/>
          <w:lang w:eastAsia="en-GB"/>
        </w:rPr>
        <w:t>The Criminal Bar Association of England &amp; Wales (2015) suggest removing both GBH without intent and ABH and replace with a single offence.</w:t>
      </w:r>
    </w:p>
    <w:p w14:paraId="75A199FF" w14:textId="77777777" w:rsidR="00C17F4A" w:rsidRDefault="00C17F4A" w:rsidP="00187C7C">
      <w:pPr>
        <w:spacing w:before="300" w:after="300" w:line="360" w:lineRule="auto"/>
        <w:rPr>
          <w:rFonts w:eastAsia="Times New Roman" w:cstheme="minorHAnsi"/>
          <w:color w:val="000000"/>
          <w:lang w:eastAsia="en-GB"/>
        </w:rPr>
      </w:pPr>
      <w:r w:rsidRPr="00C17F4A">
        <w:rPr>
          <w:rFonts w:eastAsia="Times New Roman" w:cstheme="minorHAnsi"/>
          <w:color w:val="000000"/>
          <w:lang w:eastAsia="en-GB"/>
        </w:rPr>
        <w:t xml:space="preserve">Another case that highlights the blurred distinction between Grievous Bodily Harm (GBH) and Actual Bodily Harm (ABH) is R v Roberts (1971). In this case, the defendant, Roberts, offered a lift to a young woman who he was acquainted with. During the journey, Roberts made sexual advances towards the woman, causing her to panic and jump out of the car while it was moving. As a result, she sustained injuries. The court had to determine whether Roberts' actions constituted GBH or ABH. Ultimately, it was ruled that the injuries suffered by the woman were not severe enough to constitute GBH, and Roberts was charged with ABH instead. </w:t>
      </w:r>
      <w:r w:rsidRPr="00C17F4A">
        <w:rPr>
          <w:rFonts w:eastAsia="Times New Roman" w:cstheme="minorHAnsi"/>
          <w:color w:val="000000"/>
          <w:lang w:eastAsia="en-GB"/>
        </w:rPr>
        <w:lastRenderedPageBreak/>
        <w:t>This case underscores the challenges in distinguishing between the two offenses and the importance of clarity in legal definitions to ensure appropriate legal outcomes.</w:t>
      </w:r>
    </w:p>
    <w:p w14:paraId="1DE557B8" w14:textId="3F6DE2C6" w:rsidR="00BB598B" w:rsidRPr="00BB598B" w:rsidRDefault="00BB598B" w:rsidP="00187C7C">
      <w:pPr>
        <w:spacing w:before="300" w:after="300" w:line="360" w:lineRule="auto"/>
        <w:rPr>
          <w:rFonts w:eastAsia="Times New Roman" w:cstheme="minorHAnsi"/>
          <w:color w:val="000000"/>
          <w:lang w:eastAsia="en-GB"/>
        </w:rPr>
      </w:pPr>
      <w:r w:rsidRPr="00BB598B">
        <w:rPr>
          <w:rFonts w:eastAsia="Times New Roman" w:cstheme="minorHAnsi"/>
          <w:color w:val="000000"/>
          <w:lang w:eastAsia="en-GB"/>
        </w:rPr>
        <w:t>Furthermore, it could be considered that the Offences Against the Person Act (1861) lacks a structured hierarchy among the offences it encompasses, contributing to inconsistencies and uncertainties in legal proceedings. Gardner (1994) emphasises this deficiency, highlighting the absence of a systematic framework to differentiate offences based on their severity and nature. The case of R v Bollom (2004) accentuates the challenges arising from this lack of clarity. In this case, the severity of harm inflicted on a 17-month-old child was crucial in determining the appropriate charge and sentence for the defendant. However, the absence of clear guidelines within the Act (1861) necessitated a thorough examination of the harm inflicted and its classification under the law.</w:t>
      </w:r>
    </w:p>
    <w:p w14:paraId="0262F45B"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shd w:val="clear" w:color="auto" w:fill="FFFFFF"/>
          <w:lang w:eastAsia="en-GB"/>
        </w:rPr>
        <w:t>In modern society, the Offences Against the Person Act (1861) has also come under scrutiny for its inadequacy in addressing contemporary forms of harm, particularly in the domain of online harassment and cyberbullying. The Law Commission (2021) has highlighted this deficiency, pointing out that the Act (1861) fails to encompass provisions that specifically address these emerging issues exacerbated by the expansion of advanced technology and social media platforms. As a result, victims of online harassment and cyberbullying often find themselves without adequate legal protection, facing prolonged and distressing experiences without recourse. The absence of accurate provisions within the Offences Against the Person Act (1861) addressing cyberbullying and online harassment creates a critical gap in the legal framework. This gap leaves victims vulnerable to persistent and harmful behaviours perpetrated through digital means, hindering law enforcement efforts to effectively combat such conduct. The lack of targeted legislation fails to recognise the unique nature of online harassment, which can have profound and lasting effects on victims' mental health and well-being.</w:t>
      </w:r>
    </w:p>
    <w:p w14:paraId="2944F79D"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shd w:val="clear" w:color="auto" w:fill="FFFFFF"/>
          <w:lang w:eastAsia="en-GB"/>
        </w:rPr>
        <w:t> </w:t>
      </w:r>
    </w:p>
    <w:p w14:paraId="55DC107D"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shd w:val="clear" w:color="auto" w:fill="FFFFFF"/>
          <w:lang w:eastAsia="en-GB"/>
        </w:rPr>
        <w:t xml:space="preserve">An example highlighting the shortcomings of the current legal framework is the case of R v Constanza (1997). In this case, a man engaged in a prolonged crusade of harassment against his female ex-colleague, sending over 800 letters and making silent phone calls over a period of </w:t>
      </w:r>
      <w:r w:rsidRPr="00BB598B">
        <w:rPr>
          <w:rFonts w:eastAsia="Times New Roman" w:cstheme="minorHAnsi"/>
          <w:color w:val="000000"/>
          <w:shd w:val="clear" w:color="auto" w:fill="FFFFFF"/>
          <w:lang w:eastAsia="en-GB"/>
        </w:rPr>
        <w:lastRenderedPageBreak/>
        <w:t>nearly two years. Despite the evident harm inflicted upon the victim, convicting the offender proved challenging due to the absence of specific offences addressing such behaviour within existing legislation. The case of R v Constanza (1997) underscores the pressing need to recognise repeated harassment, as distinct offences warranting legal intervention.  It serves as a reminder of the necessity to adapt legal frameworks to effectively address emerging forms of harm in modern society. By incorporating provisions that explicitly address cyberbullying and online harassment, lawmakers can better equip law enforcement agencies with the tools needed to protect individuals from digital forms of abuse and hold perpetrators accountable for their actions. This adaptation of the legal framework could be considered essential in ensuring that justice is served, and victims are afforded the necessary support and protection in an increasingly digital world.</w:t>
      </w:r>
    </w:p>
    <w:p w14:paraId="76715CB4"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shd w:val="clear" w:color="auto" w:fill="FFFFFF"/>
          <w:lang w:eastAsia="en-GB"/>
        </w:rPr>
        <w:t> </w:t>
      </w:r>
    </w:p>
    <w:p w14:paraId="75FE68A9"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Section 17 of the Offences Against the Person Act (1861) is in crucial need of a reform, section 17 commonly known as the ‘shipwreck’ provision, addresses the offence of ‘Impeding a person endeavouring to save himself from shipwreck’ (Legislation, 1861). Love (2014) contends that while this legislation may have held relevance in the 19th century, its direct applicability in modern society has diminished for several reasons.</w:t>
      </w:r>
    </w:p>
    <w:p w14:paraId="3C022497"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 </w:t>
      </w:r>
    </w:p>
    <w:p w14:paraId="39427ECF"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Firstly, significant advancements in maritime safety practices, technology, and safety regulations have occurred over the past century (International Maritime Organization, 2017). These advancements have led to a drastic decrease in the occurrence of shipwrecks resulting from deliberate actions, thereby reducing the relevance of the offence outlined in section 17 in modern society. Secondly, the International Maritime Organization (2017) notes that legal frameworks within maritime safety have undergone significant updates, including the establishment of treaties, domestic legislation, and international conventions. These frameworks provide comprehensive mechanisms for preventing, investigating, and prosecuting offences related to endangering the safety of individuals at sea, thereby rendering the specific provisions of section 17 less necessary. </w:t>
      </w:r>
    </w:p>
    <w:p w14:paraId="4707AFC1" w14:textId="77777777" w:rsidR="00BB598B" w:rsidRPr="00BB598B" w:rsidRDefault="00BB598B" w:rsidP="00187C7C">
      <w:pPr>
        <w:spacing w:line="360" w:lineRule="auto"/>
        <w:rPr>
          <w:rFonts w:eastAsia="Times New Roman" w:cstheme="minorHAnsi"/>
          <w:color w:val="000000"/>
          <w:lang w:eastAsia="en-GB"/>
        </w:rPr>
      </w:pPr>
    </w:p>
    <w:p w14:paraId="0CEE4FD1"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lastRenderedPageBreak/>
        <w:t>Lastly, advancements in technology, such as SEARCH AND RESCUE SATELLITE-AIDED TRACKING (date unknown) have significantly enhanced maritime safety. Technologies such as GPS, satellite monitoring, and distress signal devices enhance situational awareness, emergency response capabilities, and coordination among maritime authorities. These innovations enable effective communication between maritime authorities, facilitating prompt responses to emergencies and reducing the likelihood of shipwrecks caused by malicious actions. </w:t>
      </w:r>
    </w:p>
    <w:p w14:paraId="2D78AA17" w14:textId="77777777" w:rsidR="00BB598B" w:rsidRPr="00BB598B" w:rsidRDefault="00BB598B" w:rsidP="00187C7C">
      <w:pPr>
        <w:spacing w:line="360" w:lineRule="auto"/>
        <w:rPr>
          <w:rFonts w:eastAsia="Times New Roman" w:cstheme="minorHAnsi"/>
          <w:color w:val="000000"/>
          <w:lang w:eastAsia="en-GB"/>
        </w:rPr>
      </w:pPr>
    </w:p>
    <w:p w14:paraId="092211CB"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In conclusion, while section 17 of the Act (1861) may have been relevant in the 19th century, its applicability and effectiveness in modern society are arguably obsolete, therefore, it may be considered irrelevant in contemporary law enforcement practices. Whilst The Offences Against the Persons Act (1861) serves as a fundamental piece of legislation in the English and Welsh systems there are growing concerns regarding its suitability as society evolves. Eugenicos (2017) supported by</w:t>
      </w:r>
      <w:r w:rsidRPr="00BB598B">
        <w:rPr>
          <w:rFonts w:eastAsia="Times New Roman" w:cstheme="minorHAnsi"/>
          <w:color w:val="000000"/>
          <w:shd w:val="clear" w:color="auto" w:fill="FFFFFF"/>
          <w:lang w:eastAsia="en-GB"/>
        </w:rPr>
        <w:t xml:space="preserve"> the case of R v Constanza (1997)</w:t>
      </w:r>
      <w:r w:rsidRPr="00BB598B">
        <w:rPr>
          <w:rFonts w:eastAsia="Times New Roman" w:cstheme="minorHAnsi"/>
          <w:color w:val="000000"/>
          <w:lang w:eastAsia="en-GB"/>
        </w:rPr>
        <w:t xml:space="preserve"> demonstrates how the Act's (1861) reliance on archaic language and failure to address contemporary forms of harm, such as psychological harm and online harassment, highlights its need for reform for use within modern society. </w:t>
      </w:r>
    </w:p>
    <w:p w14:paraId="7B115FA0" w14:textId="77777777" w:rsidR="00BB598B" w:rsidRPr="00BB598B" w:rsidRDefault="00BB598B" w:rsidP="00187C7C">
      <w:pPr>
        <w:spacing w:line="360" w:lineRule="auto"/>
        <w:rPr>
          <w:rFonts w:eastAsia="Times New Roman" w:cstheme="minorHAnsi"/>
          <w:color w:val="000000"/>
          <w:lang w:eastAsia="en-GB"/>
        </w:rPr>
      </w:pPr>
    </w:p>
    <w:p w14:paraId="648E76E2" w14:textId="77777777" w:rsidR="00BB598B" w:rsidRPr="00BB598B" w:rsidRDefault="00BB598B" w:rsidP="00187C7C">
      <w:pPr>
        <w:spacing w:line="360" w:lineRule="auto"/>
        <w:rPr>
          <w:rFonts w:eastAsia="Times New Roman" w:cstheme="minorHAnsi"/>
          <w:color w:val="000000"/>
          <w:lang w:eastAsia="en-GB"/>
        </w:rPr>
      </w:pPr>
      <w:r w:rsidRPr="00BB598B">
        <w:rPr>
          <w:rFonts w:eastAsia="Times New Roman" w:cstheme="minorHAnsi"/>
          <w:color w:val="000000"/>
          <w:lang w:eastAsia="en-GB"/>
        </w:rPr>
        <w:t>Additionally, Demetriou (2016) supported by the case of R v Thomas (1985) suggests that the absence of a clear hierarchy among offences leads to inconsistencies in legal proceedings. While the Act (1861) has undoubtedly played a crucial role in maintaining law and order, its shortcomings are increasingly apparent in the face of evolving societal norms and technological advancements. Reform efforts, as suggested by the Law Commission report (2015), are necessary to ensure that the Act (1861) remains effective in upholding justice in the 21st century. By modernising its language, addressing disparities in sentencing, and incorporating provisions to tackle emerging forms of harm, The offences of the person act (1861) could be suitable for modern society, however, it could be considered that without reform the Offences Against the Person Act (1861) is no longer suited for the 21</w:t>
      </w:r>
      <w:r w:rsidRPr="00BB598B">
        <w:rPr>
          <w:rFonts w:eastAsia="Times New Roman" w:cstheme="minorHAnsi"/>
          <w:color w:val="000000"/>
          <w:vertAlign w:val="superscript"/>
          <w:lang w:eastAsia="en-GB"/>
        </w:rPr>
        <w:t>st</w:t>
      </w:r>
      <w:r w:rsidRPr="00BB598B">
        <w:rPr>
          <w:rFonts w:eastAsia="Times New Roman" w:cstheme="minorHAnsi"/>
          <w:color w:val="000000"/>
          <w:lang w:eastAsia="en-GB"/>
        </w:rPr>
        <w:t xml:space="preserve"> century.</w:t>
      </w:r>
    </w:p>
    <w:p w14:paraId="48739C62" w14:textId="77777777" w:rsidR="00BB598B" w:rsidRPr="00BB598B" w:rsidRDefault="00BB598B" w:rsidP="00BB598B">
      <w:pPr>
        <w:spacing w:after="240"/>
        <w:rPr>
          <w:rFonts w:ascii="Times New Roman" w:eastAsia="Times New Roman" w:hAnsi="Times New Roman" w:cs="Times New Roman"/>
          <w:color w:val="000000"/>
          <w:lang w:eastAsia="en-GB"/>
        </w:rPr>
      </w:pPr>
      <w:r w:rsidRPr="00BB598B">
        <w:rPr>
          <w:rFonts w:ascii="Times New Roman" w:eastAsia="Times New Roman" w:hAnsi="Times New Roman" w:cs="Times New Roman"/>
          <w:color w:val="000000"/>
          <w:sz w:val="22"/>
          <w:szCs w:val="22"/>
          <w:lang w:eastAsia="en-GB"/>
        </w:rPr>
        <w:t> </w:t>
      </w:r>
    </w:p>
    <w:p w14:paraId="1643451A" w14:textId="77777777" w:rsidR="00BB598B" w:rsidRPr="00BB598B" w:rsidRDefault="00BB598B" w:rsidP="00BB598B">
      <w:pPr>
        <w:rPr>
          <w:rFonts w:ascii="Times New Roman" w:eastAsia="Times New Roman" w:hAnsi="Times New Roman" w:cs="Times New Roman"/>
          <w:color w:val="000000"/>
          <w:lang w:eastAsia="en-GB"/>
        </w:rPr>
      </w:pPr>
      <w:r w:rsidRPr="00BB598B">
        <w:rPr>
          <w:rFonts w:ascii="Times New Roman" w:eastAsia="Times New Roman" w:hAnsi="Times New Roman" w:cs="Times New Roman"/>
          <w:color w:val="000000"/>
          <w:sz w:val="22"/>
          <w:szCs w:val="22"/>
          <w:lang w:eastAsia="en-GB"/>
        </w:rPr>
        <w:t> </w:t>
      </w:r>
    </w:p>
    <w:p w14:paraId="2DBEC6B2" w14:textId="77777777" w:rsidR="00BB598B" w:rsidRPr="00BB598B" w:rsidRDefault="00BB598B" w:rsidP="00BB598B">
      <w:pPr>
        <w:rPr>
          <w:rFonts w:ascii="Times New Roman" w:eastAsia="Times New Roman" w:hAnsi="Times New Roman" w:cs="Times New Roman"/>
          <w:color w:val="000000"/>
          <w:lang w:eastAsia="en-GB"/>
        </w:rPr>
      </w:pPr>
      <w:r w:rsidRPr="00BB598B">
        <w:rPr>
          <w:rFonts w:ascii="Calibri" w:eastAsia="Times New Roman" w:hAnsi="Calibri" w:cs="Calibri"/>
          <w:color w:val="000000"/>
          <w:sz w:val="22"/>
          <w:szCs w:val="22"/>
          <w:lang w:eastAsia="en-GB"/>
        </w:rPr>
        <w:t> </w:t>
      </w:r>
    </w:p>
    <w:p w14:paraId="3F74F090" w14:textId="1B9701B2" w:rsidR="00BB598B" w:rsidRPr="00BB598B" w:rsidRDefault="00BB598B" w:rsidP="00BB598B">
      <w:pPr>
        <w:rPr>
          <w:rFonts w:ascii="Times New Roman" w:eastAsia="Times New Roman" w:hAnsi="Times New Roman" w:cs="Times New Roman"/>
          <w:color w:val="000000"/>
          <w:lang w:eastAsia="en-GB"/>
        </w:rPr>
      </w:pPr>
    </w:p>
    <w:p w14:paraId="66B478D3" w14:textId="250FC040" w:rsidR="00AD385E" w:rsidRPr="00BB598B" w:rsidRDefault="00BB598B" w:rsidP="00BB598B">
      <w:pPr>
        <w:rPr>
          <w:rFonts w:ascii="Times New Roman" w:eastAsia="Times New Roman" w:hAnsi="Times New Roman" w:cs="Times New Roman"/>
          <w:color w:val="000000"/>
          <w:lang w:eastAsia="en-GB"/>
        </w:rPr>
      </w:pPr>
      <w:r w:rsidRPr="00BB598B">
        <w:rPr>
          <w:rFonts w:ascii="Calibri" w:eastAsia="Times New Roman" w:hAnsi="Calibri" w:cs="Calibri"/>
          <w:color w:val="000000"/>
          <w:sz w:val="22"/>
          <w:szCs w:val="22"/>
          <w:lang w:eastAsia="en-GB"/>
        </w:rPr>
        <w:lastRenderedPageBreak/>
        <w:t> </w:t>
      </w:r>
    </w:p>
    <w:sdt>
      <w:sdtPr>
        <w:rPr>
          <w:rFonts w:asciiTheme="minorHAnsi" w:eastAsiaTheme="minorHAnsi" w:hAnsiTheme="minorHAnsi" w:cstheme="minorBidi"/>
          <w:b w:val="0"/>
          <w:bCs w:val="0"/>
          <w:color w:val="auto"/>
          <w:sz w:val="24"/>
          <w:szCs w:val="24"/>
          <w:lang w:val="en-GB" w:bidi="ar-SA"/>
        </w:rPr>
        <w:id w:val="-112371073"/>
        <w:docPartObj>
          <w:docPartGallery w:val="Bibliographies"/>
          <w:docPartUnique/>
        </w:docPartObj>
      </w:sdtPr>
      <w:sdtContent>
        <w:p w14:paraId="348C325C" w14:textId="33661C10" w:rsidR="00AD385E" w:rsidRPr="00AD385E" w:rsidRDefault="00AD385E">
          <w:pPr>
            <w:pStyle w:val="Heading1"/>
            <w:rPr>
              <w:color w:val="000000" w:themeColor="text1"/>
            </w:rPr>
          </w:pPr>
          <w:r w:rsidRPr="00AD385E">
            <w:rPr>
              <w:color w:val="000000" w:themeColor="text1"/>
            </w:rPr>
            <w:t>Reference List</w:t>
          </w:r>
        </w:p>
        <w:p w14:paraId="3B5BFD87" w14:textId="2C8C9C77" w:rsidR="00AD385E" w:rsidRDefault="00AD385E" w:rsidP="00AD385E">
          <w:pPr>
            <w:pStyle w:val="Bibliography"/>
            <w:rPr>
              <w:noProof/>
              <w:lang w:val="en-US"/>
            </w:rPr>
          </w:pPr>
          <w:r>
            <w:rPr>
              <w:noProof/>
              <w:lang w:val="en-US"/>
            </w:rPr>
            <w:t xml:space="preserve">Demetriou, S., (2016). Not Giving Up the Fight: A Review of the Law Commission’s Scoping Report on Non-fatal Offences Against the Person. </w:t>
          </w:r>
          <w:r>
            <w:rPr>
              <w:i/>
              <w:iCs/>
              <w:noProof/>
              <w:lang w:val="en-US"/>
            </w:rPr>
            <w:t xml:space="preserve">The Journal of Criminal Law, </w:t>
          </w:r>
          <w:r>
            <w:rPr>
              <w:noProof/>
              <w:lang w:val="en-US"/>
            </w:rPr>
            <w:t>80(3), pp. 188-200.</w:t>
          </w:r>
        </w:p>
        <w:p w14:paraId="5319FA36" w14:textId="2BC54CA2" w:rsidR="00AD385E" w:rsidRDefault="00AD385E" w:rsidP="00AD385E">
          <w:pPr>
            <w:pStyle w:val="Bibliography"/>
            <w:rPr>
              <w:noProof/>
            </w:rPr>
          </w:pPr>
          <w:r>
            <w:rPr>
              <w:noProof/>
            </w:rPr>
            <w:t xml:space="preserve">Eugenicos, A.-M., (2017). Should We Reform the Offences Against the Person Act 1861?. </w:t>
          </w:r>
          <w:r>
            <w:rPr>
              <w:i/>
              <w:iCs/>
              <w:noProof/>
            </w:rPr>
            <w:t xml:space="preserve">The Journal of Criminal Law,, </w:t>
          </w:r>
          <w:r>
            <w:rPr>
              <w:noProof/>
            </w:rPr>
            <w:t>81(1).</w:t>
          </w:r>
        </w:p>
        <w:p w14:paraId="26A0BF1D" w14:textId="3396F8ED" w:rsidR="00AD385E" w:rsidRDefault="00AD385E" w:rsidP="00AD385E">
          <w:pPr>
            <w:pStyle w:val="Bibliography"/>
            <w:rPr>
              <w:noProof/>
              <w:lang w:val="en-US"/>
            </w:rPr>
          </w:pPr>
          <w:r>
            <w:rPr>
              <w:noProof/>
              <w:lang w:val="en-US"/>
            </w:rPr>
            <w:t xml:space="preserve">Gardner, J., (1994). </w:t>
          </w:r>
          <w:r>
            <w:rPr>
              <w:i/>
              <w:iCs/>
              <w:noProof/>
              <w:lang w:val="en-US"/>
            </w:rPr>
            <w:t xml:space="preserve">RATIONALITY AND THE RULE OF LAW IN OFFENCES AGAINST THE PERSON. </w:t>
          </w:r>
          <w:r>
            <w:rPr>
              <w:noProof/>
              <w:lang w:val="en-US"/>
            </w:rPr>
            <w:t>s.l.:s.n.</w:t>
          </w:r>
        </w:p>
        <w:p w14:paraId="7FD078AC" w14:textId="24B07236" w:rsidR="00AD385E" w:rsidRDefault="00AD385E" w:rsidP="00AD385E">
          <w:pPr>
            <w:pStyle w:val="Bibliography"/>
            <w:rPr>
              <w:noProof/>
              <w:lang w:val="en-US"/>
            </w:rPr>
          </w:pPr>
          <w:r>
            <w:rPr>
              <w:noProof/>
              <w:lang w:val="en-US"/>
            </w:rPr>
            <w:t xml:space="preserve">Horder, J., (1994). Rethinking Non-Fatal Offences against the Person. </w:t>
          </w:r>
          <w:r>
            <w:rPr>
              <w:i/>
              <w:iCs/>
              <w:noProof/>
              <w:lang w:val="en-US"/>
            </w:rPr>
            <w:t xml:space="preserve">Oxford Journal of Legal Studies, </w:t>
          </w:r>
          <w:r>
            <w:rPr>
              <w:noProof/>
              <w:lang w:val="en-US"/>
            </w:rPr>
            <w:t>14(3), pp. 335-351.</w:t>
          </w:r>
        </w:p>
        <w:p w14:paraId="7BB26713" w14:textId="2B594A07" w:rsidR="00AD385E" w:rsidRDefault="00AD385E" w:rsidP="00AD385E">
          <w:pPr>
            <w:pStyle w:val="Bibliography"/>
            <w:rPr>
              <w:noProof/>
              <w:lang w:val="en-US"/>
            </w:rPr>
          </w:pPr>
          <w:r>
            <w:rPr>
              <w:noProof/>
              <w:lang w:val="en-US"/>
            </w:rPr>
            <w:t xml:space="preserve">International Maritime Organization , (2017). </w:t>
          </w:r>
          <w:r>
            <w:rPr>
              <w:i/>
              <w:iCs/>
              <w:noProof/>
              <w:lang w:val="en-US"/>
            </w:rPr>
            <w:t xml:space="preserve">Maritime Security. </w:t>
          </w:r>
          <w:r>
            <w:rPr>
              <w:noProof/>
              <w:lang w:val="en-US"/>
            </w:rPr>
            <w:t xml:space="preserve">[Online] </w:t>
          </w:r>
          <w:r>
            <w:rPr>
              <w:noProof/>
              <w:lang w:val="en-US"/>
            </w:rPr>
            <w:br/>
            <w:t xml:space="preserve">Available at: </w:t>
          </w:r>
          <w:r>
            <w:rPr>
              <w:noProof/>
              <w:u w:val="single"/>
              <w:lang w:val="en-US"/>
            </w:rPr>
            <w:t>https://www.imo.org/en/OurWork/Security/Pages/GuideMaritimeSecurityDefault.aspx#:~:text=On%201%20July%202004%20a,Facility%20Security%20(ISPS)%20Code.</w:t>
          </w:r>
          <w:r>
            <w:rPr>
              <w:noProof/>
              <w:lang w:val="en-US"/>
            </w:rPr>
            <w:br/>
            <w:t>[Accessed 06 03 2024].</w:t>
          </w:r>
        </w:p>
        <w:p w14:paraId="06294934" w14:textId="25DBD962" w:rsidR="00AD385E" w:rsidRDefault="00AD385E" w:rsidP="00AD385E">
          <w:pPr>
            <w:pStyle w:val="Bibliography"/>
            <w:rPr>
              <w:noProof/>
              <w:lang w:val="en-US"/>
            </w:rPr>
          </w:pPr>
          <w:r>
            <w:rPr>
              <w:noProof/>
              <w:lang w:val="en-US"/>
            </w:rPr>
            <w:t xml:space="preserve">Law Commission, (2015). </w:t>
          </w:r>
          <w:r>
            <w:rPr>
              <w:i/>
              <w:iCs/>
              <w:noProof/>
              <w:lang w:val="en-US"/>
            </w:rPr>
            <w:t xml:space="preserve">Reform of Offences against the person, </w:t>
          </w:r>
          <w:r>
            <w:rPr>
              <w:noProof/>
              <w:lang w:val="en-US"/>
            </w:rPr>
            <w:t>UK: Williams Lea Group.</w:t>
          </w:r>
        </w:p>
        <w:p w14:paraId="78EA08C2" w14:textId="79FC2A15" w:rsidR="00AD385E" w:rsidRDefault="00AD385E" w:rsidP="00AD385E">
          <w:pPr>
            <w:pStyle w:val="Bibliography"/>
            <w:rPr>
              <w:noProof/>
              <w:lang w:val="en-US"/>
            </w:rPr>
          </w:pPr>
          <w:r>
            <w:rPr>
              <w:noProof/>
              <w:lang w:val="en-US"/>
            </w:rPr>
            <w:t xml:space="preserve">Law Commission, (2021). </w:t>
          </w:r>
          <w:r>
            <w:rPr>
              <w:i/>
              <w:iCs/>
              <w:noProof/>
              <w:lang w:val="en-US"/>
            </w:rPr>
            <w:t xml:space="preserve">Modernising Communications Offences A final report, </w:t>
          </w:r>
          <w:r>
            <w:rPr>
              <w:noProof/>
              <w:lang w:val="en-US"/>
            </w:rPr>
            <w:t>UK: APS Group.</w:t>
          </w:r>
        </w:p>
        <w:p w14:paraId="66FD5FF4" w14:textId="1C45369D" w:rsidR="00AD385E" w:rsidRDefault="00AD385E" w:rsidP="00AD385E">
          <w:pPr>
            <w:pStyle w:val="Bibliography"/>
            <w:rPr>
              <w:noProof/>
              <w:lang w:val="en-US"/>
            </w:rPr>
          </w:pPr>
          <w:r>
            <w:rPr>
              <w:noProof/>
              <w:lang w:val="en-US"/>
            </w:rPr>
            <w:t xml:space="preserve">Love, S., (2014). </w:t>
          </w:r>
          <w:r>
            <w:rPr>
              <w:i/>
              <w:iCs/>
              <w:noProof/>
              <w:lang w:val="en-US"/>
            </w:rPr>
            <w:t xml:space="preserve">Oxford Royale Academy. </w:t>
          </w:r>
          <w:r>
            <w:rPr>
              <w:noProof/>
              <w:lang w:val="en-US"/>
            </w:rPr>
            <w:t xml:space="preserve">[Online] </w:t>
          </w:r>
          <w:r>
            <w:rPr>
              <w:noProof/>
              <w:lang w:val="en-US"/>
            </w:rPr>
            <w:br/>
            <w:t xml:space="preserve">Available at: </w:t>
          </w:r>
          <w:r>
            <w:rPr>
              <w:noProof/>
              <w:u w:val="single"/>
              <w:lang w:val="en-US"/>
            </w:rPr>
            <w:t>https://www.oxford-royale.com/articles/offences-against-the-person-act-1861-needs-reform/</w:t>
          </w:r>
          <w:r>
            <w:rPr>
              <w:noProof/>
              <w:lang w:val="en-US"/>
            </w:rPr>
            <w:br/>
            <w:t>[Accessed 06 03 2024].</w:t>
          </w:r>
        </w:p>
        <w:p w14:paraId="21570AC7" w14:textId="6E42FDF0" w:rsidR="00AD385E" w:rsidRDefault="00AD385E" w:rsidP="00AD385E">
          <w:pPr>
            <w:pStyle w:val="Bibliography"/>
            <w:rPr>
              <w:noProof/>
              <w:lang w:val="en-US"/>
            </w:rPr>
          </w:pPr>
          <w:r>
            <w:rPr>
              <w:noProof/>
              <w:lang w:val="en-US"/>
            </w:rPr>
            <w:t xml:space="preserve">Nicola &amp; Padfield, N.,( 2009). </w:t>
          </w:r>
          <w:r>
            <w:rPr>
              <w:i/>
              <w:iCs/>
              <w:noProof/>
              <w:lang w:val="en-US"/>
            </w:rPr>
            <w:t xml:space="preserve">Criminal Law. </w:t>
          </w:r>
          <w:r>
            <w:rPr>
              <w:noProof/>
              <w:lang w:val="en-US"/>
            </w:rPr>
            <w:t>9 ed. New York: Oxford University Press.</w:t>
          </w:r>
        </w:p>
        <w:p w14:paraId="6FE26564" w14:textId="0A81130C" w:rsidR="00AD385E" w:rsidRDefault="00AD385E" w:rsidP="00AD385E">
          <w:pPr>
            <w:pStyle w:val="Bibliography"/>
            <w:rPr>
              <w:noProof/>
              <w:lang w:val="en-US"/>
            </w:rPr>
          </w:pPr>
          <w:r>
            <w:rPr>
              <w:noProof/>
              <w:lang w:val="en-US"/>
            </w:rPr>
            <w:t xml:space="preserve">SEARCH AND RESCUE SATELLITE-AIDED TRACKING, (unknown). </w:t>
          </w:r>
          <w:r>
            <w:rPr>
              <w:i/>
              <w:iCs/>
              <w:noProof/>
              <w:lang w:val="en-US"/>
            </w:rPr>
            <w:t xml:space="preserve">Search and Rescue Satellites | SARSAT. </w:t>
          </w:r>
          <w:r>
            <w:rPr>
              <w:noProof/>
              <w:lang w:val="en-US"/>
            </w:rPr>
            <w:t xml:space="preserve">[Online] </w:t>
          </w:r>
          <w:r>
            <w:rPr>
              <w:noProof/>
              <w:lang w:val="en-US"/>
            </w:rPr>
            <w:br/>
            <w:t xml:space="preserve">Available at: </w:t>
          </w:r>
          <w:r>
            <w:rPr>
              <w:noProof/>
              <w:u w:val="single"/>
              <w:lang w:val="en-US"/>
            </w:rPr>
            <w:t>https://www.sarsat.noaa.gov/search-and-rescue-satellites/</w:t>
          </w:r>
          <w:r>
            <w:rPr>
              <w:noProof/>
              <w:lang w:val="en-US"/>
            </w:rPr>
            <w:br/>
            <w:t>[Accessed 06 03 2024].</w:t>
          </w:r>
        </w:p>
        <w:p w14:paraId="5B588E36" w14:textId="4EAF85A5" w:rsidR="00AD385E" w:rsidRDefault="00AD385E" w:rsidP="00AD385E">
          <w:pPr>
            <w:pStyle w:val="Bibliography"/>
            <w:rPr>
              <w:noProof/>
              <w:lang w:val="en-US"/>
            </w:rPr>
          </w:pPr>
          <w:r>
            <w:rPr>
              <w:noProof/>
              <w:lang w:val="en-US"/>
            </w:rPr>
            <w:t xml:space="preserve">The Criminal Bar Association of England &amp; Wales , (2015). </w:t>
          </w:r>
          <w:r>
            <w:rPr>
              <w:i/>
              <w:iCs/>
              <w:noProof/>
              <w:lang w:val="en-US"/>
            </w:rPr>
            <w:t xml:space="preserve">Proposed reform of the Offences against the Person Act 1861 Consultation by the law commission. </w:t>
          </w:r>
          <w:r>
            <w:rPr>
              <w:noProof/>
              <w:lang w:val="en-US"/>
            </w:rPr>
            <w:t>s.l.:s.n.</w:t>
          </w:r>
        </w:p>
        <w:p w14:paraId="6F548235" w14:textId="24DCF03C" w:rsidR="00AD385E" w:rsidRDefault="00AD385E" w:rsidP="00AD385E">
          <w:pPr>
            <w:pStyle w:val="Bibliography"/>
            <w:rPr>
              <w:noProof/>
              <w:lang w:val="en-US"/>
            </w:rPr>
          </w:pPr>
          <w:r>
            <w:rPr>
              <w:noProof/>
              <w:lang w:val="en-US"/>
            </w:rPr>
            <w:t xml:space="preserve">Wilson, W., (1998). Criminal law. In: </w:t>
          </w:r>
          <w:r>
            <w:rPr>
              <w:i/>
              <w:iCs/>
              <w:noProof/>
              <w:lang w:val="en-US"/>
            </w:rPr>
            <w:t xml:space="preserve">Doctrine and theory. </w:t>
          </w:r>
          <w:r>
            <w:rPr>
              <w:noProof/>
              <w:lang w:val="en-US"/>
            </w:rPr>
            <w:t>London: Addison Wesley Longman Limited, p. 318.</w:t>
          </w:r>
        </w:p>
        <w:p w14:paraId="0174C8FE" w14:textId="51C5716B" w:rsidR="00AD385E" w:rsidRDefault="00000000" w:rsidP="00AD385E"/>
      </w:sdtContent>
    </w:sdt>
    <w:p w14:paraId="0D8931BC" w14:textId="76E5BDEF" w:rsidR="00BB598B" w:rsidRPr="00BB598B" w:rsidRDefault="00BB598B" w:rsidP="00BB598B">
      <w:pPr>
        <w:rPr>
          <w:rFonts w:ascii="Times New Roman" w:eastAsia="Times New Roman" w:hAnsi="Times New Roman" w:cs="Times New Roman"/>
          <w:color w:val="000000"/>
          <w:lang w:eastAsia="en-GB"/>
        </w:rPr>
      </w:pPr>
    </w:p>
    <w:p w14:paraId="6345A61A" w14:textId="77777777" w:rsidR="00BB598B" w:rsidRPr="00BB598B" w:rsidRDefault="00BB598B" w:rsidP="00BB598B">
      <w:pPr>
        <w:rPr>
          <w:rFonts w:ascii="Times New Roman" w:eastAsia="Times New Roman" w:hAnsi="Times New Roman" w:cs="Times New Roman"/>
          <w:color w:val="000000"/>
          <w:lang w:eastAsia="en-GB"/>
        </w:rPr>
      </w:pPr>
      <w:r w:rsidRPr="00BB598B">
        <w:rPr>
          <w:rFonts w:ascii="Calibri" w:eastAsia="Times New Roman" w:hAnsi="Calibri" w:cs="Calibri"/>
          <w:color w:val="000000"/>
          <w:sz w:val="22"/>
          <w:szCs w:val="22"/>
          <w:lang w:eastAsia="en-GB"/>
        </w:rPr>
        <w:t> </w:t>
      </w:r>
    </w:p>
    <w:p w14:paraId="3717FE8F" w14:textId="7C1D4132" w:rsidR="00BB598B" w:rsidRPr="00BB598B" w:rsidRDefault="00BB598B" w:rsidP="00AD385E">
      <w:pPr>
        <w:rPr>
          <w:rFonts w:ascii="Times New Roman" w:eastAsia="Times New Roman" w:hAnsi="Times New Roman" w:cs="Times New Roman"/>
          <w:color w:val="000000"/>
          <w:lang w:eastAsia="en-GB"/>
        </w:rPr>
      </w:pPr>
      <w:r w:rsidRPr="00BB598B">
        <w:rPr>
          <w:rFonts w:ascii="Calibri" w:eastAsia="Times New Roman" w:hAnsi="Calibri" w:cs="Calibri"/>
          <w:color w:val="000000"/>
          <w:sz w:val="22"/>
          <w:szCs w:val="22"/>
          <w:lang w:eastAsia="en-GB"/>
        </w:rPr>
        <w:t> </w:t>
      </w:r>
      <w:r w:rsidRPr="00BB598B">
        <w:rPr>
          <w:rFonts w:ascii="Calibri" w:eastAsia="Times New Roman" w:hAnsi="Calibri" w:cs="Calibri"/>
          <w:color w:val="000000"/>
          <w:lang w:eastAsia="en-GB"/>
        </w:rPr>
        <w:t> </w:t>
      </w:r>
      <w:r w:rsidR="00AD385E">
        <w:rPr>
          <w:noProof/>
          <w:lang w:val="en-US"/>
        </w:rPr>
        <w:t xml:space="preserve">Legislation, (1861). </w:t>
      </w:r>
      <w:r w:rsidR="00AD385E">
        <w:rPr>
          <w:i/>
          <w:iCs/>
          <w:noProof/>
          <w:lang w:val="en-US"/>
        </w:rPr>
        <w:t xml:space="preserve">legislation.gov.uk. </w:t>
      </w:r>
      <w:r w:rsidR="00AD385E">
        <w:rPr>
          <w:noProof/>
          <w:lang w:val="en-US"/>
        </w:rPr>
        <w:t xml:space="preserve">[Online] </w:t>
      </w:r>
      <w:r w:rsidR="00AD385E">
        <w:rPr>
          <w:noProof/>
          <w:lang w:val="en-US"/>
        </w:rPr>
        <w:br/>
        <w:t xml:space="preserve">Available at: </w:t>
      </w:r>
      <w:r w:rsidR="00AD385E">
        <w:rPr>
          <w:noProof/>
          <w:u w:val="single"/>
          <w:lang w:val="en-US"/>
        </w:rPr>
        <w:t>https://www.legislation.gov.uk/ukpga/Vict/24-25/100/introduction</w:t>
      </w:r>
      <w:r w:rsidR="00AD385E">
        <w:rPr>
          <w:noProof/>
          <w:lang w:val="en-US"/>
        </w:rPr>
        <w:br/>
        <w:t>[Accessed 04 03 2024].</w:t>
      </w:r>
    </w:p>
    <w:p w14:paraId="0303D725" w14:textId="3785FFAB" w:rsidR="00AD385E" w:rsidRDefault="00AD385E" w:rsidP="00AD385E">
      <w:pPr>
        <w:pStyle w:val="Bibliography"/>
        <w:rPr>
          <w:noProof/>
          <w:lang w:val="en-US"/>
        </w:rPr>
      </w:pPr>
      <w:r>
        <w:rPr>
          <w:i/>
          <w:iCs/>
          <w:noProof/>
          <w:lang w:val="en-US"/>
        </w:rPr>
        <w:t xml:space="preserve">R V Bollom </w:t>
      </w:r>
      <w:r>
        <w:rPr>
          <w:noProof/>
          <w:lang w:val="en-US"/>
        </w:rPr>
        <w:t>(2004)</w:t>
      </w:r>
      <w:r w:rsidR="00C17F4A">
        <w:rPr>
          <w:noProof/>
          <w:lang w:val="en-US"/>
        </w:rPr>
        <w:t xml:space="preserve"> Available at: </w:t>
      </w:r>
      <w:r w:rsidR="00C17F4A" w:rsidRPr="00C17F4A">
        <w:rPr>
          <w:noProof/>
          <w:lang w:val="en-US"/>
        </w:rPr>
        <w:t>https://plus-lexis-com.ezproxy.uwtsd.ac.uk/uk/cases-uk/r-v-bollom?crid=853c1853-a9a6-44ed-bc53-4c7b19a7be2c</w:t>
      </w:r>
    </w:p>
    <w:p w14:paraId="45614E74" w14:textId="357AA514" w:rsidR="00AD385E" w:rsidRDefault="00AD385E" w:rsidP="00AD385E">
      <w:pPr>
        <w:pStyle w:val="Bibliography"/>
        <w:rPr>
          <w:noProof/>
          <w:lang w:val="en-US"/>
        </w:rPr>
      </w:pPr>
      <w:r>
        <w:rPr>
          <w:i/>
          <w:iCs/>
          <w:noProof/>
          <w:lang w:val="en-US"/>
        </w:rPr>
        <w:t xml:space="preserve">R V Constanza </w:t>
      </w:r>
      <w:r>
        <w:rPr>
          <w:noProof/>
          <w:lang w:val="en-US"/>
        </w:rPr>
        <w:t>(1997)</w:t>
      </w:r>
      <w:r w:rsidR="00C17F4A">
        <w:rPr>
          <w:noProof/>
          <w:lang w:val="en-US"/>
        </w:rPr>
        <w:t xml:space="preserve"> Available at: </w:t>
      </w:r>
      <w:r w:rsidR="00C17F4A" w:rsidRPr="00C17F4A">
        <w:rPr>
          <w:noProof/>
          <w:lang w:val="en-US"/>
        </w:rPr>
        <w:t>https://plus-lexis-com.ezproxy.uwtsd.ac.uk/uk/cases-uk/r-v-constanza?crid=b1ddecc7-c1de-4417-93fb-a53ed27a4846</w:t>
      </w:r>
    </w:p>
    <w:p w14:paraId="410B91D5" w14:textId="47C2C022" w:rsidR="00AD385E" w:rsidRDefault="00AD385E" w:rsidP="00AD385E">
      <w:pPr>
        <w:pStyle w:val="Bibliography"/>
        <w:rPr>
          <w:noProof/>
          <w:lang w:val="en-US"/>
        </w:rPr>
      </w:pPr>
      <w:r>
        <w:rPr>
          <w:i/>
          <w:iCs/>
          <w:noProof/>
          <w:lang w:val="en-US"/>
        </w:rPr>
        <w:lastRenderedPageBreak/>
        <w:t xml:space="preserve">R V. Chan-Fook </w:t>
      </w:r>
      <w:r>
        <w:rPr>
          <w:noProof/>
          <w:lang w:val="en-US"/>
        </w:rPr>
        <w:t>(1994)</w:t>
      </w:r>
      <w:r w:rsidR="00C17F4A">
        <w:rPr>
          <w:noProof/>
          <w:lang w:val="en-US"/>
        </w:rPr>
        <w:t xml:space="preserve"> Available at: </w:t>
      </w:r>
      <w:r w:rsidR="00C17F4A" w:rsidRPr="00C17F4A">
        <w:rPr>
          <w:noProof/>
          <w:lang w:val="en-US"/>
        </w:rPr>
        <w:t>https://plus-lexis-com.ezproxy.uwtsd.ac.uk/uk/cases-uk/r-v-chan-fook?crid=a49d4614-e351-4207-af75-467132e95476</w:t>
      </w:r>
    </w:p>
    <w:p w14:paraId="73E6731D" w14:textId="3CC08BE7" w:rsidR="00AD385E" w:rsidRDefault="00AD385E" w:rsidP="00AD385E">
      <w:pPr>
        <w:pStyle w:val="Bibliography"/>
        <w:rPr>
          <w:noProof/>
          <w:lang w:val="en-US"/>
        </w:rPr>
      </w:pPr>
      <w:r>
        <w:rPr>
          <w:i/>
          <w:iCs/>
          <w:noProof/>
          <w:lang w:val="en-US"/>
        </w:rPr>
        <w:t xml:space="preserve">R V. Ireland And Burstow </w:t>
      </w:r>
      <w:r>
        <w:rPr>
          <w:noProof/>
          <w:lang w:val="en-US"/>
        </w:rPr>
        <w:t>(1997)</w:t>
      </w:r>
      <w:r w:rsidR="00C17F4A">
        <w:rPr>
          <w:noProof/>
          <w:lang w:val="en-US"/>
        </w:rPr>
        <w:t xml:space="preserve"> Available at:</w:t>
      </w:r>
      <w:r w:rsidR="00C17F4A" w:rsidRPr="00C17F4A">
        <w:t xml:space="preserve"> </w:t>
      </w:r>
      <w:r w:rsidR="00C17F4A" w:rsidRPr="00C17F4A">
        <w:rPr>
          <w:noProof/>
          <w:lang w:val="en-US"/>
        </w:rPr>
        <w:t>https://plus-lexis-com.ezproxy.uwtsd.ac.uk/uk/cases-uk/r-v-ireland-r-v-burstow?crid=ac557b36-a7d2-49a4-971b-6de456eb8a80</w:t>
      </w:r>
    </w:p>
    <w:p w14:paraId="6ADB1E76" w14:textId="43428914" w:rsidR="00AD385E" w:rsidRDefault="00AD385E" w:rsidP="00AD385E">
      <w:pPr>
        <w:pStyle w:val="Bibliography"/>
        <w:rPr>
          <w:noProof/>
          <w:lang w:val="en-US"/>
        </w:rPr>
      </w:pPr>
      <w:r>
        <w:rPr>
          <w:i/>
          <w:iCs/>
          <w:noProof/>
          <w:lang w:val="en-US"/>
        </w:rPr>
        <w:t xml:space="preserve">R V. </w:t>
      </w:r>
      <w:r w:rsidR="00C17F4A">
        <w:rPr>
          <w:i/>
          <w:iCs/>
          <w:noProof/>
          <w:lang w:val="en-US"/>
        </w:rPr>
        <w:t>Roberts</w:t>
      </w:r>
      <w:r>
        <w:rPr>
          <w:i/>
          <w:iCs/>
          <w:noProof/>
          <w:lang w:val="en-US"/>
        </w:rPr>
        <w:t xml:space="preserve"> </w:t>
      </w:r>
      <w:r>
        <w:rPr>
          <w:noProof/>
          <w:lang w:val="en-US"/>
        </w:rPr>
        <w:t>(19</w:t>
      </w:r>
      <w:r w:rsidR="00C17F4A">
        <w:rPr>
          <w:noProof/>
          <w:lang w:val="en-US"/>
        </w:rPr>
        <w:t>71</w:t>
      </w:r>
      <w:r>
        <w:rPr>
          <w:noProof/>
          <w:lang w:val="en-US"/>
        </w:rPr>
        <w:t>)</w:t>
      </w:r>
      <w:r w:rsidR="00C17F4A">
        <w:rPr>
          <w:noProof/>
          <w:lang w:val="en-US"/>
        </w:rPr>
        <w:t xml:space="preserve"> Available at: </w:t>
      </w:r>
      <w:r w:rsidR="00C17F4A" w:rsidRPr="00C17F4A">
        <w:rPr>
          <w:noProof/>
          <w:lang w:val="en-US"/>
        </w:rPr>
        <w:t>http://www.e-lawresources.co.uk/R-v-Roberts.php</w:t>
      </w:r>
      <w:r w:rsidR="00C17F4A">
        <w:rPr>
          <w:noProof/>
          <w:lang w:val="en-US"/>
        </w:rPr>
        <w:t>.</w:t>
      </w:r>
    </w:p>
    <w:p w14:paraId="2E8D74EA" w14:textId="77777777" w:rsidR="00BB598B" w:rsidRPr="00BB598B" w:rsidRDefault="00BB598B" w:rsidP="00BB598B">
      <w:pPr>
        <w:rPr>
          <w:rFonts w:ascii="Times New Roman" w:eastAsia="Times New Roman" w:hAnsi="Times New Roman" w:cs="Times New Roman"/>
          <w:lang w:eastAsia="en-GB"/>
        </w:rPr>
      </w:pPr>
    </w:p>
    <w:p w14:paraId="6D8C71A6" w14:textId="77777777" w:rsidR="004B35C5" w:rsidRPr="004B35C5" w:rsidRDefault="004B35C5" w:rsidP="00030C56">
      <w:pPr>
        <w:spacing w:after="240" w:line="360" w:lineRule="auto"/>
        <w:rPr>
          <w:rFonts w:ascii="Times New Roman" w:eastAsia="Times New Roman" w:hAnsi="Times New Roman" w:cs="Times New Roman"/>
          <w:color w:val="000000" w:themeColor="text1"/>
          <w:lang w:eastAsia="en-GB"/>
        </w:rPr>
      </w:pPr>
    </w:p>
    <w:p w14:paraId="3FF0E1E5" w14:textId="77777777" w:rsidR="004B35C5" w:rsidRPr="004B35C5" w:rsidRDefault="004B35C5" w:rsidP="00030C56">
      <w:pPr>
        <w:spacing w:line="360" w:lineRule="auto"/>
        <w:rPr>
          <w:rFonts w:ascii="Times New Roman" w:eastAsia="Times New Roman" w:hAnsi="Times New Roman" w:cs="Times New Roman"/>
          <w:color w:val="000000" w:themeColor="text1"/>
          <w:lang w:eastAsia="en-GB"/>
        </w:rPr>
      </w:pPr>
    </w:p>
    <w:p w14:paraId="411F6D7B" w14:textId="7B02EE88" w:rsidR="00562547" w:rsidRDefault="00000000" w:rsidP="00030C56">
      <w:pPr>
        <w:spacing w:line="360" w:lineRule="auto"/>
        <w:rPr>
          <w:color w:val="000000" w:themeColor="text1"/>
        </w:rPr>
      </w:pPr>
    </w:p>
    <w:p w14:paraId="3A85DA15" w14:textId="3C0C2914" w:rsidR="00392E14" w:rsidRDefault="00392E14" w:rsidP="00030C56">
      <w:pPr>
        <w:spacing w:line="360" w:lineRule="auto"/>
        <w:rPr>
          <w:color w:val="000000" w:themeColor="text1"/>
        </w:rPr>
      </w:pPr>
    </w:p>
    <w:p w14:paraId="3990A8C0" w14:textId="7DA6A856" w:rsidR="00392E14" w:rsidRDefault="00392E14" w:rsidP="00030C56">
      <w:pPr>
        <w:spacing w:line="360" w:lineRule="auto"/>
        <w:rPr>
          <w:color w:val="000000" w:themeColor="text1"/>
        </w:rPr>
      </w:pPr>
    </w:p>
    <w:p w14:paraId="7D94DC3B" w14:textId="52D1C057" w:rsidR="00392E14" w:rsidRDefault="00392E14" w:rsidP="00030C56">
      <w:pPr>
        <w:spacing w:line="360" w:lineRule="auto"/>
        <w:rPr>
          <w:color w:val="000000" w:themeColor="text1"/>
        </w:rPr>
      </w:pPr>
    </w:p>
    <w:p w14:paraId="53CC9BA7" w14:textId="6B7C2B89" w:rsidR="00392E14" w:rsidRDefault="00392E14" w:rsidP="00030C56">
      <w:pPr>
        <w:spacing w:line="360" w:lineRule="auto"/>
        <w:rPr>
          <w:color w:val="000000" w:themeColor="text1"/>
        </w:rPr>
      </w:pPr>
    </w:p>
    <w:p w14:paraId="159F06C1" w14:textId="10D2E7D1" w:rsidR="00392E14" w:rsidRDefault="00392E14" w:rsidP="00030C56">
      <w:pPr>
        <w:spacing w:line="360" w:lineRule="auto"/>
        <w:rPr>
          <w:color w:val="000000" w:themeColor="text1"/>
        </w:rPr>
      </w:pPr>
    </w:p>
    <w:p w14:paraId="0613FE44" w14:textId="480E392A" w:rsidR="00392E14" w:rsidRDefault="00392E14" w:rsidP="00030C56">
      <w:pPr>
        <w:spacing w:line="360" w:lineRule="auto"/>
        <w:rPr>
          <w:color w:val="000000" w:themeColor="text1"/>
        </w:rPr>
      </w:pPr>
    </w:p>
    <w:p w14:paraId="64B3DE84" w14:textId="636C5B1F" w:rsidR="00392E14" w:rsidRDefault="00392E14" w:rsidP="00030C56">
      <w:pPr>
        <w:spacing w:line="360" w:lineRule="auto"/>
        <w:rPr>
          <w:color w:val="000000" w:themeColor="text1"/>
        </w:rPr>
      </w:pPr>
    </w:p>
    <w:p w14:paraId="4EF0A70D" w14:textId="0145820E" w:rsidR="00392E14" w:rsidRDefault="00392E14" w:rsidP="00030C56">
      <w:pPr>
        <w:spacing w:line="360" w:lineRule="auto"/>
        <w:rPr>
          <w:color w:val="000000" w:themeColor="text1"/>
        </w:rPr>
      </w:pPr>
    </w:p>
    <w:p w14:paraId="629B0EE0" w14:textId="7196A5A1" w:rsidR="00392E14" w:rsidRDefault="00392E14" w:rsidP="00030C56">
      <w:pPr>
        <w:spacing w:line="360" w:lineRule="auto"/>
        <w:rPr>
          <w:color w:val="000000" w:themeColor="text1"/>
        </w:rPr>
      </w:pPr>
    </w:p>
    <w:p w14:paraId="3B5CF944" w14:textId="78D36F34" w:rsidR="00392E14" w:rsidRDefault="00392E14" w:rsidP="00030C56">
      <w:pPr>
        <w:spacing w:line="360" w:lineRule="auto"/>
        <w:rPr>
          <w:color w:val="000000" w:themeColor="text1"/>
        </w:rPr>
      </w:pPr>
    </w:p>
    <w:p w14:paraId="625E255C" w14:textId="50CC23D8" w:rsidR="00392E14" w:rsidRDefault="00392E14" w:rsidP="00030C56">
      <w:pPr>
        <w:spacing w:line="360" w:lineRule="auto"/>
        <w:rPr>
          <w:color w:val="000000" w:themeColor="text1"/>
        </w:rPr>
      </w:pPr>
    </w:p>
    <w:p w14:paraId="24CC4793" w14:textId="4BE292EA" w:rsidR="00392E14" w:rsidRDefault="00392E14" w:rsidP="00030C56">
      <w:pPr>
        <w:spacing w:line="360" w:lineRule="auto"/>
        <w:rPr>
          <w:color w:val="000000" w:themeColor="text1"/>
        </w:rPr>
      </w:pPr>
    </w:p>
    <w:p w14:paraId="4E2B03E8" w14:textId="12261309" w:rsidR="00392E14" w:rsidRPr="00BB598B" w:rsidRDefault="00392E14" w:rsidP="00BB598B">
      <w:pPr>
        <w:pStyle w:val="Heading1"/>
        <w:rPr>
          <w:noProof/>
        </w:rPr>
      </w:pPr>
    </w:p>
    <w:sectPr w:rsidR="00392E14" w:rsidRPr="00BB598B" w:rsidSect="00AD385E">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3F13D0"/>
    <w:multiLevelType w:val="hybridMultilevel"/>
    <w:tmpl w:val="6E74B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384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5C5"/>
    <w:rsid w:val="00014E21"/>
    <w:rsid w:val="00030C56"/>
    <w:rsid w:val="00067818"/>
    <w:rsid w:val="00187C7C"/>
    <w:rsid w:val="00374303"/>
    <w:rsid w:val="00387169"/>
    <w:rsid w:val="00392E14"/>
    <w:rsid w:val="003B3061"/>
    <w:rsid w:val="004B35C5"/>
    <w:rsid w:val="00604C87"/>
    <w:rsid w:val="00713B7A"/>
    <w:rsid w:val="00A817A7"/>
    <w:rsid w:val="00AA30CD"/>
    <w:rsid w:val="00AD385E"/>
    <w:rsid w:val="00B55E60"/>
    <w:rsid w:val="00BB598B"/>
    <w:rsid w:val="00BC0CB3"/>
    <w:rsid w:val="00BD04E0"/>
    <w:rsid w:val="00C17F4A"/>
    <w:rsid w:val="00C87EFF"/>
    <w:rsid w:val="00EC63A5"/>
    <w:rsid w:val="00F77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3372"/>
  <w15:chartTrackingRefBased/>
  <w15:docId w15:val="{F5380C87-F7BA-BC43-8CAA-39E2DA694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E1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35C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55E60"/>
    <w:pPr>
      <w:ind w:left="720"/>
      <w:contextualSpacing/>
    </w:pPr>
  </w:style>
  <w:style w:type="character" w:customStyle="1" w:styleId="Heading1Char">
    <w:name w:val="Heading 1 Char"/>
    <w:basedOn w:val="DefaultParagraphFont"/>
    <w:link w:val="Heading1"/>
    <w:uiPriority w:val="9"/>
    <w:rsid w:val="00392E1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92E14"/>
  </w:style>
  <w:style w:type="paragraph" w:styleId="NoSpacing">
    <w:name w:val="No Spacing"/>
    <w:link w:val="NoSpacingChar"/>
    <w:uiPriority w:val="1"/>
    <w:qFormat/>
    <w:rsid w:val="00AD385E"/>
    <w:rPr>
      <w:rFonts w:eastAsiaTheme="minorEastAsia"/>
      <w:sz w:val="22"/>
      <w:szCs w:val="22"/>
      <w:lang w:val="en-US" w:eastAsia="zh-CN"/>
    </w:rPr>
  </w:style>
  <w:style w:type="character" w:customStyle="1" w:styleId="NoSpacingChar">
    <w:name w:val="No Spacing Char"/>
    <w:basedOn w:val="DefaultParagraphFont"/>
    <w:link w:val="NoSpacing"/>
    <w:uiPriority w:val="1"/>
    <w:rsid w:val="00AD385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51920">
      <w:bodyDiv w:val="1"/>
      <w:marLeft w:val="0"/>
      <w:marRight w:val="0"/>
      <w:marTop w:val="0"/>
      <w:marBottom w:val="0"/>
      <w:divBdr>
        <w:top w:val="none" w:sz="0" w:space="0" w:color="auto"/>
        <w:left w:val="none" w:sz="0" w:space="0" w:color="auto"/>
        <w:bottom w:val="none" w:sz="0" w:space="0" w:color="auto"/>
        <w:right w:val="none" w:sz="0" w:space="0" w:color="auto"/>
      </w:divBdr>
    </w:div>
    <w:div w:id="460726569">
      <w:bodyDiv w:val="1"/>
      <w:marLeft w:val="0"/>
      <w:marRight w:val="0"/>
      <w:marTop w:val="0"/>
      <w:marBottom w:val="0"/>
      <w:divBdr>
        <w:top w:val="none" w:sz="0" w:space="0" w:color="auto"/>
        <w:left w:val="none" w:sz="0" w:space="0" w:color="auto"/>
        <w:bottom w:val="none" w:sz="0" w:space="0" w:color="auto"/>
        <w:right w:val="none" w:sz="0" w:space="0" w:color="auto"/>
      </w:divBdr>
    </w:div>
    <w:div w:id="599484230">
      <w:bodyDiv w:val="1"/>
      <w:marLeft w:val="0"/>
      <w:marRight w:val="0"/>
      <w:marTop w:val="0"/>
      <w:marBottom w:val="0"/>
      <w:divBdr>
        <w:top w:val="none" w:sz="0" w:space="0" w:color="auto"/>
        <w:left w:val="none" w:sz="0" w:space="0" w:color="auto"/>
        <w:bottom w:val="none" w:sz="0" w:space="0" w:color="auto"/>
        <w:right w:val="none" w:sz="0" w:space="0" w:color="auto"/>
      </w:divBdr>
    </w:div>
    <w:div w:id="760026076">
      <w:bodyDiv w:val="1"/>
      <w:marLeft w:val="0"/>
      <w:marRight w:val="0"/>
      <w:marTop w:val="0"/>
      <w:marBottom w:val="0"/>
      <w:divBdr>
        <w:top w:val="none" w:sz="0" w:space="0" w:color="auto"/>
        <w:left w:val="none" w:sz="0" w:space="0" w:color="auto"/>
        <w:bottom w:val="none" w:sz="0" w:space="0" w:color="auto"/>
        <w:right w:val="none" w:sz="0" w:space="0" w:color="auto"/>
      </w:divBdr>
    </w:div>
    <w:div w:id="873228560">
      <w:bodyDiv w:val="1"/>
      <w:marLeft w:val="0"/>
      <w:marRight w:val="0"/>
      <w:marTop w:val="0"/>
      <w:marBottom w:val="0"/>
      <w:divBdr>
        <w:top w:val="none" w:sz="0" w:space="0" w:color="auto"/>
        <w:left w:val="none" w:sz="0" w:space="0" w:color="auto"/>
        <w:bottom w:val="none" w:sz="0" w:space="0" w:color="auto"/>
        <w:right w:val="none" w:sz="0" w:space="0" w:color="auto"/>
      </w:divBdr>
    </w:div>
    <w:div w:id="973752003">
      <w:bodyDiv w:val="1"/>
      <w:marLeft w:val="0"/>
      <w:marRight w:val="0"/>
      <w:marTop w:val="0"/>
      <w:marBottom w:val="0"/>
      <w:divBdr>
        <w:top w:val="none" w:sz="0" w:space="0" w:color="auto"/>
        <w:left w:val="none" w:sz="0" w:space="0" w:color="auto"/>
        <w:bottom w:val="none" w:sz="0" w:space="0" w:color="auto"/>
        <w:right w:val="none" w:sz="0" w:space="0" w:color="auto"/>
      </w:divBdr>
    </w:div>
    <w:div w:id="1102072905">
      <w:bodyDiv w:val="1"/>
      <w:marLeft w:val="0"/>
      <w:marRight w:val="0"/>
      <w:marTop w:val="0"/>
      <w:marBottom w:val="0"/>
      <w:divBdr>
        <w:top w:val="none" w:sz="0" w:space="0" w:color="auto"/>
        <w:left w:val="none" w:sz="0" w:space="0" w:color="auto"/>
        <w:bottom w:val="none" w:sz="0" w:space="0" w:color="auto"/>
        <w:right w:val="none" w:sz="0" w:space="0" w:color="auto"/>
      </w:divBdr>
    </w:div>
    <w:div w:id="1107115552">
      <w:bodyDiv w:val="1"/>
      <w:marLeft w:val="0"/>
      <w:marRight w:val="0"/>
      <w:marTop w:val="0"/>
      <w:marBottom w:val="0"/>
      <w:divBdr>
        <w:top w:val="none" w:sz="0" w:space="0" w:color="auto"/>
        <w:left w:val="none" w:sz="0" w:space="0" w:color="auto"/>
        <w:bottom w:val="none" w:sz="0" w:space="0" w:color="auto"/>
        <w:right w:val="none" w:sz="0" w:space="0" w:color="auto"/>
      </w:divBdr>
    </w:div>
    <w:div w:id="1124347194">
      <w:bodyDiv w:val="1"/>
      <w:marLeft w:val="0"/>
      <w:marRight w:val="0"/>
      <w:marTop w:val="0"/>
      <w:marBottom w:val="0"/>
      <w:divBdr>
        <w:top w:val="none" w:sz="0" w:space="0" w:color="auto"/>
        <w:left w:val="none" w:sz="0" w:space="0" w:color="auto"/>
        <w:bottom w:val="none" w:sz="0" w:space="0" w:color="auto"/>
        <w:right w:val="none" w:sz="0" w:space="0" w:color="auto"/>
      </w:divBdr>
    </w:div>
    <w:div w:id="1194466488">
      <w:bodyDiv w:val="1"/>
      <w:marLeft w:val="0"/>
      <w:marRight w:val="0"/>
      <w:marTop w:val="0"/>
      <w:marBottom w:val="0"/>
      <w:divBdr>
        <w:top w:val="none" w:sz="0" w:space="0" w:color="auto"/>
        <w:left w:val="none" w:sz="0" w:space="0" w:color="auto"/>
        <w:bottom w:val="none" w:sz="0" w:space="0" w:color="auto"/>
        <w:right w:val="none" w:sz="0" w:space="0" w:color="auto"/>
      </w:divBdr>
    </w:div>
    <w:div w:id="1510562739">
      <w:bodyDiv w:val="1"/>
      <w:marLeft w:val="0"/>
      <w:marRight w:val="0"/>
      <w:marTop w:val="0"/>
      <w:marBottom w:val="0"/>
      <w:divBdr>
        <w:top w:val="none" w:sz="0" w:space="0" w:color="auto"/>
        <w:left w:val="none" w:sz="0" w:space="0" w:color="auto"/>
        <w:bottom w:val="none" w:sz="0" w:space="0" w:color="auto"/>
        <w:right w:val="none" w:sz="0" w:space="0" w:color="auto"/>
      </w:divBdr>
    </w:div>
    <w:div w:id="1645969344">
      <w:bodyDiv w:val="1"/>
      <w:marLeft w:val="0"/>
      <w:marRight w:val="0"/>
      <w:marTop w:val="0"/>
      <w:marBottom w:val="0"/>
      <w:divBdr>
        <w:top w:val="none" w:sz="0" w:space="0" w:color="auto"/>
        <w:left w:val="none" w:sz="0" w:space="0" w:color="auto"/>
        <w:bottom w:val="none" w:sz="0" w:space="0" w:color="auto"/>
        <w:right w:val="none" w:sz="0" w:space="0" w:color="auto"/>
      </w:divBdr>
    </w:div>
    <w:div w:id="1707292662">
      <w:bodyDiv w:val="1"/>
      <w:marLeft w:val="0"/>
      <w:marRight w:val="0"/>
      <w:marTop w:val="0"/>
      <w:marBottom w:val="0"/>
      <w:divBdr>
        <w:top w:val="none" w:sz="0" w:space="0" w:color="auto"/>
        <w:left w:val="none" w:sz="0" w:space="0" w:color="auto"/>
        <w:bottom w:val="none" w:sz="0" w:space="0" w:color="auto"/>
        <w:right w:val="none" w:sz="0" w:space="0" w:color="auto"/>
      </w:divBdr>
    </w:div>
    <w:div w:id="1866020210">
      <w:bodyDiv w:val="1"/>
      <w:marLeft w:val="0"/>
      <w:marRight w:val="0"/>
      <w:marTop w:val="0"/>
      <w:marBottom w:val="0"/>
      <w:divBdr>
        <w:top w:val="none" w:sz="0" w:space="0" w:color="auto"/>
        <w:left w:val="none" w:sz="0" w:space="0" w:color="auto"/>
        <w:bottom w:val="none" w:sz="0" w:space="0" w:color="auto"/>
        <w:right w:val="none" w:sz="0" w:space="0" w:color="auto"/>
      </w:divBdr>
    </w:div>
    <w:div w:id="1925457721">
      <w:bodyDiv w:val="1"/>
      <w:marLeft w:val="0"/>
      <w:marRight w:val="0"/>
      <w:marTop w:val="0"/>
      <w:marBottom w:val="0"/>
      <w:divBdr>
        <w:top w:val="none" w:sz="0" w:space="0" w:color="auto"/>
        <w:left w:val="none" w:sz="0" w:space="0" w:color="auto"/>
        <w:bottom w:val="none" w:sz="0" w:space="0" w:color="auto"/>
        <w:right w:val="none" w:sz="0" w:space="0" w:color="auto"/>
      </w:divBdr>
    </w:div>
    <w:div w:id="1959142495">
      <w:bodyDiv w:val="1"/>
      <w:marLeft w:val="0"/>
      <w:marRight w:val="0"/>
      <w:marTop w:val="0"/>
      <w:marBottom w:val="0"/>
      <w:divBdr>
        <w:top w:val="none" w:sz="0" w:space="0" w:color="auto"/>
        <w:left w:val="none" w:sz="0" w:space="0" w:color="auto"/>
        <w:bottom w:val="none" w:sz="0" w:space="0" w:color="auto"/>
        <w:right w:val="none" w:sz="0" w:space="0" w:color="auto"/>
      </w:divBdr>
    </w:div>
    <w:div w:id="2007129140">
      <w:bodyDiv w:val="1"/>
      <w:marLeft w:val="0"/>
      <w:marRight w:val="0"/>
      <w:marTop w:val="0"/>
      <w:marBottom w:val="0"/>
      <w:divBdr>
        <w:top w:val="none" w:sz="0" w:space="0" w:color="auto"/>
        <w:left w:val="none" w:sz="0" w:space="0" w:color="auto"/>
        <w:bottom w:val="none" w:sz="0" w:space="0" w:color="auto"/>
        <w:right w:val="none" w:sz="0" w:space="0" w:color="auto"/>
      </w:divBdr>
    </w:div>
    <w:div w:id="212356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Leg61</b:Tag>
    <b:SourceType>InternetSite</b:SourceType>
    <b:Guid>{7340FF72-5A29-6A42-8B49-B4698032054A}</b:Guid>
    <b:Title>legislation.gov.uk</b:Title>
    <b:Year>1861</b:Year>
    <b:Author>
      <b:Author>
        <b:Corporate>Legislation</b:Corporate>
      </b:Author>
    </b:Author>
    <b:URL>https://www.legislation.gov.uk/ukpga/Vict/24-25/100/introduction</b:URL>
    <b:YearAccessed>2024</b:YearAccessed>
    <b:MonthAccessed>03</b:MonthAccessed>
    <b:DayAccessed>04</b:DayAccessed>
    <b:RefOrder>1</b:RefOrder>
  </b:Source>
  <b:Source>
    <b:Tag>RVB04</b:Tag>
    <b:SourceType>Case</b:SourceType>
    <b:Guid>{727CA8AD-6301-5440-B31B-51DCAC564E90}</b:Guid>
    <b:Title>R V Bollom</b:Title>
    <b:Year>2004</b:Year>
    <b:RefOrder>2</b:RefOrder>
  </b:Source>
  <b:Source>
    <b:Tag>RVC97</b:Tag>
    <b:SourceType>Case</b:SourceType>
    <b:Guid>{1E473751-CAE5-B54E-96C8-3D2BD2AAE5FA}</b:Guid>
    <b:Title>R V Constanza</b:Title>
    <b:Year>1997</b:Year>
    <b:RefOrder>3</b:RefOrder>
  </b:Source>
  <b:Source>
    <b:Tag>RVC94</b:Tag>
    <b:SourceType>Case</b:SourceType>
    <b:Guid>{1A92EA96-C0A3-2F4E-92DB-95CF9C6F4352}</b:Guid>
    <b:Title>R V. Chan-Fook</b:Title>
    <b:Year>1994</b:Year>
    <b:RefOrder>4</b:RefOrder>
  </b:Source>
  <b:Source>
    <b:Tag>Law21</b:Tag>
    <b:SourceType>Report</b:SourceType>
    <b:Guid>{50E0D183-14FE-8E4A-B6B9-08AB78EA7F67}</b:Guid>
    <b:Title>Modernising Communications Offences A final report</b:Title>
    <b:Year>2021</b:Year>
    <b:City>UK</b:City>
    <b:Publisher>APS Group</b:Publisher>
    <b:Author>
      <b:Author>
        <b:Corporate>Law Commission</b:Corporate>
      </b:Author>
    </b:Author>
    <b:RefOrder>5</b:RefOrder>
  </b:Source>
  <b:Source>
    <b:Tag>RVI97</b:Tag>
    <b:SourceType>Case</b:SourceType>
    <b:Guid>{1DBF6249-5059-064A-B40C-A23F0C332D41}</b:Guid>
    <b:Title>R V. Ireland And Burstow</b:Title>
    <b:Year>1997</b:Year>
    <b:RefOrder>6</b:RefOrder>
  </b:Source>
  <b:Source>
    <b:Tag>RVT85</b:Tag>
    <b:SourceType>Case</b:SourceType>
    <b:Guid>{0C014EEE-DA2D-0142-93A4-B51FA65D8BD6}</b:Guid>
    <b:Title>R V. Thomas</b:Title>
    <b:Year>1985</b:Year>
    <b:RefOrder>7</b:RefOrder>
  </b:Source>
  <b:Source>
    <b:Tag>Law151</b:Tag>
    <b:SourceType>Report</b:SourceType>
    <b:Guid>{C3C0D302-60D3-C840-A161-C16EF63542BC}</b:Guid>
    <b:Author>
      <b:Author>
        <b:Corporate>Law Commission</b:Corporate>
      </b:Author>
    </b:Author>
    <b:Title>Reform of Offences against the person</b:Title>
    <b:Publisher>Williams Lea Group</b:Publisher>
    <b:City>UK</b:City>
    <b:Year>2015</b:Year>
    <b:RefOrder>8</b:RefOrder>
  </b:Source>
  <b:Source>
    <b:Tag>Dem16</b:Tag>
    <b:SourceType>JournalArticle</b:SourceType>
    <b:Guid>{3E143316-D6C3-D54F-8A5A-F84DCEBCD35D}</b:Guid>
    <b:Title>Not Giving Up the Fight: A Review of the Law Commission’s Scoping Report on Non-fatal Offences Against the Person</b:Title>
    <b:Year>2016</b:Year>
    <b:JournalName>The Journal of Criminal Law</b:JournalName>
    <b:Volume>80</b:Volume>
    <b:Issue>3</b:Issue>
    <b:Pages>188-200</b:Pages>
    <b:Author>
      <b:Author>
        <b:NameList>
          <b:Person>
            <b:Last>Demetriou</b:Last>
            <b:First>Stavros</b:First>
          </b:Person>
        </b:NameList>
      </b:Author>
    </b:Author>
    <b:RefOrder>9</b:RefOrder>
  </b:Source>
  <b:Source>
    <b:Tag>Eug17</b:Tag>
    <b:SourceType>JournalArticle</b:SourceType>
    <b:Guid>{952BDAA2-3FB3-5F46-AC37-814637D4541C}</b:Guid>
    <b:Title>Should We Reform the Offences Against the Person Act 1861? </b:Title>
    <b:JournalName>The Journal of Criminal Law,</b:JournalName>
    <b:Year>2017</b:Year>
    <b:Volume>81</b:Volume>
    <b:Issue>1</b:Issue>
    <b:Author>
      <b:Author>
        <b:NameList>
          <b:Person>
            <b:Last>Eugenicos</b:Last>
            <b:First>A.-M</b:First>
          </b:Person>
        </b:NameList>
      </b:Author>
    </b:Author>
    <b:LCID>en-GB</b:LCID>
    <b:RefOrder>10</b:RefOrder>
  </b:Source>
  <b:Source>
    <b:Tag>Gar</b:Tag>
    <b:SourceType>Misc</b:SourceType>
    <b:Guid>{5675E798-653F-EC45-9DE6-6C7381043046}</b:Guid>
    <b:Title>RATIONALITY AND THE RULE OF LAW IN OFFENCES AGAINST THE PERSON</b:Title>
    <b:Author>
      <b:Author>
        <b:NameList>
          <b:Person>
            <b:Last>Gardner</b:Last>
            <b:First>John</b:First>
          </b:Person>
        </b:NameList>
      </b:Author>
    </b:Author>
    <b:Year>1994</b:Year>
    <b:RefOrder>11</b:RefOrder>
  </b:Source>
  <b:Source>
    <b:Tag>Wil98</b:Tag>
    <b:SourceType>BookSection</b:SourceType>
    <b:Guid>{10B4123C-40E9-ED4E-BF1B-A0263C1C86B6}</b:Guid>
    <b:Title>Criminal law</b:Title>
    <b:Year>1998</b:Year>
    <b:City>London</b:City>
    <b:Publisher>Addison Wesley Longman Limited</b:Publisher>
    <b:BookTitle>Doctrine and theory</b:BookTitle>
    <b:Pages>318</b:Pages>
    <b:Author>
      <b:Author>
        <b:NameList>
          <b:Person>
            <b:Last>Wilson</b:Last>
            <b:First>W</b:First>
          </b:Person>
        </b:NameList>
      </b:Author>
    </b:Author>
    <b:RefOrder>12</b:RefOrder>
  </b:Source>
  <b:Source>
    <b:Tag>Lov14</b:Tag>
    <b:SourceType>InternetSite</b:SourceType>
    <b:Guid>{124D9ED6-5DAB-9F41-8713-85DA4F06046E}</b:Guid>
    <b:Title>Oxford Royale Academy</b:Title>
    <b:Year>2014</b:Year>
    <b:URL>https://www.oxford-royale.com/articles/offences-against-the-person-act-1861-needs-reform/</b:URL>
    <b:YearAccessed>2024</b:YearAccessed>
    <b:MonthAccessed>03</b:MonthAccessed>
    <b:DayAccessed>06</b:DayAccessed>
    <b:Author>
      <b:Author>
        <b:NameList>
          <b:Person>
            <b:Last>Love</b:Last>
            <b:First>Samantha</b:First>
          </b:Person>
        </b:NameList>
      </b:Author>
    </b:Author>
    <b:RefOrder>13</b:RefOrder>
  </b:Source>
  <b:Source>
    <b:Tag>Int17</b:Tag>
    <b:SourceType>InternetSite</b:SourceType>
    <b:Guid>{2F025910-3CA7-294B-9046-472813A1992E}</b:Guid>
    <b:Author>
      <b:Author>
        <b:Corporate>International Maritime Organization </b:Corporate>
      </b:Author>
    </b:Author>
    <b:Title>Maritime Security</b:Title>
    <b:URL>https://www.imo.org/en/OurWork/Security/Pages/GuideMaritimeSecurityDefault.aspx#:~:text=On%201%20July%202004%20a,Facility%20Security%20(ISPS)%20Code.</b:URL>
    <b:Year>2017</b:Year>
    <b:YearAccessed>2024</b:YearAccessed>
    <b:MonthAccessed>03</b:MonthAccessed>
    <b:DayAccessed>06</b:DayAccessed>
    <b:RefOrder>14</b:RefOrder>
  </b:Source>
  <b:Source>
    <b:Tag>SEAwn</b:Tag>
    <b:SourceType>InternetSite</b:SourceType>
    <b:Guid>{E8688FDF-A3B3-8C4B-8F82-AC2175AF6BB7}</b:Guid>
    <b:Author>
      <b:Author>
        <b:Corporate>SEARCH AND RESCUE SATELLITE-AIDED TRACKING</b:Corporate>
      </b:Author>
    </b:Author>
    <b:Title>Search and Rescue Satellites | SARSAT</b:Title>
    <b:URL>https://www.sarsat.noaa.gov/search-and-rescue-satellites/</b:URL>
    <b:Year>unknown</b:Year>
    <b:YearAccessed>2024</b:YearAccessed>
    <b:MonthAccessed>03</b:MonthAccessed>
    <b:DayAccessed>06</b:DayAccessed>
    <b:RefOrder>15</b:RefOrder>
  </b:Source>
  <b:Source>
    <b:Tag>Hor94</b:Tag>
    <b:SourceType>JournalArticle</b:SourceType>
    <b:Guid>{2EE35FD1-6FEC-C34D-AE6F-6434DBE9D807}</b:Guid>
    <b:Title>Rethinking Non-Fatal Offences against the Person</b:Title>
    <b:Year>1994</b:Year>
    <b:JournalName>Oxford Journal of Legal Studies</b:JournalName>
    <b:Volume>14</b:Volume>
    <b:Issue>3</b:Issue>
    <b:Pages>335-351</b:Pages>
    <b:Author>
      <b:Author>
        <b:NameList>
          <b:Person>
            <b:Last>Horder</b:Last>
            <b:First>Jeremy</b:First>
          </b:Person>
        </b:NameList>
      </b:Author>
    </b:Author>
    <b:RefOrder>16</b:RefOrder>
  </b:Source>
  <b:Source>
    <b:Tag>Nic09</b:Tag>
    <b:SourceType>Book</b:SourceType>
    <b:Guid>{B26752A7-ADDE-474F-8EF4-F488D5DC972E}</b:Guid>
    <b:Title>Criminal Law</b:Title>
    <b:Year>2009</b:Year>
    <b:Author>
      <b:Author>
        <b:NameList>
          <b:Person>
            <b:Last>Nicola</b:Last>
          </b:Person>
          <b:Person>
            <b:Last>Padfield</b:Last>
            <b:First>Nicola</b:First>
          </b:Person>
        </b:NameList>
      </b:Author>
    </b:Author>
    <b:City>New York</b:City>
    <b:Publisher>Oxford University Press</b:Publisher>
    <b:Edition>9</b:Edition>
    <b:RefOrder>17</b:RefOrder>
  </b:Source>
  <b:Source>
    <b:Tag>The15</b:Tag>
    <b:SourceType>Misc</b:SourceType>
    <b:Guid>{497EDCD7-4A33-4D42-9E33-073068E9A70B}</b:Guid>
    <b:Title> Proposed reform of the Offences against the Person Act 1861 Consultation by the law commission</b:Title>
    <b:Year>2015</b:Year>
    <b:Author>
      <b:Author>
        <b:Corporate>The Criminal Bar Association of England &amp; Wales </b:Corporate>
      </b:Author>
    </b:Author>
    <b:RefOrder>18</b:RefOrder>
  </b:Source>
</b:Sources>
</file>

<file path=customXml/itemProps1.xml><?xml version="1.0" encoding="utf-8"?>
<ds:datastoreItem xmlns:ds="http://schemas.openxmlformats.org/officeDocument/2006/customXml" ds:itemID="{4B3DEC49-1CAB-2546-87AC-10EE629F0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8</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2309644</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offences against the person act (1861)</dc:title>
  <dc:subject>BMLW4005</dc:subject>
  <dc:creator>Leah Thomas</dc:creator>
  <cp:keywords/>
  <dc:description/>
  <cp:lastModifiedBy>Leah Thomas</cp:lastModifiedBy>
  <cp:revision>13</cp:revision>
  <dcterms:created xsi:type="dcterms:W3CDTF">2024-03-06T18:44:00Z</dcterms:created>
  <dcterms:modified xsi:type="dcterms:W3CDTF">2024-03-12T20:40:00Z</dcterms:modified>
</cp:coreProperties>
</file>