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0B709B" w14:textId="77777777" w:rsidR="00E923B4" w:rsidRDefault="00E923B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bookmarkStart w:id="0" w:name="_gjdgxs" w:colFirst="0" w:colLast="0"/>
      <w:bookmarkEnd w:id="0"/>
    </w:p>
    <w:p w14:paraId="06EBB192" w14:textId="77777777" w:rsidR="00E923B4" w:rsidRDefault="00E923B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14:paraId="1B07D78D" w14:textId="77777777" w:rsidR="00E923B4" w:rsidRDefault="00E923B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14:paraId="16E507D4" w14:textId="77777777" w:rsidR="00E923B4" w:rsidRDefault="00E923B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14:paraId="6B6A0E0E" w14:textId="77777777" w:rsidR="00E923B4" w:rsidRDefault="00E923B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14:paraId="5EAA1835" w14:textId="77777777" w:rsidR="00E923B4" w:rsidRDefault="00E923B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14:paraId="3E6FA376" w14:textId="77777777" w:rsidR="00E923B4" w:rsidRDefault="00E923B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14:paraId="5BDEC985" w14:textId="77777777" w:rsidR="00E923B4" w:rsidRDefault="00E923B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14:paraId="0CE5E37D" w14:textId="77777777" w:rsidR="00E923B4" w:rsidRDefault="00E923B4">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p>
    <w:p w14:paraId="6A4ACA04" w14:textId="77777777" w:rsidR="00C94CE3" w:rsidRDefault="00AB50CA">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bookmarkStart w:id="1" w:name="_GoBack"/>
      <w:r>
        <w:rPr>
          <w:rFonts w:ascii="Times New Roman" w:eastAsia="Times New Roman" w:hAnsi="Times New Roman" w:cs="Times New Roman"/>
          <w:b/>
          <w:color w:val="000000"/>
          <w:sz w:val="32"/>
          <w:szCs w:val="32"/>
          <w:highlight w:val="white"/>
        </w:rPr>
        <w:t>DEVELOPING RELATIONSHIPS AND WORKPLACE ACHIEVEMENT</w:t>
      </w:r>
    </w:p>
    <w:bookmarkEnd w:id="1"/>
    <w:p w14:paraId="53BBA3D1" w14:textId="77777777" w:rsidR="00C94CE3" w:rsidRDefault="00C94CE3">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6D4FD335" w14:textId="77777777" w:rsidR="00C94CE3" w:rsidRDefault="00C94CE3">
      <w:pPr>
        <w:pBdr>
          <w:top w:val="nil"/>
          <w:left w:val="nil"/>
          <w:bottom w:val="nil"/>
          <w:right w:val="nil"/>
          <w:between w:val="nil"/>
        </w:pBdr>
        <w:spacing w:line="360" w:lineRule="auto"/>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Student I.D: 1710684</w:t>
      </w:r>
    </w:p>
    <w:p w14:paraId="4E2E6B91" w14:textId="77777777" w:rsidR="00C94CE3" w:rsidRDefault="00C94CE3">
      <w:pPr>
        <w:pBdr>
          <w:top w:val="nil"/>
          <w:left w:val="nil"/>
          <w:bottom w:val="nil"/>
          <w:right w:val="nil"/>
          <w:between w:val="nil"/>
        </w:pBdr>
        <w:spacing w:line="360" w:lineRule="auto"/>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Rafeya Chowdhury</w:t>
      </w:r>
    </w:p>
    <w:p w14:paraId="6A54E2A9" w14:textId="589B10A2" w:rsidR="00E923B4" w:rsidRDefault="00C94CE3">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highlight w:val="white"/>
        </w:rPr>
      </w:pPr>
      <w:r>
        <w:rPr>
          <w:rFonts w:ascii="Times New Roman" w:eastAsia="Times New Roman" w:hAnsi="Times New Roman" w:cs="Times New Roman"/>
          <w:color w:val="000000"/>
          <w:sz w:val="32"/>
          <w:szCs w:val="32"/>
        </w:rPr>
        <w:t>BMSK5002</w:t>
      </w:r>
      <w:r w:rsidR="00AB50CA">
        <w:br w:type="page"/>
      </w:r>
    </w:p>
    <w:p w14:paraId="55886CB2" w14:textId="73A056EB" w:rsidR="00E923B4" w:rsidRDefault="00B948A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Abstract</w:t>
      </w:r>
    </w:p>
    <w:p w14:paraId="6DBED9CE"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color w:val="000000"/>
          <w:sz w:val="24"/>
          <w:szCs w:val="24"/>
        </w:rPr>
        <w:t xml:space="preserve">Personal development has multiple benefits for the organisation as well as the individuals and these benefits have been identified in this report. For the purpose of this study, Holland and Barrett has been analysed. The study aims to critically analyse the development vehicles available for developing individuals within the organisation. The methods and techniques available for effective assessment of individual performance and ways to develop them have been analysed here. There are different perspectives of viewing organisational relationship due to which the efforts made by them differs. </w:t>
      </w:r>
      <w:r>
        <w:rPr>
          <w:rFonts w:ascii="Times New Roman" w:eastAsia="Times New Roman" w:hAnsi="Times New Roman" w:cs="Times New Roman"/>
          <w:color w:val="000000"/>
          <w:sz w:val="24"/>
          <w:szCs w:val="24"/>
          <w:highlight w:val="white"/>
        </w:rPr>
        <w:t xml:space="preserve">Long term success, more meaningful work and sustainable connections </w:t>
      </w:r>
      <w:r>
        <w:rPr>
          <w:rFonts w:ascii="Times New Roman" w:eastAsia="Times New Roman" w:hAnsi="Times New Roman" w:cs="Times New Roman"/>
          <w:color w:val="000000"/>
          <w:sz w:val="24"/>
          <w:szCs w:val="24"/>
        </w:rPr>
        <w:t xml:space="preserve">are some of the most important benefits which are derived by maintaining good relationship within the workplace. </w:t>
      </w:r>
      <w:r>
        <w:br w:type="page"/>
      </w:r>
    </w:p>
    <w:p w14:paraId="4DB69850" w14:textId="77777777" w:rsidR="00E923B4" w:rsidRDefault="00AB50CA">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highlight w:val="white"/>
        </w:rPr>
        <w:t>Table of Contents</w:t>
      </w:r>
    </w:p>
    <w:sdt>
      <w:sdtPr>
        <w:id w:val="-219205108"/>
        <w:docPartObj>
          <w:docPartGallery w:val="Table of Contents"/>
          <w:docPartUnique/>
        </w:docPartObj>
      </w:sdtPr>
      <w:sdtEndPr/>
      <w:sdtContent>
        <w:p w14:paraId="70FE253A" w14:textId="77777777" w:rsidR="00285BBB" w:rsidRPr="00285BBB" w:rsidRDefault="00EB3382" w:rsidP="00285BBB">
          <w:pPr>
            <w:pStyle w:val="TOC1"/>
            <w:tabs>
              <w:tab w:val="right" w:pos="9350"/>
            </w:tabs>
            <w:spacing w:line="360" w:lineRule="auto"/>
            <w:jc w:val="both"/>
            <w:rPr>
              <w:rFonts w:ascii="Times New Roman" w:hAnsi="Times New Roman" w:cs="Times New Roman"/>
              <w:noProof/>
              <w:color w:val="000000" w:themeColor="text1"/>
              <w:sz w:val="24"/>
              <w:szCs w:val="24"/>
            </w:rPr>
          </w:pPr>
          <w:r>
            <w:fldChar w:fldCharType="begin"/>
          </w:r>
          <w:r w:rsidR="00AB50CA">
            <w:instrText xml:space="preserve"> TOC \h \u \z </w:instrText>
          </w:r>
          <w:r>
            <w:fldChar w:fldCharType="separate"/>
          </w:r>
          <w:hyperlink w:anchor="_Toc17190062" w:history="1">
            <w:r w:rsidR="00285BBB" w:rsidRPr="00285BBB">
              <w:rPr>
                <w:rStyle w:val="Hyperlink"/>
                <w:rFonts w:ascii="Times New Roman" w:hAnsi="Times New Roman" w:cs="Times New Roman"/>
                <w:noProof/>
                <w:color w:val="000000" w:themeColor="text1"/>
                <w:sz w:val="24"/>
                <w:szCs w:val="24"/>
              </w:rPr>
              <w:t>Introduction</w:t>
            </w:r>
            <w:r w:rsidR="00285BBB" w:rsidRPr="00285BBB">
              <w:rPr>
                <w:rFonts w:ascii="Times New Roman" w:hAnsi="Times New Roman" w:cs="Times New Roman"/>
                <w:noProof/>
                <w:webHidden/>
                <w:color w:val="000000" w:themeColor="text1"/>
                <w:sz w:val="24"/>
                <w:szCs w:val="24"/>
              </w:rPr>
              <w:tab/>
            </w:r>
            <w:r w:rsidRPr="00285BBB">
              <w:rPr>
                <w:rFonts w:ascii="Times New Roman" w:hAnsi="Times New Roman" w:cs="Times New Roman"/>
                <w:noProof/>
                <w:webHidden/>
                <w:color w:val="000000" w:themeColor="text1"/>
                <w:sz w:val="24"/>
                <w:szCs w:val="24"/>
              </w:rPr>
              <w:fldChar w:fldCharType="begin"/>
            </w:r>
            <w:r w:rsidR="00285BBB" w:rsidRPr="00285BBB">
              <w:rPr>
                <w:rFonts w:ascii="Times New Roman" w:hAnsi="Times New Roman" w:cs="Times New Roman"/>
                <w:noProof/>
                <w:webHidden/>
                <w:color w:val="000000" w:themeColor="text1"/>
                <w:sz w:val="24"/>
                <w:szCs w:val="24"/>
              </w:rPr>
              <w:instrText xml:space="preserve"> PAGEREF _Toc17190062 \h </w:instrText>
            </w:r>
            <w:r w:rsidRPr="00285BBB">
              <w:rPr>
                <w:rFonts w:ascii="Times New Roman" w:hAnsi="Times New Roman" w:cs="Times New Roman"/>
                <w:noProof/>
                <w:webHidden/>
                <w:color w:val="000000" w:themeColor="text1"/>
                <w:sz w:val="24"/>
                <w:szCs w:val="24"/>
              </w:rPr>
            </w:r>
            <w:r w:rsidRPr="00285BBB">
              <w:rPr>
                <w:rFonts w:ascii="Times New Roman" w:hAnsi="Times New Roman" w:cs="Times New Roman"/>
                <w:noProof/>
                <w:webHidden/>
                <w:color w:val="000000" w:themeColor="text1"/>
                <w:sz w:val="24"/>
                <w:szCs w:val="24"/>
              </w:rPr>
              <w:fldChar w:fldCharType="separate"/>
            </w:r>
            <w:r w:rsidR="00E64BBF">
              <w:rPr>
                <w:rFonts w:ascii="Times New Roman" w:hAnsi="Times New Roman" w:cs="Times New Roman"/>
                <w:noProof/>
                <w:webHidden/>
                <w:color w:val="000000" w:themeColor="text1"/>
                <w:sz w:val="24"/>
                <w:szCs w:val="24"/>
              </w:rPr>
              <w:t>3</w:t>
            </w:r>
            <w:r w:rsidRPr="00285BBB">
              <w:rPr>
                <w:rFonts w:ascii="Times New Roman" w:hAnsi="Times New Roman" w:cs="Times New Roman"/>
                <w:noProof/>
                <w:webHidden/>
                <w:color w:val="000000" w:themeColor="text1"/>
                <w:sz w:val="24"/>
                <w:szCs w:val="24"/>
              </w:rPr>
              <w:fldChar w:fldCharType="end"/>
            </w:r>
          </w:hyperlink>
        </w:p>
        <w:p w14:paraId="60E71F0D" w14:textId="77777777" w:rsidR="00285BBB" w:rsidRPr="00285BBB" w:rsidRDefault="004B06D0" w:rsidP="00285BBB">
          <w:pPr>
            <w:pStyle w:val="TOC1"/>
            <w:tabs>
              <w:tab w:val="right" w:pos="9350"/>
            </w:tabs>
            <w:spacing w:line="360" w:lineRule="auto"/>
            <w:jc w:val="both"/>
            <w:rPr>
              <w:rFonts w:ascii="Times New Roman" w:hAnsi="Times New Roman" w:cs="Times New Roman"/>
              <w:noProof/>
              <w:color w:val="000000" w:themeColor="text1"/>
              <w:sz w:val="24"/>
              <w:szCs w:val="24"/>
            </w:rPr>
          </w:pPr>
          <w:hyperlink w:anchor="_Toc17190063" w:history="1">
            <w:r w:rsidR="00285BBB" w:rsidRPr="00285BBB">
              <w:rPr>
                <w:rStyle w:val="Hyperlink"/>
                <w:rFonts w:ascii="Times New Roman" w:hAnsi="Times New Roman" w:cs="Times New Roman"/>
                <w:noProof/>
                <w:color w:val="000000" w:themeColor="text1"/>
                <w:sz w:val="24"/>
                <w:szCs w:val="24"/>
              </w:rPr>
              <w:t>Overview of the case study</w:t>
            </w:r>
            <w:r w:rsidR="00285BBB" w:rsidRPr="00285BBB">
              <w:rPr>
                <w:rFonts w:ascii="Times New Roman" w:hAnsi="Times New Roman" w:cs="Times New Roman"/>
                <w:noProof/>
                <w:webHidden/>
                <w:color w:val="000000" w:themeColor="text1"/>
                <w:sz w:val="24"/>
                <w:szCs w:val="24"/>
              </w:rPr>
              <w:tab/>
            </w:r>
            <w:r w:rsidR="00EB3382" w:rsidRPr="00285BBB">
              <w:rPr>
                <w:rFonts w:ascii="Times New Roman" w:hAnsi="Times New Roman" w:cs="Times New Roman"/>
                <w:noProof/>
                <w:webHidden/>
                <w:color w:val="000000" w:themeColor="text1"/>
                <w:sz w:val="24"/>
                <w:szCs w:val="24"/>
              </w:rPr>
              <w:fldChar w:fldCharType="begin"/>
            </w:r>
            <w:r w:rsidR="00285BBB" w:rsidRPr="00285BBB">
              <w:rPr>
                <w:rFonts w:ascii="Times New Roman" w:hAnsi="Times New Roman" w:cs="Times New Roman"/>
                <w:noProof/>
                <w:webHidden/>
                <w:color w:val="000000" w:themeColor="text1"/>
                <w:sz w:val="24"/>
                <w:szCs w:val="24"/>
              </w:rPr>
              <w:instrText xml:space="preserve"> PAGEREF _Toc17190063 \h </w:instrText>
            </w:r>
            <w:r w:rsidR="00EB3382" w:rsidRPr="00285BBB">
              <w:rPr>
                <w:rFonts w:ascii="Times New Roman" w:hAnsi="Times New Roman" w:cs="Times New Roman"/>
                <w:noProof/>
                <w:webHidden/>
                <w:color w:val="000000" w:themeColor="text1"/>
                <w:sz w:val="24"/>
                <w:szCs w:val="24"/>
              </w:rPr>
            </w:r>
            <w:r w:rsidR="00EB3382" w:rsidRPr="00285BBB">
              <w:rPr>
                <w:rFonts w:ascii="Times New Roman" w:hAnsi="Times New Roman" w:cs="Times New Roman"/>
                <w:noProof/>
                <w:webHidden/>
                <w:color w:val="000000" w:themeColor="text1"/>
                <w:sz w:val="24"/>
                <w:szCs w:val="24"/>
              </w:rPr>
              <w:fldChar w:fldCharType="separate"/>
            </w:r>
            <w:r w:rsidR="00E64BBF">
              <w:rPr>
                <w:rFonts w:ascii="Times New Roman" w:hAnsi="Times New Roman" w:cs="Times New Roman"/>
                <w:noProof/>
                <w:webHidden/>
                <w:color w:val="000000" w:themeColor="text1"/>
                <w:sz w:val="24"/>
                <w:szCs w:val="24"/>
              </w:rPr>
              <w:t>3</w:t>
            </w:r>
            <w:r w:rsidR="00EB3382" w:rsidRPr="00285BBB">
              <w:rPr>
                <w:rFonts w:ascii="Times New Roman" w:hAnsi="Times New Roman" w:cs="Times New Roman"/>
                <w:noProof/>
                <w:webHidden/>
                <w:color w:val="000000" w:themeColor="text1"/>
                <w:sz w:val="24"/>
                <w:szCs w:val="24"/>
              </w:rPr>
              <w:fldChar w:fldCharType="end"/>
            </w:r>
          </w:hyperlink>
        </w:p>
        <w:p w14:paraId="1D9F0EAA" w14:textId="77777777" w:rsidR="00285BBB" w:rsidRPr="00285BBB" w:rsidRDefault="004B06D0" w:rsidP="00285BBB">
          <w:pPr>
            <w:pStyle w:val="TOC1"/>
            <w:tabs>
              <w:tab w:val="right" w:pos="9350"/>
            </w:tabs>
            <w:spacing w:line="360" w:lineRule="auto"/>
            <w:jc w:val="both"/>
            <w:rPr>
              <w:rFonts w:ascii="Times New Roman" w:hAnsi="Times New Roman" w:cs="Times New Roman"/>
              <w:noProof/>
              <w:color w:val="000000" w:themeColor="text1"/>
              <w:sz w:val="24"/>
              <w:szCs w:val="24"/>
            </w:rPr>
          </w:pPr>
          <w:hyperlink w:anchor="_Toc17190064" w:history="1">
            <w:r w:rsidR="00285BBB" w:rsidRPr="00285BBB">
              <w:rPr>
                <w:rStyle w:val="Hyperlink"/>
                <w:rFonts w:ascii="Times New Roman" w:hAnsi="Times New Roman" w:cs="Times New Roman"/>
                <w:noProof/>
                <w:color w:val="000000" w:themeColor="text1"/>
                <w:sz w:val="24"/>
                <w:szCs w:val="24"/>
              </w:rPr>
              <w:t>1) Critical assessment of potential benefits to the organisation of personally developing individuals</w:t>
            </w:r>
            <w:r w:rsidR="00285BBB" w:rsidRPr="00285BBB">
              <w:rPr>
                <w:rFonts w:ascii="Times New Roman" w:hAnsi="Times New Roman" w:cs="Times New Roman"/>
                <w:noProof/>
                <w:webHidden/>
                <w:color w:val="000000" w:themeColor="text1"/>
                <w:sz w:val="24"/>
                <w:szCs w:val="24"/>
              </w:rPr>
              <w:tab/>
            </w:r>
            <w:r w:rsidR="00EB3382" w:rsidRPr="00285BBB">
              <w:rPr>
                <w:rFonts w:ascii="Times New Roman" w:hAnsi="Times New Roman" w:cs="Times New Roman"/>
                <w:noProof/>
                <w:webHidden/>
                <w:color w:val="000000" w:themeColor="text1"/>
                <w:sz w:val="24"/>
                <w:szCs w:val="24"/>
              </w:rPr>
              <w:fldChar w:fldCharType="begin"/>
            </w:r>
            <w:r w:rsidR="00285BBB" w:rsidRPr="00285BBB">
              <w:rPr>
                <w:rFonts w:ascii="Times New Roman" w:hAnsi="Times New Roman" w:cs="Times New Roman"/>
                <w:noProof/>
                <w:webHidden/>
                <w:color w:val="000000" w:themeColor="text1"/>
                <w:sz w:val="24"/>
                <w:szCs w:val="24"/>
              </w:rPr>
              <w:instrText xml:space="preserve"> PAGEREF _Toc17190064 \h </w:instrText>
            </w:r>
            <w:r w:rsidR="00EB3382" w:rsidRPr="00285BBB">
              <w:rPr>
                <w:rFonts w:ascii="Times New Roman" w:hAnsi="Times New Roman" w:cs="Times New Roman"/>
                <w:noProof/>
                <w:webHidden/>
                <w:color w:val="000000" w:themeColor="text1"/>
                <w:sz w:val="24"/>
                <w:szCs w:val="24"/>
              </w:rPr>
            </w:r>
            <w:r w:rsidR="00EB3382" w:rsidRPr="00285BBB">
              <w:rPr>
                <w:rFonts w:ascii="Times New Roman" w:hAnsi="Times New Roman" w:cs="Times New Roman"/>
                <w:noProof/>
                <w:webHidden/>
                <w:color w:val="000000" w:themeColor="text1"/>
                <w:sz w:val="24"/>
                <w:szCs w:val="24"/>
              </w:rPr>
              <w:fldChar w:fldCharType="separate"/>
            </w:r>
            <w:r w:rsidR="00E64BBF">
              <w:rPr>
                <w:rFonts w:ascii="Times New Roman" w:hAnsi="Times New Roman" w:cs="Times New Roman"/>
                <w:noProof/>
                <w:webHidden/>
                <w:color w:val="000000" w:themeColor="text1"/>
                <w:sz w:val="24"/>
                <w:szCs w:val="24"/>
              </w:rPr>
              <w:t>4</w:t>
            </w:r>
            <w:r w:rsidR="00EB3382" w:rsidRPr="00285BBB">
              <w:rPr>
                <w:rFonts w:ascii="Times New Roman" w:hAnsi="Times New Roman" w:cs="Times New Roman"/>
                <w:noProof/>
                <w:webHidden/>
                <w:color w:val="000000" w:themeColor="text1"/>
                <w:sz w:val="24"/>
                <w:szCs w:val="24"/>
              </w:rPr>
              <w:fldChar w:fldCharType="end"/>
            </w:r>
          </w:hyperlink>
        </w:p>
        <w:p w14:paraId="7A025A88" w14:textId="77777777" w:rsidR="00285BBB" w:rsidRPr="00285BBB" w:rsidRDefault="004B06D0" w:rsidP="00285BBB">
          <w:pPr>
            <w:pStyle w:val="TOC1"/>
            <w:tabs>
              <w:tab w:val="right" w:pos="9350"/>
            </w:tabs>
            <w:spacing w:line="360" w:lineRule="auto"/>
            <w:jc w:val="both"/>
            <w:rPr>
              <w:rFonts w:ascii="Times New Roman" w:hAnsi="Times New Roman" w:cs="Times New Roman"/>
              <w:noProof/>
              <w:color w:val="000000" w:themeColor="text1"/>
              <w:sz w:val="24"/>
              <w:szCs w:val="24"/>
            </w:rPr>
          </w:pPr>
          <w:hyperlink w:anchor="_Toc17190065" w:history="1">
            <w:r w:rsidR="00285BBB" w:rsidRPr="00285BBB">
              <w:rPr>
                <w:rStyle w:val="Hyperlink"/>
                <w:rFonts w:ascii="Times New Roman" w:hAnsi="Times New Roman" w:cs="Times New Roman"/>
                <w:noProof/>
                <w:color w:val="000000" w:themeColor="text1"/>
                <w:sz w:val="24"/>
                <w:szCs w:val="24"/>
              </w:rPr>
              <w:t>2) Critical evaluation of development vehicles in the organisation &amp; extent of being appropriate in meeting individual development needs</w:t>
            </w:r>
            <w:r w:rsidR="00285BBB" w:rsidRPr="00285BBB">
              <w:rPr>
                <w:rFonts w:ascii="Times New Roman" w:hAnsi="Times New Roman" w:cs="Times New Roman"/>
                <w:noProof/>
                <w:webHidden/>
                <w:color w:val="000000" w:themeColor="text1"/>
                <w:sz w:val="24"/>
                <w:szCs w:val="24"/>
              </w:rPr>
              <w:tab/>
            </w:r>
            <w:r w:rsidR="00EB3382" w:rsidRPr="00285BBB">
              <w:rPr>
                <w:rFonts w:ascii="Times New Roman" w:hAnsi="Times New Roman" w:cs="Times New Roman"/>
                <w:noProof/>
                <w:webHidden/>
                <w:color w:val="000000" w:themeColor="text1"/>
                <w:sz w:val="24"/>
                <w:szCs w:val="24"/>
              </w:rPr>
              <w:fldChar w:fldCharType="begin"/>
            </w:r>
            <w:r w:rsidR="00285BBB" w:rsidRPr="00285BBB">
              <w:rPr>
                <w:rFonts w:ascii="Times New Roman" w:hAnsi="Times New Roman" w:cs="Times New Roman"/>
                <w:noProof/>
                <w:webHidden/>
                <w:color w:val="000000" w:themeColor="text1"/>
                <w:sz w:val="24"/>
                <w:szCs w:val="24"/>
              </w:rPr>
              <w:instrText xml:space="preserve"> PAGEREF _Toc17190065 \h </w:instrText>
            </w:r>
            <w:r w:rsidR="00EB3382" w:rsidRPr="00285BBB">
              <w:rPr>
                <w:rFonts w:ascii="Times New Roman" w:hAnsi="Times New Roman" w:cs="Times New Roman"/>
                <w:noProof/>
                <w:webHidden/>
                <w:color w:val="000000" w:themeColor="text1"/>
                <w:sz w:val="24"/>
                <w:szCs w:val="24"/>
              </w:rPr>
            </w:r>
            <w:r w:rsidR="00EB3382" w:rsidRPr="00285BBB">
              <w:rPr>
                <w:rFonts w:ascii="Times New Roman" w:hAnsi="Times New Roman" w:cs="Times New Roman"/>
                <w:noProof/>
                <w:webHidden/>
                <w:color w:val="000000" w:themeColor="text1"/>
                <w:sz w:val="24"/>
                <w:szCs w:val="24"/>
              </w:rPr>
              <w:fldChar w:fldCharType="separate"/>
            </w:r>
            <w:r w:rsidR="00E64BBF">
              <w:rPr>
                <w:rFonts w:ascii="Times New Roman" w:hAnsi="Times New Roman" w:cs="Times New Roman"/>
                <w:noProof/>
                <w:webHidden/>
                <w:color w:val="000000" w:themeColor="text1"/>
                <w:sz w:val="24"/>
                <w:szCs w:val="24"/>
              </w:rPr>
              <w:t>7</w:t>
            </w:r>
            <w:r w:rsidR="00EB3382" w:rsidRPr="00285BBB">
              <w:rPr>
                <w:rFonts w:ascii="Times New Roman" w:hAnsi="Times New Roman" w:cs="Times New Roman"/>
                <w:noProof/>
                <w:webHidden/>
                <w:color w:val="000000" w:themeColor="text1"/>
                <w:sz w:val="24"/>
                <w:szCs w:val="24"/>
              </w:rPr>
              <w:fldChar w:fldCharType="end"/>
            </w:r>
          </w:hyperlink>
        </w:p>
        <w:p w14:paraId="47581E40" w14:textId="77777777" w:rsidR="00285BBB" w:rsidRPr="00285BBB" w:rsidRDefault="004B06D0" w:rsidP="00285BBB">
          <w:pPr>
            <w:pStyle w:val="TOC1"/>
            <w:tabs>
              <w:tab w:val="right" w:pos="9350"/>
            </w:tabs>
            <w:spacing w:line="360" w:lineRule="auto"/>
            <w:jc w:val="both"/>
            <w:rPr>
              <w:rFonts w:ascii="Times New Roman" w:hAnsi="Times New Roman" w:cs="Times New Roman"/>
              <w:noProof/>
              <w:color w:val="000000" w:themeColor="text1"/>
              <w:sz w:val="24"/>
              <w:szCs w:val="24"/>
            </w:rPr>
          </w:pPr>
          <w:hyperlink w:anchor="_Toc17190066" w:history="1">
            <w:r w:rsidR="00285BBB" w:rsidRPr="00285BBB">
              <w:rPr>
                <w:rStyle w:val="Hyperlink"/>
                <w:rFonts w:ascii="Times New Roman" w:hAnsi="Times New Roman" w:cs="Times New Roman"/>
                <w:noProof/>
                <w:color w:val="000000" w:themeColor="text1"/>
                <w:sz w:val="24"/>
                <w:szCs w:val="24"/>
              </w:rPr>
              <w:t>3) Plan to meet identified development needs and expectations</w:t>
            </w:r>
            <w:r w:rsidR="00285BBB" w:rsidRPr="00285BBB">
              <w:rPr>
                <w:rFonts w:ascii="Times New Roman" w:hAnsi="Times New Roman" w:cs="Times New Roman"/>
                <w:noProof/>
                <w:webHidden/>
                <w:color w:val="000000" w:themeColor="text1"/>
                <w:sz w:val="24"/>
                <w:szCs w:val="24"/>
              </w:rPr>
              <w:tab/>
            </w:r>
            <w:r w:rsidR="00EB3382" w:rsidRPr="00285BBB">
              <w:rPr>
                <w:rFonts w:ascii="Times New Roman" w:hAnsi="Times New Roman" w:cs="Times New Roman"/>
                <w:noProof/>
                <w:webHidden/>
                <w:color w:val="000000" w:themeColor="text1"/>
                <w:sz w:val="24"/>
                <w:szCs w:val="24"/>
              </w:rPr>
              <w:fldChar w:fldCharType="begin"/>
            </w:r>
            <w:r w:rsidR="00285BBB" w:rsidRPr="00285BBB">
              <w:rPr>
                <w:rFonts w:ascii="Times New Roman" w:hAnsi="Times New Roman" w:cs="Times New Roman"/>
                <w:noProof/>
                <w:webHidden/>
                <w:color w:val="000000" w:themeColor="text1"/>
                <w:sz w:val="24"/>
                <w:szCs w:val="24"/>
              </w:rPr>
              <w:instrText xml:space="preserve"> PAGEREF _Toc17190066 \h </w:instrText>
            </w:r>
            <w:r w:rsidR="00EB3382" w:rsidRPr="00285BBB">
              <w:rPr>
                <w:rFonts w:ascii="Times New Roman" w:hAnsi="Times New Roman" w:cs="Times New Roman"/>
                <w:noProof/>
                <w:webHidden/>
                <w:color w:val="000000" w:themeColor="text1"/>
                <w:sz w:val="24"/>
                <w:szCs w:val="24"/>
              </w:rPr>
            </w:r>
            <w:r w:rsidR="00EB3382" w:rsidRPr="00285BBB">
              <w:rPr>
                <w:rFonts w:ascii="Times New Roman" w:hAnsi="Times New Roman" w:cs="Times New Roman"/>
                <w:noProof/>
                <w:webHidden/>
                <w:color w:val="000000" w:themeColor="text1"/>
                <w:sz w:val="24"/>
                <w:szCs w:val="24"/>
              </w:rPr>
              <w:fldChar w:fldCharType="separate"/>
            </w:r>
            <w:r w:rsidR="00E64BBF">
              <w:rPr>
                <w:rFonts w:ascii="Times New Roman" w:hAnsi="Times New Roman" w:cs="Times New Roman"/>
                <w:noProof/>
                <w:webHidden/>
                <w:color w:val="000000" w:themeColor="text1"/>
                <w:sz w:val="24"/>
                <w:szCs w:val="24"/>
              </w:rPr>
              <w:t>12</w:t>
            </w:r>
            <w:r w:rsidR="00EB3382" w:rsidRPr="00285BBB">
              <w:rPr>
                <w:rFonts w:ascii="Times New Roman" w:hAnsi="Times New Roman" w:cs="Times New Roman"/>
                <w:noProof/>
                <w:webHidden/>
                <w:color w:val="000000" w:themeColor="text1"/>
                <w:sz w:val="24"/>
                <w:szCs w:val="24"/>
              </w:rPr>
              <w:fldChar w:fldCharType="end"/>
            </w:r>
          </w:hyperlink>
        </w:p>
        <w:p w14:paraId="1A8D470F" w14:textId="77777777" w:rsidR="00285BBB" w:rsidRPr="00285BBB" w:rsidRDefault="004B06D0" w:rsidP="00285BBB">
          <w:pPr>
            <w:pStyle w:val="TOC1"/>
            <w:tabs>
              <w:tab w:val="right" w:pos="9350"/>
            </w:tabs>
            <w:spacing w:line="360" w:lineRule="auto"/>
            <w:jc w:val="both"/>
            <w:rPr>
              <w:rFonts w:ascii="Times New Roman" w:hAnsi="Times New Roman" w:cs="Times New Roman"/>
              <w:noProof/>
              <w:color w:val="000000" w:themeColor="text1"/>
              <w:sz w:val="24"/>
              <w:szCs w:val="24"/>
            </w:rPr>
          </w:pPr>
          <w:hyperlink w:anchor="_Toc17190067" w:history="1">
            <w:r w:rsidR="00285BBB" w:rsidRPr="00285BBB">
              <w:rPr>
                <w:rStyle w:val="Hyperlink"/>
                <w:rFonts w:ascii="Times New Roman" w:hAnsi="Times New Roman" w:cs="Times New Roman"/>
                <w:noProof/>
                <w:color w:val="000000" w:themeColor="text1"/>
                <w:sz w:val="24"/>
                <w:szCs w:val="24"/>
              </w:rPr>
              <w:t>Conclusion</w:t>
            </w:r>
            <w:r w:rsidR="00285BBB" w:rsidRPr="00285BBB">
              <w:rPr>
                <w:rFonts w:ascii="Times New Roman" w:hAnsi="Times New Roman" w:cs="Times New Roman"/>
                <w:noProof/>
                <w:webHidden/>
                <w:color w:val="000000" w:themeColor="text1"/>
                <w:sz w:val="24"/>
                <w:szCs w:val="24"/>
              </w:rPr>
              <w:tab/>
            </w:r>
            <w:r w:rsidR="00EB3382" w:rsidRPr="00285BBB">
              <w:rPr>
                <w:rFonts w:ascii="Times New Roman" w:hAnsi="Times New Roman" w:cs="Times New Roman"/>
                <w:noProof/>
                <w:webHidden/>
                <w:color w:val="000000" w:themeColor="text1"/>
                <w:sz w:val="24"/>
                <w:szCs w:val="24"/>
              </w:rPr>
              <w:fldChar w:fldCharType="begin"/>
            </w:r>
            <w:r w:rsidR="00285BBB" w:rsidRPr="00285BBB">
              <w:rPr>
                <w:rFonts w:ascii="Times New Roman" w:hAnsi="Times New Roman" w:cs="Times New Roman"/>
                <w:noProof/>
                <w:webHidden/>
                <w:color w:val="000000" w:themeColor="text1"/>
                <w:sz w:val="24"/>
                <w:szCs w:val="24"/>
              </w:rPr>
              <w:instrText xml:space="preserve"> PAGEREF _Toc17190067 \h </w:instrText>
            </w:r>
            <w:r w:rsidR="00EB3382" w:rsidRPr="00285BBB">
              <w:rPr>
                <w:rFonts w:ascii="Times New Roman" w:hAnsi="Times New Roman" w:cs="Times New Roman"/>
                <w:noProof/>
                <w:webHidden/>
                <w:color w:val="000000" w:themeColor="text1"/>
                <w:sz w:val="24"/>
                <w:szCs w:val="24"/>
              </w:rPr>
            </w:r>
            <w:r w:rsidR="00EB3382" w:rsidRPr="00285BBB">
              <w:rPr>
                <w:rFonts w:ascii="Times New Roman" w:hAnsi="Times New Roman" w:cs="Times New Roman"/>
                <w:noProof/>
                <w:webHidden/>
                <w:color w:val="000000" w:themeColor="text1"/>
                <w:sz w:val="24"/>
                <w:szCs w:val="24"/>
              </w:rPr>
              <w:fldChar w:fldCharType="separate"/>
            </w:r>
            <w:r w:rsidR="00E64BBF">
              <w:rPr>
                <w:rFonts w:ascii="Times New Roman" w:hAnsi="Times New Roman" w:cs="Times New Roman"/>
                <w:noProof/>
                <w:webHidden/>
                <w:color w:val="000000" w:themeColor="text1"/>
                <w:sz w:val="24"/>
                <w:szCs w:val="24"/>
              </w:rPr>
              <w:t>16</w:t>
            </w:r>
            <w:r w:rsidR="00EB3382" w:rsidRPr="00285BBB">
              <w:rPr>
                <w:rFonts w:ascii="Times New Roman" w:hAnsi="Times New Roman" w:cs="Times New Roman"/>
                <w:noProof/>
                <w:webHidden/>
                <w:color w:val="000000" w:themeColor="text1"/>
                <w:sz w:val="24"/>
                <w:szCs w:val="24"/>
              </w:rPr>
              <w:fldChar w:fldCharType="end"/>
            </w:r>
          </w:hyperlink>
        </w:p>
        <w:p w14:paraId="38EBBAB4" w14:textId="77777777" w:rsidR="00285BBB" w:rsidRPr="00285BBB" w:rsidRDefault="004B06D0" w:rsidP="00285BBB">
          <w:pPr>
            <w:pStyle w:val="TOC1"/>
            <w:tabs>
              <w:tab w:val="right" w:pos="9350"/>
            </w:tabs>
            <w:spacing w:line="360" w:lineRule="auto"/>
            <w:jc w:val="both"/>
            <w:rPr>
              <w:rFonts w:ascii="Times New Roman" w:hAnsi="Times New Roman" w:cs="Times New Roman"/>
              <w:noProof/>
              <w:color w:val="000000" w:themeColor="text1"/>
              <w:sz w:val="24"/>
              <w:szCs w:val="24"/>
            </w:rPr>
          </w:pPr>
          <w:hyperlink w:anchor="_Toc17190068" w:history="1">
            <w:r w:rsidR="00285BBB" w:rsidRPr="00285BBB">
              <w:rPr>
                <w:rStyle w:val="Hyperlink"/>
                <w:rFonts w:ascii="Times New Roman" w:hAnsi="Times New Roman" w:cs="Times New Roman"/>
                <w:noProof/>
                <w:color w:val="000000" w:themeColor="text1"/>
                <w:sz w:val="24"/>
                <w:szCs w:val="24"/>
              </w:rPr>
              <w:t>References</w:t>
            </w:r>
            <w:r w:rsidR="00285BBB" w:rsidRPr="00285BBB">
              <w:rPr>
                <w:rFonts w:ascii="Times New Roman" w:hAnsi="Times New Roman" w:cs="Times New Roman"/>
                <w:noProof/>
                <w:webHidden/>
                <w:color w:val="000000" w:themeColor="text1"/>
                <w:sz w:val="24"/>
                <w:szCs w:val="24"/>
              </w:rPr>
              <w:tab/>
            </w:r>
            <w:r w:rsidR="00EB3382" w:rsidRPr="00285BBB">
              <w:rPr>
                <w:rFonts w:ascii="Times New Roman" w:hAnsi="Times New Roman" w:cs="Times New Roman"/>
                <w:noProof/>
                <w:webHidden/>
                <w:color w:val="000000" w:themeColor="text1"/>
                <w:sz w:val="24"/>
                <w:szCs w:val="24"/>
              </w:rPr>
              <w:fldChar w:fldCharType="begin"/>
            </w:r>
            <w:r w:rsidR="00285BBB" w:rsidRPr="00285BBB">
              <w:rPr>
                <w:rFonts w:ascii="Times New Roman" w:hAnsi="Times New Roman" w:cs="Times New Roman"/>
                <w:noProof/>
                <w:webHidden/>
                <w:color w:val="000000" w:themeColor="text1"/>
                <w:sz w:val="24"/>
                <w:szCs w:val="24"/>
              </w:rPr>
              <w:instrText xml:space="preserve"> PAGEREF _Toc17190068 \h </w:instrText>
            </w:r>
            <w:r w:rsidR="00EB3382" w:rsidRPr="00285BBB">
              <w:rPr>
                <w:rFonts w:ascii="Times New Roman" w:hAnsi="Times New Roman" w:cs="Times New Roman"/>
                <w:noProof/>
                <w:webHidden/>
                <w:color w:val="000000" w:themeColor="text1"/>
                <w:sz w:val="24"/>
                <w:szCs w:val="24"/>
              </w:rPr>
            </w:r>
            <w:r w:rsidR="00EB3382" w:rsidRPr="00285BBB">
              <w:rPr>
                <w:rFonts w:ascii="Times New Roman" w:hAnsi="Times New Roman" w:cs="Times New Roman"/>
                <w:noProof/>
                <w:webHidden/>
                <w:color w:val="000000" w:themeColor="text1"/>
                <w:sz w:val="24"/>
                <w:szCs w:val="24"/>
              </w:rPr>
              <w:fldChar w:fldCharType="separate"/>
            </w:r>
            <w:r w:rsidR="00E64BBF">
              <w:rPr>
                <w:rFonts w:ascii="Times New Roman" w:hAnsi="Times New Roman" w:cs="Times New Roman"/>
                <w:noProof/>
                <w:webHidden/>
                <w:color w:val="000000" w:themeColor="text1"/>
                <w:sz w:val="24"/>
                <w:szCs w:val="24"/>
              </w:rPr>
              <w:t>18</w:t>
            </w:r>
            <w:r w:rsidR="00EB3382" w:rsidRPr="00285BBB">
              <w:rPr>
                <w:rFonts w:ascii="Times New Roman" w:hAnsi="Times New Roman" w:cs="Times New Roman"/>
                <w:noProof/>
                <w:webHidden/>
                <w:color w:val="000000" w:themeColor="text1"/>
                <w:sz w:val="24"/>
                <w:szCs w:val="24"/>
              </w:rPr>
              <w:fldChar w:fldCharType="end"/>
            </w:r>
          </w:hyperlink>
        </w:p>
        <w:p w14:paraId="46666455" w14:textId="77777777" w:rsidR="00E923B4" w:rsidRDefault="00EB3382">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r>
            <w:fldChar w:fldCharType="end"/>
          </w:r>
        </w:p>
      </w:sdtContent>
    </w:sdt>
    <w:p w14:paraId="6123DBA8" w14:textId="77777777" w:rsidR="00E923B4" w:rsidRDefault="00AB50CA">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br w:type="page"/>
      </w:r>
    </w:p>
    <w:p w14:paraId="37AEA083" w14:textId="77777777" w:rsidR="00E923B4" w:rsidRDefault="00AB50CA">
      <w:pPr>
        <w:pStyle w:val="Heading1"/>
        <w:spacing w:line="360" w:lineRule="auto"/>
        <w:rPr>
          <w:b w:val="0"/>
          <w:highlight w:val="white"/>
        </w:rPr>
      </w:pPr>
      <w:bookmarkStart w:id="2" w:name="_Toc17190062"/>
      <w:r>
        <w:rPr>
          <w:highlight w:val="white"/>
        </w:rPr>
        <w:t>Introduction</w:t>
      </w:r>
      <w:bookmarkEnd w:id="2"/>
    </w:p>
    <w:p w14:paraId="41508B52"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Maintaining positive relationships within the workplace is important for both organisational and individual development. Employee acts as the lever without which an organisation cannot operate. Employees require opportunities for career development and better position in the workplace so that they are motivated to work. Moreover, individual development increases the chances of forming effective team and generating high quality work. Numerous benefits can be derived from managing good relationship within the organisation. The most common benefits include long term, more meaningful and sustainable connections within the organisation. This study aims at developing performance management strategies along with career and personal development of employees of </w:t>
      </w:r>
      <w:r>
        <w:rPr>
          <w:rFonts w:ascii="Times New Roman" w:eastAsia="Times New Roman" w:hAnsi="Times New Roman" w:cs="Times New Roman"/>
          <w:color w:val="000000"/>
          <w:sz w:val="24"/>
          <w:szCs w:val="24"/>
        </w:rPr>
        <w:t>Holland and Barrett</w:t>
      </w:r>
      <w:r>
        <w:rPr>
          <w:rFonts w:ascii="Times New Roman" w:eastAsia="Times New Roman" w:hAnsi="Times New Roman" w:cs="Times New Roman"/>
          <w:color w:val="000000"/>
          <w:sz w:val="24"/>
          <w:szCs w:val="24"/>
          <w:highlight w:val="white"/>
        </w:rPr>
        <w:t xml:space="preserve">. </w:t>
      </w:r>
    </w:p>
    <w:p w14:paraId="49FD9870"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Holland and Barrett is the leading retailer headquartered in Nuneaton in the UK (</w:t>
      </w:r>
      <w:r>
        <w:rPr>
          <w:rFonts w:ascii="Times New Roman" w:eastAsia="Times New Roman" w:hAnsi="Times New Roman" w:cs="Times New Roman"/>
          <w:color w:val="000000"/>
          <w:sz w:val="24"/>
          <w:szCs w:val="24"/>
        </w:rPr>
        <w:t>hollandandbarrett.com</w:t>
      </w:r>
      <w:r>
        <w:rPr>
          <w:rFonts w:ascii="Times New Roman" w:eastAsia="Times New Roman" w:hAnsi="Times New Roman" w:cs="Times New Roman"/>
          <w:color w:val="000000"/>
          <w:sz w:val="24"/>
          <w:szCs w:val="24"/>
          <w:highlight w:val="white"/>
        </w:rPr>
        <w:t xml:space="preserve">, 2019). The company holds 1300 stores across 16 countries globally. The company provides </w:t>
      </w:r>
      <w:r>
        <w:rPr>
          <w:rFonts w:ascii="Times New Roman" w:eastAsia="Times New Roman" w:hAnsi="Times New Roman" w:cs="Times New Roman"/>
          <w:color w:val="000000"/>
          <w:sz w:val="24"/>
          <w:szCs w:val="24"/>
        </w:rPr>
        <w:t xml:space="preserve">its customers with natural health products, herbal </w:t>
      </w:r>
      <w:r>
        <w:rPr>
          <w:rFonts w:ascii="Times New Roman" w:eastAsia="Times New Roman" w:hAnsi="Times New Roman" w:cs="Times New Roman"/>
          <w:color w:val="000000"/>
          <w:sz w:val="24"/>
          <w:szCs w:val="24"/>
          <w:highlight w:val="white"/>
        </w:rPr>
        <w:t>supplies and food supplements. The study mentions a critical evaluation of the probable advantages that personal development of individuals has on the organisation. Moreover, an evaluation of development vehicles that can be used by the organisation and the extent of their effectiveness on individual development in meeting individual development needs have been obtained. A plan has been prepared to gather the identified development needs along with the organisation’s expectations.</w:t>
      </w:r>
    </w:p>
    <w:p w14:paraId="20CDDDC0" w14:textId="77777777" w:rsidR="00E923B4" w:rsidRDefault="00AB50CA">
      <w:pPr>
        <w:pStyle w:val="Heading1"/>
        <w:spacing w:line="360" w:lineRule="auto"/>
        <w:jc w:val="both"/>
      </w:pPr>
      <w:bookmarkStart w:id="3" w:name="_i9kr8q1z6au" w:colFirst="0" w:colLast="0"/>
      <w:bookmarkStart w:id="4" w:name="_Toc17190063"/>
      <w:bookmarkEnd w:id="3"/>
      <w:r>
        <w:t>Overview of the case study</w:t>
      </w:r>
      <w:bookmarkEnd w:id="4"/>
    </w:p>
    <w:p w14:paraId="14C0D928" w14:textId="77777777" w:rsidR="00E923B4" w:rsidRPr="00B948A0" w:rsidRDefault="00AB50CA" w:rsidP="00E55398">
      <w:pPr>
        <w:spacing w:line="360" w:lineRule="auto"/>
        <w:jc w:val="both"/>
        <w:rPr>
          <w:rFonts w:ascii="Times New Roman" w:eastAsia="Times New Roman" w:hAnsi="Times New Roman" w:cs="Times New Roman"/>
          <w:color w:val="000000" w:themeColor="text1"/>
          <w:sz w:val="24"/>
          <w:szCs w:val="24"/>
        </w:rPr>
      </w:pPr>
      <w:r w:rsidRPr="00B948A0">
        <w:rPr>
          <w:rFonts w:ascii="Times New Roman" w:eastAsia="Times New Roman" w:hAnsi="Times New Roman" w:cs="Times New Roman"/>
          <w:color w:val="000000" w:themeColor="text1"/>
          <w:sz w:val="24"/>
          <w:szCs w:val="24"/>
        </w:rPr>
        <w:t xml:space="preserve">The study includes an assessment of the benefits that would be gained by the organisation Holland and Barrett by implementing ways for the individual development of their employees. It outlines the examination process as well as the management of performance and succession planning for the employees. The benefits of the same for the employees and the organisation </w:t>
      </w:r>
      <w:r w:rsidR="00DD669C" w:rsidRPr="00B948A0">
        <w:rPr>
          <w:rFonts w:ascii="Times New Roman" w:eastAsia="Times New Roman" w:hAnsi="Times New Roman" w:cs="Times New Roman"/>
          <w:color w:val="000000" w:themeColor="text1"/>
          <w:sz w:val="24"/>
          <w:szCs w:val="24"/>
        </w:rPr>
        <w:t>have also been</w:t>
      </w:r>
      <w:r w:rsidRPr="00B948A0">
        <w:rPr>
          <w:rFonts w:ascii="Times New Roman" w:eastAsia="Times New Roman" w:hAnsi="Times New Roman" w:cs="Times New Roman"/>
          <w:color w:val="000000" w:themeColor="text1"/>
          <w:sz w:val="24"/>
          <w:szCs w:val="24"/>
        </w:rPr>
        <w:t xml:space="preserve"> discussed below. This is followed by a critical evaluation of the vehicles of development that have been utilised by the company and their extent of facilitating personal development of the employees. After the evaluation process, an effective plan has been prepared where the developmental needs have been </w:t>
      </w:r>
      <w:r w:rsidR="00DD669C" w:rsidRPr="00B948A0">
        <w:rPr>
          <w:rFonts w:ascii="Times New Roman" w:eastAsia="Times New Roman" w:hAnsi="Times New Roman" w:cs="Times New Roman"/>
          <w:color w:val="000000" w:themeColor="text1"/>
          <w:sz w:val="24"/>
          <w:szCs w:val="24"/>
        </w:rPr>
        <w:t xml:space="preserve">identified as well as strategies that the company is required to implement </w:t>
      </w:r>
      <w:r w:rsidRPr="00B948A0">
        <w:rPr>
          <w:rFonts w:ascii="Times New Roman" w:eastAsia="Times New Roman" w:hAnsi="Times New Roman" w:cs="Times New Roman"/>
          <w:color w:val="000000" w:themeColor="text1"/>
          <w:sz w:val="24"/>
          <w:szCs w:val="24"/>
        </w:rPr>
        <w:t>in accordance to the expectations of Holland and Barrett.</w:t>
      </w:r>
      <w:r w:rsidR="00DD669C" w:rsidRPr="00B948A0">
        <w:rPr>
          <w:rFonts w:ascii="Times New Roman" w:eastAsia="Times New Roman" w:hAnsi="Times New Roman" w:cs="Times New Roman"/>
          <w:color w:val="000000" w:themeColor="text1"/>
          <w:sz w:val="24"/>
          <w:szCs w:val="24"/>
        </w:rPr>
        <w:t xml:space="preserve"> This plan would help the company to increase the job satisfaction of its employees and promote a positive environment which facilitates personal growth.</w:t>
      </w:r>
    </w:p>
    <w:p w14:paraId="4557952B" w14:textId="77777777" w:rsidR="00E923B4" w:rsidRDefault="00AB50CA">
      <w:pPr>
        <w:pStyle w:val="Heading1"/>
        <w:rPr>
          <w:highlight w:val="white"/>
        </w:rPr>
      </w:pPr>
      <w:bookmarkStart w:id="5" w:name="_Toc17190064"/>
      <w:r>
        <w:rPr>
          <w:highlight w:val="white"/>
        </w:rPr>
        <w:t>1) Critical assessment of potential benefits to the organisation of personally developing individuals</w:t>
      </w:r>
      <w:bookmarkEnd w:id="5"/>
    </w:p>
    <w:p w14:paraId="4C0270F5"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Examination of the expectations and requirements of individuals in the organisation </w:t>
      </w:r>
    </w:p>
    <w:p w14:paraId="14B434C8"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The workforce present in Holland and Barrett comprises of a dynamic group of individuals who have their own personalities and needs. Each individual has their own expectations and requirements from the company. This can be in terms of job security, financial incentives, work culture, an opportunity for career growth and the work environment. There are four main theories that aim to define personality which includes the psychoanalytical, trait, humanistic and social cognition theories. The trait theory and social cognition theories would provide Holland and Barrett with a better understanding of their employees and their needs. </w:t>
      </w:r>
    </w:p>
    <w:p w14:paraId="6059A4F6"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Trait theory</w:t>
      </w:r>
    </w:p>
    <w:p w14:paraId="6A1A5612"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As per the trait theory, personality is said to comprise of stable traits that cause a person to conduct themselves in a certain way. It is the most scientific theory among the four personality theories as multiple researches has been conducted to prove its validity in the workplace. The trait theory includes a five-factor model which are openness, conscientiousness, extraversion, agreeableness and neuroticism (Fleeson and Jayawickreme, 2015). Openness refers to how open-minded and willing an individual is at trying new things while conscientiousness measures how reliable organised and diligent an individual is. Extraversion refers to the degree at which an individual draws energy from social interaction or from within themselves. Agreeableness measures the degree of friendliness, tolerance level and compassion of individuals while neuroticism refers to the degree of emotional instability and the level of negative emotions present within an individual (Cervone and Pervin, 2015).  </w:t>
      </w:r>
    </w:p>
    <w:p w14:paraId="0F64CF2D"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Holland and Barrett can use this personality theory to identify which employees require more social interaction or harness more negative emotions than others. It could also help the company to ascertain employee requirements based on the degree of each trait present in the employees’ personality and what motivates them. It will facilitate a healthier working environment based on the comfort zones of the employees which in turn will reduce employee turnover. </w:t>
      </w:r>
    </w:p>
    <w:p w14:paraId="296CB4A3"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Management of performance and succession planning of employees </w:t>
      </w:r>
    </w:p>
    <w:p w14:paraId="4A5A8909"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Succession planning is a systematic activity which ensures an organisation’s capability to consistently fill vacancies in the future which are consistent with the merit requirements. Its prime focus is to ensure the accessibility and sustainability of competent employees who are prepared for pivotal organisational roles as and when these roles become available. According to Mone and London (2018), it involves the procedure of providing training and preparing the employees so that they are ready to take up the job roles when the position becomes available. </w:t>
      </w:r>
    </w:p>
    <w:p w14:paraId="0E48047A"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Holland and Barrett would benefit from implementing successful planning of employees through their personal development as this will prepare the employees with the necessary knowledge, skills and personality characteristics required for fulfilling the key organisational roles. Managing and developing internal talent and constantly monitoring these developments would ensure that the employees will have the necessary abilities for their future leadership roles (Adebola, 2019). </w:t>
      </w:r>
    </w:p>
    <w:p w14:paraId="7BE06680"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The company is required to customise personal development plans on the basis of the organisation’s needs and develop key candidates who hold potential for filling future higher job openings. The work culture of Holland and Barrett is required to be considered for creating a proper development plan for the individuals. The plan is also required to be consistent with the future direction that the company aims to head towards. The performance of the employees is required to be managed to recognize the potential and arenas of development of the individuals. The company would be able to achieve this by analysing future requirements within the organisation and connecting succession planning with the individual needs and requirements of the employees through the use of incentives to reinforce positive behaviour. </w:t>
      </w:r>
    </w:p>
    <w:p w14:paraId="6AC946D1" w14:textId="77777777" w:rsidR="00E923B4" w:rsidRDefault="00E923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p>
    <w:p w14:paraId="46AEA5C1"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Potential benefits of personal development of employees for the organisation </w:t>
      </w:r>
    </w:p>
    <w:p w14:paraId="3519B142"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Self-development or personal development of individuals has an added advantage for both the employees and the organisation. Personal development improves the quality of work and skills possessed by the employees. This would enable Holland and Barrett in creating an upwardly mobile workforce which facilitates internal promotion of employees. Personal development would also increase employee productivity and maximise the value that the employees have to the company (Goffee and Scase, 2015). </w:t>
      </w:r>
    </w:p>
    <w:p w14:paraId="35B20A24"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The goals of self-development are required to be aligned with the needs of the organisation as these programs are undertaken during working hours. Selecting an appropriate time to assess employee development needs is the first step for aligning organisational goals with personal goals. In order to do so, performance appraisal meetings can be considered to be the best time to set personal development goals of the employees where an employee and their manager can set these goals after a mutual discussion. </w:t>
      </w:r>
    </w:p>
    <w:p w14:paraId="0A3BE6C4"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personal development plan is an effective method of maintaining a record of individual developmental needs, personal goals, actions and progress towards the achievement of goals. It plays an indispensable role in the performance appraisal procedure to ensure that the individual goals are united with the organisation’s goals and individual progress can be tracked.</w:t>
      </w:r>
    </w:p>
    <w:p w14:paraId="37109EF5"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It would also help Holland and Barrett to handle changes within the organisation in an effective manner as employees are continuously provided personal development training to improve their knowledge and skills. Personal development is beneficial for improving the self-esteem and overall mental health of the employees as well and this leads to an improvement in the personal management skills of the individuals. An increase in employee morale and job satisfaction is among the top potential benefits that personal development plans would have on the employees of the company.</w:t>
      </w:r>
    </w:p>
    <w:p w14:paraId="13AEE7DC"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Potential benefits of personal development for the employees of the organisation </w:t>
      </w:r>
    </w:p>
    <w:p w14:paraId="3801A802"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implementation of personal development plans and programs have multiple benefits for the employees of their organisation to identify their shortcomings in skills and help in the overall development of their self. It helps in gaining a realistic picture of the individuals which would help the individuals identify the areas in their skills and knowledge where they are required to improve. As opined by Tanwar and Prasad (2016), personal development is beneficial for improving the mental health of the individuals and teaching them effective coping mechanisms to achieve an optimum work-life balance and positive mental health. It will also help the individuals to learn time and stress management along with controlling their emotions and actions in an effective manner.</w:t>
      </w:r>
    </w:p>
    <w:p w14:paraId="32971A56"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Moreover, the employees of Holland and Barrett will be self-aware and able to track and identify their own negative and unproductive behaviour and work towards improving themselves. The employees will consequently feel more motivated and willing to take initiative from themselves once they become aware of their personal strengths and weaknesses. Improving the area of personal development of Holland and Barrett is required for an improvement in the skills of the employees. It would also facilitate career growth and as mentioned previously, facilitate internal promotions of competent employees. </w:t>
      </w:r>
    </w:p>
    <w:p w14:paraId="69DA2543" w14:textId="77777777" w:rsidR="00E923B4" w:rsidRDefault="00AB50CA">
      <w:pPr>
        <w:pStyle w:val="Heading1"/>
        <w:rPr>
          <w:highlight w:val="white"/>
        </w:rPr>
      </w:pPr>
      <w:bookmarkStart w:id="6" w:name="_Toc17190065"/>
      <w:r>
        <w:rPr>
          <w:highlight w:val="white"/>
        </w:rPr>
        <w:t>2) Critical evaluation of development vehicles in the organisation &amp; extent of being appropriate in meeting individual development needs</w:t>
      </w:r>
      <w:bookmarkEnd w:id="6"/>
    </w:p>
    <w:p w14:paraId="70D47B3D"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Support structures within the organisation </w:t>
      </w:r>
    </w:p>
    <w:p w14:paraId="2288D5B0"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 need for the existence of an elaborate organisational structure that helps meet individual developmental needs is required to be a part of all organisations. According to Hoehberg (2017), the three common types of hierarchies include the functional, divisional and matrix structures. In the functional structure, roles are defined based on their area of expertise. It promotes accountability and provides scope for promotions to higher roles within the functional area. The divisional structure on the other hand is organised on the basis of geographical locations or products and services provided by the organisation. Matrix organisational structure is a blend of both functional and organisational structures. </w:t>
      </w:r>
    </w:p>
    <w:p w14:paraId="767A8498"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As opined by Mansouri, Singh, and Khan (2018), traditional hierarchies need to be modified in order to create an open and flat organisational structure which promotes individual development of its employees. It also provides clarity of job roles and responsibilities provide a scope for individual development. However, in the context of Holland and Barrett, the organisational structure includes multiple layers which could create problems associated with miscommunication and lack of autonomy and talent recognition.  </w:t>
      </w:r>
    </w:p>
    <w:p w14:paraId="553DBC3F"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Holland and Barrett can use a flatter organisational structure for its departments which would promote autonomy and independent decision making. This would make the employees feel empowered to accept new responsibilities and take initiatives. </w:t>
      </w:r>
    </w:p>
    <w:p w14:paraId="3C6B8EA2"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Techniques for supervision and formal appraisal </w:t>
      </w:r>
    </w:p>
    <w:p w14:paraId="054BBD37"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Supervision is a two way dynamic and social process which is undertaken by organisations for fulfilling the organisational goals by providing constant support and assistance to the employees. It is defined as a collaborative relationship between a leader and its team members to accomplish set goals. The primary objective of supervision is to facilitate the personal and professional growth of individuals and is a key player for maintaining set work standards. A supervisor ensures that problems concerned with personal and professional issues are solved in a proper manner and deviation from set work standards are rectified in time. The techniques of supervision are based on three stages. The first stage requires preparation for supervising individuals after identifying the individual needs that are required to be addressed. The second stage reviews the objectives and targets to be achieved at the end of this process by observing individual behaviour in the work setting and providing constructive feedback. The third stage deals with creating a follow-up action plan to rectify the improper behaviour and assess training requirements.</w:t>
      </w:r>
    </w:p>
    <w:p w14:paraId="45A68AB9"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Formal appraisal involves a systematic evaluation of the performance of the employees so that a comprehensive understanding of the individual’s abilities, skills and knowledge can be gained (Anstey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2017), it is beneficial for identifying the training needs of the individual and creating a proper training program for the employees to remove the gap between their performance and the set work performance standards.</w:t>
      </w:r>
    </w:p>
    <w:p w14:paraId="2124A756"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Holland and Barrett is required to implement the technique of supervision so that individual potential can be identified and any shortcomings in employee performance are rectified in an appropriate manner. It will also help identify the training needs of individuals and assist the management to create training programs accordingly.</w:t>
      </w:r>
    </w:p>
    <w:p w14:paraId="163456B3"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Methods of ensuring fair and objective appraisal </w:t>
      </w:r>
    </w:p>
    <w:p w14:paraId="70EEDD4D"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The process of employee assessment is a crucial aspect for all organisations as it helps to boost employee productivity and improve their performance. To guarantee that fair and object appraisal is conducted of the employees, Holland and Barrett is required to use the modern methods of performance appraisal. The modern methods consist of management by objectives, 360-degree feedback, behaviourally anchored rating scales (BARS) and human resource accounting method.</w:t>
      </w:r>
    </w:p>
    <w:p w14:paraId="16ACCFBB"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Management by Objectives</w:t>
      </w:r>
    </w:p>
    <w:p w14:paraId="7EA9FD0A" w14:textId="77777777" w:rsidR="00E923B4" w:rsidRDefault="00AB50CA">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noProof/>
          <w:color w:val="000000"/>
          <w:sz w:val="24"/>
          <w:szCs w:val="24"/>
          <w:highlight w:val="white"/>
          <w:lang w:val="en-US"/>
        </w:rPr>
        <w:drawing>
          <wp:inline distT="114300" distB="114300" distL="114300" distR="114300" wp14:anchorId="5AA1E0FD" wp14:editId="0F413CDA">
            <wp:extent cx="5734050" cy="37465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734050" cy="3746500"/>
                    </a:xfrm>
                    <a:prstGeom prst="rect">
                      <a:avLst/>
                    </a:prstGeom>
                    <a:ln/>
                  </pic:spPr>
                </pic:pic>
              </a:graphicData>
            </a:graphic>
          </wp:inline>
        </w:drawing>
      </w:r>
    </w:p>
    <w:p w14:paraId="5A5D6D1B" w14:textId="77777777" w:rsidR="00E923B4" w:rsidRDefault="00AB50CA">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Figure 1: Management by Objectives</w:t>
      </w:r>
    </w:p>
    <w:p w14:paraId="4D2F840B" w14:textId="77777777" w:rsidR="00E923B4" w:rsidRDefault="00AB50CA">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color w:val="000000"/>
          <w:sz w:val="24"/>
          <w:szCs w:val="24"/>
          <w:highlight w:val="white"/>
        </w:rPr>
        <w:t>(Source: Influenced by Mone and London, 2018)</w:t>
      </w:r>
    </w:p>
    <w:p w14:paraId="32E96EAB"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This method requires the involvement of both managers and employees where they identify plan and determine individual objectives of the workforce. After the objectives have been determined, the managers and subordinates regularly examine the advancement made by the individual. </w:t>
      </w:r>
    </w:p>
    <w:p w14:paraId="40475356"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360-degree feedback</w:t>
      </w:r>
    </w:p>
    <w:p w14:paraId="0B54F372" w14:textId="77777777" w:rsidR="00E923B4" w:rsidRDefault="00AB50CA">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noProof/>
          <w:color w:val="000000"/>
          <w:sz w:val="24"/>
          <w:szCs w:val="24"/>
          <w:highlight w:val="white"/>
          <w:lang w:val="en-US"/>
        </w:rPr>
        <w:drawing>
          <wp:inline distT="114300" distB="114300" distL="114300" distR="114300" wp14:anchorId="54C84319" wp14:editId="21C2F000">
            <wp:extent cx="3962400" cy="38576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962400" cy="3857625"/>
                    </a:xfrm>
                    <a:prstGeom prst="rect">
                      <a:avLst/>
                    </a:prstGeom>
                    <a:ln/>
                  </pic:spPr>
                </pic:pic>
              </a:graphicData>
            </a:graphic>
          </wp:inline>
        </w:drawing>
      </w:r>
    </w:p>
    <w:p w14:paraId="550C10CA" w14:textId="77777777" w:rsidR="00E923B4" w:rsidRDefault="00AB50CA">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Figure 2: 360-degree feedback</w:t>
      </w:r>
    </w:p>
    <w:p w14:paraId="4AECEDF3" w14:textId="77777777" w:rsidR="00E923B4" w:rsidRDefault="00AB50CA">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(Source: Influenced by Hosain, 2016)</w:t>
      </w:r>
    </w:p>
    <w:p w14:paraId="7E715193"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Since traditional performance appraisal methods focus only on the perspective of the employee and their manager, this feedback method is beneficial for gaining an overall understanding of the employee’s performance. 360-degree feedback process involves gaining feedback from all individuals who interact with the individual. This includes supervisors, subordinates, team members and the customers with whom the individual works. </w:t>
      </w:r>
    </w:p>
    <w:p w14:paraId="5C536D7C"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Behaviourally anchored rating scales (BARS)</w:t>
      </w:r>
    </w:p>
    <w:p w14:paraId="079C1C45"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This method utilises the benefits of qualitative and quantitative methods of performance appraisal. BARS use a comparison system where the performance of the employees is compared with specific behavioural examples that are attached to numerical ratings. </w:t>
      </w:r>
    </w:p>
    <w:p w14:paraId="0AF53DF7"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Human resource accounting</w:t>
      </w:r>
    </w:p>
    <w:p w14:paraId="7D56D75C"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This method analyses an employees’ performance based on the monetary value that they yield for the company. It is gathered by comparing the cost of retaining an employee and the monetary benefits that have been gained by the company due to the employees.</w:t>
      </w:r>
    </w:p>
    <w:p w14:paraId="0790F231" w14:textId="77777777" w:rsidR="00E923B4" w:rsidRDefault="00E923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p>
    <w:p w14:paraId="5EA7E863"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color w:val="000000"/>
          <w:sz w:val="24"/>
          <w:szCs w:val="24"/>
          <w:highlight w:val="white"/>
        </w:rPr>
        <w:t>Holland and Barrett is required to use management by objectives, and 360-degree feedback for a fair and objective appraisal of the employees’ performance to meet the individual developmental needs of the employees. These methods will provide the company with an effective plan to evaluate individual performance and ascertain the need for improvement and personal development.</w:t>
      </w:r>
    </w:p>
    <w:p w14:paraId="6A8B0CB5"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Methods to enhance personal effectiveness </w:t>
      </w:r>
    </w:p>
    <w:p w14:paraId="7373676C" w14:textId="77777777" w:rsidR="00E923B4" w:rsidRDefault="00AB50CA">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noProof/>
          <w:color w:val="000000"/>
          <w:sz w:val="24"/>
          <w:szCs w:val="24"/>
          <w:highlight w:val="white"/>
          <w:lang w:val="en-US"/>
        </w:rPr>
        <w:drawing>
          <wp:inline distT="114300" distB="114300" distL="114300" distR="114300" wp14:anchorId="4E7DE247" wp14:editId="4E5E9310">
            <wp:extent cx="2828925" cy="283845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828925" cy="2838450"/>
                    </a:xfrm>
                    <a:prstGeom prst="rect">
                      <a:avLst/>
                    </a:prstGeom>
                    <a:ln/>
                  </pic:spPr>
                </pic:pic>
              </a:graphicData>
            </a:graphic>
          </wp:inline>
        </w:drawing>
      </w:r>
    </w:p>
    <w:p w14:paraId="2D539B1D" w14:textId="77777777" w:rsidR="00E923B4" w:rsidRDefault="00AB50CA">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Figure 3: Personal Effectiveness Wheel</w:t>
      </w:r>
    </w:p>
    <w:p w14:paraId="7B726B31" w14:textId="77777777" w:rsidR="00E923B4" w:rsidRDefault="00AB50CA">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(Source: Influenced by Tseng and Levy, 2018)</w:t>
      </w:r>
    </w:p>
    <w:p w14:paraId="6F8737D3"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Personal effectiveness is utilising available personal and professional resources to enable and achieve personal and professional goals. According to Dipboye and Dipboye (2018), the personal effectiveness wheel is an efficient method to identify the qualities required for increasing individual effectiveness within an organisation. Personal effectiveness can be enhanced by gaining clarity of the present scenario and identifying personal strengths and weaknesses. This is followed by the identification of personal values and goals and reflecting upon the status of achievement of these goals. It can also be enhanced through incorporating self organisational skills and being committed towards the accomplishment of set goals. </w:t>
      </w:r>
    </w:p>
    <w:p w14:paraId="317591C3"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Personal effectiveness involves learning how to manage one’s time in the most efficient manner so that the individual can control the stress in their life and increase their productivity. The employees at Holland and Barrett would benefit from enhancing their personal effectiveness at the workplace by learning how to manage their time and create a work-life balance. They would also learn how to manage their stress and utilise available resources for bringing their best ability in the workplace.</w:t>
      </w:r>
    </w:p>
    <w:p w14:paraId="0665C647"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Methods to monitor evaluate and record individual feedback</w:t>
      </w:r>
    </w:p>
    <w:p w14:paraId="09743C81"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An efficient system that monitors and evaluates individual performance is beneficial to identify the needs of individuals and ensure that the employee performance improves. The first step towards improving performance management is the identification of goals. </w:t>
      </w:r>
    </w:p>
    <w:p w14:paraId="4B41E8DE"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As per the views of Akhter et </w:t>
      </w:r>
      <w:r>
        <w:rPr>
          <w:rFonts w:ascii="Times New Roman" w:eastAsia="Times New Roman" w:hAnsi="Times New Roman" w:cs="Times New Roman"/>
          <w:i/>
          <w:color w:val="000000"/>
          <w:sz w:val="24"/>
          <w:szCs w:val="24"/>
          <w:highlight w:val="white"/>
        </w:rPr>
        <w:t>al.</w:t>
      </w:r>
      <w:r>
        <w:rPr>
          <w:rFonts w:ascii="Times New Roman" w:eastAsia="Times New Roman" w:hAnsi="Times New Roman" w:cs="Times New Roman"/>
          <w:color w:val="000000"/>
          <w:sz w:val="24"/>
          <w:szCs w:val="24"/>
          <w:highlight w:val="white"/>
        </w:rPr>
        <w:t xml:space="preserve"> (2016), monitoring and evaluating involves collecting required data pertaining to employee performance through observation and self-assessment methods. It involves monitoring individual performance and comparing any improvement or reduction in productivity. This is beneficial for evaluating where the individual stands and how they can improve their performance.</w:t>
      </w:r>
    </w:p>
    <w:p w14:paraId="3A8F7BD8"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Setting SMART Goals involves setting specific, measurable, achievable, relevant and time-bound goals for the individuals by the managers of Holland and Barrett for attaining the goals (Cappelli and Tavis, 2016). It would involve an ongoing process of planning, monitoring and evaluating the performance of the employees to ensure that they are able to reach set goals as well as to identify the barriers to the decrease in their performance. Providing specific and constructive feedback is an essential part of improving individual performance. The mangers of Holland and Barrett are required to provide constructive feedback periodically to their team members in order to ensure that they learn to deal with problems by themselves and gain a proper understanding of the company’s expectations from them.</w:t>
      </w:r>
    </w:p>
    <w:p w14:paraId="2D8ED63A" w14:textId="77777777" w:rsidR="00E923B4" w:rsidRDefault="00AB50CA">
      <w:pPr>
        <w:pStyle w:val="Heading1"/>
        <w:spacing w:line="360" w:lineRule="auto"/>
        <w:rPr>
          <w:highlight w:val="white"/>
        </w:rPr>
      </w:pPr>
      <w:bookmarkStart w:id="7" w:name="_Toc17190066"/>
      <w:r>
        <w:rPr>
          <w:highlight w:val="white"/>
        </w:rPr>
        <w:t>3) Plan to meet identified development needs and expectations</w:t>
      </w:r>
      <w:bookmarkEnd w:id="7"/>
    </w:p>
    <w:p w14:paraId="5BBD30DB"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Improvement can be deemed impossible without effective strategies and plan which is prepared on the basis of real life instances. As per the views of </w:t>
      </w:r>
      <w:r>
        <w:rPr>
          <w:rFonts w:ascii="Times New Roman" w:eastAsia="Times New Roman" w:hAnsi="Times New Roman" w:cs="Times New Roman"/>
          <w:color w:val="000000"/>
          <w:sz w:val="24"/>
          <w:szCs w:val="24"/>
        </w:rPr>
        <w:t xml:space="preserve">Jones </w:t>
      </w:r>
      <w:r>
        <w:rPr>
          <w:rFonts w:ascii="Times New Roman" w:eastAsia="Times New Roman" w:hAnsi="Times New Roman" w:cs="Times New Roman"/>
          <w:i/>
          <w:color w:val="000000"/>
          <w:sz w:val="24"/>
          <w:szCs w:val="24"/>
          <w:highlight w:val="white"/>
        </w:rPr>
        <w:t xml:space="preserve">et al. </w:t>
      </w:r>
      <w:r>
        <w:rPr>
          <w:rFonts w:ascii="Times New Roman" w:eastAsia="Times New Roman" w:hAnsi="Times New Roman" w:cs="Times New Roman"/>
          <w:color w:val="000000"/>
          <w:sz w:val="24"/>
          <w:szCs w:val="24"/>
          <w:highlight w:val="white"/>
        </w:rPr>
        <w:t>(2016), the real life instances helps in identifying the reason behind problems and suggest ways in which the same can be improved. Organisations irrespective of their size are required to make efforts towards the development of individuals. Companies who make effort towards the same are found more committed towards their work and loyal for the organisation (</w:t>
      </w:r>
      <w:r>
        <w:rPr>
          <w:rFonts w:ascii="Times New Roman" w:eastAsia="Times New Roman" w:hAnsi="Times New Roman" w:cs="Times New Roman"/>
          <w:color w:val="000000"/>
          <w:sz w:val="24"/>
          <w:szCs w:val="24"/>
        </w:rPr>
        <w:t>Magnano</w:t>
      </w:r>
      <w:r>
        <w:rPr>
          <w:rFonts w:ascii="Times New Roman" w:eastAsia="Times New Roman" w:hAnsi="Times New Roman" w:cs="Times New Roman"/>
          <w:i/>
          <w:color w:val="000000"/>
          <w:sz w:val="24"/>
          <w:szCs w:val="24"/>
          <w:highlight w:val="white"/>
        </w:rPr>
        <w:t xml:space="preserve">et al. </w:t>
      </w:r>
      <w:r>
        <w:rPr>
          <w:rFonts w:ascii="Times New Roman" w:eastAsia="Times New Roman" w:hAnsi="Times New Roman" w:cs="Times New Roman"/>
          <w:color w:val="000000"/>
          <w:sz w:val="24"/>
          <w:szCs w:val="24"/>
          <w:highlight w:val="white"/>
        </w:rPr>
        <w:t xml:space="preserve">2016). Holland and Barrett needs to work upon their relationship with their employees which are not possible without giving them better career opportunities. A plan has been prepared below for Holland and Barrett which incorporates the expectations and needs of individual developments. </w:t>
      </w:r>
    </w:p>
    <w:tbl>
      <w:tblPr>
        <w:tblStyle w:val="a"/>
        <w:tblW w:w="991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0"/>
        <w:gridCol w:w="1378"/>
        <w:gridCol w:w="5310"/>
        <w:gridCol w:w="2707"/>
      </w:tblGrid>
      <w:tr w:rsidR="00E923B4" w14:paraId="3C47ABBF" w14:textId="77777777">
        <w:trPr>
          <w:jc w:val="center"/>
        </w:trPr>
        <w:tc>
          <w:tcPr>
            <w:tcW w:w="520" w:type="dxa"/>
            <w:shd w:val="clear" w:color="auto" w:fill="auto"/>
            <w:tcMar>
              <w:top w:w="100" w:type="dxa"/>
              <w:left w:w="100" w:type="dxa"/>
              <w:bottom w:w="100" w:type="dxa"/>
              <w:right w:w="100" w:type="dxa"/>
            </w:tcMar>
          </w:tcPr>
          <w:p w14:paraId="04082DD5" w14:textId="77777777" w:rsidR="00E923B4" w:rsidRDefault="00E923B4">
            <w:pPr>
              <w:widowControl w:val="0"/>
              <w:pBdr>
                <w:top w:val="nil"/>
                <w:left w:val="nil"/>
                <w:bottom w:val="nil"/>
                <w:right w:val="nil"/>
                <w:between w:val="nil"/>
              </w:pBdr>
              <w:spacing w:line="360" w:lineRule="auto"/>
              <w:rPr>
                <w:rFonts w:ascii="Times New Roman" w:eastAsia="Times New Roman" w:hAnsi="Times New Roman" w:cs="Times New Roman"/>
                <w:color w:val="000000"/>
                <w:sz w:val="24"/>
                <w:szCs w:val="24"/>
                <w:highlight w:val="white"/>
              </w:rPr>
            </w:pPr>
          </w:p>
        </w:tc>
        <w:tc>
          <w:tcPr>
            <w:tcW w:w="1378" w:type="dxa"/>
            <w:shd w:val="clear" w:color="auto" w:fill="auto"/>
            <w:tcMar>
              <w:top w:w="100" w:type="dxa"/>
              <w:left w:w="100" w:type="dxa"/>
              <w:bottom w:w="100" w:type="dxa"/>
              <w:right w:w="100" w:type="dxa"/>
            </w:tcMar>
          </w:tcPr>
          <w:p w14:paraId="48D309EA" w14:textId="77777777" w:rsidR="00E923B4" w:rsidRDefault="00AB50CA">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Development need and expectation</w:t>
            </w:r>
          </w:p>
        </w:tc>
        <w:tc>
          <w:tcPr>
            <w:tcW w:w="5310" w:type="dxa"/>
            <w:shd w:val="clear" w:color="auto" w:fill="auto"/>
            <w:tcMar>
              <w:top w:w="100" w:type="dxa"/>
              <w:left w:w="100" w:type="dxa"/>
              <w:bottom w:w="100" w:type="dxa"/>
              <w:right w:w="100" w:type="dxa"/>
            </w:tcMar>
          </w:tcPr>
          <w:p w14:paraId="63301F10" w14:textId="77777777" w:rsidR="00E923B4" w:rsidRDefault="00AB50CA">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Development Strategies</w:t>
            </w:r>
          </w:p>
        </w:tc>
        <w:tc>
          <w:tcPr>
            <w:tcW w:w="2707" w:type="dxa"/>
            <w:shd w:val="clear" w:color="auto" w:fill="auto"/>
            <w:tcMar>
              <w:top w:w="100" w:type="dxa"/>
              <w:left w:w="100" w:type="dxa"/>
              <w:bottom w:w="100" w:type="dxa"/>
              <w:right w:w="100" w:type="dxa"/>
            </w:tcMar>
          </w:tcPr>
          <w:p w14:paraId="48248679" w14:textId="77777777" w:rsidR="00E923B4" w:rsidRDefault="00AB50CA">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Estimated Outcome</w:t>
            </w:r>
          </w:p>
        </w:tc>
      </w:tr>
      <w:tr w:rsidR="00E923B4" w14:paraId="5B76822C" w14:textId="77777777">
        <w:trPr>
          <w:jc w:val="center"/>
        </w:trPr>
        <w:tc>
          <w:tcPr>
            <w:tcW w:w="520" w:type="dxa"/>
            <w:shd w:val="clear" w:color="auto" w:fill="auto"/>
            <w:tcMar>
              <w:top w:w="100" w:type="dxa"/>
              <w:left w:w="100" w:type="dxa"/>
              <w:bottom w:w="100" w:type="dxa"/>
              <w:right w:w="100" w:type="dxa"/>
            </w:tcMar>
          </w:tcPr>
          <w:p w14:paraId="2494856C" w14:textId="77777777" w:rsidR="00E923B4" w:rsidRDefault="00AB50CA">
            <w:pPr>
              <w:widowControl w:val="0"/>
              <w:pBdr>
                <w:top w:val="nil"/>
                <w:left w:val="nil"/>
                <w:bottom w:val="nil"/>
                <w:right w:val="nil"/>
                <w:between w:val="nil"/>
              </w:pBdr>
              <w:spacing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1.</w:t>
            </w:r>
          </w:p>
        </w:tc>
        <w:tc>
          <w:tcPr>
            <w:tcW w:w="1378" w:type="dxa"/>
            <w:shd w:val="clear" w:color="auto" w:fill="auto"/>
            <w:tcMar>
              <w:top w:w="100" w:type="dxa"/>
              <w:left w:w="100" w:type="dxa"/>
              <w:bottom w:w="100" w:type="dxa"/>
              <w:right w:w="100" w:type="dxa"/>
            </w:tcMar>
          </w:tcPr>
          <w:p w14:paraId="70CF3B33"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Identifying individual needs of the employees</w:t>
            </w:r>
          </w:p>
        </w:tc>
        <w:tc>
          <w:tcPr>
            <w:tcW w:w="5310" w:type="dxa"/>
            <w:shd w:val="clear" w:color="auto" w:fill="auto"/>
            <w:tcMar>
              <w:top w:w="100" w:type="dxa"/>
              <w:left w:w="100" w:type="dxa"/>
              <w:bottom w:w="100" w:type="dxa"/>
              <w:right w:w="100" w:type="dxa"/>
            </w:tcMar>
          </w:tcPr>
          <w:p w14:paraId="591F11DB"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As influenced from the ideas of </w:t>
            </w:r>
            <w:r>
              <w:rPr>
                <w:rFonts w:ascii="Times New Roman" w:eastAsia="Times New Roman" w:hAnsi="Times New Roman" w:cs="Times New Roman"/>
                <w:color w:val="000000"/>
                <w:sz w:val="24"/>
                <w:szCs w:val="24"/>
              </w:rPr>
              <w:t>Methot</w:t>
            </w:r>
            <w:r>
              <w:rPr>
                <w:rFonts w:ascii="Times New Roman" w:eastAsia="Times New Roman" w:hAnsi="Times New Roman" w:cs="Times New Roman"/>
                <w:i/>
                <w:color w:val="000000"/>
                <w:sz w:val="24"/>
                <w:szCs w:val="24"/>
                <w:highlight w:val="white"/>
              </w:rPr>
              <w:t xml:space="preserve">et al. </w:t>
            </w:r>
            <w:r>
              <w:rPr>
                <w:rFonts w:ascii="Times New Roman" w:eastAsia="Times New Roman" w:hAnsi="Times New Roman" w:cs="Times New Roman"/>
                <w:color w:val="000000"/>
                <w:sz w:val="24"/>
                <w:szCs w:val="24"/>
                <w:highlight w:val="white"/>
              </w:rPr>
              <w:t xml:space="preserve">(2016), the process of development in an organisation starts from identifying individual needs and wants. Therefore, group discussions need to be performed by the employers of Holland and Barrett where equal chances are given to each individual to speak their minds. Each of the employees must be asked about their expectation from the organisation. </w:t>
            </w:r>
          </w:p>
        </w:tc>
        <w:tc>
          <w:tcPr>
            <w:tcW w:w="2707" w:type="dxa"/>
            <w:shd w:val="clear" w:color="auto" w:fill="auto"/>
            <w:tcMar>
              <w:top w:w="100" w:type="dxa"/>
              <w:left w:w="100" w:type="dxa"/>
              <w:bottom w:w="100" w:type="dxa"/>
              <w:right w:w="100" w:type="dxa"/>
            </w:tcMar>
          </w:tcPr>
          <w:p w14:paraId="17FCE1FE"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Better understanding in relation to employee needs can be achieved. Better relationship between the employer and employee can be resulted. </w:t>
            </w:r>
          </w:p>
        </w:tc>
      </w:tr>
      <w:tr w:rsidR="00E923B4" w14:paraId="32B51DFA" w14:textId="77777777">
        <w:trPr>
          <w:jc w:val="center"/>
        </w:trPr>
        <w:tc>
          <w:tcPr>
            <w:tcW w:w="520" w:type="dxa"/>
            <w:shd w:val="clear" w:color="auto" w:fill="auto"/>
            <w:tcMar>
              <w:top w:w="100" w:type="dxa"/>
              <w:left w:w="100" w:type="dxa"/>
              <w:bottom w:w="100" w:type="dxa"/>
              <w:right w:w="100" w:type="dxa"/>
            </w:tcMar>
          </w:tcPr>
          <w:p w14:paraId="6C6CB4F6" w14:textId="77777777" w:rsidR="00E923B4" w:rsidRDefault="00AB50CA">
            <w:pPr>
              <w:widowControl w:val="0"/>
              <w:pBdr>
                <w:top w:val="nil"/>
                <w:left w:val="nil"/>
                <w:bottom w:val="nil"/>
                <w:right w:val="nil"/>
                <w:between w:val="nil"/>
              </w:pBdr>
              <w:spacing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2.</w:t>
            </w:r>
          </w:p>
        </w:tc>
        <w:tc>
          <w:tcPr>
            <w:tcW w:w="1378" w:type="dxa"/>
            <w:shd w:val="clear" w:color="auto" w:fill="auto"/>
            <w:tcMar>
              <w:top w:w="100" w:type="dxa"/>
              <w:left w:w="100" w:type="dxa"/>
              <w:bottom w:w="100" w:type="dxa"/>
              <w:right w:w="100" w:type="dxa"/>
            </w:tcMar>
          </w:tcPr>
          <w:p w14:paraId="21673F8C"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Administrating people according to their career pathways</w:t>
            </w:r>
          </w:p>
        </w:tc>
        <w:tc>
          <w:tcPr>
            <w:tcW w:w="5310" w:type="dxa"/>
            <w:shd w:val="clear" w:color="auto" w:fill="auto"/>
            <w:tcMar>
              <w:top w:w="100" w:type="dxa"/>
              <w:left w:w="100" w:type="dxa"/>
              <w:bottom w:w="100" w:type="dxa"/>
              <w:right w:w="100" w:type="dxa"/>
            </w:tcMar>
          </w:tcPr>
          <w:p w14:paraId="10FDB335"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As commented by </w:t>
            </w:r>
            <w:r>
              <w:rPr>
                <w:rFonts w:ascii="Times New Roman" w:eastAsia="Times New Roman" w:hAnsi="Times New Roman" w:cs="Times New Roman"/>
                <w:color w:val="000000"/>
                <w:sz w:val="24"/>
                <w:szCs w:val="24"/>
              </w:rPr>
              <w:t>Pilbeam</w:t>
            </w:r>
            <w:r>
              <w:rPr>
                <w:rFonts w:ascii="Times New Roman" w:eastAsia="Times New Roman" w:hAnsi="Times New Roman" w:cs="Times New Roman"/>
                <w:i/>
                <w:color w:val="000000"/>
                <w:sz w:val="24"/>
                <w:szCs w:val="24"/>
                <w:highlight w:val="white"/>
              </w:rPr>
              <w:t xml:space="preserve">et al. </w:t>
            </w:r>
            <w:r>
              <w:rPr>
                <w:rFonts w:ascii="Times New Roman" w:eastAsia="Times New Roman" w:hAnsi="Times New Roman" w:cs="Times New Roman"/>
                <w:color w:val="000000"/>
                <w:sz w:val="24"/>
                <w:szCs w:val="24"/>
                <w:highlight w:val="white"/>
              </w:rPr>
              <w:t xml:space="preserve">(2019), different people have different needs due to which their career pathways differ. Some people are more interested towards financial tasks and other might prefer management areas. In this situation the best strategy for Holland and Barrett is to treat employees on the basis of their career pathways. </w:t>
            </w:r>
          </w:p>
        </w:tc>
        <w:tc>
          <w:tcPr>
            <w:tcW w:w="2707" w:type="dxa"/>
            <w:shd w:val="clear" w:color="auto" w:fill="auto"/>
            <w:tcMar>
              <w:top w:w="100" w:type="dxa"/>
              <w:left w:w="100" w:type="dxa"/>
              <w:bottom w:w="100" w:type="dxa"/>
              <w:right w:w="100" w:type="dxa"/>
            </w:tcMar>
          </w:tcPr>
          <w:p w14:paraId="6FD0A775"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Better fulfilment of objectives and achievement of individual development along with career enhancement.  </w:t>
            </w:r>
          </w:p>
        </w:tc>
      </w:tr>
      <w:tr w:rsidR="00E923B4" w14:paraId="7DE4CC12" w14:textId="77777777">
        <w:trPr>
          <w:trHeight w:val="480"/>
          <w:jc w:val="center"/>
        </w:trPr>
        <w:tc>
          <w:tcPr>
            <w:tcW w:w="520" w:type="dxa"/>
            <w:shd w:val="clear" w:color="auto" w:fill="auto"/>
            <w:tcMar>
              <w:top w:w="100" w:type="dxa"/>
              <w:left w:w="100" w:type="dxa"/>
              <w:bottom w:w="100" w:type="dxa"/>
              <w:right w:w="100" w:type="dxa"/>
            </w:tcMar>
          </w:tcPr>
          <w:p w14:paraId="694BDE01" w14:textId="77777777" w:rsidR="00E923B4" w:rsidRDefault="00AB50CA">
            <w:pPr>
              <w:widowControl w:val="0"/>
              <w:pBdr>
                <w:top w:val="nil"/>
                <w:left w:val="nil"/>
                <w:bottom w:val="nil"/>
                <w:right w:val="nil"/>
                <w:between w:val="nil"/>
              </w:pBdr>
              <w:spacing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3.</w:t>
            </w:r>
          </w:p>
        </w:tc>
        <w:tc>
          <w:tcPr>
            <w:tcW w:w="1378" w:type="dxa"/>
            <w:shd w:val="clear" w:color="auto" w:fill="auto"/>
            <w:tcMar>
              <w:top w:w="100" w:type="dxa"/>
              <w:left w:w="100" w:type="dxa"/>
              <w:bottom w:w="100" w:type="dxa"/>
              <w:right w:w="100" w:type="dxa"/>
            </w:tcMar>
          </w:tcPr>
          <w:p w14:paraId="1E90B291"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Managing development of career</w:t>
            </w:r>
          </w:p>
        </w:tc>
        <w:tc>
          <w:tcPr>
            <w:tcW w:w="5310" w:type="dxa"/>
            <w:shd w:val="clear" w:color="auto" w:fill="auto"/>
            <w:tcMar>
              <w:top w:w="100" w:type="dxa"/>
              <w:left w:w="100" w:type="dxa"/>
              <w:bottom w:w="100" w:type="dxa"/>
              <w:right w:w="100" w:type="dxa"/>
            </w:tcMar>
          </w:tcPr>
          <w:p w14:paraId="301F353A"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Management of career for Holland and Barrett is not possible without giving employees the required opportunities for development. Organisations need to increase the scope of their coaching and provide specific guidance to individual employees so that they are able to achieve their career goals. </w:t>
            </w:r>
          </w:p>
        </w:tc>
        <w:tc>
          <w:tcPr>
            <w:tcW w:w="2707" w:type="dxa"/>
            <w:shd w:val="clear" w:color="auto" w:fill="auto"/>
            <w:tcMar>
              <w:top w:w="100" w:type="dxa"/>
              <w:left w:w="100" w:type="dxa"/>
              <w:bottom w:w="100" w:type="dxa"/>
              <w:right w:w="100" w:type="dxa"/>
            </w:tcMar>
          </w:tcPr>
          <w:p w14:paraId="3849AFAA"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 sense of belongingness is created among the employees for the organisation and a warm environment is created. </w:t>
            </w:r>
          </w:p>
        </w:tc>
      </w:tr>
      <w:tr w:rsidR="00E923B4" w14:paraId="7B3347C4" w14:textId="77777777">
        <w:trPr>
          <w:jc w:val="center"/>
        </w:trPr>
        <w:tc>
          <w:tcPr>
            <w:tcW w:w="520" w:type="dxa"/>
            <w:shd w:val="clear" w:color="auto" w:fill="auto"/>
            <w:tcMar>
              <w:top w:w="100" w:type="dxa"/>
              <w:left w:w="100" w:type="dxa"/>
              <w:bottom w:w="100" w:type="dxa"/>
              <w:right w:w="100" w:type="dxa"/>
            </w:tcMar>
          </w:tcPr>
          <w:p w14:paraId="4D75BB09" w14:textId="77777777" w:rsidR="00E923B4" w:rsidRDefault="00AB50CA">
            <w:pPr>
              <w:widowControl w:val="0"/>
              <w:pBdr>
                <w:top w:val="nil"/>
                <w:left w:val="nil"/>
                <w:bottom w:val="nil"/>
                <w:right w:val="nil"/>
                <w:between w:val="nil"/>
              </w:pBdr>
              <w:spacing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4.</w:t>
            </w:r>
          </w:p>
        </w:tc>
        <w:tc>
          <w:tcPr>
            <w:tcW w:w="1378" w:type="dxa"/>
            <w:shd w:val="clear" w:color="auto" w:fill="auto"/>
            <w:tcMar>
              <w:top w:w="100" w:type="dxa"/>
              <w:left w:w="100" w:type="dxa"/>
              <w:bottom w:w="100" w:type="dxa"/>
              <w:right w:w="100" w:type="dxa"/>
            </w:tcMar>
          </w:tcPr>
          <w:p w14:paraId="389522B5"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Managing succession and performance planning</w:t>
            </w:r>
          </w:p>
        </w:tc>
        <w:tc>
          <w:tcPr>
            <w:tcW w:w="5310" w:type="dxa"/>
            <w:shd w:val="clear" w:color="auto" w:fill="auto"/>
            <w:tcMar>
              <w:top w:w="100" w:type="dxa"/>
              <w:left w:w="100" w:type="dxa"/>
              <w:bottom w:w="100" w:type="dxa"/>
              <w:right w:w="100" w:type="dxa"/>
            </w:tcMar>
          </w:tcPr>
          <w:p w14:paraId="4C615CCF"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In the views of </w:t>
            </w:r>
            <w:r>
              <w:rPr>
                <w:rFonts w:ascii="Times New Roman" w:eastAsia="Times New Roman" w:hAnsi="Times New Roman" w:cs="Times New Roman"/>
                <w:color w:val="000000"/>
                <w:sz w:val="24"/>
                <w:szCs w:val="24"/>
              </w:rPr>
              <w:t>Henry</w:t>
            </w:r>
            <w:r>
              <w:rPr>
                <w:rFonts w:ascii="Times New Roman" w:eastAsia="Times New Roman" w:hAnsi="Times New Roman" w:cs="Times New Roman"/>
                <w:i/>
                <w:color w:val="000000"/>
                <w:sz w:val="24"/>
                <w:szCs w:val="24"/>
                <w:highlight w:val="white"/>
              </w:rPr>
              <w:t xml:space="preserve">et al. </w:t>
            </w:r>
            <w:r>
              <w:rPr>
                <w:rFonts w:ascii="Times New Roman" w:eastAsia="Times New Roman" w:hAnsi="Times New Roman" w:cs="Times New Roman"/>
                <w:color w:val="000000"/>
                <w:sz w:val="24"/>
                <w:szCs w:val="24"/>
                <w:highlight w:val="white"/>
              </w:rPr>
              <w:t xml:space="preserve">(2015), employees who are unable to understand their work cannot perform effectively and are unable achieve the targeted goals. It is important for individuals to understand what they need to do and how. In this situation, employers in Holland and Barrett need to make them understand their work clearly and suggest ways in which the same can be achieved. In other words, performance planning is the best strategy for Holland and Barrett in this case where employees struggle with their work.  </w:t>
            </w:r>
          </w:p>
        </w:tc>
        <w:tc>
          <w:tcPr>
            <w:tcW w:w="2707" w:type="dxa"/>
            <w:shd w:val="clear" w:color="auto" w:fill="auto"/>
            <w:tcMar>
              <w:top w:w="100" w:type="dxa"/>
              <w:left w:w="100" w:type="dxa"/>
              <w:bottom w:w="100" w:type="dxa"/>
              <w:right w:w="100" w:type="dxa"/>
            </w:tcMar>
          </w:tcPr>
          <w:p w14:paraId="4E324FFC"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Performance planning helps in showing the employees that their needs are being cared. Individuals take their work more seriously and deliver more meaning results which sustains for a long period of time.</w:t>
            </w:r>
          </w:p>
        </w:tc>
      </w:tr>
      <w:tr w:rsidR="00E923B4" w14:paraId="4CD2C082" w14:textId="77777777">
        <w:trPr>
          <w:jc w:val="center"/>
        </w:trPr>
        <w:tc>
          <w:tcPr>
            <w:tcW w:w="520" w:type="dxa"/>
            <w:shd w:val="clear" w:color="auto" w:fill="auto"/>
            <w:tcMar>
              <w:top w:w="100" w:type="dxa"/>
              <w:left w:w="100" w:type="dxa"/>
              <w:bottom w:w="100" w:type="dxa"/>
              <w:right w:w="100" w:type="dxa"/>
            </w:tcMar>
          </w:tcPr>
          <w:p w14:paraId="79552682" w14:textId="77777777" w:rsidR="00E923B4" w:rsidRDefault="00AB50CA">
            <w:pPr>
              <w:widowControl w:val="0"/>
              <w:pBdr>
                <w:top w:val="nil"/>
                <w:left w:val="nil"/>
                <w:bottom w:val="nil"/>
                <w:right w:val="nil"/>
                <w:between w:val="nil"/>
              </w:pBdr>
              <w:spacing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5.</w:t>
            </w:r>
          </w:p>
        </w:tc>
        <w:tc>
          <w:tcPr>
            <w:tcW w:w="1378" w:type="dxa"/>
            <w:shd w:val="clear" w:color="auto" w:fill="auto"/>
            <w:tcMar>
              <w:top w:w="100" w:type="dxa"/>
              <w:left w:w="100" w:type="dxa"/>
              <w:bottom w:w="100" w:type="dxa"/>
              <w:right w:w="100" w:type="dxa"/>
            </w:tcMar>
          </w:tcPr>
          <w:p w14:paraId="52B33041"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Supporting structures of the company</w:t>
            </w:r>
          </w:p>
        </w:tc>
        <w:tc>
          <w:tcPr>
            <w:tcW w:w="5310" w:type="dxa"/>
            <w:shd w:val="clear" w:color="auto" w:fill="auto"/>
            <w:tcMar>
              <w:top w:w="100" w:type="dxa"/>
              <w:left w:w="100" w:type="dxa"/>
              <w:bottom w:w="100" w:type="dxa"/>
              <w:right w:w="100" w:type="dxa"/>
            </w:tcMar>
          </w:tcPr>
          <w:p w14:paraId="3F4EFE29"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Organisation such as Holland and Barrett has its own organisational structure with the help of which it brings unity in diversity. An organisation such as Holland and Barrett has employees who belong to diverse background and skills. Therefore, better relationship among them can be created by creating such organisational structures which is flexible enough for all employees. For instance, promotion of employees among the high position needs to be done without any discrimination of caste and genders.  </w:t>
            </w:r>
          </w:p>
        </w:tc>
        <w:tc>
          <w:tcPr>
            <w:tcW w:w="2707" w:type="dxa"/>
            <w:shd w:val="clear" w:color="auto" w:fill="auto"/>
            <w:tcMar>
              <w:top w:w="100" w:type="dxa"/>
              <w:left w:w="100" w:type="dxa"/>
              <w:bottom w:w="100" w:type="dxa"/>
              <w:right w:w="100" w:type="dxa"/>
            </w:tcMar>
          </w:tcPr>
          <w:p w14:paraId="54794ED9"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This strategy can facilitate Holland and Barrett in bringing unity among the employees and create group cohesiveness. The more cohesive a team is, the more effective is the outcome of tasks performed. </w:t>
            </w:r>
          </w:p>
        </w:tc>
      </w:tr>
      <w:tr w:rsidR="00E923B4" w14:paraId="61269345" w14:textId="77777777">
        <w:trPr>
          <w:jc w:val="center"/>
        </w:trPr>
        <w:tc>
          <w:tcPr>
            <w:tcW w:w="520" w:type="dxa"/>
            <w:shd w:val="clear" w:color="auto" w:fill="auto"/>
            <w:tcMar>
              <w:top w:w="100" w:type="dxa"/>
              <w:left w:w="100" w:type="dxa"/>
              <w:bottom w:w="100" w:type="dxa"/>
              <w:right w:w="100" w:type="dxa"/>
            </w:tcMar>
          </w:tcPr>
          <w:p w14:paraId="4C3027B9" w14:textId="77777777" w:rsidR="00E923B4" w:rsidRDefault="00AB50CA">
            <w:pPr>
              <w:widowControl w:val="0"/>
              <w:pBdr>
                <w:top w:val="nil"/>
                <w:left w:val="nil"/>
                <w:bottom w:val="nil"/>
                <w:right w:val="nil"/>
                <w:between w:val="nil"/>
              </w:pBdr>
              <w:spacing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6.</w:t>
            </w:r>
          </w:p>
        </w:tc>
        <w:tc>
          <w:tcPr>
            <w:tcW w:w="1378" w:type="dxa"/>
            <w:shd w:val="clear" w:color="auto" w:fill="auto"/>
            <w:tcMar>
              <w:top w:w="100" w:type="dxa"/>
              <w:left w:w="100" w:type="dxa"/>
              <w:bottom w:w="100" w:type="dxa"/>
              <w:right w:w="100" w:type="dxa"/>
            </w:tcMar>
          </w:tcPr>
          <w:p w14:paraId="6E70BEA5"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Implementing formal appraisals</w:t>
            </w:r>
          </w:p>
        </w:tc>
        <w:tc>
          <w:tcPr>
            <w:tcW w:w="5310" w:type="dxa"/>
            <w:shd w:val="clear" w:color="auto" w:fill="auto"/>
            <w:tcMar>
              <w:top w:w="100" w:type="dxa"/>
              <w:left w:w="100" w:type="dxa"/>
              <w:bottom w:w="100" w:type="dxa"/>
              <w:right w:w="100" w:type="dxa"/>
            </w:tcMar>
          </w:tcPr>
          <w:p w14:paraId="764EA2FE"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As influenced from the understandings of </w:t>
            </w:r>
            <w:r>
              <w:rPr>
                <w:rFonts w:ascii="Times New Roman" w:eastAsia="Times New Roman" w:hAnsi="Times New Roman" w:cs="Times New Roman"/>
                <w:color w:val="000000"/>
                <w:sz w:val="24"/>
                <w:szCs w:val="24"/>
              </w:rPr>
              <w:t>Amjad</w:t>
            </w:r>
            <w:r>
              <w:rPr>
                <w:rFonts w:ascii="Times New Roman" w:eastAsia="Times New Roman" w:hAnsi="Times New Roman" w:cs="Times New Roman"/>
                <w:i/>
                <w:color w:val="000000"/>
                <w:sz w:val="24"/>
                <w:szCs w:val="24"/>
                <w:highlight w:val="white"/>
              </w:rPr>
              <w:t xml:space="preserve">et al. </w:t>
            </w:r>
            <w:r>
              <w:rPr>
                <w:rFonts w:ascii="Times New Roman" w:eastAsia="Times New Roman" w:hAnsi="Times New Roman" w:cs="Times New Roman"/>
                <w:color w:val="000000"/>
                <w:sz w:val="24"/>
                <w:szCs w:val="24"/>
                <w:highlight w:val="white"/>
              </w:rPr>
              <w:t>(2015), appraisal works faster than any other benefits in individual development of the employees. If the work of individuals is appraised in terms of money then better organisational relationships are created and more dedication can be generated among the employees.  Therefore, Holland and Barrett needs to have a good system of appraisals where employees are paid more due to their good performance and achievement of targets.</w:t>
            </w:r>
          </w:p>
        </w:tc>
        <w:tc>
          <w:tcPr>
            <w:tcW w:w="2707" w:type="dxa"/>
            <w:shd w:val="clear" w:color="auto" w:fill="auto"/>
            <w:tcMar>
              <w:top w:w="100" w:type="dxa"/>
              <w:left w:w="100" w:type="dxa"/>
              <w:bottom w:w="100" w:type="dxa"/>
              <w:right w:w="100" w:type="dxa"/>
            </w:tcMar>
          </w:tcPr>
          <w:p w14:paraId="41CFEF92"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Holland and Barrett will be able to create more dedicated employees in the organisation who are eager to perform the work given to them. </w:t>
            </w:r>
          </w:p>
        </w:tc>
      </w:tr>
      <w:tr w:rsidR="00E923B4" w14:paraId="0AEF5B93" w14:textId="77777777">
        <w:trPr>
          <w:jc w:val="center"/>
        </w:trPr>
        <w:tc>
          <w:tcPr>
            <w:tcW w:w="520" w:type="dxa"/>
            <w:shd w:val="clear" w:color="auto" w:fill="auto"/>
            <w:tcMar>
              <w:top w:w="100" w:type="dxa"/>
              <w:left w:w="100" w:type="dxa"/>
              <w:bottom w:w="100" w:type="dxa"/>
              <w:right w:w="100" w:type="dxa"/>
            </w:tcMar>
          </w:tcPr>
          <w:p w14:paraId="1FECB91A" w14:textId="77777777" w:rsidR="00E923B4" w:rsidRDefault="00AB50CA">
            <w:pPr>
              <w:widowControl w:val="0"/>
              <w:pBdr>
                <w:top w:val="nil"/>
                <w:left w:val="nil"/>
                <w:bottom w:val="nil"/>
                <w:right w:val="nil"/>
                <w:between w:val="nil"/>
              </w:pBdr>
              <w:spacing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7.</w:t>
            </w:r>
          </w:p>
        </w:tc>
        <w:tc>
          <w:tcPr>
            <w:tcW w:w="1378" w:type="dxa"/>
            <w:shd w:val="clear" w:color="auto" w:fill="auto"/>
            <w:tcMar>
              <w:top w:w="100" w:type="dxa"/>
              <w:left w:w="100" w:type="dxa"/>
              <w:bottom w:w="100" w:type="dxa"/>
              <w:right w:w="100" w:type="dxa"/>
            </w:tcMar>
          </w:tcPr>
          <w:p w14:paraId="5785D7A9"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Maintaining democracy in the organisation</w:t>
            </w:r>
          </w:p>
        </w:tc>
        <w:tc>
          <w:tcPr>
            <w:tcW w:w="5310" w:type="dxa"/>
            <w:shd w:val="clear" w:color="auto" w:fill="auto"/>
            <w:tcMar>
              <w:top w:w="100" w:type="dxa"/>
              <w:left w:w="100" w:type="dxa"/>
              <w:bottom w:w="100" w:type="dxa"/>
              <w:right w:w="100" w:type="dxa"/>
            </w:tcMar>
          </w:tcPr>
          <w:p w14:paraId="44AF5798"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Decision making is one of the most important activities which a business needs to perform for achievement of organisational goals (</w:t>
            </w:r>
            <w:r>
              <w:rPr>
                <w:rFonts w:ascii="Times New Roman" w:eastAsia="Times New Roman" w:hAnsi="Times New Roman" w:cs="Times New Roman"/>
                <w:color w:val="000000"/>
                <w:sz w:val="24"/>
                <w:szCs w:val="24"/>
              </w:rPr>
              <w:t>Guay</w:t>
            </w:r>
            <w:r>
              <w:rPr>
                <w:rFonts w:ascii="Times New Roman" w:eastAsia="Times New Roman" w:hAnsi="Times New Roman" w:cs="Times New Roman"/>
                <w:i/>
                <w:color w:val="000000"/>
                <w:sz w:val="24"/>
                <w:szCs w:val="24"/>
                <w:highlight w:val="white"/>
              </w:rPr>
              <w:t xml:space="preserve">et al. </w:t>
            </w:r>
            <w:r>
              <w:rPr>
                <w:rFonts w:ascii="Times New Roman" w:eastAsia="Times New Roman" w:hAnsi="Times New Roman" w:cs="Times New Roman"/>
                <w:color w:val="000000"/>
                <w:sz w:val="24"/>
                <w:szCs w:val="24"/>
                <w:highlight w:val="white"/>
              </w:rPr>
              <w:t xml:space="preserve">2016). Holland and Barrett has been found to make decisions without incorporating the views of the employees and staff. Rather the process is vested on the management team. In this situation, Holland and Barrett need to maintain a democratic decision making system where the views of staffs are taken into consideration. </w:t>
            </w:r>
          </w:p>
        </w:tc>
        <w:tc>
          <w:tcPr>
            <w:tcW w:w="2707" w:type="dxa"/>
            <w:shd w:val="clear" w:color="auto" w:fill="auto"/>
            <w:tcMar>
              <w:top w:w="100" w:type="dxa"/>
              <w:left w:w="100" w:type="dxa"/>
              <w:bottom w:w="100" w:type="dxa"/>
              <w:right w:w="100" w:type="dxa"/>
            </w:tcMar>
          </w:tcPr>
          <w:p w14:paraId="15C03CF6"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The strategy benefits an organisation in two ways in which the employees are valued and effective decision making is achieved. Moreover, a democratic environment in the organisation results into good workplace relationship. </w:t>
            </w:r>
          </w:p>
        </w:tc>
      </w:tr>
      <w:tr w:rsidR="00E923B4" w14:paraId="692917B6" w14:textId="77777777">
        <w:trPr>
          <w:jc w:val="center"/>
        </w:trPr>
        <w:tc>
          <w:tcPr>
            <w:tcW w:w="520" w:type="dxa"/>
            <w:shd w:val="clear" w:color="auto" w:fill="auto"/>
            <w:tcMar>
              <w:top w:w="100" w:type="dxa"/>
              <w:left w:w="100" w:type="dxa"/>
              <w:bottom w:w="100" w:type="dxa"/>
              <w:right w:w="100" w:type="dxa"/>
            </w:tcMar>
          </w:tcPr>
          <w:p w14:paraId="1B98BE57" w14:textId="77777777" w:rsidR="00E923B4" w:rsidRDefault="00AB50CA">
            <w:pPr>
              <w:widowControl w:val="0"/>
              <w:pBdr>
                <w:top w:val="nil"/>
                <w:left w:val="nil"/>
                <w:bottom w:val="nil"/>
                <w:right w:val="nil"/>
                <w:between w:val="nil"/>
              </w:pBdr>
              <w:spacing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8.</w:t>
            </w:r>
          </w:p>
        </w:tc>
        <w:tc>
          <w:tcPr>
            <w:tcW w:w="1378" w:type="dxa"/>
            <w:shd w:val="clear" w:color="auto" w:fill="auto"/>
            <w:tcMar>
              <w:top w:w="100" w:type="dxa"/>
              <w:left w:w="100" w:type="dxa"/>
              <w:bottom w:w="100" w:type="dxa"/>
              <w:right w:w="100" w:type="dxa"/>
            </w:tcMar>
          </w:tcPr>
          <w:p w14:paraId="4DCAE253"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Monitoring and recording individual feedback</w:t>
            </w:r>
          </w:p>
        </w:tc>
        <w:tc>
          <w:tcPr>
            <w:tcW w:w="5310" w:type="dxa"/>
            <w:shd w:val="clear" w:color="auto" w:fill="auto"/>
            <w:tcMar>
              <w:top w:w="100" w:type="dxa"/>
              <w:left w:w="100" w:type="dxa"/>
              <w:bottom w:w="100" w:type="dxa"/>
              <w:right w:w="100" w:type="dxa"/>
            </w:tcMar>
          </w:tcPr>
          <w:p w14:paraId="7B59785E"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As analysed from the views of </w:t>
            </w:r>
            <w:r>
              <w:rPr>
                <w:rFonts w:ascii="Times New Roman" w:eastAsia="Times New Roman" w:hAnsi="Times New Roman" w:cs="Times New Roman"/>
                <w:color w:val="000000"/>
                <w:sz w:val="24"/>
                <w:szCs w:val="24"/>
              </w:rPr>
              <w:t>Vondracek</w:t>
            </w:r>
            <w:r>
              <w:rPr>
                <w:rFonts w:ascii="Times New Roman" w:eastAsia="Times New Roman" w:hAnsi="Times New Roman" w:cs="Times New Roman"/>
                <w:i/>
                <w:color w:val="000000"/>
                <w:sz w:val="24"/>
                <w:szCs w:val="24"/>
                <w:highlight w:val="white"/>
              </w:rPr>
              <w:t xml:space="preserve">et al. </w:t>
            </w:r>
            <w:r>
              <w:rPr>
                <w:rFonts w:ascii="Times New Roman" w:eastAsia="Times New Roman" w:hAnsi="Times New Roman" w:cs="Times New Roman"/>
                <w:color w:val="000000"/>
                <w:sz w:val="24"/>
                <w:szCs w:val="24"/>
                <w:highlight w:val="white"/>
              </w:rPr>
              <w:t xml:space="preserve">(2019), feedback system is one of the most beneficial method in which employee relationship can be enhanced. When employees are given opportunity of speaking their minds then workplace achievement can be ensured. Holland and Barrett has reported some instances where the employees feel that their views are not cared. In this situation Holland and Barrett need to adopt the strategy of implementing feedback system weekly where the employees are given with the right of keeping their views.   </w:t>
            </w:r>
          </w:p>
        </w:tc>
        <w:tc>
          <w:tcPr>
            <w:tcW w:w="2707" w:type="dxa"/>
            <w:shd w:val="clear" w:color="auto" w:fill="auto"/>
            <w:tcMar>
              <w:top w:w="100" w:type="dxa"/>
              <w:left w:w="100" w:type="dxa"/>
              <w:bottom w:w="100" w:type="dxa"/>
              <w:right w:w="100" w:type="dxa"/>
            </w:tcMar>
          </w:tcPr>
          <w:p w14:paraId="326BB5C5"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Employees are made to feel that their views are being cared as a result of which they become more serious for their work. The well being of the employees are boosted in this way and provide a sense of meaning to them. </w:t>
            </w:r>
          </w:p>
        </w:tc>
      </w:tr>
      <w:tr w:rsidR="00E923B4" w14:paraId="0C951B25" w14:textId="77777777">
        <w:trPr>
          <w:jc w:val="center"/>
        </w:trPr>
        <w:tc>
          <w:tcPr>
            <w:tcW w:w="520" w:type="dxa"/>
            <w:shd w:val="clear" w:color="auto" w:fill="auto"/>
            <w:tcMar>
              <w:top w:w="100" w:type="dxa"/>
              <w:left w:w="100" w:type="dxa"/>
              <w:bottom w:w="100" w:type="dxa"/>
              <w:right w:w="100" w:type="dxa"/>
            </w:tcMar>
          </w:tcPr>
          <w:p w14:paraId="687F9674" w14:textId="77777777" w:rsidR="00E923B4" w:rsidRDefault="00AB50CA">
            <w:pPr>
              <w:widowControl w:val="0"/>
              <w:pBdr>
                <w:top w:val="nil"/>
                <w:left w:val="nil"/>
                <w:bottom w:val="nil"/>
                <w:right w:val="nil"/>
                <w:between w:val="nil"/>
              </w:pBdr>
              <w:spacing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9.</w:t>
            </w:r>
          </w:p>
        </w:tc>
        <w:tc>
          <w:tcPr>
            <w:tcW w:w="1378" w:type="dxa"/>
            <w:shd w:val="clear" w:color="auto" w:fill="auto"/>
            <w:tcMar>
              <w:top w:w="100" w:type="dxa"/>
              <w:left w:w="100" w:type="dxa"/>
              <w:bottom w:w="100" w:type="dxa"/>
              <w:right w:w="100" w:type="dxa"/>
            </w:tcMar>
          </w:tcPr>
          <w:p w14:paraId="01BBCB38"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Enhancing learning styles with development opportunities</w:t>
            </w:r>
          </w:p>
        </w:tc>
        <w:tc>
          <w:tcPr>
            <w:tcW w:w="5310" w:type="dxa"/>
            <w:shd w:val="clear" w:color="auto" w:fill="auto"/>
            <w:tcMar>
              <w:top w:w="100" w:type="dxa"/>
              <w:left w:w="100" w:type="dxa"/>
              <w:bottom w:w="100" w:type="dxa"/>
              <w:right w:w="100" w:type="dxa"/>
            </w:tcMar>
          </w:tcPr>
          <w:p w14:paraId="1C6FC61D"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Based on the understandings of </w:t>
            </w:r>
            <w:r>
              <w:rPr>
                <w:rFonts w:ascii="Times New Roman" w:eastAsia="Times New Roman" w:hAnsi="Times New Roman" w:cs="Times New Roman"/>
                <w:color w:val="000000"/>
                <w:sz w:val="24"/>
                <w:szCs w:val="24"/>
              </w:rPr>
              <w:t>Swamy</w:t>
            </w:r>
            <w:r>
              <w:rPr>
                <w:rFonts w:ascii="Times New Roman" w:eastAsia="Times New Roman" w:hAnsi="Times New Roman" w:cs="Times New Roman"/>
                <w:i/>
                <w:color w:val="000000"/>
                <w:sz w:val="24"/>
                <w:szCs w:val="24"/>
                <w:highlight w:val="white"/>
              </w:rPr>
              <w:t xml:space="preserve">et al. </w:t>
            </w:r>
            <w:r>
              <w:rPr>
                <w:rFonts w:ascii="Times New Roman" w:eastAsia="Times New Roman" w:hAnsi="Times New Roman" w:cs="Times New Roman"/>
                <w:color w:val="000000"/>
                <w:sz w:val="24"/>
                <w:szCs w:val="24"/>
                <w:highlight w:val="white"/>
              </w:rPr>
              <w:t xml:space="preserve">(2015), organisations need to work upon their learning styles in order to achieve individual growth and development. Training sessions need to be organised by Holland and Barrett at the beginning of each week so that the employees are provided with updated technologies and latest information.  </w:t>
            </w:r>
          </w:p>
        </w:tc>
        <w:tc>
          <w:tcPr>
            <w:tcW w:w="2707" w:type="dxa"/>
            <w:shd w:val="clear" w:color="auto" w:fill="auto"/>
            <w:tcMar>
              <w:top w:w="100" w:type="dxa"/>
              <w:left w:w="100" w:type="dxa"/>
              <w:bottom w:w="100" w:type="dxa"/>
              <w:right w:w="100" w:type="dxa"/>
            </w:tcMar>
          </w:tcPr>
          <w:p w14:paraId="071004CF"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Career development becomes easier with the help of training and development provided by the employers as it makes the employees ready for accepting more challenging jobs. </w:t>
            </w:r>
          </w:p>
        </w:tc>
      </w:tr>
      <w:tr w:rsidR="00E923B4" w14:paraId="2D62350F" w14:textId="77777777">
        <w:trPr>
          <w:jc w:val="center"/>
        </w:trPr>
        <w:tc>
          <w:tcPr>
            <w:tcW w:w="520" w:type="dxa"/>
            <w:shd w:val="clear" w:color="auto" w:fill="auto"/>
            <w:tcMar>
              <w:top w:w="100" w:type="dxa"/>
              <w:left w:w="100" w:type="dxa"/>
              <w:bottom w:w="100" w:type="dxa"/>
              <w:right w:w="100" w:type="dxa"/>
            </w:tcMar>
          </w:tcPr>
          <w:p w14:paraId="4F3F18C8" w14:textId="77777777" w:rsidR="00E923B4" w:rsidRDefault="00AB50CA">
            <w:pPr>
              <w:widowControl w:val="0"/>
              <w:pBdr>
                <w:top w:val="nil"/>
                <w:left w:val="nil"/>
                <w:bottom w:val="nil"/>
                <w:right w:val="nil"/>
                <w:between w:val="nil"/>
              </w:pBdr>
              <w:spacing w:line="360" w:lineRule="auto"/>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10.</w:t>
            </w:r>
          </w:p>
        </w:tc>
        <w:tc>
          <w:tcPr>
            <w:tcW w:w="1378" w:type="dxa"/>
            <w:shd w:val="clear" w:color="auto" w:fill="auto"/>
            <w:tcMar>
              <w:top w:w="100" w:type="dxa"/>
              <w:left w:w="100" w:type="dxa"/>
              <w:bottom w:w="100" w:type="dxa"/>
              <w:right w:w="100" w:type="dxa"/>
            </w:tcMar>
          </w:tcPr>
          <w:p w14:paraId="42A68F4A"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Balance between work and life</w:t>
            </w:r>
          </w:p>
        </w:tc>
        <w:tc>
          <w:tcPr>
            <w:tcW w:w="5310" w:type="dxa"/>
            <w:shd w:val="clear" w:color="auto" w:fill="auto"/>
            <w:tcMar>
              <w:top w:w="100" w:type="dxa"/>
              <w:left w:w="100" w:type="dxa"/>
              <w:bottom w:w="100" w:type="dxa"/>
              <w:right w:w="100" w:type="dxa"/>
            </w:tcMar>
          </w:tcPr>
          <w:p w14:paraId="0AD3F389"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As analysed from the views of </w:t>
            </w:r>
            <w:r>
              <w:rPr>
                <w:rFonts w:ascii="Times New Roman" w:eastAsia="Times New Roman" w:hAnsi="Times New Roman" w:cs="Times New Roman"/>
                <w:color w:val="000000"/>
                <w:sz w:val="24"/>
                <w:szCs w:val="24"/>
              </w:rPr>
              <w:t>Pilbeam</w:t>
            </w:r>
            <w:r>
              <w:rPr>
                <w:rFonts w:ascii="Times New Roman" w:eastAsia="Times New Roman" w:hAnsi="Times New Roman" w:cs="Times New Roman"/>
                <w:i/>
                <w:color w:val="000000"/>
                <w:sz w:val="24"/>
                <w:szCs w:val="24"/>
                <w:highlight w:val="white"/>
              </w:rPr>
              <w:t xml:space="preserve">et al. </w:t>
            </w:r>
            <w:r>
              <w:rPr>
                <w:rFonts w:ascii="Times New Roman" w:eastAsia="Times New Roman" w:hAnsi="Times New Roman" w:cs="Times New Roman"/>
                <w:color w:val="000000"/>
                <w:sz w:val="24"/>
                <w:szCs w:val="24"/>
                <w:highlight w:val="white"/>
              </w:rPr>
              <w:t xml:space="preserve">(2016), unbalanced work and life is the most common issues which employees have to face due to excessive work pressure. With the increase in work in the workplace the personal life of the employees becomes disturbed. In this situation, Holland and Barrett need to adopt the strategy of moderate allocation of work with the help of which employees are not overburdened. Moreover, Holland and Barrett need to focus towards establishing educational workshops and career orientation meetings. </w:t>
            </w:r>
          </w:p>
        </w:tc>
        <w:tc>
          <w:tcPr>
            <w:tcW w:w="2707" w:type="dxa"/>
            <w:shd w:val="clear" w:color="auto" w:fill="auto"/>
            <w:tcMar>
              <w:top w:w="100" w:type="dxa"/>
              <w:left w:w="100" w:type="dxa"/>
              <w:bottom w:w="100" w:type="dxa"/>
              <w:right w:w="100" w:type="dxa"/>
            </w:tcMar>
          </w:tcPr>
          <w:p w14:paraId="00328698" w14:textId="77777777" w:rsidR="00E923B4" w:rsidRDefault="00AB50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Employees in this way get more time to focus on their career and personal life as a result of which individual development is possible. The time saved can be used in achievement of new learning and embracing new opportunities. </w:t>
            </w:r>
          </w:p>
        </w:tc>
      </w:tr>
    </w:tbl>
    <w:p w14:paraId="2B9A5100" w14:textId="77777777" w:rsidR="00E923B4" w:rsidRDefault="00E923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p>
    <w:p w14:paraId="5A2238FA" w14:textId="77777777" w:rsidR="00E923B4" w:rsidRDefault="00AB50CA">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Table 1: Plans addressing development needs and expectations</w:t>
      </w:r>
    </w:p>
    <w:p w14:paraId="6DF0AFB3" w14:textId="77777777" w:rsidR="00E923B4" w:rsidRDefault="00AB50CA">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(Source: Created by the Author)</w:t>
      </w:r>
    </w:p>
    <w:p w14:paraId="459160E9" w14:textId="77777777" w:rsidR="00E923B4" w:rsidRDefault="00AB50CA">
      <w:pPr>
        <w:pStyle w:val="Heading1"/>
        <w:spacing w:line="360" w:lineRule="auto"/>
      </w:pPr>
      <w:bookmarkStart w:id="8" w:name="_Toc17190067"/>
      <w:r>
        <w:rPr>
          <w:highlight w:val="white"/>
        </w:rPr>
        <w:t>Conclusion</w:t>
      </w:r>
      <w:bookmarkEnd w:id="8"/>
    </w:p>
    <w:p w14:paraId="753FA049"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color w:val="000000"/>
          <w:sz w:val="24"/>
          <w:szCs w:val="24"/>
        </w:rPr>
        <w:t xml:space="preserve">Workplace relationships play an important role in motivating employees and staffs to work with more enthusiasm. </w:t>
      </w:r>
      <w:r>
        <w:rPr>
          <w:rFonts w:ascii="Times New Roman" w:eastAsia="Times New Roman" w:hAnsi="Times New Roman" w:cs="Times New Roman"/>
          <w:color w:val="000000"/>
          <w:sz w:val="24"/>
          <w:szCs w:val="24"/>
          <w:highlight w:val="white"/>
        </w:rPr>
        <w:t>It is important for every organisation to take steps so that the employees get a safe and good work environment. When the place of work is not comfortable then issues such as employee turnover takes place. Identifying the type of personality that the employees of Holland and Barrett have is the first step towards understanding an individual’s needs and the role they play within the organisation. The five-factor model can be used by the company to analyse individual traits as every individual possesses the mentioned traits at a lesser or greater degree. Succession planning can be used by the company for identifying capable individuals, promoting the development of employees and for cultivating corporate development.  Moreover, having a clear chain of command is beneficial for reaching organisational goals and smoothing the decision-making process within the organisation.</w:t>
      </w:r>
    </w:p>
    <w:p w14:paraId="24F501F7" w14:textId="77777777" w:rsidR="00E923B4" w:rsidRDefault="00AB50C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color w:val="000000"/>
          <w:sz w:val="24"/>
          <w:szCs w:val="24"/>
          <w:highlight w:val="white"/>
        </w:rPr>
        <w:t xml:space="preserve">In this situation, organisation such as Holland and Barrett is required to adopt some strategies with the help of which identified issues can be reduced and individual growth is ensured. For instance, maintaining a democratic decision making system where the views of staffs are taken into consideration helps in creating good relationship within the workplace. </w:t>
      </w:r>
      <w:r>
        <w:br w:type="page"/>
      </w:r>
    </w:p>
    <w:p w14:paraId="66591481" w14:textId="77777777" w:rsidR="00E923B4" w:rsidRDefault="00AB50CA">
      <w:pPr>
        <w:pStyle w:val="Heading1"/>
        <w:spacing w:line="360" w:lineRule="auto"/>
        <w:rPr>
          <w:highlight w:val="white"/>
        </w:rPr>
      </w:pPr>
      <w:bookmarkStart w:id="9" w:name="_Toc17190068"/>
      <w:r>
        <w:rPr>
          <w:highlight w:val="white"/>
        </w:rPr>
        <w:t>References</w:t>
      </w:r>
      <w:bookmarkEnd w:id="9"/>
    </w:p>
    <w:p w14:paraId="0274866A" w14:textId="77777777" w:rsidR="00E923B4" w:rsidRDefault="00AB50CA">
      <w:pP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Adebola, S., (2019). Why do organisations run talent programmes? Insights from UK organisations. In </w:t>
      </w:r>
      <w:r>
        <w:rPr>
          <w:rFonts w:ascii="Times New Roman" w:eastAsia="Times New Roman" w:hAnsi="Times New Roman" w:cs="Times New Roman"/>
          <w:i/>
          <w:color w:val="000000"/>
          <w:sz w:val="24"/>
          <w:szCs w:val="24"/>
          <w:highlight w:val="white"/>
        </w:rPr>
        <w:t>Managing Talent</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3</w:t>
      </w:r>
      <w:r>
        <w:rPr>
          <w:rFonts w:ascii="Times New Roman" w:eastAsia="Times New Roman" w:hAnsi="Times New Roman" w:cs="Times New Roman"/>
          <w:color w:val="000000"/>
          <w:sz w:val="24"/>
          <w:szCs w:val="24"/>
          <w:highlight w:val="white"/>
        </w:rPr>
        <w:t>(4), pp. 187-221. London: Palgrave Macmillan.</w:t>
      </w:r>
    </w:p>
    <w:p w14:paraId="4B55330D" w14:textId="77777777" w:rsidR="00E923B4" w:rsidRDefault="00AB50CA">
      <w:pP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Akhter, N., Raza, H., Ashraf, A., Ahmad, A. and Aslam, N., (2016). Impact of Training and Deveolpment, Performance Appraisal and Reward System on Job Satisfaction. </w:t>
      </w:r>
      <w:r>
        <w:rPr>
          <w:rFonts w:ascii="Times New Roman" w:eastAsia="Times New Roman" w:hAnsi="Times New Roman" w:cs="Times New Roman"/>
          <w:i/>
          <w:color w:val="000000"/>
          <w:sz w:val="24"/>
          <w:szCs w:val="24"/>
          <w:highlight w:val="white"/>
        </w:rPr>
        <w:t>International Review of Management and Business Research</w:t>
      </w:r>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i/>
          <w:color w:val="000000"/>
          <w:sz w:val="24"/>
          <w:szCs w:val="24"/>
          <w:highlight w:val="white"/>
        </w:rPr>
        <w:t>5</w:t>
      </w:r>
      <w:r>
        <w:rPr>
          <w:rFonts w:ascii="Times New Roman" w:eastAsia="Times New Roman" w:hAnsi="Times New Roman" w:cs="Times New Roman"/>
          <w:color w:val="000000"/>
          <w:sz w:val="24"/>
          <w:szCs w:val="24"/>
          <w:highlight w:val="white"/>
        </w:rPr>
        <w:t>(2), pp.561-567.</w:t>
      </w:r>
    </w:p>
    <w:p w14:paraId="1E944973" w14:textId="77777777" w:rsidR="00E923B4" w:rsidRDefault="00AB50CA">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Amjad, Z., Sabri, P.S.U., Ilyas, M. and Hameed, A., (2015). Informal relationships at workplace and employee performance: A study of employees private higher education sector. </w:t>
      </w:r>
      <w:r>
        <w:rPr>
          <w:rFonts w:ascii="Times New Roman" w:eastAsia="Times New Roman" w:hAnsi="Times New Roman" w:cs="Times New Roman"/>
          <w:i/>
          <w:color w:val="000000"/>
          <w:sz w:val="24"/>
          <w:szCs w:val="24"/>
        </w:rPr>
        <w:t>Pakistan Journal of Commerce and Social Sciences (PJCSS)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9</w:t>
      </w:r>
      <w:r>
        <w:rPr>
          <w:rFonts w:ascii="Times New Roman" w:eastAsia="Times New Roman" w:hAnsi="Times New Roman" w:cs="Times New Roman"/>
          <w:color w:val="000000"/>
          <w:sz w:val="24"/>
          <w:szCs w:val="24"/>
        </w:rPr>
        <w:t>(1), pp.303-321.</w:t>
      </w:r>
    </w:p>
    <w:p w14:paraId="39D29572" w14:textId="77777777" w:rsidR="00E923B4" w:rsidRDefault="00AB50CA">
      <w:pP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Anstey, E., Fletcher, C. and Walker, J., (2017). </w:t>
      </w:r>
      <w:r>
        <w:rPr>
          <w:rFonts w:ascii="Times New Roman" w:eastAsia="Times New Roman" w:hAnsi="Times New Roman" w:cs="Times New Roman"/>
          <w:i/>
          <w:color w:val="000000"/>
          <w:sz w:val="24"/>
          <w:szCs w:val="24"/>
          <w:highlight w:val="white"/>
        </w:rPr>
        <w:t>Staff appraisal and development</w:t>
      </w:r>
      <w:r>
        <w:rPr>
          <w:rFonts w:ascii="Times New Roman" w:eastAsia="Times New Roman" w:hAnsi="Times New Roman" w:cs="Times New Roman"/>
          <w:color w:val="000000"/>
          <w:sz w:val="24"/>
          <w:szCs w:val="24"/>
          <w:highlight w:val="white"/>
        </w:rPr>
        <w:t>. Ed. 1 Abingdon: Routledge.</w:t>
      </w:r>
    </w:p>
    <w:p w14:paraId="5EBC19FE" w14:textId="77777777" w:rsidR="00E923B4" w:rsidRDefault="00AB50CA">
      <w:pP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Cappelli, P. and Tavis, A., (2016). The performance management revolution. </w:t>
      </w:r>
      <w:r>
        <w:rPr>
          <w:rFonts w:ascii="Times New Roman" w:eastAsia="Times New Roman" w:hAnsi="Times New Roman" w:cs="Times New Roman"/>
          <w:i/>
          <w:color w:val="000000"/>
          <w:sz w:val="24"/>
          <w:szCs w:val="24"/>
          <w:highlight w:val="white"/>
        </w:rPr>
        <w:t>Harvard Business Review</w:t>
      </w:r>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i/>
          <w:color w:val="000000"/>
          <w:sz w:val="24"/>
          <w:szCs w:val="24"/>
          <w:highlight w:val="white"/>
        </w:rPr>
        <w:t>94</w:t>
      </w:r>
      <w:r>
        <w:rPr>
          <w:rFonts w:ascii="Times New Roman" w:eastAsia="Times New Roman" w:hAnsi="Times New Roman" w:cs="Times New Roman"/>
          <w:color w:val="000000"/>
          <w:sz w:val="24"/>
          <w:szCs w:val="24"/>
          <w:highlight w:val="white"/>
        </w:rPr>
        <w:t>(10), pp.58-67.</w:t>
      </w:r>
    </w:p>
    <w:p w14:paraId="713E0E78" w14:textId="77777777" w:rsidR="00E923B4" w:rsidRDefault="00AB50CA">
      <w:pP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Dipboye, R.L. and Dipboye, R.L., (2018). Criterion Development, Performance Appraisal, and Feedback'. In </w:t>
      </w:r>
      <w:r>
        <w:rPr>
          <w:rFonts w:ascii="Times New Roman" w:eastAsia="Times New Roman" w:hAnsi="Times New Roman" w:cs="Times New Roman"/>
          <w:i/>
          <w:color w:val="000000"/>
          <w:sz w:val="24"/>
          <w:szCs w:val="24"/>
          <w:highlight w:val="white"/>
        </w:rPr>
        <w:t>The Emerald Review of Industrial and Organizational Psychology</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5</w:t>
      </w:r>
      <w:r>
        <w:rPr>
          <w:rFonts w:ascii="Times New Roman" w:eastAsia="Times New Roman" w:hAnsi="Times New Roman" w:cs="Times New Roman"/>
          <w:color w:val="000000"/>
          <w:sz w:val="24"/>
          <w:szCs w:val="24"/>
          <w:highlight w:val="white"/>
        </w:rPr>
        <w:t>(2), pp. 535-579. Bingley: Emerald Publishing Limited.</w:t>
      </w:r>
    </w:p>
    <w:p w14:paraId="74BE12B1" w14:textId="77777777" w:rsidR="00E923B4" w:rsidRDefault="00AB50CA">
      <w:pP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Fleeson, W. and Jayawickreme, E., (2015). Whole trait theory. </w:t>
      </w:r>
      <w:r>
        <w:rPr>
          <w:rFonts w:ascii="Times New Roman" w:eastAsia="Times New Roman" w:hAnsi="Times New Roman" w:cs="Times New Roman"/>
          <w:i/>
          <w:color w:val="000000"/>
          <w:sz w:val="24"/>
          <w:szCs w:val="24"/>
          <w:highlight w:val="white"/>
        </w:rPr>
        <w:t>Journal of Research in Personality</w:t>
      </w:r>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i/>
          <w:color w:val="000000"/>
          <w:sz w:val="24"/>
          <w:szCs w:val="24"/>
          <w:highlight w:val="white"/>
        </w:rPr>
        <w:t>5(6)</w:t>
      </w:r>
      <w:r>
        <w:rPr>
          <w:rFonts w:ascii="Times New Roman" w:eastAsia="Times New Roman" w:hAnsi="Times New Roman" w:cs="Times New Roman"/>
          <w:color w:val="000000"/>
          <w:sz w:val="24"/>
          <w:szCs w:val="24"/>
          <w:highlight w:val="white"/>
        </w:rPr>
        <w:t>, pp.82-92.</w:t>
      </w:r>
    </w:p>
    <w:p w14:paraId="3AE00F4E" w14:textId="77777777" w:rsidR="00E923B4" w:rsidRDefault="00AB50CA">
      <w:pP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Goffee, R. and Scase, R., (2015). </w:t>
      </w:r>
      <w:r>
        <w:rPr>
          <w:rFonts w:ascii="Times New Roman" w:eastAsia="Times New Roman" w:hAnsi="Times New Roman" w:cs="Times New Roman"/>
          <w:i/>
          <w:color w:val="000000"/>
          <w:sz w:val="24"/>
          <w:szCs w:val="24"/>
          <w:highlight w:val="white"/>
        </w:rPr>
        <w:t>Corporate Realities (Routledge Revivals): The Dynamics of Large and Small Organisations</w:t>
      </w:r>
      <w:r>
        <w:rPr>
          <w:rFonts w:ascii="Times New Roman" w:eastAsia="Times New Roman" w:hAnsi="Times New Roman" w:cs="Times New Roman"/>
          <w:color w:val="000000"/>
          <w:sz w:val="24"/>
          <w:szCs w:val="24"/>
          <w:highlight w:val="white"/>
        </w:rPr>
        <w:t>. Eds. 2. Abingdon: Routledge.</w:t>
      </w:r>
    </w:p>
    <w:p w14:paraId="40B7F8AE" w14:textId="77777777" w:rsidR="00E923B4" w:rsidRDefault="00AB50CA">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Guay, R.P., Choi, D., Oh, I.S., Mitchell, M.S., Mount, M.K. and Shin, K.H., (2016). Why people harm the organization and its members: Relationships among personality, organizational commitment, and workplace deviance. </w:t>
      </w:r>
      <w:r>
        <w:rPr>
          <w:rFonts w:ascii="Times New Roman" w:eastAsia="Times New Roman" w:hAnsi="Times New Roman" w:cs="Times New Roman"/>
          <w:i/>
          <w:color w:val="000000"/>
          <w:sz w:val="24"/>
          <w:szCs w:val="24"/>
        </w:rPr>
        <w:t>Human Performance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29</w:t>
      </w:r>
      <w:r>
        <w:rPr>
          <w:rFonts w:ascii="Times New Roman" w:eastAsia="Times New Roman" w:hAnsi="Times New Roman" w:cs="Times New Roman"/>
          <w:color w:val="000000"/>
          <w:sz w:val="24"/>
          <w:szCs w:val="24"/>
        </w:rPr>
        <w:t>(1), pp.1-15.</w:t>
      </w:r>
    </w:p>
    <w:p w14:paraId="6CCC00C7" w14:textId="77777777" w:rsidR="00E923B4" w:rsidRDefault="00AB50CA">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Henry, H., Zacher, H. and Desmette, D., (2015). Reducing age bias and turnover intentions by enhancing intergenerational contact quality in the workplace: The role of opportunities for generativity and development. </w:t>
      </w:r>
      <w:r>
        <w:rPr>
          <w:rFonts w:ascii="Times New Roman" w:eastAsia="Times New Roman" w:hAnsi="Times New Roman" w:cs="Times New Roman"/>
          <w:i/>
          <w:color w:val="000000"/>
          <w:sz w:val="24"/>
          <w:szCs w:val="24"/>
        </w:rPr>
        <w:t>Work, Aging and Retirement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w:t>
      </w:r>
      <w:r>
        <w:rPr>
          <w:rFonts w:ascii="Times New Roman" w:eastAsia="Times New Roman" w:hAnsi="Times New Roman" w:cs="Times New Roman"/>
          <w:color w:val="000000"/>
          <w:sz w:val="24"/>
          <w:szCs w:val="24"/>
        </w:rPr>
        <w:t>(3), pp.243-253.</w:t>
      </w:r>
    </w:p>
    <w:p w14:paraId="6946BCC4" w14:textId="77777777" w:rsidR="00E923B4" w:rsidRDefault="00AB50CA">
      <w:pP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Hoehberg, J., (2017). Levels of perceptual organization. In </w:t>
      </w:r>
      <w:r>
        <w:rPr>
          <w:rFonts w:ascii="Times New Roman" w:eastAsia="Times New Roman" w:hAnsi="Times New Roman" w:cs="Times New Roman"/>
          <w:i/>
          <w:color w:val="000000"/>
          <w:sz w:val="24"/>
          <w:szCs w:val="24"/>
          <w:highlight w:val="white"/>
        </w:rPr>
        <w:t>Perceptual organization</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3</w:t>
      </w:r>
      <w:r>
        <w:rPr>
          <w:rFonts w:ascii="Times New Roman" w:eastAsia="Times New Roman" w:hAnsi="Times New Roman" w:cs="Times New Roman"/>
          <w:color w:val="000000"/>
          <w:sz w:val="24"/>
          <w:szCs w:val="24"/>
          <w:highlight w:val="white"/>
        </w:rPr>
        <w:t>(2), pp. 255-278. Abingdon: Routledge.</w:t>
      </w:r>
    </w:p>
    <w:p w14:paraId="59C48963" w14:textId="77777777" w:rsidR="00E923B4" w:rsidRDefault="00AB50CA">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Hollandandbarrett.com, (2019). </w:t>
      </w:r>
      <w:r>
        <w:rPr>
          <w:rFonts w:ascii="Times New Roman" w:eastAsia="Times New Roman" w:hAnsi="Times New Roman" w:cs="Times New Roman"/>
          <w:i/>
          <w:color w:val="000000"/>
          <w:sz w:val="24"/>
          <w:szCs w:val="24"/>
        </w:rPr>
        <w:t>About Holland and Barrett</w:t>
      </w:r>
      <w:r>
        <w:rPr>
          <w:rFonts w:ascii="Times New Roman" w:eastAsia="Times New Roman" w:hAnsi="Times New Roman" w:cs="Times New Roman"/>
          <w:color w:val="000000"/>
          <w:sz w:val="24"/>
          <w:szCs w:val="24"/>
        </w:rPr>
        <w:t>. Available at: https://www.hollandandbarrett.com/ [Accessed on 15 July 2019]</w:t>
      </w:r>
    </w:p>
    <w:p w14:paraId="63D7812A" w14:textId="77777777" w:rsidR="00E923B4" w:rsidRDefault="00AB50CA">
      <w:pP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Hosain, M., (2016). 360 Degree Feedback as a Technique of Performance Appraisal: Does it Really Work?. </w:t>
      </w:r>
      <w:r>
        <w:rPr>
          <w:rFonts w:ascii="Times New Roman" w:eastAsia="Times New Roman" w:hAnsi="Times New Roman" w:cs="Times New Roman"/>
          <w:i/>
          <w:color w:val="000000"/>
          <w:sz w:val="24"/>
          <w:szCs w:val="24"/>
          <w:highlight w:val="white"/>
        </w:rPr>
        <w:t>Asian Business Review</w:t>
      </w:r>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i/>
          <w:color w:val="000000"/>
          <w:sz w:val="24"/>
          <w:szCs w:val="24"/>
          <w:highlight w:val="white"/>
        </w:rPr>
        <w:t>6</w:t>
      </w:r>
      <w:r>
        <w:rPr>
          <w:rFonts w:ascii="Times New Roman" w:eastAsia="Times New Roman" w:hAnsi="Times New Roman" w:cs="Times New Roman"/>
          <w:color w:val="000000"/>
          <w:sz w:val="24"/>
          <w:szCs w:val="24"/>
          <w:highlight w:val="white"/>
        </w:rPr>
        <w:t>(1).</w:t>
      </w:r>
    </w:p>
    <w:p w14:paraId="5D831F2B" w14:textId="77777777" w:rsidR="00E923B4" w:rsidRDefault="00AB50CA">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Jones, R.J., Woods, S.A. and Guillaume, Y.R., (2016). The effectiveness of workplace coaching: A meta</w:t>
      </w:r>
      <w:r>
        <w:rPr>
          <w:rFonts w:ascii="Cambria Math" w:eastAsia="Cambria Math" w:hAnsi="Cambria Math" w:cs="Cambria Math"/>
          <w:color w:val="000000"/>
          <w:sz w:val="24"/>
          <w:szCs w:val="24"/>
        </w:rPr>
        <w:t>‐</w:t>
      </w:r>
      <w:r>
        <w:rPr>
          <w:rFonts w:ascii="Times New Roman" w:eastAsia="Times New Roman" w:hAnsi="Times New Roman" w:cs="Times New Roman"/>
          <w:color w:val="000000"/>
          <w:sz w:val="24"/>
          <w:szCs w:val="24"/>
        </w:rPr>
        <w:t xml:space="preserve">analysis of learning and performance outcomes from coaching. </w:t>
      </w:r>
      <w:r>
        <w:rPr>
          <w:rFonts w:ascii="Times New Roman" w:eastAsia="Times New Roman" w:hAnsi="Times New Roman" w:cs="Times New Roman"/>
          <w:i/>
          <w:color w:val="000000"/>
          <w:sz w:val="24"/>
          <w:szCs w:val="24"/>
        </w:rPr>
        <w:t>Journal of Occupational and Organizational Psychology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89</w:t>
      </w:r>
      <w:r>
        <w:rPr>
          <w:rFonts w:ascii="Times New Roman" w:eastAsia="Times New Roman" w:hAnsi="Times New Roman" w:cs="Times New Roman"/>
          <w:color w:val="000000"/>
          <w:sz w:val="24"/>
          <w:szCs w:val="24"/>
        </w:rPr>
        <w:t>(2), pp.249-277.</w:t>
      </w:r>
    </w:p>
    <w:p w14:paraId="0A4F9894" w14:textId="77777777" w:rsidR="00E923B4" w:rsidRDefault="00AB50CA">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Magnano, P., Craparo, G. and Paolillo, A., (2016). Resilience and Emotional Intelligence: which role in achievement motivation. </w:t>
      </w:r>
      <w:r>
        <w:rPr>
          <w:rFonts w:ascii="Times New Roman" w:eastAsia="Times New Roman" w:hAnsi="Times New Roman" w:cs="Times New Roman"/>
          <w:i/>
          <w:color w:val="000000"/>
          <w:sz w:val="24"/>
          <w:szCs w:val="24"/>
        </w:rPr>
        <w:t>International Journal of Psychological Research</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9</w:t>
      </w:r>
      <w:r>
        <w:rPr>
          <w:rFonts w:ascii="Times New Roman" w:eastAsia="Times New Roman" w:hAnsi="Times New Roman" w:cs="Times New Roman"/>
          <w:color w:val="000000"/>
          <w:sz w:val="24"/>
          <w:szCs w:val="24"/>
        </w:rPr>
        <w:t>(1), pp.9-20.</w:t>
      </w:r>
    </w:p>
    <w:p w14:paraId="2A9D2515" w14:textId="77777777" w:rsidR="00E923B4" w:rsidRDefault="00AB50CA">
      <w:pP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Mansouri, A.A.A., Singh, S.K. and Khan, M., (2018). Role of organisational culture, leadership and organisational citizenship behaviour on knowledge management. </w:t>
      </w:r>
      <w:r>
        <w:rPr>
          <w:rFonts w:ascii="Times New Roman" w:eastAsia="Times New Roman" w:hAnsi="Times New Roman" w:cs="Times New Roman"/>
          <w:i/>
          <w:color w:val="000000"/>
          <w:sz w:val="24"/>
          <w:szCs w:val="24"/>
          <w:highlight w:val="white"/>
        </w:rPr>
        <w:t>International Journal of Knowledge Management Studies</w:t>
      </w:r>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i/>
          <w:color w:val="000000"/>
          <w:sz w:val="24"/>
          <w:szCs w:val="24"/>
          <w:highlight w:val="white"/>
        </w:rPr>
        <w:t>9</w:t>
      </w:r>
      <w:r>
        <w:rPr>
          <w:rFonts w:ascii="Times New Roman" w:eastAsia="Times New Roman" w:hAnsi="Times New Roman" w:cs="Times New Roman"/>
          <w:color w:val="000000"/>
          <w:sz w:val="24"/>
          <w:szCs w:val="24"/>
          <w:highlight w:val="white"/>
        </w:rPr>
        <w:t>(2), pp.129-143.</w:t>
      </w:r>
    </w:p>
    <w:p w14:paraId="69A45CC2" w14:textId="77777777" w:rsidR="00E923B4" w:rsidRDefault="00AB50CA">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Methot, J.R., Lepine, J.A., Podsakoff, N.P. and Christian, J.S., (2016). Are workplace friendships a mixed blessing? Exploring tradeoffs of multiplex relationships and their associations with job performance. </w:t>
      </w:r>
      <w:r>
        <w:rPr>
          <w:rFonts w:ascii="Times New Roman" w:eastAsia="Times New Roman" w:hAnsi="Times New Roman" w:cs="Times New Roman"/>
          <w:i/>
          <w:color w:val="000000"/>
          <w:sz w:val="24"/>
          <w:szCs w:val="24"/>
        </w:rPr>
        <w:t>Personnel psychology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69</w:t>
      </w:r>
      <w:r>
        <w:rPr>
          <w:rFonts w:ascii="Times New Roman" w:eastAsia="Times New Roman" w:hAnsi="Times New Roman" w:cs="Times New Roman"/>
          <w:color w:val="000000"/>
          <w:sz w:val="24"/>
          <w:szCs w:val="24"/>
        </w:rPr>
        <w:t>(2), pp.311-355.</w:t>
      </w:r>
    </w:p>
    <w:p w14:paraId="61877F47" w14:textId="77777777" w:rsidR="00E923B4" w:rsidRDefault="00AB50CA">
      <w:pP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Mone, E.M. and London, M., (2018). </w:t>
      </w:r>
      <w:r>
        <w:rPr>
          <w:rFonts w:ascii="Times New Roman" w:eastAsia="Times New Roman" w:hAnsi="Times New Roman" w:cs="Times New Roman"/>
          <w:i/>
          <w:color w:val="000000"/>
          <w:sz w:val="24"/>
          <w:szCs w:val="24"/>
          <w:highlight w:val="white"/>
        </w:rPr>
        <w:t>Employee engagement through effective performance management: A practical guide for managers</w:t>
      </w:r>
      <w:r>
        <w:rPr>
          <w:rFonts w:ascii="Times New Roman" w:eastAsia="Times New Roman" w:hAnsi="Times New Roman" w:cs="Times New Roman"/>
          <w:color w:val="000000"/>
          <w:sz w:val="24"/>
          <w:szCs w:val="24"/>
          <w:highlight w:val="white"/>
        </w:rPr>
        <w:t>. Eds. 2. Abingdon:  Routledge.</w:t>
      </w:r>
    </w:p>
    <w:p w14:paraId="262AA9DA" w14:textId="77777777" w:rsidR="00E923B4" w:rsidRDefault="00AB50CA">
      <w:pP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Mone, E.M. and London, M., (2018). </w:t>
      </w:r>
      <w:r>
        <w:rPr>
          <w:rFonts w:ascii="Times New Roman" w:eastAsia="Times New Roman" w:hAnsi="Times New Roman" w:cs="Times New Roman"/>
          <w:i/>
          <w:color w:val="000000"/>
          <w:sz w:val="24"/>
          <w:szCs w:val="24"/>
          <w:highlight w:val="white"/>
        </w:rPr>
        <w:t>Employee engagement through effective performance management: A practical guide for managers</w:t>
      </w:r>
      <w:r>
        <w:rPr>
          <w:rFonts w:ascii="Times New Roman" w:eastAsia="Times New Roman" w:hAnsi="Times New Roman" w:cs="Times New Roman"/>
          <w:color w:val="000000"/>
          <w:sz w:val="24"/>
          <w:szCs w:val="24"/>
          <w:highlight w:val="white"/>
        </w:rPr>
        <w:t>. Eds. 3. Abingdon: Routledge.</w:t>
      </w:r>
    </w:p>
    <w:p w14:paraId="4DC2C89E" w14:textId="77777777" w:rsidR="00E923B4" w:rsidRDefault="00AB50CA">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Pilbeam, C., Doherty, N., Davidson, R. and Denyer, D., (2016). Safety leadership practices for organizational safety compliance: Developing a research agenda from a review of the literature. </w:t>
      </w:r>
      <w:r>
        <w:rPr>
          <w:rFonts w:ascii="Times New Roman" w:eastAsia="Times New Roman" w:hAnsi="Times New Roman" w:cs="Times New Roman"/>
          <w:i/>
          <w:color w:val="000000"/>
          <w:sz w:val="24"/>
          <w:szCs w:val="24"/>
        </w:rPr>
        <w:t>Safety science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86</w:t>
      </w:r>
      <w:r>
        <w:rPr>
          <w:rFonts w:ascii="Times New Roman" w:eastAsia="Times New Roman" w:hAnsi="Times New Roman" w:cs="Times New Roman"/>
          <w:color w:val="000000"/>
          <w:sz w:val="24"/>
          <w:szCs w:val="24"/>
        </w:rPr>
        <w:t>(3), pp.110-121.</w:t>
      </w:r>
    </w:p>
    <w:p w14:paraId="4497269F" w14:textId="77777777" w:rsidR="00E923B4" w:rsidRDefault="00AB50CA">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Swamy, D.R., Nanjundeswaraswamy, T.S. and Rashmi, S., (2015). Quality of work life: scale development and validation. </w:t>
      </w:r>
      <w:r>
        <w:rPr>
          <w:rFonts w:ascii="Times New Roman" w:eastAsia="Times New Roman" w:hAnsi="Times New Roman" w:cs="Times New Roman"/>
          <w:i/>
          <w:color w:val="000000"/>
          <w:sz w:val="24"/>
          <w:szCs w:val="24"/>
        </w:rPr>
        <w:t>International Journal of Caring Sciences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8</w:t>
      </w:r>
      <w:r>
        <w:rPr>
          <w:rFonts w:ascii="Times New Roman" w:eastAsia="Times New Roman" w:hAnsi="Times New Roman" w:cs="Times New Roman"/>
          <w:color w:val="000000"/>
          <w:sz w:val="24"/>
          <w:szCs w:val="24"/>
        </w:rPr>
        <w:t>(2), p.281.</w:t>
      </w:r>
    </w:p>
    <w:p w14:paraId="75B177B4" w14:textId="77777777" w:rsidR="00E923B4" w:rsidRDefault="00AB50CA">
      <w:pPr>
        <w:spacing w:after="24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Tanwar, K. and Prasad, A., (2016). Exploring the relationship between employer branding and employee retention. </w:t>
      </w:r>
      <w:r>
        <w:rPr>
          <w:rFonts w:ascii="Times New Roman" w:eastAsia="Times New Roman" w:hAnsi="Times New Roman" w:cs="Times New Roman"/>
          <w:i/>
          <w:color w:val="000000"/>
          <w:sz w:val="24"/>
          <w:szCs w:val="24"/>
          <w:highlight w:val="white"/>
        </w:rPr>
        <w:t>Global Business Review</w:t>
      </w:r>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i/>
          <w:color w:val="000000"/>
          <w:sz w:val="24"/>
          <w:szCs w:val="24"/>
          <w:highlight w:val="white"/>
        </w:rPr>
        <w:t>17</w:t>
      </w:r>
      <w:r>
        <w:rPr>
          <w:rFonts w:ascii="Times New Roman" w:eastAsia="Times New Roman" w:hAnsi="Times New Roman" w:cs="Times New Roman"/>
          <w:color w:val="000000"/>
          <w:sz w:val="24"/>
          <w:szCs w:val="24"/>
          <w:highlight w:val="white"/>
        </w:rPr>
        <w:t>(3), pp.186S-206S.</w:t>
      </w:r>
    </w:p>
    <w:p w14:paraId="344A1B58" w14:textId="77777777" w:rsidR="00E923B4" w:rsidRDefault="00AB50CA">
      <w:pP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Tseng, S.T. and Levy, P.E., (2018). A multilevel leadership process framework of performance management. </w:t>
      </w:r>
      <w:r>
        <w:rPr>
          <w:rFonts w:ascii="Times New Roman" w:eastAsia="Times New Roman" w:hAnsi="Times New Roman" w:cs="Times New Roman"/>
          <w:i/>
          <w:color w:val="000000"/>
          <w:sz w:val="24"/>
          <w:szCs w:val="24"/>
          <w:highlight w:val="white"/>
        </w:rPr>
        <w:t>Human Resource Management Review</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9</w:t>
      </w:r>
      <w:r>
        <w:rPr>
          <w:rFonts w:ascii="Times New Roman" w:eastAsia="Times New Roman" w:hAnsi="Times New Roman" w:cs="Times New Roman"/>
          <w:color w:val="000000"/>
          <w:sz w:val="24"/>
          <w:szCs w:val="24"/>
          <w:highlight w:val="white"/>
        </w:rPr>
        <w:t>(2), pp.78-97.</w:t>
      </w:r>
    </w:p>
    <w:p w14:paraId="1A07C8A0" w14:textId="77777777" w:rsidR="00E923B4" w:rsidRDefault="00AB50CA">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Vondracek, F.W., Lerner, R.M. and Schulenberg, J.E., (2019). </w:t>
      </w:r>
      <w:r>
        <w:rPr>
          <w:rFonts w:ascii="Times New Roman" w:eastAsia="Times New Roman" w:hAnsi="Times New Roman" w:cs="Times New Roman"/>
          <w:i/>
          <w:color w:val="000000"/>
          <w:sz w:val="24"/>
          <w:szCs w:val="24"/>
        </w:rPr>
        <w:t>Career development: A life-span developmental approach</w:t>
      </w:r>
      <w:r>
        <w:rPr>
          <w:rFonts w:ascii="Times New Roman" w:eastAsia="Times New Roman" w:hAnsi="Times New Roman" w:cs="Times New Roman"/>
          <w:color w:val="000000"/>
          <w:sz w:val="24"/>
          <w:szCs w:val="24"/>
        </w:rPr>
        <w:t>. Abingdon: Routledge.</w:t>
      </w:r>
    </w:p>
    <w:p w14:paraId="37A86ACE" w14:textId="77777777" w:rsidR="00E923B4" w:rsidRDefault="00E923B4">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
    <w:p w14:paraId="53164204" w14:textId="77777777" w:rsidR="00E923B4" w:rsidRDefault="00E923B4">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highlight w:val="white"/>
        </w:rPr>
      </w:pPr>
    </w:p>
    <w:p w14:paraId="17EF83D9" w14:textId="77777777" w:rsidR="00E923B4" w:rsidRDefault="00E923B4">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sectPr w:rsidR="00E923B4" w:rsidSect="00EB3382">
      <w:footerReference w:type="default" r:id="rId9"/>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EF3BDA" w14:textId="77777777" w:rsidR="004B06D0" w:rsidRDefault="004B06D0">
      <w:pPr>
        <w:spacing w:line="240" w:lineRule="auto"/>
      </w:pPr>
      <w:r>
        <w:separator/>
      </w:r>
    </w:p>
  </w:endnote>
  <w:endnote w:type="continuationSeparator" w:id="0">
    <w:p w14:paraId="6FB7F421" w14:textId="77777777" w:rsidR="004B06D0" w:rsidRDefault="004B06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Math">
    <w:panose1 w:val="02040503050406030204"/>
    <w:charset w:val="00"/>
    <w:family w:val="auto"/>
    <w:pitch w:val="variable"/>
    <w:sig w:usb0="E00002FF" w:usb1="420024FF" w:usb2="00000000" w:usb3="00000000" w:csb0="000001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6CD5C7" w14:textId="77777777" w:rsidR="00E923B4" w:rsidRDefault="00EB3382">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AB50CA">
      <w:rPr>
        <w:color w:val="000000"/>
      </w:rPr>
      <w:instrText>PAGE</w:instrText>
    </w:r>
    <w:r>
      <w:rPr>
        <w:color w:val="000000"/>
      </w:rPr>
      <w:fldChar w:fldCharType="separate"/>
    </w:r>
    <w:r w:rsidR="004B06D0">
      <w:rPr>
        <w:noProof/>
        <w:color w:val="000000"/>
      </w:rPr>
      <w:t>0</w:t>
    </w:r>
    <w:r>
      <w:rPr>
        <w:color w:val="000000"/>
      </w:rPr>
      <w:fldChar w:fldCharType="end"/>
    </w:r>
  </w:p>
  <w:p w14:paraId="4A520CE8" w14:textId="77777777" w:rsidR="00E923B4" w:rsidRDefault="00E923B4">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865615" w14:textId="77777777" w:rsidR="004B06D0" w:rsidRDefault="004B06D0">
      <w:pPr>
        <w:spacing w:line="240" w:lineRule="auto"/>
      </w:pPr>
      <w:r>
        <w:separator/>
      </w:r>
    </w:p>
  </w:footnote>
  <w:footnote w:type="continuationSeparator" w:id="0">
    <w:p w14:paraId="775F3FB8" w14:textId="77777777" w:rsidR="004B06D0" w:rsidRDefault="004B06D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3B4"/>
    <w:rsid w:val="00285BBB"/>
    <w:rsid w:val="004B06D0"/>
    <w:rsid w:val="0067267F"/>
    <w:rsid w:val="007C76CB"/>
    <w:rsid w:val="00AB50CA"/>
    <w:rsid w:val="00B41B9A"/>
    <w:rsid w:val="00B948A0"/>
    <w:rsid w:val="00C94CE3"/>
    <w:rsid w:val="00DD669C"/>
    <w:rsid w:val="00E55398"/>
    <w:rsid w:val="00E64BBF"/>
    <w:rsid w:val="00E923B4"/>
    <w:rsid w:val="00EB3382"/>
    <w:rsid w:val="00EF33A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72F6D"/>
  <w15:docId w15:val="{FB1E6567-5598-4B7F-9B69-CE0CFC7A1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B3382"/>
  </w:style>
  <w:style w:type="paragraph" w:styleId="Heading1">
    <w:name w:val="heading 1"/>
    <w:basedOn w:val="Normal"/>
    <w:next w:val="Normal"/>
    <w:uiPriority w:val="9"/>
    <w:qFormat/>
    <w:rsid w:val="00EB3382"/>
    <w:pPr>
      <w:keepNext/>
      <w:keepLines/>
      <w:pBdr>
        <w:top w:val="nil"/>
        <w:left w:val="nil"/>
        <w:bottom w:val="nil"/>
        <w:right w:val="nil"/>
        <w:between w:val="nil"/>
      </w:pBdr>
      <w:spacing w:before="400" w:after="120" w:line="480" w:lineRule="auto"/>
      <w:outlineLvl w:val="0"/>
    </w:pPr>
    <w:rPr>
      <w:rFonts w:ascii="Times New Roman" w:eastAsia="Times New Roman" w:hAnsi="Times New Roman" w:cs="Times New Roman"/>
      <w:b/>
      <w:color w:val="000000"/>
      <w:sz w:val="24"/>
      <w:szCs w:val="24"/>
    </w:rPr>
  </w:style>
  <w:style w:type="paragraph" w:styleId="Heading2">
    <w:name w:val="heading 2"/>
    <w:basedOn w:val="Normal"/>
    <w:next w:val="Normal"/>
    <w:uiPriority w:val="9"/>
    <w:semiHidden/>
    <w:unhideWhenUsed/>
    <w:qFormat/>
    <w:rsid w:val="00EB3382"/>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uiPriority w:val="9"/>
    <w:semiHidden/>
    <w:unhideWhenUsed/>
    <w:qFormat/>
    <w:rsid w:val="00EB3382"/>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rsid w:val="00EB3382"/>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rsid w:val="00EB3382"/>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rsid w:val="00EB3382"/>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EB3382"/>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rsid w:val="00EB3382"/>
    <w:pPr>
      <w:keepNext/>
      <w:keepLines/>
      <w:pBdr>
        <w:top w:val="nil"/>
        <w:left w:val="nil"/>
        <w:bottom w:val="nil"/>
        <w:right w:val="nil"/>
        <w:between w:val="nil"/>
      </w:pBdr>
      <w:spacing w:after="320"/>
    </w:pPr>
    <w:rPr>
      <w:color w:val="666666"/>
      <w:sz w:val="30"/>
      <w:szCs w:val="30"/>
    </w:rPr>
  </w:style>
  <w:style w:type="table" w:customStyle="1" w:styleId="a">
    <w:basedOn w:val="TableNormal"/>
    <w:rsid w:val="00EB3382"/>
    <w:tblPr>
      <w:tblStyleRowBandSize w:val="1"/>
      <w:tblStyleColBandSize w:val="1"/>
      <w:tblInd w:w="0" w:type="dxa"/>
      <w:tblCellMar>
        <w:top w:w="100" w:type="dxa"/>
        <w:left w:w="100" w:type="dxa"/>
        <w:bottom w:w="100" w:type="dxa"/>
        <w:right w:w="100" w:type="dxa"/>
      </w:tblCellMar>
    </w:tblPr>
  </w:style>
  <w:style w:type="paragraph" w:styleId="TOC1">
    <w:name w:val="toc 1"/>
    <w:basedOn w:val="Normal"/>
    <w:next w:val="Normal"/>
    <w:autoRedefine/>
    <w:uiPriority w:val="39"/>
    <w:unhideWhenUsed/>
    <w:rsid w:val="00285BBB"/>
    <w:pPr>
      <w:spacing w:after="100"/>
    </w:pPr>
  </w:style>
  <w:style w:type="character" w:styleId="Hyperlink">
    <w:name w:val="Hyperlink"/>
    <w:basedOn w:val="DefaultParagraphFont"/>
    <w:uiPriority w:val="99"/>
    <w:unhideWhenUsed/>
    <w:rsid w:val="00285BBB"/>
    <w:rPr>
      <w:color w:val="0000FF" w:themeColor="hyperlink"/>
      <w:u w:val="single"/>
    </w:rPr>
  </w:style>
  <w:style w:type="paragraph" w:styleId="BalloonText">
    <w:name w:val="Balloon Text"/>
    <w:basedOn w:val="Normal"/>
    <w:link w:val="BalloonTextChar"/>
    <w:uiPriority w:val="99"/>
    <w:semiHidden/>
    <w:unhideWhenUsed/>
    <w:rsid w:val="00E64BB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4B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4314</Words>
  <Characters>29988</Characters>
  <Application>Microsoft Macintosh Word</Application>
  <DocSecurity>0</DocSecurity>
  <Lines>1034</Lines>
  <Paragraphs>779</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vt:lpstr>
      <vt:lpstr>Overview of the case study</vt:lpstr>
      <vt:lpstr>1) Critical assessment of potential benefits to the organisation of personally d</vt:lpstr>
      <vt:lpstr>2) Critical evaluation of development vehicles in the organisation &amp; extent of b</vt:lpstr>
      <vt:lpstr>3) Plan to meet identified development needs and expectations</vt:lpstr>
      <vt:lpstr>Conclusion</vt:lpstr>
      <vt:lpstr>References</vt:lpstr>
    </vt:vector>
  </TitlesOfParts>
  <Company/>
  <LinksUpToDate>false</LinksUpToDate>
  <CharactersWithSpaces>33523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Mushfiqur Rahman</dc:creator>
  <cp:lastModifiedBy>Atef Chowdhury</cp:lastModifiedBy>
  <cp:revision>2</cp:revision>
  <dcterms:created xsi:type="dcterms:W3CDTF">2019-08-23T22:06:00Z</dcterms:created>
  <dcterms:modified xsi:type="dcterms:W3CDTF">2019-08-23T22:06:00Z</dcterms:modified>
</cp:coreProperties>
</file>