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8532CF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604DF" w:rsidRPr="004604DF">
              <w:rPr>
                <w:b/>
                <w:color w:val="auto"/>
                <w:sz w:val="32"/>
                <w:u w:val="single"/>
              </w:rPr>
              <w:t>AIDA HJERTO</w:t>
            </w:r>
            <w:r>
              <w:rPr>
                <w:b/>
                <w:color w:val="auto"/>
                <w:sz w:val="32"/>
              </w:rPr>
              <w:t>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6792E5F" w:rsidR="00575A8F" w:rsidRDefault="00575A8F" w:rsidP="00E6298B">
            <w:pPr>
              <w:overflowPunct/>
              <w:autoSpaceDE/>
              <w:autoSpaceDN/>
              <w:adjustRightInd/>
              <w:ind w:right="107"/>
              <w:textAlignment w:val="auto"/>
              <w:rPr>
                <w:b/>
                <w:color w:val="auto"/>
                <w:sz w:val="32"/>
              </w:rPr>
            </w:pPr>
            <w:r>
              <w:rPr>
                <w:b/>
                <w:color w:val="auto"/>
                <w:sz w:val="32"/>
              </w:rPr>
              <w:t>___</w:t>
            </w:r>
            <w:r w:rsidR="004604DF">
              <w:rPr>
                <w:b/>
                <w:color w:val="auto"/>
                <w:sz w:val="32"/>
                <w:u w:val="single"/>
              </w:rPr>
              <w:t>2236358</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820B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462D86C" w14:textId="6DC8824F" w:rsidR="00DF6FC9" w:rsidRDefault="008475F5" w:rsidP="00E6298B">
      <w:pPr>
        <w:ind w:right="107"/>
        <w:jc w:val="both"/>
        <w:rPr>
          <w:sz w:val="24"/>
          <w:szCs w:val="24"/>
        </w:rPr>
      </w:pPr>
      <w:r>
        <w:rPr>
          <w:sz w:val="24"/>
          <w:szCs w:val="24"/>
        </w:rPr>
        <w:t xml:space="preserve">During my training and beyond my main coping strategy to develop resilience and minimise stress has been to try and manage the symptoms of my ADHD. ADHD is linked to a multitude of issues relation to sleep, mental health, physical health and emotional wellbeing. For me my strongest ADHD symptoms are, problems with sleep, a hyperactive internal process (unlike the well-known external hyperactivity), restless ness, lack of impulse control, and an overall low dopamine production making it difficult for me to stay on target with task as there is a lack of instant gratification that stems from the dopamine deficiency. </w:t>
      </w:r>
    </w:p>
    <w:p w14:paraId="1F985911" w14:textId="77777777" w:rsidR="008475F5" w:rsidRDefault="008475F5" w:rsidP="00E6298B">
      <w:pPr>
        <w:ind w:right="107"/>
        <w:jc w:val="both"/>
        <w:rPr>
          <w:sz w:val="24"/>
          <w:szCs w:val="24"/>
        </w:rPr>
      </w:pPr>
    </w:p>
    <w:p w14:paraId="38B7940C" w14:textId="1305FF60" w:rsidR="00DF6FC9" w:rsidRDefault="00DF6FC9" w:rsidP="00E6298B">
      <w:pPr>
        <w:ind w:right="107"/>
        <w:jc w:val="both"/>
        <w:rPr>
          <w:sz w:val="24"/>
          <w:szCs w:val="24"/>
        </w:rPr>
      </w:pPr>
      <w:r>
        <w:rPr>
          <w:sz w:val="24"/>
          <w:szCs w:val="24"/>
        </w:rPr>
        <w:t>Studies have shown that there is a link between ADHD and problems with sleep patterns (Biljenga et.al, 2013). This figured directly into my decision to maintain a good sleep schedule as it is a well-known fact that a lack of sleep has a negative impact on day-to-day brain and body functions. In my case the fact that I do have ADHD made this that much more important as I am already predisposed to sleep irregularity and a lack of sleep overall.</w:t>
      </w:r>
    </w:p>
    <w:p w14:paraId="19D9A497" w14:textId="77777777" w:rsidR="00DF6FC9" w:rsidRDefault="00DF6FC9" w:rsidP="00E6298B">
      <w:pPr>
        <w:ind w:right="107"/>
        <w:jc w:val="both"/>
        <w:rPr>
          <w:sz w:val="24"/>
          <w:szCs w:val="24"/>
        </w:rPr>
      </w:pPr>
    </w:p>
    <w:p w14:paraId="0DC9BA9F" w14:textId="1C8190D6" w:rsidR="00DF6FC9" w:rsidRDefault="007F4480" w:rsidP="00E6298B">
      <w:pPr>
        <w:ind w:right="107"/>
        <w:jc w:val="both"/>
        <w:rPr>
          <w:sz w:val="24"/>
          <w:szCs w:val="24"/>
        </w:rPr>
      </w:pPr>
      <w:r w:rsidRPr="007F4480">
        <w:rPr>
          <w:sz w:val="24"/>
          <w:szCs w:val="24"/>
        </w:rPr>
        <w:t>Zare</w:t>
      </w:r>
      <w:r>
        <w:rPr>
          <w:sz w:val="24"/>
          <w:szCs w:val="24"/>
        </w:rPr>
        <w:t xml:space="preserve"> </w:t>
      </w:r>
      <w:r w:rsidRPr="007F4480">
        <w:rPr>
          <w:sz w:val="24"/>
          <w:szCs w:val="24"/>
        </w:rPr>
        <w:t>Khormizi</w:t>
      </w:r>
      <w:r w:rsidRPr="007F4480">
        <w:rPr>
          <w:sz w:val="24"/>
          <w:szCs w:val="24"/>
        </w:rPr>
        <w:t>,</w:t>
      </w:r>
      <w:r>
        <w:rPr>
          <w:sz w:val="24"/>
          <w:szCs w:val="24"/>
        </w:rPr>
        <w:t xml:space="preserve"> </w:t>
      </w:r>
      <w:r w:rsidR="00BD3A53" w:rsidRPr="007F4480">
        <w:rPr>
          <w:sz w:val="24"/>
          <w:szCs w:val="24"/>
        </w:rPr>
        <w:t xml:space="preserve">et,al </w:t>
      </w:r>
      <w:r w:rsidRPr="007F4480">
        <w:rPr>
          <w:sz w:val="24"/>
          <w:szCs w:val="24"/>
        </w:rPr>
        <w:t>(</w:t>
      </w:r>
      <w:r w:rsidR="00BD3A53" w:rsidRPr="007F4480">
        <w:rPr>
          <w:sz w:val="24"/>
          <w:szCs w:val="24"/>
        </w:rPr>
        <w:t>2018</w:t>
      </w:r>
      <w:r>
        <w:rPr>
          <w:sz w:val="24"/>
          <w:szCs w:val="24"/>
        </w:rPr>
        <w:t>)</w:t>
      </w:r>
      <w:r w:rsidR="00BD3A53">
        <w:rPr>
          <w:sz w:val="24"/>
          <w:szCs w:val="24"/>
        </w:rPr>
        <w:t>, did a study on sleep deprived nurses in relation to autobiographical memories. They found that sleep deprivation had a direct negative effect on autobiographical memory. Lack of sleep having a negative impact on memory would have made it that much harder for me during training if I did not handle it well. I did notice during periods where I handled my ADHD and sleep less, I found it more difficult to pay attention and retain information from the lectures.</w:t>
      </w:r>
    </w:p>
    <w:p w14:paraId="0F23E14A" w14:textId="77777777" w:rsidR="00BD3A53" w:rsidRDefault="00BD3A53" w:rsidP="00E6298B">
      <w:pPr>
        <w:ind w:right="107"/>
        <w:jc w:val="both"/>
        <w:rPr>
          <w:sz w:val="24"/>
          <w:szCs w:val="24"/>
        </w:rPr>
      </w:pPr>
    </w:p>
    <w:p w14:paraId="39402EE3" w14:textId="42CC4D68" w:rsidR="00BD3A53" w:rsidRDefault="00BD3A53" w:rsidP="00E6298B">
      <w:pPr>
        <w:ind w:right="107"/>
        <w:jc w:val="both"/>
        <w:rPr>
          <w:sz w:val="24"/>
          <w:szCs w:val="24"/>
        </w:rPr>
      </w:pPr>
      <w:r>
        <w:rPr>
          <w:sz w:val="24"/>
          <w:szCs w:val="24"/>
        </w:rPr>
        <w:t xml:space="preserve">ADHD is already linked to a </w:t>
      </w:r>
      <w:r w:rsidR="007B2EA5">
        <w:rPr>
          <w:sz w:val="24"/>
          <w:szCs w:val="24"/>
        </w:rPr>
        <w:t>deficit in attention. On days where I forgot my medication or had a bad night sleep, I did find it that much harder to stay attentive. The amount of information that I had to try and retain on any given day was very overwhelming if I forgot to take my medication or had a bad night’s sleep.</w:t>
      </w:r>
    </w:p>
    <w:p w14:paraId="3021436D" w14:textId="77777777" w:rsidR="006B7851" w:rsidRDefault="006B7851" w:rsidP="00E6298B">
      <w:pPr>
        <w:ind w:right="107"/>
        <w:jc w:val="both"/>
        <w:rPr>
          <w:sz w:val="24"/>
          <w:szCs w:val="24"/>
        </w:rPr>
      </w:pPr>
    </w:p>
    <w:p w14:paraId="1E0456D9" w14:textId="3B478AF7" w:rsidR="006B7851" w:rsidRPr="00270EEB" w:rsidRDefault="006B7851" w:rsidP="00E6298B">
      <w:pPr>
        <w:ind w:right="107"/>
        <w:jc w:val="both"/>
        <w:rPr>
          <w:sz w:val="24"/>
          <w:szCs w:val="24"/>
        </w:rPr>
      </w:pPr>
      <w:r>
        <w:rPr>
          <w:sz w:val="24"/>
          <w:szCs w:val="24"/>
        </w:rPr>
        <w:t xml:space="preserve">Neurodiversity can be though to handle and as such that has been the most important thing for me to try and maintain throughout my training. </w:t>
      </w:r>
      <w:r w:rsidR="00A14D58">
        <w:rPr>
          <w:sz w:val="24"/>
          <w:szCs w:val="24"/>
        </w:rPr>
        <w:t>Jernelov et al (2019) study on treatment of insomnia of women with ADHD also shows a comorbidity between, sleep disorders, as well as depression and anxiety in their participants. I do recognise in my self that this has also been the case. Functioning with ADHD can be extremely complicated at times and multiple factors can have an impact on how well I can manage stress compared to a neurotypical individual.</w:t>
      </w:r>
    </w:p>
    <w:p w14:paraId="0590AAF8" w14:textId="77777777" w:rsidR="00FF7784" w:rsidRDefault="00FF7784" w:rsidP="00E6298B">
      <w:pPr>
        <w:ind w:right="107"/>
        <w:jc w:val="both"/>
        <w:rPr>
          <w:sz w:val="24"/>
          <w:szCs w:val="24"/>
        </w:rPr>
      </w:pPr>
    </w:p>
    <w:p w14:paraId="3685856B" w14:textId="1E77D360" w:rsidR="00A14D58" w:rsidRDefault="00A14D58" w:rsidP="00E6298B">
      <w:pPr>
        <w:ind w:right="107"/>
        <w:jc w:val="both"/>
        <w:rPr>
          <w:sz w:val="24"/>
          <w:szCs w:val="24"/>
        </w:rPr>
      </w:pPr>
      <w:r>
        <w:rPr>
          <w:sz w:val="24"/>
          <w:szCs w:val="24"/>
        </w:rPr>
        <w:lastRenderedPageBreak/>
        <w:t xml:space="preserve">One other thing I really had to battle with during training and in every day life is procrastination. It is difficult to explain to someone who is neurotypical who might only procrastinate small things every now and then, but for people with ADHD procrastination is a constant battle. There is this feeling of a wall that is keeping you from doing what you know you should and it is a constant battle to try and overcome that. </w:t>
      </w:r>
      <w:r w:rsidR="00C27180">
        <w:rPr>
          <w:sz w:val="24"/>
          <w:szCs w:val="24"/>
        </w:rPr>
        <w:t>Niermann &amp; Scheres (2014) defines procrastination as:</w:t>
      </w:r>
    </w:p>
    <w:p w14:paraId="7DD90568" w14:textId="77777777" w:rsidR="00C27180" w:rsidRDefault="00C27180" w:rsidP="00E6298B">
      <w:pPr>
        <w:ind w:right="107"/>
        <w:jc w:val="both"/>
        <w:rPr>
          <w:sz w:val="24"/>
          <w:szCs w:val="24"/>
        </w:rPr>
      </w:pPr>
    </w:p>
    <w:p w14:paraId="49A39C46" w14:textId="4BC2236A" w:rsidR="00C27180" w:rsidRDefault="00856B24" w:rsidP="00C27180">
      <w:pPr>
        <w:ind w:left="720" w:right="107"/>
        <w:jc w:val="both"/>
        <w:rPr>
          <w:i/>
          <w:iCs/>
          <w:sz w:val="24"/>
          <w:szCs w:val="24"/>
        </w:rPr>
      </w:pPr>
      <w:r>
        <w:rPr>
          <w:i/>
          <w:iCs/>
          <w:sz w:val="24"/>
          <w:szCs w:val="24"/>
        </w:rPr>
        <w:t>“</w:t>
      </w:r>
      <w:r w:rsidR="00C27180" w:rsidRPr="00C27180">
        <w:rPr>
          <w:i/>
          <w:iCs/>
          <w:sz w:val="24"/>
          <w:szCs w:val="24"/>
        </w:rPr>
        <w:t>Procrastination may be defined as the irrational tendency to postpone or delay a task or a decision that actually has to be completed before a certain deadline.</w:t>
      </w:r>
      <w:r>
        <w:rPr>
          <w:i/>
          <w:iCs/>
          <w:sz w:val="24"/>
          <w:szCs w:val="24"/>
        </w:rPr>
        <w:t>”</w:t>
      </w:r>
    </w:p>
    <w:p w14:paraId="043DC16B" w14:textId="77777777" w:rsidR="00C27180" w:rsidRDefault="00C27180" w:rsidP="00C27180">
      <w:pPr>
        <w:ind w:left="720" w:right="107"/>
        <w:jc w:val="both"/>
        <w:rPr>
          <w:i/>
          <w:iCs/>
          <w:sz w:val="24"/>
          <w:szCs w:val="24"/>
        </w:rPr>
      </w:pPr>
    </w:p>
    <w:p w14:paraId="23AB3A29" w14:textId="0B3DDFBC" w:rsidR="00C27180" w:rsidRDefault="00C27180" w:rsidP="00C27180">
      <w:pPr>
        <w:ind w:right="107"/>
        <w:rPr>
          <w:sz w:val="24"/>
          <w:szCs w:val="24"/>
        </w:rPr>
      </w:pPr>
      <w:r>
        <w:rPr>
          <w:sz w:val="24"/>
          <w:szCs w:val="24"/>
        </w:rPr>
        <w:t>And to battle that is harder than one might think. The force that it took me at times to complete some of the tasks I was given or to study for the exams was immense. I did however find that for me the best way of getting myself to do what I had to was to co-operate with my team. My procrastination has often been linked to me not being able to do things for my own benefit. So</w:t>
      </w:r>
      <w:r w:rsidR="008475F5">
        <w:rPr>
          <w:sz w:val="24"/>
          <w:szCs w:val="24"/>
        </w:rPr>
        <w:t>,</w:t>
      </w:r>
      <w:r>
        <w:rPr>
          <w:sz w:val="24"/>
          <w:szCs w:val="24"/>
        </w:rPr>
        <w:t xml:space="preserve"> for me to do the tasks at hand, linking them to other people has been instrumental in my progress so far. Having structure and assistance became invaluable.</w:t>
      </w:r>
    </w:p>
    <w:p w14:paraId="5A8109C0" w14:textId="77777777" w:rsidR="008475F5" w:rsidRDefault="008475F5" w:rsidP="00C27180">
      <w:pPr>
        <w:ind w:right="107"/>
        <w:rPr>
          <w:sz w:val="24"/>
          <w:szCs w:val="24"/>
        </w:rPr>
      </w:pPr>
    </w:p>
    <w:p w14:paraId="7917EA10" w14:textId="16846930" w:rsidR="00C27180" w:rsidRDefault="00E70EE4" w:rsidP="00153C0B">
      <w:pPr>
        <w:ind w:right="107"/>
        <w:rPr>
          <w:sz w:val="24"/>
          <w:szCs w:val="24"/>
        </w:rPr>
      </w:pPr>
      <w:r>
        <w:rPr>
          <w:sz w:val="24"/>
          <w:szCs w:val="24"/>
        </w:rPr>
        <w:t>Li</w:t>
      </w:r>
      <w:r w:rsidR="00153C0B">
        <w:rPr>
          <w:sz w:val="24"/>
          <w:szCs w:val="24"/>
        </w:rPr>
        <w:t xml:space="preserve"> et, al (2006) did a study comparing the results of multiple studies linked to ADHD and </w:t>
      </w:r>
      <w:r w:rsidR="002D2A62">
        <w:rPr>
          <w:sz w:val="24"/>
          <w:szCs w:val="24"/>
        </w:rPr>
        <w:t>dopamine and</w:t>
      </w:r>
      <w:r w:rsidR="00153C0B">
        <w:rPr>
          <w:sz w:val="24"/>
          <w:szCs w:val="24"/>
        </w:rPr>
        <w:t xml:space="preserve"> found that based on the evidence at hand there was a probable link between AHDH and the dopamine systems of the brain. Dopamine has shown to be linked to both motivation and learning, and effectively tells your brain if what you are trying to learn or do is worth the energy that </w:t>
      </w:r>
      <w:r w:rsidR="002D2A62">
        <w:rPr>
          <w:sz w:val="24"/>
          <w:szCs w:val="24"/>
        </w:rPr>
        <w:t>your body will use in completing that task (Berke, 2019). For me the fact that my ADHD as a direct impact on my dopamine system has meant that motivating myself to complete or even start task in the first place has at times felt like insurmountable walls. I will not pretend that I have always succeeded, but with staying on top of my diagnosis I have managed to pull myself through most of the time.</w:t>
      </w:r>
    </w:p>
    <w:p w14:paraId="17047F74" w14:textId="77777777" w:rsidR="002D2A62" w:rsidRDefault="002D2A62" w:rsidP="00153C0B">
      <w:pPr>
        <w:ind w:right="107"/>
        <w:rPr>
          <w:sz w:val="24"/>
          <w:szCs w:val="24"/>
        </w:rPr>
      </w:pPr>
    </w:p>
    <w:p w14:paraId="109AA129" w14:textId="2480988D" w:rsidR="002D2A62" w:rsidRDefault="002D2A62" w:rsidP="00153C0B">
      <w:pPr>
        <w:ind w:right="107"/>
        <w:rPr>
          <w:sz w:val="24"/>
          <w:szCs w:val="24"/>
        </w:rPr>
      </w:pPr>
      <w:r>
        <w:rPr>
          <w:sz w:val="24"/>
          <w:szCs w:val="24"/>
        </w:rPr>
        <w:t xml:space="preserve">ADHD medication being stimulants directly impacts on the dopamine system in the brain, and have I not been able to control that aspect of my life, for me personally I do not believe I would have been able to complete the training at all. It has been difficult as the training is not well suited for neurodiversity, but if there is a will there is a way through anything one puts one’s mind to. Although there are a lot of resources out there on ADHD my own personal experience might differ which is why I have tried to balance out this portion of the task as effectively as possible between myself and research. </w:t>
      </w:r>
      <w:r w:rsidR="0031187F">
        <w:rPr>
          <w:sz w:val="24"/>
          <w:szCs w:val="24"/>
        </w:rPr>
        <w:t>In the end the most important factor for me to develop resilience and manage stress is and always will be trying to stay on top of my ADHD symptoms with proper medication and assistance when required, as that is the only strategy that has had any significant impact on me. I do not punish myself for my neurodiversity or the issues that arise from it, and I try to ask for help when I need it.</w:t>
      </w:r>
    </w:p>
    <w:p w14:paraId="6B7FE12B" w14:textId="77777777" w:rsidR="008475F5" w:rsidRDefault="008475F5" w:rsidP="00E6298B">
      <w:pPr>
        <w:ind w:right="107"/>
        <w:jc w:val="both"/>
        <w:rPr>
          <w:sz w:val="24"/>
          <w:szCs w:val="24"/>
        </w:rPr>
      </w:pPr>
    </w:p>
    <w:p w14:paraId="009CB839" w14:textId="77777777" w:rsidR="0031187F" w:rsidRDefault="0031187F" w:rsidP="00E6298B">
      <w:pPr>
        <w:ind w:right="107"/>
        <w:jc w:val="both"/>
        <w:rPr>
          <w:sz w:val="24"/>
          <w:szCs w:val="24"/>
        </w:rPr>
      </w:pPr>
    </w:p>
    <w:p w14:paraId="12004270" w14:textId="61E57A51" w:rsidR="0031187F" w:rsidRDefault="0031187F" w:rsidP="00E6298B">
      <w:pPr>
        <w:ind w:right="107"/>
        <w:jc w:val="both"/>
        <w:rPr>
          <w:sz w:val="24"/>
          <w:szCs w:val="24"/>
        </w:rPr>
      </w:pPr>
      <w:r>
        <w:rPr>
          <w:sz w:val="24"/>
          <w:szCs w:val="24"/>
        </w:rPr>
        <w:t>(973 words)</w:t>
      </w:r>
    </w:p>
    <w:p w14:paraId="0901E269" w14:textId="77777777" w:rsidR="00C27180" w:rsidRPr="00270EEB" w:rsidRDefault="00C27180"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5C11ED52" w:rsidR="2C9F6E42" w:rsidRDefault="2C9F6E42" w:rsidP="21777531">
            <w:pPr>
              <w:ind w:right="107"/>
              <w:jc w:val="both"/>
              <w:rPr>
                <w:sz w:val="24"/>
                <w:szCs w:val="24"/>
              </w:rPr>
            </w:pPr>
            <w:r w:rsidRPr="21777531">
              <w:rPr>
                <w:sz w:val="24"/>
                <w:szCs w:val="24"/>
              </w:rPr>
              <w:t>Consider the use of effective communication skills that yo</w:t>
            </w:r>
            <w:r w:rsidR="00200AC5">
              <w:rPr>
                <w:sz w:val="24"/>
                <w:szCs w:val="24"/>
              </w:rPr>
              <w:t xml:space="preserve">male </w:t>
            </w:r>
            <w:r w:rsidRPr="21777531">
              <w:rPr>
                <w:sz w:val="24"/>
                <w:szCs w:val="24"/>
              </w:rPr>
              <w:t>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08A0DBD9" w:rsidR="00AA666E" w:rsidRDefault="00852D7D" w:rsidP="00E6298B">
      <w:pPr>
        <w:ind w:right="107"/>
        <w:jc w:val="both"/>
        <w:rPr>
          <w:sz w:val="24"/>
          <w:szCs w:val="24"/>
        </w:rPr>
      </w:pPr>
      <w:r>
        <w:rPr>
          <w:sz w:val="24"/>
          <w:szCs w:val="24"/>
        </w:rPr>
        <w:t>In this task I will fist outline the incident in question</w:t>
      </w:r>
      <w:r w:rsidR="00200AC5">
        <w:rPr>
          <w:sz w:val="24"/>
          <w:szCs w:val="24"/>
        </w:rPr>
        <w:t xml:space="preserve"> an arrest enquiry that I attended</w:t>
      </w:r>
      <w:r>
        <w:rPr>
          <w:sz w:val="24"/>
          <w:szCs w:val="24"/>
        </w:rPr>
        <w:t xml:space="preserve">. I will then critically </w:t>
      </w:r>
      <w:r w:rsidR="0002442F">
        <w:rPr>
          <w:sz w:val="24"/>
          <w:szCs w:val="24"/>
        </w:rPr>
        <w:t>assess</w:t>
      </w:r>
      <w:r>
        <w:rPr>
          <w:sz w:val="24"/>
          <w:szCs w:val="24"/>
        </w:rPr>
        <w:t xml:space="preserve"> the outcome of the incident followed by a reflection of what could have been done better or what could have gone worse.</w:t>
      </w:r>
      <w:r w:rsidR="00200AC5">
        <w:rPr>
          <w:sz w:val="24"/>
          <w:szCs w:val="24"/>
        </w:rPr>
        <w:t xml:space="preserve"> </w:t>
      </w:r>
    </w:p>
    <w:p w14:paraId="3980C3E0" w14:textId="77777777" w:rsidR="00852D7D" w:rsidRDefault="00852D7D" w:rsidP="00E6298B">
      <w:pPr>
        <w:ind w:right="107"/>
        <w:jc w:val="both"/>
        <w:rPr>
          <w:sz w:val="24"/>
          <w:szCs w:val="24"/>
        </w:rPr>
      </w:pPr>
    </w:p>
    <w:p w14:paraId="47CF514D" w14:textId="77777777" w:rsidR="00981D59" w:rsidRDefault="00852D7D" w:rsidP="00E6298B">
      <w:pPr>
        <w:ind w:right="107"/>
        <w:jc w:val="both"/>
        <w:rPr>
          <w:sz w:val="24"/>
          <w:szCs w:val="24"/>
        </w:rPr>
      </w:pPr>
      <w:r>
        <w:rPr>
          <w:sz w:val="24"/>
          <w:szCs w:val="24"/>
        </w:rPr>
        <w:t xml:space="preserve">The incident in question related to an arrest enquiry for a well-known male, who was suspected of a low-level assault. I attended along with my tutor and four other officers from my team. Upon attending </w:t>
      </w:r>
      <w:r w:rsidR="0002442F">
        <w:rPr>
          <w:sz w:val="24"/>
          <w:szCs w:val="24"/>
        </w:rPr>
        <w:t>we identified the male’s property as a ground floor flat with one entrance/exit and big windows at the back. The six of us split up, three at the back window and three at the front. First, we got no response at the property, but we managed to identify the male sleeping inside. After some time, we managed to wake him up and it was apparent that he was extremely intoxicated. I started to communicate with the male asking him to go to his front door to speak to the officers at the other side and telling him that they would explain everything. The reason why so many of us attended it the first instance was that this male is well known for being aggressive towards officers and we took a great deal of care when approaching him.</w:t>
      </w:r>
    </w:p>
    <w:p w14:paraId="72811F65" w14:textId="77777777" w:rsidR="00981D59" w:rsidRDefault="00981D59" w:rsidP="00E6298B">
      <w:pPr>
        <w:ind w:right="107"/>
        <w:jc w:val="both"/>
        <w:rPr>
          <w:sz w:val="24"/>
          <w:szCs w:val="24"/>
        </w:rPr>
      </w:pPr>
    </w:p>
    <w:p w14:paraId="138D7684" w14:textId="69FAEB12" w:rsidR="00852D7D" w:rsidRDefault="00981D59" w:rsidP="00E6298B">
      <w:pPr>
        <w:ind w:right="107"/>
        <w:jc w:val="both"/>
        <w:rPr>
          <w:sz w:val="24"/>
          <w:szCs w:val="24"/>
        </w:rPr>
      </w:pPr>
      <w:r>
        <w:rPr>
          <w:sz w:val="24"/>
          <w:szCs w:val="24"/>
        </w:rPr>
        <w:t>However,</w:t>
      </w:r>
      <w:r w:rsidR="0002442F">
        <w:rPr>
          <w:sz w:val="24"/>
          <w:szCs w:val="24"/>
        </w:rPr>
        <w:t xml:space="preserve"> when he finally went to speak to officers at the front of the property and was told that we were there to arrest him it all </w:t>
      </w:r>
      <w:r>
        <w:rPr>
          <w:sz w:val="24"/>
          <w:szCs w:val="24"/>
        </w:rPr>
        <w:t xml:space="preserve">escalated quickly to the point of over 20 officers attending and this male harming himself with a blade. </w:t>
      </w:r>
      <w:r w:rsidR="00200AC5">
        <w:rPr>
          <w:sz w:val="24"/>
          <w:szCs w:val="24"/>
        </w:rPr>
        <w:t>The male ended up slashing his chest and neck, and also pointed a slingshot out the window towards officers.</w:t>
      </w:r>
      <w:r>
        <w:rPr>
          <w:sz w:val="24"/>
          <w:szCs w:val="24"/>
        </w:rPr>
        <w:t xml:space="preserve"> </w:t>
      </w:r>
      <w:r w:rsidR="00200AC5">
        <w:rPr>
          <w:sz w:val="24"/>
          <w:szCs w:val="24"/>
        </w:rPr>
        <w:t xml:space="preserve">It </w:t>
      </w:r>
      <w:r>
        <w:rPr>
          <w:sz w:val="24"/>
          <w:szCs w:val="24"/>
        </w:rPr>
        <w:t>took over two hours for officers to talk him into allowing them in to tend to him, and it ended with him being tasered to prevent him harming himself or others.</w:t>
      </w:r>
      <w:r w:rsidR="00200AC5">
        <w:rPr>
          <w:sz w:val="24"/>
          <w:szCs w:val="24"/>
        </w:rPr>
        <w:t xml:space="preserve"> It was a very high-tension situation with many officers attending and a lot of organised chaos ongoing for the full two hours.</w:t>
      </w:r>
    </w:p>
    <w:p w14:paraId="34AB627D" w14:textId="77777777" w:rsidR="00894673" w:rsidRDefault="00894673" w:rsidP="00E6298B">
      <w:pPr>
        <w:ind w:right="107"/>
        <w:jc w:val="both"/>
        <w:rPr>
          <w:sz w:val="24"/>
          <w:szCs w:val="24"/>
        </w:rPr>
      </w:pPr>
    </w:p>
    <w:p w14:paraId="22EB5AB4" w14:textId="094DBD77" w:rsidR="00894673" w:rsidRDefault="00894673" w:rsidP="00E6298B">
      <w:pPr>
        <w:ind w:right="107"/>
        <w:jc w:val="both"/>
        <w:rPr>
          <w:sz w:val="24"/>
          <w:szCs w:val="24"/>
        </w:rPr>
      </w:pPr>
      <w:r>
        <w:rPr>
          <w:sz w:val="24"/>
          <w:szCs w:val="24"/>
        </w:rPr>
        <w:lastRenderedPageBreak/>
        <w:t xml:space="preserve">At points throughout the </w:t>
      </w:r>
      <w:r w:rsidR="00200AC5">
        <w:rPr>
          <w:sz w:val="24"/>
          <w:szCs w:val="24"/>
        </w:rPr>
        <w:t>occurrence,</w:t>
      </w:r>
      <w:r>
        <w:rPr>
          <w:sz w:val="24"/>
          <w:szCs w:val="24"/>
        </w:rPr>
        <w:t xml:space="preserve"> we implemented many different tactics to try and apprehend the male with as little injury as possible and I will outline these further on in this task. A comprehensive knowledge of police powers and policies was imperative in relation to this incident as well as the National Decision </w:t>
      </w:r>
      <w:r w:rsidR="00200AC5">
        <w:rPr>
          <w:sz w:val="24"/>
          <w:szCs w:val="24"/>
        </w:rPr>
        <w:t>M</w:t>
      </w:r>
      <w:r>
        <w:rPr>
          <w:sz w:val="24"/>
          <w:szCs w:val="24"/>
        </w:rPr>
        <w:t xml:space="preserve">aking Model, however I will not be going </w:t>
      </w:r>
      <w:r w:rsidR="00200AC5">
        <w:rPr>
          <w:sz w:val="24"/>
          <w:szCs w:val="24"/>
        </w:rPr>
        <w:t>in-depth</w:t>
      </w:r>
      <w:r>
        <w:rPr>
          <w:sz w:val="24"/>
          <w:szCs w:val="24"/>
        </w:rPr>
        <w:t xml:space="preserve"> </w:t>
      </w:r>
      <w:r w:rsidR="00200AC5">
        <w:rPr>
          <w:sz w:val="24"/>
          <w:szCs w:val="24"/>
        </w:rPr>
        <w:t xml:space="preserve">on these as the subjects I have chosen to write about had a more significant learning point in relation to this incident. </w:t>
      </w:r>
    </w:p>
    <w:p w14:paraId="6317A233" w14:textId="77777777" w:rsidR="00981D59" w:rsidRDefault="00981D59" w:rsidP="00E6298B">
      <w:pPr>
        <w:ind w:right="107"/>
        <w:jc w:val="both"/>
        <w:rPr>
          <w:sz w:val="24"/>
          <w:szCs w:val="24"/>
        </w:rPr>
      </w:pPr>
    </w:p>
    <w:p w14:paraId="1F064AAB" w14:textId="2834C0EF" w:rsidR="00981D59" w:rsidRDefault="00981D59" w:rsidP="00E6298B">
      <w:pPr>
        <w:ind w:right="107"/>
        <w:jc w:val="both"/>
        <w:rPr>
          <w:sz w:val="24"/>
          <w:szCs w:val="24"/>
        </w:rPr>
      </w:pPr>
      <w:r>
        <w:rPr>
          <w:sz w:val="24"/>
          <w:szCs w:val="24"/>
        </w:rPr>
        <w:t>The reason I have chosen this incident for this task is that it is an excellent example of how conflict can escalate into massive incident in this line of work. But there are also examples from throughout the incident that shows how conflict management can be imperative in our day-to-day tour of duty.</w:t>
      </w:r>
    </w:p>
    <w:p w14:paraId="14F6885C" w14:textId="77777777" w:rsidR="00663B29" w:rsidRDefault="00663B29" w:rsidP="00E6298B">
      <w:pPr>
        <w:ind w:right="107"/>
        <w:jc w:val="both"/>
        <w:rPr>
          <w:sz w:val="24"/>
          <w:szCs w:val="24"/>
        </w:rPr>
      </w:pPr>
    </w:p>
    <w:p w14:paraId="52153E64" w14:textId="5A190A19" w:rsidR="00663B29" w:rsidRDefault="00663B29" w:rsidP="00E6298B">
      <w:pPr>
        <w:ind w:right="107"/>
        <w:jc w:val="both"/>
        <w:rPr>
          <w:sz w:val="24"/>
          <w:szCs w:val="24"/>
        </w:rPr>
      </w:pPr>
      <w:r>
        <w:rPr>
          <w:sz w:val="24"/>
          <w:szCs w:val="24"/>
        </w:rPr>
        <w:t>In relation to this call, we used multiple legislations to justify our actions. Namely Section 24(3) of the police and criminal evidence act 1984 that states</w:t>
      </w:r>
      <w:r w:rsidR="00200AC5">
        <w:rPr>
          <w:sz w:val="24"/>
          <w:szCs w:val="24"/>
        </w:rPr>
        <w:t>:</w:t>
      </w:r>
      <w:r>
        <w:rPr>
          <w:sz w:val="24"/>
          <w:szCs w:val="24"/>
        </w:rPr>
        <w:t xml:space="preserve"> </w:t>
      </w:r>
    </w:p>
    <w:p w14:paraId="62ACC9EB" w14:textId="77777777" w:rsidR="00663B29" w:rsidRDefault="00663B29" w:rsidP="00663B29">
      <w:pPr>
        <w:pStyle w:val="legclearfix"/>
        <w:shd w:val="clear" w:color="auto" w:fill="FFFFFF"/>
        <w:spacing w:before="0" w:beforeAutospacing="0" w:after="120" w:afterAutospacing="0" w:line="360" w:lineRule="atLeast"/>
        <w:ind w:left="720"/>
        <w:rPr>
          <w:rFonts w:ascii="Arial" w:hAnsi="Arial" w:cs="Arial"/>
          <w:i/>
          <w:iCs/>
        </w:rPr>
      </w:pPr>
    </w:p>
    <w:p w14:paraId="111F9699" w14:textId="2DF9C950" w:rsidR="00663B29" w:rsidRPr="00663B29" w:rsidRDefault="00663B29" w:rsidP="00663B29">
      <w:pPr>
        <w:pStyle w:val="legclearfix"/>
        <w:shd w:val="clear" w:color="auto" w:fill="FFFFFF"/>
        <w:spacing w:before="0" w:beforeAutospacing="0" w:after="120" w:afterAutospacing="0" w:line="360" w:lineRule="atLeast"/>
        <w:ind w:left="720"/>
        <w:rPr>
          <w:rFonts w:ascii="Arial" w:hAnsi="Arial" w:cs="Arial"/>
          <w:i/>
          <w:iCs/>
          <w:color w:val="000000"/>
        </w:rPr>
      </w:pPr>
      <w:r w:rsidRPr="00663B29">
        <w:rPr>
          <w:rFonts w:ascii="Arial" w:hAnsi="Arial" w:cs="Arial"/>
          <w:i/>
          <w:iCs/>
        </w:rPr>
        <w:t>“</w:t>
      </w:r>
      <w:r w:rsidRPr="00663B29">
        <w:rPr>
          <w:rStyle w:val="legsubstitution"/>
          <w:rFonts w:ascii="Arial" w:hAnsi="Arial" w:cs="Arial"/>
          <w:i/>
          <w:iCs/>
          <w:color w:val="000000"/>
        </w:rPr>
        <w:t>(3)If an offence has been committed, a constable may arrest without a warrant—</w:t>
      </w:r>
    </w:p>
    <w:p w14:paraId="03E11C97" w14:textId="77777777" w:rsidR="00663B29" w:rsidRPr="00663B29" w:rsidRDefault="00663B29" w:rsidP="00663B29">
      <w:pPr>
        <w:pStyle w:val="legclearfix"/>
        <w:shd w:val="clear" w:color="auto" w:fill="FFFFFF"/>
        <w:spacing w:before="0" w:beforeAutospacing="0" w:after="120" w:afterAutospacing="0" w:line="360" w:lineRule="atLeast"/>
        <w:ind w:left="720"/>
        <w:rPr>
          <w:rFonts w:ascii="Arial" w:hAnsi="Arial" w:cs="Arial"/>
          <w:i/>
          <w:iCs/>
          <w:color w:val="000000"/>
        </w:rPr>
      </w:pPr>
      <w:r w:rsidRPr="00663B29">
        <w:rPr>
          <w:rStyle w:val="legsubstitution"/>
          <w:rFonts w:ascii="Arial" w:hAnsi="Arial" w:cs="Arial"/>
          <w:i/>
          <w:iCs/>
          <w:color w:val="000000"/>
        </w:rPr>
        <w:t>(a)anyone who is guilty of the offence;</w:t>
      </w:r>
    </w:p>
    <w:p w14:paraId="6E127863" w14:textId="65DF9201" w:rsidR="00663B29" w:rsidRDefault="00663B29" w:rsidP="00663B29">
      <w:pPr>
        <w:pStyle w:val="legclearfix"/>
        <w:shd w:val="clear" w:color="auto" w:fill="FFFFFF"/>
        <w:spacing w:before="0" w:beforeAutospacing="0" w:after="120" w:afterAutospacing="0" w:line="360" w:lineRule="atLeast"/>
        <w:ind w:left="720"/>
        <w:rPr>
          <w:rStyle w:val="legsubstitution"/>
          <w:rFonts w:ascii="Arial" w:hAnsi="Arial" w:cs="Arial"/>
          <w:i/>
          <w:iCs/>
          <w:color w:val="000000"/>
        </w:rPr>
      </w:pPr>
      <w:r w:rsidRPr="00663B29">
        <w:rPr>
          <w:rStyle w:val="legsubstitution"/>
          <w:rFonts w:ascii="Arial" w:hAnsi="Arial" w:cs="Arial"/>
          <w:i/>
          <w:iCs/>
          <w:color w:val="000000"/>
        </w:rPr>
        <w:t>(b)anyone whom he has reasonable grounds for suspecting to be guilty of it.”</w:t>
      </w:r>
    </w:p>
    <w:p w14:paraId="203C7A7D" w14:textId="77777777" w:rsidR="00663B29" w:rsidRDefault="00663B29" w:rsidP="00663B29">
      <w:pPr>
        <w:pStyle w:val="legclearfix"/>
        <w:shd w:val="clear" w:color="auto" w:fill="FFFFFF"/>
        <w:spacing w:before="0" w:beforeAutospacing="0" w:after="120" w:afterAutospacing="0" w:line="360" w:lineRule="atLeast"/>
        <w:ind w:left="720"/>
        <w:rPr>
          <w:rStyle w:val="legsubstitution"/>
          <w:rFonts w:ascii="Arial" w:hAnsi="Arial" w:cs="Arial"/>
          <w:i/>
          <w:iCs/>
          <w:color w:val="000000"/>
        </w:rPr>
      </w:pPr>
    </w:p>
    <w:p w14:paraId="1D83DEBB" w14:textId="638FC67B" w:rsidR="00663B29" w:rsidRDefault="00663B29" w:rsidP="00663B29">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In this instance we had reasonable grounds to suspect the male of being guilty of the offence.</w:t>
      </w:r>
    </w:p>
    <w:p w14:paraId="711D1E51" w14:textId="77777777" w:rsidR="00663B29" w:rsidRDefault="00663B29" w:rsidP="00663B29">
      <w:pPr>
        <w:pStyle w:val="legclearfix"/>
        <w:shd w:val="clear" w:color="auto" w:fill="FFFFFF"/>
        <w:spacing w:before="0" w:beforeAutospacing="0" w:after="120" w:afterAutospacing="0" w:line="360" w:lineRule="atLeast"/>
        <w:rPr>
          <w:rStyle w:val="legsubstitution"/>
          <w:rFonts w:ascii="Arial" w:hAnsi="Arial" w:cs="Arial"/>
          <w:color w:val="000000"/>
        </w:rPr>
      </w:pPr>
    </w:p>
    <w:p w14:paraId="5DCC0AA2" w14:textId="7C0C29CA" w:rsidR="00663B29" w:rsidRDefault="00663B29" w:rsidP="00663B29">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We also used Section 17 of the Police and criminal evidence act 1984 to allow us to force entry into his property to save life and limb and prevent damage to property. It was reasonable in this instance to force entry as the male was harming himself and for his own safety it was deemed necessary to force entry. </w:t>
      </w:r>
    </w:p>
    <w:p w14:paraId="18509035" w14:textId="77BF32A8" w:rsidR="00200AC5" w:rsidRPr="00200AC5" w:rsidRDefault="00200AC5" w:rsidP="00200AC5">
      <w:pPr>
        <w:pStyle w:val="legclearfix"/>
        <w:shd w:val="clear" w:color="auto" w:fill="FFFFFF"/>
        <w:spacing w:before="0" w:beforeAutospacing="0" w:after="120" w:afterAutospacing="0" w:line="360" w:lineRule="atLeast"/>
        <w:ind w:left="720"/>
        <w:rPr>
          <w:rFonts w:ascii="Arial" w:hAnsi="Arial" w:cs="Arial"/>
          <w:i/>
          <w:iCs/>
          <w:color w:val="000000"/>
          <w:shd w:val="clear" w:color="auto" w:fill="FFFFFF"/>
        </w:rPr>
      </w:pPr>
      <w:r>
        <w:br/>
      </w:r>
      <w:r w:rsidRPr="00200AC5">
        <w:rPr>
          <w:rFonts w:ascii="Arial" w:hAnsi="Arial" w:cs="Arial"/>
          <w:i/>
          <w:iCs/>
          <w:color w:val="000000"/>
          <w:shd w:val="clear" w:color="auto" w:fill="FFFFFF"/>
        </w:rPr>
        <w:t>“Subject to the following provisions of this section, and without prejudice to any other enactment, a constable may enter and search any premises for the purpose—</w:t>
      </w:r>
    </w:p>
    <w:p w14:paraId="25064E2C" w14:textId="20B24391" w:rsidR="00200AC5" w:rsidRPr="00200AC5" w:rsidRDefault="00200AC5" w:rsidP="00200AC5">
      <w:pPr>
        <w:pStyle w:val="legclearfix"/>
        <w:shd w:val="clear" w:color="auto" w:fill="FFFFFF"/>
        <w:spacing w:before="0" w:beforeAutospacing="0" w:after="120" w:afterAutospacing="0" w:line="360" w:lineRule="atLeast"/>
        <w:ind w:left="720"/>
        <w:rPr>
          <w:rStyle w:val="legds"/>
          <w:rFonts w:ascii="Arial" w:hAnsi="Arial" w:cs="Arial"/>
          <w:i/>
          <w:iCs/>
          <w:color w:val="000000"/>
        </w:rPr>
      </w:pPr>
      <w:r w:rsidRPr="00200AC5">
        <w:rPr>
          <w:rStyle w:val="legds"/>
          <w:rFonts w:ascii="Arial" w:hAnsi="Arial" w:cs="Arial"/>
          <w:i/>
          <w:iCs/>
          <w:color w:val="000000"/>
        </w:rPr>
        <w:t>(e)of saving life or limb or preventing serious damage to property</w:t>
      </w:r>
      <w:r>
        <w:rPr>
          <w:rStyle w:val="legds"/>
          <w:rFonts w:ascii="Arial" w:hAnsi="Arial" w:cs="Arial"/>
          <w:i/>
          <w:iCs/>
          <w:color w:val="000000"/>
        </w:rPr>
        <w:t>.”</w:t>
      </w:r>
    </w:p>
    <w:p w14:paraId="318CDFF8" w14:textId="692337E5" w:rsidR="00200AC5" w:rsidRPr="00200AC5" w:rsidRDefault="00200AC5" w:rsidP="00200AC5">
      <w:pPr>
        <w:pStyle w:val="legclearfix"/>
        <w:shd w:val="clear" w:color="auto" w:fill="FFFFFF"/>
        <w:spacing w:before="0" w:beforeAutospacing="0" w:after="120" w:afterAutospacing="0" w:line="360" w:lineRule="atLeast"/>
        <w:ind w:left="720"/>
        <w:rPr>
          <w:rStyle w:val="legsubstitution"/>
          <w:rFonts w:ascii="Arial" w:hAnsi="Arial" w:cs="Arial"/>
          <w:i/>
          <w:iCs/>
          <w:color w:val="000000"/>
        </w:rPr>
      </w:pPr>
      <w:r w:rsidRPr="00200AC5">
        <w:rPr>
          <w:rStyle w:val="legds"/>
          <w:rFonts w:ascii="Arial" w:hAnsi="Arial" w:cs="Arial"/>
          <w:i/>
          <w:iCs/>
          <w:color w:val="000000"/>
        </w:rPr>
        <w:t>Section 17(1)(E) of the Police and Criminal Evidence Act 1984</w:t>
      </w:r>
    </w:p>
    <w:p w14:paraId="74A67D50" w14:textId="77777777" w:rsidR="00663B29" w:rsidRDefault="00663B29" w:rsidP="00663B29">
      <w:pPr>
        <w:pStyle w:val="legclearfix"/>
        <w:shd w:val="clear" w:color="auto" w:fill="FFFFFF"/>
        <w:spacing w:before="0" w:beforeAutospacing="0" w:after="120" w:afterAutospacing="0" w:line="360" w:lineRule="atLeast"/>
        <w:rPr>
          <w:rStyle w:val="legsubstitution"/>
          <w:rFonts w:ascii="Arial" w:hAnsi="Arial" w:cs="Arial"/>
          <w:color w:val="000000"/>
        </w:rPr>
      </w:pPr>
    </w:p>
    <w:p w14:paraId="6955F781" w14:textId="5637BAD2" w:rsidR="00663B29" w:rsidRDefault="00663B29" w:rsidP="00663B29">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Other policy and legislation </w:t>
      </w:r>
      <w:r w:rsidR="007B1BD3">
        <w:rPr>
          <w:rStyle w:val="legsubstitution"/>
          <w:rFonts w:ascii="Arial" w:hAnsi="Arial" w:cs="Arial"/>
          <w:color w:val="000000"/>
        </w:rPr>
        <w:t>were</w:t>
      </w:r>
      <w:r>
        <w:rPr>
          <w:rStyle w:val="legsubstitution"/>
          <w:rFonts w:ascii="Arial" w:hAnsi="Arial" w:cs="Arial"/>
          <w:color w:val="000000"/>
        </w:rPr>
        <w:t xml:space="preserve"> also in use as there was a chain of command dictating </w:t>
      </w:r>
      <w:r w:rsidR="007B1BD3">
        <w:rPr>
          <w:rStyle w:val="legsubstitution"/>
          <w:rFonts w:ascii="Arial" w:hAnsi="Arial" w:cs="Arial"/>
          <w:color w:val="000000"/>
        </w:rPr>
        <w:t xml:space="preserve">and giving us permission along the way. Section 117 of the Police and Criminal evidence act 1984 was also used as a use of force was necessary in this instance, both with tasering the suspect and putting handcuffs on. </w:t>
      </w:r>
    </w:p>
    <w:p w14:paraId="57BD620F" w14:textId="1F2A90A3" w:rsidR="004814D0" w:rsidRPr="004814D0" w:rsidRDefault="004814D0" w:rsidP="004814D0">
      <w:pPr>
        <w:pStyle w:val="legrhs"/>
        <w:shd w:val="clear" w:color="auto" w:fill="FFFFFF"/>
        <w:spacing w:before="0" w:beforeAutospacing="0" w:after="120" w:afterAutospacing="0" w:line="360" w:lineRule="atLeast"/>
        <w:ind w:left="720"/>
        <w:jc w:val="both"/>
        <w:rPr>
          <w:rFonts w:ascii="Arial" w:hAnsi="Arial" w:cs="Arial"/>
          <w:i/>
          <w:iCs/>
          <w:color w:val="000000"/>
        </w:rPr>
      </w:pPr>
      <w:r>
        <w:rPr>
          <w:rFonts w:ascii="Arial" w:hAnsi="Arial" w:cs="Arial"/>
          <w:i/>
          <w:iCs/>
          <w:color w:val="000000"/>
        </w:rPr>
        <w:t>“</w:t>
      </w:r>
      <w:r w:rsidRPr="004814D0">
        <w:rPr>
          <w:rFonts w:ascii="Arial" w:hAnsi="Arial" w:cs="Arial"/>
          <w:i/>
          <w:iCs/>
          <w:color w:val="000000"/>
        </w:rPr>
        <w:t>Where any provision of this Act—</w:t>
      </w:r>
    </w:p>
    <w:p w14:paraId="1767C918" w14:textId="77777777" w:rsidR="004814D0" w:rsidRPr="004814D0" w:rsidRDefault="004814D0" w:rsidP="004814D0">
      <w:pPr>
        <w:pStyle w:val="legclearfix"/>
        <w:shd w:val="clear" w:color="auto" w:fill="FFFFFF"/>
        <w:spacing w:before="0" w:beforeAutospacing="0" w:after="120" w:afterAutospacing="0" w:line="360" w:lineRule="atLeast"/>
        <w:ind w:left="720"/>
        <w:rPr>
          <w:rFonts w:ascii="Arial" w:hAnsi="Arial" w:cs="Arial"/>
          <w:i/>
          <w:iCs/>
          <w:color w:val="000000"/>
        </w:rPr>
      </w:pPr>
      <w:r w:rsidRPr="004814D0">
        <w:rPr>
          <w:rStyle w:val="legds"/>
          <w:rFonts w:ascii="Arial" w:hAnsi="Arial" w:cs="Arial"/>
          <w:i/>
          <w:iCs/>
          <w:color w:val="000000"/>
        </w:rPr>
        <w:lastRenderedPageBreak/>
        <w:t>(a)confers a power on a constable; and</w:t>
      </w:r>
    </w:p>
    <w:p w14:paraId="039A69ED" w14:textId="77777777" w:rsidR="004814D0" w:rsidRPr="004814D0" w:rsidRDefault="004814D0" w:rsidP="004814D0">
      <w:pPr>
        <w:pStyle w:val="legclearfix"/>
        <w:shd w:val="clear" w:color="auto" w:fill="FFFFFF"/>
        <w:spacing w:before="0" w:beforeAutospacing="0" w:after="120" w:afterAutospacing="0" w:line="360" w:lineRule="atLeast"/>
        <w:ind w:left="720"/>
        <w:rPr>
          <w:rFonts w:ascii="Arial" w:hAnsi="Arial" w:cs="Arial"/>
          <w:i/>
          <w:iCs/>
          <w:color w:val="000000"/>
        </w:rPr>
      </w:pPr>
      <w:r w:rsidRPr="004814D0">
        <w:rPr>
          <w:rStyle w:val="legds"/>
          <w:rFonts w:ascii="Arial" w:hAnsi="Arial" w:cs="Arial"/>
          <w:i/>
          <w:iCs/>
          <w:color w:val="000000"/>
        </w:rPr>
        <w:t>(b)does not provide that the power may only be exercised with the consent of some person, other than a police officer,</w:t>
      </w:r>
    </w:p>
    <w:p w14:paraId="55DE5228" w14:textId="36FEB39F" w:rsidR="004814D0" w:rsidRDefault="004814D0" w:rsidP="004814D0">
      <w:pPr>
        <w:pStyle w:val="legrhs"/>
        <w:shd w:val="clear" w:color="auto" w:fill="FFFFFF"/>
        <w:spacing w:before="0" w:beforeAutospacing="0" w:after="120" w:afterAutospacing="0" w:line="360" w:lineRule="atLeast"/>
        <w:ind w:left="720"/>
        <w:jc w:val="both"/>
        <w:rPr>
          <w:rFonts w:ascii="Arial" w:hAnsi="Arial" w:cs="Arial"/>
          <w:i/>
          <w:iCs/>
          <w:color w:val="000000"/>
        </w:rPr>
      </w:pPr>
      <w:r w:rsidRPr="004814D0">
        <w:rPr>
          <w:rFonts w:ascii="Arial" w:hAnsi="Arial" w:cs="Arial"/>
          <w:i/>
          <w:iCs/>
          <w:color w:val="000000"/>
        </w:rPr>
        <w:t>the officer may use reasonable force, if necessary, in the exercise of the power.</w:t>
      </w:r>
      <w:r>
        <w:rPr>
          <w:rFonts w:ascii="Arial" w:hAnsi="Arial" w:cs="Arial"/>
          <w:i/>
          <w:iCs/>
          <w:color w:val="000000"/>
        </w:rPr>
        <w:t>”</w:t>
      </w:r>
    </w:p>
    <w:p w14:paraId="2F040115" w14:textId="080B8B39" w:rsidR="004814D0" w:rsidRPr="004814D0" w:rsidRDefault="004814D0" w:rsidP="004814D0">
      <w:pPr>
        <w:pStyle w:val="legrhs"/>
        <w:shd w:val="clear" w:color="auto" w:fill="FFFFFF"/>
        <w:spacing w:before="0" w:beforeAutospacing="0" w:after="120" w:afterAutospacing="0" w:line="360" w:lineRule="atLeast"/>
        <w:ind w:left="720"/>
        <w:jc w:val="both"/>
        <w:rPr>
          <w:rFonts w:ascii="Arial" w:hAnsi="Arial" w:cs="Arial"/>
          <w:i/>
          <w:iCs/>
          <w:color w:val="000000"/>
        </w:rPr>
      </w:pPr>
      <w:r>
        <w:rPr>
          <w:rFonts w:ascii="Arial" w:hAnsi="Arial" w:cs="Arial"/>
          <w:i/>
          <w:iCs/>
          <w:color w:val="000000"/>
        </w:rPr>
        <w:t>Section 117 of The Police and Criminal Evidence Act 1984</w:t>
      </w:r>
    </w:p>
    <w:p w14:paraId="318D8FCF" w14:textId="77777777" w:rsidR="004814D0" w:rsidRDefault="004814D0" w:rsidP="004814D0">
      <w:pPr>
        <w:pStyle w:val="legclearfix"/>
        <w:shd w:val="clear" w:color="auto" w:fill="FFFFFF"/>
        <w:spacing w:before="0" w:beforeAutospacing="0" w:after="120" w:afterAutospacing="0" w:line="360" w:lineRule="atLeast"/>
        <w:ind w:left="720"/>
        <w:rPr>
          <w:rStyle w:val="legsubstitution"/>
          <w:rFonts w:ascii="Arial" w:hAnsi="Arial" w:cs="Arial"/>
          <w:color w:val="000000"/>
        </w:rPr>
      </w:pPr>
    </w:p>
    <w:p w14:paraId="2D89B3B5" w14:textId="77777777" w:rsidR="007B1BD3" w:rsidRDefault="007B1BD3" w:rsidP="00663B29">
      <w:pPr>
        <w:pStyle w:val="legclearfix"/>
        <w:shd w:val="clear" w:color="auto" w:fill="FFFFFF"/>
        <w:spacing w:before="0" w:beforeAutospacing="0" w:after="120" w:afterAutospacing="0" w:line="360" w:lineRule="atLeast"/>
        <w:rPr>
          <w:rStyle w:val="legsubstitution"/>
          <w:rFonts w:ascii="Arial" w:hAnsi="Arial" w:cs="Arial"/>
          <w:color w:val="000000"/>
        </w:rPr>
      </w:pPr>
    </w:p>
    <w:p w14:paraId="5F9B909D" w14:textId="72255F9C" w:rsidR="007B1BD3" w:rsidRDefault="007B1BD3" w:rsidP="00663B29">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The biggest issue that arose during this incident was that proper authority was not given to officers at the scene in a timely manner. Also, a certain breakdown in communications became apparent as the siege went on, as we were split up on either side of the property with different officers having eyes on the male at different point. </w:t>
      </w:r>
    </w:p>
    <w:p w14:paraId="6D458B22" w14:textId="7970E809" w:rsidR="007B1BD3" w:rsidRDefault="007B1BD3" w:rsidP="00663B29">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I also mentioned that the male seemed to be extremely intoxicated, this became apparent as he was stumbling around and not fully able to stand up early on. McMurran (2011) wrote about the connection between alcohol and aggression and that of the over 800.000 instances of violence against the person</w:t>
      </w:r>
      <w:r w:rsidR="0048508F">
        <w:rPr>
          <w:rStyle w:val="legsubstitution"/>
          <w:rFonts w:ascii="Arial" w:hAnsi="Arial" w:cs="Arial"/>
          <w:color w:val="000000"/>
        </w:rPr>
        <w:t xml:space="preserve"> recorded by the police</w:t>
      </w:r>
      <w:r>
        <w:rPr>
          <w:rStyle w:val="legsubstitution"/>
          <w:rFonts w:ascii="Arial" w:hAnsi="Arial" w:cs="Arial"/>
          <w:color w:val="000000"/>
        </w:rPr>
        <w:t xml:space="preserve"> in the year 2009/2010 as many as fifty per cent </w:t>
      </w:r>
      <w:r w:rsidR="0048508F">
        <w:rPr>
          <w:rStyle w:val="legsubstitution"/>
          <w:rFonts w:ascii="Arial" w:hAnsi="Arial" w:cs="Arial"/>
          <w:color w:val="000000"/>
        </w:rPr>
        <w:t xml:space="preserve">were estimated to have had alcohol consumption involved. It is a known fact that alcohol can have an impact on rational thought and behaviour, which in this instance became apparent as if the male had co-operated with officers from the </w:t>
      </w:r>
      <w:r w:rsidR="00F401C8">
        <w:rPr>
          <w:rStyle w:val="legsubstitution"/>
          <w:rFonts w:ascii="Arial" w:hAnsi="Arial" w:cs="Arial"/>
          <w:color w:val="000000"/>
        </w:rPr>
        <w:t>beginning,</w:t>
      </w:r>
      <w:r w:rsidR="0048508F">
        <w:rPr>
          <w:rStyle w:val="legsubstitution"/>
          <w:rFonts w:ascii="Arial" w:hAnsi="Arial" w:cs="Arial"/>
          <w:color w:val="000000"/>
        </w:rPr>
        <w:t xml:space="preserve"> he likely would not have had a particularly severe outcome in relation to his original offence, however due to his conduct and threatening officers his behaviour directly ended up with him being charged with more serious offences. </w:t>
      </w:r>
      <w:r>
        <w:rPr>
          <w:rStyle w:val="legsubstitution"/>
          <w:rFonts w:ascii="Arial" w:hAnsi="Arial" w:cs="Arial"/>
          <w:color w:val="000000"/>
        </w:rPr>
        <w:t xml:space="preserve"> </w:t>
      </w:r>
    </w:p>
    <w:p w14:paraId="6723D7F7" w14:textId="77777777" w:rsidR="0048508F" w:rsidRDefault="0048508F" w:rsidP="00663B29">
      <w:pPr>
        <w:pStyle w:val="legclearfix"/>
        <w:shd w:val="clear" w:color="auto" w:fill="FFFFFF"/>
        <w:spacing w:before="0" w:beforeAutospacing="0" w:after="120" w:afterAutospacing="0" w:line="360" w:lineRule="atLeast"/>
        <w:rPr>
          <w:rStyle w:val="legsubstitution"/>
          <w:rFonts w:ascii="Arial" w:hAnsi="Arial" w:cs="Arial"/>
          <w:color w:val="000000"/>
        </w:rPr>
      </w:pPr>
    </w:p>
    <w:p w14:paraId="42450D27" w14:textId="1C5A0092" w:rsidR="0048508F" w:rsidRDefault="0048508F" w:rsidP="00663B29">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As for communication skills used in relation to this incident, we attempted multiple throughout the course of the night. I attempted to coax him into going to the front and not directly tell him why we were there to try and avoid an escalation. I tried to reason with him that talking to officers would be in his best interest. My sergeant attempted a different approach being more direct and stating to the male why we were there and that he would be arrested. Neither of these approached had a positive impact and as soon as he was told why we were there he went off. Other officers did also attempt to engage with him and reason with him but to no avail. </w:t>
      </w:r>
    </w:p>
    <w:p w14:paraId="579AC1A4" w14:textId="77777777" w:rsidR="00F401C8" w:rsidRDefault="00F401C8" w:rsidP="00663B29">
      <w:pPr>
        <w:pStyle w:val="legclearfix"/>
        <w:shd w:val="clear" w:color="auto" w:fill="FFFFFF"/>
        <w:spacing w:before="0" w:beforeAutospacing="0" w:after="120" w:afterAutospacing="0" w:line="360" w:lineRule="atLeast"/>
        <w:rPr>
          <w:rStyle w:val="legsubstitution"/>
          <w:rFonts w:ascii="Arial" w:hAnsi="Arial" w:cs="Arial"/>
          <w:color w:val="000000"/>
        </w:rPr>
      </w:pPr>
    </w:p>
    <w:p w14:paraId="6C9E9EBD" w14:textId="0F210E31" w:rsidR="00A029A8" w:rsidRDefault="00A029A8" w:rsidP="00663B29">
      <w:pPr>
        <w:pStyle w:val="legclearfix"/>
        <w:shd w:val="clear" w:color="auto" w:fill="FFFFFF"/>
        <w:spacing w:before="0" w:beforeAutospacing="0" w:after="120" w:afterAutospacing="0" w:line="360" w:lineRule="atLeast"/>
        <w:rPr>
          <w:rFonts w:ascii="Arial" w:hAnsi="Arial" w:cs="Arial"/>
        </w:rPr>
      </w:pPr>
      <w:r w:rsidRPr="00A029A8">
        <w:rPr>
          <w:rFonts w:ascii="Arial" w:hAnsi="Arial" w:cs="Arial"/>
        </w:rPr>
        <w:t>Bottomley &amp; Pryjmachuk</w:t>
      </w:r>
      <w:r>
        <w:rPr>
          <w:rFonts w:ascii="Arial" w:hAnsi="Arial" w:cs="Arial"/>
        </w:rPr>
        <w:t xml:space="preserve"> (2020)</w:t>
      </w:r>
      <w:r w:rsidR="00F401C8">
        <w:rPr>
          <w:rFonts w:ascii="Arial" w:hAnsi="Arial" w:cs="Arial"/>
        </w:rPr>
        <w:t xml:space="preserve"> talks about the importance of the police code of ethics in relation to communication skills. In this incident it was imperative to hold on to those principles as the male became increasingly aggressive and is officers had not maintained at </w:t>
      </w:r>
      <w:r w:rsidR="00F401C8">
        <w:rPr>
          <w:rFonts w:ascii="Arial" w:hAnsi="Arial" w:cs="Arial"/>
        </w:rPr>
        <w:lastRenderedPageBreak/>
        <w:t xml:space="preserve">least some level of calm and collected communication with the male the incident could have ended very differently. </w:t>
      </w:r>
    </w:p>
    <w:p w14:paraId="25AA4E33" w14:textId="77777777" w:rsidR="00F401C8" w:rsidRDefault="00F401C8" w:rsidP="00663B29">
      <w:pPr>
        <w:pStyle w:val="legclearfix"/>
        <w:shd w:val="clear" w:color="auto" w:fill="FFFFFF"/>
        <w:spacing w:before="0" w:beforeAutospacing="0" w:after="120" w:afterAutospacing="0" w:line="360" w:lineRule="atLeast"/>
        <w:rPr>
          <w:rFonts w:ascii="Arial" w:hAnsi="Arial" w:cs="Arial"/>
        </w:rPr>
      </w:pPr>
    </w:p>
    <w:p w14:paraId="02A89CBF" w14:textId="4C0083AF" w:rsidR="00EA3025" w:rsidRDefault="00F401C8" w:rsidP="00663B29">
      <w:pPr>
        <w:pStyle w:val="legclearfix"/>
        <w:shd w:val="clear" w:color="auto" w:fill="FFFFFF"/>
        <w:spacing w:before="0" w:beforeAutospacing="0" w:after="120" w:afterAutospacing="0" w:line="360" w:lineRule="atLeast"/>
        <w:rPr>
          <w:rFonts w:ascii="Arial" w:hAnsi="Arial" w:cs="Arial"/>
        </w:rPr>
      </w:pPr>
      <w:r>
        <w:rPr>
          <w:rFonts w:ascii="Arial" w:hAnsi="Arial" w:cs="Arial"/>
        </w:rPr>
        <w:t xml:space="preserve">We also implemented </w:t>
      </w:r>
      <w:r w:rsidR="00EA3025">
        <w:rPr>
          <w:rFonts w:ascii="Arial" w:hAnsi="Arial" w:cs="Arial"/>
        </w:rPr>
        <w:t xml:space="preserve">the BUGEE model </w:t>
      </w:r>
      <w:r>
        <w:rPr>
          <w:rFonts w:ascii="Arial" w:hAnsi="Arial" w:cs="Arial"/>
        </w:rPr>
        <w:t xml:space="preserve">giving the male time and space, </w:t>
      </w:r>
      <w:r w:rsidR="00EA3025">
        <w:rPr>
          <w:rFonts w:ascii="Arial" w:hAnsi="Arial" w:cs="Arial"/>
        </w:rPr>
        <w:t>to try and avoid provoking him causing himself any further harm (College of Policing, 2023). The following are the BUGEE principles:</w:t>
      </w:r>
    </w:p>
    <w:p w14:paraId="54FA5914" w14:textId="77777777" w:rsidR="004814D0" w:rsidRDefault="004814D0" w:rsidP="00663B29">
      <w:pPr>
        <w:pStyle w:val="legclearfix"/>
        <w:shd w:val="clear" w:color="auto" w:fill="FFFFFF"/>
        <w:spacing w:before="0" w:beforeAutospacing="0" w:after="120" w:afterAutospacing="0" w:line="360" w:lineRule="atLeast"/>
        <w:rPr>
          <w:rFonts w:ascii="Arial" w:hAnsi="Arial" w:cs="Arial"/>
        </w:rPr>
      </w:pPr>
    </w:p>
    <w:p w14:paraId="6540E841" w14:textId="77777777" w:rsidR="004814D0" w:rsidRPr="004814D0" w:rsidRDefault="004814D0" w:rsidP="004814D0">
      <w:pPr>
        <w:pStyle w:val="legclearfix"/>
        <w:shd w:val="clear" w:color="auto" w:fill="FFFFFF"/>
        <w:spacing w:after="120" w:line="360" w:lineRule="atLeast"/>
        <w:ind w:left="720"/>
        <w:rPr>
          <w:rFonts w:ascii="Arial" w:hAnsi="Arial" w:cs="Arial"/>
          <w:i/>
          <w:iCs/>
        </w:rPr>
      </w:pPr>
      <w:r w:rsidRPr="004814D0">
        <w:rPr>
          <w:rFonts w:ascii="Arial" w:hAnsi="Arial" w:cs="Arial"/>
          <w:i/>
          <w:iCs/>
        </w:rPr>
        <w:t>•</w:t>
      </w:r>
      <w:r w:rsidRPr="004814D0">
        <w:rPr>
          <w:rFonts w:ascii="Arial" w:hAnsi="Arial" w:cs="Arial"/>
          <w:i/>
          <w:iCs/>
        </w:rPr>
        <w:tab/>
        <w:t>Be prepared to back off</w:t>
      </w:r>
    </w:p>
    <w:p w14:paraId="061AEDFE" w14:textId="77777777" w:rsidR="004814D0" w:rsidRPr="004814D0" w:rsidRDefault="004814D0" w:rsidP="004814D0">
      <w:pPr>
        <w:pStyle w:val="legclearfix"/>
        <w:shd w:val="clear" w:color="auto" w:fill="FFFFFF"/>
        <w:spacing w:after="120" w:line="360" w:lineRule="atLeast"/>
        <w:ind w:left="720"/>
        <w:rPr>
          <w:rFonts w:ascii="Arial" w:hAnsi="Arial" w:cs="Arial"/>
          <w:i/>
          <w:iCs/>
        </w:rPr>
      </w:pPr>
      <w:r w:rsidRPr="004814D0">
        <w:rPr>
          <w:rFonts w:ascii="Arial" w:hAnsi="Arial" w:cs="Arial"/>
          <w:i/>
          <w:iCs/>
        </w:rPr>
        <w:t>•</w:t>
      </w:r>
      <w:r w:rsidRPr="004814D0">
        <w:rPr>
          <w:rFonts w:ascii="Arial" w:hAnsi="Arial" w:cs="Arial"/>
          <w:i/>
          <w:iCs/>
        </w:rPr>
        <w:tab/>
        <w:t>Use of effective cover</w:t>
      </w:r>
    </w:p>
    <w:p w14:paraId="5228DDB9" w14:textId="77777777" w:rsidR="004814D0" w:rsidRPr="004814D0" w:rsidRDefault="004814D0" w:rsidP="004814D0">
      <w:pPr>
        <w:pStyle w:val="legclearfix"/>
        <w:shd w:val="clear" w:color="auto" w:fill="FFFFFF"/>
        <w:spacing w:after="120" w:line="360" w:lineRule="atLeast"/>
        <w:ind w:left="720"/>
        <w:rPr>
          <w:rFonts w:ascii="Arial" w:hAnsi="Arial" w:cs="Arial"/>
          <w:i/>
          <w:iCs/>
        </w:rPr>
      </w:pPr>
      <w:r w:rsidRPr="004814D0">
        <w:rPr>
          <w:rFonts w:ascii="Arial" w:hAnsi="Arial" w:cs="Arial"/>
          <w:i/>
          <w:iCs/>
        </w:rPr>
        <w:t>•</w:t>
      </w:r>
      <w:r w:rsidRPr="004814D0">
        <w:rPr>
          <w:rFonts w:ascii="Arial" w:hAnsi="Arial" w:cs="Arial"/>
          <w:i/>
          <w:iCs/>
        </w:rPr>
        <w:tab/>
        <w:t>Give space and time if possible</w:t>
      </w:r>
    </w:p>
    <w:p w14:paraId="04CEE1BF" w14:textId="77777777" w:rsidR="004814D0" w:rsidRPr="004814D0" w:rsidRDefault="004814D0" w:rsidP="004814D0">
      <w:pPr>
        <w:pStyle w:val="legclearfix"/>
        <w:shd w:val="clear" w:color="auto" w:fill="FFFFFF"/>
        <w:spacing w:after="120" w:line="360" w:lineRule="atLeast"/>
        <w:ind w:left="720"/>
        <w:rPr>
          <w:rFonts w:ascii="Arial" w:hAnsi="Arial" w:cs="Arial"/>
          <w:i/>
          <w:iCs/>
        </w:rPr>
      </w:pPr>
      <w:r w:rsidRPr="004814D0">
        <w:rPr>
          <w:rFonts w:ascii="Arial" w:hAnsi="Arial" w:cs="Arial"/>
          <w:i/>
          <w:iCs/>
        </w:rPr>
        <w:t>•</w:t>
      </w:r>
      <w:r w:rsidRPr="004814D0">
        <w:rPr>
          <w:rFonts w:ascii="Arial" w:hAnsi="Arial" w:cs="Arial"/>
          <w:i/>
          <w:iCs/>
        </w:rPr>
        <w:tab/>
        <w:t>Early negotiation</w:t>
      </w:r>
    </w:p>
    <w:p w14:paraId="2BD397C7" w14:textId="0FB70035" w:rsidR="004814D0" w:rsidRDefault="004814D0" w:rsidP="004814D0">
      <w:pPr>
        <w:pStyle w:val="legclearfix"/>
        <w:shd w:val="clear" w:color="auto" w:fill="FFFFFF"/>
        <w:spacing w:before="0" w:beforeAutospacing="0" w:after="120" w:afterAutospacing="0" w:line="360" w:lineRule="atLeast"/>
        <w:ind w:left="720"/>
        <w:rPr>
          <w:rFonts w:ascii="Arial" w:hAnsi="Arial" w:cs="Arial"/>
          <w:i/>
          <w:iCs/>
        </w:rPr>
      </w:pPr>
      <w:r w:rsidRPr="004814D0">
        <w:rPr>
          <w:rFonts w:ascii="Arial" w:hAnsi="Arial" w:cs="Arial"/>
          <w:i/>
          <w:iCs/>
        </w:rPr>
        <w:t>•</w:t>
      </w:r>
      <w:r w:rsidRPr="004814D0">
        <w:rPr>
          <w:rFonts w:ascii="Arial" w:hAnsi="Arial" w:cs="Arial"/>
          <w:i/>
          <w:iCs/>
        </w:rPr>
        <w:tab/>
        <w:t>Evacuate immediate area</w:t>
      </w:r>
    </w:p>
    <w:p w14:paraId="72ACB73E" w14:textId="77777777" w:rsidR="004814D0" w:rsidRPr="004814D0" w:rsidRDefault="004814D0" w:rsidP="004814D0">
      <w:pPr>
        <w:pStyle w:val="legclearfix"/>
        <w:shd w:val="clear" w:color="auto" w:fill="FFFFFF"/>
        <w:spacing w:before="0" w:beforeAutospacing="0" w:after="120" w:afterAutospacing="0" w:line="360" w:lineRule="atLeast"/>
        <w:ind w:left="720"/>
        <w:rPr>
          <w:rFonts w:ascii="Arial" w:hAnsi="Arial" w:cs="Arial"/>
          <w:i/>
          <w:iCs/>
        </w:rPr>
      </w:pPr>
    </w:p>
    <w:p w14:paraId="6A4C6673" w14:textId="77777777" w:rsidR="00106D6A" w:rsidRDefault="00EA3025" w:rsidP="00663B29">
      <w:pPr>
        <w:pStyle w:val="legclearfix"/>
        <w:shd w:val="clear" w:color="auto" w:fill="FFFFFF"/>
        <w:spacing w:before="0" w:beforeAutospacing="0" w:after="120" w:afterAutospacing="0" w:line="360" w:lineRule="atLeast"/>
        <w:rPr>
          <w:rFonts w:ascii="Arial" w:hAnsi="Arial" w:cs="Arial"/>
        </w:rPr>
      </w:pPr>
      <w:r>
        <w:rPr>
          <w:rFonts w:ascii="Arial" w:hAnsi="Arial" w:cs="Arial"/>
        </w:rPr>
        <w:t xml:space="preserve">At multiple times we implemented these. When the male held a slingshot out the window we backed off and used cover. We gave as much time and space as we could to try and de-escalate the situation, </w:t>
      </w:r>
      <w:r w:rsidR="00106D6A">
        <w:rPr>
          <w:rFonts w:ascii="Arial" w:hAnsi="Arial" w:cs="Arial"/>
        </w:rPr>
        <w:t>we started to try and negotiate straight away, and in the end had a trained negotiator come out, and we evacuated all non-critical person from the immediate area and put officers in place to guide people away from the property.</w:t>
      </w:r>
    </w:p>
    <w:p w14:paraId="10BB75C1" w14:textId="5D218732" w:rsidR="00F401C8" w:rsidRDefault="00F401C8" w:rsidP="00663B29">
      <w:pPr>
        <w:pStyle w:val="legclearfix"/>
        <w:shd w:val="clear" w:color="auto" w:fill="FFFFFF"/>
        <w:spacing w:before="0" w:beforeAutospacing="0" w:after="120" w:afterAutospacing="0" w:line="360" w:lineRule="atLeast"/>
        <w:rPr>
          <w:rFonts w:ascii="Arial" w:hAnsi="Arial" w:cs="Arial"/>
        </w:rPr>
      </w:pPr>
      <w:r>
        <w:rPr>
          <w:rFonts w:ascii="Arial" w:hAnsi="Arial" w:cs="Arial"/>
        </w:rPr>
        <w:t>Betaris Box shows us how the way we interact with people can be extremely important and that our affect can have an effect on the other and so on (College of policing, 2023). In relation to this incident staying calm even when facing a man as agitated as we did was important to prevent the situation escalation any further. It became apparent that when some officers reacted to the male in a aggressive manner he appeared to get even more agitated, whilst when officers responded being calm he did tend to calm down as well.</w:t>
      </w:r>
    </w:p>
    <w:p w14:paraId="227AA62D" w14:textId="77777777" w:rsidR="00743A23" w:rsidRDefault="00743A23" w:rsidP="00663B29">
      <w:pPr>
        <w:pStyle w:val="legclearfix"/>
        <w:shd w:val="clear" w:color="auto" w:fill="FFFFFF"/>
        <w:spacing w:before="0" w:beforeAutospacing="0" w:after="120" w:afterAutospacing="0" w:line="360" w:lineRule="atLeast"/>
        <w:rPr>
          <w:rFonts w:ascii="Arial" w:hAnsi="Arial" w:cs="Arial"/>
        </w:rPr>
      </w:pPr>
    </w:p>
    <w:p w14:paraId="4F0D5A1B" w14:textId="5DE7F838" w:rsidR="00743A23" w:rsidRPr="00106D6A" w:rsidRDefault="00743A23" w:rsidP="00663B29">
      <w:pPr>
        <w:pStyle w:val="legclearfix"/>
        <w:shd w:val="clear" w:color="auto" w:fill="FFFFFF"/>
        <w:spacing w:before="0" w:beforeAutospacing="0" w:after="120" w:afterAutospacing="0" w:line="360" w:lineRule="atLeast"/>
        <w:rPr>
          <w:rFonts w:ascii="Arial" w:hAnsi="Arial" w:cs="Arial"/>
        </w:rPr>
      </w:pPr>
      <w:r>
        <w:rPr>
          <w:rFonts w:ascii="Arial" w:hAnsi="Arial" w:cs="Arial"/>
        </w:rPr>
        <w:t xml:space="preserve">An attempt was also used to implement the LEAPS model of communication. </w:t>
      </w:r>
      <w:r w:rsidR="00894673">
        <w:rPr>
          <w:rFonts w:ascii="Arial" w:hAnsi="Arial" w:cs="Arial"/>
        </w:rPr>
        <w:t>This relates to structured communication with individuals (College of Policing, 2023). LEAPS consists of five strategies for effective communication. Listen, Empathy, Ask, Paraphrase and summarise. I know that at least three of these five was implemented throughput the incident. The male was asked about his needs, he was also provided with food and drink as we listened when he asked for this. We also listened when he asked us to give him space. We showed empathy by having real concern about his well being and attempting not to push him to far as we could see that he was clearly distressed about the situation.</w:t>
      </w:r>
    </w:p>
    <w:p w14:paraId="18642F65" w14:textId="55A15C42" w:rsidR="00663B29" w:rsidRPr="00270EEB" w:rsidRDefault="00663B29" w:rsidP="00663B29">
      <w:pPr>
        <w:ind w:left="720" w:right="107"/>
        <w:jc w:val="both"/>
        <w:rPr>
          <w:sz w:val="24"/>
          <w:szCs w:val="24"/>
        </w:rPr>
      </w:pPr>
    </w:p>
    <w:p w14:paraId="4557CCDD" w14:textId="77777777" w:rsidR="008B28E7" w:rsidRPr="00270EEB" w:rsidRDefault="008B28E7" w:rsidP="00E6298B">
      <w:pPr>
        <w:ind w:right="107"/>
        <w:jc w:val="both"/>
        <w:rPr>
          <w:sz w:val="24"/>
          <w:szCs w:val="24"/>
        </w:rPr>
      </w:pPr>
    </w:p>
    <w:p w14:paraId="545B147F" w14:textId="0281E391" w:rsidR="008B28E7" w:rsidRDefault="00106D6A" w:rsidP="00E6298B">
      <w:pPr>
        <w:ind w:right="107"/>
        <w:jc w:val="both"/>
        <w:rPr>
          <w:sz w:val="24"/>
          <w:szCs w:val="24"/>
        </w:rPr>
      </w:pPr>
      <w:r>
        <w:rPr>
          <w:sz w:val="24"/>
          <w:szCs w:val="24"/>
        </w:rPr>
        <w:t>Reflecting on this occurrence there are multiple point where the incident could have been handled differently, and where a different outcome might have been the result. There is no point in pretending that the incident could not have been handled better, but there is also points where is could have ended much worse.</w:t>
      </w:r>
    </w:p>
    <w:p w14:paraId="4A13B685" w14:textId="77777777" w:rsidR="00106D6A" w:rsidRDefault="00106D6A" w:rsidP="00E6298B">
      <w:pPr>
        <w:ind w:right="107"/>
        <w:jc w:val="both"/>
        <w:rPr>
          <w:sz w:val="24"/>
          <w:szCs w:val="24"/>
        </w:rPr>
      </w:pPr>
    </w:p>
    <w:p w14:paraId="1CA3AC37" w14:textId="397C500E" w:rsidR="00106D6A" w:rsidRDefault="00106D6A" w:rsidP="00E6298B">
      <w:pPr>
        <w:ind w:right="107"/>
        <w:jc w:val="both"/>
        <w:rPr>
          <w:sz w:val="24"/>
          <w:szCs w:val="24"/>
        </w:rPr>
      </w:pPr>
      <w:r>
        <w:rPr>
          <w:sz w:val="24"/>
          <w:szCs w:val="24"/>
        </w:rPr>
        <w:t xml:space="preserve">I believe that we successfully and unsuccessfully implemented the tactics used. Namely BUGEE there were times officers took unnecessary risk to themselves and others in approaching the male in question. The main issue that was identified early on was that due to factor outside of the immediate </w:t>
      </w:r>
      <w:r w:rsidR="00743A23">
        <w:rPr>
          <w:sz w:val="24"/>
          <w:szCs w:val="24"/>
        </w:rPr>
        <w:t>responders’</w:t>
      </w:r>
      <w:r>
        <w:rPr>
          <w:sz w:val="24"/>
          <w:szCs w:val="24"/>
        </w:rPr>
        <w:t xml:space="preserve"> hands we did not get the full authorisation needed at the right time to prevent the male from harming himself. </w:t>
      </w:r>
    </w:p>
    <w:p w14:paraId="2AA23863" w14:textId="77777777" w:rsidR="00743A23" w:rsidRDefault="00743A23" w:rsidP="00E6298B">
      <w:pPr>
        <w:ind w:right="107"/>
        <w:jc w:val="both"/>
        <w:rPr>
          <w:sz w:val="24"/>
          <w:szCs w:val="24"/>
        </w:rPr>
      </w:pPr>
    </w:p>
    <w:p w14:paraId="11F91D65" w14:textId="12FD0D58" w:rsidR="00743A23" w:rsidRDefault="00743A23" w:rsidP="00E6298B">
      <w:pPr>
        <w:ind w:right="107"/>
        <w:jc w:val="both"/>
        <w:rPr>
          <w:sz w:val="24"/>
          <w:szCs w:val="24"/>
        </w:rPr>
      </w:pPr>
      <w:r>
        <w:rPr>
          <w:sz w:val="24"/>
          <w:szCs w:val="24"/>
        </w:rPr>
        <w:t xml:space="preserve">Betari’s Box could have been implemented better as some officers did escalate the situation unnecessarily with being aggressive back at the male. However and understanding of the fact that with the amount of officers involved in the end is was difficult to maintain the situation at all times. </w:t>
      </w:r>
    </w:p>
    <w:p w14:paraId="3D090A59" w14:textId="77777777" w:rsidR="00743A23" w:rsidRDefault="00743A23" w:rsidP="00E6298B">
      <w:pPr>
        <w:ind w:right="107"/>
        <w:jc w:val="both"/>
        <w:rPr>
          <w:sz w:val="24"/>
          <w:szCs w:val="24"/>
        </w:rPr>
      </w:pPr>
    </w:p>
    <w:p w14:paraId="660F09B2" w14:textId="091A41C7" w:rsidR="00743A23" w:rsidRDefault="00743A23" w:rsidP="00E6298B">
      <w:pPr>
        <w:ind w:right="107"/>
        <w:jc w:val="both"/>
        <w:rPr>
          <w:sz w:val="24"/>
          <w:szCs w:val="24"/>
        </w:rPr>
      </w:pPr>
      <w:r>
        <w:rPr>
          <w:sz w:val="24"/>
          <w:szCs w:val="24"/>
        </w:rPr>
        <w:t xml:space="preserve">What was also apparent was the importance of teamwork and communication between officers attending, as at one point I was running back and forth trying to relay information that others should have clearly communicated over the radio to officers at the other side of the building. </w:t>
      </w:r>
    </w:p>
    <w:p w14:paraId="744159B4" w14:textId="1CBF486A" w:rsidR="00894673" w:rsidRDefault="00894673" w:rsidP="00E6298B">
      <w:pPr>
        <w:ind w:right="107"/>
        <w:jc w:val="both"/>
        <w:rPr>
          <w:sz w:val="24"/>
          <w:szCs w:val="24"/>
        </w:rPr>
      </w:pPr>
    </w:p>
    <w:p w14:paraId="0FA51D5B" w14:textId="0A6EB971" w:rsidR="00743A23" w:rsidRDefault="00743A23" w:rsidP="00E6298B">
      <w:pPr>
        <w:ind w:right="107"/>
        <w:jc w:val="both"/>
        <w:rPr>
          <w:sz w:val="24"/>
          <w:szCs w:val="24"/>
        </w:rPr>
      </w:pPr>
    </w:p>
    <w:p w14:paraId="3B71FCB4" w14:textId="57A76C92" w:rsidR="00743A23" w:rsidRDefault="00743A23" w:rsidP="00E6298B">
      <w:pPr>
        <w:ind w:right="107"/>
        <w:jc w:val="both"/>
        <w:rPr>
          <w:sz w:val="24"/>
          <w:szCs w:val="24"/>
        </w:rPr>
      </w:pPr>
      <w:r>
        <w:rPr>
          <w:sz w:val="24"/>
          <w:szCs w:val="24"/>
        </w:rPr>
        <w:t xml:space="preserve">We did all learn many lessons from this incident as there has been scrutiny related to everyone’s conduct as well. The main points of contention was that a member of the public was injured due to the direct involvement of police, and what could have been done differently to try and avoid that. But in the end, we have a duty to protect the public, and the individual in question was a danger to himself and others, and we did not have to option to retreat as that could have had a significant impact on the original victim, and on the male’s own safety and wellbeing. The male was after the incident conveyed to hospital and later remanded for the offences committed during this incident. </w:t>
      </w:r>
    </w:p>
    <w:p w14:paraId="3DBDAE70" w14:textId="77777777" w:rsidR="004814D0" w:rsidRDefault="004814D0" w:rsidP="00E6298B">
      <w:pPr>
        <w:ind w:right="107"/>
        <w:jc w:val="both"/>
        <w:rPr>
          <w:sz w:val="24"/>
          <w:szCs w:val="24"/>
        </w:rPr>
      </w:pPr>
    </w:p>
    <w:p w14:paraId="2F2C7209" w14:textId="00458D21" w:rsidR="004814D0" w:rsidRDefault="00ED009F" w:rsidP="00E6298B">
      <w:pPr>
        <w:ind w:right="107"/>
        <w:jc w:val="both"/>
        <w:rPr>
          <w:sz w:val="24"/>
          <w:szCs w:val="24"/>
        </w:rPr>
      </w:pPr>
      <w:r>
        <w:rPr>
          <w:sz w:val="24"/>
          <w:szCs w:val="24"/>
        </w:rPr>
        <w:t>(</w:t>
      </w:r>
      <w:r w:rsidR="004814D0">
        <w:rPr>
          <w:sz w:val="24"/>
          <w:szCs w:val="24"/>
        </w:rPr>
        <w:t>1833</w:t>
      </w:r>
      <w:r>
        <w:rPr>
          <w:sz w:val="24"/>
          <w:szCs w:val="24"/>
        </w:rPr>
        <w:t xml:space="preserve"> words</w:t>
      </w:r>
      <w:r w:rsidR="004814D0">
        <w:rPr>
          <w:sz w:val="24"/>
          <w:szCs w:val="24"/>
        </w:rPr>
        <w:t>)</w:t>
      </w:r>
    </w:p>
    <w:p w14:paraId="52139A44" w14:textId="77777777" w:rsidR="00106D6A" w:rsidRPr="00270EEB" w:rsidRDefault="00106D6A"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CAF8813" w:rsidR="00112751" w:rsidRDefault="000E36DD" w:rsidP="00E6298B">
      <w:pPr>
        <w:ind w:right="107"/>
        <w:jc w:val="both"/>
        <w:rPr>
          <w:sz w:val="24"/>
          <w:szCs w:val="24"/>
        </w:rPr>
      </w:pPr>
      <w:r>
        <w:rPr>
          <w:sz w:val="24"/>
          <w:szCs w:val="24"/>
        </w:rPr>
        <w:t xml:space="preserve">The Ministry of Justice published the </w:t>
      </w:r>
      <w:r w:rsidR="007F4480">
        <w:rPr>
          <w:sz w:val="24"/>
          <w:szCs w:val="24"/>
        </w:rPr>
        <w:t>‘</w:t>
      </w:r>
      <w:r>
        <w:rPr>
          <w:sz w:val="24"/>
          <w:szCs w:val="24"/>
        </w:rPr>
        <w:t>Code of Practice for Victims of Crime in England and Wales</w:t>
      </w:r>
      <w:r w:rsidR="007F4480">
        <w:rPr>
          <w:sz w:val="24"/>
          <w:szCs w:val="24"/>
        </w:rPr>
        <w:t>’</w:t>
      </w:r>
      <w:r>
        <w:rPr>
          <w:sz w:val="24"/>
          <w:szCs w:val="24"/>
        </w:rPr>
        <w:t xml:space="preserve"> in November 2020. It outlines the 12 core principles the police use to support victims and witnesses in the criminal justice process. During my tutorship I have had multiple cases in which these principles have been instrumental, however the incident I am choosing to write about is probably the one that I myself felt that the principles were the clearest. I will preface this by saying I did not </w:t>
      </w:r>
      <w:r w:rsidR="00240616">
        <w:rPr>
          <w:sz w:val="24"/>
          <w:szCs w:val="24"/>
        </w:rPr>
        <w:t>complete the full investigation into this offence, but I was instrumental in the initial investigation and victim contact.</w:t>
      </w:r>
    </w:p>
    <w:p w14:paraId="371ADB87" w14:textId="77777777" w:rsidR="00240616" w:rsidRDefault="00240616" w:rsidP="00E6298B">
      <w:pPr>
        <w:ind w:right="107"/>
        <w:jc w:val="both"/>
        <w:rPr>
          <w:sz w:val="24"/>
          <w:szCs w:val="24"/>
        </w:rPr>
      </w:pPr>
    </w:p>
    <w:p w14:paraId="5C154517" w14:textId="1DE66000" w:rsidR="00240616" w:rsidRDefault="00240616" w:rsidP="00E6298B">
      <w:pPr>
        <w:ind w:right="107"/>
        <w:jc w:val="both"/>
        <w:rPr>
          <w:sz w:val="24"/>
          <w:szCs w:val="24"/>
        </w:rPr>
      </w:pPr>
      <w:r>
        <w:rPr>
          <w:sz w:val="24"/>
          <w:szCs w:val="24"/>
        </w:rPr>
        <w:t>During my last shift of tutorship, a call came in about an alleged rape</w:t>
      </w:r>
      <w:r w:rsidR="00B0213C">
        <w:rPr>
          <w:sz w:val="24"/>
          <w:szCs w:val="24"/>
        </w:rPr>
        <w:t xml:space="preserve"> Section 1 of The Sexual offences Act 2003</w:t>
      </w:r>
      <w:r>
        <w:rPr>
          <w:sz w:val="24"/>
          <w:szCs w:val="24"/>
        </w:rPr>
        <w:t xml:space="preserve">. A colleague and I were the first responders. A young woman who had just moved to Wales from the Middle East called in saying she had been raped by a neighbour the night before. Upon our attendance it became apparent that this was a difficult situation and I had to take extreme care. I took care to ask the girl who was not a native English speaker if she felt the need for </w:t>
      </w:r>
      <w:r w:rsidR="00B0213C">
        <w:rPr>
          <w:sz w:val="24"/>
          <w:szCs w:val="24"/>
        </w:rPr>
        <w:t>an</w:t>
      </w:r>
      <w:r>
        <w:rPr>
          <w:sz w:val="24"/>
          <w:szCs w:val="24"/>
        </w:rPr>
        <w:t xml:space="preserve"> interpreter in </w:t>
      </w:r>
      <w:r w:rsidR="00B0213C">
        <w:rPr>
          <w:sz w:val="24"/>
          <w:szCs w:val="24"/>
        </w:rPr>
        <w:t>case,</w:t>
      </w:r>
      <w:r>
        <w:rPr>
          <w:sz w:val="24"/>
          <w:szCs w:val="24"/>
        </w:rPr>
        <w:t xml:space="preserve"> she had any difficulty understanding, however in this instance I felt confident that when she said she did not, that was also the case. The girl also had concerns in relation to her family in the middle east as there are immense cultural differences in relation to sexual assault and rape, she was very concerned that her family would have to be told. To which I assured her that they did not as she is legally an </w:t>
      </w:r>
      <w:r w:rsidR="00B0213C">
        <w:rPr>
          <w:sz w:val="24"/>
          <w:szCs w:val="24"/>
        </w:rPr>
        <w:t>adult,</w:t>
      </w:r>
      <w:r>
        <w:rPr>
          <w:sz w:val="24"/>
          <w:szCs w:val="24"/>
        </w:rPr>
        <w:t xml:space="preserve"> and she has full autonomy over how much she herself wants to share with others.</w:t>
      </w:r>
      <w:r w:rsidR="00B0213C">
        <w:rPr>
          <w:sz w:val="24"/>
          <w:szCs w:val="24"/>
        </w:rPr>
        <w:t xml:space="preserve"> I also took care to explain to the girl about the SARC and along with my colleague managed to schedule an appointment for her as soon as possible. I was also responsible for taking samples and photos of injury, as well as collecting evidence in the form of bedding and such. I also completed the initial forms the PPD3 to make sure that her initial account was covered.</w:t>
      </w:r>
      <w:r w:rsidR="0064024C">
        <w:rPr>
          <w:sz w:val="24"/>
          <w:szCs w:val="24"/>
        </w:rPr>
        <w:t xml:space="preserve"> </w:t>
      </w:r>
      <w:r w:rsidR="0064024C">
        <w:rPr>
          <w:sz w:val="24"/>
          <w:szCs w:val="24"/>
        </w:rPr>
        <w:t xml:space="preserve">It was through careful questioning of the victim that I managed </w:t>
      </w:r>
      <w:r w:rsidR="0064024C">
        <w:rPr>
          <w:sz w:val="24"/>
          <w:szCs w:val="24"/>
        </w:rPr>
        <w:lastRenderedPageBreak/>
        <w:t>to identify that the offence in question was rape as it was evident that she was uncomfortable talking about it at first.</w:t>
      </w:r>
    </w:p>
    <w:p w14:paraId="5A6D90D8" w14:textId="77777777" w:rsidR="00D21AE1" w:rsidRDefault="00D21AE1" w:rsidP="00E6298B">
      <w:pPr>
        <w:ind w:right="107"/>
        <w:jc w:val="both"/>
        <w:rPr>
          <w:sz w:val="24"/>
          <w:szCs w:val="24"/>
        </w:rPr>
      </w:pPr>
    </w:p>
    <w:p w14:paraId="67CEC53A" w14:textId="77777777" w:rsidR="00D21AE1" w:rsidRDefault="00D21AE1" w:rsidP="00D21AE1">
      <w:pPr>
        <w:ind w:right="107"/>
        <w:jc w:val="both"/>
        <w:rPr>
          <w:sz w:val="24"/>
          <w:szCs w:val="24"/>
        </w:rPr>
      </w:pPr>
      <w:r>
        <w:rPr>
          <w:sz w:val="24"/>
          <w:szCs w:val="24"/>
        </w:rPr>
        <w:t>The SARC refers to the sexual assault referral centre. They provide victims of sexual assault with advice and guidance following a sexual assault. With the victim in this case the SARC was something I considered even before we attended as there are samples that I as a Police officer am not qualified to obtain. I did however make sure that the victim herself wanted to attend SARC before progressing it any further. The SARC can be a very invasive experience and it is extremely important that victims feel they are free to make their own decision (</w:t>
      </w:r>
      <w:r>
        <w:rPr>
          <w:rFonts w:ascii="Calibri" w:hAnsi="Calibri" w:cs="Calibri"/>
          <w:sz w:val="27"/>
          <w:szCs w:val="27"/>
        </w:rPr>
        <w:t>Cardiff and Vale University Health Board, n.d.). </w:t>
      </w:r>
    </w:p>
    <w:p w14:paraId="08596044" w14:textId="77777777" w:rsidR="00D21AE1" w:rsidRDefault="00D21AE1" w:rsidP="00E6298B">
      <w:pPr>
        <w:ind w:right="107"/>
        <w:jc w:val="both"/>
        <w:rPr>
          <w:sz w:val="24"/>
          <w:szCs w:val="24"/>
        </w:rPr>
      </w:pPr>
    </w:p>
    <w:p w14:paraId="4A2E5576" w14:textId="70541886" w:rsidR="00D21AE1" w:rsidRDefault="00D21AE1" w:rsidP="00E6298B">
      <w:pPr>
        <w:ind w:right="107"/>
        <w:jc w:val="both"/>
        <w:rPr>
          <w:sz w:val="24"/>
          <w:szCs w:val="24"/>
        </w:rPr>
      </w:pPr>
      <w:r>
        <w:rPr>
          <w:sz w:val="24"/>
          <w:szCs w:val="24"/>
        </w:rPr>
        <w:t xml:space="preserve">Also, before initially attending I considered the need for an Early Evidence Kit. There were none available at the station I worked from so I had my colleague drive to obtain one before we even attended. The Early Evidence Kit can be invaluable in collecting evidence from victims of sexual assault as the sooner one is able to do samples the more likely they are to contain DNA from the perpetrator. </w:t>
      </w:r>
    </w:p>
    <w:p w14:paraId="781CB8DF" w14:textId="77777777" w:rsidR="00240616" w:rsidRDefault="00240616" w:rsidP="00E6298B">
      <w:pPr>
        <w:ind w:right="107"/>
        <w:jc w:val="both"/>
        <w:rPr>
          <w:sz w:val="24"/>
          <w:szCs w:val="24"/>
        </w:rPr>
      </w:pPr>
    </w:p>
    <w:p w14:paraId="4D221E74" w14:textId="3E7167D4" w:rsidR="007F4480" w:rsidRDefault="00B0213C" w:rsidP="00E6298B">
      <w:pPr>
        <w:ind w:right="107"/>
        <w:jc w:val="both"/>
        <w:rPr>
          <w:sz w:val="24"/>
          <w:szCs w:val="24"/>
        </w:rPr>
      </w:pPr>
      <w:r>
        <w:rPr>
          <w:sz w:val="24"/>
          <w:szCs w:val="24"/>
        </w:rPr>
        <w:t xml:space="preserve">In this initial stage of the </w:t>
      </w:r>
      <w:r w:rsidR="007F4480">
        <w:rPr>
          <w:sz w:val="24"/>
          <w:szCs w:val="24"/>
        </w:rPr>
        <w:t>investigation,</w:t>
      </w:r>
      <w:r>
        <w:rPr>
          <w:sz w:val="24"/>
          <w:szCs w:val="24"/>
        </w:rPr>
        <w:t xml:space="preserve"> I made sure that I covered all the victim rights I could at that stage which were namely, </w:t>
      </w:r>
    </w:p>
    <w:p w14:paraId="12C5CF89" w14:textId="77777777" w:rsidR="007F4480" w:rsidRDefault="007F4480" w:rsidP="00E6298B">
      <w:pPr>
        <w:ind w:right="107"/>
        <w:jc w:val="both"/>
        <w:rPr>
          <w:sz w:val="24"/>
          <w:szCs w:val="24"/>
        </w:rPr>
      </w:pPr>
    </w:p>
    <w:p w14:paraId="5F82E6E8" w14:textId="3C49880B" w:rsidR="007F4480" w:rsidRDefault="00B0213C" w:rsidP="00E6298B">
      <w:pPr>
        <w:ind w:right="107"/>
        <w:jc w:val="both"/>
        <w:rPr>
          <w:sz w:val="24"/>
          <w:szCs w:val="24"/>
        </w:rPr>
      </w:pPr>
      <w:r>
        <w:rPr>
          <w:sz w:val="24"/>
          <w:szCs w:val="24"/>
        </w:rPr>
        <w:t xml:space="preserve">Number 1 </w:t>
      </w:r>
      <w:r w:rsidR="001750F8" w:rsidRPr="001750F8">
        <w:rPr>
          <w:i/>
          <w:iCs/>
          <w:sz w:val="24"/>
          <w:szCs w:val="24"/>
        </w:rPr>
        <w:t>‘</w:t>
      </w:r>
      <w:r w:rsidRPr="001750F8">
        <w:rPr>
          <w:i/>
          <w:iCs/>
          <w:sz w:val="24"/>
          <w:szCs w:val="24"/>
        </w:rPr>
        <w:t>The right to understand and to be understood</w:t>
      </w:r>
      <w:r w:rsidR="001750F8" w:rsidRPr="001750F8">
        <w:rPr>
          <w:i/>
          <w:iCs/>
          <w:sz w:val="24"/>
          <w:szCs w:val="24"/>
        </w:rPr>
        <w:t>’</w:t>
      </w:r>
      <w:r>
        <w:rPr>
          <w:sz w:val="24"/>
          <w:szCs w:val="24"/>
        </w:rPr>
        <w:t>,</w:t>
      </w:r>
      <w:r w:rsidR="007F4480">
        <w:rPr>
          <w:sz w:val="24"/>
          <w:szCs w:val="24"/>
        </w:rPr>
        <w:t xml:space="preserve"> which I followed in clarifying with the victim if she needed an interpreter</w:t>
      </w:r>
      <w:r w:rsidR="001750F8">
        <w:rPr>
          <w:sz w:val="24"/>
          <w:szCs w:val="24"/>
        </w:rPr>
        <w:t xml:space="preserve"> (MoJ, 2020)</w:t>
      </w:r>
      <w:r w:rsidR="007F4480">
        <w:rPr>
          <w:sz w:val="24"/>
          <w:szCs w:val="24"/>
        </w:rPr>
        <w:t>.</w:t>
      </w:r>
    </w:p>
    <w:p w14:paraId="4B23D361" w14:textId="77777777" w:rsidR="007F4480" w:rsidRDefault="007F4480" w:rsidP="00E6298B">
      <w:pPr>
        <w:ind w:right="107"/>
        <w:jc w:val="both"/>
        <w:rPr>
          <w:sz w:val="24"/>
          <w:szCs w:val="24"/>
        </w:rPr>
      </w:pPr>
    </w:p>
    <w:p w14:paraId="644033AC" w14:textId="432FA379" w:rsidR="007F4480" w:rsidRDefault="00B0213C" w:rsidP="00E6298B">
      <w:pPr>
        <w:ind w:right="107"/>
        <w:jc w:val="both"/>
        <w:rPr>
          <w:sz w:val="24"/>
          <w:szCs w:val="24"/>
        </w:rPr>
      </w:pPr>
      <w:r>
        <w:rPr>
          <w:sz w:val="24"/>
          <w:szCs w:val="24"/>
        </w:rPr>
        <w:t xml:space="preserve"> Number 2 </w:t>
      </w:r>
      <w:r w:rsidR="001750F8" w:rsidRPr="001750F8">
        <w:rPr>
          <w:i/>
          <w:iCs/>
          <w:sz w:val="24"/>
          <w:szCs w:val="24"/>
        </w:rPr>
        <w:t>‘</w:t>
      </w:r>
      <w:r w:rsidRPr="001750F8">
        <w:rPr>
          <w:i/>
          <w:iCs/>
          <w:sz w:val="24"/>
          <w:szCs w:val="24"/>
        </w:rPr>
        <w:t>To have the details of the crime recorded without unjustified delay</w:t>
      </w:r>
      <w:r w:rsidR="001750F8" w:rsidRPr="001750F8">
        <w:rPr>
          <w:i/>
          <w:iCs/>
          <w:sz w:val="24"/>
          <w:szCs w:val="24"/>
        </w:rPr>
        <w:t>’</w:t>
      </w:r>
      <w:r>
        <w:rPr>
          <w:sz w:val="24"/>
          <w:szCs w:val="24"/>
        </w:rPr>
        <w:t xml:space="preserve">, </w:t>
      </w:r>
      <w:r w:rsidR="007F4480">
        <w:rPr>
          <w:sz w:val="24"/>
          <w:szCs w:val="24"/>
        </w:rPr>
        <w:t>which was our timely initial response and making sure to fill out the PPD3</w:t>
      </w:r>
      <w:r w:rsidR="001750F8">
        <w:rPr>
          <w:sz w:val="24"/>
          <w:szCs w:val="24"/>
        </w:rPr>
        <w:t xml:space="preserve"> (MoJ, 2020)</w:t>
      </w:r>
      <w:r w:rsidR="007F4480">
        <w:rPr>
          <w:sz w:val="24"/>
          <w:szCs w:val="24"/>
        </w:rPr>
        <w:t>.</w:t>
      </w:r>
    </w:p>
    <w:p w14:paraId="607FA3D4" w14:textId="77777777" w:rsidR="007F4480" w:rsidRDefault="007F4480" w:rsidP="00E6298B">
      <w:pPr>
        <w:ind w:right="107"/>
        <w:jc w:val="both"/>
        <w:rPr>
          <w:sz w:val="24"/>
          <w:szCs w:val="24"/>
        </w:rPr>
      </w:pPr>
    </w:p>
    <w:p w14:paraId="30E03B54" w14:textId="09F73268" w:rsidR="001750F8" w:rsidRDefault="00B0213C" w:rsidP="00E6298B">
      <w:pPr>
        <w:ind w:right="107"/>
        <w:jc w:val="both"/>
        <w:rPr>
          <w:sz w:val="24"/>
          <w:szCs w:val="24"/>
        </w:rPr>
      </w:pPr>
      <w:r>
        <w:rPr>
          <w:sz w:val="24"/>
          <w:szCs w:val="24"/>
        </w:rPr>
        <w:t xml:space="preserve">Number 3 </w:t>
      </w:r>
      <w:r w:rsidR="001750F8" w:rsidRPr="001750F8">
        <w:rPr>
          <w:i/>
          <w:iCs/>
          <w:sz w:val="24"/>
          <w:szCs w:val="24"/>
        </w:rPr>
        <w:t>‘</w:t>
      </w:r>
      <w:r w:rsidRPr="001750F8">
        <w:rPr>
          <w:i/>
          <w:iCs/>
          <w:sz w:val="24"/>
          <w:szCs w:val="24"/>
        </w:rPr>
        <w:t>To be provided with information when reporting the crime,</w:t>
      </w:r>
      <w:r w:rsidR="001750F8" w:rsidRPr="001750F8">
        <w:rPr>
          <w:i/>
          <w:iCs/>
          <w:sz w:val="24"/>
          <w:szCs w:val="24"/>
        </w:rPr>
        <w:t>’</w:t>
      </w:r>
      <w:r w:rsidR="007F4480">
        <w:rPr>
          <w:sz w:val="24"/>
          <w:szCs w:val="24"/>
        </w:rPr>
        <w:t xml:space="preserve"> was covered when I informed the victim about her options and what would happen going forward. I also made sure that she knew that she was free to proceed as she wanted and clarified that she did not have to do anything she herself did not want to, which is especially important in </w:t>
      </w:r>
      <w:r w:rsidR="00BD3424">
        <w:rPr>
          <w:sz w:val="24"/>
          <w:szCs w:val="24"/>
        </w:rPr>
        <w:t>these types of cases</w:t>
      </w:r>
      <w:r w:rsidR="001750F8">
        <w:rPr>
          <w:sz w:val="24"/>
          <w:szCs w:val="24"/>
        </w:rPr>
        <w:t xml:space="preserve"> (MoJ, 2020)</w:t>
      </w:r>
      <w:r w:rsidR="007F4480">
        <w:rPr>
          <w:sz w:val="24"/>
          <w:szCs w:val="24"/>
        </w:rPr>
        <w:t>.</w:t>
      </w:r>
      <w:r>
        <w:rPr>
          <w:sz w:val="24"/>
          <w:szCs w:val="24"/>
        </w:rPr>
        <w:t xml:space="preserve"> </w:t>
      </w:r>
    </w:p>
    <w:p w14:paraId="26E0E269" w14:textId="77777777" w:rsidR="001750F8" w:rsidRDefault="001750F8" w:rsidP="00E6298B">
      <w:pPr>
        <w:ind w:right="107"/>
        <w:jc w:val="both"/>
        <w:rPr>
          <w:sz w:val="24"/>
          <w:szCs w:val="24"/>
        </w:rPr>
      </w:pPr>
    </w:p>
    <w:p w14:paraId="5AE24D77" w14:textId="51986690" w:rsidR="001750F8" w:rsidRDefault="00B0213C" w:rsidP="00E6298B">
      <w:pPr>
        <w:ind w:right="107"/>
        <w:jc w:val="both"/>
        <w:rPr>
          <w:sz w:val="24"/>
          <w:szCs w:val="24"/>
        </w:rPr>
      </w:pPr>
      <w:r>
        <w:rPr>
          <w:sz w:val="24"/>
          <w:szCs w:val="24"/>
        </w:rPr>
        <w:t xml:space="preserve">Number 4 </w:t>
      </w:r>
      <w:r w:rsidR="001750F8" w:rsidRPr="001750F8">
        <w:rPr>
          <w:i/>
          <w:iCs/>
          <w:sz w:val="24"/>
          <w:szCs w:val="24"/>
        </w:rPr>
        <w:t>‘</w:t>
      </w:r>
      <w:r w:rsidRPr="001750F8">
        <w:rPr>
          <w:i/>
          <w:iCs/>
          <w:sz w:val="24"/>
          <w:szCs w:val="24"/>
        </w:rPr>
        <w:t>T</w:t>
      </w:r>
      <w:r w:rsidRPr="001750F8">
        <w:rPr>
          <w:i/>
          <w:iCs/>
          <w:sz w:val="24"/>
          <w:szCs w:val="24"/>
        </w:rPr>
        <w:t>o be referred to services that support victims and have services and support tailored to your needs</w:t>
      </w:r>
      <w:r w:rsidR="001750F8" w:rsidRPr="001750F8">
        <w:rPr>
          <w:i/>
          <w:iCs/>
          <w:sz w:val="24"/>
          <w:szCs w:val="24"/>
        </w:rPr>
        <w:t>’</w:t>
      </w:r>
      <w:r w:rsidR="00BD3424">
        <w:rPr>
          <w:sz w:val="24"/>
          <w:szCs w:val="24"/>
        </w:rPr>
        <w:t xml:space="preserve"> was met by referring her to the SARC and to inform the RAPE investigation team about the initial findings in the case</w:t>
      </w:r>
      <w:r w:rsidR="001750F8">
        <w:rPr>
          <w:sz w:val="24"/>
          <w:szCs w:val="24"/>
        </w:rPr>
        <w:t xml:space="preserve"> (MoJ, 2020)</w:t>
      </w:r>
      <w:r w:rsidR="00BD3424">
        <w:rPr>
          <w:sz w:val="24"/>
          <w:szCs w:val="24"/>
        </w:rPr>
        <w:t>.</w:t>
      </w:r>
      <w:r>
        <w:rPr>
          <w:sz w:val="24"/>
          <w:szCs w:val="24"/>
        </w:rPr>
        <w:t xml:space="preserve"> </w:t>
      </w:r>
    </w:p>
    <w:p w14:paraId="2BEABFE0" w14:textId="77777777" w:rsidR="001750F8" w:rsidRDefault="001750F8" w:rsidP="00E6298B">
      <w:pPr>
        <w:ind w:right="107"/>
        <w:jc w:val="both"/>
        <w:rPr>
          <w:sz w:val="24"/>
          <w:szCs w:val="24"/>
        </w:rPr>
      </w:pPr>
    </w:p>
    <w:p w14:paraId="64495120" w14:textId="77777777" w:rsidR="001750F8" w:rsidRDefault="001750F8" w:rsidP="00E6298B">
      <w:pPr>
        <w:ind w:right="107"/>
        <w:jc w:val="both"/>
        <w:rPr>
          <w:sz w:val="24"/>
          <w:szCs w:val="24"/>
        </w:rPr>
      </w:pPr>
    </w:p>
    <w:p w14:paraId="7833F564" w14:textId="370A7A36" w:rsidR="00B0213C" w:rsidRDefault="00B0213C" w:rsidP="00E6298B">
      <w:pPr>
        <w:ind w:right="107"/>
        <w:jc w:val="both"/>
        <w:rPr>
          <w:sz w:val="24"/>
          <w:szCs w:val="24"/>
        </w:rPr>
      </w:pPr>
      <w:r>
        <w:rPr>
          <w:sz w:val="24"/>
          <w:szCs w:val="24"/>
        </w:rPr>
        <w:t xml:space="preserve">Number 6 </w:t>
      </w:r>
      <w:r w:rsidR="001750F8">
        <w:rPr>
          <w:sz w:val="24"/>
          <w:szCs w:val="24"/>
        </w:rPr>
        <w:t>‘</w:t>
      </w:r>
      <w:r w:rsidRPr="001750F8">
        <w:rPr>
          <w:i/>
          <w:iCs/>
          <w:sz w:val="24"/>
          <w:szCs w:val="24"/>
        </w:rPr>
        <w:t>To be provided with information about the investigation and prosecution</w:t>
      </w:r>
      <w:r w:rsidR="001750F8" w:rsidRPr="001750F8">
        <w:rPr>
          <w:i/>
          <w:iCs/>
          <w:sz w:val="24"/>
          <w:szCs w:val="24"/>
        </w:rPr>
        <w:t>’</w:t>
      </w:r>
      <w:r w:rsidR="00BD3424">
        <w:rPr>
          <w:sz w:val="24"/>
          <w:szCs w:val="24"/>
        </w:rPr>
        <w:t>, I covered by making sure she knew that although I was just there now for the initial stage, the Rape investigation team and the SARC would provide her with all the information going forward as well. I also made sure to outline to the victim that whichever path she chose to go she was free to do so without shame or judgement from anyone. I also informed her about the Criminal justice system and what she could expect going forward</w:t>
      </w:r>
      <w:r w:rsidR="0064024C">
        <w:rPr>
          <w:sz w:val="24"/>
          <w:szCs w:val="24"/>
        </w:rPr>
        <w:t xml:space="preserve"> (MoJ, 2020)</w:t>
      </w:r>
      <w:r>
        <w:rPr>
          <w:sz w:val="24"/>
          <w:szCs w:val="24"/>
        </w:rPr>
        <w:t xml:space="preserve">. </w:t>
      </w:r>
    </w:p>
    <w:p w14:paraId="198F6C49" w14:textId="77777777" w:rsidR="007F4480" w:rsidRDefault="007F4480" w:rsidP="00E6298B">
      <w:pPr>
        <w:ind w:right="107"/>
        <w:jc w:val="both"/>
        <w:rPr>
          <w:sz w:val="24"/>
          <w:szCs w:val="24"/>
        </w:rPr>
      </w:pPr>
    </w:p>
    <w:p w14:paraId="7DBD6685" w14:textId="2910BE48" w:rsidR="007F4480" w:rsidRDefault="007F4480" w:rsidP="00E6298B">
      <w:pPr>
        <w:ind w:right="107"/>
        <w:jc w:val="both"/>
        <w:rPr>
          <w:sz w:val="24"/>
          <w:szCs w:val="24"/>
        </w:rPr>
      </w:pPr>
    </w:p>
    <w:p w14:paraId="2A6F8183" w14:textId="0512B101" w:rsidR="00A21347" w:rsidRDefault="00BD3424" w:rsidP="00E6298B">
      <w:pPr>
        <w:ind w:right="107"/>
        <w:jc w:val="both"/>
        <w:rPr>
          <w:sz w:val="24"/>
          <w:szCs w:val="24"/>
        </w:rPr>
      </w:pPr>
      <w:r>
        <w:rPr>
          <w:sz w:val="24"/>
          <w:szCs w:val="24"/>
        </w:rPr>
        <w:t xml:space="preserve">I also had to consider the victims human rights. Her right to privacy, to safety, to life. </w:t>
      </w:r>
      <w:r w:rsidR="00A21347">
        <w:rPr>
          <w:sz w:val="24"/>
          <w:szCs w:val="24"/>
        </w:rPr>
        <w:t>This girl</w:t>
      </w:r>
      <w:r>
        <w:rPr>
          <w:sz w:val="24"/>
          <w:szCs w:val="24"/>
        </w:rPr>
        <w:t xml:space="preserve"> was all alone in a foreign country, she had only been in Wales for a week meaning she also had few friends and no family in the area. I had to take this into account as her human rights dictates that she has the right </w:t>
      </w:r>
      <w:r w:rsidR="00A21347">
        <w:rPr>
          <w:sz w:val="24"/>
          <w:szCs w:val="24"/>
        </w:rPr>
        <w:t xml:space="preserve">to safety. In this instance her room was the crime scene, but due to her circumstances I felt it would be a breach of her rights to keep the scene for to </w:t>
      </w:r>
      <w:r w:rsidR="00A21347">
        <w:rPr>
          <w:sz w:val="24"/>
          <w:szCs w:val="24"/>
        </w:rPr>
        <w:lastRenderedPageBreak/>
        <w:t xml:space="preserve">long as she had no other place to go. A decision was made to document the scene and collect the evidence while we were there to avoid infringing on her rights. I also found that it would be to much of an infringement on her rights to seize her mobile phone as it was her only means of communication. Before I seized any of her other </w:t>
      </w:r>
      <w:r w:rsidR="001750F8">
        <w:rPr>
          <w:sz w:val="24"/>
          <w:szCs w:val="24"/>
        </w:rPr>
        <w:t>property,</w:t>
      </w:r>
      <w:r w:rsidR="00A21347">
        <w:rPr>
          <w:sz w:val="24"/>
          <w:szCs w:val="24"/>
        </w:rPr>
        <w:t xml:space="preserve"> I made sure that she had enough to feel secure and safe without it (HRA, 1998). </w:t>
      </w:r>
    </w:p>
    <w:p w14:paraId="687F52F1" w14:textId="77777777" w:rsidR="00B0213C" w:rsidRDefault="00B0213C" w:rsidP="00E6298B">
      <w:pPr>
        <w:ind w:right="107"/>
        <w:jc w:val="both"/>
        <w:rPr>
          <w:sz w:val="24"/>
          <w:szCs w:val="24"/>
        </w:rPr>
      </w:pPr>
    </w:p>
    <w:p w14:paraId="26FC6064" w14:textId="343ECBCE" w:rsidR="00240616" w:rsidRDefault="00A21347" w:rsidP="00E6298B">
      <w:pPr>
        <w:ind w:right="107"/>
        <w:jc w:val="both"/>
        <w:rPr>
          <w:sz w:val="24"/>
          <w:szCs w:val="24"/>
        </w:rPr>
      </w:pPr>
      <w:r>
        <w:rPr>
          <w:sz w:val="24"/>
          <w:szCs w:val="24"/>
        </w:rPr>
        <w:t xml:space="preserve">When seizing the victims </w:t>
      </w:r>
      <w:r w:rsidR="001750F8">
        <w:rPr>
          <w:sz w:val="24"/>
          <w:szCs w:val="24"/>
        </w:rPr>
        <w:t>property,</w:t>
      </w:r>
      <w:r>
        <w:rPr>
          <w:sz w:val="24"/>
          <w:szCs w:val="24"/>
        </w:rPr>
        <w:t xml:space="preserve"> I considered my policing powers namely Section 19(3) of the Police and Criminal Evidence Act 1984 which states that </w:t>
      </w:r>
    </w:p>
    <w:p w14:paraId="4FCB8FA0" w14:textId="77777777" w:rsidR="00A21347" w:rsidRDefault="00A21347" w:rsidP="00E6298B">
      <w:pPr>
        <w:ind w:right="107"/>
        <w:jc w:val="both"/>
        <w:rPr>
          <w:sz w:val="24"/>
          <w:szCs w:val="24"/>
        </w:rPr>
      </w:pPr>
    </w:p>
    <w:p w14:paraId="3C3BA8B5" w14:textId="2A10FF96" w:rsidR="00A21347" w:rsidRPr="00A21347" w:rsidRDefault="00A21347" w:rsidP="00A21347">
      <w:pPr>
        <w:pStyle w:val="legclearfix"/>
        <w:shd w:val="clear" w:color="auto" w:fill="FFFFFF"/>
        <w:spacing w:before="0" w:beforeAutospacing="0" w:after="120" w:afterAutospacing="0" w:line="360" w:lineRule="atLeast"/>
        <w:ind w:left="720"/>
        <w:rPr>
          <w:rFonts w:ascii="Arial" w:hAnsi="Arial" w:cs="Arial"/>
          <w:i/>
          <w:iCs/>
          <w:color w:val="000000"/>
        </w:rPr>
      </w:pPr>
      <w:r>
        <w:rPr>
          <w:rStyle w:val="legds"/>
          <w:rFonts w:ascii="Arial" w:hAnsi="Arial" w:cs="Arial"/>
          <w:i/>
          <w:iCs/>
          <w:color w:val="000000"/>
        </w:rPr>
        <w:t>‘</w:t>
      </w:r>
      <w:r w:rsidRPr="00A21347">
        <w:rPr>
          <w:rStyle w:val="legds"/>
          <w:rFonts w:ascii="Arial" w:hAnsi="Arial" w:cs="Arial"/>
          <w:i/>
          <w:iCs/>
          <w:color w:val="000000"/>
        </w:rPr>
        <w:t>(3)The constable may seize anything which is on the premises if he has reasonable grounds for believing—</w:t>
      </w:r>
    </w:p>
    <w:p w14:paraId="57C3F035" w14:textId="77777777" w:rsidR="00A21347" w:rsidRPr="00A21347" w:rsidRDefault="00A21347" w:rsidP="00A21347">
      <w:pPr>
        <w:pStyle w:val="legclearfix"/>
        <w:shd w:val="clear" w:color="auto" w:fill="FFFFFF"/>
        <w:spacing w:before="0" w:beforeAutospacing="0" w:after="120" w:afterAutospacing="0" w:line="360" w:lineRule="atLeast"/>
        <w:ind w:left="720"/>
        <w:rPr>
          <w:rFonts w:ascii="Arial" w:hAnsi="Arial" w:cs="Arial"/>
          <w:i/>
          <w:iCs/>
          <w:color w:val="000000"/>
        </w:rPr>
      </w:pPr>
      <w:r w:rsidRPr="00A21347">
        <w:rPr>
          <w:rStyle w:val="legds"/>
          <w:rFonts w:ascii="Arial" w:hAnsi="Arial" w:cs="Arial"/>
          <w:i/>
          <w:iCs/>
          <w:color w:val="000000"/>
        </w:rPr>
        <w:t>(a)that it is evidence in relation to an offence which he is investigating or any other offence; and</w:t>
      </w:r>
    </w:p>
    <w:p w14:paraId="12E313E6" w14:textId="664D5254" w:rsidR="00A21347" w:rsidRDefault="00A21347" w:rsidP="00A21347">
      <w:pPr>
        <w:pStyle w:val="legclearfix"/>
        <w:shd w:val="clear" w:color="auto" w:fill="FFFFFF"/>
        <w:spacing w:before="0" w:beforeAutospacing="0" w:after="120" w:afterAutospacing="0" w:line="360" w:lineRule="atLeast"/>
        <w:ind w:left="720"/>
        <w:rPr>
          <w:rStyle w:val="legds"/>
          <w:rFonts w:ascii="Arial" w:hAnsi="Arial" w:cs="Arial"/>
          <w:i/>
          <w:iCs/>
          <w:color w:val="000000"/>
        </w:rPr>
      </w:pPr>
      <w:r w:rsidRPr="00A21347">
        <w:rPr>
          <w:rStyle w:val="legds"/>
          <w:rFonts w:ascii="Arial" w:hAnsi="Arial" w:cs="Arial"/>
          <w:i/>
          <w:iCs/>
          <w:color w:val="000000"/>
        </w:rPr>
        <w:t>(b)that it is necessary to seize it in order to prevent the evidence being concealed, lost, altered or destroyed.</w:t>
      </w:r>
      <w:r>
        <w:rPr>
          <w:rStyle w:val="legds"/>
          <w:rFonts w:ascii="Arial" w:hAnsi="Arial" w:cs="Arial"/>
          <w:i/>
          <w:iCs/>
          <w:color w:val="000000"/>
        </w:rPr>
        <w:t>’</w:t>
      </w:r>
    </w:p>
    <w:p w14:paraId="5442582C" w14:textId="7447E5FE" w:rsidR="00A21347" w:rsidRDefault="00A21347" w:rsidP="00A21347">
      <w:pPr>
        <w:pStyle w:val="legclearfix"/>
        <w:shd w:val="clear" w:color="auto" w:fill="FFFFFF"/>
        <w:spacing w:before="0" w:beforeAutospacing="0" w:after="120" w:afterAutospacing="0" w:line="360" w:lineRule="atLeast"/>
        <w:ind w:left="720"/>
        <w:rPr>
          <w:rStyle w:val="legds"/>
          <w:rFonts w:ascii="Arial" w:hAnsi="Arial" w:cs="Arial"/>
          <w:i/>
          <w:iCs/>
          <w:color w:val="000000"/>
        </w:rPr>
      </w:pPr>
      <w:r>
        <w:rPr>
          <w:rStyle w:val="legds"/>
          <w:rFonts w:ascii="Arial" w:hAnsi="Arial" w:cs="Arial"/>
          <w:i/>
          <w:iCs/>
          <w:color w:val="000000"/>
        </w:rPr>
        <w:t>Section 19(3) Police and Criminal Evidence Act 1984.</w:t>
      </w:r>
    </w:p>
    <w:p w14:paraId="4A64F01A" w14:textId="77777777" w:rsidR="00A21347" w:rsidRDefault="00A21347" w:rsidP="00A21347">
      <w:pPr>
        <w:pStyle w:val="legclearfix"/>
        <w:shd w:val="clear" w:color="auto" w:fill="FFFFFF"/>
        <w:spacing w:before="0" w:beforeAutospacing="0" w:after="120" w:afterAutospacing="0" w:line="360" w:lineRule="atLeast"/>
        <w:ind w:left="720"/>
        <w:rPr>
          <w:rStyle w:val="legds"/>
          <w:rFonts w:ascii="Arial" w:hAnsi="Arial" w:cs="Arial"/>
          <w:i/>
          <w:iCs/>
          <w:color w:val="000000"/>
        </w:rPr>
      </w:pPr>
    </w:p>
    <w:p w14:paraId="6B732FA1" w14:textId="06E41B13" w:rsidR="00A21347" w:rsidRDefault="001750F8" w:rsidP="00A21347">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 xml:space="preserve">While using those powers I did as stated above consider her human rights and what would be the least intrusive and most beneficial way for me to use those powers. I also made sure that she understood why and that I documented my actions. </w:t>
      </w:r>
    </w:p>
    <w:p w14:paraId="64ABCA51" w14:textId="77777777" w:rsidR="001750F8" w:rsidRDefault="001750F8" w:rsidP="00A21347">
      <w:pPr>
        <w:pStyle w:val="legclearfix"/>
        <w:shd w:val="clear" w:color="auto" w:fill="FFFFFF"/>
        <w:spacing w:before="0" w:beforeAutospacing="0" w:after="120" w:afterAutospacing="0" w:line="360" w:lineRule="atLeast"/>
        <w:rPr>
          <w:rStyle w:val="legds"/>
          <w:rFonts w:ascii="Arial" w:hAnsi="Arial" w:cs="Arial"/>
          <w:color w:val="000000"/>
        </w:rPr>
      </w:pPr>
    </w:p>
    <w:p w14:paraId="41BBD756" w14:textId="7154D182" w:rsidR="001750F8" w:rsidRDefault="002B0849" w:rsidP="00A2134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There was also one other concern that became apparent to me while speaking to the victim, and although it has no bearing on this case, I feel it is significant enough to mention in this task. She informed me early on that she had little previous sexual experience, and when asked she shared that the only other experience, she had was also a rape that had happened when she was younger back in the middle east. She told me that she had not reported this, which I did not find hard to believe as the general knowledge I have about the middle east is that rape is something that can be dangerous for victims to report. </w:t>
      </w:r>
    </w:p>
    <w:p w14:paraId="0DF90169" w14:textId="77777777" w:rsidR="00A70A69" w:rsidRDefault="00A70A69" w:rsidP="00A21347">
      <w:pPr>
        <w:pStyle w:val="legclearfix"/>
        <w:shd w:val="clear" w:color="auto" w:fill="FFFFFF"/>
        <w:spacing w:before="0" w:beforeAutospacing="0" w:after="120" w:afterAutospacing="0" w:line="360" w:lineRule="atLeast"/>
        <w:rPr>
          <w:rFonts w:ascii="Arial" w:hAnsi="Arial" w:cs="Arial"/>
          <w:color w:val="000000"/>
        </w:rPr>
      </w:pPr>
    </w:p>
    <w:p w14:paraId="3C2601EF" w14:textId="308FC5DE" w:rsidR="00A70A69" w:rsidRDefault="00A70A69" w:rsidP="00A2134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Finding out that the victim was a repeat survivor of sexual assault did have an impact on how I approached the initial stages of the investigation. Studies have shown that once a person has been the victim of a sexual assault it raises the risk of revictimization (Culatta et al, 2020). With this in mind I wanted to make sure that the victim in my case did not feel at all responsible for what had happened to her. Not this time and also not last time.</w:t>
      </w:r>
    </w:p>
    <w:p w14:paraId="0F6B87D8" w14:textId="77777777" w:rsidR="00A70A69" w:rsidRDefault="00A70A69" w:rsidP="00A21347">
      <w:pPr>
        <w:pStyle w:val="legclearfix"/>
        <w:shd w:val="clear" w:color="auto" w:fill="FFFFFF"/>
        <w:spacing w:before="0" w:beforeAutospacing="0" w:after="120" w:afterAutospacing="0" w:line="360" w:lineRule="atLeast"/>
        <w:rPr>
          <w:rFonts w:ascii="Arial" w:hAnsi="Arial" w:cs="Arial"/>
          <w:color w:val="000000"/>
        </w:rPr>
      </w:pPr>
    </w:p>
    <w:p w14:paraId="639E3108" w14:textId="72D8327E" w:rsidR="00A70A69" w:rsidRPr="00A21347" w:rsidRDefault="00A70A69" w:rsidP="00A2134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She also had concerns in relation to the fact that she had consumed alcohol prior to the assault and that she did struggle to remember most of what happened. </w:t>
      </w:r>
      <w:r w:rsidR="00C91B14">
        <w:rPr>
          <w:rFonts w:ascii="Arial" w:hAnsi="Arial" w:cs="Arial"/>
          <w:color w:val="000000"/>
        </w:rPr>
        <w:t xml:space="preserve">I assured her that </w:t>
      </w:r>
      <w:r w:rsidR="00C91B14">
        <w:rPr>
          <w:rFonts w:ascii="Arial" w:hAnsi="Arial" w:cs="Arial"/>
          <w:color w:val="000000"/>
        </w:rPr>
        <w:lastRenderedPageBreak/>
        <w:t xml:space="preserve">as far as the police is concerned the fact that she was intoxicated did not change how we proceed with the investigation. However, it is worth mentioning that </w:t>
      </w:r>
      <w:r w:rsidR="00C91B14" w:rsidRPr="00C91B14">
        <w:rPr>
          <w:rFonts w:ascii="Arial" w:hAnsi="Arial" w:cs="Arial"/>
          <w:color w:val="3A3A3A"/>
          <w:shd w:val="clear" w:color="auto" w:fill="FFFFFF"/>
        </w:rPr>
        <w:t>Jozkowski</w:t>
      </w:r>
      <w:r w:rsidR="00C91B14">
        <w:rPr>
          <w:rFonts w:ascii="Arial" w:hAnsi="Arial" w:cs="Arial"/>
          <w:color w:val="3A3A3A"/>
          <w:shd w:val="clear" w:color="auto" w:fill="FFFFFF"/>
        </w:rPr>
        <w:t xml:space="preserve"> et al (2021) found that alcohol consumption in bystanders to a sexual assault tend to make the bystanders less likely to intervene and more likely to be victim negative and perpetrator positive. This was something that I noticed in relation to this case. Although her friends the following day were extremely supportive, no one had intervened on the night in question as they just assumed that the sex was consensual. </w:t>
      </w:r>
    </w:p>
    <w:p w14:paraId="129D9D20" w14:textId="77777777" w:rsidR="00A21347" w:rsidRPr="00270EEB" w:rsidRDefault="00A21347"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23F8E280" w:rsidR="00025650" w:rsidRDefault="00C91B14" w:rsidP="00E6298B">
      <w:pPr>
        <w:ind w:right="107"/>
        <w:jc w:val="both"/>
        <w:rPr>
          <w:sz w:val="24"/>
          <w:szCs w:val="24"/>
        </w:rPr>
      </w:pPr>
      <w:r>
        <w:rPr>
          <w:sz w:val="24"/>
          <w:szCs w:val="24"/>
        </w:rPr>
        <w:t xml:space="preserve">There are other factors that I have not mentioned in this text such as contamination considerations and so on in relation to the perpetrator. But </w:t>
      </w:r>
      <w:r w:rsidR="00E47118">
        <w:rPr>
          <w:sz w:val="24"/>
          <w:szCs w:val="24"/>
        </w:rPr>
        <w:t xml:space="preserve">as is evident those were followed, considering the fact that all officers involved with the victim had no involvement with the suspect. </w:t>
      </w:r>
    </w:p>
    <w:p w14:paraId="50C045D5" w14:textId="77777777" w:rsidR="00E47118" w:rsidRDefault="00E47118" w:rsidP="00E6298B">
      <w:pPr>
        <w:ind w:right="107"/>
        <w:jc w:val="both"/>
        <w:rPr>
          <w:sz w:val="24"/>
          <w:szCs w:val="24"/>
        </w:rPr>
      </w:pPr>
    </w:p>
    <w:p w14:paraId="72FCC558" w14:textId="51E90100" w:rsidR="00E47118" w:rsidRPr="00270EEB" w:rsidRDefault="00E47118" w:rsidP="00E6298B">
      <w:pPr>
        <w:ind w:right="107"/>
        <w:jc w:val="both"/>
        <w:rPr>
          <w:sz w:val="24"/>
          <w:szCs w:val="24"/>
        </w:rPr>
      </w:pPr>
      <w:r>
        <w:rPr>
          <w:sz w:val="24"/>
          <w:szCs w:val="24"/>
        </w:rPr>
        <w:t>This case had a profound impact on me as a person and I doubt that I will ever forget the hours I spent with the victim.</w:t>
      </w:r>
      <w:r>
        <w:rPr>
          <w:sz w:val="24"/>
          <w:szCs w:val="24"/>
        </w:rPr>
        <w:t xml:space="preserve"> I believe that in this case I made the right decisions both in relation to the victim, the perpetrator and the preservation of the case, and that based on my initial actions there is a higher likelihood of a positive outcome.</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1CA0C1ED" w:rsidR="00025650" w:rsidRPr="00270EEB" w:rsidRDefault="00E47118" w:rsidP="00E6298B">
      <w:pPr>
        <w:ind w:right="107"/>
        <w:jc w:val="both"/>
        <w:rPr>
          <w:sz w:val="24"/>
          <w:szCs w:val="24"/>
        </w:rPr>
      </w:pPr>
      <w:r>
        <w:rPr>
          <w:sz w:val="24"/>
          <w:szCs w:val="24"/>
        </w:rPr>
        <w:t>(1614 Words)</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16714BAC" w14:textId="7A45BAA5" w:rsidR="00EF16C0" w:rsidRDefault="00EF16C0" w:rsidP="00E6298B">
      <w:pPr>
        <w:ind w:right="107"/>
        <w:jc w:val="both"/>
        <w:rPr>
          <w:sz w:val="24"/>
          <w:szCs w:val="24"/>
        </w:rPr>
      </w:pPr>
      <w:r>
        <w:rPr>
          <w:sz w:val="24"/>
          <w:szCs w:val="24"/>
        </w:rPr>
        <w:t xml:space="preserve">For this task one case stands out as </w:t>
      </w:r>
      <w:r w:rsidR="006820B6">
        <w:rPr>
          <w:sz w:val="24"/>
          <w:szCs w:val="24"/>
        </w:rPr>
        <w:t xml:space="preserve">particularly </w:t>
      </w:r>
      <w:r>
        <w:rPr>
          <w:sz w:val="24"/>
          <w:szCs w:val="24"/>
        </w:rPr>
        <w:t xml:space="preserve">relevant. The incident in question involved two repeat offenders where on this occasion one was a victim, and the other was the perpetrator. The victim is a known high risk repeat sex offender, whilst the perpetrator has a long history of minor violence against the person offences. The case did pose many ethical considerations and many responsibilities in regards to </w:t>
      </w:r>
      <w:r w:rsidR="007D6D61">
        <w:rPr>
          <w:sz w:val="24"/>
          <w:szCs w:val="24"/>
        </w:rPr>
        <w:t>the Criminal Procedure and Investigations Act</w:t>
      </w:r>
      <w:r w:rsidR="006820B6">
        <w:rPr>
          <w:sz w:val="24"/>
          <w:szCs w:val="24"/>
        </w:rPr>
        <w:t xml:space="preserve"> which I will outline in this task</w:t>
      </w:r>
      <w:r>
        <w:rPr>
          <w:sz w:val="24"/>
          <w:szCs w:val="24"/>
        </w:rPr>
        <w:t xml:space="preserve">. </w:t>
      </w:r>
    </w:p>
    <w:p w14:paraId="24803757" w14:textId="77777777" w:rsidR="007A03A6" w:rsidRDefault="007A03A6" w:rsidP="00E6298B">
      <w:pPr>
        <w:ind w:right="107"/>
        <w:jc w:val="both"/>
        <w:rPr>
          <w:sz w:val="24"/>
          <w:szCs w:val="24"/>
        </w:rPr>
      </w:pPr>
    </w:p>
    <w:p w14:paraId="22A92DAE" w14:textId="18A13DC1" w:rsidR="007A03A6" w:rsidRDefault="007A03A6" w:rsidP="00E6298B">
      <w:pPr>
        <w:ind w:right="107"/>
        <w:jc w:val="both"/>
        <w:rPr>
          <w:sz w:val="24"/>
          <w:szCs w:val="24"/>
        </w:rPr>
      </w:pPr>
      <w:r>
        <w:rPr>
          <w:sz w:val="24"/>
          <w:szCs w:val="24"/>
        </w:rPr>
        <w:t>My tutor and I went to a call where it had been alleged that a male that I will be referring to as X had threatened another male who I will be referring to as B. The threats were said to be shouted towards B, whereby X had also gone outside B’s room and tried to coax B out of the room. X threatened to kill B because X had found out that B was a registered sex offender. This all occurred at a hotel, and it is worth mentioning that there were multiple witnesses including the owner of the hotel and the security guards. There were also CCTV and B</w:t>
      </w:r>
      <w:r w:rsidR="006820B6">
        <w:rPr>
          <w:sz w:val="24"/>
          <w:szCs w:val="24"/>
        </w:rPr>
        <w:t xml:space="preserve">ody </w:t>
      </w:r>
      <w:r>
        <w:rPr>
          <w:sz w:val="24"/>
          <w:szCs w:val="24"/>
        </w:rPr>
        <w:t>W</w:t>
      </w:r>
      <w:r w:rsidR="006820B6">
        <w:rPr>
          <w:sz w:val="24"/>
          <w:szCs w:val="24"/>
        </w:rPr>
        <w:t xml:space="preserve">orn </w:t>
      </w:r>
      <w:r>
        <w:rPr>
          <w:sz w:val="24"/>
          <w:szCs w:val="24"/>
        </w:rPr>
        <w:t>V</w:t>
      </w:r>
      <w:r w:rsidR="006820B6">
        <w:rPr>
          <w:sz w:val="24"/>
          <w:szCs w:val="24"/>
        </w:rPr>
        <w:t>ideo</w:t>
      </w:r>
      <w:r>
        <w:rPr>
          <w:sz w:val="24"/>
          <w:szCs w:val="24"/>
        </w:rPr>
        <w:t xml:space="preserve"> to consider.</w:t>
      </w:r>
      <w:r w:rsidR="00B52892">
        <w:rPr>
          <w:sz w:val="24"/>
          <w:szCs w:val="24"/>
        </w:rPr>
        <w:t xml:space="preserve"> The following will outline the full investigation and all the considerations I had to make in relation to the case that also had the potential of becoming inflamed due to </w:t>
      </w:r>
      <w:r w:rsidR="006820B6">
        <w:rPr>
          <w:sz w:val="24"/>
          <w:szCs w:val="24"/>
        </w:rPr>
        <w:t>how the public could potentially perceive the fact that police were protecting a sex offender.</w:t>
      </w:r>
      <w:r w:rsidR="00B52892">
        <w:rPr>
          <w:sz w:val="24"/>
          <w:szCs w:val="24"/>
        </w:rPr>
        <w:t xml:space="preserve"> X was later charged with a Section 4 Public Order offence:</w:t>
      </w:r>
    </w:p>
    <w:p w14:paraId="7A864947" w14:textId="7B9E7B97" w:rsidR="00B52892" w:rsidRDefault="00B52892" w:rsidP="00E6298B">
      <w:pPr>
        <w:ind w:right="107"/>
        <w:jc w:val="both"/>
        <w:rPr>
          <w:sz w:val="24"/>
          <w:szCs w:val="24"/>
        </w:rPr>
      </w:pPr>
    </w:p>
    <w:p w14:paraId="1BFD6294" w14:textId="0F5A9FC9" w:rsidR="00B52892" w:rsidRPr="00B52892" w:rsidRDefault="00B52892" w:rsidP="00B52892">
      <w:pPr>
        <w:pStyle w:val="Heading3"/>
        <w:spacing w:before="0" w:after="120" w:line="480" w:lineRule="auto"/>
        <w:ind w:left="720"/>
        <w:rPr>
          <w:rFonts w:ascii="Arial" w:hAnsi="Arial" w:cs="Arial"/>
          <w:i/>
          <w:iCs/>
          <w:color w:val="000000"/>
        </w:rPr>
      </w:pPr>
      <w:r>
        <w:rPr>
          <w:rStyle w:val="legds"/>
          <w:rFonts w:ascii="Arial" w:hAnsi="Arial" w:cs="Arial"/>
          <w:i/>
          <w:iCs/>
          <w:color w:val="000000"/>
        </w:rPr>
        <w:t>“</w:t>
      </w:r>
      <w:r w:rsidRPr="00B52892">
        <w:rPr>
          <w:rStyle w:val="legds"/>
          <w:rFonts w:ascii="Arial" w:hAnsi="Arial" w:cs="Arial"/>
          <w:i/>
          <w:iCs/>
          <w:color w:val="000000"/>
        </w:rPr>
        <w:t>Fear or provocation of violence.</w:t>
      </w:r>
    </w:p>
    <w:p w14:paraId="62BB820F" w14:textId="77777777" w:rsidR="00B52892" w:rsidRPr="00B52892" w:rsidRDefault="00B52892" w:rsidP="00B52892">
      <w:pPr>
        <w:pStyle w:val="legclearfix"/>
        <w:shd w:val="clear" w:color="auto" w:fill="FFFFFF"/>
        <w:spacing w:before="0" w:beforeAutospacing="0" w:after="120" w:afterAutospacing="0" w:line="360" w:lineRule="atLeast"/>
        <w:ind w:left="720"/>
        <w:rPr>
          <w:rFonts w:ascii="Arial" w:hAnsi="Arial" w:cs="Arial"/>
          <w:i/>
          <w:iCs/>
          <w:color w:val="000000"/>
        </w:rPr>
      </w:pPr>
      <w:r w:rsidRPr="00B52892">
        <w:rPr>
          <w:rStyle w:val="legds"/>
          <w:rFonts w:ascii="Arial" w:hAnsi="Arial" w:cs="Arial"/>
          <w:i/>
          <w:iCs/>
          <w:color w:val="000000"/>
        </w:rPr>
        <w:t>(1)A person is guilty of an offence if he—</w:t>
      </w:r>
    </w:p>
    <w:p w14:paraId="4E795F6D" w14:textId="77777777" w:rsidR="00B52892" w:rsidRPr="00B52892" w:rsidRDefault="00B52892" w:rsidP="00B52892">
      <w:pPr>
        <w:pStyle w:val="legclearfix"/>
        <w:shd w:val="clear" w:color="auto" w:fill="FFFFFF"/>
        <w:spacing w:before="0" w:beforeAutospacing="0" w:after="120" w:afterAutospacing="0" w:line="360" w:lineRule="atLeast"/>
        <w:ind w:left="720"/>
        <w:rPr>
          <w:rFonts w:ascii="Arial" w:hAnsi="Arial" w:cs="Arial"/>
          <w:i/>
          <w:iCs/>
          <w:color w:val="000000"/>
        </w:rPr>
      </w:pPr>
      <w:r w:rsidRPr="00B52892">
        <w:rPr>
          <w:rStyle w:val="legds"/>
          <w:rFonts w:ascii="Arial" w:hAnsi="Arial" w:cs="Arial"/>
          <w:i/>
          <w:iCs/>
          <w:color w:val="000000"/>
        </w:rPr>
        <w:lastRenderedPageBreak/>
        <w:t>(a)uses towards another person threatening, abusive or insulting words or behaviour, or</w:t>
      </w:r>
    </w:p>
    <w:p w14:paraId="214EBA9B" w14:textId="77777777" w:rsidR="00B52892" w:rsidRPr="00B52892" w:rsidRDefault="00B52892" w:rsidP="00B52892">
      <w:pPr>
        <w:pStyle w:val="legclearfix"/>
        <w:shd w:val="clear" w:color="auto" w:fill="FFFFFF"/>
        <w:spacing w:before="0" w:beforeAutospacing="0" w:after="120" w:afterAutospacing="0" w:line="360" w:lineRule="atLeast"/>
        <w:ind w:left="720"/>
        <w:rPr>
          <w:rFonts w:ascii="Arial" w:hAnsi="Arial" w:cs="Arial"/>
          <w:i/>
          <w:iCs/>
          <w:color w:val="000000"/>
        </w:rPr>
      </w:pPr>
      <w:r w:rsidRPr="00B52892">
        <w:rPr>
          <w:rStyle w:val="legds"/>
          <w:rFonts w:ascii="Arial" w:hAnsi="Arial" w:cs="Arial"/>
          <w:i/>
          <w:iCs/>
          <w:color w:val="000000"/>
        </w:rPr>
        <w:t>(b)distributes or displays to another person any writing, sign or other visible representation which is threatening, abusive or insulting,</w:t>
      </w:r>
    </w:p>
    <w:p w14:paraId="64599643" w14:textId="77777777" w:rsidR="00B52892" w:rsidRPr="00B52892" w:rsidRDefault="00B52892" w:rsidP="00B52892">
      <w:pPr>
        <w:pStyle w:val="legrhs"/>
        <w:shd w:val="clear" w:color="auto" w:fill="FFFFFF"/>
        <w:spacing w:before="0" w:beforeAutospacing="0" w:after="120" w:afterAutospacing="0" w:line="360" w:lineRule="atLeast"/>
        <w:ind w:left="720"/>
        <w:jc w:val="both"/>
        <w:rPr>
          <w:rFonts w:ascii="Arial" w:hAnsi="Arial" w:cs="Arial"/>
          <w:i/>
          <w:iCs/>
          <w:color w:val="000000"/>
        </w:rPr>
      </w:pPr>
      <w:r w:rsidRPr="00B52892">
        <w:rPr>
          <w:rFonts w:ascii="Arial" w:hAnsi="Arial" w:cs="Arial"/>
          <w:i/>
          <w:iCs/>
          <w:color w:val="000000"/>
        </w:rPr>
        <w:t>with intent to cause that person to believe that immediate unlawful violence will be used against him or another by any person, or to provoke the immediate use of unlawful violence by that person or another, or whereby that person is likely to believe that such violence will be used or it is likely that such violence will be provoked.</w:t>
      </w:r>
    </w:p>
    <w:p w14:paraId="5BE66CE4" w14:textId="14C2A041" w:rsidR="00B52892" w:rsidRDefault="00B52892" w:rsidP="00B52892">
      <w:pPr>
        <w:pStyle w:val="legclearfix"/>
        <w:shd w:val="clear" w:color="auto" w:fill="FFFFFF"/>
        <w:spacing w:before="0" w:beforeAutospacing="0" w:after="120" w:afterAutospacing="0" w:line="360" w:lineRule="atLeast"/>
        <w:ind w:left="720"/>
        <w:rPr>
          <w:rStyle w:val="legds"/>
          <w:rFonts w:ascii="Arial" w:hAnsi="Arial" w:cs="Arial"/>
          <w:i/>
          <w:iCs/>
          <w:color w:val="000000"/>
        </w:rPr>
      </w:pPr>
      <w:r w:rsidRPr="00B52892">
        <w:rPr>
          <w:rStyle w:val="legds"/>
          <w:rFonts w:ascii="Arial" w:hAnsi="Arial" w:cs="Arial"/>
          <w:i/>
          <w:iCs/>
          <w:color w:val="000000"/>
        </w:rPr>
        <w:t>(2)An offence under this section may be committed in a public or a private place, except that no offence is committed where the words or behaviour are used, or the writing, sign or other visible representation is distributed or displayed, by a person inside a dwelling and the other person is also inside that or another dwelling</w:t>
      </w:r>
      <w:r>
        <w:rPr>
          <w:rStyle w:val="legds"/>
          <w:rFonts w:ascii="Arial" w:hAnsi="Arial" w:cs="Arial"/>
          <w:i/>
          <w:iCs/>
          <w:color w:val="000000"/>
        </w:rPr>
        <w:t>”</w:t>
      </w:r>
    </w:p>
    <w:p w14:paraId="26E3CEE3" w14:textId="1376587D" w:rsidR="00B52892" w:rsidRPr="00B52892" w:rsidRDefault="00B52892" w:rsidP="00B52892">
      <w:pPr>
        <w:pStyle w:val="legclearfix"/>
        <w:shd w:val="clear" w:color="auto" w:fill="FFFFFF"/>
        <w:spacing w:before="0" w:beforeAutospacing="0" w:after="120" w:afterAutospacing="0" w:line="360" w:lineRule="atLeast"/>
        <w:ind w:left="720"/>
        <w:rPr>
          <w:rFonts w:ascii="Arial" w:hAnsi="Arial" w:cs="Arial"/>
          <w:i/>
          <w:iCs/>
          <w:color w:val="000000"/>
        </w:rPr>
      </w:pPr>
      <w:r>
        <w:rPr>
          <w:rStyle w:val="legds"/>
          <w:rFonts w:ascii="Arial" w:hAnsi="Arial" w:cs="Arial"/>
          <w:i/>
          <w:iCs/>
          <w:color w:val="000000"/>
        </w:rPr>
        <w:t>Section 4 the Public Order Act 1986</w:t>
      </w:r>
    </w:p>
    <w:p w14:paraId="43948D48" w14:textId="77777777" w:rsidR="00B52892" w:rsidRDefault="00B52892" w:rsidP="00E6298B">
      <w:pPr>
        <w:ind w:right="107"/>
        <w:jc w:val="both"/>
        <w:rPr>
          <w:sz w:val="24"/>
          <w:szCs w:val="24"/>
        </w:rPr>
      </w:pPr>
    </w:p>
    <w:p w14:paraId="13980EAD" w14:textId="77777777" w:rsidR="007A03A6" w:rsidRDefault="007A03A6" w:rsidP="00E6298B">
      <w:pPr>
        <w:ind w:right="107"/>
        <w:jc w:val="both"/>
        <w:rPr>
          <w:sz w:val="24"/>
          <w:szCs w:val="24"/>
        </w:rPr>
      </w:pPr>
    </w:p>
    <w:p w14:paraId="4BF9100C" w14:textId="77777777" w:rsidR="007A03A6" w:rsidRPr="00270EEB" w:rsidRDefault="007A03A6" w:rsidP="00E6298B">
      <w:pPr>
        <w:ind w:right="107"/>
        <w:jc w:val="both"/>
        <w:rPr>
          <w:sz w:val="24"/>
          <w:szCs w:val="24"/>
        </w:rPr>
      </w:pPr>
    </w:p>
    <w:p w14:paraId="321845B9" w14:textId="2ADA781C" w:rsidR="007D6D61" w:rsidRDefault="009D3B0A" w:rsidP="007D6D61">
      <w:pPr>
        <w:ind w:right="107"/>
        <w:jc w:val="both"/>
        <w:rPr>
          <w:sz w:val="24"/>
          <w:szCs w:val="24"/>
        </w:rPr>
      </w:pPr>
      <w:r>
        <w:rPr>
          <w:sz w:val="24"/>
          <w:szCs w:val="24"/>
        </w:rPr>
        <w:t>Initially I used the National Decision Model to guide me through.</w:t>
      </w:r>
      <w:r w:rsidR="007D6D61">
        <w:rPr>
          <w:sz w:val="24"/>
          <w:szCs w:val="24"/>
        </w:rPr>
        <w:t xml:space="preserve"> </w:t>
      </w:r>
      <w:r w:rsidR="007D6D61">
        <w:rPr>
          <w:sz w:val="24"/>
          <w:szCs w:val="24"/>
        </w:rPr>
        <w:t xml:space="preserve">The National </w:t>
      </w:r>
      <w:r w:rsidR="007D6D61">
        <w:rPr>
          <w:sz w:val="24"/>
          <w:szCs w:val="24"/>
        </w:rPr>
        <w:t>Decision-Making</w:t>
      </w:r>
      <w:r w:rsidR="007D6D61">
        <w:rPr>
          <w:sz w:val="24"/>
          <w:szCs w:val="24"/>
        </w:rPr>
        <w:t xml:space="preserve"> model is broken into 5 parts with the code of ethics in the middle supporting all decisions made (CoP, 2014 NDM):</w:t>
      </w:r>
    </w:p>
    <w:p w14:paraId="683795BC" w14:textId="77777777" w:rsidR="007D6D61" w:rsidRDefault="007D6D61" w:rsidP="007D6D61">
      <w:pPr>
        <w:ind w:right="107"/>
        <w:jc w:val="both"/>
        <w:rPr>
          <w:sz w:val="24"/>
          <w:szCs w:val="24"/>
        </w:rPr>
      </w:pPr>
    </w:p>
    <w:p w14:paraId="37782ABC" w14:textId="77777777" w:rsidR="007D6D61" w:rsidRDefault="007D6D61" w:rsidP="007D6D61">
      <w:pPr>
        <w:ind w:right="107"/>
        <w:jc w:val="both"/>
        <w:rPr>
          <w:sz w:val="24"/>
          <w:szCs w:val="24"/>
        </w:rPr>
      </w:pPr>
      <w:r>
        <w:rPr>
          <w:sz w:val="24"/>
          <w:szCs w:val="24"/>
        </w:rPr>
        <w:t>These five are:</w:t>
      </w:r>
    </w:p>
    <w:p w14:paraId="180C352F" w14:textId="77777777" w:rsidR="007D6D61" w:rsidRDefault="007D6D61" w:rsidP="007D6D61">
      <w:pPr>
        <w:ind w:right="107"/>
        <w:jc w:val="both"/>
        <w:rPr>
          <w:sz w:val="24"/>
          <w:szCs w:val="24"/>
        </w:rPr>
      </w:pPr>
      <w:r>
        <w:rPr>
          <w:sz w:val="24"/>
          <w:szCs w:val="24"/>
        </w:rPr>
        <w:t>-Gather information and intelligence</w:t>
      </w:r>
    </w:p>
    <w:p w14:paraId="2760F91C" w14:textId="77777777" w:rsidR="007D6D61" w:rsidRDefault="007D6D61" w:rsidP="007D6D61">
      <w:pPr>
        <w:ind w:right="107"/>
        <w:jc w:val="both"/>
        <w:rPr>
          <w:sz w:val="24"/>
          <w:szCs w:val="24"/>
        </w:rPr>
      </w:pPr>
      <w:r>
        <w:rPr>
          <w:sz w:val="24"/>
          <w:szCs w:val="24"/>
        </w:rPr>
        <w:t>-Assess threat and risk and develop a working strategy</w:t>
      </w:r>
    </w:p>
    <w:p w14:paraId="4E416104" w14:textId="77777777" w:rsidR="007D6D61" w:rsidRDefault="007D6D61" w:rsidP="007D6D61">
      <w:pPr>
        <w:ind w:right="107"/>
        <w:jc w:val="both"/>
        <w:rPr>
          <w:sz w:val="24"/>
          <w:szCs w:val="24"/>
        </w:rPr>
      </w:pPr>
      <w:r>
        <w:rPr>
          <w:sz w:val="24"/>
          <w:szCs w:val="24"/>
        </w:rPr>
        <w:t>-Consider powers and policy</w:t>
      </w:r>
    </w:p>
    <w:p w14:paraId="3D33B8FC" w14:textId="77777777" w:rsidR="007D6D61" w:rsidRDefault="007D6D61" w:rsidP="007D6D61">
      <w:pPr>
        <w:ind w:right="107"/>
        <w:jc w:val="both"/>
        <w:rPr>
          <w:sz w:val="24"/>
          <w:szCs w:val="24"/>
        </w:rPr>
      </w:pPr>
      <w:r>
        <w:rPr>
          <w:sz w:val="24"/>
          <w:szCs w:val="24"/>
        </w:rPr>
        <w:t>-Identify options and contingencies</w:t>
      </w:r>
    </w:p>
    <w:p w14:paraId="044C6FEC" w14:textId="77777777" w:rsidR="007D6D61" w:rsidRDefault="007D6D61" w:rsidP="007D6D61">
      <w:pPr>
        <w:ind w:right="107"/>
        <w:jc w:val="both"/>
        <w:rPr>
          <w:sz w:val="24"/>
          <w:szCs w:val="24"/>
        </w:rPr>
      </w:pPr>
      <w:r>
        <w:rPr>
          <w:sz w:val="24"/>
          <w:szCs w:val="24"/>
        </w:rPr>
        <w:t>-Take action and review what happened</w:t>
      </w:r>
    </w:p>
    <w:p w14:paraId="7CE41C95" w14:textId="77777777" w:rsidR="006820B6" w:rsidRDefault="006820B6" w:rsidP="007D6D61">
      <w:pPr>
        <w:ind w:right="107"/>
        <w:jc w:val="both"/>
        <w:rPr>
          <w:sz w:val="24"/>
          <w:szCs w:val="24"/>
        </w:rPr>
      </w:pPr>
    </w:p>
    <w:p w14:paraId="1097955B" w14:textId="438B8639" w:rsidR="006820B6" w:rsidRDefault="006820B6" w:rsidP="007D6D61">
      <w:pPr>
        <w:ind w:right="107"/>
        <w:jc w:val="both"/>
        <w:rPr>
          <w:sz w:val="24"/>
          <w:szCs w:val="24"/>
        </w:rPr>
      </w:pPr>
      <w:r>
        <w:rPr>
          <w:sz w:val="24"/>
          <w:szCs w:val="24"/>
        </w:rPr>
        <w:t>And during this investigation I followed all principles relating to this model.</w:t>
      </w:r>
    </w:p>
    <w:p w14:paraId="4D4AFAE1" w14:textId="036E5215" w:rsidR="007D6D61" w:rsidRDefault="007D6D61" w:rsidP="00E6298B">
      <w:pPr>
        <w:ind w:right="107"/>
        <w:jc w:val="both"/>
        <w:rPr>
          <w:sz w:val="24"/>
          <w:szCs w:val="24"/>
        </w:rPr>
      </w:pPr>
    </w:p>
    <w:p w14:paraId="76E400D6" w14:textId="77777777" w:rsidR="007D6D61" w:rsidRDefault="007D6D61" w:rsidP="00E6298B">
      <w:pPr>
        <w:ind w:right="107"/>
        <w:jc w:val="both"/>
        <w:rPr>
          <w:sz w:val="24"/>
          <w:szCs w:val="24"/>
        </w:rPr>
      </w:pPr>
    </w:p>
    <w:p w14:paraId="363979F9" w14:textId="4759A526" w:rsidR="006C7CA5" w:rsidRDefault="009D3B0A" w:rsidP="00E6298B">
      <w:pPr>
        <w:ind w:right="107"/>
        <w:jc w:val="both"/>
        <w:rPr>
          <w:sz w:val="24"/>
          <w:szCs w:val="24"/>
        </w:rPr>
      </w:pPr>
      <w:r>
        <w:rPr>
          <w:sz w:val="24"/>
          <w:szCs w:val="24"/>
        </w:rPr>
        <w:t xml:space="preserve"> I gathered information and intelligence about both the victim and the perpetrator, taking into consideration the vulnerability of B not only due to his criminal record but also due to the fact that he had apparent learning difficulties. I also considered X’s criminal history as although in this instance he had only verbally threatened B, X did have a history of common assault</w:t>
      </w:r>
      <w:r w:rsidR="009E4CC0">
        <w:rPr>
          <w:sz w:val="24"/>
          <w:szCs w:val="24"/>
        </w:rPr>
        <w:t xml:space="preserve"> (CoP, 2014</w:t>
      </w:r>
      <w:r w:rsidR="00E45F3E">
        <w:rPr>
          <w:sz w:val="24"/>
          <w:szCs w:val="24"/>
        </w:rPr>
        <w:t xml:space="preserve"> NDM</w:t>
      </w:r>
      <w:r w:rsidR="009E4CC0">
        <w:rPr>
          <w:sz w:val="24"/>
          <w:szCs w:val="24"/>
        </w:rPr>
        <w:t>)</w:t>
      </w:r>
      <w:r>
        <w:rPr>
          <w:sz w:val="24"/>
          <w:szCs w:val="24"/>
        </w:rPr>
        <w:t>.</w:t>
      </w:r>
    </w:p>
    <w:p w14:paraId="550C265E" w14:textId="77777777" w:rsidR="009D3B0A" w:rsidRDefault="009D3B0A" w:rsidP="00E6298B">
      <w:pPr>
        <w:ind w:right="107"/>
        <w:jc w:val="both"/>
        <w:rPr>
          <w:sz w:val="24"/>
          <w:szCs w:val="24"/>
        </w:rPr>
      </w:pPr>
    </w:p>
    <w:p w14:paraId="267032C3" w14:textId="22D0E3A5" w:rsidR="007D6D61" w:rsidRDefault="007D6D61" w:rsidP="00E6298B">
      <w:pPr>
        <w:ind w:right="107"/>
        <w:jc w:val="both"/>
        <w:rPr>
          <w:sz w:val="24"/>
          <w:szCs w:val="24"/>
        </w:rPr>
      </w:pPr>
    </w:p>
    <w:p w14:paraId="0AA8F49F" w14:textId="73983E26" w:rsidR="009D3B0A" w:rsidRDefault="009D3B0A" w:rsidP="00E6298B">
      <w:pPr>
        <w:ind w:right="107"/>
        <w:jc w:val="both"/>
        <w:rPr>
          <w:sz w:val="24"/>
          <w:szCs w:val="24"/>
        </w:rPr>
      </w:pPr>
      <w:r>
        <w:rPr>
          <w:sz w:val="24"/>
          <w:szCs w:val="24"/>
        </w:rPr>
        <w:t xml:space="preserve">I also assessed threat and risk when gathering the initial information and developed a working strategy in where X was arrested due to the immediate risk of harm towards B. I considered my powers and policies namely Section 24 of </w:t>
      </w:r>
      <w:r w:rsidR="009E4CC0">
        <w:rPr>
          <w:sz w:val="24"/>
          <w:szCs w:val="24"/>
        </w:rPr>
        <w:t>‘</w:t>
      </w:r>
      <w:r>
        <w:rPr>
          <w:sz w:val="24"/>
          <w:szCs w:val="24"/>
        </w:rPr>
        <w:t>The police and Criminal Evidence act</w:t>
      </w:r>
      <w:r w:rsidR="009E4CC0">
        <w:rPr>
          <w:sz w:val="24"/>
          <w:szCs w:val="24"/>
        </w:rPr>
        <w:t>’</w:t>
      </w:r>
      <w:r>
        <w:rPr>
          <w:sz w:val="24"/>
          <w:szCs w:val="24"/>
        </w:rPr>
        <w:t xml:space="preserve"> </w:t>
      </w:r>
      <w:r w:rsidR="009E4CC0">
        <w:rPr>
          <w:sz w:val="24"/>
          <w:szCs w:val="24"/>
        </w:rPr>
        <w:t>(</w:t>
      </w:r>
      <w:r>
        <w:rPr>
          <w:sz w:val="24"/>
          <w:szCs w:val="24"/>
        </w:rPr>
        <w:t>1984</w:t>
      </w:r>
      <w:r w:rsidR="009E4CC0">
        <w:rPr>
          <w:sz w:val="24"/>
          <w:szCs w:val="24"/>
        </w:rPr>
        <w:t>)</w:t>
      </w:r>
      <w:r>
        <w:rPr>
          <w:sz w:val="24"/>
          <w:szCs w:val="24"/>
        </w:rPr>
        <w:t xml:space="preserve"> upon the initial arrest of X. I also considered Code </w:t>
      </w:r>
      <w:r w:rsidR="009E4CC0">
        <w:rPr>
          <w:sz w:val="24"/>
          <w:szCs w:val="24"/>
        </w:rPr>
        <w:t xml:space="preserve">G of the same act and deemed the necessity for the arrest was to Conduct a prompt and effective investigation, </w:t>
      </w:r>
      <w:r w:rsidR="005970DA">
        <w:rPr>
          <w:sz w:val="24"/>
          <w:szCs w:val="24"/>
        </w:rPr>
        <w:t>to</w:t>
      </w:r>
      <w:r w:rsidR="009E4CC0">
        <w:rPr>
          <w:sz w:val="24"/>
          <w:szCs w:val="24"/>
        </w:rPr>
        <w:t xml:space="preserve"> prevent further physical injury to X or others, and to Protect a vulnerable person (CoP, 2013</w:t>
      </w:r>
      <w:r w:rsidR="007B04D8">
        <w:rPr>
          <w:sz w:val="24"/>
          <w:szCs w:val="24"/>
        </w:rPr>
        <w:t xml:space="preserve"> Necessity test</w:t>
      </w:r>
      <w:r w:rsidR="009E4CC0">
        <w:rPr>
          <w:sz w:val="24"/>
          <w:szCs w:val="24"/>
        </w:rPr>
        <w:t xml:space="preserve">). </w:t>
      </w:r>
    </w:p>
    <w:p w14:paraId="2E941F75" w14:textId="77777777" w:rsidR="009E4CC0" w:rsidRDefault="009E4CC0" w:rsidP="00E6298B">
      <w:pPr>
        <w:ind w:right="107"/>
        <w:jc w:val="both"/>
        <w:rPr>
          <w:sz w:val="24"/>
          <w:szCs w:val="24"/>
        </w:rPr>
      </w:pPr>
    </w:p>
    <w:p w14:paraId="0486022A" w14:textId="44436379" w:rsidR="009E4CC0" w:rsidRDefault="009E4CC0" w:rsidP="00E6298B">
      <w:pPr>
        <w:ind w:right="107"/>
        <w:jc w:val="both"/>
        <w:rPr>
          <w:sz w:val="24"/>
          <w:szCs w:val="24"/>
        </w:rPr>
      </w:pPr>
      <w:r>
        <w:rPr>
          <w:sz w:val="24"/>
          <w:szCs w:val="24"/>
        </w:rPr>
        <w:t xml:space="preserve">I did also consider if there were less invasive options that could be conducted, however due to the nature of the offence and the interpersonal relationship between B and X I could see no other option to assure that B would be safe. </w:t>
      </w:r>
    </w:p>
    <w:p w14:paraId="4571C4FD" w14:textId="77777777" w:rsidR="009E4CC0" w:rsidRDefault="009E4CC0" w:rsidP="00E6298B">
      <w:pPr>
        <w:ind w:right="107"/>
        <w:jc w:val="both"/>
        <w:rPr>
          <w:sz w:val="24"/>
          <w:szCs w:val="24"/>
        </w:rPr>
      </w:pPr>
    </w:p>
    <w:p w14:paraId="43C1A75F" w14:textId="147BA411" w:rsidR="009E4CC0" w:rsidRDefault="009E4CC0" w:rsidP="00E6298B">
      <w:pPr>
        <w:ind w:right="107"/>
        <w:jc w:val="both"/>
        <w:rPr>
          <w:sz w:val="24"/>
          <w:szCs w:val="24"/>
        </w:rPr>
      </w:pPr>
      <w:r>
        <w:rPr>
          <w:sz w:val="24"/>
          <w:szCs w:val="24"/>
        </w:rPr>
        <w:t>I utilised my use of force powers</w:t>
      </w:r>
      <w:r w:rsidR="00E45F3E">
        <w:rPr>
          <w:sz w:val="24"/>
          <w:szCs w:val="24"/>
        </w:rPr>
        <w:t xml:space="preserve"> under section 117 of ‘The Police and Criminal Evidence Act’ (1984)</w:t>
      </w:r>
      <w:r>
        <w:rPr>
          <w:sz w:val="24"/>
          <w:szCs w:val="24"/>
        </w:rPr>
        <w:t xml:space="preserve"> to arrest X as I found it necessary to apply handcuffs. X was intoxicated and agitated towards officers, and the handcuffs were for everyone’s safety.</w:t>
      </w:r>
    </w:p>
    <w:p w14:paraId="3FA47F45" w14:textId="77777777" w:rsidR="00E45F3E" w:rsidRDefault="00E45F3E" w:rsidP="00E6298B">
      <w:pPr>
        <w:ind w:right="107"/>
        <w:jc w:val="both"/>
        <w:rPr>
          <w:sz w:val="24"/>
          <w:szCs w:val="24"/>
        </w:rPr>
      </w:pPr>
    </w:p>
    <w:p w14:paraId="0B7C216D" w14:textId="37E54F51" w:rsidR="00E45F3E" w:rsidRDefault="00E45F3E" w:rsidP="00E6298B">
      <w:pPr>
        <w:ind w:right="107"/>
        <w:jc w:val="both"/>
        <w:rPr>
          <w:sz w:val="24"/>
          <w:szCs w:val="24"/>
        </w:rPr>
      </w:pPr>
      <w:r>
        <w:rPr>
          <w:sz w:val="24"/>
          <w:szCs w:val="24"/>
        </w:rPr>
        <w:t xml:space="preserve">Following this initial stage of the investigation a multitude of other considerations had to be made as well. B being a known sex offender did offer some ethical considerations and I considered the police code of ethics thoroughly throughout (CoP, 2014 Code of Ethics). I had to consider how the public might perceive the police protecting a known sex offender, but as the codes dictate and I personally believe as well we as police are to act in the best interest of the public even when the public has a previous criminal history. The fact that B is a sex offender does not take away his rights as </w:t>
      </w:r>
      <w:r w:rsidR="007B04D8">
        <w:rPr>
          <w:sz w:val="24"/>
          <w:szCs w:val="24"/>
        </w:rPr>
        <w:t xml:space="preserve">a human and in this instance his right to be safe from harm. I acted with the B’s best interest at heart and kept in mind that honesty and integrity is paramount. </w:t>
      </w:r>
    </w:p>
    <w:p w14:paraId="48C92A5B" w14:textId="77777777" w:rsidR="007B04D8" w:rsidRDefault="007B04D8" w:rsidP="00E6298B">
      <w:pPr>
        <w:ind w:right="107"/>
        <w:jc w:val="both"/>
        <w:rPr>
          <w:sz w:val="24"/>
          <w:szCs w:val="24"/>
        </w:rPr>
      </w:pPr>
    </w:p>
    <w:p w14:paraId="640D397F" w14:textId="7B7FF5C6" w:rsidR="007B04D8" w:rsidRDefault="007B04D8" w:rsidP="00E6298B">
      <w:pPr>
        <w:ind w:right="107"/>
        <w:jc w:val="both"/>
        <w:rPr>
          <w:sz w:val="24"/>
          <w:szCs w:val="24"/>
        </w:rPr>
      </w:pPr>
      <w:r>
        <w:rPr>
          <w:sz w:val="24"/>
          <w:szCs w:val="24"/>
        </w:rPr>
        <w:t xml:space="preserve">With the following investigation I obtained CCTV, Victim statement, witness statements and although I had enough evidence, I collected Body worn video from the security guards to make sure that all lines of enquiry had been exhausted and that the full code test was met (CoP, 2013, Full Code Test). When collecting the Body worn </w:t>
      </w:r>
      <w:r w:rsidR="0060528B">
        <w:rPr>
          <w:sz w:val="24"/>
          <w:szCs w:val="24"/>
        </w:rPr>
        <w:t>video,</w:t>
      </w:r>
      <w:r>
        <w:rPr>
          <w:sz w:val="24"/>
          <w:szCs w:val="24"/>
        </w:rPr>
        <w:t xml:space="preserve"> I also had to send a Data Release Form which is required following G</w:t>
      </w:r>
      <w:r w:rsidR="006820B6">
        <w:rPr>
          <w:sz w:val="24"/>
          <w:szCs w:val="24"/>
        </w:rPr>
        <w:t>eneral Data Protection Regulation (GDPR)</w:t>
      </w:r>
      <w:r>
        <w:rPr>
          <w:sz w:val="24"/>
          <w:szCs w:val="24"/>
        </w:rPr>
        <w:t xml:space="preserve"> and the Data Protection Act (2018)</w:t>
      </w:r>
      <w:r w:rsidR="00B05948">
        <w:rPr>
          <w:sz w:val="24"/>
          <w:szCs w:val="24"/>
        </w:rPr>
        <w:t xml:space="preserve"> this to allow private companies to release potentially sensitive information to the police.</w:t>
      </w:r>
    </w:p>
    <w:p w14:paraId="2F34BCF3" w14:textId="77777777" w:rsidR="00B05948" w:rsidRDefault="00B05948" w:rsidP="00E6298B">
      <w:pPr>
        <w:ind w:right="107"/>
        <w:jc w:val="both"/>
        <w:rPr>
          <w:sz w:val="24"/>
          <w:szCs w:val="24"/>
        </w:rPr>
      </w:pPr>
    </w:p>
    <w:p w14:paraId="3D905D67" w14:textId="46105B2C" w:rsidR="00B05948" w:rsidRDefault="00B05948" w:rsidP="00E6298B">
      <w:pPr>
        <w:ind w:right="107"/>
        <w:jc w:val="both"/>
        <w:rPr>
          <w:sz w:val="24"/>
          <w:szCs w:val="24"/>
        </w:rPr>
      </w:pPr>
      <w:r>
        <w:rPr>
          <w:sz w:val="24"/>
          <w:szCs w:val="24"/>
        </w:rPr>
        <w:t>During this investigation I also considered the amount of discretion that was necessary in relation to such a potentially inflammatory subject as the B being a known sex offender.</w:t>
      </w:r>
      <w:r w:rsidR="005970DA">
        <w:rPr>
          <w:sz w:val="24"/>
          <w:szCs w:val="24"/>
        </w:rPr>
        <w:t xml:space="preserve"> Studies have shown that in general there have been little consideration in regards to the human rights of sex offenders (Ward, Gannon and Birgden, 2007). </w:t>
      </w:r>
      <w:r w:rsidR="0060528B">
        <w:rPr>
          <w:sz w:val="24"/>
          <w:szCs w:val="24"/>
        </w:rPr>
        <w:t>However,</w:t>
      </w:r>
      <w:r w:rsidR="005970DA">
        <w:rPr>
          <w:sz w:val="24"/>
          <w:szCs w:val="24"/>
        </w:rPr>
        <w:t xml:space="preserve"> for me as an investigator I could not allow B’s status as a sex offender cloud my investigation. </w:t>
      </w:r>
    </w:p>
    <w:p w14:paraId="3B36B064" w14:textId="77777777" w:rsidR="005970DA" w:rsidRDefault="005970DA" w:rsidP="00E6298B">
      <w:pPr>
        <w:ind w:right="107"/>
        <w:jc w:val="both"/>
        <w:rPr>
          <w:sz w:val="24"/>
          <w:szCs w:val="24"/>
        </w:rPr>
      </w:pPr>
    </w:p>
    <w:p w14:paraId="41C06938" w14:textId="4193A6A8" w:rsidR="005970DA" w:rsidRDefault="005970DA" w:rsidP="00E6298B">
      <w:pPr>
        <w:ind w:right="107"/>
        <w:jc w:val="both"/>
        <w:rPr>
          <w:sz w:val="24"/>
          <w:szCs w:val="24"/>
        </w:rPr>
      </w:pPr>
      <w:r>
        <w:rPr>
          <w:sz w:val="24"/>
          <w:szCs w:val="24"/>
        </w:rPr>
        <w:t xml:space="preserve">When later building the case file in relation to this offence a lot of consideration had to be taken in relation to the Criminal procedure and Investigation Act (1996), but also in line with that </w:t>
      </w:r>
      <w:r w:rsidR="006354D8">
        <w:rPr>
          <w:sz w:val="24"/>
          <w:szCs w:val="24"/>
        </w:rPr>
        <w:t xml:space="preserve">the Human Rights Act (1998), and the Data Protection Act (2018). For the case file I made sure that all electronic evidence was redacted and that it contained no sensitive information when disclosed. I made sure that all unused material was also redacted and made available to the defence. Following all principles of CPIA, and DPA and also GDPR is paramount in investigation and in relation to the codes of ethics. </w:t>
      </w:r>
    </w:p>
    <w:p w14:paraId="14A7BA14" w14:textId="77777777" w:rsidR="00B52892" w:rsidRDefault="00B52892" w:rsidP="00E6298B">
      <w:pPr>
        <w:ind w:right="107"/>
        <w:jc w:val="both"/>
        <w:rPr>
          <w:sz w:val="24"/>
          <w:szCs w:val="24"/>
        </w:rPr>
      </w:pPr>
    </w:p>
    <w:p w14:paraId="1800EB0A" w14:textId="6787759D" w:rsidR="00B52892" w:rsidRDefault="00B52892" w:rsidP="00E6298B">
      <w:pPr>
        <w:ind w:right="107"/>
        <w:jc w:val="both"/>
        <w:rPr>
          <w:sz w:val="24"/>
          <w:szCs w:val="24"/>
        </w:rPr>
      </w:pPr>
      <w:r>
        <w:rPr>
          <w:sz w:val="24"/>
          <w:szCs w:val="24"/>
        </w:rPr>
        <w:t>Although this task does not specifically mention about human rights, I do feel that they are relevant especially in relation to the police code of ethics. The code of ethics is based on human rights. And in such a case as this it became very evident that those rights were exceedingly important especially in relation to B with his status as a sex offender.</w:t>
      </w:r>
    </w:p>
    <w:p w14:paraId="38D9FEBE" w14:textId="77777777" w:rsidR="0060528B" w:rsidRDefault="0060528B" w:rsidP="00E6298B">
      <w:pPr>
        <w:ind w:right="107"/>
        <w:jc w:val="both"/>
        <w:rPr>
          <w:sz w:val="24"/>
          <w:szCs w:val="24"/>
        </w:rPr>
      </w:pPr>
    </w:p>
    <w:p w14:paraId="2F9578C5" w14:textId="31609F98" w:rsidR="0060528B" w:rsidRDefault="0060528B" w:rsidP="00E6298B">
      <w:pPr>
        <w:ind w:right="107"/>
        <w:jc w:val="both"/>
        <w:rPr>
          <w:sz w:val="24"/>
          <w:szCs w:val="24"/>
        </w:rPr>
      </w:pPr>
      <w:r>
        <w:rPr>
          <w:sz w:val="24"/>
          <w:szCs w:val="24"/>
        </w:rPr>
        <w:t xml:space="preserve">This investigation was not a long drawn out one and I spent only two shifts building the case gathering the evidence making sure to follow all lines of enquiry, interview X and B and get all statements from witnesses. Building the case file under pressure as the clock was ticking and a decision was made to apply to CPS to remand X, as B was still living in the same </w:t>
      </w:r>
      <w:r>
        <w:rPr>
          <w:sz w:val="24"/>
          <w:szCs w:val="24"/>
        </w:rPr>
        <w:lastRenderedPageBreak/>
        <w:t>hotel and X did not have anywhere else to go either. This meant that B would have been subject to a potential risk of harm should X have been released. Even though the case file had to be built in such a short amount of time I took the required precautions when protecting all involved. Redacting for protection of privacy and in the case of B for his own safety and the integrity of the case. Although it should not matter, I did have to consider the fact that B is a known sex offender in relation to what the outcome of the case might be.</w:t>
      </w:r>
      <w:r w:rsidR="006820B6">
        <w:rPr>
          <w:sz w:val="24"/>
          <w:szCs w:val="24"/>
        </w:rPr>
        <w:t xml:space="preserve"> A person’s criminal history does not impact on the fact that they can be a victim of crime on the same level as everyone else. It was important during this investigation to always have that in mind.</w:t>
      </w:r>
    </w:p>
    <w:p w14:paraId="3DD0D27B" w14:textId="77777777" w:rsidR="0060528B" w:rsidRDefault="0060528B" w:rsidP="00E6298B">
      <w:pPr>
        <w:ind w:right="107"/>
        <w:jc w:val="both"/>
        <w:rPr>
          <w:sz w:val="24"/>
          <w:szCs w:val="24"/>
        </w:rPr>
      </w:pPr>
    </w:p>
    <w:p w14:paraId="799AADF7" w14:textId="7A264C50" w:rsidR="0060528B" w:rsidRDefault="0060528B" w:rsidP="00E6298B">
      <w:pPr>
        <w:ind w:right="107"/>
        <w:jc w:val="both"/>
        <w:rPr>
          <w:sz w:val="24"/>
          <w:szCs w:val="24"/>
        </w:rPr>
      </w:pPr>
      <w:r>
        <w:rPr>
          <w:sz w:val="24"/>
          <w:szCs w:val="24"/>
        </w:rPr>
        <w:t xml:space="preserve">I made sure that all relevant used and unused material was disclosed, but I also made sure that all non-relevant or potentially sensitive material was not. </w:t>
      </w:r>
    </w:p>
    <w:p w14:paraId="0F53DFCC" w14:textId="77777777" w:rsidR="00B05948" w:rsidRPr="00270EEB" w:rsidRDefault="00B05948"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5FA2948B" w:rsidR="00025650" w:rsidRPr="00270EEB" w:rsidRDefault="007D6D61" w:rsidP="00E6298B">
      <w:pPr>
        <w:ind w:right="107"/>
        <w:jc w:val="both"/>
        <w:rPr>
          <w:sz w:val="24"/>
          <w:szCs w:val="24"/>
        </w:rPr>
      </w:pPr>
      <w:r>
        <w:rPr>
          <w:sz w:val="24"/>
          <w:szCs w:val="24"/>
        </w:rPr>
        <w:t xml:space="preserve">I do believe that I followed all reasonable lines of enquiry and made sure that the case was fair to all parties involved. I took as much care as I could considering the nature of the offence the victim and the perpetrator. I justified all my actions, and at no point did I divulge sensitive information that could have had a detrimental impact on persons involved. I conducted myself in a manner that was unbiased, and I made sure not to let B’s status as a sex offender affect the way in which I handled the case. </w:t>
      </w:r>
      <w:r w:rsidR="006820B6">
        <w:rPr>
          <w:sz w:val="24"/>
          <w:szCs w:val="24"/>
        </w:rPr>
        <w:t>In the end X was remanded and plead guilty to a Section 4 public order offence.</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47F07E66" w:rsidR="00025650" w:rsidRPr="00270EEB" w:rsidRDefault="006820B6" w:rsidP="00E6298B">
      <w:pPr>
        <w:ind w:right="107"/>
        <w:jc w:val="both"/>
        <w:rPr>
          <w:sz w:val="24"/>
          <w:szCs w:val="24"/>
        </w:rPr>
      </w:pPr>
      <w:r>
        <w:rPr>
          <w:sz w:val="24"/>
          <w:szCs w:val="24"/>
        </w:rPr>
        <w:t>(1575 Words)</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2443F42E" w14:textId="2731FFCB" w:rsidR="00856B24" w:rsidRDefault="00856B24" w:rsidP="00E6298B">
      <w:pPr>
        <w:ind w:right="107"/>
        <w:jc w:val="both"/>
        <w:rPr>
          <w:b/>
          <w:sz w:val="24"/>
          <w:szCs w:val="24"/>
        </w:rPr>
      </w:pPr>
      <w:r>
        <w:rPr>
          <w:b/>
          <w:sz w:val="24"/>
          <w:szCs w:val="24"/>
        </w:rPr>
        <w:t>Task 1:</w:t>
      </w:r>
    </w:p>
    <w:p w14:paraId="47C3C79F" w14:textId="77777777" w:rsidR="00E70EE4" w:rsidRDefault="00E70EE4" w:rsidP="00E6298B">
      <w:pPr>
        <w:ind w:right="107"/>
        <w:jc w:val="both"/>
        <w:rPr>
          <w:b/>
          <w:sz w:val="24"/>
          <w:szCs w:val="24"/>
        </w:rPr>
      </w:pPr>
    </w:p>
    <w:p w14:paraId="529B033A" w14:textId="77777777" w:rsidR="00E70EE4" w:rsidRPr="00E20581" w:rsidRDefault="00E70EE4" w:rsidP="00E70EE4">
      <w:pPr>
        <w:pStyle w:val="NormalWeb"/>
        <w:ind w:left="567" w:hanging="567"/>
        <w:rPr>
          <w:rFonts w:ascii="Arial" w:hAnsi="Arial" w:cs="Arial"/>
        </w:rPr>
      </w:pPr>
      <w:r w:rsidRPr="00E20581">
        <w:rPr>
          <w:rFonts w:ascii="Arial" w:hAnsi="Arial" w:cs="Arial"/>
        </w:rPr>
        <w:t xml:space="preserve">Berke, J.D. (2018) ‘What does dopamine mean?’, </w:t>
      </w:r>
      <w:r w:rsidRPr="00E20581">
        <w:rPr>
          <w:rFonts w:ascii="Arial" w:hAnsi="Arial" w:cs="Arial"/>
          <w:i/>
          <w:iCs/>
        </w:rPr>
        <w:t>Nature Neuroscience</w:t>
      </w:r>
      <w:r w:rsidRPr="00E20581">
        <w:rPr>
          <w:rFonts w:ascii="Arial" w:hAnsi="Arial" w:cs="Arial"/>
        </w:rPr>
        <w:t xml:space="preserve">, 21(6), pp. 787–793. doi:10.1038/s41593-018-0152-y. </w:t>
      </w:r>
    </w:p>
    <w:p w14:paraId="46762A38" w14:textId="77777777" w:rsidR="00E70EE4" w:rsidRPr="00E20581" w:rsidRDefault="00E70EE4" w:rsidP="00E6298B">
      <w:pPr>
        <w:ind w:right="107"/>
        <w:jc w:val="both"/>
        <w:rPr>
          <w:b/>
          <w:sz w:val="24"/>
          <w:szCs w:val="24"/>
        </w:rPr>
      </w:pPr>
    </w:p>
    <w:p w14:paraId="1517995D" w14:textId="77777777" w:rsidR="00E70EE4" w:rsidRPr="00E20581" w:rsidRDefault="00E70EE4" w:rsidP="00E70EE4">
      <w:pPr>
        <w:pStyle w:val="NormalWeb"/>
        <w:rPr>
          <w:rFonts w:ascii="Arial" w:hAnsi="Arial" w:cs="Arial"/>
        </w:rPr>
      </w:pPr>
      <w:r w:rsidRPr="00E20581">
        <w:rPr>
          <w:rFonts w:ascii="Arial" w:hAnsi="Arial" w:cs="Arial"/>
        </w:rPr>
        <w:t xml:space="preserve">Bijlenga, D. </w:t>
      </w:r>
      <w:r w:rsidRPr="00E20581">
        <w:rPr>
          <w:rFonts w:ascii="Arial" w:hAnsi="Arial" w:cs="Arial"/>
          <w:i/>
          <w:iCs/>
        </w:rPr>
        <w:t>et al.</w:t>
      </w:r>
      <w:r w:rsidRPr="00E20581">
        <w:rPr>
          <w:rFonts w:ascii="Arial" w:hAnsi="Arial" w:cs="Arial"/>
        </w:rPr>
        <w:t xml:space="preserve"> (2013) ‘Body temperature, activity and melatonin profiles in adults with attention</w:t>
      </w:r>
      <w:r w:rsidRPr="00E20581">
        <w:rPr>
          <w:rFonts w:ascii="Cambria Math" w:hAnsi="Cambria Math" w:cs="Cambria Math"/>
        </w:rPr>
        <w:t>‐</w:t>
      </w:r>
      <w:r w:rsidRPr="00E20581">
        <w:rPr>
          <w:rFonts w:ascii="Arial" w:hAnsi="Arial" w:cs="Arial"/>
        </w:rPr>
        <w:t xml:space="preserve">deficit/hyperactivity disorder and delayed sleep: A case–control study’, </w:t>
      </w:r>
      <w:r w:rsidRPr="00E20581">
        <w:rPr>
          <w:rFonts w:ascii="Arial" w:hAnsi="Arial" w:cs="Arial"/>
          <w:i/>
          <w:iCs/>
        </w:rPr>
        <w:t>Journal of Sleep Research</w:t>
      </w:r>
      <w:r w:rsidRPr="00E20581">
        <w:rPr>
          <w:rFonts w:ascii="Arial" w:hAnsi="Arial" w:cs="Arial"/>
        </w:rPr>
        <w:t xml:space="preserve">, 22(6), pp. 607–616. doi:10.1111/jsr.12075. </w:t>
      </w:r>
    </w:p>
    <w:p w14:paraId="1A1C309B" w14:textId="77777777" w:rsidR="00E70EE4" w:rsidRPr="00E20581" w:rsidRDefault="00E70EE4" w:rsidP="00E70EE4">
      <w:pPr>
        <w:pStyle w:val="NormalWeb"/>
        <w:ind w:left="567" w:hanging="567"/>
        <w:rPr>
          <w:rFonts w:ascii="Arial" w:hAnsi="Arial" w:cs="Arial"/>
        </w:rPr>
      </w:pPr>
      <w:r w:rsidRPr="00E20581">
        <w:rPr>
          <w:rFonts w:ascii="Arial" w:hAnsi="Arial" w:cs="Arial"/>
        </w:rPr>
        <w:t xml:space="preserve">Jernelöv, S. </w:t>
      </w:r>
      <w:r w:rsidRPr="00E20581">
        <w:rPr>
          <w:rFonts w:ascii="Arial" w:hAnsi="Arial" w:cs="Arial"/>
          <w:i/>
          <w:iCs/>
        </w:rPr>
        <w:t>et al.</w:t>
      </w:r>
      <w:r w:rsidRPr="00E20581">
        <w:rPr>
          <w:rFonts w:ascii="Arial" w:hAnsi="Arial" w:cs="Arial"/>
        </w:rPr>
        <w:t xml:space="preserve"> (2019) ‘Effects and clinical feasibility of a behavioral treatment for sleep problems in adult attention deficit hyperactivity disorder (ADHD): A pragmatic within-group pilot evaluation’, </w:t>
      </w:r>
      <w:r w:rsidRPr="00E20581">
        <w:rPr>
          <w:rFonts w:ascii="Arial" w:hAnsi="Arial" w:cs="Arial"/>
          <w:i/>
          <w:iCs/>
        </w:rPr>
        <w:t>BMC Psychiatry</w:t>
      </w:r>
      <w:r w:rsidRPr="00E20581">
        <w:rPr>
          <w:rFonts w:ascii="Arial" w:hAnsi="Arial" w:cs="Arial"/>
        </w:rPr>
        <w:t xml:space="preserve">, 19(1). doi:10.1186/s12888-019-2216-2. </w:t>
      </w:r>
    </w:p>
    <w:p w14:paraId="300742CF" w14:textId="77777777" w:rsidR="00E70EE4" w:rsidRPr="00E20581" w:rsidRDefault="00E70EE4" w:rsidP="00E70EE4">
      <w:pPr>
        <w:pStyle w:val="NormalWeb"/>
        <w:ind w:left="567" w:hanging="567"/>
        <w:rPr>
          <w:rFonts w:ascii="Arial" w:hAnsi="Arial" w:cs="Arial"/>
        </w:rPr>
      </w:pPr>
      <w:r w:rsidRPr="00E20581">
        <w:rPr>
          <w:rFonts w:ascii="Arial" w:hAnsi="Arial" w:cs="Arial"/>
        </w:rPr>
        <w:t xml:space="preserve">Li, D. </w:t>
      </w:r>
      <w:r w:rsidRPr="00E20581">
        <w:rPr>
          <w:rFonts w:ascii="Arial" w:hAnsi="Arial" w:cs="Arial"/>
          <w:i/>
          <w:iCs/>
        </w:rPr>
        <w:t>et al.</w:t>
      </w:r>
      <w:r w:rsidRPr="00E20581">
        <w:rPr>
          <w:rFonts w:ascii="Arial" w:hAnsi="Arial" w:cs="Arial"/>
        </w:rPr>
        <w:t xml:space="preserve"> (2006) ‘Meta-analysis shows significant association between dopamine system genes and attention deficit hyperactivity disorder (ADHD)’, </w:t>
      </w:r>
      <w:r w:rsidRPr="00E20581">
        <w:rPr>
          <w:rFonts w:ascii="Arial" w:hAnsi="Arial" w:cs="Arial"/>
          <w:i/>
          <w:iCs/>
        </w:rPr>
        <w:t>Human Molecular Genetics</w:t>
      </w:r>
      <w:r w:rsidRPr="00E20581">
        <w:rPr>
          <w:rFonts w:ascii="Arial" w:hAnsi="Arial" w:cs="Arial"/>
        </w:rPr>
        <w:t xml:space="preserve">, 15(14), pp. 2276–2284. doi:10.1093/hmg/ddl152. </w:t>
      </w:r>
    </w:p>
    <w:p w14:paraId="2863D4AC" w14:textId="77777777" w:rsidR="00BC4800" w:rsidRPr="00E20581" w:rsidRDefault="00BC4800" w:rsidP="00DF6FC9">
      <w:pPr>
        <w:overflowPunct/>
        <w:autoSpaceDE/>
        <w:autoSpaceDN/>
        <w:adjustRightInd/>
        <w:ind w:right="107"/>
        <w:textAlignment w:val="auto"/>
        <w:rPr>
          <w:b/>
          <w:sz w:val="24"/>
          <w:szCs w:val="24"/>
        </w:rPr>
      </w:pPr>
    </w:p>
    <w:p w14:paraId="50216B50" w14:textId="77777777" w:rsidR="00E70EE4" w:rsidRPr="00E20581" w:rsidRDefault="00E70EE4" w:rsidP="00E70EE4">
      <w:pPr>
        <w:pStyle w:val="NormalWeb"/>
        <w:ind w:left="567" w:hanging="567"/>
        <w:rPr>
          <w:rFonts w:ascii="Arial" w:hAnsi="Arial" w:cs="Arial"/>
        </w:rPr>
      </w:pPr>
      <w:r w:rsidRPr="00E20581">
        <w:rPr>
          <w:rFonts w:ascii="Arial" w:hAnsi="Arial" w:cs="Arial"/>
        </w:rPr>
        <w:t xml:space="preserve">Niermann, H.C.M. and Scheres, A. (2014) ‘The relation between procrastination and symptoms of attention-deficit hyperactivity disorder (ADHD) in undergraduate students’, </w:t>
      </w:r>
      <w:r w:rsidRPr="00E20581">
        <w:rPr>
          <w:rFonts w:ascii="Arial" w:hAnsi="Arial" w:cs="Arial"/>
          <w:i/>
          <w:iCs/>
        </w:rPr>
        <w:t>International Journal of Methods in Psychiatric Research</w:t>
      </w:r>
      <w:r w:rsidRPr="00E20581">
        <w:rPr>
          <w:rFonts w:ascii="Arial" w:hAnsi="Arial" w:cs="Arial"/>
        </w:rPr>
        <w:t xml:space="preserve">, 23(4), pp. 411–421. doi:10.1002/mpr.1440. </w:t>
      </w:r>
    </w:p>
    <w:p w14:paraId="48E69FE9" w14:textId="77777777" w:rsidR="00BC4800" w:rsidRPr="00E20581" w:rsidRDefault="00BC4800" w:rsidP="00DF6FC9">
      <w:pPr>
        <w:overflowPunct/>
        <w:autoSpaceDE/>
        <w:autoSpaceDN/>
        <w:adjustRightInd/>
        <w:ind w:right="107"/>
        <w:textAlignment w:val="auto"/>
        <w:rPr>
          <w:b/>
          <w:sz w:val="24"/>
          <w:szCs w:val="24"/>
        </w:rPr>
      </w:pPr>
    </w:p>
    <w:p w14:paraId="3B3BEDF3" w14:textId="468178FC" w:rsidR="00F47F55" w:rsidRPr="00E20581" w:rsidRDefault="007F4480" w:rsidP="00E70EE4">
      <w:pPr>
        <w:pStyle w:val="NormalWeb"/>
        <w:ind w:left="567" w:hanging="567"/>
        <w:rPr>
          <w:rFonts w:ascii="Arial" w:hAnsi="Arial" w:cs="Arial"/>
          <w:color w:val="000000"/>
        </w:rPr>
      </w:pPr>
      <w:r w:rsidRPr="00E20581">
        <w:rPr>
          <w:rFonts w:ascii="Arial" w:hAnsi="Arial" w:cs="Arial"/>
          <w:color w:val="000000"/>
        </w:rPr>
        <w:t>‌</w:t>
      </w:r>
      <w:r w:rsidR="00F47F55" w:rsidRPr="00E20581">
        <w:rPr>
          <w:rFonts w:ascii="Arial" w:hAnsi="Arial" w:cs="Arial"/>
        </w:rPr>
        <w:t xml:space="preserve"> </w:t>
      </w:r>
      <w:r w:rsidR="00F47F55" w:rsidRPr="00E20581">
        <w:rPr>
          <w:rFonts w:ascii="Arial" w:hAnsi="Arial" w:cs="Arial"/>
        </w:rPr>
        <w:t xml:space="preserve">Zare Khormizi, H. </w:t>
      </w:r>
      <w:r w:rsidR="00F47F55" w:rsidRPr="00E20581">
        <w:rPr>
          <w:rFonts w:ascii="Arial" w:hAnsi="Arial" w:cs="Arial"/>
          <w:i/>
          <w:iCs/>
        </w:rPr>
        <w:t>et al.</w:t>
      </w:r>
      <w:r w:rsidR="00F47F55" w:rsidRPr="00E20581">
        <w:rPr>
          <w:rFonts w:ascii="Arial" w:hAnsi="Arial" w:cs="Arial"/>
        </w:rPr>
        <w:t xml:space="preserve"> (2018) ‘Sleep</w:t>
      </w:r>
      <w:r w:rsidR="00F47F55" w:rsidRPr="00E20581">
        <w:rPr>
          <w:rFonts w:ascii="Cambria Math" w:hAnsi="Cambria Math" w:cs="Cambria Math"/>
        </w:rPr>
        <w:t>‐</w:t>
      </w:r>
      <w:r w:rsidR="00F47F55" w:rsidRPr="00E20581">
        <w:rPr>
          <w:rFonts w:ascii="Arial" w:hAnsi="Arial" w:cs="Arial"/>
        </w:rPr>
        <w:t>deprivation and autobiographical memory: Evidence from sleep</w:t>
      </w:r>
      <w:r w:rsidR="00F47F55" w:rsidRPr="00E20581">
        <w:rPr>
          <w:rFonts w:ascii="Cambria Math" w:hAnsi="Cambria Math" w:cs="Cambria Math"/>
        </w:rPr>
        <w:t>‐</w:t>
      </w:r>
      <w:r w:rsidR="00F47F55" w:rsidRPr="00E20581">
        <w:rPr>
          <w:rFonts w:ascii="Arial" w:hAnsi="Arial" w:cs="Arial"/>
        </w:rPr>
        <w:t xml:space="preserve">deprived nurses’, </w:t>
      </w:r>
      <w:r w:rsidR="00F47F55" w:rsidRPr="00E20581">
        <w:rPr>
          <w:rFonts w:ascii="Arial" w:hAnsi="Arial" w:cs="Arial"/>
          <w:i/>
          <w:iCs/>
        </w:rPr>
        <w:t>Journal of Sleep Research</w:t>
      </w:r>
      <w:r w:rsidR="00F47F55" w:rsidRPr="00E20581">
        <w:rPr>
          <w:rFonts w:ascii="Arial" w:hAnsi="Arial" w:cs="Arial"/>
        </w:rPr>
        <w:t xml:space="preserve">, 28(1). doi:10.1111/jsr.12683. </w:t>
      </w:r>
    </w:p>
    <w:p w14:paraId="28CDEF9D" w14:textId="0524631D" w:rsidR="00F47F55" w:rsidRPr="00E20581" w:rsidRDefault="00F47F55" w:rsidP="00F47F55">
      <w:pPr>
        <w:pStyle w:val="NormalWeb"/>
        <w:ind w:left="567" w:hanging="567"/>
        <w:rPr>
          <w:rFonts w:ascii="Arial" w:hAnsi="Arial" w:cs="Arial"/>
          <w:color w:val="000000"/>
        </w:rPr>
      </w:pPr>
    </w:p>
    <w:p w14:paraId="5D5C9E12" w14:textId="77777777" w:rsidR="0048508F" w:rsidRPr="00E20581" w:rsidRDefault="0048508F" w:rsidP="002D2A62">
      <w:pPr>
        <w:overflowPunct/>
        <w:autoSpaceDE/>
        <w:autoSpaceDN/>
        <w:adjustRightInd/>
        <w:ind w:right="107"/>
        <w:textAlignment w:val="auto"/>
        <w:rPr>
          <w:b/>
          <w:sz w:val="24"/>
          <w:szCs w:val="24"/>
        </w:rPr>
      </w:pPr>
      <w:r w:rsidRPr="00E20581">
        <w:rPr>
          <w:b/>
          <w:sz w:val="24"/>
          <w:szCs w:val="24"/>
        </w:rPr>
        <w:t>Task 2:</w:t>
      </w:r>
    </w:p>
    <w:p w14:paraId="4EC4C676" w14:textId="77777777" w:rsidR="0048508F" w:rsidRPr="00E20581" w:rsidRDefault="0048508F" w:rsidP="002D2A62">
      <w:pPr>
        <w:overflowPunct/>
        <w:autoSpaceDE/>
        <w:autoSpaceDN/>
        <w:adjustRightInd/>
        <w:ind w:right="107"/>
        <w:textAlignment w:val="auto"/>
        <w:rPr>
          <w:b/>
          <w:sz w:val="24"/>
          <w:szCs w:val="24"/>
        </w:rPr>
      </w:pPr>
    </w:p>
    <w:p w14:paraId="13B05FBF" w14:textId="77777777" w:rsidR="00E20581" w:rsidRPr="00E20581" w:rsidRDefault="00E20581" w:rsidP="002D2A62">
      <w:pPr>
        <w:overflowPunct/>
        <w:autoSpaceDE/>
        <w:autoSpaceDN/>
        <w:adjustRightInd/>
        <w:ind w:right="107"/>
        <w:textAlignment w:val="auto"/>
        <w:rPr>
          <w:b/>
          <w:sz w:val="24"/>
          <w:szCs w:val="24"/>
        </w:rPr>
      </w:pPr>
    </w:p>
    <w:p w14:paraId="1A303012" w14:textId="2BE2F5E7" w:rsidR="007F23E8" w:rsidRPr="007F23E8" w:rsidRDefault="007F23E8" w:rsidP="007F23E8">
      <w:pPr>
        <w:pStyle w:val="NormalWeb"/>
        <w:rPr>
          <w:rFonts w:ascii="Arial" w:hAnsi="Arial" w:cs="Arial"/>
          <w:color w:val="000000"/>
        </w:rPr>
      </w:pPr>
      <w:r w:rsidRPr="00E20581">
        <w:rPr>
          <w:rFonts w:ascii="Arial" w:hAnsi="Arial" w:cs="Arial"/>
        </w:rPr>
        <w:t xml:space="preserve">Bottomley, J., Pryjmachuk, S. and Wright, M. (2020) </w:t>
      </w:r>
      <w:r w:rsidRPr="00E20581">
        <w:rPr>
          <w:rFonts w:ascii="Arial" w:hAnsi="Arial" w:cs="Arial"/>
          <w:i/>
          <w:iCs/>
        </w:rPr>
        <w:t>Communication skills for your policing degree</w:t>
      </w:r>
      <w:r w:rsidRPr="00E20581">
        <w:rPr>
          <w:rFonts w:ascii="Arial" w:hAnsi="Arial" w:cs="Arial"/>
        </w:rPr>
        <w:t xml:space="preserve">. St Albans: Critical Publishing Ltd. </w:t>
      </w:r>
    </w:p>
    <w:p w14:paraId="45B0E53A" w14:textId="77777777" w:rsidR="007F23E8" w:rsidRPr="00E20581" w:rsidRDefault="007F23E8" w:rsidP="00E20581">
      <w:pPr>
        <w:pStyle w:val="NormalWeb"/>
        <w:ind w:left="567" w:hanging="567"/>
        <w:rPr>
          <w:rFonts w:ascii="Arial" w:hAnsi="Arial" w:cs="Arial"/>
        </w:rPr>
      </w:pPr>
      <w:r w:rsidRPr="00E20581">
        <w:rPr>
          <w:rFonts w:ascii="Arial" w:hAnsi="Arial" w:cs="Arial"/>
          <w:i/>
          <w:iCs/>
        </w:rPr>
        <w:t>Conflict management skills</w:t>
      </w:r>
      <w:r w:rsidRPr="00E20581">
        <w:rPr>
          <w:rFonts w:ascii="Arial" w:hAnsi="Arial" w:cs="Arial"/>
        </w:rPr>
        <w:t xml:space="preserve"> (2023) </w:t>
      </w:r>
      <w:r w:rsidRPr="00E20581">
        <w:rPr>
          <w:rFonts w:ascii="Arial" w:hAnsi="Arial" w:cs="Arial"/>
          <w:i/>
          <w:iCs/>
        </w:rPr>
        <w:t>College of Policing</w:t>
      </w:r>
      <w:r w:rsidRPr="00E20581">
        <w:rPr>
          <w:rFonts w:ascii="Arial" w:hAnsi="Arial" w:cs="Arial"/>
        </w:rPr>
        <w:t xml:space="preserve">. Available at: https://www.college.police.uk/guidance/conflict-management/conflict-management-skills (Accessed: 08 October 2023). </w:t>
      </w:r>
    </w:p>
    <w:p w14:paraId="2E56AEE0" w14:textId="77777777" w:rsidR="007F23E8" w:rsidRPr="00E20581" w:rsidRDefault="007F23E8" w:rsidP="00E20581">
      <w:pPr>
        <w:pStyle w:val="NormalWeb"/>
        <w:rPr>
          <w:rFonts w:ascii="Arial" w:hAnsi="Arial" w:cs="Arial"/>
        </w:rPr>
      </w:pPr>
      <w:r w:rsidRPr="00E20581">
        <w:rPr>
          <w:rFonts w:ascii="Arial" w:hAnsi="Arial" w:cs="Arial"/>
        </w:rPr>
        <w:t xml:space="preserve">McMurran, M. (2011) ‘Anxiety, alcohol intoxication, and aggression’, </w:t>
      </w:r>
      <w:r w:rsidRPr="00E20581">
        <w:rPr>
          <w:rFonts w:ascii="Arial" w:hAnsi="Arial" w:cs="Arial"/>
          <w:i/>
          <w:iCs/>
        </w:rPr>
        <w:t>Legal and Criminological Psychology</w:t>
      </w:r>
      <w:r w:rsidRPr="00E20581">
        <w:rPr>
          <w:rFonts w:ascii="Arial" w:hAnsi="Arial" w:cs="Arial"/>
        </w:rPr>
        <w:t xml:space="preserve">, 16(2), pp. 357–371. doi:10.1111/j.2044-8333.2011.02012.x. </w:t>
      </w:r>
    </w:p>
    <w:p w14:paraId="4E7F81D2" w14:textId="7733B60B" w:rsidR="007F23E8" w:rsidRPr="007F23E8" w:rsidRDefault="007F23E8" w:rsidP="007F23E8">
      <w:pPr>
        <w:pStyle w:val="NormalWeb"/>
        <w:rPr>
          <w:rFonts w:ascii="Arial" w:hAnsi="Arial" w:cs="Arial"/>
          <w:color w:val="000000"/>
        </w:rPr>
      </w:pPr>
      <w:r w:rsidRPr="007F23E8">
        <w:rPr>
          <w:rFonts w:ascii="Arial" w:hAnsi="Arial" w:cs="Arial"/>
          <w:i/>
          <w:iCs/>
          <w:color w:val="000000"/>
        </w:rPr>
        <w:t>Police and Criminal Evidence Act 1984</w:t>
      </w:r>
      <w:r w:rsidRPr="007F23E8">
        <w:rPr>
          <w:rFonts w:ascii="Arial" w:hAnsi="Arial" w:cs="Arial"/>
          <w:color w:val="000000"/>
        </w:rPr>
        <w:t>.</w:t>
      </w:r>
      <w:r w:rsidRPr="007F23E8">
        <w:rPr>
          <w:rFonts w:ascii="Arial" w:hAnsi="Arial" w:cs="Arial"/>
          <w:color w:val="000000"/>
        </w:rPr>
        <w:t xml:space="preserve"> Section </w:t>
      </w:r>
      <w:r w:rsidRPr="007F23E8">
        <w:rPr>
          <w:rFonts w:ascii="Arial" w:hAnsi="Arial" w:cs="Arial"/>
          <w:color w:val="000000"/>
        </w:rPr>
        <w:t xml:space="preserve">117 [online] Available at: </w:t>
      </w:r>
      <w:hyperlink r:id="rId20" w:history="1">
        <w:r w:rsidR="009E4CC0" w:rsidRPr="00AE3F53">
          <w:rPr>
            <w:rStyle w:val="Hyperlink"/>
            <w:rFonts w:ascii="Arial" w:hAnsi="Arial" w:cs="Arial"/>
          </w:rPr>
          <w:t>https://www.legislation.gov.uk/ukpga/1984/60/section/117</w:t>
        </w:r>
      </w:hyperlink>
      <w:r w:rsidR="009E4CC0">
        <w:rPr>
          <w:rFonts w:ascii="Arial" w:hAnsi="Arial" w:cs="Arial"/>
          <w:color w:val="000000"/>
        </w:rPr>
        <w:t xml:space="preserve"> </w:t>
      </w:r>
      <w:r w:rsidRPr="007F23E8">
        <w:rPr>
          <w:rFonts w:ascii="Arial" w:hAnsi="Arial" w:cs="Arial"/>
          <w:color w:val="000000"/>
        </w:rPr>
        <w:t xml:space="preserve"> [Accessed 8 Oct. 2023].</w:t>
      </w:r>
    </w:p>
    <w:p w14:paraId="0CA422D8" w14:textId="20285A42" w:rsidR="007F23E8" w:rsidRPr="007F23E8" w:rsidRDefault="007F23E8" w:rsidP="00E20581">
      <w:pPr>
        <w:pStyle w:val="NormalWeb"/>
        <w:spacing w:before="0" w:beforeAutospacing="0" w:after="0" w:afterAutospacing="0" w:line="360" w:lineRule="atLeast"/>
        <w:rPr>
          <w:rFonts w:ascii="Arial" w:hAnsi="Arial" w:cs="Arial"/>
          <w:color w:val="000000"/>
        </w:rPr>
      </w:pPr>
      <w:r w:rsidRPr="007F23E8">
        <w:rPr>
          <w:rFonts w:ascii="Arial" w:hAnsi="Arial" w:cs="Arial"/>
          <w:b/>
        </w:rPr>
        <w:t xml:space="preserve"> </w:t>
      </w:r>
      <w:r w:rsidRPr="007F23E8">
        <w:rPr>
          <w:rFonts w:ascii="Arial" w:hAnsi="Arial" w:cs="Arial"/>
          <w:i/>
          <w:iCs/>
          <w:color w:val="000000"/>
        </w:rPr>
        <w:t>Police and Criminal Evidence Act 1984</w:t>
      </w:r>
      <w:r w:rsidRPr="007F23E8">
        <w:rPr>
          <w:rFonts w:ascii="Arial" w:hAnsi="Arial" w:cs="Arial"/>
          <w:color w:val="000000"/>
        </w:rPr>
        <w:t>.</w:t>
      </w:r>
      <w:r w:rsidRPr="007F23E8">
        <w:rPr>
          <w:rFonts w:ascii="Arial" w:hAnsi="Arial" w:cs="Arial"/>
          <w:color w:val="000000"/>
        </w:rPr>
        <w:t xml:space="preserve"> Section </w:t>
      </w:r>
      <w:r w:rsidRPr="007F23E8">
        <w:rPr>
          <w:rFonts w:ascii="Arial" w:hAnsi="Arial" w:cs="Arial"/>
          <w:color w:val="000000"/>
        </w:rPr>
        <w:t xml:space="preserve">17 [online] Available at: </w:t>
      </w:r>
      <w:hyperlink r:id="rId21" w:history="1">
        <w:r w:rsidR="009E4CC0" w:rsidRPr="00AE3F53">
          <w:rPr>
            <w:rStyle w:val="Hyperlink"/>
            <w:rFonts w:ascii="Arial" w:hAnsi="Arial" w:cs="Arial"/>
          </w:rPr>
          <w:t>https://www.legislation.gov.uk/ukpga/1984/60/section/17</w:t>
        </w:r>
      </w:hyperlink>
      <w:r w:rsidR="009E4CC0">
        <w:rPr>
          <w:rFonts w:ascii="Arial" w:hAnsi="Arial" w:cs="Arial"/>
          <w:color w:val="000000"/>
        </w:rPr>
        <w:t xml:space="preserve"> </w:t>
      </w:r>
      <w:r w:rsidRPr="007F23E8">
        <w:rPr>
          <w:rFonts w:ascii="Arial" w:hAnsi="Arial" w:cs="Arial"/>
          <w:color w:val="000000"/>
        </w:rPr>
        <w:t xml:space="preserve"> [Accessed 8 Oct. 2023].</w:t>
      </w:r>
    </w:p>
    <w:p w14:paraId="0FD96BDF" w14:textId="0248A763" w:rsidR="007F23E8" w:rsidRPr="007F23E8" w:rsidRDefault="007F23E8" w:rsidP="007F23E8">
      <w:pPr>
        <w:pStyle w:val="NormalWeb"/>
        <w:spacing w:before="0" w:beforeAutospacing="0" w:after="0" w:afterAutospacing="0" w:line="360" w:lineRule="atLeast"/>
        <w:rPr>
          <w:rFonts w:ascii="Arial" w:hAnsi="Arial" w:cs="Arial"/>
          <w:color w:val="000000"/>
        </w:rPr>
      </w:pPr>
      <w:r w:rsidRPr="007F23E8">
        <w:rPr>
          <w:rFonts w:ascii="Arial" w:hAnsi="Arial" w:cs="Arial"/>
          <w:i/>
          <w:iCs/>
          <w:color w:val="000000"/>
        </w:rPr>
        <w:lastRenderedPageBreak/>
        <w:t>Police and Criminal Evidence Act 1984</w:t>
      </w:r>
      <w:r w:rsidRPr="007F23E8">
        <w:rPr>
          <w:rFonts w:ascii="Arial" w:hAnsi="Arial" w:cs="Arial"/>
          <w:color w:val="000000"/>
        </w:rPr>
        <w:t>.</w:t>
      </w:r>
      <w:r w:rsidRPr="007F23E8">
        <w:rPr>
          <w:rFonts w:ascii="Arial" w:hAnsi="Arial" w:cs="Arial"/>
          <w:color w:val="000000"/>
        </w:rPr>
        <w:t xml:space="preserve"> Section </w:t>
      </w:r>
      <w:r w:rsidRPr="007F23E8">
        <w:rPr>
          <w:rFonts w:ascii="Arial" w:hAnsi="Arial" w:cs="Arial"/>
          <w:color w:val="000000"/>
        </w:rPr>
        <w:t xml:space="preserve">24(3) [online] Available at: </w:t>
      </w:r>
      <w:hyperlink r:id="rId22" w:history="1">
        <w:r w:rsidR="009E4CC0" w:rsidRPr="00AE3F53">
          <w:rPr>
            <w:rStyle w:val="Hyperlink"/>
            <w:rFonts w:ascii="Arial" w:hAnsi="Arial" w:cs="Arial"/>
          </w:rPr>
          <w:t>https://www.legislation.gov.uk/ukpga/1984/60/section/24</w:t>
        </w:r>
      </w:hyperlink>
      <w:r w:rsidR="009E4CC0">
        <w:rPr>
          <w:rFonts w:ascii="Arial" w:hAnsi="Arial" w:cs="Arial"/>
          <w:color w:val="000000"/>
        </w:rPr>
        <w:t xml:space="preserve"> </w:t>
      </w:r>
      <w:r w:rsidRPr="007F23E8">
        <w:rPr>
          <w:rFonts w:ascii="Arial" w:hAnsi="Arial" w:cs="Arial"/>
          <w:color w:val="000000"/>
        </w:rPr>
        <w:t>[Accessed 8 Oct. 2023].</w:t>
      </w:r>
    </w:p>
    <w:p w14:paraId="197CED73" w14:textId="77777777" w:rsidR="00106D6A" w:rsidRDefault="00106D6A" w:rsidP="00106D6A"/>
    <w:p w14:paraId="521048C8" w14:textId="77777777" w:rsidR="00E274CE" w:rsidRDefault="00E274CE" w:rsidP="00F401C8">
      <w:pPr>
        <w:overflowPunct/>
        <w:autoSpaceDE/>
        <w:autoSpaceDN/>
        <w:adjustRightInd/>
        <w:ind w:right="107"/>
        <w:textAlignment w:val="auto"/>
      </w:pPr>
    </w:p>
    <w:p w14:paraId="60DDCFFD" w14:textId="348414B1" w:rsidR="00F401C8" w:rsidRDefault="00E274CE" w:rsidP="0048508F">
      <w:pPr>
        <w:overflowPunct/>
        <w:autoSpaceDE/>
        <w:autoSpaceDN/>
        <w:adjustRightInd/>
        <w:ind w:right="107"/>
        <w:textAlignment w:val="auto"/>
        <w:rPr>
          <w:b/>
          <w:bCs/>
          <w:sz w:val="24"/>
          <w:szCs w:val="24"/>
        </w:rPr>
      </w:pPr>
      <w:r w:rsidRPr="00E274CE">
        <w:rPr>
          <w:b/>
          <w:bCs/>
          <w:sz w:val="24"/>
          <w:szCs w:val="24"/>
        </w:rPr>
        <w:t xml:space="preserve">Task </w:t>
      </w:r>
      <w:r>
        <w:rPr>
          <w:b/>
          <w:bCs/>
          <w:sz w:val="24"/>
          <w:szCs w:val="24"/>
        </w:rPr>
        <w:t>3</w:t>
      </w:r>
      <w:r w:rsidRPr="00E274CE">
        <w:rPr>
          <w:b/>
          <w:bCs/>
          <w:sz w:val="24"/>
          <w:szCs w:val="24"/>
        </w:rPr>
        <w:t>:</w:t>
      </w:r>
    </w:p>
    <w:p w14:paraId="66E1BF22" w14:textId="77777777" w:rsidR="007F23E8" w:rsidRPr="007F23E8" w:rsidRDefault="007F23E8" w:rsidP="0064024C">
      <w:pPr>
        <w:pStyle w:val="NormalWeb"/>
        <w:rPr>
          <w:rFonts w:ascii="Arial" w:hAnsi="Arial" w:cs="Arial"/>
          <w:color w:val="000000"/>
        </w:rPr>
      </w:pPr>
      <w:r w:rsidRPr="007F23E8">
        <w:rPr>
          <w:rFonts w:ascii="Arial" w:hAnsi="Arial" w:cs="Arial"/>
          <w:color w:val="000000"/>
        </w:rPr>
        <w:t>‌</w:t>
      </w:r>
    </w:p>
    <w:p w14:paraId="31C58618" w14:textId="53D2C48E" w:rsidR="007F23E8" w:rsidRPr="007F23E8" w:rsidRDefault="007F23E8" w:rsidP="007F23E8">
      <w:pPr>
        <w:pStyle w:val="NormalWeb"/>
        <w:rPr>
          <w:rFonts w:ascii="Arial" w:hAnsi="Arial" w:cs="Arial"/>
          <w:color w:val="000000"/>
        </w:rPr>
      </w:pPr>
      <w:r w:rsidRPr="007F23E8">
        <w:rPr>
          <w:rFonts w:ascii="Arial" w:hAnsi="Arial" w:cs="Arial"/>
          <w:color w:val="000000"/>
        </w:rPr>
        <w:t>Cardiff and Vale University Health Board. (n.d.). </w:t>
      </w:r>
      <w:r w:rsidRPr="007F23E8">
        <w:rPr>
          <w:rFonts w:ascii="Arial" w:hAnsi="Arial" w:cs="Arial"/>
          <w:i/>
          <w:iCs/>
          <w:color w:val="000000"/>
        </w:rPr>
        <w:t>Ynys Saff Sexual Assault Referral Centre</w:t>
      </w:r>
      <w:r w:rsidRPr="007F23E8">
        <w:rPr>
          <w:rFonts w:ascii="Arial" w:hAnsi="Arial" w:cs="Arial"/>
          <w:color w:val="000000"/>
        </w:rPr>
        <w:t xml:space="preserve">. [online] Available at: </w:t>
      </w:r>
      <w:hyperlink r:id="rId23" w:history="1">
        <w:r w:rsidR="009D3B0A" w:rsidRPr="00AE3F53">
          <w:rPr>
            <w:rStyle w:val="Hyperlink"/>
            <w:rFonts w:ascii="Arial" w:hAnsi="Arial" w:cs="Arial"/>
          </w:rPr>
          <w:t>https://cavuhb.nhs.wales/our-services/sexual-health/services-provided/ynys-saff-sexual-assault-referral-centre/</w:t>
        </w:r>
      </w:hyperlink>
      <w:r w:rsidRPr="007F23E8">
        <w:rPr>
          <w:rFonts w:ascii="Arial" w:hAnsi="Arial" w:cs="Arial"/>
          <w:color w:val="000000"/>
        </w:rPr>
        <w:t>.</w:t>
      </w:r>
      <w:r w:rsidR="009D3B0A">
        <w:rPr>
          <w:rFonts w:ascii="Arial" w:hAnsi="Arial" w:cs="Arial"/>
          <w:color w:val="000000"/>
        </w:rPr>
        <w:t xml:space="preserve"> </w:t>
      </w:r>
      <w:r w:rsidR="009D3B0A" w:rsidRPr="007F23E8">
        <w:rPr>
          <w:rFonts w:ascii="Arial" w:hAnsi="Arial" w:cs="Arial"/>
          <w:color w:val="000000"/>
        </w:rPr>
        <w:t>[Accessed 8 Oct. 2023].</w:t>
      </w:r>
    </w:p>
    <w:p w14:paraId="01B61061" w14:textId="77777777" w:rsidR="007F23E8" w:rsidRPr="007F23E8" w:rsidRDefault="007F23E8" w:rsidP="00E20581">
      <w:pPr>
        <w:pStyle w:val="NormalWeb"/>
        <w:ind w:left="567" w:hanging="567"/>
        <w:rPr>
          <w:rFonts w:ascii="Arial" w:hAnsi="Arial" w:cs="Arial"/>
        </w:rPr>
      </w:pPr>
      <w:r w:rsidRPr="007F23E8">
        <w:rPr>
          <w:rFonts w:ascii="Arial" w:hAnsi="Arial" w:cs="Arial"/>
        </w:rPr>
        <w:t xml:space="preserve">Culatta, E. </w:t>
      </w:r>
      <w:r w:rsidRPr="007F23E8">
        <w:rPr>
          <w:rFonts w:ascii="Arial" w:hAnsi="Arial" w:cs="Arial"/>
          <w:i/>
          <w:iCs/>
        </w:rPr>
        <w:t>et al.</w:t>
      </w:r>
      <w:r w:rsidRPr="007F23E8">
        <w:rPr>
          <w:rFonts w:ascii="Arial" w:hAnsi="Arial" w:cs="Arial"/>
        </w:rPr>
        <w:t xml:space="preserve"> (2017) ‘Sexual revictimization: A routine activity theory explanation’, </w:t>
      </w:r>
      <w:r w:rsidRPr="007F23E8">
        <w:rPr>
          <w:rFonts w:ascii="Arial" w:hAnsi="Arial" w:cs="Arial"/>
          <w:i/>
          <w:iCs/>
        </w:rPr>
        <w:t>Journal of Interpersonal Violence</w:t>
      </w:r>
      <w:r w:rsidRPr="007F23E8">
        <w:rPr>
          <w:rFonts w:ascii="Arial" w:hAnsi="Arial" w:cs="Arial"/>
        </w:rPr>
        <w:t xml:space="preserve">, 35(15–16), pp. 2800–2824. doi:10.1177/0886260517704962. </w:t>
      </w:r>
    </w:p>
    <w:p w14:paraId="409EFB8E" w14:textId="1BAA8216" w:rsidR="007F23E8" w:rsidRPr="007F23E8" w:rsidRDefault="007F23E8" w:rsidP="00D21AE1">
      <w:pPr>
        <w:pStyle w:val="NormalWeb"/>
        <w:rPr>
          <w:rFonts w:ascii="Arial" w:hAnsi="Arial" w:cs="Arial"/>
          <w:color w:val="000000"/>
        </w:rPr>
      </w:pPr>
      <w:r w:rsidRPr="007F23E8">
        <w:rPr>
          <w:rFonts w:ascii="Arial" w:hAnsi="Arial" w:cs="Arial"/>
          <w:i/>
          <w:iCs/>
          <w:color w:val="000000"/>
        </w:rPr>
        <w:t>Human Rights Act 1998</w:t>
      </w:r>
      <w:r w:rsidRPr="007F23E8">
        <w:rPr>
          <w:rFonts w:ascii="Arial" w:hAnsi="Arial" w:cs="Arial"/>
          <w:color w:val="000000"/>
        </w:rPr>
        <w:t xml:space="preserve">. Available at: </w:t>
      </w:r>
      <w:hyperlink r:id="rId24" w:history="1">
        <w:r w:rsidR="006354D8" w:rsidRPr="00AE3F53">
          <w:rPr>
            <w:rStyle w:val="Hyperlink"/>
            <w:rFonts w:ascii="Arial" w:hAnsi="Arial" w:cs="Arial"/>
          </w:rPr>
          <w:t>https://www.legislation.gov.uk/ukpga/1998/42/contents</w:t>
        </w:r>
      </w:hyperlink>
      <w:r w:rsidR="006354D8">
        <w:rPr>
          <w:rFonts w:ascii="Arial" w:hAnsi="Arial" w:cs="Arial"/>
          <w:color w:val="000000"/>
        </w:rPr>
        <w:t xml:space="preserve"> </w:t>
      </w:r>
      <w:r w:rsidRPr="007F23E8">
        <w:rPr>
          <w:rFonts w:ascii="Arial" w:hAnsi="Arial" w:cs="Arial"/>
          <w:color w:val="000000"/>
        </w:rPr>
        <w:t xml:space="preserve"> [Accessed 8 Oct. 2023].</w:t>
      </w:r>
    </w:p>
    <w:p w14:paraId="2E2557C6" w14:textId="77777777" w:rsidR="007F23E8" w:rsidRPr="007F23E8" w:rsidRDefault="007F23E8" w:rsidP="00E20581">
      <w:pPr>
        <w:pStyle w:val="NormalWeb"/>
        <w:ind w:left="567" w:hanging="567"/>
        <w:rPr>
          <w:rFonts w:ascii="Arial" w:hAnsi="Arial" w:cs="Arial"/>
        </w:rPr>
      </w:pPr>
      <w:r w:rsidRPr="007F23E8">
        <w:rPr>
          <w:rFonts w:ascii="Arial" w:hAnsi="Arial" w:cs="Arial"/>
        </w:rPr>
        <w:t xml:space="preserve">Jozkowski, K.N. </w:t>
      </w:r>
      <w:r w:rsidRPr="007F23E8">
        <w:rPr>
          <w:rFonts w:ascii="Arial" w:hAnsi="Arial" w:cs="Arial"/>
          <w:i/>
          <w:iCs/>
        </w:rPr>
        <w:t>et al.</w:t>
      </w:r>
      <w:r w:rsidRPr="007F23E8">
        <w:rPr>
          <w:rFonts w:ascii="Arial" w:hAnsi="Arial" w:cs="Arial"/>
        </w:rPr>
        <w:t xml:space="preserve"> (2019) ‘The interaction of rape myth acceptance and alcohol intoxication on bystander intervention’, </w:t>
      </w:r>
      <w:r w:rsidRPr="007F23E8">
        <w:rPr>
          <w:rFonts w:ascii="Arial" w:hAnsi="Arial" w:cs="Arial"/>
          <w:i/>
          <w:iCs/>
        </w:rPr>
        <w:t>Journal of Interpersonal Violence</w:t>
      </w:r>
      <w:r w:rsidRPr="007F23E8">
        <w:rPr>
          <w:rFonts w:ascii="Arial" w:hAnsi="Arial" w:cs="Arial"/>
        </w:rPr>
        <w:t xml:space="preserve">, 36(17–18). doi:10.1177/0886260519863720. </w:t>
      </w:r>
    </w:p>
    <w:p w14:paraId="69A50199" w14:textId="32283F46" w:rsidR="007F23E8" w:rsidRDefault="007F23E8" w:rsidP="0064024C">
      <w:pPr>
        <w:pStyle w:val="NormalWeb"/>
        <w:spacing w:before="0" w:beforeAutospacing="0" w:after="0" w:afterAutospacing="0" w:line="360" w:lineRule="atLeast"/>
        <w:rPr>
          <w:rFonts w:ascii="Arial" w:hAnsi="Arial" w:cs="Arial"/>
          <w:color w:val="000000"/>
        </w:rPr>
      </w:pPr>
      <w:r w:rsidRPr="007F23E8">
        <w:rPr>
          <w:rFonts w:ascii="Arial" w:hAnsi="Arial" w:cs="Arial"/>
          <w:color w:val="000000"/>
        </w:rPr>
        <w:t>Ministry of Justice (2020). </w:t>
      </w:r>
      <w:r w:rsidRPr="007F23E8">
        <w:rPr>
          <w:rFonts w:ascii="Arial" w:hAnsi="Arial" w:cs="Arial"/>
          <w:i/>
          <w:iCs/>
          <w:color w:val="000000"/>
        </w:rPr>
        <w:t>Code of Practice for Victims of Crime in England and Wales</w:t>
      </w:r>
      <w:r w:rsidRPr="007F23E8">
        <w:rPr>
          <w:rFonts w:ascii="Arial" w:hAnsi="Arial" w:cs="Arial"/>
          <w:color w:val="000000"/>
        </w:rPr>
        <w:t xml:space="preserve">. [online] Available at: </w:t>
      </w:r>
      <w:hyperlink r:id="rId25" w:history="1">
        <w:r w:rsidRPr="00AE3F53">
          <w:rPr>
            <w:rStyle w:val="Hyperlink"/>
            <w:rFonts w:ascii="Arial" w:hAnsi="Arial" w:cs="Arial"/>
          </w:rPr>
          <w:t>https://assets.publishing.service.gov.uk/government/uploads/system/uploads/attachment_data/file/974376/victims-code-2020.pdf</w:t>
        </w:r>
      </w:hyperlink>
      <w:r w:rsidRPr="007F23E8">
        <w:rPr>
          <w:rFonts w:ascii="Arial" w:hAnsi="Arial" w:cs="Arial"/>
          <w:color w:val="000000"/>
        </w:rPr>
        <w:t>.</w:t>
      </w:r>
      <w:r w:rsidR="009D3B0A">
        <w:rPr>
          <w:rFonts w:ascii="Arial" w:hAnsi="Arial" w:cs="Arial"/>
          <w:color w:val="000000"/>
        </w:rPr>
        <w:t xml:space="preserve"> </w:t>
      </w:r>
      <w:r w:rsidR="009D3B0A" w:rsidRPr="007F23E8">
        <w:rPr>
          <w:rFonts w:ascii="Arial" w:hAnsi="Arial" w:cs="Arial"/>
          <w:color w:val="000000"/>
        </w:rPr>
        <w:t>[Accessed 8 Oct. 2023].</w:t>
      </w:r>
    </w:p>
    <w:p w14:paraId="142198D0" w14:textId="77777777" w:rsidR="007F23E8" w:rsidRPr="007F23E8" w:rsidRDefault="007F23E8" w:rsidP="0064024C">
      <w:pPr>
        <w:pStyle w:val="NormalWeb"/>
        <w:spacing w:before="0" w:beforeAutospacing="0" w:after="0" w:afterAutospacing="0" w:line="360" w:lineRule="atLeast"/>
        <w:rPr>
          <w:rFonts w:ascii="Arial" w:hAnsi="Arial" w:cs="Arial"/>
          <w:color w:val="000000"/>
        </w:rPr>
      </w:pPr>
    </w:p>
    <w:p w14:paraId="7A3B2D09" w14:textId="7489A4F3" w:rsidR="007F23E8" w:rsidRDefault="007F23E8" w:rsidP="007F23E8">
      <w:pPr>
        <w:pStyle w:val="NormalWeb"/>
        <w:spacing w:before="0" w:beforeAutospacing="0" w:after="0" w:afterAutospacing="0" w:line="360" w:lineRule="atLeast"/>
        <w:rPr>
          <w:rFonts w:ascii="Arial" w:hAnsi="Arial" w:cs="Arial"/>
          <w:color w:val="000000"/>
        </w:rPr>
      </w:pPr>
      <w:r w:rsidRPr="007F23E8">
        <w:rPr>
          <w:rFonts w:ascii="Arial" w:hAnsi="Arial" w:cs="Arial"/>
          <w:i/>
          <w:iCs/>
        </w:rPr>
        <w:t xml:space="preserve"> </w:t>
      </w:r>
      <w:r w:rsidRPr="007F23E8">
        <w:rPr>
          <w:rFonts w:ascii="Arial" w:hAnsi="Arial" w:cs="Arial"/>
          <w:i/>
          <w:iCs/>
          <w:color w:val="000000"/>
        </w:rPr>
        <w:t>Police and Criminal Evidence Act 1984</w:t>
      </w:r>
      <w:r w:rsidRPr="007F23E8">
        <w:rPr>
          <w:rFonts w:ascii="Arial" w:hAnsi="Arial" w:cs="Arial"/>
          <w:color w:val="000000"/>
        </w:rPr>
        <w:t>.</w:t>
      </w:r>
      <w:r w:rsidRPr="007F23E8">
        <w:rPr>
          <w:rFonts w:ascii="Arial" w:hAnsi="Arial" w:cs="Arial"/>
          <w:color w:val="000000"/>
        </w:rPr>
        <w:t xml:space="preserve"> Section </w:t>
      </w:r>
      <w:r w:rsidRPr="007F23E8">
        <w:rPr>
          <w:rFonts w:ascii="Arial" w:hAnsi="Arial" w:cs="Arial"/>
          <w:color w:val="000000"/>
        </w:rPr>
        <w:t xml:space="preserve">19(3) [online] Available at: </w:t>
      </w:r>
      <w:hyperlink r:id="rId26" w:history="1">
        <w:r w:rsidR="005970DA" w:rsidRPr="00AE3F53">
          <w:rPr>
            <w:rStyle w:val="Hyperlink"/>
            <w:rFonts w:ascii="Arial" w:hAnsi="Arial" w:cs="Arial"/>
          </w:rPr>
          <w:t>https://www.legislation.gov.uk/ukpga/1984/60/section/19</w:t>
        </w:r>
      </w:hyperlink>
      <w:r w:rsidR="005970DA">
        <w:rPr>
          <w:rFonts w:ascii="Arial" w:hAnsi="Arial" w:cs="Arial"/>
          <w:color w:val="000000"/>
        </w:rPr>
        <w:t xml:space="preserve"> </w:t>
      </w:r>
      <w:r w:rsidR="009E4CC0">
        <w:rPr>
          <w:rFonts w:ascii="Arial" w:hAnsi="Arial" w:cs="Arial"/>
          <w:color w:val="000000"/>
        </w:rPr>
        <w:t xml:space="preserve"> </w:t>
      </w:r>
      <w:r w:rsidRPr="007F23E8">
        <w:rPr>
          <w:rFonts w:ascii="Arial" w:hAnsi="Arial" w:cs="Arial"/>
          <w:color w:val="000000"/>
        </w:rPr>
        <w:t>[Accessed 8 Oct. 2023].</w:t>
      </w:r>
    </w:p>
    <w:p w14:paraId="27C25C3D" w14:textId="77777777" w:rsidR="007F23E8" w:rsidRPr="007F23E8" w:rsidRDefault="007F23E8" w:rsidP="007F23E8">
      <w:pPr>
        <w:pStyle w:val="NormalWeb"/>
        <w:spacing w:before="0" w:beforeAutospacing="0" w:after="0" w:afterAutospacing="0" w:line="360" w:lineRule="atLeast"/>
        <w:rPr>
          <w:rFonts w:ascii="Arial" w:hAnsi="Arial" w:cs="Arial"/>
          <w:color w:val="000000"/>
        </w:rPr>
      </w:pPr>
    </w:p>
    <w:p w14:paraId="4B3BA609" w14:textId="69B053B4" w:rsidR="007F23E8" w:rsidRPr="007F23E8" w:rsidRDefault="007F23E8" w:rsidP="0064024C">
      <w:pPr>
        <w:pStyle w:val="NormalWeb"/>
        <w:spacing w:before="0" w:beforeAutospacing="0" w:after="0" w:afterAutospacing="0" w:line="360" w:lineRule="atLeast"/>
        <w:rPr>
          <w:rFonts w:ascii="Arial" w:hAnsi="Arial" w:cs="Arial"/>
          <w:color w:val="000000"/>
        </w:rPr>
      </w:pPr>
      <w:r w:rsidRPr="007F23E8">
        <w:rPr>
          <w:rFonts w:ascii="Arial" w:hAnsi="Arial" w:cs="Arial"/>
          <w:i/>
          <w:iCs/>
          <w:color w:val="000000"/>
        </w:rPr>
        <w:t xml:space="preserve">Sexual </w:t>
      </w:r>
      <w:r w:rsidRPr="007F23E8">
        <w:rPr>
          <w:rFonts w:ascii="Arial" w:hAnsi="Arial" w:cs="Arial"/>
          <w:i/>
          <w:iCs/>
          <w:color w:val="000000"/>
        </w:rPr>
        <w:t>O</w:t>
      </w:r>
      <w:r w:rsidRPr="007F23E8">
        <w:rPr>
          <w:rFonts w:ascii="Arial" w:hAnsi="Arial" w:cs="Arial"/>
          <w:i/>
          <w:iCs/>
          <w:color w:val="000000"/>
        </w:rPr>
        <w:t xml:space="preserve">ffences </w:t>
      </w:r>
      <w:r w:rsidRPr="007F23E8">
        <w:rPr>
          <w:rFonts w:ascii="Arial" w:hAnsi="Arial" w:cs="Arial"/>
          <w:i/>
          <w:iCs/>
          <w:color w:val="000000"/>
        </w:rPr>
        <w:t>A</w:t>
      </w:r>
      <w:r w:rsidRPr="007F23E8">
        <w:rPr>
          <w:rFonts w:ascii="Arial" w:hAnsi="Arial" w:cs="Arial"/>
          <w:i/>
          <w:iCs/>
          <w:color w:val="000000"/>
        </w:rPr>
        <w:t>ct 2003</w:t>
      </w:r>
      <w:r w:rsidRPr="007F23E8">
        <w:rPr>
          <w:rFonts w:ascii="Arial" w:hAnsi="Arial" w:cs="Arial"/>
          <w:color w:val="000000"/>
        </w:rPr>
        <w:t xml:space="preserve">.1 [online] Available at: </w:t>
      </w:r>
      <w:hyperlink r:id="rId27" w:history="1">
        <w:r w:rsidR="009E4CC0" w:rsidRPr="00AE3F53">
          <w:rPr>
            <w:rStyle w:val="Hyperlink"/>
            <w:rFonts w:ascii="Arial" w:hAnsi="Arial" w:cs="Arial"/>
          </w:rPr>
          <w:t>https://www.legislation.gov.uk/ukpga/2003/42/section/1</w:t>
        </w:r>
      </w:hyperlink>
      <w:r w:rsidR="009E4CC0">
        <w:rPr>
          <w:rFonts w:ascii="Arial" w:hAnsi="Arial" w:cs="Arial"/>
          <w:color w:val="000000"/>
        </w:rPr>
        <w:t xml:space="preserve"> </w:t>
      </w:r>
      <w:r w:rsidRPr="007F23E8">
        <w:rPr>
          <w:rFonts w:ascii="Arial" w:hAnsi="Arial" w:cs="Arial"/>
          <w:color w:val="000000"/>
        </w:rPr>
        <w:t xml:space="preserve"> [Accessed 8 Oct. 2023].</w:t>
      </w:r>
    </w:p>
    <w:p w14:paraId="5FF12873" w14:textId="77777777" w:rsidR="00A70A69" w:rsidRPr="00A70A69" w:rsidRDefault="00A70A69" w:rsidP="00A70A69">
      <w:pPr>
        <w:pStyle w:val="NormalWeb"/>
        <w:rPr>
          <w:rFonts w:ascii="Calibri" w:hAnsi="Calibri" w:cs="Calibri"/>
          <w:color w:val="000000"/>
          <w:sz w:val="27"/>
          <w:szCs w:val="27"/>
        </w:rPr>
      </w:pPr>
    </w:p>
    <w:p w14:paraId="09DC64A1" w14:textId="5C6EDD48" w:rsidR="002B0849" w:rsidRPr="002B0849" w:rsidRDefault="00A70A69" w:rsidP="00C91B14">
      <w:pPr>
        <w:pStyle w:val="NormalWeb"/>
        <w:rPr>
          <w:rFonts w:ascii="Calibri" w:hAnsi="Calibri" w:cs="Calibri"/>
          <w:color w:val="000000"/>
          <w:sz w:val="27"/>
          <w:szCs w:val="27"/>
        </w:rPr>
      </w:pPr>
      <w:r w:rsidRPr="00A70A69">
        <w:rPr>
          <w:rFonts w:ascii="Calibri" w:hAnsi="Calibri" w:cs="Calibri"/>
          <w:color w:val="000000"/>
          <w:sz w:val="27"/>
          <w:szCs w:val="27"/>
        </w:rPr>
        <w:t xml:space="preserve"> </w:t>
      </w:r>
    </w:p>
    <w:p w14:paraId="76CDBC26" w14:textId="5D95BB33" w:rsidR="00E274CE" w:rsidRDefault="00E274CE" w:rsidP="0048508F">
      <w:pPr>
        <w:overflowPunct/>
        <w:autoSpaceDE/>
        <w:autoSpaceDN/>
        <w:adjustRightInd/>
        <w:ind w:right="107"/>
        <w:textAlignment w:val="auto"/>
        <w:rPr>
          <w:b/>
          <w:bCs/>
          <w:sz w:val="24"/>
          <w:szCs w:val="24"/>
        </w:rPr>
      </w:pPr>
      <w:r>
        <w:rPr>
          <w:b/>
          <w:bCs/>
          <w:sz w:val="24"/>
          <w:szCs w:val="24"/>
        </w:rPr>
        <w:t>Task 4:</w:t>
      </w:r>
    </w:p>
    <w:p w14:paraId="092FBD30" w14:textId="77777777" w:rsidR="00E274CE" w:rsidRPr="00E274CE" w:rsidRDefault="00E274CE" w:rsidP="0048508F">
      <w:pPr>
        <w:overflowPunct/>
        <w:autoSpaceDE/>
        <w:autoSpaceDN/>
        <w:adjustRightInd/>
        <w:ind w:right="107"/>
        <w:textAlignment w:val="auto"/>
        <w:rPr>
          <w:b/>
          <w:bCs/>
          <w:sz w:val="24"/>
          <w:szCs w:val="24"/>
        </w:rPr>
      </w:pPr>
    </w:p>
    <w:p w14:paraId="27834D48" w14:textId="77777777" w:rsidR="006354D8" w:rsidRDefault="006354D8" w:rsidP="006354D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Charging and Case Preparation</w:t>
      </w:r>
      <w:r>
        <w:rPr>
          <w:rFonts w:ascii="Calibri" w:hAnsi="Calibri" w:cs="Calibri"/>
          <w:color w:val="000000"/>
          <w:sz w:val="27"/>
          <w:szCs w:val="27"/>
        </w:rPr>
        <w:t xml:space="preserve">. [online] College of Policing. Available at: </w:t>
      </w:r>
      <w:hyperlink r:id="rId28" w:history="1">
        <w:r w:rsidRPr="00AE3F53">
          <w:rPr>
            <w:rStyle w:val="Hyperlink"/>
            <w:rFonts w:ascii="Calibri" w:hAnsi="Calibri" w:cs="Calibri"/>
            <w:sz w:val="27"/>
            <w:szCs w:val="27"/>
          </w:rPr>
          <w:t>https://www.college.police.uk/app/prosecution-and-case-management/charging-and-case-preparation</w:t>
        </w:r>
      </w:hyperlink>
      <w:r>
        <w:rPr>
          <w:rFonts w:ascii="Calibri" w:hAnsi="Calibri" w:cs="Calibri"/>
          <w:color w:val="000000"/>
          <w:sz w:val="27"/>
          <w:szCs w:val="27"/>
        </w:rPr>
        <w:t xml:space="preserve">. [Accessed 8 Oct. 2023]. </w:t>
      </w:r>
    </w:p>
    <w:p w14:paraId="728BCD83" w14:textId="77777777" w:rsidR="00E274CE" w:rsidRDefault="00E274CE" w:rsidP="0048508F">
      <w:pPr>
        <w:overflowPunct/>
        <w:autoSpaceDE/>
        <w:autoSpaceDN/>
        <w:adjustRightInd/>
        <w:ind w:right="107"/>
        <w:textAlignment w:val="auto"/>
      </w:pPr>
    </w:p>
    <w:p w14:paraId="010DA243" w14:textId="77777777" w:rsidR="006354D8" w:rsidRDefault="006354D8" w:rsidP="006354D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Response, arrest and detention</w:t>
      </w:r>
      <w:r>
        <w:rPr>
          <w:rFonts w:ascii="Calibri" w:hAnsi="Calibri" w:cs="Calibri"/>
          <w:color w:val="000000"/>
          <w:sz w:val="27"/>
          <w:szCs w:val="27"/>
        </w:rPr>
        <w:t xml:space="preserve">. [online] College of Policing. Available at: </w:t>
      </w:r>
      <w:hyperlink r:id="rId29" w:history="1">
        <w:r w:rsidRPr="00AE3F53">
          <w:rPr>
            <w:rStyle w:val="Hyperlink"/>
            <w:rFonts w:ascii="Calibri" w:hAnsi="Calibri" w:cs="Calibri"/>
            <w:sz w:val="27"/>
            <w:szCs w:val="27"/>
          </w:rPr>
          <w:t>https://www.college.police.uk/app/detention-and-custody/response-arrest-and-detention</w:t>
        </w:r>
      </w:hyperlink>
      <w:r>
        <w:rPr>
          <w:rFonts w:ascii="Calibri" w:hAnsi="Calibri" w:cs="Calibri"/>
          <w:color w:val="000000"/>
          <w:sz w:val="27"/>
          <w:szCs w:val="27"/>
        </w:rPr>
        <w:t xml:space="preserve">. </w:t>
      </w:r>
      <w:r w:rsidRPr="007F23E8">
        <w:rPr>
          <w:rFonts w:ascii="Arial" w:hAnsi="Arial" w:cs="Arial"/>
          <w:color w:val="000000"/>
        </w:rPr>
        <w:t>[Accessed 8 Oct. 2023].</w:t>
      </w:r>
    </w:p>
    <w:p w14:paraId="583B969B" w14:textId="77777777" w:rsidR="006354D8" w:rsidRDefault="006354D8" w:rsidP="0048508F">
      <w:pPr>
        <w:overflowPunct/>
        <w:autoSpaceDE/>
        <w:autoSpaceDN/>
        <w:adjustRightInd/>
        <w:ind w:right="107"/>
        <w:textAlignment w:val="auto"/>
      </w:pPr>
    </w:p>
    <w:p w14:paraId="5CE5F9BC" w14:textId="77777777" w:rsidR="006354D8" w:rsidRDefault="006354D8" w:rsidP="006354D8">
      <w:pPr>
        <w:pStyle w:val="NormalWeb"/>
        <w:rPr>
          <w:rFonts w:ascii="Calibri" w:hAnsi="Calibri" w:cs="Calibri"/>
          <w:color w:val="000000"/>
          <w:sz w:val="27"/>
          <w:szCs w:val="27"/>
        </w:rPr>
      </w:pPr>
    </w:p>
    <w:p w14:paraId="7DAA9296" w14:textId="77777777" w:rsidR="006354D8" w:rsidRDefault="006354D8" w:rsidP="006354D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[online] Available at: </w:t>
      </w:r>
      <w:hyperlink r:id="rId30" w:history="1">
        <w:r w:rsidRPr="00AE3F53">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w:t>
      </w:r>
      <w:r w:rsidRPr="00B05948">
        <w:rPr>
          <w:rFonts w:ascii="Calibri" w:hAnsi="Calibri" w:cs="Calibri"/>
          <w:color w:val="000000"/>
          <w:sz w:val="27"/>
          <w:szCs w:val="27"/>
        </w:rPr>
        <w:t xml:space="preserve"> </w:t>
      </w:r>
      <w:r>
        <w:rPr>
          <w:rFonts w:ascii="Calibri" w:hAnsi="Calibri" w:cs="Calibri"/>
          <w:color w:val="000000"/>
          <w:sz w:val="27"/>
          <w:szCs w:val="27"/>
        </w:rPr>
        <w:t xml:space="preserve">[Accessed 8 Oct. 2023]. </w:t>
      </w:r>
    </w:p>
    <w:p w14:paraId="3FCC8A35" w14:textId="77777777" w:rsidR="006354D8" w:rsidRDefault="006354D8" w:rsidP="006354D8">
      <w:pPr>
        <w:pStyle w:val="NormalWeb"/>
        <w:spacing w:before="0" w:beforeAutospacing="0" w:after="0" w:afterAutospacing="0" w:line="360" w:lineRule="atLeast"/>
        <w:rPr>
          <w:rFonts w:ascii="Calibri" w:hAnsi="Calibri" w:cs="Calibri"/>
          <w:color w:val="000000"/>
          <w:sz w:val="27"/>
          <w:szCs w:val="27"/>
        </w:rPr>
      </w:pPr>
    </w:p>
    <w:p w14:paraId="33BC611A" w14:textId="77777777" w:rsidR="006354D8" w:rsidRDefault="006354D8" w:rsidP="0048508F">
      <w:pPr>
        <w:overflowPunct/>
        <w:autoSpaceDE/>
        <w:autoSpaceDN/>
        <w:adjustRightInd/>
        <w:ind w:right="107"/>
        <w:textAlignment w:val="auto"/>
      </w:pPr>
    </w:p>
    <w:p w14:paraId="6838670D" w14:textId="433E05C7" w:rsidR="007A03A6" w:rsidRDefault="007A03A6" w:rsidP="007A03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31" w:history="1">
        <w:r w:rsidRPr="00AE3F53">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w:t>
      </w:r>
      <w:r>
        <w:rPr>
          <w:rFonts w:ascii="Calibri" w:hAnsi="Calibri" w:cs="Calibri"/>
          <w:color w:val="000000"/>
          <w:sz w:val="27"/>
          <w:szCs w:val="27"/>
        </w:rPr>
        <w:t xml:space="preserve"> </w:t>
      </w:r>
      <w:r w:rsidR="009D3B0A" w:rsidRPr="007F23E8">
        <w:rPr>
          <w:rFonts w:ascii="Arial" w:hAnsi="Arial" w:cs="Arial"/>
          <w:color w:val="000000"/>
        </w:rPr>
        <w:t>[Accessed 8 Oct. 2023].</w:t>
      </w:r>
    </w:p>
    <w:p w14:paraId="56D65263" w14:textId="77777777" w:rsidR="007A03A6" w:rsidRDefault="007A03A6" w:rsidP="007A03A6">
      <w:pPr>
        <w:pStyle w:val="NormalWeb"/>
        <w:rPr>
          <w:rFonts w:ascii="Calibri" w:hAnsi="Calibri" w:cs="Calibri"/>
          <w:color w:val="000000"/>
          <w:sz w:val="27"/>
          <w:szCs w:val="27"/>
        </w:rPr>
      </w:pPr>
      <w:r>
        <w:rPr>
          <w:rFonts w:ascii="Calibri" w:hAnsi="Calibri" w:cs="Calibri"/>
          <w:color w:val="000000"/>
          <w:sz w:val="27"/>
          <w:szCs w:val="27"/>
        </w:rPr>
        <w:t>‌</w:t>
      </w:r>
    </w:p>
    <w:p w14:paraId="2BBBC97E" w14:textId="24DEEA9F" w:rsidR="006354D8" w:rsidRDefault="009E4CC0" w:rsidP="006354D8">
      <w:pPr>
        <w:pStyle w:val="NormalWeb"/>
        <w:rPr>
          <w:rFonts w:ascii="Calibri" w:hAnsi="Calibri" w:cs="Calibri"/>
          <w:color w:val="000000"/>
          <w:sz w:val="27"/>
          <w:szCs w:val="27"/>
        </w:rPr>
      </w:pPr>
      <w:r>
        <w:rPr>
          <w:rFonts w:ascii="Calibri" w:hAnsi="Calibri" w:cs="Calibri"/>
          <w:color w:val="000000"/>
          <w:sz w:val="27"/>
          <w:szCs w:val="27"/>
        </w:rPr>
        <w:t>‌</w:t>
      </w:r>
      <w:r w:rsidR="00B05948">
        <w:rPr>
          <w:rFonts w:ascii="Calibri" w:hAnsi="Calibri" w:cs="Calibri"/>
          <w:color w:val="000000"/>
          <w:sz w:val="27"/>
          <w:szCs w:val="27"/>
        </w:rPr>
        <w:t xml:space="preserve"> </w:t>
      </w:r>
      <w:r w:rsidR="006354D8">
        <w:rPr>
          <w:rFonts w:ascii="Calibri" w:hAnsi="Calibri" w:cs="Calibri"/>
          <w:i/>
          <w:iCs/>
          <w:color w:val="000000"/>
          <w:sz w:val="27"/>
          <w:szCs w:val="27"/>
        </w:rPr>
        <w:t>Criminal Procedure and Investigations Act 1996</w:t>
      </w:r>
      <w:r w:rsidR="006354D8">
        <w:rPr>
          <w:rFonts w:ascii="Calibri" w:hAnsi="Calibri" w:cs="Calibri"/>
          <w:color w:val="000000"/>
          <w:sz w:val="27"/>
          <w:szCs w:val="27"/>
        </w:rPr>
        <w:t>. Available at: https://www.legislation.gov.uk/ukpga/1996/25/contents [Accessed 8 Oct. 2023].</w:t>
      </w:r>
    </w:p>
    <w:p w14:paraId="07F70D09" w14:textId="77777777" w:rsidR="006354D8" w:rsidRDefault="006354D8" w:rsidP="007B04D8">
      <w:pPr>
        <w:pStyle w:val="NormalWeb"/>
        <w:spacing w:before="0" w:beforeAutospacing="0" w:after="0" w:afterAutospacing="0" w:line="360" w:lineRule="atLeast"/>
        <w:rPr>
          <w:rFonts w:ascii="Calibri" w:hAnsi="Calibri" w:cs="Calibri"/>
          <w:color w:val="000000"/>
          <w:sz w:val="27"/>
          <w:szCs w:val="27"/>
        </w:rPr>
      </w:pPr>
    </w:p>
    <w:p w14:paraId="74B1FE70" w14:textId="5E2DBB97" w:rsidR="007B04D8" w:rsidRDefault="007B04D8" w:rsidP="006354D8">
      <w:pPr>
        <w:pStyle w:val="NormalWeb"/>
        <w:rPr>
          <w:rFonts w:ascii="Calibri" w:hAnsi="Calibri" w:cs="Calibri"/>
          <w:color w:val="000000"/>
          <w:sz w:val="27"/>
          <w:szCs w:val="27"/>
        </w:rPr>
      </w:pPr>
      <w:r>
        <w:rPr>
          <w:rFonts w:ascii="Calibri" w:hAnsi="Calibri" w:cs="Calibri"/>
          <w:color w:val="000000"/>
          <w:sz w:val="27"/>
          <w:szCs w:val="27"/>
        </w:rPr>
        <w:t>‌</w:t>
      </w:r>
      <w:r>
        <w:rPr>
          <w:rFonts w:ascii="Calibri" w:hAnsi="Calibri" w:cs="Calibri"/>
          <w:i/>
          <w:iCs/>
          <w:color w:val="000000"/>
          <w:sz w:val="27"/>
          <w:szCs w:val="27"/>
        </w:rPr>
        <w:t>Data protection Act 2018</w:t>
      </w:r>
      <w:r>
        <w:rPr>
          <w:rFonts w:ascii="Calibri" w:hAnsi="Calibri" w:cs="Calibri"/>
          <w:color w:val="000000"/>
          <w:sz w:val="27"/>
          <w:szCs w:val="27"/>
        </w:rPr>
        <w:t xml:space="preserve">. Available at: </w:t>
      </w:r>
      <w:hyperlink r:id="rId32" w:history="1">
        <w:r w:rsidR="00B05948" w:rsidRPr="00AE3F53">
          <w:rPr>
            <w:rStyle w:val="Hyperlink"/>
            <w:rFonts w:ascii="Calibri" w:hAnsi="Calibri" w:cs="Calibri"/>
            <w:sz w:val="27"/>
            <w:szCs w:val="27"/>
          </w:rPr>
          <w:t>https://www.legislation.gov.uk/ukpga/2018/12/contents/enacted</w:t>
        </w:r>
      </w:hyperlink>
      <w:r w:rsidR="00B05948">
        <w:rPr>
          <w:rFonts w:ascii="Calibri" w:hAnsi="Calibri" w:cs="Calibri"/>
          <w:color w:val="000000"/>
          <w:sz w:val="27"/>
          <w:szCs w:val="27"/>
        </w:rPr>
        <w:t xml:space="preserve"> </w:t>
      </w:r>
      <w:r>
        <w:rPr>
          <w:rFonts w:ascii="Calibri" w:hAnsi="Calibri" w:cs="Calibri"/>
          <w:color w:val="000000"/>
          <w:sz w:val="27"/>
          <w:szCs w:val="27"/>
        </w:rPr>
        <w:t>[Accessed 8 Oct. 2023].</w:t>
      </w:r>
      <w:r>
        <w:rPr>
          <w:rFonts w:ascii="Calibri" w:hAnsi="Calibri" w:cs="Calibri"/>
          <w:color w:val="000000"/>
          <w:sz w:val="27"/>
          <w:szCs w:val="27"/>
        </w:rPr>
        <w:t xml:space="preserve"> </w:t>
      </w:r>
    </w:p>
    <w:p w14:paraId="78A9FA77" w14:textId="4A355C3A" w:rsidR="006354D8" w:rsidRPr="007F23E8" w:rsidRDefault="007B04D8" w:rsidP="006354D8">
      <w:pPr>
        <w:pStyle w:val="NormalWeb"/>
        <w:rPr>
          <w:rFonts w:ascii="Arial" w:hAnsi="Arial" w:cs="Arial"/>
          <w:color w:val="000000"/>
        </w:rPr>
      </w:pPr>
      <w:r>
        <w:rPr>
          <w:rFonts w:ascii="Calibri" w:hAnsi="Calibri" w:cs="Calibri"/>
          <w:color w:val="000000"/>
          <w:sz w:val="27"/>
          <w:szCs w:val="27"/>
        </w:rPr>
        <w:t>‌</w:t>
      </w:r>
      <w:r w:rsidR="006354D8" w:rsidRPr="006354D8">
        <w:rPr>
          <w:rFonts w:ascii="Arial" w:hAnsi="Arial" w:cs="Arial"/>
          <w:i/>
          <w:iCs/>
          <w:color w:val="000000"/>
        </w:rPr>
        <w:t xml:space="preserve"> </w:t>
      </w:r>
      <w:r w:rsidR="006354D8" w:rsidRPr="007F23E8">
        <w:rPr>
          <w:rFonts w:ascii="Arial" w:hAnsi="Arial" w:cs="Arial"/>
          <w:i/>
          <w:iCs/>
          <w:color w:val="000000"/>
        </w:rPr>
        <w:t>Human Rights Act 1998</w:t>
      </w:r>
      <w:r w:rsidR="006354D8" w:rsidRPr="007F23E8">
        <w:rPr>
          <w:rFonts w:ascii="Arial" w:hAnsi="Arial" w:cs="Arial"/>
          <w:color w:val="000000"/>
        </w:rPr>
        <w:t xml:space="preserve">. Available at: </w:t>
      </w:r>
      <w:hyperlink r:id="rId33" w:history="1">
        <w:r w:rsidR="006354D8" w:rsidRPr="00AE3F53">
          <w:rPr>
            <w:rStyle w:val="Hyperlink"/>
            <w:rFonts w:ascii="Arial" w:hAnsi="Arial" w:cs="Arial"/>
          </w:rPr>
          <w:t>https://www.legislation.gov.uk/ukpga/1998/42/contents</w:t>
        </w:r>
      </w:hyperlink>
      <w:r w:rsidR="006354D8">
        <w:rPr>
          <w:rFonts w:ascii="Arial" w:hAnsi="Arial" w:cs="Arial"/>
          <w:color w:val="000000"/>
        </w:rPr>
        <w:t xml:space="preserve"> </w:t>
      </w:r>
      <w:r w:rsidR="006354D8" w:rsidRPr="007F23E8">
        <w:rPr>
          <w:rFonts w:ascii="Arial" w:hAnsi="Arial" w:cs="Arial"/>
          <w:color w:val="000000"/>
        </w:rPr>
        <w:t xml:space="preserve"> [Accessed 8 Oct. 2023].</w:t>
      </w:r>
    </w:p>
    <w:p w14:paraId="6B7B1781" w14:textId="2BFAA915" w:rsidR="007B04D8" w:rsidRDefault="007B04D8" w:rsidP="007B04D8">
      <w:pPr>
        <w:pStyle w:val="NormalWeb"/>
        <w:rPr>
          <w:rFonts w:ascii="Calibri" w:hAnsi="Calibri" w:cs="Calibri"/>
          <w:color w:val="000000"/>
          <w:sz w:val="27"/>
          <w:szCs w:val="27"/>
        </w:rPr>
      </w:pPr>
    </w:p>
    <w:p w14:paraId="070B31F1" w14:textId="7033871E" w:rsidR="009E4CC0" w:rsidRDefault="005970DA" w:rsidP="006354D8">
      <w:pPr>
        <w:pStyle w:val="NormalWeb"/>
        <w:rPr>
          <w:rFonts w:ascii="Calibri" w:hAnsi="Calibri" w:cs="Calibri"/>
          <w:color w:val="000000"/>
          <w:sz w:val="27"/>
          <w:szCs w:val="27"/>
        </w:rPr>
      </w:pPr>
      <w:r>
        <w:rPr>
          <w:rFonts w:ascii="Calibri" w:hAnsi="Calibri" w:cs="Calibri"/>
          <w:color w:val="000000"/>
          <w:sz w:val="27"/>
          <w:szCs w:val="27"/>
        </w:rPr>
        <w:t>‌</w:t>
      </w:r>
      <w:r w:rsidR="009E4CC0">
        <w:rPr>
          <w:rFonts w:ascii="Calibri" w:hAnsi="Calibri" w:cs="Calibri"/>
          <w:i/>
          <w:iCs/>
          <w:color w:val="000000"/>
          <w:sz w:val="27"/>
          <w:szCs w:val="27"/>
        </w:rPr>
        <w:t>Police and Criminal Evidence Act 1984</w:t>
      </w:r>
      <w:r w:rsidR="009E4CC0">
        <w:rPr>
          <w:rFonts w:ascii="Calibri" w:hAnsi="Calibri" w:cs="Calibri"/>
          <w:color w:val="000000"/>
          <w:sz w:val="27"/>
          <w:szCs w:val="27"/>
        </w:rPr>
        <w:t>.</w:t>
      </w:r>
      <w:r w:rsidR="00E45F3E">
        <w:rPr>
          <w:rFonts w:ascii="Calibri" w:hAnsi="Calibri" w:cs="Calibri"/>
          <w:color w:val="000000"/>
          <w:sz w:val="27"/>
          <w:szCs w:val="27"/>
        </w:rPr>
        <w:t xml:space="preserve"> Section </w:t>
      </w:r>
      <w:r w:rsidR="009E4CC0">
        <w:rPr>
          <w:rFonts w:ascii="Calibri" w:hAnsi="Calibri" w:cs="Calibri"/>
          <w:color w:val="000000"/>
          <w:sz w:val="27"/>
          <w:szCs w:val="27"/>
        </w:rPr>
        <w:t xml:space="preserve">24 [online] Available at: </w:t>
      </w:r>
      <w:hyperlink r:id="rId34" w:history="1">
        <w:r w:rsidR="009E4CC0" w:rsidRPr="00AE3F53">
          <w:rPr>
            <w:rStyle w:val="Hyperlink"/>
            <w:rFonts w:ascii="Calibri" w:hAnsi="Calibri" w:cs="Calibri"/>
            <w:sz w:val="27"/>
            <w:szCs w:val="27"/>
          </w:rPr>
          <w:t>https://www.legislation.gov.uk/ukpga/1984/60/section/24/2017-04-30#:~:text=(d)anyone%20whom%20he%20has,of%20being%20guilty%20of%20it</w:t>
        </w:r>
      </w:hyperlink>
      <w:r w:rsidR="009E4CC0">
        <w:rPr>
          <w:rFonts w:ascii="Calibri" w:hAnsi="Calibri" w:cs="Calibri"/>
          <w:color w:val="000000"/>
          <w:sz w:val="27"/>
          <w:szCs w:val="27"/>
        </w:rPr>
        <w:t xml:space="preserve">. </w:t>
      </w:r>
    </w:p>
    <w:p w14:paraId="551D1B0E" w14:textId="3EA97C1D" w:rsidR="009E4CC0" w:rsidRDefault="009E4CC0" w:rsidP="009E4CC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8 Oct. 2023].</w:t>
      </w:r>
    </w:p>
    <w:p w14:paraId="4A2D15C8" w14:textId="77777777" w:rsidR="009E4CC0" w:rsidRDefault="009E4CC0" w:rsidP="009E4CC0">
      <w:pPr>
        <w:pStyle w:val="NormalWeb"/>
        <w:spacing w:before="0" w:beforeAutospacing="0" w:after="0" w:afterAutospacing="0" w:line="360" w:lineRule="atLeast"/>
        <w:rPr>
          <w:rFonts w:ascii="Calibri" w:hAnsi="Calibri" w:cs="Calibri"/>
          <w:color w:val="000000"/>
          <w:sz w:val="27"/>
          <w:szCs w:val="27"/>
        </w:rPr>
      </w:pPr>
    </w:p>
    <w:p w14:paraId="6F05DEBF" w14:textId="48E4C909" w:rsidR="00E45F3E" w:rsidRDefault="009E4CC0" w:rsidP="00E45F3E">
      <w:pPr>
        <w:pStyle w:val="NormalWeb"/>
        <w:rPr>
          <w:rFonts w:ascii="Arial" w:hAnsi="Arial" w:cs="Arial"/>
          <w:color w:val="000000"/>
        </w:rPr>
      </w:pPr>
      <w:r>
        <w:rPr>
          <w:rFonts w:ascii="Calibri" w:hAnsi="Calibri" w:cs="Calibri"/>
          <w:color w:val="000000"/>
          <w:sz w:val="27"/>
          <w:szCs w:val="27"/>
        </w:rPr>
        <w:t>‌</w:t>
      </w:r>
      <w:r w:rsidR="00E45F3E" w:rsidRPr="00E45F3E">
        <w:rPr>
          <w:rFonts w:ascii="Arial" w:hAnsi="Arial" w:cs="Arial"/>
          <w:i/>
          <w:iCs/>
          <w:color w:val="000000"/>
        </w:rPr>
        <w:t xml:space="preserve"> </w:t>
      </w:r>
      <w:r w:rsidR="00E45F3E" w:rsidRPr="007F23E8">
        <w:rPr>
          <w:rFonts w:ascii="Arial" w:hAnsi="Arial" w:cs="Arial"/>
          <w:i/>
          <w:iCs/>
          <w:color w:val="000000"/>
        </w:rPr>
        <w:t>Police and Criminal Evidence Act 1984</w:t>
      </w:r>
      <w:r w:rsidR="00E45F3E" w:rsidRPr="007F23E8">
        <w:rPr>
          <w:rFonts w:ascii="Arial" w:hAnsi="Arial" w:cs="Arial"/>
          <w:color w:val="000000"/>
        </w:rPr>
        <w:t xml:space="preserve">. Section 117 [online] Available at: </w:t>
      </w:r>
      <w:hyperlink r:id="rId35" w:history="1">
        <w:r w:rsidR="00E45F3E" w:rsidRPr="00AE3F53">
          <w:rPr>
            <w:rStyle w:val="Hyperlink"/>
            <w:rFonts w:ascii="Arial" w:hAnsi="Arial" w:cs="Arial"/>
          </w:rPr>
          <w:t>https://www.legislation.gov.uk/ukpga/1984/60/section/117</w:t>
        </w:r>
      </w:hyperlink>
      <w:r w:rsidR="00E45F3E">
        <w:rPr>
          <w:rFonts w:ascii="Arial" w:hAnsi="Arial" w:cs="Arial"/>
          <w:color w:val="000000"/>
        </w:rPr>
        <w:t xml:space="preserve"> </w:t>
      </w:r>
      <w:r w:rsidR="00E45F3E" w:rsidRPr="007F23E8">
        <w:rPr>
          <w:rFonts w:ascii="Arial" w:hAnsi="Arial" w:cs="Arial"/>
          <w:color w:val="000000"/>
        </w:rPr>
        <w:t xml:space="preserve"> [Accessed 8 Oct. 2023].</w:t>
      </w:r>
    </w:p>
    <w:p w14:paraId="7529AE2E" w14:textId="77777777" w:rsidR="00B52892" w:rsidRPr="007F23E8" w:rsidRDefault="00B52892" w:rsidP="00E45F3E">
      <w:pPr>
        <w:pStyle w:val="NormalWeb"/>
        <w:rPr>
          <w:rFonts w:ascii="Arial" w:hAnsi="Arial" w:cs="Arial"/>
          <w:color w:val="000000"/>
        </w:rPr>
      </w:pPr>
    </w:p>
    <w:p w14:paraId="0699C843" w14:textId="72E92856" w:rsidR="00B52892" w:rsidRDefault="00B52892" w:rsidP="00B528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The Public Order Act 1986</w:t>
      </w:r>
      <w:r>
        <w:rPr>
          <w:rFonts w:ascii="Calibri" w:hAnsi="Calibri" w:cs="Calibri"/>
          <w:color w:val="000000"/>
          <w:sz w:val="27"/>
          <w:szCs w:val="27"/>
        </w:rPr>
        <w:t xml:space="preserve">.4 [online] Available at: </w:t>
      </w:r>
      <w:hyperlink r:id="rId36" w:history="1">
        <w:r w:rsidRPr="00AE3F53">
          <w:rPr>
            <w:rStyle w:val="Hyperlink"/>
            <w:rFonts w:ascii="Calibri" w:hAnsi="Calibri" w:cs="Calibri"/>
            <w:sz w:val="27"/>
            <w:szCs w:val="27"/>
          </w:rPr>
          <w:t>https://www.legislation.gov.uk/ukpga/1986/64/section/4</w:t>
        </w:r>
      </w:hyperlink>
      <w:r>
        <w:rPr>
          <w:rFonts w:ascii="Calibri" w:hAnsi="Calibri" w:cs="Calibri"/>
          <w:color w:val="000000"/>
          <w:sz w:val="27"/>
          <w:szCs w:val="27"/>
        </w:rPr>
        <w:t xml:space="preserve"> </w:t>
      </w:r>
      <w:r>
        <w:rPr>
          <w:rFonts w:ascii="Calibri" w:hAnsi="Calibri" w:cs="Calibri"/>
          <w:color w:val="000000"/>
          <w:sz w:val="27"/>
          <w:szCs w:val="27"/>
        </w:rPr>
        <w:t xml:space="preserve"> [Accessed 8 Oct. 2023].</w:t>
      </w:r>
    </w:p>
    <w:p w14:paraId="54A4788C" w14:textId="77777777" w:rsidR="00B52892" w:rsidRDefault="00B52892" w:rsidP="00B52892">
      <w:pPr>
        <w:pStyle w:val="NormalWeb"/>
        <w:rPr>
          <w:rFonts w:ascii="Calibri" w:hAnsi="Calibri" w:cs="Calibri"/>
          <w:color w:val="000000"/>
          <w:sz w:val="27"/>
          <w:szCs w:val="27"/>
        </w:rPr>
      </w:pPr>
      <w:r>
        <w:rPr>
          <w:rFonts w:ascii="Calibri" w:hAnsi="Calibri" w:cs="Calibri"/>
          <w:color w:val="000000"/>
          <w:sz w:val="27"/>
          <w:szCs w:val="27"/>
        </w:rPr>
        <w:t>‌</w:t>
      </w:r>
    </w:p>
    <w:p w14:paraId="03D37BB8" w14:textId="5B0C05E5" w:rsidR="006354D8" w:rsidRDefault="006354D8" w:rsidP="006354D8">
      <w:pPr>
        <w:pStyle w:val="NormalWeb"/>
        <w:spacing w:before="0" w:beforeAutospacing="0" w:after="0" w:afterAutospacing="0" w:line="360" w:lineRule="atLeast"/>
        <w:rPr>
          <w:rFonts w:ascii="Calibri" w:hAnsi="Calibri" w:cs="Calibri"/>
          <w:color w:val="000000"/>
          <w:sz w:val="27"/>
          <w:szCs w:val="27"/>
        </w:rPr>
      </w:pPr>
      <w:r w:rsidRPr="006354D8">
        <w:rPr>
          <w:rFonts w:ascii="Calibri" w:hAnsi="Calibri" w:cs="Calibri"/>
          <w:color w:val="000000"/>
          <w:sz w:val="27"/>
          <w:szCs w:val="27"/>
        </w:rPr>
        <w:t xml:space="preserve"> </w:t>
      </w:r>
      <w:r>
        <w:rPr>
          <w:rFonts w:ascii="Calibri" w:hAnsi="Calibri" w:cs="Calibri"/>
          <w:color w:val="000000"/>
          <w:sz w:val="27"/>
          <w:szCs w:val="27"/>
        </w:rPr>
        <w:t>Ward, T., Gannon, T.A. and Birgden, A. (2007). Human Rights and the Treatment of Sex Offenders. </w:t>
      </w:r>
      <w:r>
        <w:rPr>
          <w:rFonts w:ascii="Calibri" w:hAnsi="Calibri" w:cs="Calibri"/>
          <w:i/>
          <w:iCs/>
          <w:color w:val="000000"/>
          <w:sz w:val="27"/>
          <w:szCs w:val="27"/>
        </w:rPr>
        <w:t>Sexual Abuse: A Journal of Research and Treatment</w:t>
      </w:r>
      <w:r>
        <w:rPr>
          <w:rFonts w:ascii="Calibri" w:hAnsi="Calibri" w:cs="Calibri"/>
          <w:color w:val="000000"/>
          <w:sz w:val="27"/>
          <w:szCs w:val="27"/>
        </w:rPr>
        <w:t xml:space="preserve">, 19(3), pp.195–216. doi:https://doi.org/10.1007/s11194-007-9053-4. </w:t>
      </w:r>
    </w:p>
    <w:p w14:paraId="0FEE89A4" w14:textId="633DF205" w:rsidR="006354D8" w:rsidRDefault="006354D8" w:rsidP="006354D8">
      <w:pPr>
        <w:pStyle w:val="NormalWeb"/>
        <w:rPr>
          <w:rFonts w:ascii="Calibri" w:hAnsi="Calibri" w:cs="Calibri"/>
          <w:color w:val="000000"/>
          <w:sz w:val="27"/>
          <w:szCs w:val="27"/>
        </w:rPr>
      </w:pPr>
    </w:p>
    <w:p w14:paraId="096AC84A" w14:textId="77777777" w:rsidR="009E4CC0" w:rsidRDefault="009E4CC0" w:rsidP="009E4CC0">
      <w:pPr>
        <w:pStyle w:val="NormalWeb"/>
        <w:rPr>
          <w:rFonts w:ascii="Calibri" w:hAnsi="Calibri" w:cs="Calibri"/>
          <w:color w:val="000000"/>
          <w:sz w:val="27"/>
          <w:szCs w:val="27"/>
        </w:rPr>
      </w:pPr>
    </w:p>
    <w:p w14:paraId="65B57EC0" w14:textId="77777777" w:rsidR="00E274CE" w:rsidRDefault="00E274CE" w:rsidP="0048508F">
      <w:pPr>
        <w:overflowPunct/>
        <w:autoSpaceDE/>
        <w:autoSpaceDN/>
        <w:adjustRightInd/>
        <w:ind w:right="107"/>
        <w:textAlignment w:val="auto"/>
      </w:pPr>
    </w:p>
    <w:p w14:paraId="0741AB67" w14:textId="77777777" w:rsidR="00E274CE" w:rsidRDefault="00E274CE" w:rsidP="0048508F">
      <w:pPr>
        <w:overflowPunct/>
        <w:autoSpaceDE/>
        <w:autoSpaceDN/>
        <w:adjustRightInd/>
        <w:ind w:right="107"/>
        <w:textAlignment w:val="auto"/>
      </w:pPr>
    </w:p>
    <w:p w14:paraId="665E278C" w14:textId="77777777" w:rsidR="00E274CE" w:rsidRDefault="00E274CE" w:rsidP="0048508F">
      <w:pPr>
        <w:overflowPunct/>
        <w:autoSpaceDE/>
        <w:autoSpaceDN/>
        <w:adjustRightInd/>
        <w:ind w:right="107"/>
        <w:textAlignment w:val="auto"/>
      </w:pPr>
    </w:p>
    <w:p w14:paraId="7C3612EE" w14:textId="77777777" w:rsidR="00E274CE" w:rsidRDefault="00E274CE" w:rsidP="0048508F">
      <w:pPr>
        <w:overflowPunct/>
        <w:autoSpaceDE/>
        <w:autoSpaceDN/>
        <w:adjustRightInd/>
        <w:ind w:right="107"/>
        <w:textAlignment w:val="auto"/>
      </w:pPr>
    </w:p>
    <w:p w14:paraId="15B9E4E7" w14:textId="77777777" w:rsidR="00E274CE" w:rsidRDefault="00E274CE" w:rsidP="0048508F">
      <w:pPr>
        <w:overflowPunct/>
        <w:autoSpaceDE/>
        <w:autoSpaceDN/>
        <w:adjustRightInd/>
        <w:ind w:right="107"/>
        <w:textAlignment w:val="auto"/>
      </w:pPr>
    </w:p>
    <w:p w14:paraId="6BAE2D70" w14:textId="77777777" w:rsidR="00E274CE" w:rsidRDefault="00E274CE" w:rsidP="0048508F">
      <w:pPr>
        <w:overflowPunct/>
        <w:autoSpaceDE/>
        <w:autoSpaceDN/>
        <w:adjustRightInd/>
        <w:ind w:right="107"/>
        <w:textAlignment w:val="auto"/>
      </w:pPr>
    </w:p>
    <w:p w14:paraId="1194D43D" w14:textId="77777777" w:rsidR="00E274CE" w:rsidRDefault="00E274CE" w:rsidP="0048508F">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F36B02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6820B6">
        <w:rPr>
          <w:rFonts w:eastAsia="Arial"/>
          <w:color w:val="000000" w:themeColor="text1"/>
          <w:sz w:val="24"/>
          <w:szCs w:val="24"/>
          <w:highlight w:val="yellow"/>
        </w:rPr>
        <w:t>Aida L. Hjerto</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7EE3C3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6820B6">
        <w:rPr>
          <w:rFonts w:eastAsia="Arial"/>
          <w:color w:val="000000" w:themeColor="text1"/>
          <w:sz w:val="24"/>
          <w:szCs w:val="24"/>
          <w:highlight w:val="yellow"/>
        </w:rPr>
        <w:t>08/10/2023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0541601"/>
    <w:multiLevelType w:val="multilevel"/>
    <w:tmpl w:val="8E6C2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9625824">
    <w:abstractNumId w:val="39"/>
  </w:num>
  <w:num w:numId="2" w16cid:durableId="1978603523">
    <w:abstractNumId w:val="32"/>
  </w:num>
  <w:num w:numId="3" w16cid:durableId="1502893588">
    <w:abstractNumId w:val="23"/>
  </w:num>
  <w:num w:numId="4" w16cid:durableId="463697228">
    <w:abstractNumId w:val="1"/>
    <w:lvlOverride w:ilvl="0">
      <w:lvl w:ilvl="0">
        <w:start w:val="1"/>
        <w:numFmt w:val="bullet"/>
        <w:lvlText w:val=""/>
        <w:lvlJc w:val="left"/>
        <w:pPr>
          <w:ind w:left="720" w:hanging="360"/>
        </w:pPr>
        <w:rPr>
          <w:rFonts w:ascii="Symbol" w:hAnsi="Symbol" w:hint="default"/>
        </w:rPr>
      </w:lvl>
    </w:lvlOverride>
  </w:num>
  <w:num w:numId="5" w16cid:durableId="271401716">
    <w:abstractNumId w:val="21"/>
  </w:num>
  <w:num w:numId="6" w16cid:durableId="436366418">
    <w:abstractNumId w:val="46"/>
  </w:num>
  <w:num w:numId="7" w16cid:durableId="1551650691">
    <w:abstractNumId w:val="48"/>
  </w:num>
  <w:num w:numId="8" w16cid:durableId="868182209">
    <w:abstractNumId w:val="35"/>
  </w:num>
  <w:num w:numId="9" w16cid:durableId="952907610">
    <w:abstractNumId w:val="33"/>
  </w:num>
  <w:num w:numId="10" w16cid:durableId="137036721">
    <w:abstractNumId w:val="29"/>
  </w:num>
  <w:num w:numId="11" w16cid:durableId="847907067">
    <w:abstractNumId w:val="30"/>
  </w:num>
  <w:num w:numId="12" w16cid:durableId="1530291664">
    <w:abstractNumId w:val="9"/>
  </w:num>
  <w:num w:numId="13" w16cid:durableId="1027755110">
    <w:abstractNumId w:val="34"/>
  </w:num>
  <w:num w:numId="14" w16cid:durableId="750271602">
    <w:abstractNumId w:val="16"/>
  </w:num>
  <w:num w:numId="15" w16cid:durableId="342052510">
    <w:abstractNumId w:val="15"/>
  </w:num>
  <w:num w:numId="16" w16cid:durableId="2087218107">
    <w:abstractNumId w:val="27"/>
  </w:num>
  <w:num w:numId="17" w16cid:durableId="449012609">
    <w:abstractNumId w:val="7"/>
  </w:num>
  <w:num w:numId="18" w16cid:durableId="254558132">
    <w:abstractNumId w:val="25"/>
  </w:num>
  <w:num w:numId="19" w16cid:durableId="925528644">
    <w:abstractNumId w:val="14"/>
  </w:num>
  <w:num w:numId="20" w16cid:durableId="112209622">
    <w:abstractNumId w:val="12"/>
  </w:num>
  <w:num w:numId="21" w16cid:durableId="14936676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86059925">
    <w:abstractNumId w:val="22"/>
  </w:num>
  <w:num w:numId="23" w16cid:durableId="975600969">
    <w:abstractNumId w:val="17"/>
  </w:num>
  <w:num w:numId="24" w16cid:durableId="691153301">
    <w:abstractNumId w:val="13"/>
  </w:num>
  <w:num w:numId="25" w16cid:durableId="1556117603">
    <w:abstractNumId w:val="10"/>
  </w:num>
  <w:num w:numId="26" w16cid:durableId="1198473378">
    <w:abstractNumId w:val="28"/>
  </w:num>
  <w:num w:numId="27" w16cid:durableId="1466195205">
    <w:abstractNumId w:val="18"/>
  </w:num>
  <w:num w:numId="28" w16cid:durableId="450367656">
    <w:abstractNumId w:val="42"/>
  </w:num>
  <w:num w:numId="29" w16cid:durableId="383451821">
    <w:abstractNumId w:val="36"/>
  </w:num>
  <w:num w:numId="30" w16cid:durableId="1546021629">
    <w:abstractNumId w:val="41"/>
  </w:num>
  <w:num w:numId="31" w16cid:durableId="134027131">
    <w:abstractNumId w:val="19"/>
  </w:num>
  <w:num w:numId="32" w16cid:durableId="1040320736">
    <w:abstractNumId w:val="44"/>
  </w:num>
  <w:num w:numId="33" w16cid:durableId="1993755163">
    <w:abstractNumId w:val="31"/>
  </w:num>
  <w:num w:numId="34" w16cid:durableId="1006438499">
    <w:abstractNumId w:val="11"/>
  </w:num>
  <w:num w:numId="35" w16cid:durableId="1854412192">
    <w:abstractNumId w:val="45"/>
  </w:num>
  <w:num w:numId="36" w16cid:durableId="321812224">
    <w:abstractNumId w:val="40"/>
  </w:num>
  <w:num w:numId="37" w16cid:durableId="1306472000">
    <w:abstractNumId w:val="4"/>
  </w:num>
  <w:num w:numId="38" w16cid:durableId="2072925271">
    <w:abstractNumId w:val="47"/>
  </w:num>
  <w:num w:numId="39" w16cid:durableId="641813984">
    <w:abstractNumId w:val="43"/>
  </w:num>
  <w:num w:numId="40" w16cid:durableId="1964146210">
    <w:abstractNumId w:val="37"/>
  </w:num>
  <w:num w:numId="41" w16cid:durableId="613946770">
    <w:abstractNumId w:val="38"/>
  </w:num>
  <w:num w:numId="42" w16cid:durableId="222108669">
    <w:abstractNumId w:val="3"/>
  </w:num>
  <w:num w:numId="43" w16cid:durableId="2074696537">
    <w:abstractNumId w:val="5"/>
  </w:num>
  <w:num w:numId="44" w16cid:durableId="419453495">
    <w:abstractNumId w:val="24"/>
  </w:num>
  <w:num w:numId="45" w16cid:durableId="1221212660">
    <w:abstractNumId w:val="6"/>
  </w:num>
  <w:num w:numId="46" w16cid:durableId="1478261530">
    <w:abstractNumId w:val="2"/>
  </w:num>
  <w:num w:numId="47" w16cid:durableId="1143430791">
    <w:abstractNumId w:val="0"/>
  </w:num>
  <w:num w:numId="48" w16cid:durableId="880560403">
    <w:abstractNumId w:val="20"/>
  </w:num>
  <w:num w:numId="49" w16cid:durableId="1774395115">
    <w:abstractNumId w:val="49"/>
  </w:num>
  <w:num w:numId="50" w16cid:durableId="987978946">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442F"/>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6DD"/>
    <w:rsid w:val="000F1599"/>
    <w:rsid w:val="000F1769"/>
    <w:rsid w:val="000F6196"/>
    <w:rsid w:val="000F7ECD"/>
    <w:rsid w:val="00102E64"/>
    <w:rsid w:val="0010312C"/>
    <w:rsid w:val="00106D6A"/>
    <w:rsid w:val="00106DC7"/>
    <w:rsid w:val="00112391"/>
    <w:rsid w:val="00112751"/>
    <w:rsid w:val="00114F52"/>
    <w:rsid w:val="001347F8"/>
    <w:rsid w:val="00137BB5"/>
    <w:rsid w:val="00137E05"/>
    <w:rsid w:val="0014011C"/>
    <w:rsid w:val="001447F6"/>
    <w:rsid w:val="00147DE3"/>
    <w:rsid w:val="00150193"/>
    <w:rsid w:val="00150794"/>
    <w:rsid w:val="00153C0B"/>
    <w:rsid w:val="001608C4"/>
    <w:rsid w:val="001678DD"/>
    <w:rsid w:val="00171418"/>
    <w:rsid w:val="001750F8"/>
    <w:rsid w:val="001961CF"/>
    <w:rsid w:val="001A59BB"/>
    <w:rsid w:val="001A6A51"/>
    <w:rsid w:val="001A79C4"/>
    <w:rsid w:val="001B331A"/>
    <w:rsid w:val="001C0C77"/>
    <w:rsid w:val="001C0E74"/>
    <w:rsid w:val="001D229F"/>
    <w:rsid w:val="001F1A01"/>
    <w:rsid w:val="001F4552"/>
    <w:rsid w:val="00200AC5"/>
    <w:rsid w:val="002019EB"/>
    <w:rsid w:val="002030F2"/>
    <w:rsid w:val="00205051"/>
    <w:rsid w:val="00206319"/>
    <w:rsid w:val="00211F65"/>
    <w:rsid w:val="00220D06"/>
    <w:rsid w:val="002246A0"/>
    <w:rsid w:val="00224AF9"/>
    <w:rsid w:val="00230439"/>
    <w:rsid w:val="002333C2"/>
    <w:rsid w:val="00235176"/>
    <w:rsid w:val="00236061"/>
    <w:rsid w:val="00240616"/>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0849"/>
    <w:rsid w:val="002B1701"/>
    <w:rsid w:val="002B23C3"/>
    <w:rsid w:val="002B443A"/>
    <w:rsid w:val="002B5B35"/>
    <w:rsid w:val="002C256A"/>
    <w:rsid w:val="002C496D"/>
    <w:rsid w:val="002D05EB"/>
    <w:rsid w:val="002D2A62"/>
    <w:rsid w:val="002D2F29"/>
    <w:rsid w:val="002E7017"/>
    <w:rsid w:val="002F4F6E"/>
    <w:rsid w:val="003015C3"/>
    <w:rsid w:val="0030C684"/>
    <w:rsid w:val="0031187F"/>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4DF"/>
    <w:rsid w:val="004608B9"/>
    <w:rsid w:val="00465947"/>
    <w:rsid w:val="00470BB1"/>
    <w:rsid w:val="004718F7"/>
    <w:rsid w:val="00473153"/>
    <w:rsid w:val="004743AF"/>
    <w:rsid w:val="004814D0"/>
    <w:rsid w:val="00482C17"/>
    <w:rsid w:val="0048508F"/>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70DA"/>
    <w:rsid w:val="005A1B4C"/>
    <w:rsid w:val="005A545C"/>
    <w:rsid w:val="005C1567"/>
    <w:rsid w:val="005C6CE5"/>
    <w:rsid w:val="005C6E3A"/>
    <w:rsid w:val="005D3F07"/>
    <w:rsid w:val="005D6686"/>
    <w:rsid w:val="005E13EA"/>
    <w:rsid w:val="0060528B"/>
    <w:rsid w:val="00606E27"/>
    <w:rsid w:val="006108C9"/>
    <w:rsid w:val="00616D7F"/>
    <w:rsid w:val="0062158D"/>
    <w:rsid w:val="00630F39"/>
    <w:rsid w:val="006326D1"/>
    <w:rsid w:val="00632E0A"/>
    <w:rsid w:val="00633165"/>
    <w:rsid w:val="006354D8"/>
    <w:rsid w:val="0064024C"/>
    <w:rsid w:val="0064176F"/>
    <w:rsid w:val="006447DE"/>
    <w:rsid w:val="0065276E"/>
    <w:rsid w:val="00654329"/>
    <w:rsid w:val="00654CEC"/>
    <w:rsid w:val="00655507"/>
    <w:rsid w:val="00663B29"/>
    <w:rsid w:val="006712A7"/>
    <w:rsid w:val="00674FC2"/>
    <w:rsid w:val="00677E42"/>
    <w:rsid w:val="006820B6"/>
    <w:rsid w:val="00682334"/>
    <w:rsid w:val="00684B16"/>
    <w:rsid w:val="006936EB"/>
    <w:rsid w:val="00696F65"/>
    <w:rsid w:val="006A7A6D"/>
    <w:rsid w:val="006B5E67"/>
    <w:rsid w:val="006B718C"/>
    <w:rsid w:val="006B7851"/>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A23"/>
    <w:rsid w:val="00743E40"/>
    <w:rsid w:val="00745FDB"/>
    <w:rsid w:val="00751263"/>
    <w:rsid w:val="0075704F"/>
    <w:rsid w:val="00763B2D"/>
    <w:rsid w:val="00772924"/>
    <w:rsid w:val="00772C15"/>
    <w:rsid w:val="00785CA8"/>
    <w:rsid w:val="007872F2"/>
    <w:rsid w:val="007908E0"/>
    <w:rsid w:val="00792181"/>
    <w:rsid w:val="00793EB3"/>
    <w:rsid w:val="00794205"/>
    <w:rsid w:val="007A03A6"/>
    <w:rsid w:val="007A1F6A"/>
    <w:rsid w:val="007B04D8"/>
    <w:rsid w:val="007B0DE3"/>
    <w:rsid w:val="007B1BD3"/>
    <w:rsid w:val="007B2EA5"/>
    <w:rsid w:val="007B491F"/>
    <w:rsid w:val="007B7191"/>
    <w:rsid w:val="007C1634"/>
    <w:rsid w:val="007C1D94"/>
    <w:rsid w:val="007C2879"/>
    <w:rsid w:val="007C6A87"/>
    <w:rsid w:val="007C705D"/>
    <w:rsid w:val="007D0A07"/>
    <w:rsid w:val="007D133D"/>
    <w:rsid w:val="007D3EB4"/>
    <w:rsid w:val="007D3F16"/>
    <w:rsid w:val="007D6D61"/>
    <w:rsid w:val="007F0796"/>
    <w:rsid w:val="007F23E8"/>
    <w:rsid w:val="007F371B"/>
    <w:rsid w:val="007F3F7E"/>
    <w:rsid w:val="007F4480"/>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475F5"/>
    <w:rsid w:val="00850FB1"/>
    <w:rsid w:val="0085230E"/>
    <w:rsid w:val="00852D7D"/>
    <w:rsid w:val="008550A1"/>
    <w:rsid w:val="00856B24"/>
    <w:rsid w:val="00861038"/>
    <w:rsid w:val="00864BA8"/>
    <w:rsid w:val="00866B50"/>
    <w:rsid w:val="008708F1"/>
    <w:rsid w:val="00880539"/>
    <w:rsid w:val="008859E8"/>
    <w:rsid w:val="0088737B"/>
    <w:rsid w:val="00892716"/>
    <w:rsid w:val="00893067"/>
    <w:rsid w:val="008933DE"/>
    <w:rsid w:val="00894673"/>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1D59"/>
    <w:rsid w:val="00991FDA"/>
    <w:rsid w:val="009927A1"/>
    <w:rsid w:val="009A5F3B"/>
    <w:rsid w:val="009B0B61"/>
    <w:rsid w:val="009B28C0"/>
    <w:rsid w:val="009B32A9"/>
    <w:rsid w:val="009B7136"/>
    <w:rsid w:val="009B7806"/>
    <w:rsid w:val="009C3AC2"/>
    <w:rsid w:val="009D25B4"/>
    <w:rsid w:val="009D3B0A"/>
    <w:rsid w:val="009D4365"/>
    <w:rsid w:val="009D4E3B"/>
    <w:rsid w:val="009D7BC9"/>
    <w:rsid w:val="009E1982"/>
    <w:rsid w:val="009E4CC0"/>
    <w:rsid w:val="009E4D2C"/>
    <w:rsid w:val="009F0978"/>
    <w:rsid w:val="009F3AEC"/>
    <w:rsid w:val="00A00081"/>
    <w:rsid w:val="00A001C6"/>
    <w:rsid w:val="00A029A8"/>
    <w:rsid w:val="00A10D56"/>
    <w:rsid w:val="00A11EB7"/>
    <w:rsid w:val="00A12AAE"/>
    <w:rsid w:val="00A14D58"/>
    <w:rsid w:val="00A15BF1"/>
    <w:rsid w:val="00A16DD1"/>
    <w:rsid w:val="00A21347"/>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0A69"/>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13C"/>
    <w:rsid w:val="00B0296A"/>
    <w:rsid w:val="00B03185"/>
    <w:rsid w:val="00B05948"/>
    <w:rsid w:val="00B12295"/>
    <w:rsid w:val="00B137BE"/>
    <w:rsid w:val="00B17FA0"/>
    <w:rsid w:val="00B24344"/>
    <w:rsid w:val="00B26769"/>
    <w:rsid w:val="00B31C91"/>
    <w:rsid w:val="00B3747F"/>
    <w:rsid w:val="00B43194"/>
    <w:rsid w:val="00B47734"/>
    <w:rsid w:val="00B50FBA"/>
    <w:rsid w:val="00B52892"/>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4800"/>
    <w:rsid w:val="00BC5725"/>
    <w:rsid w:val="00BD30B1"/>
    <w:rsid w:val="00BD3424"/>
    <w:rsid w:val="00BD3A53"/>
    <w:rsid w:val="00BE0F7B"/>
    <w:rsid w:val="00BE10C2"/>
    <w:rsid w:val="00C01D14"/>
    <w:rsid w:val="00C025B4"/>
    <w:rsid w:val="00C161FD"/>
    <w:rsid w:val="00C23F17"/>
    <w:rsid w:val="00C26D0D"/>
    <w:rsid w:val="00C27180"/>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1B1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1AE1"/>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1345"/>
    <w:rsid w:val="00DC4729"/>
    <w:rsid w:val="00DF6FC9"/>
    <w:rsid w:val="00E17160"/>
    <w:rsid w:val="00E20581"/>
    <w:rsid w:val="00E274CE"/>
    <w:rsid w:val="00E35BEC"/>
    <w:rsid w:val="00E45F3E"/>
    <w:rsid w:val="00E47118"/>
    <w:rsid w:val="00E50821"/>
    <w:rsid w:val="00E51F91"/>
    <w:rsid w:val="00E6298B"/>
    <w:rsid w:val="00E7086E"/>
    <w:rsid w:val="00E70EE4"/>
    <w:rsid w:val="00E7374A"/>
    <w:rsid w:val="00E73C41"/>
    <w:rsid w:val="00E7598F"/>
    <w:rsid w:val="00E76F60"/>
    <w:rsid w:val="00E83D90"/>
    <w:rsid w:val="00E83F28"/>
    <w:rsid w:val="00E83F91"/>
    <w:rsid w:val="00E9107A"/>
    <w:rsid w:val="00E91F62"/>
    <w:rsid w:val="00E929FD"/>
    <w:rsid w:val="00E93240"/>
    <w:rsid w:val="00E9479B"/>
    <w:rsid w:val="00EA10DA"/>
    <w:rsid w:val="00EA3025"/>
    <w:rsid w:val="00EA4D48"/>
    <w:rsid w:val="00EB2173"/>
    <w:rsid w:val="00EB62E6"/>
    <w:rsid w:val="00ED009F"/>
    <w:rsid w:val="00ED1B30"/>
    <w:rsid w:val="00ED250E"/>
    <w:rsid w:val="00ED6516"/>
    <w:rsid w:val="00EE1AC1"/>
    <w:rsid w:val="00EE39D6"/>
    <w:rsid w:val="00EE52AD"/>
    <w:rsid w:val="00EF16C0"/>
    <w:rsid w:val="00F01F92"/>
    <w:rsid w:val="00F07090"/>
    <w:rsid w:val="00F10A08"/>
    <w:rsid w:val="00F22AC5"/>
    <w:rsid w:val="00F254D1"/>
    <w:rsid w:val="00F32B82"/>
    <w:rsid w:val="00F401C8"/>
    <w:rsid w:val="00F4043E"/>
    <w:rsid w:val="00F41BBC"/>
    <w:rsid w:val="00F43B9D"/>
    <w:rsid w:val="00F444F0"/>
    <w:rsid w:val="00F47F55"/>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5289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ccordion-tabbedtab-mobile">
    <w:name w:val="accordion-tabbed__tab-mobile"/>
    <w:basedOn w:val="DefaultParagraphFont"/>
    <w:rsid w:val="00BD3A53"/>
  </w:style>
  <w:style w:type="character" w:customStyle="1" w:styleId="comma-separator">
    <w:name w:val="comma-separator"/>
    <w:basedOn w:val="DefaultParagraphFont"/>
    <w:rsid w:val="00BD3A53"/>
  </w:style>
  <w:style w:type="character" w:styleId="UnresolvedMention">
    <w:name w:val="Unresolved Mention"/>
    <w:basedOn w:val="DefaultParagraphFont"/>
    <w:uiPriority w:val="99"/>
    <w:semiHidden/>
    <w:unhideWhenUsed/>
    <w:rsid w:val="00BC4800"/>
    <w:rPr>
      <w:color w:val="605E5C"/>
      <w:shd w:val="clear" w:color="auto" w:fill="E1DFDD"/>
    </w:rPr>
  </w:style>
  <w:style w:type="paragraph" w:customStyle="1" w:styleId="legclearfix">
    <w:name w:val="legclearfix"/>
    <w:basedOn w:val="Normal"/>
    <w:rsid w:val="00663B2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663B29"/>
  </w:style>
  <w:style w:type="paragraph" w:styleId="NormalWeb">
    <w:name w:val="Normal (Web)"/>
    <w:basedOn w:val="Normal"/>
    <w:uiPriority w:val="99"/>
    <w:unhideWhenUsed/>
    <w:rsid w:val="00EA30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EA3025"/>
    <w:rPr>
      <w:b/>
      <w:bCs/>
    </w:rPr>
  </w:style>
  <w:style w:type="character" w:customStyle="1" w:styleId="legds">
    <w:name w:val="legds"/>
    <w:basedOn w:val="DefaultParagraphFont"/>
    <w:rsid w:val="00200AC5"/>
  </w:style>
  <w:style w:type="paragraph" w:customStyle="1" w:styleId="legrhs">
    <w:name w:val="legrhs"/>
    <w:basedOn w:val="Normal"/>
    <w:rsid w:val="004814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20581"/>
    <w:rPr>
      <w:color w:val="954F72" w:themeColor="followedHyperlink"/>
      <w:u w:val="single"/>
    </w:rPr>
  </w:style>
  <w:style w:type="character" w:customStyle="1" w:styleId="Heading3Char">
    <w:name w:val="Heading 3 Char"/>
    <w:basedOn w:val="DefaultParagraphFont"/>
    <w:link w:val="Heading3"/>
    <w:uiPriority w:val="9"/>
    <w:semiHidden/>
    <w:rsid w:val="00B52892"/>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6862">
      <w:bodyDiv w:val="1"/>
      <w:marLeft w:val="0"/>
      <w:marRight w:val="0"/>
      <w:marTop w:val="0"/>
      <w:marBottom w:val="0"/>
      <w:divBdr>
        <w:top w:val="none" w:sz="0" w:space="0" w:color="auto"/>
        <w:left w:val="none" w:sz="0" w:space="0" w:color="auto"/>
        <w:bottom w:val="none" w:sz="0" w:space="0" w:color="auto"/>
        <w:right w:val="none" w:sz="0" w:space="0" w:color="auto"/>
      </w:divBdr>
    </w:div>
    <w:div w:id="49576267">
      <w:bodyDiv w:val="1"/>
      <w:marLeft w:val="0"/>
      <w:marRight w:val="0"/>
      <w:marTop w:val="0"/>
      <w:marBottom w:val="0"/>
      <w:divBdr>
        <w:top w:val="none" w:sz="0" w:space="0" w:color="auto"/>
        <w:left w:val="none" w:sz="0" w:space="0" w:color="auto"/>
        <w:bottom w:val="none" w:sz="0" w:space="0" w:color="auto"/>
        <w:right w:val="none" w:sz="0" w:space="0" w:color="auto"/>
      </w:divBdr>
    </w:div>
    <w:div w:id="65342945">
      <w:bodyDiv w:val="1"/>
      <w:marLeft w:val="0"/>
      <w:marRight w:val="0"/>
      <w:marTop w:val="0"/>
      <w:marBottom w:val="0"/>
      <w:divBdr>
        <w:top w:val="none" w:sz="0" w:space="0" w:color="auto"/>
        <w:left w:val="none" w:sz="0" w:space="0" w:color="auto"/>
        <w:bottom w:val="none" w:sz="0" w:space="0" w:color="auto"/>
        <w:right w:val="none" w:sz="0" w:space="0" w:color="auto"/>
      </w:divBdr>
    </w:div>
    <w:div w:id="86077246">
      <w:bodyDiv w:val="1"/>
      <w:marLeft w:val="0"/>
      <w:marRight w:val="0"/>
      <w:marTop w:val="0"/>
      <w:marBottom w:val="0"/>
      <w:divBdr>
        <w:top w:val="none" w:sz="0" w:space="0" w:color="auto"/>
        <w:left w:val="none" w:sz="0" w:space="0" w:color="auto"/>
        <w:bottom w:val="none" w:sz="0" w:space="0" w:color="auto"/>
        <w:right w:val="none" w:sz="0" w:space="0" w:color="auto"/>
      </w:divBdr>
    </w:div>
    <w:div w:id="121653424">
      <w:bodyDiv w:val="1"/>
      <w:marLeft w:val="0"/>
      <w:marRight w:val="0"/>
      <w:marTop w:val="0"/>
      <w:marBottom w:val="0"/>
      <w:divBdr>
        <w:top w:val="none" w:sz="0" w:space="0" w:color="auto"/>
        <w:left w:val="none" w:sz="0" w:space="0" w:color="auto"/>
        <w:bottom w:val="none" w:sz="0" w:space="0" w:color="auto"/>
        <w:right w:val="none" w:sz="0" w:space="0" w:color="auto"/>
      </w:divBdr>
    </w:div>
    <w:div w:id="150682686">
      <w:bodyDiv w:val="1"/>
      <w:marLeft w:val="0"/>
      <w:marRight w:val="0"/>
      <w:marTop w:val="0"/>
      <w:marBottom w:val="0"/>
      <w:divBdr>
        <w:top w:val="none" w:sz="0" w:space="0" w:color="auto"/>
        <w:left w:val="none" w:sz="0" w:space="0" w:color="auto"/>
        <w:bottom w:val="none" w:sz="0" w:space="0" w:color="auto"/>
        <w:right w:val="none" w:sz="0" w:space="0" w:color="auto"/>
      </w:divBdr>
    </w:div>
    <w:div w:id="255946278">
      <w:bodyDiv w:val="1"/>
      <w:marLeft w:val="0"/>
      <w:marRight w:val="0"/>
      <w:marTop w:val="0"/>
      <w:marBottom w:val="0"/>
      <w:divBdr>
        <w:top w:val="none" w:sz="0" w:space="0" w:color="auto"/>
        <w:left w:val="none" w:sz="0" w:space="0" w:color="auto"/>
        <w:bottom w:val="none" w:sz="0" w:space="0" w:color="auto"/>
        <w:right w:val="none" w:sz="0" w:space="0" w:color="auto"/>
      </w:divBdr>
    </w:div>
    <w:div w:id="312412951">
      <w:bodyDiv w:val="1"/>
      <w:marLeft w:val="0"/>
      <w:marRight w:val="0"/>
      <w:marTop w:val="0"/>
      <w:marBottom w:val="0"/>
      <w:divBdr>
        <w:top w:val="none" w:sz="0" w:space="0" w:color="auto"/>
        <w:left w:val="none" w:sz="0" w:space="0" w:color="auto"/>
        <w:bottom w:val="none" w:sz="0" w:space="0" w:color="auto"/>
        <w:right w:val="none" w:sz="0" w:space="0" w:color="auto"/>
      </w:divBdr>
    </w:div>
    <w:div w:id="610236854">
      <w:bodyDiv w:val="1"/>
      <w:marLeft w:val="0"/>
      <w:marRight w:val="0"/>
      <w:marTop w:val="0"/>
      <w:marBottom w:val="0"/>
      <w:divBdr>
        <w:top w:val="none" w:sz="0" w:space="0" w:color="auto"/>
        <w:left w:val="none" w:sz="0" w:space="0" w:color="auto"/>
        <w:bottom w:val="none" w:sz="0" w:space="0" w:color="auto"/>
        <w:right w:val="none" w:sz="0" w:space="0" w:color="auto"/>
      </w:divBdr>
    </w:div>
    <w:div w:id="687025019">
      <w:bodyDiv w:val="1"/>
      <w:marLeft w:val="0"/>
      <w:marRight w:val="0"/>
      <w:marTop w:val="0"/>
      <w:marBottom w:val="0"/>
      <w:divBdr>
        <w:top w:val="none" w:sz="0" w:space="0" w:color="auto"/>
        <w:left w:val="none" w:sz="0" w:space="0" w:color="auto"/>
        <w:bottom w:val="none" w:sz="0" w:space="0" w:color="auto"/>
        <w:right w:val="none" w:sz="0" w:space="0" w:color="auto"/>
      </w:divBdr>
    </w:div>
    <w:div w:id="700204062">
      <w:bodyDiv w:val="1"/>
      <w:marLeft w:val="0"/>
      <w:marRight w:val="0"/>
      <w:marTop w:val="0"/>
      <w:marBottom w:val="0"/>
      <w:divBdr>
        <w:top w:val="none" w:sz="0" w:space="0" w:color="auto"/>
        <w:left w:val="none" w:sz="0" w:space="0" w:color="auto"/>
        <w:bottom w:val="none" w:sz="0" w:space="0" w:color="auto"/>
        <w:right w:val="none" w:sz="0" w:space="0" w:color="auto"/>
      </w:divBdr>
    </w:div>
    <w:div w:id="722947114">
      <w:bodyDiv w:val="1"/>
      <w:marLeft w:val="0"/>
      <w:marRight w:val="0"/>
      <w:marTop w:val="0"/>
      <w:marBottom w:val="0"/>
      <w:divBdr>
        <w:top w:val="none" w:sz="0" w:space="0" w:color="auto"/>
        <w:left w:val="none" w:sz="0" w:space="0" w:color="auto"/>
        <w:bottom w:val="none" w:sz="0" w:space="0" w:color="auto"/>
        <w:right w:val="none" w:sz="0" w:space="0" w:color="auto"/>
      </w:divBdr>
    </w:div>
    <w:div w:id="842432409">
      <w:bodyDiv w:val="1"/>
      <w:marLeft w:val="0"/>
      <w:marRight w:val="0"/>
      <w:marTop w:val="0"/>
      <w:marBottom w:val="0"/>
      <w:divBdr>
        <w:top w:val="none" w:sz="0" w:space="0" w:color="auto"/>
        <w:left w:val="none" w:sz="0" w:space="0" w:color="auto"/>
        <w:bottom w:val="none" w:sz="0" w:space="0" w:color="auto"/>
        <w:right w:val="none" w:sz="0" w:space="0" w:color="auto"/>
      </w:divBdr>
    </w:div>
    <w:div w:id="905802315">
      <w:bodyDiv w:val="1"/>
      <w:marLeft w:val="0"/>
      <w:marRight w:val="0"/>
      <w:marTop w:val="0"/>
      <w:marBottom w:val="0"/>
      <w:divBdr>
        <w:top w:val="none" w:sz="0" w:space="0" w:color="auto"/>
        <w:left w:val="none" w:sz="0" w:space="0" w:color="auto"/>
        <w:bottom w:val="none" w:sz="0" w:space="0" w:color="auto"/>
        <w:right w:val="none" w:sz="0" w:space="0" w:color="auto"/>
      </w:divBdr>
    </w:div>
    <w:div w:id="915550243">
      <w:bodyDiv w:val="1"/>
      <w:marLeft w:val="0"/>
      <w:marRight w:val="0"/>
      <w:marTop w:val="0"/>
      <w:marBottom w:val="0"/>
      <w:divBdr>
        <w:top w:val="none" w:sz="0" w:space="0" w:color="auto"/>
        <w:left w:val="none" w:sz="0" w:space="0" w:color="auto"/>
        <w:bottom w:val="none" w:sz="0" w:space="0" w:color="auto"/>
        <w:right w:val="none" w:sz="0" w:space="0" w:color="auto"/>
      </w:divBdr>
    </w:div>
    <w:div w:id="1028334294">
      <w:bodyDiv w:val="1"/>
      <w:marLeft w:val="0"/>
      <w:marRight w:val="0"/>
      <w:marTop w:val="0"/>
      <w:marBottom w:val="0"/>
      <w:divBdr>
        <w:top w:val="none" w:sz="0" w:space="0" w:color="auto"/>
        <w:left w:val="none" w:sz="0" w:space="0" w:color="auto"/>
        <w:bottom w:val="none" w:sz="0" w:space="0" w:color="auto"/>
        <w:right w:val="none" w:sz="0" w:space="0" w:color="auto"/>
      </w:divBdr>
    </w:div>
    <w:div w:id="1059787673">
      <w:bodyDiv w:val="1"/>
      <w:marLeft w:val="0"/>
      <w:marRight w:val="0"/>
      <w:marTop w:val="0"/>
      <w:marBottom w:val="0"/>
      <w:divBdr>
        <w:top w:val="none" w:sz="0" w:space="0" w:color="auto"/>
        <w:left w:val="none" w:sz="0" w:space="0" w:color="auto"/>
        <w:bottom w:val="none" w:sz="0" w:space="0" w:color="auto"/>
        <w:right w:val="none" w:sz="0" w:space="0" w:color="auto"/>
      </w:divBdr>
    </w:div>
    <w:div w:id="1122580590">
      <w:bodyDiv w:val="1"/>
      <w:marLeft w:val="0"/>
      <w:marRight w:val="0"/>
      <w:marTop w:val="0"/>
      <w:marBottom w:val="0"/>
      <w:divBdr>
        <w:top w:val="none" w:sz="0" w:space="0" w:color="auto"/>
        <w:left w:val="none" w:sz="0" w:space="0" w:color="auto"/>
        <w:bottom w:val="none" w:sz="0" w:space="0" w:color="auto"/>
        <w:right w:val="none" w:sz="0" w:space="0" w:color="auto"/>
      </w:divBdr>
    </w:div>
    <w:div w:id="115252797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6692513">
      <w:bodyDiv w:val="1"/>
      <w:marLeft w:val="0"/>
      <w:marRight w:val="0"/>
      <w:marTop w:val="0"/>
      <w:marBottom w:val="0"/>
      <w:divBdr>
        <w:top w:val="none" w:sz="0" w:space="0" w:color="auto"/>
        <w:left w:val="none" w:sz="0" w:space="0" w:color="auto"/>
        <w:bottom w:val="none" w:sz="0" w:space="0" w:color="auto"/>
        <w:right w:val="none" w:sz="0" w:space="0" w:color="auto"/>
      </w:divBdr>
    </w:div>
    <w:div w:id="1328706600">
      <w:bodyDiv w:val="1"/>
      <w:marLeft w:val="0"/>
      <w:marRight w:val="0"/>
      <w:marTop w:val="0"/>
      <w:marBottom w:val="0"/>
      <w:divBdr>
        <w:top w:val="none" w:sz="0" w:space="0" w:color="auto"/>
        <w:left w:val="none" w:sz="0" w:space="0" w:color="auto"/>
        <w:bottom w:val="none" w:sz="0" w:space="0" w:color="auto"/>
        <w:right w:val="none" w:sz="0" w:space="0" w:color="auto"/>
      </w:divBdr>
    </w:div>
    <w:div w:id="1439370393">
      <w:bodyDiv w:val="1"/>
      <w:marLeft w:val="0"/>
      <w:marRight w:val="0"/>
      <w:marTop w:val="0"/>
      <w:marBottom w:val="0"/>
      <w:divBdr>
        <w:top w:val="none" w:sz="0" w:space="0" w:color="auto"/>
        <w:left w:val="none" w:sz="0" w:space="0" w:color="auto"/>
        <w:bottom w:val="none" w:sz="0" w:space="0" w:color="auto"/>
        <w:right w:val="none" w:sz="0" w:space="0" w:color="auto"/>
      </w:divBdr>
    </w:div>
    <w:div w:id="1442801971">
      <w:bodyDiv w:val="1"/>
      <w:marLeft w:val="0"/>
      <w:marRight w:val="0"/>
      <w:marTop w:val="0"/>
      <w:marBottom w:val="0"/>
      <w:divBdr>
        <w:top w:val="none" w:sz="0" w:space="0" w:color="auto"/>
        <w:left w:val="none" w:sz="0" w:space="0" w:color="auto"/>
        <w:bottom w:val="none" w:sz="0" w:space="0" w:color="auto"/>
        <w:right w:val="none" w:sz="0" w:space="0" w:color="auto"/>
      </w:divBdr>
    </w:div>
    <w:div w:id="1443303882">
      <w:bodyDiv w:val="1"/>
      <w:marLeft w:val="0"/>
      <w:marRight w:val="0"/>
      <w:marTop w:val="0"/>
      <w:marBottom w:val="0"/>
      <w:divBdr>
        <w:top w:val="none" w:sz="0" w:space="0" w:color="auto"/>
        <w:left w:val="none" w:sz="0" w:space="0" w:color="auto"/>
        <w:bottom w:val="none" w:sz="0" w:space="0" w:color="auto"/>
        <w:right w:val="none" w:sz="0" w:space="0" w:color="auto"/>
      </w:divBdr>
    </w:div>
    <w:div w:id="1514033327">
      <w:bodyDiv w:val="1"/>
      <w:marLeft w:val="0"/>
      <w:marRight w:val="0"/>
      <w:marTop w:val="0"/>
      <w:marBottom w:val="0"/>
      <w:divBdr>
        <w:top w:val="none" w:sz="0" w:space="0" w:color="auto"/>
        <w:left w:val="none" w:sz="0" w:space="0" w:color="auto"/>
        <w:bottom w:val="none" w:sz="0" w:space="0" w:color="auto"/>
        <w:right w:val="none" w:sz="0" w:space="0" w:color="auto"/>
      </w:divBdr>
    </w:div>
    <w:div w:id="1585334068">
      <w:bodyDiv w:val="1"/>
      <w:marLeft w:val="0"/>
      <w:marRight w:val="0"/>
      <w:marTop w:val="0"/>
      <w:marBottom w:val="0"/>
      <w:divBdr>
        <w:top w:val="none" w:sz="0" w:space="0" w:color="auto"/>
        <w:left w:val="none" w:sz="0" w:space="0" w:color="auto"/>
        <w:bottom w:val="none" w:sz="0" w:space="0" w:color="auto"/>
        <w:right w:val="none" w:sz="0" w:space="0" w:color="auto"/>
      </w:divBdr>
    </w:div>
    <w:div w:id="1651709080">
      <w:bodyDiv w:val="1"/>
      <w:marLeft w:val="0"/>
      <w:marRight w:val="0"/>
      <w:marTop w:val="0"/>
      <w:marBottom w:val="0"/>
      <w:divBdr>
        <w:top w:val="none" w:sz="0" w:space="0" w:color="auto"/>
        <w:left w:val="none" w:sz="0" w:space="0" w:color="auto"/>
        <w:bottom w:val="none" w:sz="0" w:space="0" w:color="auto"/>
        <w:right w:val="none" w:sz="0" w:space="0" w:color="auto"/>
      </w:divBdr>
    </w:div>
    <w:div w:id="1753501536">
      <w:bodyDiv w:val="1"/>
      <w:marLeft w:val="0"/>
      <w:marRight w:val="0"/>
      <w:marTop w:val="0"/>
      <w:marBottom w:val="0"/>
      <w:divBdr>
        <w:top w:val="none" w:sz="0" w:space="0" w:color="auto"/>
        <w:left w:val="none" w:sz="0" w:space="0" w:color="auto"/>
        <w:bottom w:val="none" w:sz="0" w:space="0" w:color="auto"/>
        <w:right w:val="none" w:sz="0" w:space="0" w:color="auto"/>
      </w:divBdr>
    </w:div>
    <w:div w:id="1758162609">
      <w:bodyDiv w:val="1"/>
      <w:marLeft w:val="0"/>
      <w:marRight w:val="0"/>
      <w:marTop w:val="0"/>
      <w:marBottom w:val="0"/>
      <w:divBdr>
        <w:top w:val="none" w:sz="0" w:space="0" w:color="auto"/>
        <w:left w:val="none" w:sz="0" w:space="0" w:color="auto"/>
        <w:bottom w:val="none" w:sz="0" w:space="0" w:color="auto"/>
        <w:right w:val="none" w:sz="0" w:space="0" w:color="auto"/>
      </w:divBdr>
    </w:div>
    <w:div w:id="1822426985">
      <w:bodyDiv w:val="1"/>
      <w:marLeft w:val="0"/>
      <w:marRight w:val="0"/>
      <w:marTop w:val="0"/>
      <w:marBottom w:val="0"/>
      <w:divBdr>
        <w:top w:val="none" w:sz="0" w:space="0" w:color="auto"/>
        <w:left w:val="none" w:sz="0" w:space="0" w:color="auto"/>
        <w:bottom w:val="none" w:sz="0" w:space="0" w:color="auto"/>
        <w:right w:val="none" w:sz="0" w:space="0" w:color="auto"/>
      </w:divBdr>
    </w:div>
    <w:div w:id="1902783854">
      <w:bodyDiv w:val="1"/>
      <w:marLeft w:val="0"/>
      <w:marRight w:val="0"/>
      <w:marTop w:val="0"/>
      <w:marBottom w:val="0"/>
      <w:divBdr>
        <w:top w:val="none" w:sz="0" w:space="0" w:color="auto"/>
        <w:left w:val="none" w:sz="0" w:space="0" w:color="auto"/>
        <w:bottom w:val="none" w:sz="0" w:space="0" w:color="auto"/>
        <w:right w:val="none" w:sz="0" w:space="0" w:color="auto"/>
      </w:divBdr>
    </w:div>
    <w:div w:id="1967740068">
      <w:bodyDiv w:val="1"/>
      <w:marLeft w:val="0"/>
      <w:marRight w:val="0"/>
      <w:marTop w:val="0"/>
      <w:marBottom w:val="0"/>
      <w:divBdr>
        <w:top w:val="none" w:sz="0" w:space="0" w:color="auto"/>
        <w:left w:val="none" w:sz="0" w:space="0" w:color="auto"/>
        <w:bottom w:val="none" w:sz="0" w:space="0" w:color="auto"/>
        <w:right w:val="none" w:sz="0" w:space="0" w:color="auto"/>
      </w:divBdr>
    </w:div>
    <w:div w:id="19711271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737275">
      <w:bodyDiv w:val="1"/>
      <w:marLeft w:val="0"/>
      <w:marRight w:val="0"/>
      <w:marTop w:val="0"/>
      <w:marBottom w:val="0"/>
      <w:divBdr>
        <w:top w:val="none" w:sz="0" w:space="0" w:color="auto"/>
        <w:left w:val="none" w:sz="0" w:space="0" w:color="auto"/>
        <w:bottom w:val="none" w:sz="0" w:space="0" w:color="auto"/>
        <w:right w:val="none" w:sz="0" w:space="0" w:color="auto"/>
      </w:divBdr>
    </w:div>
    <w:div w:id="2083139110">
      <w:bodyDiv w:val="1"/>
      <w:marLeft w:val="0"/>
      <w:marRight w:val="0"/>
      <w:marTop w:val="0"/>
      <w:marBottom w:val="0"/>
      <w:divBdr>
        <w:top w:val="none" w:sz="0" w:space="0" w:color="auto"/>
        <w:left w:val="none" w:sz="0" w:space="0" w:color="auto"/>
        <w:bottom w:val="none" w:sz="0" w:space="0" w:color="auto"/>
        <w:right w:val="none" w:sz="0" w:space="0" w:color="auto"/>
      </w:divBdr>
    </w:div>
    <w:div w:id="2130389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9" TargetMode="External"/><Relationship Id="rId39" Type="http://schemas.microsoft.com/office/2020/10/relationships/intelligence" Target="intelligence2.xml"/><Relationship Id="rId21" Type="http://schemas.openxmlformats.org/officeDocument/2006/relationships/hyperlink" Target="https://www.legislation.gov.uk/ukpga/1984/60/section/17" TargetMode="External"/><Relationship Id="rId34" Type="http://schemas.openxmlformats.org/officeDocument/2006/relationships/hyperlink" Target="https://www.legislation.gov.uk/ukpga/1984/60/section/24/2017-04-30#:~:text=(d)anyone%20whom%20he%20has,of%20being%20guilty%20of%20i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974376/victims-code-2020.pdf" TargetMode="External"/><Relationship Id="rId33" Type="http://schemas.openxmlformats.org/officeDocument/2006/relationships/hyperlink" Target="https://www.legislation.gov.uk/ukpga/1998/42/content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84/60/section/117" TargetMode="External"/><Relationship Id="rId29" Type="http://schemas.openxmlformats.org/officeDocument/2006/relationships/hyperlink" Target="https://www.college.police.uk/app/detention-and-custody/response-arrest-and-deten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contents" TargetMode="External"/><Relationship Id="rId32" Type="http://schemas.openxmlformats.org/officeDocument/2006/relationships/hyperlink" Target="https://www.legislation.gov.uk/ukpga/2018/12/contents/enacted"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avuhb.nhs.wales/our-services/sexual-health/services-provided/ynys-saff-sexual-assault-referral-centre/" TargetMode="External"/><Relationship Id="rId28" Type="http://schemas.openxmlformats.org/officeDocument/2006/relationships/hyperlink" Target="https://www.college.police.uk/app/prosecution-and-case-management/charging-and-case-preparation" TargetMode="External"/><Relationship Id="rId36" Type="http://schemas.openxmlformats.org/officeDocument/2006/relationships/hyperlink" Target="https://www.legislation.gov.uk/ukpga/1986/64/section/4"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84/60/section/24" TargetMode="External"/><Relationship Id="rId27" Type="http://schemas.openxmlformats.org/officeDocument/2006/relationships/hyperlink" Target="https://www.legislation.gov.uk/ukpga/2003/42/section/1" TargetMode="External"/><Relationship Id="rId30" Type="http://schemas.openxmlformats.org/officeDocument/2006/relationships/hyperlink" Target="https://assets.college.police.uk/s3fs-public/2021-02/code_of_ethics_summary.pdf" TargetMode="External"/><Relationship Id="rId35" Type="http://schemas.openxmlformats.org/officeDocument/2006/relationships/hyperlink" Target="https://www.legislation.gov.uk/ukpga/1984/60/section/117"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28</Pages>
  <Words>7995</Words>
  <Characters>43555</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Hjerto,Aida swp8630</cp:lastModifiedBy>
  <cp:revision>17</cp:revision>
  <cp:lastPrinted>2019-08-13T11:47:00Z</cp:lastPrinted>
  <dcterms:created xsi:type="dcterms:W3CDTF">2023-07-10T03:54:00Z</dcterms:created>
  <dcterms:modified xsi:type="dcterms:W3CDTF">2023-10-08T18:07:00Z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