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pacing w:after="320" w:before="240" w:lineRule="auto"/>
        <w:jc w:val="center"/>
        <w:rPr>
          <w:rFonts w:ascii="Times New Roman" w:cs="Times New Roman" w:eastAsia="Times New Roman" w:hAnsi="Times New Roman"/>
        </w:rPr>
      </w:pPr>
      <w:bookmarkStart w:colFirst="0" w:colLast="0" w:name="_pjuagg6jfui5" w:id="0"/>
      <w:bookmarkEnd w:id="0"/>
      <w:r w:rsidDel="00000000" w:rsidR="00000000" w:rsidRPr="00000000">
        <w:rPr>
          <w:rFonts w:ascii="Times New Roman" w:cs="Times New Roman" w:eastAsia="Times New Roman" w:hAnsi="Times New Roman"/>
          <w:rtl w:val="0"/>
        </w:rPr>
        <w:t xml:space="preserve">Did the First World War help or hinder the Women’s Suffrage movement?</w:t>
      </w:r>
    </w:p>
    <w:p w:rsidR="00000000" w:rsidDel="00000000" w:rsidP="00000000" w:rsidRDefault="00000000" w:rsidRPr="00000000" w14:paraId="00000002">
      <w:pPr>
        <w:rPr>
          <w:rFonts w:ascii="Georgia" w:cs="Georgia" w:eastAsia="Georgia" w:hAnsi="Georgia"/>
          <w:sz w:val="24"/>
          <w:szCs w:val="24"/>
        </w:rPr>
      </w:pPr>
      <w:r w:rsidDel="00000000" w:rsidR="00000000" w:rsidRPr="00000000">
        <w:rPr>
          <w:rtl w:val="0"/>
        </w:rPr>
        <w:tab/>
      </w:r>
      <w:r w:rsidDel="00000000" w:rsidR="00000000" w:rsidRPr="00000000">
        <w:rPr>
          <w:rFonts w:ascii="Georgia" w:cs="Georgia" w:eastAsia="Georgia" w:hAnsi="Georgia"/>
          <w:sz w:val="24"/>
          <w:szCs w:val="24"/>
          <w:rtl w:val="0"/>
        </w:rPr>
        <w:t xml:space="preserve">By the early 20th century, women’s suffrage had become a global political issue, with activists demanding equal representation across Europe and North America. The outbreak of the First World war brought significant challenges and opportunities that influenced the movement. </w:t>
      </w:r>
    </w:p>
    <w:p w:rsidR="00000000" w:rsidDel="00000000" w:rsidP="00000000" w:rsidRDefault="00000000" w:rsidRPr="00000000" w14:paraId="0000000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First World war from 1914 to 1918 marked a turning point in modern history, influencing not only global politics and economics but also social movements, including the fight for women’s suffrage. In Britain and other nations, the war disrupted traditional gender roles, with women taking on roles previously reserved for men in workplaces and even the military. However, the war also delayed suffrage campaigns and reinforced conservative views about women’s place in society. This essay will assess to what extent the war hindered or advanced women’s struggle for enfranchisement. It will take into consideration political acts, the overall view at the time and countries outside of Britain like the United States and Canada.</w:t>
      </w:r>
    </w:p>
    <w:p w:rsidR="00000000" w:rsidDel="00000000" w:rsidP="00000000" w:rsidRDefault="00000000" w:rsidRPr="00000000" w14:paraId="0000000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The suffragette movement was a political and social campaign that emerged in the late 19th and early 20th centuries, advocating for women’s right to vote. It arose in response to widespread gender inequality in political representation. The movement was particularly significant in countries such as Britain and the United States where it eventually became a symbol of broader struggles for gender equality. By the early 20th century, frustration with the slow pace of progress led to the formation of a more radical Women’s social and political union (WSPU) in 1903.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Georgia" w:cs="Georgia" w:eastAsia="Georgia" w:hAnsi="Georgia"/>
          <w:sz w:val="24"/>
          <w:szCs w:val="24"/>
          <w:rtl w:val="0"/>
        </w:rPr>
        <w:t xml:space="preserve">These campaigners were labelled ‘suffragettes’ by the press.”</w:t>
      </w:r>
      <w:r w:rsidDel="00000000" w:rsidR="00000000" w:rsidRPr="00000000">
        <w:rPr>
          <w:rFonts w:ascii="Georgia" w:cs="Georgia" w:eastAsia="Georgia" w:hAnsi="Georgia"/>
          <w:sz w:val="24"/>
          <w:szCs w:val="24"/>
          <w:vertAlign w:val="superscript"/>
        </w:rPr>
        <w:footnoteReference w:customMarkFollows="0" w:id="0"/>
      </w:r>
      <w:r w:rsidDel="00000000" w:rsidR="00000000" w:rsidRPr="00000000">
        <w:rPr>
          <w:rFonts w:ascii="Georgia" w:cs="Georgia" w:eastAsia="Georgia" w:hAnsi="Georgia"/>
          <w:sz w:val="24"/>
          <w:szCs w:val="24"/>
          <w:rtl w:val="0"/>
        </w:rPr>
        <w:t xml:space="preserve"> They used direct action tactics, including protests, hunger strikes, and acts of civil disobedience to draw attention to their cause. The movement was significant because it challenged social norms and highlighted the political exclusion of women. While it did face opposition it ultimately succeeded in changing public perceptions of women’s roles and capabilities. The movement also had far-reaching impacts, It not only secured voting rights for women in many countries but also inspired future feminist movements by demonstrating the power of collective action. In Britain the equal voting rights act was achieved in 1928. </w:t>
      </w:r>
    </w:p>
    <w:p w:rsidR="00000000" w:rsidDel="00000000" w:rsidP="00000000" w:rsidRDefault="00000000" w:rsidRPr="00000000" w14:paraId="00000006">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At the outbreak of the First World War, the women’s suffrage movement was at its peak. “Even the prime minister was being </w:t>
      </w:r>
      <w:r w:rsidDel="00000000" w:rsidR="00000000" w:rsidRPr="00000000">
        <w:rPr>
          <w:rFonts w:ascii="Georgia" w:cs="Georgia" w:eastAsia="Georgia" w:hAnsi="Georgia"/>
          <w:sz w:val="24"/>
          <w:szCs w:val="24"/>
          <w:rtl w:val="0"/>
        </w:rPr>
        <w:t xml:space="preserve">prised</w:t>
      </w:r>
      <w:r w:rsidDel="00000000" w:rsidR="00000000" w:rsidRPr="00000000">
        <w:rPr>
          <w:rFonts w:ascii="Georgia" w:cs="Georgia" w:eastAsia="Georgia" w:hAnsi="Georgia"/>
          <w:sz w:val="24"/>
          <w:szCs w:val="24"/>
          <w:rtl w:val="0"/>
        </w:rPr>
        <w:t xml:space="preserve"> away from his stubborn resistance to enfranchisement by 1914”</w:t>
      </w:r>
      <w:r w:rsidDel="00000000" w:rsidR="00000000" w:rsidRPr="00000000">
        <w:rPr>
          <w:rFonts w:ascii="Georgia" w:cs="Georgia" w:eastAsia="Georgia" w:hAnsi="Georgia"/>
          <w:sz w:val="24"/>
          <w:szCs w:val="24"/>
          <w:vertAlign w:val="superscript"/>
        </w:rPr>
        <w:footnoteReference w:customMarkFollows="0" w:id="1"/>
      </w:r>
      <w:r w:rsidDel="00000000" w:rsidR="00000000" w:rsidRPr="00000000">
        <w:rPr>
          <w:rFonts w:ascii="Georgia" w:cs="Georgia" w:eastAsia="Georgia" w:hAnsi="Georgia"/>
          <w:sz w:val="24"/>
          <w:szCs w:val="24"/>
          <w:rtl w:val="0"/>
        </w:rPr>
        <w:t xml:space="preserve"> Groups such as the NUWSS and WSPU had spent decades campaigning for vote. However, with the declaration of war in 1914, both organisations suspended their activities to support the war effort. This suspension of suffrage campaigns meant that women’s political demands were sidelined during the war, delaying the progress of the movement. Moreover, many politicians dismissed suffrage and saw it as a distraction during a time of national crisis. Therefore, World War One can be seen as a hindrance to the Women’s Suffrage movement. </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276"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Despite the initial setback, the war created conditions that changed perceptions of women’s roles in society. It provided a significant boost to the suffragette movement by demonstrating that women can make vital contributions to life and challenging pre-existing gender norms. “Women’s employment provides much the most dramatic and tangible indication of change in the lives of British women during the First World War” </w:t>
      </w:r>
      <w:r w:rsidDel="00000000" w:rsidR="00000000" w:rsidRPr="00000000">
        <w:rPr>
          <w:rFonts w:ascii="Georgia" w:cs="Georgia" w:eastAsia="Georgia" w:hAnsi="Georgia"/>
          <w:sz w:val="24"/>
          <w:szCs w:val="24"/>
          <w:vertAlign w:val="superscript"/>
        </w:rPr>
        <w:footnoteReference w:customMarkFollows="0" w:id="2"/>
      </w:r>
      <w:r w:rsidDel="00000000" w:rsidR="00000000" w:rsidRPr="00000000">
        <w:rPr>
          <w:rFonts w:ascii="Georgia" w:cs="Georgia" w:eastAsia="Georgia" w:hAnsi="Georgia"/>
          <w:sz w:val="24"/>
          <w:szCs w:val="24"/>
          <w:rtl w:val="0"/>
        </w:rPr>
        <w:t xml:space="preserve"> With millions of men conscripted to fight, women stepped into roles traditionally reserved for men, including working in factories, transportation, agriculture and public administration. This large-scale participation in the workforce showcased women’s capabilities, reliability and essential role in maintaining the war effort, which undermined arguments that women were unsuited for these roles. Many saw the war as an opportunity to not only fight for their country but also gain more independence and “</w:t>
      </w:r>
      <w:r w:rsidDel="00000000" w:rsidR="00000000" w:rsidRPr="00000000">
        <w:rPr>
          <w:rFonts w:ascii="Georgia" w:cs="Georgia" w:eastAsia="Georgia" w:hAnsi="Georgia"/>
          <w:sz w:val="24"/>
          <w:szCs w:val="24"/>
          <w:rtl w:val="0"/>
        </w:rPr>
        <w:t xml:space="preserve">In July 1914, 3.3 million women worked in paid employment in Britain. By July 1917, 4.7 million did.”</w:t>
      </w:r>
      <w:r w:rsidDel="00000000" w:rsidR="00000000" w:rsidRPr="00000000">
        <w:rPr>
          <w:rFonts w:ascii="Georgia" w:cs="Georgia" w:eastAsia="Georgia" w:hAnsi="Georgia"/>
          <w:sz w:val="24"/>
          <w:szCs w:val="24"/>
          <w:vertAlign w:val="superscript"/>
        </w:rPr>
        <w:footnoteReference w:customMarkFollows="0" w:id="3"/>
      </w:r>
      <w:r w:rsidDel="00000000" w:rsidR="00000000" w:rsidRPr="00000000">
        <w:rPr>
          <w:rFonts w:ascii="Georgia" w:cs="Georgia" w:eastAsia="Georgia" w:hAnsi="Georgia"/>
          <w:sz w:val="24"/>
          <w:szCs w:val="24"/>
          <w:rtl w:val="0"/>
        </w:rPr>
        <w:t xml:space="preserve"> Women’s visible contributions to the war effort strengthened the argument that they were capable of participating in society and politics.While women’s work was celebrated during the war, it was often framed within a narrative of temporary necessity. Propaganda emphasised that women were stepping in to “do their bit” for the nation, rather than something permanent and that they were only needed because the men were gone. “A British recruitment poster urging women to work in the munitions factories as part of Britain's homefront during World War I, circa 1916. </w:t>
      </w:r>
      <w:r w:rsidDel="00000000" w:rsidR="00000000" w:rsidRPr="00000000">
        <w:rPr>
          <w:rFonts w:ascii="Georgia" w:cs="Georgia" w:eastAsia="Georgia" w:hAnsi="Georgia"/>
          <w:sz w:val="24"/>
          <w:szCs w:val="24"/>
          <w:vertAlign w:val="superscript"/>
        </w:rPr>
        <w:footnoteReference w:customMarkFollows="0" w:id="4"/>
      </w: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sz w:val="24"/>
          <w:szCs w:val="24"/>
          <w:highlight w:val="white"/>
          <w:rtl w:val="0"/>
        </w:rPr>
        <w:t xml:space="preserve">(photo reference)</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3905250</wp:posOffset>
            </wp:positionH>
            <wp:positionV relativeFrom="paragraph">
              <wp:posOffset>1655843</wp:posOffset>
            </wp:positionV>
            <wp:extent cx="1922456" cy="295814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22456" cy="2958145"/>
                    </a:xfrm>
                    <a:prstGeom prst="rect"/>
                    <a:ln/>
                  </pic:spPr>
                </pic:pic>
              </a:graphicData>
            </a:graphic>
          </wp:anchor>
        </w:drawing>
      </w:r>
    </w:p>
    <w:p w:rsidR="00000000" w:rsidDel="00000000" w:rsidP="00000000" w:rsidRDefault="00000000" w:rsidRPr="00000000" w14:paraId="0000000A">
      <w:pPr>
        <w:spacing w:line="276"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Furthermore, there were a lot of anti-suffragists women during this time which would have affected the movement more. However they unintentionally helped the movement by being patriotic and participating in the war effort. Julia Bush's book on anti-suffragists points out that,</w:t>
      </w:r>
      <w:r w:rsidDel="00000000" w:rsidR="00000000" w:rsidRPr="00000000">
        <w:rPr>
          <w:rFonts w:ascii="Georgia" w:cs="Georgia" w:eastAsia="Georgia" w:hAnsi="Georgia"/>
          <w:color w:val="2a2a2a"/>
          <w:sz w:val="24"/>
          <w:szCs w:val="24"/>
          <w:rtl w:val="0"/>
        </w:rPr>
        <w:t xml:space="preserve"> “</w:t>
      </w:r>
      <w:r w:rsidDel="00000000" w:rsidR="00000000" w:rsidRPr="00000000">
        <w:rPr>
          <w:rFonts w:ascii="Georgia" w:cs="Georgia" w:eastAsia="Georgia" w:hAnsi="Georgia"/>
          <w:sz w:val="24"/>
          <w:szCs w:val="24"/>
          <w:rtl w:val="0"/>
        </w:rPr>
        <w:t xml:space="preserve">both suffragists and anti‐suffragists were soon declaring the relevance of their gender beliefs to Britain's eventual military success, as they simultaneously suspended their political campaigning.”</w:t>
      </w:r>
      <w:r w:rsidDel="00000000" w:rsidR="00000000" w:rsidRPr="00000000">
        <w:rPr>
          <w:rFonts w:ascii="Georgia" w:cs="Georgia" w:eastAsia="Georgia" w:hAnsi="Georgia"/>
          <w:sz w:val="24"/>
          <w:szCs w:val="24"/>
          <w:vertAlign w:val="superscript"/>
        </w:rPr>
        <w:footnoteReference w:customMarkFollows="0" w:id="5"/>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It is clear even with the war going on the suffragette movement had made some sort of process, evident with the passing of the Representation of the People Act in February 1918. This legislation granted the vote to women over the age of 30 who met property qualifications. “</w:t>
      </w:r>
      <w:r w:rsidDel="00000000" w:rsidR="00000000" w:rsidRPr="00000000">
        <w:rPr>
          <w:rFonts w:ascii="Georgia" w:cs="Georgia" w:eastAsia="Georgia" w:hAnsi="Georgia"/>
          <w:sz w:val="24"/>
          <w:szCs w:val="24"/>
          <w:rtl w:val="0"/>
        </w:rPr>
        <w:t xml:space="preserve">These changes saw the size of the electorate triple from 7.7 million to 21.4 million. Women now accounted for about 43% of the electorate”</w:t>
      </w:r>
      <w:r w:rsidDel="00000000" w:rsidR="00000000" w:rsidRPr="00000000">
        <w:rPr>
          <w:rFonts w:ascii="Georgia" w:cs="Georgia" w:eastAsia="Georgia" w:hAnsi="Georgia"/>
          <w:sz w:val="24"/>
          <w:szCs w:val="24"/>
          <w:vertAlign w:val="superscript"/>
        </w:rPr>
        <w:footnoteReference w:customMarkFollows="0" w:id="6"/>
      </w:r>
      <w:r w:rsidDel="00000000" w:rsidR="00000000" w:rsidRPr="00000000">
        <w:rPr>
          <w:rFonts w:ascii="Georgia" w:cs="Georgia" w:eastAsia="Georgia" w:hAnsi="Georgia"/>
          <w:sz w:val="24"/>
          <w:szCs w:val="24"/>
          <w:rtl w:val="0"/>
        </w:rPr>
        <w:t xml:space="preserve">. Enfranchising approximately 8.4 women. However women were still not politically equal to men, as men could now vote from the age of 21. Still, this marked a significant breakthrough for the suffrage movement. </w:t>
      </w:r>
    </w:p>
    <w:p w:rsidR="00000000" w:rsidDel="00000000" w:rsidP="00000000" w:rsidRDefault="00000000" w:rsidRPr="00000000" w14:paraId="0000000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Suffragette Movement also had made significant advances outside of Britain. Before World War One, the U.S movement was gaining momentum, led by figures such as Susan B. Anthony, Alice Paul and </w:t>
      </w:r>
      <w:r w:rsidDel="00000000" w:rsidR="00000000" w:rsidRPr="00000000">
        <w:rPr>
          <w:rFonts w:ascii="Georgia" w:cs="Georgia" w:eastAsia="Georgia" w:hAnsi="Georgia"/>
          <w:sz w:val="24"/>
          <w:szCs w:val="24"/>
          <w:rtl w:val="0"/>
        </w:rPr>
        <w:t xml:space="preserve">Mary Church Terrell </w:t>
      </w:r>
      <w:r w:rsidDel="00000000" w:rsidR="00000000" w:rsidRPr="00000000">
        <w:rPr>
          <w:rFonts w:ascii="Georgia" w:cs="Georgia" w:eastAsia="Georgia" w:hAnsi="Georgia"/>
          <w:sz w:val="24"/>
          <w:szCs w:val="24"/>
          <w:vertAlign w:val="superscript"/>
        </w:rPr>
        <w:footnoteReference w:customMarkFollows="0" w:id="7"/>
      </w:r>
      <w:r w:rsidDel="00000000" w:rsidR="00000000" w:rsidRPr="00000000">
        <w:rPr>
          <w:rFonts w:ascii="Georgia" w:cs="Georgia" w:eastAsia="Georgia" w:hAnsi="Georgia"/>
          <w:sz w:val="24"/>
          <w:szCs w:val="24"/>
          <w:rtl w:val="0"/>
        </w:rPr>
        <w:t xml:space="preserve">. Women engaged in both militant and nonviolent campaigns, organising protests and hunger strikes. The war proved pivotal for the U.S suffrage movement. Women’s participation in the workforce showcased their capability and patriotism which contributed to the decision to pass the 19th Amendment in 1919 which granted American women the right to vote.  Another country to make changes was Russia. Russian women had been active in revolutionary movements for decades, advocating for gender equality alongside broader political reforms. “</w:t>
      </w:r>
      <w:r w:rsidDel="00000000" w:rsidR="00000000" w:rsidRPr="00000000">
        <w:rPr>
          <w:rFonts w:ascii="Georgia" w:cs="Georgia" w:eastAsia="Georgia" w:hAnsi="Georgia"/>
          <w:sz w:val="24"/>
          <w:szCs w:val="24"/>
          <w:rtl w:val="0"/>
        </w:rPr>
        <w:t xml:space="preserve">Women's suffrage appealed to a broad range of activists throughout 1917” and they eventually gained the right to vote and hold office.“Revolutionary Russia was more advanced in extending suffrage than any of its wartime allies</w:t>
      </w:r>
      <w:r w:rsidDel="00000000" w:rsidR="00000000" w:rsidRPr="00000000">
        <w:rPr>
          <w:rFonts w:ascii="Georgia" w:cs="Georgia" w:eastAsia="Georgia" w:hAnsi="Georgia"/>
          <w:color w:val="333333"/>
          <w:sz w:val="24"/>
          <w:szCs w:val="24"/>
          <w:highlight w:val="white"/>
          <w:rtl w:val="0"/>
        </w:rPr>
        <w:t xml:space="preserve">.”</w:t>
      </w:r>
      <w:r w:rsidDel="00000000" w:rsidR="00000000" w:rsidRPr="00000000">
        <w:rPr>
          <w:rFonts w:ascii="Georgia" w:cs="Georgia" w:eastAsia="Georgia" w:hAnsi="Georgia"/>
          <w:sz w:val="24"/>
          <w:szCs w:val="24"/>
          <w:vertAlign w:val="superscript"/>
        </w:rPr>
        <w:footnoteReference w:customMarkFollows="0" w:id="8"/>
      </w:r>
      <w:r w:rsidDel="00000000" w:rsidR="00000000" w:rsidRPr="00000000">
        <w:rPr>
          <w:rFonts w:ascii="Georgia" w:cs="Georgia" w:eastAsia="Georgia" w:hAnsi="Georgia"/>
          <w:sz w:val="24"/>
          <w:szCs w:val="24"/>
          <w:rtl w:val="0"/>
        </w:rPr>
        <w:t xml:space="preserve"> They became among the first in the world to achieve full political equality. In Canada, women’s significant contributions to the war effort accelerated suffrage.  The Military Voters Act in 1917 temporarily granted the vote to nurses and women with relatives in the military. “</w:t>
      </w:r>
      <w:r w:rsidDel="00000000" w:rsidR="00000000" w:rsidRPr="00000000">
        <w:rPr>
          <w:rFonts w:ascii="Georgia" w:cs="Georgia" w:eastAsia="Georgia" w:hAnsi="Georgia"/>
          <w:sz w:val="24"/>
          <w:szCs w:val="24"/>
          <w:rtl w:val="0"/>
        </w:rPr>
        <w:t xml:space="preserve">Although, through these acts, the right to vote was only granted to Canadian women for a limited time, it was significant enough to provide a symbol of hope and inspiration for obtaining permanent suffrage in the future.”</w:t>
      </w:r>
      <w:r w:rsidDel="00000000" w:rsidR="00000000" w:rsidRPr="00000000">
        <w:rPr>
          <w:rFonts w:ascii="Georgia" w:cs="Georgia" w:eastAsia="Georgia" w:hAnsi="Georgia"/>
          <w:sz w:val="24"/>
          <w:szCs w:val="24"/>
          <w:vertAlign w:val="superscript"/>
        </w:rPr>
        <w:footnoteReference w:customMarkFollows="0" w:id="9"/>
      </w:r>
      <w:r w:rsidDel="00000000" w:rsidR="00000000" w:rsidRPr="00000000">
        <w:rPr>
          <w:rFonts w:ascii="Georgia" w:cs="Georgia" w:eastAsia="Georgia" w:hAnsi="Georgia"/>
          <w:sz w:val="24"/>
          <w:szCs w:val="24"/>
          <w:rtl w:val="0"/>
        </w:rPr>
        <w:t xml:space="preserve">  And full suffrage was granted only a year later.</w:t>
      </w:r>
      <w:r w:rsidDel="00000000" w:rsidR="00000000" w:rsidRPr="00000000">
        <w:rPr>
          <w:rtl w:val="0"/>
        </w:rPr>
      </w:r>
    </w:p>
    <w:p w:rsidR="00000000" w:rsidDel="00000000" w:rsidP="00000000" w:rsidRDefault="00000000" w:rsidRPr="00000000" w14:paraId="0000000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Despite the progress made in 1918, the war’s aftermath also highlighted the limits of its impact on women’s equality. The end of the war brought a return to pre-war gender roles in many areas. Women were encouraged to leave jobs to make room for returning soldiers and the social emphasises on domesticity re-emerged. Moreover, the Representation of the People Act 1918 did not grant universal suffrage and it must be pointed out that Working-class women, who contributed to the war effort, remained largely excluded as well as the young women on purpose. Martin Pugh’s book emphasises this exclusion by explaining that “the young were largely single; politicians tended to equate the flapper with feminism- and feared that she might well use her political influence to defend her footing in industry and to retreat further from marriage.”</w:t>
      </w:r>
      <w:r w:rsidDel="00000000" w:rsidR="00000000" w:rsidRPr="00000000">
        <w:rPr>
          <w:rFonts w:ascii="Georgia" w:cs="Georgia" w:eastAsia="Georgia" w:hAnsi="Georgia"/>
          <w:sz w:val="24"/>
          <w:szCs w:val="24"/>
          <w:vertAlign w:val="superscript"/>
        </w:rPr>
        <w:footnoteReference w:customMarkFollows="0" w:id="10"/>
      </w:r>
      <w:r w:rsidDel="00000000" w:rsidR="00000000" w:rsidRPr="00000000">
        <w:rPr>
          <w:rFonts w:ascii="Georgia" w:cs="Georgia" w:eastAsia="Georgia" w:hAnsi="Georgia"/>
          <w:sz w:val="24"/>
          <w:szCs w:val="24"/>
          <w:rtl w:val="0"/>
        </w:rPr>
        <w:t xml:space="preserve"> It was not until the Equal Franchise Act of 1928 in Britain that women achieved the same voting rights as men and they could now both vote at 21. </w:t>
      </w:r>
    </w:p>
    <w:p w:rsidR="00000000" w:rsidDel="00000000" w:rsidP="00000000" w:rsidRDefault="00000000" w:rsidRPr="00000000" w14:paraId="0000001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1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The first World war Reshaped the global women’s suffrage movement, setting the stage for future progress. In western democracies, the war accelerated reforms that might have taken decades to achieve otherwise. However the uneven progress highlighted the social differences that continued to affect gender equality. The war also influenced the strategies of suffragists in the post- war period. This shift was evident in the 1920s and 1930s, as countries like Turkey, Brazil, and South Africa began to grant voting rights to women. </w:t>
      </w:r>
      <w:r w:rsidDel="00000000" w:rsidR="00000000" w:rsidRPr="00000000">
        <w:rPr>
          <w:rFonts w:ascii="Georgia" w:cs="Georgia" w:eastAsia="Georgia" w:hAnsi="Georgia"/>
          <w:sz w:val="24"/>
          <w:szCs w:val="24"/>
          <w:vertAlign w:val="superscript"/>
        </w:rPr>
        <w:footnoteReference w:customMarkFollows="0" w:id="11"/>
      </w: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Georgia" w:cs="Georgia" w:eastAsia="Georgia" w:hAnsi="Georgia"/>
          <w:sz w:val="24"/>
          <w:szCs w:val="24"/>
          <w:rtl w:val="0"/>
        </w:rPr>
        <w:t xml:space="preserve">        In conclusion, the First World War both helped and hindered the women’s suffrage movement. In the short term, the war interrupted suffrage campaigns and reinforced traditional views about women’s role being in the home. However, the war also provided a powerful platform where women could demonstrate their capabilities and reshape public perceptions of gender roles. Women’s contributions to the war effort became a key argument for their enfranchisement, leading to the partial victory of 1918 with the Representation of the People Act. While the war did not immediately secure universal suffrage, it helped the process and ultimately advanced the cause for women’s rights with more countries granting the right to vote. Therefore, the war played a complex but catalytic role in the women’s suffrage movement which not only helped the movement later on but hindered it at the time. </w:t>
        <w:tab/>
      </w:r>
      <w:r w:rsidDel="00000000" w:rsidR="00000000" w:rsidRPr="00000000">
        <w:rPr>
          <w:rtl w:val="0"/>
        </w:rPr>
      </w:r>
    </w:p>
    <w:p w:rsidR="00000000" w:rsidDel="00000000" w:rsidP="00000000" w:rsidRDefault="00000000" w:rsidRPr="00000000" w14:paraId="00000013">
      <w:pPr>
        <w:numPr>
          <w:ilvl w:val="0"/>
          <w:numId w:val="1"/>
        </w:numPr>
        <w:shd w:fill="ffffff" w:val="clear"/>
        <w:ind w:left="720" w:hanging="360"/>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Bibliography </w:t>
      </w:r>
    </w:p>
    <w:p w:rsidR="00000000" w:rsidDel="00000000" w:rsidP="00000000" w:rsidRDefault="00000000" w:rsidRPr="00000000" w14:paraId="00000016">
      <w:pPr>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14:paraId="0000001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AVAXNEWS. (2015). WWI: The Home Front. [Online]. AVAX NEWS. Available at: </w:t>
      </w:r>
      <w:hyperlink r:id="rId8">
        <w:r w:rsidDel="00000000" w:rsidR="00000000" w:rsidRPr="00000000">
          <w:rPr>
            <w:rFonts w:ascii="Georgia" w:cs="Georgia" w:eastAsia="Georgia" w:hAnsi="Georgia"/>
            <w:color w:val="1155cc"/>
            <w:sz w:val="24"/>
            <w:szCs w:val="24"/>
            <w:u w:val="single"/>
            <w:rtl w:val="0"/>
          </w:rPr>
          <w:t xml:space="preserve">https://avax.news/fact/WWI_The_Home_Front.html</w:t>
        </w:r>
      </w:hyperlink>
      <w:r w:rsidDel="00000000" w:rsidR="00000000" w:rsidRPr="00000000">
        <w:rPr>
          <w:rFonts w:ascii="Georgia" w:cs="Georgia" w:eastAsia="Georgia" w:hAnsi="Georgia"/>
          <w:sz w:val="24"/>
          <w:szCs w:val="24"/>
          <w:rtl w:val="0"/>
        </w:rPr>
        <w:t xml:space="preserve"> [Accessed 15 December 2024].</w:t>
      </w:r>
    </w:p>
    <w:p w:rsidR="00000000" w:rsidDel="00000000" w:rsidP="00000000" w:rsidRDefault="00000000" w:rsidRPr="00000000" w14:paraId="00000018">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 </w:t>
      </w:r>
      <w:r w:rsidDel="00000000" w:rsidR="00000000" w:rsidRPr="00000000">
        <w:rPr>
          <w:rtl w:val="0"/>
        </w:rPr>
      </w:r>
    </w:p>
    <w:p w:rsidR="00000000" w:rsidDel="00000000" w:rsidP="00000000" w:rsidRDefault="00000000" w:rsidRPr="00000000" w14:paraId="00000019">
      <w:pPr>
        <w:rPr>
          <w:rFonts w:ascii="Georgia" w:cs="Georgia" w:eastAsia="Georgia" w:hAnsi="Georgia"/>
          <w:sz w:val="24"/>
          <w:szCs w:val="24"/>
          <w:highlight w:val="white"/>
        </w:rPr>
      </w:pPr>
      <w:r w:rsidDel="00000000" w:rsidR="00000000" w:rsidRPr="00000000">
        <w:rPr>
          <w:rFonts w:ascii="Georgia" w:cs="Georgia" w:eastAsia="Georgia" w:hAnsi="Georgia"/>
          <w:sz w:val="24"/>
          <w:szCs w:val="24"/>
          <w:highlight w:val="white"/>
          <w:rtl w:val="0"/>
        </w:rPr>
        <w:t xml:space="preserve">BBC BITESIZE. (N/A). </w:t>
      </w:r>
      <w:r w:rsidDel="00000000" w:rsidR="00000000" w:rsidRPr="00000000">
        <w:rPr>
          <w:rFonts w:ascii="Georgia" w:cs="Georgia" w:eastAsia="Georgia" w:hAnsi="Georgia"/>
          <w:i w:val="1"/>
          <w:sz w:val="24"/>
          <w:szCs w:val="24"/>
          <w:rtl w:val="0"/>
        </w:rPr>
        <w:t xml:space="preserve">The suffragette movement</w:t>
      </w:r>
      <w:r w:rsidDel="00000000" w:rsidR="00000000" w:rsidRPr="00000000">
        <w:rPr>
          <w:rFonts w:ascii="Georgia" w:cs="Georgia" w:eastAsia="Georgia" w:hAnsi="Georgia"/>
          <w:sz w:val="24"/>
          <w:szCs w:val="24"/>
          <w:highlight w:val="white"/>
          <w:rtl w:val="0"/>
        </w:rPr>
        <w:t xml:space="preserve">. [Online]. BBC BITESIZE. Available at: </w:t>
      </w:r>
      <w:hyperlink r:id="rId9">
        <w:r w:rsidDel="00000000" w:rsidR="00000000" w:rsidRPr="00000000">
          <w:rPr>
            <w:rFonts w:ascii="Georgia" w:cs="Georgia" w:eastAsia="Georgia" w:hAnsi="Georgia"/>
            <w:color w:val="1155cc"/>
            <w:sz w:val="24"/>
            <w:szCs w:val="24"/>
            <w:highlight w:val="white"/>
            <w:u w:val="single"/>
            <w:rtl w:val="0"/>
          </w:rPr>
          <w:t xml:space="preserve">https://www.bbc.co.uk/bitesize/articles/zh6nsk7#zspyvwx</w:t>
        </w:r>
      </w:hyperlink>
      <w:r w:rsidDel="00000000" w:rsidR="00000000" w:rsidRPr="00000000">
        <w:rPr>
          <w:rFonts w:ascii="Georgia" w:cs="Georgia" w:eastAsia="Georgia" w:hAnsi="Georgia"/>
          <w:sz w:val="24"/>
          <w:szCs w:val="24"/>
          <w:highlight w:val="white"/>
          <w:rtl w:val="0"/>
        </w:rPr>
        <w:t xml:space="preserve"> [Accessed 11 December 2024].</w:t>
      </w:r>
    </w:p>
    <w:p w:rsidR="00000000" w:rsidDel="00000000" w:rsidP="00000000" w:rsidRDefault="00000000" w:rsidRPr="00000000" w14:paraId="0000001A">
      <w:pPr>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1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CANADIAN HISTORY. (N/A). </w:t>
      </w:r>
      <w:r w:rsidDel="00000000" w:rsidR="00000000" w:rsidRPr="00000000">
        <w:rPr>
          <w:rFonts w:ascii="Georgia" w:cs="Georgia" w:eastAsia="Georgia" w:hAnsi="Georgia"/>
          <w:i w:val="1"/>
          <w:sz w:val="24"/>
          <w:szCs w:val="24"/>
          <w:rtl w:val="0"/>
        </w:rPr>
        <w:t xml:space="preserve">Wartime Elections Act &amp; Military Voters Act (1917)</w:t>
      </w:r>
      <w:r w:rsidDel="00000000" w:rsidR="00000000" w:rsidRPr="00000000">
        <w:rPr>
          <w:rFonts w:ascii="Georgia" w:cs="Georgia" w:eastAsia="Georgia" w:hAnsi="Georgia"/>
          <w:sz w:val="24"/>
          <w:szCs w:val="24"/>
          <w:rtl w:val="0"/>
        </w:rPr>
        <w:t xml:space="preserve">. [Online]. CANADIAN HISTORY: A TIMELINE OF WOMEN'S RIGHTS. Available at: </w:t>
      </w:r>
      <w:hyperlink r:id="rId10">
        <w:r w:rsidDel="00000000" w:rsidR="00000000" w:rsidRPr="00000000">
          <w:rPr>
            <w:rFonts w:ascii="Georgia" w:cs="Georgia" w:eastAsia="Georgia" w:hAnsi="Georgia"/>
            <w:color w:val="1155cc"/>
            <w:sz w:val="24"/>
            <w:szCs w:val="24"/>
            <w:u w:val="single"/>
            <w:rtl w:val="0"/>
          </w:rPr>
          <w:t xml:space="preserve">https://canadianhistoryofwomensrights.weebly.com/military-voters-act--wartime-elections-act.htm</w:t>
        </w:r>
      </w:hyperlink>
      <w:r w:rsidDel="00000000" w:rsidR="00000000" w:rsidRPr="00000000">
        <w:rPr>
          <w:rFonts w:ascii="Georgia" w:cs="Georgia" w:eastAsia="Georgia" w:hAnsi="Georgia"/>
          <w:sz w:val="24"/>
          <w:szCs w:val="24"/>
          <w:rtl w:val="0"/>
        </w:rPr>
        <w:t xml:space="preserve">l [Accessed 17 December 2024].</w:t>
      </w:r>
    </w:p>
    <w:p w:rsidR="00000000" w:rsidDel="00000000" w:rsidP="00000000" w:rsidRDefault="00000000" w:rsidRPr="00000000" w14:paraId="0000001C">
      <w:pPr>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1D">
      <w:pPr>
        <w:rPr>
          <w:rFonts w:ascii="Georgia" w:cs="Georgia" w:eastAsia="Georgia" w:hAnsi="Georgia"/>
          <w:sz w:val="24"/>
          <w:szCs w:val="24"/>
          <w:highlight w:val="white"/>
        </w:rPr>
      </w:pPr>
      <w:r w:rsidDel="00000000" w:rsidR="00000000" w:rsidRPr="00000000">
        <w:rPr>
          <w:rFonts w:ascii="Georgia" w:cs="Georgia" w:eastAsia="Georgia" w:hAnsi="Georgia"/>
          <w:sz w:val="24"/>
          <w:szCs w:val="24"/>
          <w:highlight w:val="white"/>
          <w:rtl w:val="0"/>
        </w:rPr>
        <w:t xml:space="preserve">HISTORY.COM EDITORS. (2009). </w:t>
      </w:r>
      <w:r w:rsidDel="00000000" w:rsidR="00000000" w:rsidRPr="00000000">
        <w:rPr>
          <w:rFonts w:ascii="Georgia" w:cs="Georgia" w:eastAsia="Georgia" w:hAnsi="Georgia"/>
          <w:i w:val="1"/>
          <w:sz w:val="24"/>
          <w:szCs w:val="24"/>
          <w:highlight w:val="white"/>
          <w:rtl w:val="0"/>
        </w:rPr>
        <w:t xml:space="preserve">Women Who Fought for the Right to Vote</w:t>
      </w:r>
      <w:r w:rsidDel="00000000" w:rsidR="00000000" w:rsidRPr="00000000">
        <w:rPr>
          <w:rFonts w:ascii="Georgia" w:cs="Georgia" w:eastAsia="Georgia" w:hAnsi="Georgia"/>
          <w:sz w:val="24"/>
          <w:szCs w:val="24"/>
          <w:highlight w:val="white"/>
          <w:rtl w:val="0"/>
        </w:rPr>
        <w:t xml:space="preserve">. [Online]. History. Last Updated: 2024. Available at: </w:t>
      </w:r>
      <w:hyperlink r:id="rId11">
        <w:r w:rsidDel="00000000" w:rsidR="00000000" w:rsidRPr="00000000">
          <w:rPr>
            <w:rFonts w:ascii="Georgia" w:cs="Georgia" w:eastAsia="Georgia" w:hAnsi="Georgia"/>
            <w:color w:val="1155cc"/>
            <w:sz w:val="24"/>
            <w:szCs w:val="24"/>
            <w:highlight w:val="white"/>
            <w:u w:val="single"/>
            <w:rtl w:val="0"/>
          </w:rPr>
          <w:t xml:space="preserve">https://www.history.com/topics/womens-history/women-who-fought-for-the-vote-1 </w:t>
        </w:r>
      </w:hyperlink>
      <w:r w:rsidDel="00000000" w:rsidR="00000000" w:rsidRPr="00000000">
        <w:rPr>
          <w:rFonts w:ascii="Georgia" w:cs="Georgia" w:eastAsia="Georgia" w:hAnsi="Georgia"/>
          <w:sz w:val="24"/>
          <w:szCs w:val="24"/>
          <w:highlight w:val="white"/>
          <w:rtl w:val="0"/>
        </w:rPr>
        <w:t xml:space="preserve">[Accessed 17 December 2024].</w:t>
      </w:r>
    </w:p>
    <w:p w:rsidR="00000000" w:rsidDel="00000000" w:rsidP="00000000" w:rsidRDefault="00000000" w:rsidRPr="00000000" w14:paraId="0000001E">
      <w:pPr>
        <w:rPr>
          <w:sz w:val="30"/>
          <w:szCs w:val="30"/>
          <w:highlight w:val="white"/>
        </w:rPr>
      </w:pPr>
      <w:r w:rsidDel="00000000" w:rsidR="00000000" w:rsidRPr="00000000">
        <w:rPr>
          <w:rtl w:val="0"/>
        </w:rPr>
      </w:r>
    </w:p>
    <w:p w:rsidR="00000000" w:rsidDel="00000000" w:rsidP="00000000" w:rsidRDefault="00000000" w:rsidRPr="00000000" w14:paraId="0000001F">
      <w:pPr>
        <w:rPr>
          <w:rFonts w:ascii="Georgia" w:cs="Georgia" w:eastAsia="Georgia" w:hAnsi="Georgia"/>
          <w:sz w:val="24"/>
          <w:szCs w:val="24"/>
          <w:highlight w:val="white"/>
        </w:rPr>
      </w:pPr>
      <w:r w:rsidDel="00000000" w:rsidR="00000000" w:rsidRPr="00000000">
        <w:rPr>
          <w:rFonts w:ascii="Georgia" w:cs="Georgia" w:eastAsia="Georgia" w:hAnsi="Georgia"/>
          <w:sz w:val="24"/>
          <w:szCs w:val="24"/>
          <w:highlight w:val="white"/>
          <w:rtl w:val="0"/>
        </w:rPr>
        <w:t xml:space="preserve">Julia Bush. (2007). </w:t>
      </w:r>
      <w:r w:rsidDel="00000000" w:rsidR="00000000" w:rsidRPr="00000000">
        <w:rPr>
          <w:rFonts w:ascii="Georgia" w:cs="Georgia" w:eastAsia="Georgia" w:hAnsi="Georgia"/>
          <w:i w:val="1"/>
          <w:sz w:val="24"/>
          <w:szCs w:val="24"/>
          <w:highlight w:val="white"/>
          <w:rtl w:val="0"/>
        </w:rPr>
        <w:t xml:space="preserve">Women Against the Vote: Female Anti-Suffragism in Britain</w:t>
      </w:r>
      <w:r w:rsidDel="00000000" w:rsidR="00000000" w:rsidRPr="00000000">
        <w:rPr>
          <w:rFonts w:ascii="Georgia" w:cs="Georgia" w:eastAsia="Georgia" w:hAnsi="Georgia"/>
          <w:sz w:val="24"/>
          <w:szCs w:val="24"/>
          <w:highlight w:val="white"/>
          <w:rtl w:val="0"/>
        </w:rPr>
        <w:t xml:space="preserve">. Oxford: Oxford University Press. P.257–288.</w:t>
      </w:r>
    </w:p>
    <w:p w:rsidR="00000000" w:rsidDel="00000000" w:rsidP="00000000" w:rsidRDefault="00000000" w:rsidRPr="00000000" w14:paraId="00000020">
      <w:pPr>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21">
      <w:pPr>
        <w:spacing w:line="240" w:lineRule="auto"/>
        <w:rPr>
          <w:sz w:val="24"/>
          <w:szCs w:val="24"/>
        </w:rPr>
      </w:pPr>
      <w:r w:rsidDel="00000000" w:rsidR="00000000" w:rsidRPr="00000000">
        <w:rPr>
          <w:sz w:val="24"/>
          <w:szCs w:val="24"/>
          <w:rtl w:val="0"/>
        </w:rPr>
        <w:t xml:space="preserve"> </w:t>
      </w:r>
      <w:r w:rsidDel="00000000" w:rsidR="00000000" w:rsidRPr="00000000">
        <w:rPr>
          <w:sz w:val="24"/>
          <w:szCs w:val="24"/>
          <w:highlight w:val="white"/>
          <w:rtl w:val="0"/>
        </w:rPr>
        <w:t xml:space="preserve">Martin Pugh. (1992). </w:t>
      </w:r>
      <w:r w:rsidDel="00000000" w:rsidR="00000000" w:rsidRPr="00000000">
        <w:rPr>
          <w:i w:val="1"/>
          <w:sz w:val="24"/>
          <w:szCs w:val="24"/>
          <w:rtl w:val="0"/>
        </w:rPr>
        <w:t xml:space="preserve">Women and the Women's movement in Britain 1914-1959</w:t>
      </w:r>
      <w:r w:rsidDel="00000000" w:rsidR="00000000" w:rsidRPr="00000000">
        <w:rPr>
          <w:sz w:val="24"/>
          <w:szCs w:val="24"/>
          <w:highlight w:val="white"/>
          <w:rtl w:val="0"/>
        </w:rPr>
        <w:t xml:space="preserve">. London: MACMILLAN. p.5</w:t>
      </w:r>
      <w:r w:rsidDel="00000000" w:rsidR="00000000" w:rsidRPr="00000000">
        <w:rPr>
          <w:rtl w:val="0"/>
        </w:rPr>
      </w:r>
    </w:p>
    <w:p w:rsidR="00000000" w:rsidDel="00000000" w:rsidP="00000000" w:rsidRDefault="00000000" w:rsidRPr="00000000" w14:paraId="00000022">
      <w:pPr>
        <w:rPr>
          <w:sz w:val="30"/>
          <w:szCs w:val="30"/>
          <w:highlight w:val="white"/>
        </w:rPr>
      </w:pPr>
      <w:r w:rsidDel="00000000" w:rsidR="00000000" w:rsidRPr="00000000">
        <w:rPr>
          <w:rtl w:val="0"/>
        </w:rPr>
      </w:r>
    </w:p>
    <w:p w:rsidR="00000000" w:rsidDel="00000000" w:rsidP="00000000" w:rsidRDefault="00000000" w:rsidRPr="00000000" w14:paraId="0000002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Martin Pugh. (1992). </w:t>
      </w:r>
      <w:r w:rsidDel="00000000" w:rsidR="00000000" w:rsidRPr="00000000">
        <w:rPr>
          <w:rFonts w:ascii="Georgia" w:cs="Georgia" w:eastAsia="Georgia" w:hAnsi="Georgia"/>
          <w:i w:val="1"/>
          <w:sz w:val="24"/>
          <w:szCs w:val="24"/>
          <w:rtl w:val="0"/>
        </w:rPr>
        <w:t xml:space="preserve">Women and the Women's movement in Britain 1914-1959</w:t>
      </w:r>
      <w:r w:rsidDel="00000000" w:rsidR="00000000" w:rsidRPr="00000000">
        <w:rPr>
          <w:rFonts w:ascii="Georgia" w:cs="Georgia" w:eastAsia="Georgia" w:hAnsi="Georgia"/>
          <w:sz w:val="24"/>
          <w:szCs w:val="24"/>
          <w:rtl w:val="0"/>
        </w:rPr>
        <w:t xml:space="preserve">. London: MACMILLAN. p.18.</w:t>
      </w:r>
    </w:p>
    <w:p w:rsidR="00000000" w:rsidDel="00000000" w:rsidP="00000000" w:rsidRDefault="00000000" w:rsidRPr="00000000" w14:paraId="00000024">
      <w:pPr>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25">
      <w:pPr>
        <w:spacing w:line="240" w:lineRule="auto"/>
        <w:rPr>
          <w:rFonts w:ascii="Georgia" w:cs="Georgia" w:eastAsia="Georgia" w:hAnsi="Georgia"/>
          <w:sz w:val="24"/>
          <w:szCs w:val="24"/>
          <w:highlight w:val="white"/>
        </w:rPr>
      </w:pP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sz w:val="24"/>
          <w:szCs w:val="24"/>
          <w:highlight w:val="white"/>
          <w:rtl w:val="0"/>
        </w:rPr>
        <w:t xml:space="preserve">Martin Pugh. (1992). </w:t>
      </w:r>
      <w:r w:rsidDel="00000000" w:rsidR="00000000" w:rsidRPr="00000000">
        <w:rPr>
          <w:rFonts w:ascii="Georgia" w:cs="Georgia" w:eastAsia="Georgia" w:hAnsi="Georgia"/>
          <w:i w:val="1"/>
          <w:sz w:val="24"/>
          <w:szCs w:val="24"/>
          <w:rtl w:val="0"/>
        </w:rPr>
        <w:t xml:space="preserve">Women and the Women's movement in Britain 1914-1959</w:t>
      </w:r>
      <w:r w:rsidDel="00000000" w:rsidR="00000000" w:rsidRPr="00000000">
        <w:rPr>
          <w:rFonts w:ascii="Georgia" w:cs="Georgia" w:eastAsia="Georgia" w:hAnsi="Georgia"/>
          <w:sz w:val="24"/>
          <w:szCs w:val="24"/>
          <w:highlight w:val="white"/>
          <w:rtl w:val="0"/>
        </w:rPr>
        <w:t xml:space="preserve">. London: MACMILLAN. p.41-42</w:t>
      </w:r>
    </w:p>
    <w:p w:rsidR="00000000" w:rsidDel="00000000" w:rsidP="00000000" w:rsidRDefault="00000000" w:rsidRPr="00000000" w14:paraId="00000026">
      <w:pPr>
        <w:rPr>
          <w:sz w:val="30"/>
          <w:szCs w:val="30"/>
          <w:highlight w:val="white"/>
        </w:rPr>
      </w:pPr>
      <w:r w:rsidDel="00000000" w:rsidR="00000000" w:rsidRPr="00000000">
        <w:rPr>
          <w:rtl w:val="0"/>
        </w:rPr>
      </w:r>
    </w:p>
    <w:p w:rsidR="00000000" w:rsidDel="00000000" w:rsidP="00000000" w:rsidRDefault="00000000" w:rsidRPr="00000000" w14:paraId="0000002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Rochelle Goldberg Ruthchild. (2017). </w:t>
      </w:r>
      <w:r w:rsidDel="00000000" w:rsidR="00000000" w:rsidRPr="00000000">
        <w:rPr>
          <w:rFonts w:ascii="Georgia" w:cs="Georgia" w:eastAsia="Georgia" w:hAnsi="Georgia"/>
          <w:i w:val="1"/>
          <w:sz w:val="24"/>
          <w:szCs w:val="24"/>
          <w:rtl w:val="0"/>
        </w:rPr>
        <w:t xml:space="preserve">Women and Gender in 1917</w:t>
      </w:r>
      <w:r w:rsidDel="00000000" w:rsidR="00000000" w:rsidRPr="00000000">
        <w:rPr>
          <w:rFonts w:ascii="Georgia" w:cs="Georgia" w:eastAsia="Georgia" w:hAnsi="Georgia"/>
          <w:sz w:val="24"/>
          <w:szCs w:val="24"/>
          <w:rtl w:val="0"/>
        </w:rPr>
        <w:t xml:space="preserve">. [Online]. Cambridge University Press. Available at: </w:t>
      </w:r>
      <w:hyperlink r:id="rId12">
        <w:r w:rsidDel="00000000" w:rsidR="00000000" w:rsidRPr="00000000">
          <w:rPr>
            <w:rFonts w:ascii="Georgia" w:cs="Georgia" w:eastAsia="Georgia" w:hAnsi="Georgia"/>
            <w:color w:val="1155cc"/>
            <w:sz w:val="24"/>
            <w:szCs w:val="24"/>
            <w:u w:val="single"/>
            <w:rtl w:val="0"/>
          </w:rPr>
          <w:t xml:space="preserve">https://www.cambridge.org/core/journals/slavic-review/article/women-and-gender-in-1917/CE4673AE59CA4</w:t>
        </w:r>
      </w:hyperlink>
      <w:r w:rsidDel="00000000" w:rsidR="00000000" w:rsidRPr="00000000">
        <w:rPr>
          <w:rFonts w:ascii="Georgia" w:cs="Georgia" w:eastAsia="Georgia" w:hAnsi="Georgia"/>
          <w:sz w:val="24"/>
          <w:szCs w:val="24"/>
          <w:rtl w:val="0"/>
        </w:rPr>
        <w:t xml:space="preserve"> [Accessed 17 December 2024].</w:t>
      </w:r>
    </w:p>
    <w:p w:rsidR="00000000" w:rsidDel="00000000" w:rsidP="00000000" w:rsidRDefault="00000000" w:rsidRPr="00000000" w14:paraId="00000028">
      <w:pPr>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29">
      <w:pPr>
        <w:rPr>
          <w:rFonts w:ascii="Georgia" w:cs="Georgia" w:eastAsia="Georgia" w:hAnsi="Georgia"/>
          <w:sz w:val="24"/>
          <w:szCs w:val="24"/>
          <w:highlight w:val="white"/>
        </w:rPr>
      </w:pPr>
      <w:r w:rsidDel="00000000" w:rsidR="00000000" w:rsidRPr="00000000">
        <w:rPr>
          <w:rFonts w:ascii="Georgia" w:cs="Georgia" w:eastAsia="Georgia" w:hAnsi="Georgia"/>
          <w:sz w:val="24"/>
          <w:szCs w:val="24"/>
          <w:highlight w:val="white"/>
          <w:rtl w:val="0"/>
        </w:rPr>
        <w:t xml:space="preserve">Sandra Stanley Holton. (1986). </w:t>
      </w:r>
      <w:r w:rsidDel="00000000" w:rsidR="00000000" w:rsidRPr="00000000">
        <w:rPr>
          <w:rFonts w:ascii="Georgia" w:cs="Georgia" w:eastAsia="Georgia" w:hAnsi="Georgia"/>
          <w:i w:val="1"/>
          <w:sz w:val="24"/>
          <w:szCs w:val="24"/>
          <w:highlight w:val="white"/>
          <w:rtl w:val="0"/>
        </w:rPr>
        <w:t xml:space="preserve">Feminism and Democracy</w:t>
      </w:r>
      <w:r w:rsidDel="00000000" w:rsidR="00000000" w:rsidRPr="00000000">
        <w:rPr>
          <w:rFonts w:ascii="Georgia" w:cs="Georgia" w:eastAsia="Georgia" w:hAnsi="Georgia"/>
          <w:sz w:val="24"/>
          <w:szCs w:val="24"/>
          <w:highlight w:val="white"/>
          <w:rtl w:val="0"/>
        </w:rPr>
        <w:t xml:space="preserve">. Cambridge: Cambridge University Press.</w:t>
      </w:r>
    </w:p>
    <w:p w:rsidR="00000000" w:rsidDel="00000000" w:rsidP="00000000" w:rsidRDefault="00000000" w:rsidRPr="00000000" w14:paraId="0000002A">
      <w:pPr>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2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Stacker. (2024). </w:t>
      </w:r>
      <w:r w:rsidDel="00000000" w:rsidR="00000000" w:rsidRPr="00000000">
        <w:rPr>
          <w:rFonts w:ascii="Georgia" w:cs="Georgia" w:eastAsia="Georgia" w:hAnsi="Georgia"/>
          <w:i w:val="1"/>
          <w:sz w:val="24"/>
          <w:szCs w:val="24"/>
          <w:rtl w:val="0"/>
        </w:rPr>
        <w:t xml:space="preserve">When women got the right to vote in 50 countries</w:t>
      </w:r>
      <w:r w:rsidDel="00000000" w:rsidR="00000000" w:rsidRPr="00000000">
        <w:rPr>
          <w:rFonts w:ascii="Georgia" w:cs="Georgia" w:eastAsia="Georgia" w:hAnsi="Georgia"/>
          <w:sz w:val="24"/>
          <w:szCs w:val="24"/>
          <w:rtl w:val="0"/>
        </w:rPr>
        <w:t xml:space="preserve">. [Online]. Stacker. Available at: </w:t>
      </w:r>
      <w:hyperlink r:id="rId13">
        <w:r w:rsidDel="00000000" w:rsidR="00000000" w:rsidRPr="00000000">
          <w:rPr>
            <w:rFonts w:ascii="Georgia" w:cs="Georgia" w:eastAsia="Georgia" w:hAnsi="Georgia"/>
            <w:color w:val="1155cc"/>
            <w:sz w:val="24"/>
            <w:szCs w:val="24"/>
            <w:u w:val="single"/>
            <w:rtl w:val="0"/>
          </w:rPr>
          <w:t xml:space="preserve">https://stacker.com/world/when-women-got-right-vote-50-countries</w:t>
        </w:r>
      </w:hyperlink>
      <w:r w:rsidDel="00000000" w:rsidR="00000000" w:rsidRPr="00000000">
        <w:rPr>
          <w:rFonts w:ascii="Georgia" w:cs="Georgia" w:eastAsia="Georgia" w:hAnsi="Georgia"/>
          <w:sz w:val="24"/>
          <w:szCs w:val="24"/>
          <w:rtl w:val="0"/>
        </w:rPr>
        <w:t xml:space="preserve"> [Accessed 19 December 2024].</w:t>
      </w:r>
    </w:p>
    <w:p w:rsidR="00000000" w:rsidDel="00000000" w:rsidP="00000000" w:rsidRDefault="00000000" w:rsidRPr="00000000" w14:paraId="0000002C">
      <w:pPr>
        <w:rPr>
          <w:sz w:val="30"/>
          <w:szCs w:val="30"/>
          <w:highlight w:val="white"/>
        </w:rPr>
      </w:pPr>
      <w:r w:rsidDel="00000000" w:rsidR="00000000" w:rsidRPr="00000000">
        <w:rPr>
          <w:rtl w:val="0"/>
        </w:rPr>
      </w:r>
    </w:p>
    <w:p w:rsidR="00000000" w:rsidDel="00000000" w:rsidP="00000000" w:rsidRDefault="00000000" w:rsidRPr="00000000" w14:paraId="0000002D">
      <w:pPr>
        <w:rPr>
          <w:sz w:val="30"/>
          <w:szCs w:val="30"/>
          <w:highlight w:val="white"/>
        </w:rPr>
      </w:pPr>
      <w:r w:rsidDel="00000000" w:rsidR="00000000" w:rsidRPr="00000000">
        <w:rPr>
          <w:rFonts w:ascii="Georgia" w:cs="Georgia" w:eastAsia="Georgia" w:hAnsi="Georgia"/>
          <w:sz w:val="24"/>
          <w:szCs w:val="24"/>
          <w:highlight w:val="white"/>
          <w:rtl w:val="0"/>
        </w:rPr>
        <w:t xml:space="preserve">The National WW1 Museum. (N/A). </w:t>
      </w:r>
      <w:r w:rsidDel="00000000" w:rsidR="00000000" w:rsidRPr="00000000">
        <w:rPr>
          <w:rFonts w:ascii="Georgia" w:cs="Georgia" w:eastAsia="Georgia" w:hAnsi="Georgia"/>
          <w:i w:val="1"/>
          <w:sz w:val="24"/>
          <w:szCs w:val="24"/>
          <w:highlight w:val="white"/>
          <w:rtl w:val="0"/>
        </w:rPr>
        <w:t xml:space="preserve">Women in WW1</w:t>
      </w:r>
      <w:r w:rsidDel="00000000" w:rsidR="00000000" w:rsidRPr="00000000">
        <w:rPr>
          <w:rFonts w:ascii="Georgia" w:cs="Georgia" w:eastAsia="Georgia" w:hAnsi="Georgia"/>
          <w:sz w:val="24"/>
          <w:szCs w:val="24"/>
          <w:highlight w:val="white"/>
          <w:rtl w:val="0"/>
        </w:rPr>
        <w:t xml:space="preserve">. [Online]. The National WW1 Museum and Memorial. Available at: </w:t>
      </w:r>
      <w:hyperlink r:id="rId14">
        <w:r w:rsidDel="00000000" w:rsidR="00000000" w:rsidRPr="00000000">
          <w:rPr>
            <w:rFonts w:ascii="Georgia" w:cs="Georgia" w:eastAsia="Georgia" w:hAnsi="Georgia"/>
            <w:color w:val="1155cc"/>
            <w:sz w:val="24"/>
            <w:szCs w:val="24"/>
            <w:highlight w:val="white"/>
            <w:u w:val="single"/>
            <w:rtl w:val="0"/>
          </w:rPr>
          <w:t xml:space="preserve">https://www.theworldwar.org/learn/women</w:t>
        </w:r>
      </w:hyperlink>
      <w:r w:rsidDel="00000000" w:rsidR="00000000" w:rsidRPr="00000000">
        <w:rPr>
          <w:rFonts w:ascii="Georgia" w:cs="Georgia" w:eastAsia="Georgia" w:hAnsi="Georgia"/>
          <w:sz w:val="24"/>
          <w:szCs w:val="24"/>
          <w:highlight w:val="white"/>
          <w:rtl w:val="0"/>
        </w:rPr>
        <w:t xml:space="preserve"> [Accessed 13 December 2024]</w:t>
      </w:r>
      <w:r w:rsidDel="00000000" w:rsidR="00000000" w:rsidRPr="00000000">
        <w:rPr>
          <w:sz w:val="30"/>
          <w:szCs w:val="30"/>
          <w:highlight w:val="white"/>
          <w:rtl w:val="0"/>
        </w:rPr>
        <w:t xml:space="preserve">.</w:t>
      </w:r>
    </w:p>
    <w:p w:rsidR="00000000" w:rsidDel="00000000" w:rsidP="00000000" w:rsidRDefault="00000000" w:rsidRPr="00000000" w14:paraId="0000002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UK Parliament. (2024). Representation of the People Act 1918. [Online]. UK Parliament. Available at: </w:t>
      </w:r>
      <w:hyperlink r:id="rId15">
        <w:r w:rsidDel="00000000" w:rsidR="00000000" w:rsidRPr="00000000">
          <w:rPr>
            <w:rFonts w:ascii="Georgia" w:cs="Georgia" w:eastAsia="Georgia" w:hAnsi="Georgia"/>
            <w:color w:val="1155cc"/>
            <w:sz w:val="24"/>
            <w:szCs w:val="24"/>
            <w:u w:val="single"/>
            <w:rtl w:val="0"/>
          </w:rPr>
          <w:t xml:space="preserve">https://www.parliament.uk/about/living-heritage/transformingsociety/electionsvoting/womenvote/parlia</w:t>
        </w:r>
      </w:hyperlink>
      <w:r w:rsidDel="00000000" w:rsidR="00000000" w:rsidRPr="00000000">
        <w:rPr>
          <w:rFonts w:ascii="Georgia" w:cs="Georgia" w:eastAsia="Georgia" w:hAnsi="Georgia"/>
          <w:sz w:val="24"/>
          <w:szCs w:val="24"/>
          <w:rtl w:val="0"/>
        </w:rPr>
        <w:t xml:space="preserve"> [Accessed 15 December 2024].</w:t>
      </w:r>
    </w:p>
    <w:sectPr>
      <w:headerReference r:id="rId1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hyperlink r:id="rId1">
        <w:r w:rsidDel="00000000" w:rsidR="00000000" w:rsidRPr="00000000">
          <w:rPr>
            <w:color w:val="1155cc"/>
            <w:sz w:val="20"/>
            <w:szCs w:val="20"/>
            <w:u w:val="single"/>
            <w:rtl w:val="0"/>
          </w:rPr>
          <w:t xml:space="preserve"> https://www.bbc.co.uk/bitesize/articles/zh6nsk7#zjw2m39</w:t>
        </w:r>
      </w:hyperlink>
      <w:r w:rsidDel="00000000" w:rsidR="00000000" w:rsidRPr="00000000">
        <w:rPr>
          <w:rtl w:val="0"/>
        </w:rPr>
      </w:r>
    </w:p>
  </w:footnote>
  <w:footnote w:id="3">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hyperlink r:id="rId2">
        <w:r w:rsidDel="00000000" w:rsidR="00000000" w:rsidRPr="00000000">
          <w:rPr>
            <w:color w:val="1155cc"/>
            <w:sz w:val="20"/>
            <w:szCs w:val="20"/>
            <w:u w:val="single"/>
            <w:rtl w:val="0"/>
          </w:rPr>
          <w:t xml:space="preserve"> https://www.theworldwar.org/learn/women</w:t>
        </w:r>
      </w:hyperlink>
      <w:r w:rsidDel="00000000" w:rsidR="00000000" w:rsidRPr="00000000">
        <w:rPr>
          <w:rtl w:val="0"/>
        </w:rPr>
      </w:r>
    </w:p>
  </w:footnote>
  <w:footnote w:id="6">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https://www.parliament.uk/about/living-heritage/transformingsociety/electionsvoting/womenvote/parliamentary-collections/collections-the-vote-and-after/representation-of-the-people-act-1918/</w:t>
        </w:r>
      </w:hyperlink>
      <w:r w:rsidDel="00000000" w:rsidR="00000000" w:rsidRPr="00000000">
        <w:rPr>
          <w:rtl w:val="0"/>
        </w:rPr>
      </w:r>
    </w:p>
  </w:footnote>
  <w:footnote w:id="5">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hyperlink r:id="rId4">
        <w:r w:rsidDel="00000000" w:rsidR="00000000" w:rsidRPr="00000000">
          <w:rPr>
            <w:color w:val="1155cc"/>
            <w:sz w:val="20"/>
            <w:szCs w:val="20"/>
            <w:u w:val="single"/>
            <w:rtl w:val="0"/>
          </w:rPr>
          <w:t xml:space="preserve"> https://academic.oup.com/book/7736/chapter/152865875</w:t>
        </w:r>
      </w:hyperlink>
      <w:r w:rsidDel="00000000" w:rsidR="00000000" w:rsidRPr="00000000">
        <w:rPr>
          <w:rtl w:val="0"/>
        </w:rPr>
      </w:r>
    </w:p>
  </w:footnote>
  <w:footnote w:id="2">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Martin Pugh. (1992). </w:t>
      </w:r>
      <w:r w:rsidDel="00000000" w:rsidR="00000000" w:rsidRPr="00000000">
        <w:rPr>
          <w:i w:val="1"/>
          <w:sz w:val="20"/>
          <w:szCs w:val="20"/>
          <w:rtl w:val="0"/>
        </w:rPr>
        <w:t xml:space="preserve">Women and the Women's movement in Britain 1914-1959</w:t>
      </w:r>
      <w:r w:rsidDel="00000000" w:rsidR="00000000" w:rsidRPr="00000000">
        <w:rPr>
          <w:sz w:val="20"/>
          <w:szCs w:val="20"/>
          <w:highlight w:val="white"/>
          <w:rtl w:val="0"/>
        </w:rPr>
        <w:t xml:space="preserve">. London: MACMILLAN. p.18.</w:t>
      </w:r>
      <w:r w:rsidDel="00000000" w:rsidR="00000000" w:rsidRPr="00000000">
        <w:rPr>
          <w:rtl w:val="0"/>
        </w:rPr>
      </w:r>
    </w:p>
  </w:footnote>
  <w:footnote w:id="10">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Martin Pugh. (1992). </w:t>
      </w:r>
      <w:r w:rsidDel="00000000" w:rsidR="00000000" w:rsidRPr="00000000">
        <w:rPr>
          <w:i w:val="1"/>
          <w:sz w:val="20"/>
          <w:szCs w:val="20"/>
          <w:rtl w:val="0"/>
        </w:rPr>
        <w:t xml:space="preserve">Women and the Women's movement in Britain 1914-1959</w:t>
      </w:r>
      <w:r w:rsidDel="00000000" w:rsidR="00000000" w:rsidRPr="00000000">
        <w:rPr>
          <w:sz w:val="20"/>
          <w:szCs w:val="20"/>
          <w:highlight w:val="white"/>
          <w:rtl w:val="0"/>
        </w:rPr>
        <w:t xml:space="preserve">. London: MACMILLAN. p.41-42</w:t>
      </w:r>
      <w:r w:rsidDel="00000000" w:rsidR="00000000" w:rsidRPr="00000000">
        <w:rPr>
          <w:rtl w:val="0"/>
        </w:rPr>
      </w:r>
    </w:p>
  </w:footnote>
  <w:footnote w:id="7">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hyperlink r:id="rId5">
        <w:r w:rsidDel="00000000" w:rsidR="00000000" w:rsidRPr="00000000">
          <w:rPr>
            <w:color w:val="1155cc"/>
            <w:sz w:val="20"/>
            <w:szCs w:val="20"/>
            <w:u w:val="single"/>
            <w:rtl w:val="0"/>
          </w:rPr>
          <w:t xml:space="preserve"> https://www.history.com/topics/womens-history/women-who-fought-for-the-vote-1</w:t>
        </w:r>
      </w:hyperlink>
      <w:r w:rsidDel="00000000" w:rsidR="00000000" w:rsidRPr="00000000">
        <w:rPr>
          <w:rtl w:val="0"/>
        </w:rPr>
      </w:r>
    </w:p>
  </w:footnote>
  <w:footnote w:id="8">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color w:val="1155cc"/>
            <w:sz w:val="20"/>
            <w:szCs w:val="20"/>
            <w:u w:val="single"/>
            <w:rtl w:val="0"/>
          </w:rPr>
          <w:t xml:space="preserve">https://www.cambridge.org/core/journals/slavic-review/article/women-and-gender-in-1917/CE4673AE59CA42774E510225CACAC405</w:t>
        </w:r>
      </w:hyperlink>
      <w:r w:rsidDel="00000000" w:rsidR="00000000" w:rsidRPr="00000000">
        <w:rPr>
          <w:rtl w:val="0"/>
        </w:rPr>
      </w:r>
    </w:p>
  </w:footnote>
  <w:footnote w:id="9">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hyperlink r:id="rId7">
        <w:r w:rsidDel="00000000" w:rsidR="00000000" w:rsidRPr="00000000">
          <w:rPr>
            <w:color w:val="1155cc"/>
            <w:sz w:val="20"/>
            <w:szCs w:val="20"/>
            <w:u w:val="single"/>
            <w:rtl w:val="0"/>
          </w:rPr>
          <w:t xml:space="preserve"> https://canadianhistoryofwomensrights.weebly.com/military-voters-act--wartime-elections-act.html</w:t>
        </w:r>
      </w:hyperlink>
      <w:r w:rsidDel="00000000" w:rsidR="00000000" w:rsidRPr="00000000">
        <w:rPr>
          <w:rtl w:val="0"/>
        </w:rPr>
      </w:r>
    </w:p>
  </w:footnote>
  <w:footnote w:id="1">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Martin Pugh. (1992). </w:t>
      </w:r>
      <w:r w:rsidDel="00000000" w:rsidR="00000000" w:rsidRPr="00000000">
        <w:rPr>
          <w:i w:val="1"/>
          <w:sz w:val="20"/>
          <w:szCs w:val="20"/>
          <w:rtl w:val="0"/>
        </w:rPr>
        <w:t xml:space="preserve">Women and the Women's movement in Britain 1914-1959</w:t>
      </w:r>
      <w:r w:rsidDel="00000000" w:rsidR="00000000" w:rsidRPr="00000000">
        <w:rPr>
          <w:sz w:val="20"/>
          <w:szCs w:val="20"/>
          <w:highlight w:val="white"/>
          <w:rtl w:val="0"/>
        </w:rPr>
        <w:t xml:space="preserve">. London: MACMILLAN. p.5</w:t>
      </w:r>
      <w:r w:rsidDel="00000000" w:rsidR="00000000" w:rsidRPr="00000000">
        <w:rPr>
          <w:rtl w:val="0"/>
        </w:rPr>
      </w:r>
    </w:p>
    <w:p w:rsidR="00000000" w:rsidDel="00000000" w:rsidP="00000000" w:rsidRDefault="00000000" w:rsidRPr="00000000" w14:paraId="0000003B">
      <w:pPr>
        <w:spacing w:line="240" w:lineRule="auto"/>
        <w:rPr>
          <w:sz w:val="20"/>
          <w:szCs w:val="20"/>
        </w:rPr>
      </w:pPr>
      <w:r w:rsidDel="00000000" w:rsidR="00000000" w:rsidRPr="00000000">
        <w:rPr>
          <w:rtl w:val="0"/>
        </w:rPr>
      </w:r>
    </w:p>
  </w:footnote>
  <w:footnote w:id="11">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hyperlink r:id="rId8">
        <w:r w:rsidDel="00000000" w:rsidR="00000000" w:rsidRPr="00000000">
          <w:rPr>
            <w:color w:val="1155cc"/>
            <w:sz w:val="20"/>
            <w:szCs w:val="20"/>
            <w:u w:val="single"/>
            <w:rtl w:val="0"/>
          </w:rPr>
          <w:t xml:space="preserve"> https://stacker.com/world/when-women-got-right-vote-50-countries</w:t>
        </w:r>
      </w:hyperlink>
      <w:r w:rsidDel="00000000" w:rsidR="00000000" w:rsidRPr="00000000">
        <w:rPr>
          <w:rtl w:val="0"/>
        </w:rPr>
      </w:r>
    </w:p>
  </w:footnote>
  <w:footnote w:id="4">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hyperlink r:id="rId9">
        <w:r w:rsidDel="00000000" w:rsidR="00000000" w:rsidRPr="00000000">
          <w:rPr>
            <w:color w:val="1155cc"/>
            <w:sz w:val="20"/>
            <w:szCs w:val="20"/>
            <w:u w:val="single"/>
            <w:rtl w:val="0"/>
          </w:rPr>
          <w:t xml:space="preserve"> https://avax.news/fact/WWI_The_Home_Front.html</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rPr/>
    </w:pPr>
    <w:r w:rsidDel="00000000" w:rsidR="00000000" w:rsidRPr="00000000">
      <w:rPr>
        <w:rtl w:val="0"/>
      </w:rPr>
      <w:t xml:space="preserve">Katie Howell                      Wordcount- 1810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color w:val="3a3a3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history.com/topics/womens-history/women-who-fought-for-the-vote-1" TargetMode="External"/><Relationship Id="rId10" Type="http://schemas.openxmlformats.org/officeDocument/2006/relationships/hyperlink" Target="https://canadianhistoryofwomensrights.weebly.com/military-voters-act--wartime-elections-act.htm" TargetMode="External"/><Relationship Id="rId13" Type="http://schemas.openxmlformats.org/officeDocument/2006/relationships/hyperlink" Target="https://stacker.com/world/when-women-got-right-vote-50-countries" TargetMode="External"/><Relationship Id="rId12" Type="http://schemas.openxmlformats.org/officeDocument/2006/relationships/hyperlink" Target="https://www.cambridge.org/core/journals/slavic-review/article/women-and-gender-in-1917/CE4673AE59CA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bbc.co.uk/bitesize/articles/zh6nsk7#zspyvwx" TargetMode="External"/><Relationship Id="rId15" Type="http://schemas.openxmlformats.org/officeDocument/2006/relationships/hyperlink" Target="https://www.parliament.uk/about/living-heritage/transformingsociety/electionsvoting/womenvote/parlia" TargetMode="External"/><Relationship Id="rId14" Type="http://schemas.openxmlformats.org/officeDocument/2006/relationships/hyperlink" Target="https://www.theworldwar.org/learn/women" TargetMode="External"/><Relationship Id="rId16"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yperlink" Target="https://avax.news/fact/WWI_The_Home_Front.htm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bbc.co.uk/bitesize/articles/zh6nsk7#zjw2m39" TargetMode="External"/><Relationship Id="rId2" Type="http://schemas.openxmlformats.org/officeDocument/2006/relationships/hyperlink" Target="https://www.theworldwar.org/learn/women" TargetMode="External"/><Relationship Id="rId3" Type="http://schemas.openxmlformats.org/officeDocument/2006/relationships/hyperlink" Target="https://www.parliament.uk/about/living-heritage/transformingsociety/electionsvoting/womenvote/parliamentary-collections/collections-the-vote-and-after/representation-of-the-people-act-1918/" TargetMode="External"/><Relationship Id="rId4" Type="http://schemas.openxmlformats.org/officeDocument/2006/relationships/hyperlink" Target="https://academic.oup.com/book/7736/chapter/152865875" TargetMode="External"/><Relationship Id="rId9" Type="http://schemas.openxmlformats.org/officeDocument/2006/relationships/hyperlink" Target="https://avax.news/fact/WWI_The_Home_Front.html" TargetMode="External"/><Relationship Id="rId5" Type="http://schemas.openxmlformats.org/officeDocument/2006/relationships/hyperlink" Target="https://www.history.com/topics/womens-history/women-who-fought-for-the-vote-1" TargetMode="External"/><Relationship Id="rId6" Type="http://schemas.openxmlformats.org/officeDocument/2006/relationships/hyperlink" Target="https://www.cambridge.org/core/journals/slavic-review/article/women-and-gender-in-1917/CE4673AE59CA42774E510225CACAC405" TargetMode="External"/><Relationship Id="rId7" Type="http://schemas.openxmlformats.org/officeDocument/2006/relationships/hyperlink" Target="https://canadianhistoryofwomensrights.weebly.com/military-voters-act--wartime-elections-act.html" TargetMode="External"/><Relationship Id="rId8" Type="http://schemas.openxmlformats.org/officeDocument/2006/relationships/hyperlink" Target="https://stacker.com/world/when-women-got-right-vote-50-count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