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7E9CC" w14:textId="7AFFABCA" w:rsidR="00EA199C" w:rsidRPr="00585815" w:rsidRDefault="00EA199C" w:rsidP="00EA199C">
      <w:pPr>
        <w:pStyle w:val="Title"/>
        <w:jc w:val="center"/>
        <w:rPr>
          <w:sz w:val="72"/>
          <w:szCs w:val="72"/>
        </w:rPr>
      </w:pPr>
      <w:r w:rsidRPr="00585815">
        <w:rPr>
          <w:sz w:val="72"/>
          <w:szCs w:val="72"/>
        </w:rPr>
        <w:t>University of Wales Trinity Saint David</w:t>
      </w:r>
    </w:p>
    <w:p w14:paraId="1F4A2BB8" w14:textId="40FFF319" w:rsidR="00EA199C" w:rsidRPr="0071790C" w:rsidRDefault="0071790C" w:rsidP="0071790C">
      <w:pPr>
        <w:pStyle w:val="Title"/>
        <w:jc w:val="center"/>
        <w:rPr>
          <w:sz w:val="72"/>
          <w:szCs w:val="72"/>
        </w:rPr>
      </w:pPr>
      <w:r w:rsidRPr="001E3104">
        <w:rPr>
          <w:noProof/>
        </w:rPr>
        <w:drawing>
          <wp:anchor distT="0" distB="0" distL="114300" distR="114300" simplePos="0" relativeHeight="251659264" behindDoc="0" locked="0" layoutInCell="1" allowOverlap="1" wp14:anchorId="2D993B60" wp14:editId="75FF1716">
            <wp:simplePos x="0" y="0"/>
            <wp:positionH relativeFrom="margin">
              <wp:align>center</wp:align>
            </wp:positionH>
            <wp:positionV relativeFrom="paragraph">
              <wp:posOffset>694690</wp:posOffset>
            </wp:positionV>
            <wp:extent cx="2948940" cy="1259205"/>
            <wp:effectExtent l="0" t="0" r="3810" b="0"/>
            <wp:wrapTopAndBottom/>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48940" cy="12592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A199C" w:rsidRPr="00585815">
        <w:rPr>
          <w:sz w:val="72"/>
          <w:szCs w:val="72"/>
        </w:rPr>
        <w:t>School of Engineering</w:t>
      </w:r>
    </w:p>
    <w:p w14:paraId="33D0AAA6" w14:textId="77777777" w:rsidR="0071790C" w:rsidRPr="0071790C" w:rsidRDefault="0071790C" w:rsidP="00EA199C">
      <w:pPr>
        <w:pStyle w:val="Title"/>
        <w:jc w:val="center"/>
        <w:rPr>
          <w:sz w:val="72"/>
          <w:szCs w:val="72"/>
        </w:rPr>
      </w:pPr>
    </w:p>
    <w:p w14:paraId="5FA29836" w14:textId="11A409B7" w:rsidR="00EA199C" w:rsidRPr="00754674" w:rsidRDefault="00795E3C" w:rsidP="00EA199C">
      <w:pPr>
        <w:pStyle w:val="Title"/>
        <w:jc w:val="center"/>
        <w:rPr>
          <w:b/>
          <w:bCs/>
          <w:sz w:val="96"/>
          <w:szCs w:val="96"/>
        </w:rPr>
      </w:pPr>
      <w:r w:rsidRPr="00754674">
        <w:rPr>
          <w:b/>
          <w:bCs/>
          <w:sz w:val="96"/>
          <w:szCs w:val="96"/>
        </w:rPr>
        <w:t>Sustainability Challenges in Industry</w:t>
      </w:r>
      <w:r w:rsidR="00495AB9">
        <w:rPr>
          <w:b/>
          <w:bCs/>
          <w:sz w:val="96"/>
          <w:szCs w:val="96"/>
        </w:rPr>
        <w:t>: MotoGP</w:t>
      </w:r>
    </w:p>
    <w:p w14:paraId="2119C761" w14:textId="77777777" w:rsidR="0071790C" w:rsidRPr="0071790C" w:rsidRDefault="0071790C" w:rsidP="0071790C"/>
    <w:p w14:paraId="4BC598D3" w14:textId="77777777" w:rsidR="00754674" w:rsidRPr="00754674" w:rsidRDefault="00754674" w:rsidP="00754674">
      <w:pPr>
        <w:pStyle w:val="Title"/>
        <w:jc w:val="center"/>
      </w:pPr>
      <w:r w:rsidRPr="00754674">
        <w:t xml:space="preserve">Automotive Materials and Sustainability </w:t>
      </w:r>
    </w:p>
    <w:p w14:paraId="4D5FD8B7" w14:textId="5A712562" w:rsidR="00EA199C" w:rsidRDefault="00754674" w:rsidP="00495AB9">
      <w:pPr>
        <w:pStyle w:val="Title"/>
        <w:jc w:val="center"/>
      </w:pPr>
      <w:r w:rsidRPr="00754674">
        <w:t>ACHA6012</w:t>
      </w:r>
    </w:p>
    <w:p w14:paraId="34DA21D7" w14:textId="77777777" w:rsidR="00495AB9" w:rsidRPr="00495AB9" w:rsidRDefault="00495AB9" w:rsidP="00495AB9"/>
    <w:p w14:paraId="5522A611" w14:textId="6E5E2A98" w:rsidR="00754674" w:rsidRPr="00754674" w:rsidRDefault="00754674" w:rsidP="00754674">
      <w:pPr>
        <w:pStyle w:val="Title"/>
        <w:jc w:val="center"/>
      </w:pPr>
      <w:r w:rsidRPr="00754674">
        <w:t>Aidan King</w:t>
      </w:r>
    </w:p>
    <w:p w14:paraId="681FF3ED" w14:textId="6F33E9F7" w:rsidR="00EA199C" w:rsidRPr="00754674" w:rsidRDefault="00754674" w:rsidP="00EA199C">
      <w:pPr>
        <w:pStyle w:val="Title"/>
        <w:jc w:val="center"/>
      </w:pPr>
      <w:r w:rsidRPr="00754674">
        <w:t>2107344</w:t>
      </w:r>
    </w:p>
    <w:p w14:paraId="1D5785A4" w14:textId="50385A59" w:rsidR="00EA199C" w:rsidRPr="00754674" w:rsidRDefault="00754674" w:rsidP="00EA199C">
      <w:pPr>
        <w:pStyle w:val="Title"/>
        <w:jc w:val="center"/>
      </w:pPr>
      <w:r w:rsidRPr="00754674">
        <w:t>Jan 2024/Mar 2024</w:t>
      </w:r>
    </w:p>
    <w:p w14:paraId="7DD540DF" w14:textId="77777777" w:rsidR="0071790C" w:rsidRDefault="0071790C" w:rsidP="00EA199C">
      <w:pPr>
        <w:pStyle w:val="Title"/>
        <w:jc w:val="center"/>
        <w:rPr>
          <w:sz w:val="96"/>
          <w:szCs w:val="96"/>
        </w:rPr>
      </w:pPr>
    </w:p>
    <w:p w14:paraId="017C7895" w14:textId="7FDEC9AD" w:rsidR="00EA199C" w:rsidRPr="0071790C" w:rsidRDefault="0071790C" w:rsidP="0071790C">
      <w:pPr>
        <w:spacing w:line="259" w:lineRule="auto"/>
        <w:rPr>
          <w:rFonts w:asciiTheme="majorHAnsi" w:eastAsiaTheme="majorEastAsia" w:hAnsiTheme="majorHAnsi" w:cstheme="majorBidi"/>
          <w:spacing w:val="-10"/>
          <w:kern w:val="28"/>
          <w:sz w:val="96"/>
          <w:szCs w:val="96"/>
        </w:rPr>
      </w:pPr>
      <w:r>
        <w:rPr>
          <w:sz w:val="96"/>
          <w:szCs w:val="96"/>
        </w:rPr>
        <w:br w:type="page"/>
      </w:r>
    </w:p>
    <w:sdt>
      <w:sdtPr>
        <w:rPr>
          <w:rFonts w:ascii="Microsoft Sans Serif" w:eastAsiaTheme="minorHAnsi" w:hAnsi="Microsoft Sans Serif" w:cstheme="minorBidi"/>
          <w:color w:val="auto"/>
          <w:sz w:val="22"/>
          <w:szCs w:val="22"/>
          <w:lang w:val="en-GB"/>
        </w:rPr>
        <w:id w:val="1062144701"/>
        <w:docPartObj>
          <w:docPartGallery w:val="Table of Contents"/>
          <w:docPartUnique/>
        </w:docPartObj>
      </w:sdtPr>
      <w:sdtEndPr>
        <w:rPr>
          <w:b/>
          <w:bCs/>
          <w:noProof/>
        </w:rPr>
      </w:sdtEndPr>
      <w:sdtContent>
        <w:p w14:paraId="1F2AADEB" w14:textId="54ECE8B2" w:rsidR="00EA199C" w:rsidRDefault="00EA199C">
          <w:pPr>
            <w:pStyle w:val="TOCHeading"/>
          </w:pPr>
          <w:r>
            <w:t>Contents</w:t>
          </w:r>
        </w:p>
        <w:p w14:paraId="17FFC46E" w14:textId="3874727B" w:rsidR="00C14563" w:rsidRDefault="00EA199C">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160801458" w:history="1">
            <w:r w:rsidR="00C14563" w:rsidRPr="000E1A0E">
              <w:rPr>
                <w:rStyle w:val="Hyperlink"/>
                <w:noProof/>
              </w:rPr>
              <w:t>1</w:t>
            </w:r>
            <w:r w:rsidR="00C14563">
              <w:rPr>
                <w:rFonts w:asciiTheme="minorHAnsi" w:eastAsiaTheme="minorEastAsia" w:hAnsiTheme="minorHAnsi"/>
                <w:noProof/>
                <w:kern w:val="2"/>
                <w:sz w:val="24"/>
                <w:szCs w:val="24"/>
                <w:lang w:eastAsia="en-GB"/>
                <w14:ligatures w14:val="standardContextual"/>
              </w:rPr>
              <w:tab/>
            </w:r>
            <w:r w:rsidR="00C14563" w:rsidRPr="000E1A0E">
              <w:rPr>
                <w:rStyle w:val="Hyperlink"/>
                <w:noProof/>
              </w:rPr>
              <w:t>Introduction</w:t>
            </w:r>
            <w:r w:rsidR="00C14563">
              <w:rPr>
                <w:noProof/>
                <w:webHidden/>
              </w:rPr>
              <w:tab/>
            </w:r>
            <w:r w:rsidR="00C14563">
              <w:rPr>
                <w:noProof/>
                <w:webHidden/>
              </w:rPr>
              <w:fldChar w:fldCharType="begin"/>
            </w:r>
            <w:r w:rsidR="00C14563">
              <w:rPr>
                <w:noProof/>
                <w:webHidden/>
              </w:rPr>
              <w:instrText xml:space="preserve"> PAGEREF _Toc160801458 \h </w:instrText>
            </w:r>
            <w:r w:rsidR="00C14563">
              <w:rPr>
                <w:noProof/>
                <w:webHidden/>
              </w:rPr>
            </w:r>
            <w:r w:rsidR="00C14563">
              <w:rPr>
                <w:noProof/>
                <w:webHidden/>
              </w:rPr>
              <w:fldChar w:fldCharType="separate"/>
            </w:r>
            <w:r w:rsidR="00C14563">
              <w:rPr>
                <w:noProof/>
                <w:webHidden/>
              </w:rPr>
              <w:t>1</w:t>
            </w:r>
            <w:r w:rsidR="00C14563">
              <w:rPr>
                <w:noProof/>
                <w:webHidden/>
              </w:rPr>
              <w:fldChar w:fldCharType="end"/>
            </w:r>
          </w:hyperlink>
        </w:p>
        <w:p w14:paraId="4A1F6FBA" w14:textId="7BB61957" w:rsidR="00C14563" w:rsidRDefault="005B5C2A">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60801459" w:history="1">
            <w:r w:rsidR="00C14563" w:rsidRPr="000E1A0E">
              <w:rPr>
                <w:rStyle w:val="Hyperlink"/>
                <w:noProof/>
              </w:rPr>
              <w:t>1.1</w:t>
            </w:r>
            <w:r w:rsidR="00C14563">
              <w:rPr>
                <w:rFonts w:asciiTheme="minorHAnsi" w:eastAsiaTheme="minorEastAsia" w:hAnsiTheme="minorHAnsi"/>
                <w:noProof/>
                <w:kern w:val="2"/>
                <w:sz w:val="24"/>
                <w:szCs w:val="24"/>
                <w:lang w:eastAsia="en-GB"/>
                <w14:ligatures w14:val="standardContextual"/>
              </w:rPr>
              <w:tab/>
            </w:r>
            <w:r w:rsidR="00C14563" w:rsidRPr="000E1A0E">
              <w:rPr>
                <w:rStyle w:val="Hyperlink"/>
                <w:noProof/>
              </w:rPr>
              <w:t>Aims</w:t>
            </w:r>
            <w:r w:rsidR="00C14563">
              <w:rPr>
                <w:noProof/>
                <w:webHidden/>
              </w:rPr>
              <w:tab/>
            </w:r>
            <w:r w:rsidR="00C14563">
              <w:rPr>
                <w:noProof/>
                <w:webHidden/>
              </w:rPr>
              <w:fldChar w:fldCharType="begin"/>
            </w:r>
            <w:r w:rsidR="00C14563">
              <w:rPr>
                <w:noProof/>
                <w:webHidden/>
              </w:rPr>
              <w:instrText xml:space="preserve"> PAGEREF _Toc160801459 \h </w:instrText>
            </w:r>
            <w:r w:rsidR="00C14563">
              <w:rPr>
                <w:noProof/>
                <w:webHidden/>
              </w:rPr>
            </w:r>
            <w:r w:rsidR="00C14563">
              <w:rPr>
                <w:noProof/>
                <w:webHidden/>
              </w:rPr>
              <w:fldChar w:fldCharType="separate"/>
            </w:r>
            <w:r w:rsidR="00C14563">
              <w:rPr>
                <w:noProof/>
                <w:webHidden/>
              </w:rPr>
              <w:t>1</w:t>
            </w:r>
            <w:r w:rsidR="00C14563">
              <w:rPr>
                <w:noProof/>
                <w:webHidden/>
              </w:rPr>
              <w:fldChar w:fldCharType="end"/>
            </w:r>
          </w:hyperlink>
        </w:p>
        <w:p w14:paraId="330DFC27" w14:textId="25F0F753" w:rsidR="00C14563" w:rsidRDefault="005B5C2A">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60801460" w:history="1">
            <w:r w:rsidR="00C14563" w:rsidRPr="000E1A0E">
              <w:rPr>
                <w:rStyle w:val="Hyperlink"/>
                <w:noProof/>
              </w:rPr>
              <w:t>1.2</w:t>
            </w:r>
            <w:r w:rsidR="00C14563">
              <w:rPr>
                <w:rFonts w:asciiTheme="minorHAnsi" w:eastAsiaTheme="minorEastAsia" w:hAnsiTheme="minorHAnsi"/>
                <w:noProof/>
                <w:kern w:val="2"/>
                <w:sz w:val="24"/>
                <w:szCs w:val="24"/>
                <w:lang w:eastAsia="en-GB"/>
                <w14:ligatures w14:val="standardContextual"/>
              </w:rPr>
              <w:tab/>
            </w:r>
            <w:r w:rsidR="00C14563" w:rsidRPr="000E1A0E">
              <w:rPr>
                <w:rStyle w:val="Hyperlink"/>
                <w:noProof/>
              </w:rPr>
              <w:t>Objectives</w:t>
            </w:r>
            <w:r w:rsidR="00C14563">
              <w:rPr>
                <w:noProof/>
                <w:webHidden/>
              </w:rPr>
              <w:tab/>
            </w:r>
            <w:r w:rsidR="00C14563">
              <w:rPr>
                <w:noProof/>
                <w:webHidden/>
              </w:rPr>
              <w:fldChar w:fldCharType="begin"/>
            </w:r>
            <w:r w:rsidR="00C14563">
              <w:rPr>
                <w:noProof/>
                <w:webHidden/>
              </w:rPr>
              <w:instrText xml:space="preserve"> PAGEREF _Toc160801460 \h </w:instrText>
            </w:r>
            <w:r w:rsidR="00C14563">
              <w:rPr>
                <w:noProof/>
                <w:webHidden/>
              </w:rPr>
            </w:r>
            <w:r w:rsidR="00C14563">
              <w:rPr>
                <w:noProof/>
                <w:webHidden/>
              </w:rPr>
              <w:fldChar w:fldCharType="separate"/>
            </w:r>
            <w:r w:rsidR="00C14563">
              <w:rPr>
                <w:noProof/>
                <w:webHidden/>
              </w:rPr>
              <w:t>1</w:t>
            </w:r>
            <w:r w:rsidR="00C14563">
              <w:rPr>
                <w:noProof/>
                <w:webHidden/>
              </w:rPr>
              <w:fldChar w:fldCharType="end"/>
            </w:r>
          </w:hyperlink>
        </w:p>
        <w:p w14:paraId="3A8F25E1" w14:textId="08A41C96" w:rsidR="00C14563" w:rsidRDefault="005B5C2A">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60801461" w:history="1">
            <w:r w:rsidR="00C14563" w:rsidRPr="000E1A0E">
              <w:rPr>
                <w:rStyle w:val="Hyperlink"/>
                <w:noProof/>
              </w:rPr>
              <w:t>2</w:t>
            </w:r>
            <w:r w:rsidR="00C14563">
              <w:rPr>
                <w:rFonts w:asciiTheme="minorHAnsi" w:eastAsiaTheme="minorEastAsia" w:hAnsiTheme="minorHAnsi"/>
                <w:noProof/>
                <w:kern w:val="2"/>
                <w:sz w:val="24"/>
                <w:szCs w:val="24"/>
                <w:lang w:eastAsia="en-GB"/>
                <w14:ligatures w14:val="standardContextual"/>
              </w:rPr>
              <w:tab/>
            </w:r>
            <w:r w:rsidR="00C14563" w:rsidRPr="000E1A0E">
              <w:rPr>
                <w:rStyle w:val="Hyperlink"/>
                <w:noProof/>
              </w:rPr>
              <w:t>Environmental Impact</w:t>
            </w:r>
            <w:r w:rsidR="00C14563">
              <w:rPr>
                <w:noProof/>
                <w:webHidden/>
              </w:rPr>
              <w:tab/>
            </w:r>
            <w:r w:rsidR="00C14563">
              <w:rPr>
                <w:noProof/>
                <w:webHidden/>
              </w:rPr>
              <w:fldChar w:fldCharType="begin"/>
            </w:r>
            <w:r w:rsidR="00C14563">
              <w:rPr>
                <w:noProof/>
                <w:webHidden/>
              </w:rPr>
              <w:instrText xml:space="preserve"> PAGEREF _Toc160801461 \h </w:instrText>
            </w:r>
            <w:r w:rsidR="00C14563">
              <w:rPr>
                <w:noProof/>
                <w:webHidden/>
              </w:rPr>
            </w:r>
            <w:r w:rsidR="00C14563">
              <w:rPr>
                <w:noProof/>
                <w:webHidden/>
              </w:rPr>
              <w:fldChar w:fldCharType="separate"/>
            </w:r>
            <w:r w:rsidR="00C14563">
              <w:rPr>
                <w:noProof/>
                <w:webHidden/>
              </w:rPr>
              <w:t>2</w:t>
            </w:r>
            <w:r w:rsidR="00C14563">
              <w:rPr>
                <w:noProof/>
                <w:webHidden/>
              </w:rPr>
              <w:fldChar w:fldCharType="end"/>
            </w:r>
          </w:hyperlink>
        </w:p>
        <w:p w14:paraId="20AD0E0B" w14:textId="096B8AF4" w:rsidR="00C14563" w:rsidRDefault="005B5C2A">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60801462" w:history="1">
            <w:r w:rsidR="00C14563" w:rsidRPr="000E1A0E">
              <w:rPr>
                <w:rStyle w:val="Hyperlink"/>
                <w:noProof/>
              </w:rPr>
              <w:t>3</w:t>
            </w:r>
            <w:r w:rsidR="00C14563">
              <w:rPr>
                <w:rFonts w:asciiTheme="minorHAnsi" w:eastAsiaTheme="minorEastAsia" w:hAnsiTheme="minorHAnsi"/>
                <w:noProof/>
                <w:kern w:val="2"/>
                <w:sz w:val="24"/>
                <w:szCs w:val="24"/>
                <w:lang w:eastAsia="en-GB"/>
                <w14:ligatures w14:val="standardContextual"/>
              </w:rPr>
              <w:tab/>
            </w:r>
            <w:r w:rsidR="00C14563" w:rsidRPr="000E1A0E">
              <w:rPr>
                <w:rStyle w:val="Hyperlink"/>
                <w:noProof/>
              </w:rPr>
              <w:t>Sustainable Practices and Legislation</w:t>
            </w:r>
            <w:r w:rsidR="00C14563">
              <w:rPr>
                <w:noProof/>
                <w:webHidden/>
              </w:rPr>
              <w:tab/>
            </w:r>
            <w:r w:rsidR="00C14563">
              <w:rPr>
                <w:noProof/>
                <w:webHidden/>
              </w:rPr>
              <w:fldChar w:fldCharType="begin"/>
            </w:r>
            <w:r w:rsidR="00C14563">
              <w:rPr>
                <w:noProof/>
                <w:webHidden/>
              </w:rPr>
              <w:instrText xml:space="preserve"> PAGEREF _Toc160801462 \h </w:instrText>
            </w:r>
            <w:r w:rsidR="00C14563">
              <w:rPr>
                <w:noProof/>
                <w:webHidden/>
              </w:rPr>
            </w:r>
            <w:r w:rsidR="00C14563">
              <w:rPr>
                <w:noProof/>
                <w:webHidden/>
              </w:rPr>
              <w:fldChar w:fldCharType="separate"/>
            </w:r>
            <w:r w:rsidR="00C14563">
              <w:rPr>
                <w:noProof/>
                <w:webHidden/>
              </w:rPr>
              <w:t>5</w:t>
            </w:r>
            <w:r w:rsidR="00C14563">
              <w:rPr>
                <w:noProof/>
                <w:webHidden/>
              </w:rPr>
              <w:fldChar w:fldCharType="end"/>
            </w:r>
          </w:hyperlink>
        </w:p>
        <w:p w14:paraId="2A0085A7" w14:textId="4EE2D752" w:rsidR="00C14563" w:rsidRDefault="005B5C2A">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60801463" w:history="1">
            <w:r w:rsidR="00C14563" w:rsidRPr="000E1A0E">
              <w:rPr>
                <w:rStyle w:val="Hyperlink"/>
                <w:noProof/>
              </w:rPr>
              <w:t>4</w:t>
            </w:r>
            <w:r w:rsidR="00C14563">
              <w:rPr>
                <w:rFonts w:asciiTheme="minorHAnsi" w:eastAsiaTheme="minorEastAsia" w:hAnsiTheme="minorHAnsi"/>
                <w:noProof/>
                <w:kern w:val="2"/>
                <w:sz w:val="24"/>
                <w:szCs w:val="24"/>
                <w:lang w:eastAsia="en-GB"/>
                <w14:ligatures w14:val="standardContextual"/>
              </w:rPr>
              <w:tab/>
            </w:r>
            <w:r w:rsidR="00C14563" w:rsidRPr="000E1A0E">
              <w:rPr>
                <w:rStyle w:val="Hyperlink"/>
                <w:noProof/>
              </w:rPr>
              <w:t>Sustainability and Technological Challenges</w:t>
            </w:r>
            <w:r w:rsidR="00C14563">
              <w:rPr>
                <w:noProof/>
                <w:webHidden/>
              </w:rPr>
              <w:tab/>
            </w:r>
            <w:r w:rsidR="00C14563">
              <w:rPr>
                <w:noProof/>
                <w:webHidden/>
              </w:rPr>
              <w:fldChar w:fldCharType="begin"/>
            </w:r>
            <w:r w:rsidR="00C14563">
              <w:rPr>
                <w:noProof/>
                <w:webHidden/>
              </w:rPr>
              <w:instrText xml:space="preserve"> PAGEREF _Toc160801463 \h </w:instrText>
            </w:r>
            <w:r w:rsidR="00C14563">
              <w:rPr>
                <w:noProof/>
                <w:webHidden/>
              </w:rPr>
            </w:r>
            <w:r w:rsidR="00C14563">
              <w:rPr>
                <w:noProof/>
                <w:webHidden/>
              </w:rPr>
              <w:fldChar w:fldCharType="separate"/>
            </w:r>
            <w:r w:rsidR="00C14563">
              <w:rPr>
                <w:noProof/>
                <w:webHidden/>
              </w:rPr>
              <w:t>7</w:t>
            </w:r>
            <w:r w:rsidR="00C14563">
              <w:rPr>
                <w:noProof/>
                <w:webHidden/>
              </w:rPr>
              <w:fldChar w:fldCharType="end"/>
            </w:r>
          </w:hyperlink>
        </w:p>
        <w:p w14:paraId="71142059" w14:textId="5384CAB8" w:rsidR="00C14563" w:rsidRDefault="005B5C2A">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60801464" w:history="1">
            <w:r w:rsidR="00C14563" w:rsidRPr="000E1A0E">
              <w:rPr>
                <w:rStyle w:val="Hyperlink"/>
                <w:noProof/>
              </w:rPr>
              <w:t>5</w:t>
            </w:r>
            <w:r w:rsidR="00C14563">
              <w:rPr>
                <w:rFonts w:asciiTheme="minorHAnsi" w:eastAsiaTheme="minorEastAsia" w:hAnsiTheme="minorHAnsi"/>
                <w:noProof/>
                <w:kern w:val="2"/>
                <w:sz w:val="24"/>
                <w:szCs w:val="24"/>
                <w:lang w:eastAsia="en-GB"/>
                <w14:ligatures w14:val="standardContextual"/>
              </w:rPr>
              <w:tab/>
            </w:r>
            <w:r w:rsidR="00C14563" w:rsidRPr="000E1A0E">
              <w:rPr>
                <w:rStyle w:val="Hyperlink"/>
                <w:noProof/>
              </w:rPr>
              <w:t>Future Outlook</w:t>
            </w:r>
            <w:r w:rsidR="00C14563">
              <w:rPr>
                <w:noProof/>
                <w:webHidden/>
              </w:rPr>
              <w:tab/>
            </w:r>
            <w:r w:rsidR="00C14563">
              <w:rPr>
                <w:noProof/>
                <w:webHidden/>
              </w:rPr>
              <w:fldChar w:fldCharType="begin"/>
            </w:r>
            <w:r w:rsidR="00C14563">
              <w:rPr>
                <w:noProof/>
                <w:webHidden/>
              </w:rPr>
              <w:instrText xml:space="preserve"> PAGEREF _Toc160801464 \h </w:instrText>
            </w:r>
            <w:r w:rsidR="00C14563">
              <w:rPr>
                <w:noProof/>
                <w:webHidden/>
              </w:rPr>
            </w:r>
            <w:r w:rsidR="00C14563">
              <w:rPr>
                <w:noProof/>
                <w:webHidden/>
              </w:rPr>
              <w:fldChar w:fldCharType="separate"/>
            </w:r>
            <w:r w:rsidR="00C14563">
              <w:rPr>
                <w:noProof/>
                <w:webHidden/>
              </w:rPr>
              <w:t>9</w:t>
            </w:r>
            <w:r w:rsidR="00C14563">
              <w:rPr>
                <w:noProof/>
                <w:webHidden/>
              </w:rPr>
              <w:fldChar w:fldCharType="end"/>
            </w:r>
          </w:hyperlink>
        </w:p>
        <w:p w14:paraId="2C29D784" w14:textId="7B133411" w:rsidR="00C14563" w:rsidRDefault="005B5C2A">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60801465" w:history="1">
            <w:r w:rsidR="00C14563" w:rsidRPr="000E1A0E">
              <w:rPr>
                <w:rStyle w:val="Hyperlink"/>
                <w:noProof/>
              </w:rPr>
              <w:t>6</w:t>
            </w:r>
            <w:r w:rsidR="00C14563">
              <w:rPr>
                <w:rFonts w:asciiTheme="minorHAnsi" w:eastAsiaTheme="minorEastAsia" w:hAnsiTheme="minorHAnsi"/>
                <w:noProof/>
                <w:kern w:val="2"/>
                <w:sz w:val="24"/>
                <w:szCs w:val="24"/>
                <w:lang w:eastAsia="en-GB"/>
                <w14:ligatures w14:val="standardContextual"/>
              </w:rPr>
              <w:tab/>
            </w:r>
            <w:r w:rsidR="00C14563" w:rsidRPr="000E1A0E">
              <w:rPr>
                <w:rStyle w:val="Hyperlink"/>
                <w:noProof/>
              </w:rPr>
              <w:t>Conclusion</w:t>
            </w:r>
            <w:r w:rsidR="00C14563">
              <w:rPr>
                <w:noProof/>
                <w:webHidden/>
              </w:rPr>
              <w:tab/>
            </w:r>
            <w:r w:rsidR="00C14563">
              <w:rPr>
                <w:noProof/>
                <w:webHidden/>
              </w:rPr>
              <w:fldChar w:fldCharType="begin"/>
            </w:r>
            <w:r w:rsidR="00C14563">
              <w:rPr>
                <w:noProof/>
                <w:webHidden/>
              </w:rPr>
              <w:instrText xml:space="preserve"> PAGEREF _Toc160801465 \h </w:instrText>
            </w:r>
            <w:r w:rsidR="00C14563">
              <w:rPr>
                <w:noProof/>
                <w:webHidden/>
              </w:rPr>
            </w:r>
            <w:r w:rsidR="00C14563">
              <w:rPr>
                <w:noProof/>
                <w:webHidden/>
              </w:rPr>
              <w:fldChar w:fldCharType="separate"/>
            </w:r>
            <w:r w:rsidR="00C14563">
              <w:rPr>
                <w:noProof/>
                <w:webHidden/>
              </w:rPr>
              <w:t>10</w:t>
            </w:r>
            <w:r w:rsidR="00C14563">
              <w:rPr>
                <w:noProof/>
                <w:webHidden/>
              </w:rPr>
              <w:fldChar w:fldCharType="end"/>
            </w:r>
          </w:hyperlink>
        </w:p>
        <w:p w14:paraId="5C3DAD0E" w14:textId="20FAAE00" w:rsidR="00C14563" w:rsidRDefault="005B5C2A">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60801466" w:history="1">
            <w:r w:rsidR="00C14563" w:rsidRPr="000E1A0E">
              <w:rPr>
                <w:rStyle w:val="Hyperlink"/>
                <w:noProof/>
              </w:rPr>
              <w:t>7</w:t>
            </w:r>
            <w:r w:rsidR="00C14563">
              <w:rPr>
                <w:rFonts w:asciiTheme="minorHAnsi" w:eastAsiaTheme="minorEastAsia" w:hAnsiTheme="minorHAnsi"/>
                <w:noProof/>
                <w:kern w:val="2"/>
                <w:sz w:val="24"/>
                <w:szCs w:val="24"/>
                <w:lang w:eastAsia="en-GB"/>
                <w14:ligatures w14:val="standardContextual"/>
              </w:rPr>
              <w:tab/>
            </w:r>
            <w:r w:rsidR="00C14563" w:rsidRPr="000E1A0E">
              <w:rPr>
                <w:rStyle w:val="Hyperlink"/>
                <w:noProof/>
              </w:rPr>
              <w:t>References</w:t>
            </w:r>
            <w:r w:rsidR="00C14563">
              <w:rPr>
                <w:noProof/>
                <w:webHidden/>
              </w:rPr>
              <w:tab/>
            </w:r>
            <w:r w:rsidR="00C14563">
              <w:rPr>
                <w:noProof/>
                <w:webHidden/>
              </w:rPr>
              <w:fldChar w:fldCharType="begin"/>
            </w:r>
            <w:r w:rsidR="00C14563">
              <w:rPr>
                <w:noProof/>
                <w:webHidden/>
              </w:rPr>
              <w:instrText xml:space="preserve"> PAGEREF _Toc160801466 \h </w:instrText>
            </w:r>
            <w:r w:rsidR="00C14563">
              <w:rPr>
                <w:noProof/>
                <w:webHidden/>
              </w:rPr>
            </w:r>
            <w:r w:rsidR="00C14563">
              <w:rPr>
                <w:noProof/>
                <w:webHidden/>
              </w:rPr>
              <w:fldChar w:fldCharType="separate"/>
            </w:r>
            <w:r w:rsidR="00C14563">
              <w:rPr>
                <w:noProof/>
                <w:webHidden/>
              </w:rPr>
              <w:t>11</w:t>
            </w:r>
            <w:r w:rsidR="00C14563">
              <w:rPr>
                <w:noProof/>
                <w:webHidden/>
              </w:rPr>
              <w:fldChar w:fldCharType="end"/>
            </w:r>
          </w:hyperlink>
        </w:p>
        <w:p w14:paraId="435ED648" w14:textId="4524E494" w:rsidR="00EA199C" w:rsidRDefault="00EA199C">
          <w:r>
            <w:rPr>
              <w:b/>
              <w:bCs/>
              <w:noProof/>
            </w:rPr>
            <w:fldChar w:fldCharType="end"/>
          </w:r>
        </w:p>
      </w:sdtContent>
    </w:sdt>
    <w:p w14:paraId="031AE518" w14:textId="77777777" w:rsidR="00032313" w:rsidRDefault="00032313" w:rsidP="00032313"/>
    <w:p w14:paraId="5CC74049" w14:textId="77777777" w:rsidR="00032313" w:rsidRDefault="00032313">
      <w:pPr>
        <w:spacing w:line="259" w:lineRule="auto"/>
      </w:pPr>
      <w:r>
        <w:br w:type="page"/>
      </w:r>
    </w:p>
    <w:p w14:paraId="67A7BB65" w14:textId="77777777" w:rsidR="00032313" w:rsidRDefault="00032313" w:rsidP="00032313">
      <w:pPr>
        <w:sectPr w:rsidR="00032313" w:rsidSect="00AA08CB">
          <w:footerReference w:type="default" r:id="rId9"/>
          <w:pgSz w:w="11906" w:h="16838"/>
          <w:pgMar w:top="1440" w:right="1440" w:bottom="1440" w:left="1440" w:header="708" w:footer="708" w:gutter="0"/>
          <w:pgNumType w:fmt="lowerRoman"/>
          <w:cols w:space="708"/>
          <w:titlePg/>
          <w:docGrid w:linePitch="360"/>
        </w:sectPr>
      </w:pPr>
    </w:p>
    <w:p w14:paraId="72E6D8B5" w14:textId="379343DA" w:rsidR="00597241" w:rsidRDefault="0047346D" w:rsidP="00597241">
      <w:pPr>
        <w:pStyle w:val="Heading1"/>
      </w:pPr>
      <w:bookmarkStart w:id="0" w:name="_Toc160801458"/>
      <w:r>
        <w:lastRenderedPageBreak/>
        <w:t>Introduction</w:t>
      </w:r>
      <w:bookmarkEnd w:id="0"/>
    </w:p>
    <w:p w14:paraId="481626BF" w14:textId="46F03C24" w:rsidR="00535F65" w:rsidRPr="00535F65" w:rsidRDefault="00535F65" w:rsidP="00535F65">
      <w:pPr>
        <w:rPr>
          <w:rFonts w:cstheme="majorBidi"/>
          <w:color w:val="2F5496" w:themeColor="accent1" w:themeShade="BF"/>
        </w:rPr>
      </w:pPr>
      <w:bookmarkStart w:id="1" w:name="_Toc160801459"/>
      <w:r>
        <w:rPr>
          <w:shd w:val="clear" w:color="auto" w:fill="FFFFFF"/>
        </w:rPr>
        <w:t>As global attention intensifies on sustainability and environmental stewardship, motorsport, and specifically Motorcycle Racing, is under heightened examination. The sector is compelled to reconcile its operations with the imperatives of environmental care. Defined by Brundtland (1987, p.41) as "Development that meets the needs of the present without compromising the ability of future generations to meet their own needs," sustainable development necessitates that MotoGP, along with its collaborators Dorna and the FIM, devise and enact immediate, effective solutions. These strategies are crucial for ensuring that the world of motorcycle racing can sustain its legacy and contribute positively to our planet's future.</w:t>
      </w:r>
    </w:p>
    <w:p w14:paraId="3286EBE1" w14:textId="77E28506" w:rsidR="00EA199C" w:rsidRDefault="00EA199C" w:rsidP="00EA199C">
      <w:pPr>
        <w:pStyle w:val="Heading2"/>
      </w:pPr>
      <w:r>
        <w:t>Aims</w:t>
      </w:r>
      <w:bookmarkEnd w:id="1"/>
    </w:p>
    <w:p w14:paraId="4B57BC4E" w14:textId="4AF2BAC7" w:rsidR="00E40BC1" w:rsidRPr="00E40BC1" w:rsidRDefault="00E40BC1" w:rsidP="00E40BC1">
      <w:r w:rsidRPr="00E40BC1">
        <w:t>This report aims to delve into the sustainability of motorcycle racing, with a particular emphasis on MotoGP, analysing its environmental impact, the steps being taken to mitigate such effects, and the future directions that could further embed sustainability into the sport's core.</w:t>
      </w:r>
    </w:p>
    <w:p w14:paraId="799DF33C" w14:textId="77777777" w:rsidR="005C3481" w:rsidRDefault="00EA199C" w:rsidP="00EA199C">
      <w:pPr>
        <w:pStyle w:val="Heading2"/>
      </w:pPr>
      <w:bookmarkStart w:id="2" w:name="_Toc160801460"/>
      <w:r>
        <w:t>Objectives</w:t>
      </w:r>
      <w:bookmarkEnd w:id="2"/>
    </w:p>
    <w:p w14:paraId="528F60EA" w14:textId="77777777" w:rsidR="005911A0" w:rsidRDefault="00E40BC1" w:rsidP="00E40BC1">
      <w:pPr>
        <w:rPr>
          <w:shd w:val="clear" w:color="auto" w:fill="FFFFFF"/>
        </w:rPr>
      </w:pPr>
      <w:r>
        <w:rPr>
          <w:shd w:val="clear" w:color="auto" w:fill="FFFFFF"/>
        </w:rPr>
        <w:t>This report will explore the current state of sustainability within MotoGP, examining how environmental concerns are being addressed through technological innovations, regulatory changes, and the adoption of green practices. It will also consider the challenges and opportunities that lie ahead, such as the potential for further reducing emissions, enhancing energy efficiency, and engaging with fans and stakeholders on sustainability issues.</w:t>
      </w:r>
    </w:p>
    <w:p w14:paraId="0CCE18BD" w14:textId="57FE51A7" w:rsidR="0047346D" w:rsidRDefault="0047346D" w:rsidP="00E40BC1">
      <w:r>
        <w:br w:type="page"/>
      </w:r>
    </w:p>
    <w:p w14:paraId="0A8B4BFB" w14:textId="47982062" w:rsidR="00B645F6" w:rsidRDefault="007B6841" w:rsidP="00F26E7C">
      <w:pPr>
        <w:pStyle w:val="Heading1"/>
      </w:pPr>
      <w:bookmarkStart w:id="3" w:name="_Toc160801461"/>
      <w:r>
        <w:lastRenderedPageBreak/>
        <w:t>Environmental Impact</w:t>
      </w:r>
      <w:bookmarkEnd w:id="3"/>
    </w:p>
    <w:p w14:paraId="1FF2D0BC" w14:textId="7336F396" w:rsidR="00D15B06" w:rsidRDefault="00D15B06" w:rsidP="00D15B06">
      <w:r>
        <w:t xml:space="preserve">An Environmental, Social and Governance (ESG) report has been produced by Dorna for 2021 and 2022. Within this report is </w:t>
      </w:r>
      <w:r w:rsidR="003644E7">
        <w:t xml:space="preserve">statistics on </w:t>
      </w:r>
      <w:r w:rsidR="003644E7" w:rsidRPr="00234DA5">
        <w:t xml:space="preserve">CO2 emissions, waste, </w:t>
      </w:r>
      <w:r w:rsidR="00116FB8" w:rsidRPr="00234DA5">
        <w:t>and energy consumption.</w:t>
      </w:r>
      <w:r w:rsidR="00116FB8">
        <w:t xml:space="preserve"> </w:t>
      </w:r>
    </w:p>
    <w:p w14:paraId="2B00F5EE" w14:textId="77777777" w:rsidR="00A2647B" w:rsidRDefault="004C2AA2" w:rsidP="00F77707">
      <w:r w:rsidRPr="004C2AA2">
        <w:t xml:space="preserve">Arvidsson and Dumay's 2021 study on Swedish ESG disclosures shows increasing numbers and improved quality of reports but no substantial progress in ESG </w:t>
      </w:r>
      <w:r>
        <w:t xml:space="preserve">performance </w:t>
      </w:r>
      <w:r w:rsidRPr="004C2AA2">
        <w:t xml:space="preserve">since 2015. ESG report </w:t>
      </w:r>
      <w:r>
        <w:t>performance</w:t>
      </w:r>
      <w:r w:rsidRPr="004C2AA2">
        <w:t xml:space="preserve"> is assessed based on target</w:t>
      </w:r>
      <w:r>
        <w:t>s</w:t>
      </w:r>
      <w:r w:rsidRPr="004C2AA2">
        <w:t>, measurability</w:t>
      </w:r>
      <w:r>
        <w:t xml:space="preserve"> of targets</w:t>
      </w:r>
      <w:r w:rsidRPr="004C2AA2">
        <w:t xml:space="preserve">, timeline specificity, and the impact of </w:t>
      </w:r>
      <w:r>
        <w:t xml:space="preserve">the </w:t>
      </w:r>
      <w:r w:rsidRPr="004C2AA2">
        <w:t>initiatives.</w:t>
      </w:r>
      <w:r w:rsidR="004A6537">
        <w:t xml:space="preserve"> On top of this, </w:t>
      </w:r>
      <w:r w:rsidR="00C24E05" w:rsidRPr="00C24E05">
        <w:t xml:space="preserve">Kaplan and </w:t>
      </w:r>
      <w:proofErr w:type="spellStart"/>
      <w:r w:rsidR="00C24E05" w:rsidRPr="00C24E05">
        <w:t>Ramanna</w:t>
      </w:r>
      <w:proofErr w:type="spellEnd"/>
      <w:r w:rsidR="00C24E05" w:rsidRPr="00C24E05">
        <w:t xml:space="preserve"> </w:t>
      </w:r>
      <w:r w:rsidR="00C24E05" w:rsidRPr="00C24E05">
        <w:rPr>
          <w:i/>
          <w:iCs/>
        </w:rPr>
        <w:t>(2021)</w:t>
      </w:r>
      <w:r w:rsidR="00C24E05" w:rsidRPr="00C24E05">
        <w:t xml:space="preserve"> highlight that companies often choose to report only favourable ESG </w:t>
      </w:r>
      <w:r w:rsidR="00C24E05">
        <w:t>data</w:t>
      </w:r>
      <w:r w:rsidR="00C24E05" w:rsidRPr="00C24E05">
        <w:t xml:space="preserve">, attributing this to the broad scope of ESG reporting and calling for a more thorough reporting system. Furthermore, </w:t>
      </w:r>
      <w:proofErr w:type="spellStart"/>
      <w:r w:rsidR="00C24E05" w:rsidRPr="00C24E05">
        <w:t>Kotsantonis</w:t>
      </w:r>
      <w:proofErr w:type="spellEnd"/>
      <w:r w:rsidR="00C24E05" w:rsidRPr="00C24E05">
        <w:t xml:space="preserve"> and Serafeim </w:t>
      </w:r>
      <w:r w:rsidR="00C24E05" w:rsidRPr="00C24E05">
        <w:rPr>
          <w:i/>
          <w:iCs/>
        </w:rPr>
        <w:t xml:space="preserve">(2019) </w:t>
      </w:r>
      <w:r w:rsidR="00C24E05" w:rsidRPr="00C24E05">
        <w:t>detail the inconsistencies</w:t>
      </w:r>
      <w:r w:rsidR="00C24E05">
        <w:t>, differences</w:t>
      </w:r>
      <w:r w:rsidR="00C24E05" w:rsidRPr="00C24E05">
        <w:t xml:space="preserve"> and di</w:t>
      </w:r>
      <w:r w:rsidR="00C24E05">
        <w:t>sagreements</w:t>
      </w:r>
      <w:r w:rsidR="00C24E05" w:rsidRPr="00C24E05">
        <w:t xml:space="preserve"> present in ESG data</w:t>
      </w:r>
      <w:r w:rsidR="00F65F34">
        <w:t xml:space="preserve">, hence potentially not revealing the full truth. </w:t>
      </w:r>
      <w:r w:rsidR="007366AD">
        <w:t>It is therefore</w:t>
      </w:r>
      <w:r w:rsidR="00B42423">
        <w:t xml:space="preserve"> worth noting that</w:t>
      </w:r>
      <w:r w:rsidR="00555494">
        <w:t xml:space="preserve">, although </w:t>
      </w:r>
      <w:r w:rsidR="00455366">
        <w:t>the data fro</w:t>
      </w:r>
      <w:r w:rsidR="00F136B7">
        <w:t>m Dorna’s ESG report</w:t>
      </w:r>
      <w:r w:rsidR="004A6537">
        <w:t xml:space="preserve">s </w:t>
      </w:r>
      <w:r w:rsidR="00F136B7">
        <w:t xml:space="preserve">are used to outline </w:t>
      </w:r>
      <w:r w:rsidR="00711091">
        <w:t xml:space="preserve">and discuss </w:t>
      </w:r>
      <w:r w:rsidR="00F136B7">
        <w:t>the environmental impact of MotoGP</w:t>
      </w:r>
      <w:r w:rsidR="004A6537">
        <w:t xml:space="preserve"> in this report below</w:t>
      </w:r>
      <w:r w:rsidR="00F136B7">
        <w:t xml:space="preserve">, </w:t>
      </w:r>
      <w:r w:rsidR="006C56F8">
        <w:t>there is no guarantee of its comprehensiveness</w:t>
      </w:r>
      <w:r w:rsidR="00711091">
        <w:t xml:space="preserve"> and </w:t>
      </w:r>
      <w:r w:rsidR="00F65F34">
        <w:t xml:space="preserve">bias may be present. </w:t>
      </w:r>
      <w:r w:rsidR="00711091">
        <w:t xml:space="preserve"> </w:t>
      </w:r>
    </w:p>
    <w:p w14:paraId="2A87A35F" w14:textId="195FCB62" w:rsidR="006D5873" w:rsidRDefault="00DC383F" w:rsidP="00F820B9">
      <w:r>
        <w:rPr>
          <w:noProof/>
        </w:rPr>
        <w:drawing>
          <wp:anchor distT="0" distB="0" distL="114300" distR="114300" simplePos="0" relativeHeight="251660288" behindDoc="0" locked="0" layoutInCell="1" allowOverlap="1" wp14:anchorId="7FF5E5C1" wp14:editId="4C3E3167">
            <wp:simplePos x="0" y="0"/>
            <wp:positionH relativeFrom="margin">
              <wp:align>center</wp:align>
            </wp:positionH>
            <wp:positionV relativeFrom="paragraph">
              <wp:posOffset>1934210</wp:posOffset>
            </wp:positionV>
            <wp:extent cx="2534920" cy="2647315"/>
            <wp:effectExtent l="0" t="0" r="0" b="635"/>
            <wp:wrapTopAndBottom/>
            <wp:docPr id="191862889" name="Picture 1" descr="A computer screen with a computer screen and a computer screen with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62889" name="Picture 1" descr="A computer screen with a computer screen and a computer screen with a computer screen&#10;&#10;Description automatically generate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9722" t="30741" r="54212" b="9647"/>
                    <a:stretch/>
                  </pic:blipFill>
                  <pic:spPr bwMode="auto">
                    <a:xfrm>
                      <a:off x="0" y="0"/>
                      <a:ext cx="2534920" cy="26473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2647B">
        <w:rPr>
          <w:noProof/>
        </w:rPr>
        <mc:AlternateContent>
          <mc:Choice Requires="wps">
            <w:drawing>
              <wp:anchor distT="0" distB="0" distL="114300" distR="114300" simplePos="0" relativeHeight="251662336" behindDoc="0" locked="0" layoutInCell="1" allowOverlap="1" wp14:anchorId="15DD319C" wp14:editId="2AAE213C">
                <wp:simplePos x="0" y="0"/>
                <wp:positionH relativeFrom="margin">
                  <wp:posOffset>1496176</wp:posOffset>
                </wp:positionH>
                <wp:positionV relativeFrom="paragraph">
                  <wp:posOffset>4679315</wp:posOffset>
                </wp:positionV>
                <wp:extent cx="2884170" cy="297815"/>
                <wp:effectExtent l="0" t="0" r="0" b="6985"/>
                <wp:wrapTopAndBottom/>
                <wp:docPr id="662637712" name="Text Box 1"/>
                <wp:cNvGraphicFramePr/>
                <a:graphic xmlns:a="http://schemas.openxmlformats.org/drawingml/2006/main">
                  <a:graphicData uri="http://schemas.microsoft.com/office/word/2010/wordprocessingShape">
                    <wps:wsp>
                      <wps:cNvSpPr txBox="1"/>
                      <wps:spPr>
                        <a:xfrm>
                          <a:off x="0" y="0"/>
                          <a:ext cx="2884170" cy="297815"/>
                        </a:xfrm>
                        <a:prstGeom prst="rect">
                          <a:avLst/>
                        </a:prstGeom>
                        <a:solidFill>
                          <a:prstClr val="white"/>
                        </a:solidFill>
                        <a:ln>
                          <a:noFill/>
                        </a:ln>
                      </wps:spPr>
                      <wps:txbx>
                        <w:txbxContent>
                          <w:p w14:paraId="76675BBC" w14:textId="1FFBCED4" w:rsidR="00A2647B" w:rsidRPr="00787AAB" w:rsidRDefault="00A2647B" w:rsidP="00A2647B">
                            <w:pPr>
                              <w:pStyle w:val="Caption"/>
                              <w:rPr>
                                <w:noProof/>
                                <w:sz w:val="22"/>
                                <w:szCs w:val="22"/>
                              </w:rPr>
                            </w:pPr>
                            <w:r>
                              <w:t xml:space="preserve">Figure </w:t>
                            </w:r>
                            <w:r>
                              <w:fldChar w:fldCharType="begin"/>
                            </w:r>
                            <w:r>
                              <w:instrText xml:space="preserve"> SEQ Figure \* ARABIC </w:instrText>
                            </w:r>
                            <w:r>
                              <w:fldChar w:fldCharType="separate"/>
                            </w:r>
                            <w:r w:rsidR="009C5493">
                              <w:rPr>
                                <w:noProof/>
                              </w:rPr>
                              <w:t>1</w:t>
                            </w:r>
                            <w:r>
                              <w:fldChar w:fldCharType="end"/>
                            </w:r>
                            <w:r>
                              <w:t xml:space="preserve"> - Make up of CO2 produced from Portugal MotoGP weekend in 2021 (Dorna, 2021</w:t>
                            </w:r>
                            <w:r w:rsidR="00854BE0">
                              <w:t>, p.69</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DD319C" id="_x0000_t202" coordsize="21600,21600" o:spt="202" path="m,l,21600r21600,l21600,xe">
                <v:stroke joinstyle="miter"/>
                <v:path gradientshapeok="t" o:connecttype="rect"/>
              </v:shapetype>
              <v:shape id="Text Box 1" o:spid="_x0000_s1026" type="#_x0000_t202" style="position:absolute;margin-left:117.8pt;margin-top:368.45pt;width:227.1pt;height:23.4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" stroked="f">
                <v:textbox inset="0,0,0,0">
                  <w:txbxContent>
                    <w:p w14:paraId="76675BBC" w14:textId="1FFBCED4" w:rsidR="00A2647B" w:rsidRPr="00787AAB" w:rsidRDefault="00A2647B" w:rsidP="00A2647B">
                      <w:pPr>
                        <w:pStyle w:val="Caption"/>
                        <w:rPr>
                          <w:noProof/>
                          <w:sz w:val="22"/>
                          <w:szCs w:val="22"/>
                        </w:rPr>
                      </w:pPr>
                      <w:r>
                        <w:t xml:space="preserve">Figure </w:t>
                      </w:r>
                      <w:r>
                        <w:fldChar w:fldCharType="begin"/>
                      </w:r>
                      <w:r>
                        <w:instrText xml:space="preserve"> SEQ Figure \* ARABIC </w:instrText>
                      </w:r>
                      <w:r>
                        <w:fldChar w:fldCharType="separate"/>
                      </w:r>
                      <w:r w:rsidR="009C5493">
                        <w:rPr>
                          <w:noProof/>
                        </w:rPr>
                        <w:t>1</w:t>
                      </w:r>
                      <w:r>
                        <w:fldChar w:fldCharType="end"/>
                      </w:r>
                      <w:r>
                        <w:t xml:space="preserve"> - Make up of CO2 produced from Portugal MotoGP weekend in 2021 (Dorna, 2021</w:t>
                      </w:r>
                      <w:r w:rsidR="00854BE0">
                        <w:t>, p.69</w:t>
                      </w:r>
                      <w:r>
                        <w:t>)</w:t>
                      </w:r>
                    </w:p>
                  </w:txbxContent>
                </v:textbox>
                <w10:wrap type="topAndBottom" anchorx="margin"/>
              </v:shape>
            </w:pict>
          </mc:Fallback>
        </mc:AlternateContent>
      </w:r>
      <w:r w:rsidR="00A2647B" w:rsidRPr="00A2647B">
        <w:t xml:space="preserve">In Dorna's 2021 report, CO2 emissions for a single MotoGP round in </w:t>
      </w:r>
      <w:proofErr w:type="spellStart"/>
      <w:r w:rsidR="00A2647B" w:rsidRPr="00A2647B">
        <w:t>Portimao</w:t>
      </w:r>
      <w:proofErr w:type="spellEnd"/>
      <w:r w:rsidR="00A2647B" w:rsidRPr="00A2647B">
        <w:t>, Portugal were recorded at 2061 tonnes, averaging 35kg per spectator. Figure 1 illustrates the CO2 sources, highlighting that motorcycle emissions were minimal while employee and spectator transportation accounted for nearly two-thirds of the total. Although the 2021 MotoGP season spanned 18 weekends, suggesting potential season emissions of approximately 37,098 tCO2, this estimate may not hold across all locations due to varying distances to the circuits,</w:t>
      </w:r>
      <w:r w:rsidR="00A2647B">
        <w:t xml:space="preserve"> </w:t>
      </w:r>
      <w:r w:rsidR="00A2647B" w:rsidRPr="00A2647B">
        <w:t>especially for European-based staff and teams.</w:t>
      </w:r>
      <w:r w:rsidR="00B97E97" w:rsidRPr="00A2647B">
        <w:t xml:space="preserve"> </w:t>
      </w:r>
      <w:r w:rsidR="00A04FDB">
        <w:t xml:space="preserve">Nevertheless, </w:t>
      </w:r>
      <w:r w:rsidR="00DC1320">
        <w:t xml:space="preserve">the 2021 calendar was largely impacted by Coronavirus, resulting in the cancellation of all but one non-European round. </w:t>
      </w:r>
    </w:p>
    <w:p w14:paraId="0FA648DF" w14:textId="79D2CE84" w:rsidR="0088144D" w:rsidRPr="00C00C2D" w:rsidRDefault="008E2703" w:rsidP="00F820B9">
      <w:r>
        <w:rPr>
          <w:noProof/>
        </w:rPr>
        <w:lastRenderedPageBreak/>
        <mc:AlternateContent>
          <mc:Choice Requires="wps">
            <w:drawing>
              <wp:anchor distT="0" distB="0" distL="114300" distR="114300" simplePos="0" relativeHeight="251665408" behindDoc="0" locked="0" layoutInCell="1" allowOverlap="1" wp14:anchorId="19AFD1CC" wp14:editId="4E74CAE5">
                <wp:simplePos x="0" y="0"/>
                <wp:positionH relativeFrom="column">
                  <wp:posOffset>1014788</wp:posOffset>
                </wp:positionH>
                <wp:positionV relativeFrom="paragraph">
                  <wp:posOffset>4479348</wp:posOffset>
                </wp:positionV>
                <wp:extent cx="4010025" cy="635"/>
                <wp:effectExtent l="0" t="0" r="0" b="0"/>
                <wp:wrapTopAndBottom/>
                <wp:docPr id="791417353" name="Text Box 1"/>
                <wp:cNvGraphicFramePr/>
                <a:graphic xmlns:a="http://schemas.openxmlformats.org/drawingml/2006/main">
                  <a:graphicData uri="http://schemas.microsoft.com/office/word/2010/wordprocessingShape">
                    <wps:wsp>
                      <wps:cNvSpPr txBox="1"/>
                      <wps:spPr>
                        <a:xfrm>
                          <a:off x="0" y="0"/>
                          <a:ext cx="4010025" cy="635"/>
                        </a:xfrm>
                        <a:prstGeom prst="rect">
                          <a:avLst/>
                        </a:prstGeom>
                        <a:solidFill>
                          <a:prstClr val="white"/>
                        </a:solidFill>
                        <a:ln>
                          <a:noFill/>
                        </a:ln>
                      </wps:spPr>
                      <wps:txbx>
                        <w:txbxContent>
                          <w:p w14:paraId="03B6EAEC" w14:textId="636E9A24" w:rsidR="006D5873" w:rsidRPr="000F4C3A" w:rsidRDefault="006D5873" w:rsidP="006D5873">
                            <w:pPr>
                              <w:pStyle w:val="Caption"/>
                              <w:rPr>
                                <w:noProof/>
                                <w:sz w:val="22"/>
                                <w:szCs w:val="22"/>
                              </w:rPr>
                            </w:pPr>
                            <w:r>
                              <w:t xml:space="preserve">Figure </w:t>
                            </w:r>
                            <w:r>
                              <w:fldChar w:fldCharType="begin"/>
                            </w:r>
                            <w:r>
                              <w:instrText xml:space="preserve"> SEQ Figure \* ARABIC </w:instrText>
                            </w:r>
                            <w:r>
                              <w:fldChar w:fldCharType="separate"/>
                            </w:r>
                            <w:r w:rsidR="009C5493">
                              <w:rPr>
                                <w:noProof/>
                              </w:rPr>
                              <w:t>2</w:t>
                            </w:r>
                            <w:r>
                              <w:fldChar w:fldCharType="end"/>
                            </w:r>
                            <w:r>
                              <w:t xml:space="preserve"> - Breakdown of CO2 produced by MotoGP in 2022</w:t>
                            </w:r>
                            <w:r w:rsidR="00854BE0">
                              <w:t xml:space="preserve"> (Dorna, 2022</w:t>
                            </w:r>
                            <w:r w:rsidR="00715FA8">
                              <w:t>a</w:t>
                            </w:r>
                            <w:r w:rsidR="00854BE0">
                              <w:t>, p.77)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AFD1CC" id="_x0000_s1027" type="#_x0000_t202" style="position:absolute;margin-left:79.9pt;margin-top:352.7pt;width:315.7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" stroked="f">
                <v:textbox style="mso-fit-shape-to-text:t" inset="0,0,0,0">
                  <w:txbxContent>
                    <w:p w14:paraId="03B6EAEC" w14:textId="636E9A24" w:rsidR="006D5873" w:rsidRPr="000F4C3A" w:rsidRDefault="006D5873" w:rsidP="006D5873">
                      <w:pPr>
                        <w:pStyle w:val="Caption"/>
                        <w:rPr>
                          <w:noProof/>
                          <w:sz w:val="22"/>
                          <w:szCs w:val="22"/>
                        </w:rPr>
                      </w:pPr>
                      <w:r>
                        <w:t xml:space="preserve">Figure </w:t>
                      </w:r>
                      <w:r>
                        <w:fldChar w:fldCharType="begin"/>
                      </w:r>
                      <w:r>
                        <w:instrText xml:space="preserve"> SEQ Figure \* ARABIC </w:instrText>
                      </w:r>
                      <w:r>
                        <w:fldChar w:fldCharType="separate"/>
                      </w:r>
                      <w:r w:rsidR="009C5493">
                        <w:rPr>
                          <w:noProof/>
                        </w:rPr>
                        <w:t>2</w:t>
                      </w:r>
                      <w:r>
                        <w:fldChar w:fldCharType="end"/>
                      </w:r>
                      <w:r>
                        <w:t xml:space="preserve"> - Breakdown of CO2 produced by MotoGP in 2022</w:t>
                      </w:r>
                      <w:r w:rsidR="00854BE0">
                        <w:t xml:space="preserve"> (Dorna, 2022</w:t>
                      </w:r>
                      <w:r w:rsidR="00715FA8">
                        <w:t>a</w:t>
                      </w:r>
                      <w:r w:rsidR="00854BE0">
                        <w:t>, p.77)</w:t>
                      </w:r>
                    </w:p>
                  </w:txbxContent>
                </v:textbox>
                <w10:wrap type="topAndBottom"/>
              </v:shape>
            </w:pict>
          </mc:Fallback>
        </mc:AlternateContent>
      </w:r>
      <w:r>
        <w:rPr>
          <w:noProof/>
        </w:rPr>
        <w:drawing>
          <wp:anchor distT="0" distB="0" distL="114300" distR="114300" simplePos="0" relativeHeight="251663360" behindDoc="0" locked="0" layoutInCell="1" allowOverlap="1" wp14:anchorId="550922FE" wp14:editId="799B0C92">
            <wp:simplePos x="0" y="0"/>
            <wp:positionH relativeFrom="margin">
              <wp:align>center</wp:align>
            </wp:positionH>
            <wp:positionV relativeFrom="paragraph">
              <wp:posOffset>1841327</wp:posOffset>
            </wp:positionV>
            <wp:extent cx="4010025" cy="2621915"/>
            <wp:effectExtent l="0" t="0" r="9525" b="6985"/>
            <wp:wrapTopAndBottom/>
            <wp:docPr id="8588810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4916" t="35782" r="62498" b="11773"/>
                    <a:stretch/>
                  </pic:blipFill>
                  <pic:spPr bwMode="auto">
                    <a:xfrm>
                      <a:off x="0" y="0"/>
                      <a:ext cx="4010025" cy="2621915"/>
                    </a:xfrm>
                    <a:prstGeom prst="rect">
                      <a:avLst/>
                    </a:prstGeom>
                    <a:noFill/>
                    <a:ln>
                      <a:noFill/>
                    </a:ln>
                    <a:extLst>
                      <a:ext uri="{53640926-AAD7-44D8-BBD7-CCE9431645EC}">
                        <a14:shadowObscured xmlns:a14="http://schemas.microsoft.com/office/drawing/2010/main"/>
                      </a:ext>
                    </a:extLst>
                  </pic:spPr>
                </pic:pic>
              </a:graphicData>
            </a:graphic>
          </wp:anchor>
        </w:drawing>
      </w:r>
      <w:r w:rsidR="00C00C2D" w:rsidRPr="00C00C2D">
        <w:t xml:space="preserve">For the entire 2022 MotoGP season, Dorna </w:t>
      </w:r>
      <w:r w:rsidR="00715FA8" w:rsidRPr="00715FA8">
        <w:rPr>
          <w:i/>
          <w:iCs/>
        </w:rPr>
        <w:t>(2022a, p.77)</w:t>
      </w:r>
      <w:r w:rsidR="00715FA8">
        <w:t xml:space="preserve"> </w:t>
      </w:r>
      <w:r w:rsidR="00C00C2D" w:rsidRPr="00C00C2D">
        <w:t xml:space="preserve">reported total CO2 emissions of 101,097 tonnes. </w:t>
      </w:r>
      <w:r w:rsidR="00C00C2D" w:rsidRPr="008E2703">
        <w:t>Figure 2 offers a detailed breakdown of emission sources, showing that material and employee transportation combined accounted for two-thirds of emissions. Notably, the CO2 percentage from spectator transportation dropped significantly to 7.3%, compared to 23% in the single round reported in Portugal for 2021. This change likely reflects the diverse locations of circuits in the 2022 season, affecting travel distances and transportation modes.</w:t>
      </w:r>
      <w:r w:rsidRPr="008E2703">
        <w:t xml:space="preserve"> In comparison, MotoE only produced 732 tonnes of CO2 in the same year, roughly 140 times less than MotoGP.</w:t>
      </w:r>
    </w:p>
    <w:p w14:paraId="3784BB64" w14:textId="088B3F16" w:rsidR="008A7DAB" w:rsidRDefault="008A7DAB" w:rsidP="00D72616">
      <w:r>
        <w:t>In Dorna’s 2022 Sustainability Report</w:t>
      </w:r>
      <w:r w:rsidR="00D42D36">
        <w:t xml:space="preserve"> </w:t>
      </w:r>
      <w:r w:rsidR="00D42D36">
        <w:rPr>
          <w:i/>
          <w:iCs/>
        </w:rPr>
        <w:t>(</w:t>
      </w:r>
      <w:r w:rsidR="005D77F4">
        <w:rPr>
          <w:i/>
          <w:iCs/>
        </w:rPr>
        <w:t xml:space="preserve">Dorna, 2022b, p.77) </w:t>
      </w:r>
      <w:r>
        <w:t xml:space="preserve"> it is claimed that 3,146 tonnes of CO2 emissions were avoided due to remote TV production, resulting in an average of 86 workers not travelling to each round of MotoGP. On top of this, 18,253 surplus meals were donated to non-profit organisations as well as 240 litres of water, with 96,000L saved from using alternative counterweights for MotoGP VIP village structures. 747,665 tonnes of CO2 emissions were avoided due to recycling. </w:t>
      </w:r>
    </w:p>
    <w:p w14:paraId="4303476D" w14:textId="166A9646" w:rsidR="000F6BBE" w:rsidRPr="006C35A0" w:rsidRDefault="000F6BBE" w:rsidP="00D72616">
      <w:r>
        <w:t xml:space="preserve">Dorna’s ESG reports both mention noise emissions but have no quantitative solutions to this. The 2019 study by Doytchev on the impact of Automotive and Motorcycle sport on the environment, discuses noise pollution, with strong noise having the potential to force animals out of their habitats. </w:t>
      </w:r>
      <w:r w:rsidR="00AC191D">
        <w:t xml:space="preserve">Doytchev </w:t>
      </w:r>
      <w:r w:rsidR="00B33FFF">
        <w:rPr>
          <w:i/>
          <w:iCs/>
        </w:rPr>
        <w:t xml:space="preserve">(2019, p. </w:t>
      </w:r>
      <w:r w:rsidR="009B2604">
        <w:rPr>
          <w:i/>
          <w:iCs/>
        </w:rPr>
        <w:t>862</w:t>
      </w:r>
      <w:r w:rsidR="00B33FFF">
        <w:rPr>
          <w:i/>
          <w:iCs/>
        </w:rPr>
        <w:t xml:space="preserve">) </w:t>
      </w:r>
      <w:r w:rsidR="00AC191D">
        <w:t xml:space="preserve">also </w:t>
      </w:r>
      <w:r w:rsidR="00B33FFF">
        <w:t>outlines the importance of proper maintenance to avoid coolant and oil leaks, hence protecting the soil</w:t>
      </w:r>
      <w:r w:rsidR="002B48A7">
        <w:t>. Ground protection is also briefly mentioned in</w:t>
      </w:r>
      <w:r w:rsidR="001221CD">
        <w:t xml:space="preserve"> Dorna’s ESG reports </w:t>
      </w:r>
      <w:r w:rsidR="001221CD">
        <w:rPr>
          <w:i/>
          <w:iCs/>
        </w:rPr>
        <w:t>(Dorna, 2021 and 2022</w:t>
      </w:r>
      <w:r w:rsidR="00D42D36">
        <w:rPr>
          <w:i/>
          <w:iCs/>
        </w:rPr>
        <w:t>a</w:t>
      </w:r>
      <w:r w:rsidR="001221CD">
        <w:rPr>
          <w:i/>
          <w:iCs/>
        </w:rPr>
        <w:t xml:space="preserve">, p.12 and </w:t>
      </w:r>
      <w:r w:rsidR="006C35A0">
        <w:rPr>
          <w:i/>
          <w:iCs/>
        </w:rPr>
        <w:t>p.81 respectively)</w:t>
      </w:r>
      <w:r w:rsidR="00506669">
        <w:t xml:space="preserve">, but with no further discussion beyond </w:t>
      </w:r>
      <w:r w:rsidR="00453BDF">
        <w:t>‘</w:t>
      </w:r>
      <w:r w:rsidR="00506669">
        <w:t xml:space="preserve">continuing to develop </w:t>
      </w:r>
      <w:r w:rsidR="00453BDF">
        <w:t xml:space="preserve">environmental standards and </w:t>
      </w:r>
      <w:r w:rsidR="00503FB3">
        <w:t>guidelines</w:t>
      </w:r>
      <w:r w:rsidR="00453BDF">
        <w:t>.</w:t>
      </w:r>
      <w:r w:rsidR="00503FB3">
        <w:t>’</w:t>
      </w:r>
    </w:p>
    <w:p w14:paraId="607EE4A1" w14:textId="77777777" w:rsidR="00C27B65" w:rsidRDefault="00F346A0" w:rsidP="005C3481">
      <w:r>
        <w:t>As discussed by Wood</w:t>
      </w:r>
      <w:r>
        <w:rPr>
          <w:i/>
          <w:iCs/>
        </w:rPr>
        <w:t xml:space="preserve"> (2011, p.33)</w:t>
      </w:r>
      <w:r>
        <w:t xml:space="preserve">, </w:t>
      </w:r>
      <w:r w:rsidR="00827DDE">
        <w:t xml:space="preserve">rapidly upgrading designs and short life components </w:t>
      </w:r>
      <w:r>
        <w:t xml:space="preserve">can result in waste disposed of in landfill. </w:t>
      </w:r>
      <w:r w:rsidR="000E7026">
        <w:t>Hence, the</w:t>
      </w:r>
      <w:r w:rsidR="00400469">
        <w:t xml:space="preserve"> manufacture</w:t>
      </w:r>
      <w:r w:rsidR="000E7026">
        <w:t xml:space="preserve"> of sustainable and </w:t>
      </w:r>
      <w:r w:rsidR="000E7026">
        <w:lastRenderedPageBreak/>
        <w:t xml:space="preserve">recyclable components </w:t>
      </w:r>
      <w:r w:rsidR="00400469">
        <w:t xml:space="preserve">for motorsport is essential </w:t>
      </w:r>
      <w:r w:rsidR="00671952">
        <w:t xml:space="preserve">for sustainability. </w:t>
      </w:r>
      <w:proofErr w:type="spellStart"/>
      <w:r w:rsidR="009F598F">
        <w:t>Mayyas</w:t>
      </w:r>
      <w:proofErr w:type="spellEnd"/>
      <w:r w:rsidR="009F598F">
        <w:t xml:space="preserve"> et al</w:t>
      </w:r>
      <w:r w:rsidR="00BE1B97">
        <w:t xml:space="preserve">. </w:t>
      </w:r>
      <w:r w:rsidR="00BE1B97">
        <w:rPr>
          <w:i/>
          <w:iCs/>
        </w:rPr>
        <w:t>(2021, p.</w:t>
      </w:r>
      <w:r w:rsidR="00FC77A5">
        <w:rPr>
          <w:i/>
          <w:iCs/>
        </w:rPr>
        <w:t xml:space="preserve">1849) </w:t>
      </w:r>
      <w:r w:rsidR="00BE1B97">
        <w:rPr>
          <w:i/>
          <w:iCs/>
        </w:rPr>
        <w:t xml:space="preserve"> </w:t>
      </w:r>
      <w:r w:rsidR="009F598F">
        <w:t xml:space="preserve">support this analysis, stating that </w:t>
      </w:r>
      <w:r w:rsidR="00AF2F3C">
        <w:t>longer lasting products/components reduces both resource use and wa</w:t>
      </w:r>
      <w:r w:rsidR="00BE1B97">
        <w:t xml:space="preserve">ste generation. </w:t>
      </w:r>
      <w:r w:rsidR="003B1D70">
        <w:t xml:space="preserve">Restrictions on the amount of components allowed per season is an effective method to </w:t>
      </w:r>
      <w:r w:rsidR="003E2D43">
        <w:t xml:space="preserve">minimise this effect, yet allowing 7 engines per season </w:t>
      </w:r>
      <w:r w:rsidR="00176DDF">
        <w:t xml:space="preserve"> by MotoGP </w:t>
      </w:r>
      <w:r w:rsidR="0036238F">
        <w:t xml:space="preserve">is still </w:t>
      </w:r>
      <w:r w:rsidR="00176DDF">
        <w:t xml:space="preserve">almost double allowed in Formula 1. </w:t>
      </w:r>
      <w:r w:rsidR="0036238F">
        <w:t xml:space="preserve"> </w:t>
      </w:r>
    </w:p>
    <w:p w14:paraId="0CC0035C" w14:textId="2B829859" w:rsidR="005C3481" w:rsidRPr="005C3481" w:rsidRDefault="0047346D" w:rsidP="005C3481">
      <w:r w:rsidRPr="00992F26">
        <w:br w:type="page"/>
      </w:r>
    </w:p>
    <w:p w14:paraId="6A3E6EBC" w14:textId="4A5A6386" w:rsidR="0047346D" w:rsidRDefault="007B6841" w:rsidP="0047346D">
      <w:pPr>
        <w:pStyle w:val="Heading1"/>
      </w:pPr>
      <w:bookmarkStart w:id="4" w:name="_Toc160801462"/>
      <w:r>
        <w:lastRenderedPageBreak/>
        <w:t>Sustainable Practices and Legislation</w:t>
      </w:r>
      <w:bookmarkEnd w:id="4"/>
    </w:p>
    <w:p w14:paraId="78AB889B" w14:textId="7CE5B079" w:rsidR="008B2E74" w:rsidRPr="007D340F" w:rsidRDefault="001526B6" w:rsidP="008B2E74">
      <w:pPr>
        <w:rPr>
          <w:i/>
          <w:iCs/>
        </w:rPr>
      </w:pPr>
      <w:r>
        <w:t xml:space="preserve">The Federation Internationale de </w:t>
      </w:r>
      <w:proofErr w:type="spellStart"/>
      <w:r>
        <w:t>Motocyclisme</w:t>
      </w:r>
      <w:proofErr w:type="spellEnd"/>
      <w:r>
        <w:t xml:space="preserve"> (F</w:t>
      </w:r>
      <w:r w:rsidR="00EC6BD4">
        <w:t>I</w:t>
      </w:r>
      <w:r>
        <w:t xml:space="preserve">M) developed an environmental and social initiative </w:t>
      </w:r>
      <w:r w:rsidR="008B2E74">
        <w:t xml:space="preserve">at Mugello in 2013 </w:t>
      </w:r>
      <w:r>
        <w:t xml:space="preserve">named </w:t>
      </w:r>
      <w:proofErr w:type="spellStart"/>
      <w:r>
        <w:t>KiSS</w:t>
      </w:r>
      <w:proofErr w:type="spellEnd"/>
      <w:r>
        <w:t xml:space="preserve"> (Keep it Shiny and Sustainable)</w:t>
      </w:r>
      <w:r w:rsidR="008B2E74">
        <w:t xml:space="preserve"> which covers waste collection and recycling as well as social initiatives and food collection programmes. It has since spread to other circuits and championships/events.</w:t>
      </w:r>
      <w:r w:rsidR="007D340F">
        <w:t xml:space="preserve"> </w:t>
      </w:r>
      <w:r w:rsidR="007D340F">
        <w:rPr>
          <w:i/>
          <w:iCs/>
        </w:rPr>
        <w:t>(MotoGP, 2024</w:t>
      </w:r>
      <w:r w:rsidR="00BE64F8">
        <w:rPr>
          <w:i/>
          <w:iCs/>
        </w:rPr>
        <w:t>a</w:t>
      </w:r>
      <w:r w:rsidR="007D340F">
        <w:rPr>
          <w:i/>
          <w:iCs/>
        </w:rPr>
        <w:t>)</w:t>
      </w:r>
    </w:p>
    <w:p w14:paraId="66BF3A78" w14:textId="049FDD4D" w:rsidR="008F0982" w:rsidRDefault="008F0982" w:rsidP="008F0982">
      <w:r>
        <w:t>Dorna adhere to ISO 20121</w:t>
      </w:r>
      <w:r w:rsidR="00CC6A8D">
        <w:t xml:space="preserve"> for sustainable events</w:t>
      </w:r>
      <w:r w:rsidR="00F67EF2">
        <w:t>, which was introduced in 2013 after the London Olympics</w:t>
      </w:r>
      <w:r w:rsidR="00070CFC">
        <w:t>, with Dorna only obtaining certification in 2022</w:t>
      </w:r>
      <w:r w:rsidR="00154B92">
        <w:t xml:space="preserve"> </w:t>
      </w:r>
      <w:r w:rsidR="00195E13">
        <w:rPr>
          <w:i/>
          <w:iCs/>
        </w:rPr>
        <w:t>(MotoGP, 2022)</w:t>
      </w:r>
      <w:r w:rsidR="00154B92">
        <w:rPr>
          <w:i/>
          <w:iCs/>
        </w:rPr>
        <w:t xml:space="preserve">. </w:t>
      </w:r>
      <w:r w:rsidR="007C40F2">
        <w:t xml:space="preserve">As discussed by Salama </w:t>
      </w:r>
      <w:r w:rsidR="007C40F2">
        <w:rPr>
          <w:i/>
          <w:iCs/>
        </w:rPr>
        <w:t xml:space="preserve">(2021, p.34), </w:t>
      </w:r>
      <w:r w:rsidR="007C40F2">
        <w:t xml:space="preserve">ISO 20121 applies to ‘any organisation or individual’ and applies to all types of events. </w:t>
      </w:r>
      <w:r w:rsidR="003915EF">
        <w:t xml:space="preserve">According to Walker </w:t>
      </w:r>
      <w:r w:rsidR="003915EF">
        <w:rPr>
          <w:i/>
          <w:iCs/>
        </w:rPr>
        <w:t xml:space="preserve">(2012, p.7), </w:t>
      </w:r>
      <w:r w:rsidR="003915EF">
        <w:t>ISO 20121 take</w:t>
      </w:r>
      <w:r w:rsidR="00E56335">
        <w:t>s</w:t>
      </w:r>
      <w:r w:rsidR="003915EF">
        <w:t xml:space="preserve"> a ‘process-based</w:t>
      </w:r>
      <w:r w:rsidR="00812481">
        <w:t xml:space="preserve">’ approach consisting of planning, implementation and review. </w:t>
      </w:r>
      <w:r w:rsidR="0018285D">
        <w:t>This approach</w:t>
      </w:r>
      <w:r w:rsidR="0001102E">
        <w:t xml:space="preserve">, </w:t>
      </w:r>
      <w:r w:rsidR="0018285D">
        <w:t>compared to a more performance-based approach, allows a degree of flexibility</w:t>
      </w:r>
      <w:r w:rsidR="0001102E">
        <w:t xml:space="preserve">, </w:t>
      </w:r>
      <w:r w:rsidR="00E56335">
        <w:t>assuming all organisations are different</w:t>
      </w:r>
      <w:r w:rsidR="00DD39DF">
        <w:t xml:space="preserve">, with the only requirement </w:t>
      </w:r>
      <w:r w:rsidR="00E56335">
        <w:t xml:space="preserve">in </w:t>
      </w:r>
      <w:r w:rsidR="00DD39DF">
        <w:t>meeting of internally set targets</w:t>
      </w:r>
      <w:r w:rsidR="00CD23C4">
        <w:t xml:space="preserve"> </w:t>
      </w:r>
      <w:r w:rsidR="00DD39DF">
        <w:rPr>
          <w:i/>
          <w:iCs/>
        </w:rPr>
        <w:t>(Walker, 2012, p.11)</w:t>
      </w:r>
      <w:r w:rsidR="00CD23C4">
        <w:rPr>
          <w:i/>
          <w:iCs/>
        </w:rPr>
        <w:t xml:space="preserve">.  </w:t>
      </w:r>
      <w:r w:rsidR="00CD23C4">
        <w:t xml:space="preserve">Pelham </w:t>
      </w:r>
      <w:r w:rsidR="00CD23C4">
        <w:rPr>
          <w:i/>
          <w:iCs/>
        </w:rPr>
        <w:t xml:space="preserve">(2011, p.189) </w:t>
      </w:r>
      <w:r w:rsidR="006748EE">
        <w:t xml:space="preserve">discusses how the introduction of ISO 20121 </w:t>
      </w:r>
      <w:r w:rsidR="00B87515">
        <w:t xml:space="preserve">would likely push suppliers to want certification </w:t>
      </w:r>
      <w:r w:rsidR="0030773C">
        <w:t>to maintain clients bran</w:t>
      </w:r>
      <w:r w:rsidR="00A343A8">
        <w:t xml:space="preserve">d image, hence allowing them to win business. </w:t>
      </w:r>
    </w:p>
    <w:p w14:paraId="7E1F159E" w14:textId="51FD2D9A" w:rsidR="00E44B0C" w:rsidRDefault="00EF7A74" w:rsidP="00F7672C">
      <w:r>
        <w:t>Dorna</w:t>
      </w:r>
      <w:r w:rsidR="00C2646F">
        <w:t>’s ISO 20121 Policy</w:t>
      </w:r>
      <w:r w:rsidR="000549FB">
        <w:t xml:space="preserve"> </w:t>
      </w:r>
      <w:r w:rsidR="000549FB">
        <w:rPr>
          <w:i/>
          <w:iCs/>
        </w:rPr>
        <w:t xml:space="preserve">(Dorna, 2022c) </w:t>
      </w:r>
      <w:r w:rsidR="000549FB">
        <w:t xml:space="preserve">outlines its commitment to </w:t>
      </w:r>
      <w:r w:rsidR="00A47796">
        <w:t xml:space="preserve">sustainable management, with implementation of </w:t>
      </w:r>
      <w:r w:rsidR="00693BFA">
        <w:t>the following values to align with ISO</w:t>
      </w:r>
      <w:r w:rsidR="006B6760">
        <w:t xml:space="preserve"> 20121: </w:t>
      </w:r>
      <w:r w:rsidR="00A47796">
        <w:t>‘Responsible management, Inclusion and access</w:t>
      </w:r>
      <w:r w:rsidR="00693BFA">
        <w:t>ibility, Integrity, Transparency, Participation and Legacy</w:t>
      </w:r>
      <w:r w:rsidR="006B6760">
        <w:t xml:space="preserve">’. </w:t>
      </w:r>
      <w:r w:rsidR="000C09DC">
        <w:t xml:space="preserve">Dorna promise in this report to </w:t>
      </w:r>
      <w:r w:rsidR="00777085">
        <w:t>reduce environmental footprint</w:t>
      </w:r>
      <w:r w:rsidR="007877C5">
        <w:t xml:space="preserve"> as well as ‘maximising social and economic impacts’</w:t>
      </w:r>
      <w:r w:rsidR="00EB5C90">
        <w:t>. On top of this</w:t>
      </w:r>
      <w:r w:rsidR="00F7672C">
        <w:t>,</w:t>
      </w:r>
      <w:r w:rsidR="00EB5C90">
        <w:t xml:space="preserve"> Dorna aims to contribute to the United Nations Sustainable Development goals</w:t>
      </w:r>
      <w:r w:rsidR="00C52DB9">
        <w:t xml:space="preserve"> by</w:t>
      </w:r>
      <w:r w:rsidR="00E44B0C">
        <w:t xml:space="preserve"> reducing CO2 emissions, minimising waste and natural resource consumption</w:t>
      </w:r>
      <w:r w:rsidR="007524B1">
        <w:t>, raising awareness by influencing supplies teams and circuits and providing accessibility for disabilities and building a diverse environment</w:t>
      </w:r>
      <w:r w:rsidR="00E77326">
        <w:t xml:space="preserve">, among other initiatives. </w:t>
      </w:r>
    </w:p>
    <w:p w14:paraId="627BC5CF" w14:textId="04AC394C" w:rsidR="00A66EA0" w:rsidRPr="002C1957" w:rsidRDefault="0080006B" w:rsidP="00F7672C">
      <w:r>
        <w:t xml:space="preserve">From the Dorna Sustainability report </w:t>
      </w:r>
      <w:r w:rsidRPr="0080006B">
        <w:rPr>
          <w:i/>
          <w:iCs/>
        </w:rPr>
        <w:t>(2022b</w:t>
      </w:r>
      <w:r>
        <w:rPr>
          <w:i/>
          <w:iCs/>
        </w:rPr>
        <w:t>, pp.7-8</w:t>
      </w:r>
      <w:r w:rsidRPr="0080006B">
        <w:rPr>
          <w:i/>
          <w:iCs/>
        </w:rPr>
        <w:t>)</w:t>
      </w:r>
      <w:r>
        <w:rPr>
          <w:i/>
          <w:iCs/>
        </w:rPr>
        <w:t xml:space="preserve">, </w:t>
      </w:r>
      <w:r>
        <w:t>some circuits also have additional ISO accreditations</w:t>
      </w:r>
      <w:r w:rsidR="00232502">
        <w:t>, with ISO 9001, ISO 14001, ISO 45001</w:t>
      </w:r>
      <w:r w:rsidR="0035305F">
        <w:t xml:space="preserve"> and ISO 39001 seen. </w:t>
      </w:r>
      <w:r w:rsidR="007B61A7">
        <w:t>Most importantly with regard to sustainability is ISO 14001 on Environmental Management, seen a</w:t>
      </w:r>
      <w:r w:rsidR="00B549EE">
        <w:t>t Mugello, Catalunya and Valencia</w:t>
      </w:r>
      <w:r w:rsidR="00A0792A">
        <w:t xml:space="preserve">. </w:t>
      </w:r>
      <w:r w:rsidR="00C5083B">
        <w:t xml:space="preserve">ISO 14001, </w:t>
      </w:r>
      <w:r w:rsidR="00D913D5">
        <w:t>officially released in 1996</w:t>
      </w:r>
      <w:r w:rsidR="006A507F">
        <w:t xml:space="preserve">, requires companies to </w:t>
      </w:r>
      <w:r w:rsidR="00E9449B">
        <w:t>identify</w:t>
      </w:r>
      <w:r w:rsidR="00370022">
        <w:t xml:space="preserve"> their environmental impact and hence </w:t>
      </w:r>
      <w:r w:rsidR="00DE40B0">
        <w:t>generate</w:t>
      </w:r>
      <w:r w:rsidR="00E9449B">
        <w:t xml:space="preserve"> environmental goals and hence develop a policy to achieve these goals. </w:t>
      </w:r>
      <w:r w:rsidR="00131785">
        <w:rPr>
          <w:i/>
          <w:iCs/>
        </w:rPr>
        <w:t>(Jiang and Bansal, 2003, p.</w:t>
      </w:r>
      <w:r w:rsidR="00494B32">
        <w:rPr>
          <w:i/>
          <w:iCs/>
        </w:rPr>
        <w:t>1048)</w:t>
      </w:r>
      <w:r w:rsidR="00F76CAB">
        <w:rPr>
          <w:i/>
          <w:iCs/>
        </w:rPr>
        <w:t xml:space="preserve">. </w:t>
      </w:r>
      <w:r w:rsidR="004A2DE6">
        <w:t xml:space="preserve">Tari et al. </w:t>
      </w:r>
      <w:r w:rsidR="004A2DE6">
        <w:rPr>
          <w:i/>
          <w:iCs/>
        </w:rPr>
        <w:t>(2012, p.</w:t>
      </w:r>
      <w:r w:rsidR="002C1957">
        <w:rPr>
          <w:i/>
          <w:iCs/>
        </w:rPr>
        <w:t xml:space="preserve">304) </w:t>
      </w:r>
      <w:r w:rsidR="002C1957">
        <w:t xml:space="preserve">evaluate the benefits of ISO 14001, showing </w:t>
      </w:r>
      <w:r w:rsidR="00B52ABC">
        <w:t xml:space="preserve">benefits in environmental performance, efficiency and profitability as well as in </w:t>
      </w:r>
      <w:r w:rsidR="001E5F34">
        <w:t xml:space="preserve">company image and better relation with stakeholders. </w:t>
      </w:r>
      <w:r w:rsidR="00B52ABC">
        <w:t xml:space="preserve"> </w:t>
      </w:r>
    </w:p>
    <w:p w14:paraId="20E53C0C" w14:textId="41607343" w:rsidR="00F61B14" w:rsidRPr="00B626E4" w:rsidRDefault="00245E41" w:rsidP="00F7672C">
      <w:r>
        <w:t>ISO 9001 relates to Quality Management</w:t>
      </w:r>
      <w:r w:rsidR="003D5A7F">
        <w:t>, and</w:t>
      </w:r>
      <w:r w:rsidR="00434BD8">
        <w:t xml:space="preserve"> has seen large growth</w:t>
      </w:r>
      <w:r w:rsidR="00B626E4">
        <w:t>,</w:t>
      </w:r>
      <w:r w:rsidR="003D5A7F">
        <w:t xml:space="preserve"> as discussed by Sampaio et al. </w:t>
      </w:r>
      <w:r w:rsidR="009331F5">
        <w:rPr>
          <w:i/>
          <w:iCs/>
        </w:rPr>
        <w:t>(2009, p.42)</w:t>
      </w:r>
      <w:r w:rsidR="00B626E4">
        <w:rPr>
          <w:i/>
          <w:iCs/>
        </w:rPr>
        <w:t>,</w:t>
      </w:r>
      <w:r w:rsidR="009331F5">
        <w:rPr>
          <w:i/>
          <w:iCs/>
        </w:rPr>
        <w:t xml:space="preserve"> </w:t>
      </w:r>
      <w:r w:rsidR="00B626E4">
        <w:t>due to supplie</w:t>
      </w:r>
      <w:r w:rsidR="00A66EA0">
        <w:t>r</w:t>
      </w:r>
      <w:r w:rsidR="00B626E4">
        <w:t xml:space="preserve">s seeking certification </w:t>
      </w:r>
      <w:r w:rsidR="008F0FE9">
        <w:t xml:space="preserve">to ensure continued </w:t>
      </w:r>
      <w:r w:rsidR="008F0FE9">
        <w:lastRenderedPageBreak/>
        <w:t>international trade. Both Mugello and Misano circuits hold this accreditation</w:t>
      </w:r>
      <w:r w:rsidR="00054C00">
        <w:t xml:space="preserve">, with Mugello being the first </w:t>
      </w:r>
      <w:r w:rsidR="00B9758B">
        <w:t xml:space="preserve">circuit in the world to achieve this </w:t>
      </w:r>
      <w:r w:rsidR="00054C00">
        <w:t>in 2017</w:t>
      </w:r>
      <w:r w:rsidR="00B24468">
        <w:t xml:space="preserve"> </w:t>
      </w:r>
      <w:r w:rsidR="00B24468" w:rsidRPr="00B24468">
        <w:rPr>
          <w:i/>
          <w:iCs/>
        </w:rPr>
        <w:t>(Mugello Circuit S.p.A, 2024)</w:t>
      </w:r>
      <w:r w:rsidR="00B9758B">
        <w:rPr>
          <w:i/>
          <w:iCs/>
        </w:rPr>
        <w:t xml:space="preserve">. </w:t>
      </w:r>
    </w:p>
    <w:p w14:paraId="479BE3EF" w14:textId="2DFB1061" w:rsidR="00C424B8" w:rsidRPr="00BB2EBE" w:rsidRDefault="00C424B8" w:rsidP="00F7672C">
      <w:r>
        <w:t>ISO 45001 relate</w:t>
      </w:r>
      <w:r w:rsidR="006F4628">
        <w:t>s</w:t>
      </w:r>
      <w:r>
        <w:t xml:space="preserve"> to health and safety</w:t>
      </w:r>
      <w:r w:rsidR="006F4628">
        <w:t xml:space="preserve"> and</w:t>
      </w:r>
      <w:r>
        <w:t xml:space="preserve"> Malaysia is the only </w:t>
      </w:r>
      <w:r w:rsidR="009224E8">
        <w:t xml:space="preserve">circuit of the 2022 MotoGP calendar with this accreditation. </w:t>
      </w:r>
      <w:r w:rsidR="0075742C">
        <w:t>ISO 45001 is described by</w:t>
      </w:r>
      <w:r w:rsidR="00F17D8A">
        <w:t xml:space="preserve"> Agus et al. </w:t>
      </w:r>
      <w:r w:rsidR="00F17D8A">
        <w:rPr>
          <w:i/>
          <w:iCs/>
        </w:rPr>
        <w:t>(p.</w:t>
      </w:r>
      <w:r w:rsidR="003341C7">
        <w:rPr>
          <w:i/>
          <w:iCs/>
        </w:rPr>
        <w:t xml:space="preserve">14059) </w:t>
      </w:r>
      <w:r w:rsidR="003341C7">
        <w:t>in their 20</w:t>
      </w:r>
      <w:r w:rsidR="00E16B82">
        <w:t>20 study as incorporating risk assessment and o</w:t>
      </w:r>
      <w:r w:rsidR="003475C1">
        <w:t xml:space="preserve">perational planning. </w:t>
      </w:r>
      <w:r w:rsidR="00BB2EBE">
        <w:t xml:space="preserve">Agus et al. </w:t>
      </w:r>
      <w:r w:rsidR="00BB2EBE">
        <w:rPr>
          <w:i/>
          <w:iCs/>
        </w:rPr>
        <w:t xml:space="preserve">(2020 p.14065) </w:t>
      </w:r>
      <w:r w:rsidR="00BB2EBE">
        <w:t xml:space="preserve">go on to show </w:t>
      </w:r>
      <w:r w:rsidR="004C0B63">
        <w:t>a better corporate image and a significant reduction in injuries and costs</w:t>
      </w:r>
      <w:r w:rsidR="00402110">
        <w:t xml:space="preserve"> with the implementation of ISO 45001. </w:t>
      </w:r>
    </w:p>
    <w:p w14:paraId="7D315190" w14:textId="71997019" w:rsidR="009224E8" w:rsidRPr="003A6420" w:rsidRDefault="009224E8" w:rsidP="00F7672C">
      <w:r>
        <w:t xml:space="preserve">Lastly, ISO 39001, accredited to Valencia alone, </w:t>
      </w:r>
      <w:r w:rsidR="00DA52BB">
        <w:t>is on Road Traffic Safety Management</w:t>
      </w:r>
      <w:r w:rsidR="00122494">
        <w:t>, applicable to the transportation of goods and people</w:t>
      </w:r>
      <w:r w:rsidR="000C3FCF">
        <w:t xml:space="preserve">, and operations </w:t>
      </w:r>
      <w:r w:rsidR="008D04A7">
        <w:t xml:space="preserve">generating demand for transport, among others. </w:t>
      </w:r>
      <w:r w:rsidR="00806DB1" w:rsidRPr="00806DB1">
        <w:rPr>
          <w:i/>
          <w:iCs/>
        </w:rPr>
        <w:t>(Crackel and Small, 2010, p.</w:t>
      </w:r>
      <w:r w:rsidR="00487C57">
        <w:rPr>
          <w:i/>
          <w:iCs/>
        </w:rPr>
        <w:t>3</w:t>
      </w:r>
      <w:r w:rsidR="00806DB1" w:rsidRPr="00806DB1">
        <w:rPr>
          <w:i/>
          <w:iCs/>
        </w:rPr>
        <w:t>)</w:t>
      </w:r>
      <w:r w:rsidR="003A6420">
        <w:rPr>
          <w:i/>
          <w:iCs/>
        </w:rPr>
        <w:t xml:space="preserve"> </w:t>
      </w:r>
      <w:r w:rsidR="008F4010">
        <w:t>Hence, an important consideration for a large event</w:t>
      </w:r>
      <w:r w:rsidR="00296E73">
        <w:t xml:space="preserve">, with numerous fans, staff and equipment transported to the circuit for a MotoGP weekend. </w:t>
      </w:r>
    </w:p>
    <w:p w14:paraId="572B4B29" w14:textId="250C2586" w:rsidR="00463E96" w:rsidRPr="00463E96" w:rsidRDefault="00AE7BE5" w:rsidP="00F7672C">
      <w:r>
        <w:rPr>
          <w:noProof/>
        </w:rPr>
        <mc:AlternateContent>
          <mc:Choice Requires="wps">
            <w:drawing>
              <wp:anchor distT="0" distB="0" distL="114300" distR="114300" simplePos="0" relativeHeight="251668480" behindDoc="0" locked="0" layoutInCell="1" allowOverlap="1" wp14:anchorId="7DA00826" wp14:editId="5ADBEDCA">
                <wp:simplePos x="0" y="0"/>
                <wp:positionH relativeFrom="margin">
                  <wp:posOffset>584240</wp:posOffset>
                </wp:positionH>
                <wp:positionV relativeFrom="paragraph">
                  <wp:posOffset>3729080</wp:posOffset>
                </wp:positionV>
                <wp:extent cx="4298315" cy="635"/>
                <wp:effectExtent l="0" t="0" r="6985" b="0"/>
                <wp:wrapTopAndBottom/>
                <wp:docPr id="1635684313" name="Text Box 1"/>
                <wp:cNvGraphicFramePr/>
                <a:graphic xmlns:a="http://schemas.openxmlformats.org/drawingml/2006/main">
                  <a:graphicData uri="http://schemas.microsoft.com/office/word/2010/wordprocessingShape">
                    <wps:wsp>
                      <wps:cNvSpPr txBox="1"/>
                      <wps:spPr>
                        <a:xfrm>
                          <a:off x="0" y="0"/>
                          <a:ext cx="4298315" cy="635"/>
                        </a:xfrm>
                        <a:prstGeom prst="rect">
                          <a:avLst/>
                        </a:prstGeom>
                        <a:solidFill>
                          <a:prstClr val="white"/>
                        </a:solidFill>
                        <a:ln>
                          <a:noFill/>
                        </a:ln>
                      </wps:spPr>
                      <wps:txbx>
                        <w:txbxContent>
                          <w:p w14:paraId="78CB3F97" w14:textId="77777777" w:rsidR="005F0A88" w:rsidRPr="00E23B84" w:rsidRDefault="005F0A88" w:rsidP="005F0A88">
                            <w:pPr>
                              <w:pStyle w:val="Caption"/>
                              <w:rPr>
                                <w:noProof/>
                                <w:sz w:val="22"/>
                                <w:szCs w:val="22"/>
                              </w:rPr>
                            </w:pPr>
                            <w:r>
                              <w:t xml:space="preserve">Figure </w:t>
                            </w:r>
                            <w:r>
                              <w:fldChar w:fldCharType="begin"/>
                            </w:r>
                            <w:r>
                              <w:instrText xml:space="preserve"> SEQ Figure \* ARABIC </w:instrText>
                            </w:r>
                            <w:r>
                              <w:fldChar w:fldCharType="separate"/>
                            </w:r>
                            <w:r>
                              <w:rPr>
                                <w:noProof/>
                              </w:rPr>
                              <w:t>3</w:t>
                            </w:r>
                            <w:r>
                              <w:fldChar w:fldCharType="end"/>
                            </w:r>
                            <w:r>
                              <w:t xml:space="preserve"> - United Nations Sustainable Development Goals (Global Goals,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A00826" id="_x0000_s1028" type="#_x0000_t202" style="position:absolute;margin-left:46pt;margin-top:293.65pt;width:338.45pt;height:.05pt;z-index:25166848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EunGwIAAD8EAAAOAAAAZHJzL2Uyb0RvYy54bWysU8Fu2zAMvQ/YPwi6L07Stei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" stroked="f">
                <v:textbox style="mso-fit-shape-to-text:t" inset="0,0,0,0">
                  <w:txbxContent>
                    <w:p w14:paraId="78CB3F97" w14:textId="77777777" w:rsidR="005F0A88" w:rsidRPr="00E23B84" w:rsidRDefault="005F0A88" w:rsidP="005F0A88">
                      <w:pPr>
                        <w:pStyle w:val="Caption"/>
                        <w:rPr>
                          <w:noProof/>
                          <w:sz w:val="22"/>
                          <w:szCs w:val="22"/>
                        </w:rPr>
                      </w:pPr>
                      <w:r>
                        <w:t xml:space="preserve">Figure </w:t>
                      </w:r>
                      <w:r>
                        <w:fldChar w:fldCharType="begin"/>
                      </w:r>
                      <w:r>
                        <w:instrText xml:space="preserve"> SEQ Figure \* ARABIC </w:instrText>
                      </w:r>
                      <w:r>
                        <w:fldChar w:fldCharType="separate"/>
                      </w:r>
                      <w:r>
                        <w:rPr>
                          <w:noProof/>
                        </w:rPr>
                        <w:t>3</w:t>
                      </w:r>
                      <w:r>
                        <w:fldChar w:fldCharType="end"/>
                      </w:r>
                      <w:r>
                        <w:t xml:space="preserve"> - United Nations Sustainable Development Goals (Global Goals, 2016)</w:t>
                      </w:r>
                    </w:p>
                  </w:txbxContent>
                </v:textbox>
                <w10:wrap type="topAndBottom" anchorx="margin"/>
              </v:shape>
            </w:pict>
          </mc:Fallback>
        </mc:AlternateContent>
      </w:r>
      <w:r>
        <w:rPr>
          <w:noProof/>
        </w:rPr>
        <w:drawing>
          <wp:anchor distT="0" distB="0" distL="114300" distR="114300" simplePos="0" relativeHeight="251667456" behindDoc="0" locked="0" layoutInCell="1" allowOverlap="1" wp14:anchorId="2340D057" wp14:editId="790D8595">
            <wp:simplePos x="0" y="0"/>
            <wp:positionH relativeFrom="margin">
              <wp:posOffset>235585</wp:posOffset>
            </wp:positionH>
            <wp:positionV relativeFrom="paragraph">
              <wp:posOffset>487680</wp:posOffset>
            </wp:positionV>
            <wp:extent cx="5288280" cy="3338195"/>
            <wp:effectExtent l="0" t="0" r="0" b="0"/>
            <wp:wrapTopAndBottom/>
            <wp:docPr id="595525371" name="Picture 1" descr="The UN SDG's - BlueSph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 SDG's - BlueSphere"/>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8649" b="9631"/>
                    <a:stretch/>
                  </pic:blipFill>
                  <pic:spPr bwMode="auto">
                    <a:xfrm>
                      <a:off x="0" y="0"/>
                      <a:ext cx="5288280" cy="33381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F0A88">
        <w:t>Dorna</w:t>
      </w:r>
      <w:r w:rsidR="00463E96">
        <w:t xml:space="preserve">’s </w:t>
      </w:r>
      <w:r w:rsidR="005F0A88">
        <w:t>Sustainability report</w:t>
      </w:r>
      <w:r w:rsidR="00463E96">
        <w:t xml:space="preserve"> </w:t>
      </w:r>
      <w:r w:rsidR="00463E96">
        <w:rPr>
          <w:i/>
          <w:iCs/>
        </w:rPr>
        <w:t>(2022b</w:t>
      </w:r>
      <w:r w:rsidR="00176A98">
        <w:rPr>
          <w:i/>
          <w:iCs/>
        </w:rPr>
        <w:t>, pp.12-13</w:t>
      </w:r>
      <w:r w:rsidR="00463E96">
        <w:rPr>
          <w:i/>
          <w:iCs/>
        </w:rPr>
        <w:t xml:space="preserve">) </w:t>
      </w:r>
      <w:r w:rsidR="00463E96">
        <w:t xml:space="preserve">comments on how </w:t>
      </w:r>
      <w:r w:rsidR="00176A98">
        <w:t xml:space="preserve">its meeting the United Nation’s Sustainable Development Goals shown below In figure 3. </w:t>
      </w:r>
    </w:p>
    <w:p w14:paraId="06508DD7" w14:textId="7DEE331C" w:rsidR="00820F84" w:rsidRPr="0080006B" w:rsidRDefault="00F94AD3" w:rsidP="00171471">
      <w:proofErr w:type="spellStart"/>
      <w:r w:rsidRPr="00F94AD3">
        <w:t>KiSS</w:t>
      </w:r>
      <w:proofErr w:type="spellEnd"/>
      <w:r w:rsidRPr="00F94AD3">
        <w:t xml:space="preserve"> actively contributes to Goal 2, Zero Hunger, by gathering unused food from MotoGP events.</w:t>
      </w:r>
      <w:r>
        <w:rPr>
          <w:rFonts w:ascii="Segoe UI" w:hAnsi="Segoe UI" w:cs="Segoe UI"/>
          <w:color w:val="0D0D0D"/>
          <w:shd w:val="clear" w:color="auto" w:fill="FFFFFF"/>
        </w:rPr>
        <w:t xml:space="preserve"> </w:t>
      </w:r>
      <w:r w:rsidR="008B7A51">
        <w:t>Goal 4</w:t>
      </w:r>
      <w:r w:rsidR="004F707E">
        <w:t>, Quality Education,</w:t>
      </w:r>
      <w:r w:rsidR="008B7A51">
        <w:t xml:space="preserve"> is</w:t>
      </w:r>
      <w:r>
        <w:t xml:space="preserve"> addressed</w:t>
      </w:r>
      <w:r w:rsidR="004F707E">
        <w:t xml:space="preserve"> with the ‘Road to MotoGP’ talent development programme. </w:t>
      </w:r>
      <w:r w:rsidR="00F1117A">
        <w:t xml:space="preserve">Both goal 9 and 13, </w:t>
      </w:r>
      <w:r w:rsidR="007D4305">
        <w:t xml:space="preserve">Industry, Innovation and </w:t>
      </w:r>
      <w:r w:rsidR="00760F86">
        <w:t>Infrastructure</w:t>
      </w:r>
      <w:r w:rsidR="007D4305">
        <w:t xml:space="preserve">, </w:t>
      </w:r>
      <w:r w:rsidR="00F1117A">
        <w:t xml:space="preserve">and Climate Action are pursued through the </w:t>
      </w:r>
      <w:r w:rsidR="00171471">
        <w:t xml:space="preserve">adoption of MotoE and the use of sustainable fuels. Sustainable cities and communities, goal 11, is reached with multiple initiatives to positively influence the communities in which they operate. </w:t>
      </w:r>
      <w:r w:rsidR="00FE522D">
        <w:t>Finally goal 17, Partnerships for the Goals</w:t>
      </w:r>
      <w:r w:rsidR="001306C2">
        <w:t>, is aimed for with the cooperation of the MotoGP supplie</w:t>
      </w:r>
      <w:r w:rsidR="00A81FE1">
        <w:t>r</w:t>
      </w:r>
      <w:r w:rsidR="001306C2">
        <w:t xml:space="preserve">s, the FIM and </w:t>
      </w:r>
      <w:r w:rsidR="004A147E">
        <w:t>Teams</w:t>
      </w:r>
      <w:r w:rsidR="001306C2">
        <w:t xml:space="preserve">. </w:t>
      </w:r>
      <w:r w:rsidR="00820F84">
        <w:br w:type="page"/>
      </w:r>
    </w:p>
    <w:p w14:paraId="646BE55A" w14:textId="1C008412" w:rsidR="0047346D" w:rsidRDefault="007B6841" w:rsidP="0047346D">
      <w:pPr>
        <w:pStyle w:val="Heading1"/>
      </w:pPr>
      <w:bookmarkStart w:id="5" w:name="_Toc160801463"/>
      <w:r>
        <w:lastRenderedPageBreak/>
        <w:t>Sustainability and Technological Challenges</w:t>
      </w:r>
      <w:bookmarkEnd w:id="5"/>
    </w:p>
    <w:p w14:paraId="0135D96A" w14:textId="09C84D77" w:rsidR="00170AF5" w:rsidRPr="008A653F" w:rsidRDefault="007D537A" w:rsidP="002D2893">
      <w:r>
        <w:t xml:space="preserve">MotoGP has committed to using 40% </w:t>
      </w:r>
      <w:r w:rsidR="003F6777">
        <w:t>fuel from non-fossil origin</w:t>
      </w:r>
      <w:r w:rsidR="004A147E">
        <w:t xml:space="preserve"> by this year</w:t>
      </w:r>
      <w:r w:rsidR="003F6777">
        <w:t xml:space="preserve"> and 100% non-fossil origin by 2027</w:t>
      </w:r>
      <w:r w:rsidR="0011389C">
        <w:t xml:space="preserve"> </w:t>
      </w:r>
      <w:r w:rsidR="0006345D">
        <w:t>in all MotoGP classes</w:t>
      </w:r>
      <w:r w:rsidR="003F6777">
        <w:t xml:space="preserve"> </w:t>
      </w:r>
      <w:r w:rsidR="0011389C">
        <w:rPr>
          <w:i/>
          <w:iCs/>
        </w:rPr>
        <w:t>(MotoGP, 2021)</w:t>
      </w:r>
      <w:r w:rsidR="002C22A4">
        <w:rPr>
          <w:i/>
          <w:iCs/>
        </w:rPr>
        <w:t>.</w:t>
      </w:r>
      <w:r w:rsidR="008A653F">
        <w:rPr>
          <w:i/>
          <w:iCs/>
        </w:rPr>
        <w:t xml:space="preserve"> </w:t>
      </w:r>
      <w:r w:rsidR="008A653F">
        <w:t xml:space="preserve">This results in </w:t>
      </w:r>
      <w:r w:rsidR="00803283">
        <w:t>net zero carbon emissions</w:t>
      </w:r>
      <w:r w:rsidR="0093494E">
        <w:t>, but as discussed in the Environmental Impact of MotoGP</w:t>
      </w:r>
      <w:r w:rsidR="00635959">
        <w:t xml:space="preserve"> above</w:t>
      </w:r>
      <w:r w:rsidR="0093494E">
        <w:t xml:space="preserve">, the racing motorcycles make up a very minute portion of total CO2 emissions. </w:t>
      </w:r>
    </w:p>
    <w:p w14:paraId="2DB7D55C" w14:textId="133CCFEB" w:rsidR="002D2893" w:rsidRDefault="002C22A4" w:rsidP="002D2893">
      <w:r>
        <w:t xml:space="preserve">From a challenge point of view, </w:t>
      </w:r>
      <w:r w:rsidR="00381ECE">
        <w:t xml:space="preserve">these fuels need to be </w:t>
      </w:r>
      <w:r w:rsidR="001A2E9C">
        <w:t xml:space="preserve">‘drop in’ and therefore work without any fuel system modification. </w:t>
      </w:r>
      <w:r w:rsidR="00CD0B92">
        <w:t>For racing</w:t>
      </w:r>
      <w:r w:rsidR="001D46F9">
        <w:t xml:space="preserve">, </w:t>
      </w:r>
      <w:r w:rsidR="00CD0B92">
        <w:t>it is also important that performance is maintaine</w:t>
      </w:r>
      <w:r w:rsidR="00BD2D63">
        <w:t>d</w:t>
      </w:r>
      <w:r w:rsidR="001E76DD">
        <w:t xml:space="preserve"> by </w:t>
      </w:r>
      <w:r w:rsidR="00BD2D63">
        <w:t>ensuring the same energy density of the fuel.</w:t>
      </w:r>
      <w:r w:rsidR="00083598">
        <w:t xml:space="preserve"> In their 2023 study,</w:t>
      </w:r>
      <w:r w:rsidR="00BD2D63">
        <w:t xml:space="preserve"> Puksar et al. analyse the power output and emissions </w:t>
      </w:r>
      <w:r w:rsidR="008023EB">
        <w:t xml:space="preserve">of </w:t>
      </w:r>
      <w:r w:rsidR="00F868F9">
        <w:t xml:space="preserve">a </w:t>
      </w:r>
      <w:r w:rsidR="008023EB">
        <w:t>sustainable fuel</w:t>
      </w:r>
      <w:r w:rsidR="00083598">
        <w:t xml:space="preserve"> in a high performance motorcycle</w:t>
      </w:r>
      <w:r w:rsidR="000020E7">
        <w:t xml:space="preserve">. An 85% </w:t>
      </w:r>
      <w:r w:rsidR="005D7896">
        <w:t>‘</w:t>
      </w:r>
      <w:r w:rsidR="001E76DD">
        <w:t>super ethanol</w:t>
      </w:r>
      <w:r w:rsidR="005D7896">
        <w:t>’</w:t>
      </w:r>
      <w:r w:rsidR="000020E7">
        <w:t xml:space="preserve"> fuel </w:t>
      </w:r>
      <w:r w:rsidR="00205141">
        <w:t>wa</w:t>
      </w:r>
      <w:r w:rsidR="00DD63BA">
        <w:t>s found to have greater power output than standard fuel but less than race</w:t>
      </w:r>
      <w:r w:rsidR="00F868F9">
        <w:t xml:space="preserve"> fuel. With regard to emissions, the synthetic ‘</w:t>
      </w:r>
      <w:r w:rsidR="001E76DD">
        <w:t>super ethanol</w:t>
      </w:r>
      <w:r w:rsidR="00F868F9">
        <w:t xml:space="preserve">’ with 85% ethanol showed </w:t>
      </w:r>
      <w:r w:rsidR="00354F75">
        <w:t xml:space="preserve">reduced emissions </w:t>
      </w:r>
      <w:r w:rsidR="00BA0312">
        <w:t xml:space="preserve">compared to both thanks </w:t>
      </w:r>
      <w:r w:rsidR="00354F75">
        <w:t xml:space="preserve">to the oxygen content in the fuel. </w:t>
      </w:r>
      <w:r w:rsidR="001063E2">
        <w:t xml:space="preserve">Puksar et al. </w:t>
      </w:r>
      <w:r w:rsidR="005945D0">
        <w:rPr>
          <w:i/>
          <w:iCs/>
        </w:rPr>
        <w:t>(2023</w:t>
      </w:r>
      <w:r w:rsidR="00FA7601">
        <w:rPr>
          <w:i/>
          <w:iCs/>
        </w:rPr>
        <w:t xml:space="preserve">) </w:t>
      </w:r>
      <w:r w:rsidR="00FA7601">
        <w:t xml:space="preserve"> </w:t>
      </w:r>
      <w:r w:rsidR="001063E2">
        <w:t>suggest for high ethanol fuels</w:t>
      </w:r>
      <w:r w:rsidR="00FA7601">
        <w:t xml:space="preserve"> a </w:t>
      </w:r>
      <w:r w:rsidR="001063E2">
        <w:t xml:space="preserve">change of mapping is required, </w:t>
      </w:r>
      <w:r w:rsidR="005945D0">
        <w:t xml:space="preserve">with  no mechanical differences. </w:t>
      </w:r>
      <w:r w:rsidR="00E74A0F">
        <w:t xml:space="preserve">This </w:t>
      </w:r>
      <w:r w:rsidR="00BE64F8">
        <w:t xml:space="preserve">philosophy of requiring no mechanical changes </w:t>
      </w:r>
      <w:r w:rsidR="00E74A0F">
        <w:t xml:space="preserve">is backed up by a recent video from MotoGP </w:t>
      </w:r>
      <w:r w:rsidR="00BE64F8">
        <w:rPr>
          <w:i/>
          <w:iCs/>
        </w:rPr>
        <w:t xml:space="preserve">(2024) </w:t>
      </w:r>
      <w:r w:rsidR="00E74A0F">
        <w:t xml:space="preserve">discussing this </w:t>
      </w:r>
      <w:r w:rsidR="00BE64F8">
        <w:t>year’s</w:t>
      </w:r>
      <w:r w:rsidR="00E74A0F">
        <w:t xml:space="preserve"> integration of </w:t>
      </w:r>
      <w:r w:rsidR="00BE64F8">
        <w:t xml:space="preserve">40% sustainable fuels. </w:t>
      </w:r>
    </w:p>
    <w:p w14:paraId="2347A50D" w14:textId="2AEF02CC" w:rsidR="00B14BD2" w:rsidRPr="00914474" w:rsidRDefault="00554FB4" w:rsidP="002D2893">
      <w:r>
        <w:t>The main technological challenge for achieving the</w:t>
      </w:r>
      <w:r w:rsidR="0092798C">
        <w:t xml:space="preserve"> targets is the production of the synthetic fuels. </w:t>
      </w:r>
      <w:r w:rsidR="00827B1C">
        <w:t>Hanggi et al.</w:t>
      </w:r>
      <w:r w:rsidR="006836F2">
        <w:t xml:space="preserve"> </w:t>
      </w:r>
      <w:r w:rsidR="006836F2">
        <w:rPr>
          <w:i/>
          <w:iCs/>
        </w:rPr>
        <w:t>(2019, p.556)</w:t>
      </w:r>
      <w:r w:rsidR="00827B1C">
        <w:t xml:space="preserve"> </w:t>
      </w:r>
      <w:r w:rsidR="006836F2">
        <w:t xml:space="preserve">and Ridjan et al. </w:t>
      </w:r>
      <w:r w:rsidR="006836F2">
        <w:rPr>
          <w:i/>
          <w:iCs/>
        </w:rPr>
        <w:t>(2013,p.</w:t>
      </w:r>
      <w:r w:rsidR="000D70FF">
        <w:rPr>
          <w:i/>
          <w:iCs/>
        </w:rPr>
        <w:t xml:space="preserve">78) </w:t>
      </w:r>
      <w:r w:rsidR="000D70FF">
        <w:t>both</w:t>
      </w:r>
      <w:r w:rsidR="006836F2">
        <w:t xml:space="preserve"> </w:t>
      </w:r>
      <w:r w:rsidR="00827B1C">
        <w:t xml:space="preserve">outline the process </w:t>
      </w:r>
      <w:r w:rsidR="00A60D2F">
        <w:t xml:space="preserve">with electrolysis of water required to produce hydrogen and the removal of CO2 from the atmosphere to allow for the synthesis of the desired hydrocarbon fuel. </w:t>
      </w:r>
      <w:r w:rsidR="00A46F8E">
        <w:t>Pregger et al.</w:t>
      </w:r>
      <w:r w:rsidR="00914925">
        <w:t xml:space="preserve"> </w:t>
      </w:r>
      <w:r w:rsidR="00914925">
        <w:rPr>
          <w:i/>
          <w:iCs/>
        </w:rPr>
        <w:t xml:space="preserve">(2019, p.3) </w:t>
      </w:r>
      <w:r w:rsidR="00914925">
        <w:t xml:space="preserve">analyses the challenges of producing sustainable fuels on a large scale, attributing them to the availability of </w:t>
      </w:r>
      <w:r w:rsidR="00EE1D93">
        <w:t xml:space="preserve">renewable electricity and CO2 at high concentrations. </w:t>
      </w:r>
      <w:r w:rsidR="00914474">
        <w:t>Moreover, Pregger et al.</w:t>
      </w:r>
      <w:r w:rsidR="00914474" w:rsidRPr="00914474">
        <w:rPr>
          <w:i/>
          <w:iCs/>
        </w:rPr>
        <w:t xml:space="preserve"> (2019, p.5)</w:t>
      </w:r>
      <w:r w:rsidR="00914474">
        <w:rPr>
          <w:i/>
          <w:iCs/>
        </w:rPr>
        <w:t xml:space="preserve"> </w:t>
      </w:r>
      <w:r w:rsidR="00914474">
        <w:t>evaluates the production cost of synthetic fuels a</w:t>
      </w:r>
      <w:r w:rsidR="000C7D4B">
        <w:t>t</w:t>
      </w:r>
      <w:r w:rsidR="00914474">
        <w:t xml:space="preserve"> </w:t>
      </w:r>
      <w:r w:rsidR="00360D1D">
        <w:t xml:space="preserve">approximately 4 times </w:t>
      </w:r>
      <w:r w:rsidR="000C7D4B">
        <w:t>that of</w:t>
      </w:r>
      <w:r w:rsidR="00360D1D">
        <w:t xml:space="preserve"> fossil fuels. </w:t>
      </w:r>
    </w:p>
    <w:p w14:paraId="700ED5B3" w14:textId="7966269A" w:rsidR="002D2893" w:rsidRDefault="00626DE1" w:rsidP="002D2893">
      <w:r>
        <w:t xml:space="preserve">In their 2019 study, </w:t>
      </w:r>
      <w:r w:rsidR="00665516">
        <w:t>Lea</w:t>
      </w:r>
      <w:r>
        <w:t>l Filho et al. discuss the challenges facing sustainab</w:t>
      </w:r>
      <w:r w:rsidR="00910586">
        <w:t xml:space="preserve">le development, suggesting that sustainability is restricted by </w:t>
      </w:r>
      <w:r w:rsidR="00AB323A">
        <w:t>lack of political commitment, unclear re</w:t>
      </w:r>
      <w:r w:rsidR="00726EBB">
        <w:t xml:space="preserve">sponsibilities and inadequate cooperation. </w:t>
      </w:r>
      <w:r w:rsidR="00CA6D85">
        <w:t xml:space="preserve">However, </w:t>
      </w:r>
      <w:r w:rsidR="00107746">
        <w:t xml:space="preserve">challenges applying to </w:t>
      </w:r>
      <w:r w:rsidR="007B4960">
        <w:t>MotoGP</w:t>
      </w:r>
      <w:r w:rsidR="003D5F5F">
        <w:t xml:space="preserve"> may</w:t>
      </w:r>
      <w:r w:rsidR="009775C3">
        <w:t xml:space="preserve"> differ from this, with proven cooperation between the FIM, Teams and Dorna, as well as </w:t>
      </w:r>
      <w:r w:rsidR="0068114E">
        <w:t>Dorna</w:t>
      </w:r>
      <w:r w:rsidR="00DA0FEA">
        <w:t xml:space="preserve"> showing </w:t>
      </w:r>
      <w:r w:rsidR="0068114E">
        <w:t xml:space="preserve">commitment to sustainability. </w:t>
      </w:r>
    </w:p>
    <w:p w14:paraId="79B9C4C7" w14:textId="6BBF3BC3" w:rsidR="009326C6" w:rsidRDefault="00A95439" w:rsidP="002D2893">
      <w:r>
        <w:t>A</w:t>
      </w:r>
      <w:r w:rsidR="009326C6">
        <w:t>s a global sport, with rounds a</w:t>
      </w:r>
      <w:r w:rsidR="00F54589">
        <w:t>cross</w:t>
      </w:r>
      <w:r w:rsidR="009326C6">
        <w:t xml:space="preserve"> the globe, </w:t>
      </w:r>
      <w:r w:rsidR="00481C40">
        <w:t>it is difficult to reduce the carbon footprint of the two biggest factors</w:t>
      </w:r>
      <w:r w:rsidR="00517A0D">
        <w:t xml:space="preserve">, </w:t>
      </w:r>
      <w:r w:rsidR="00DA4EB4">
        <w:t>shipping of materials and transportation of employees</w:t>
      </w:r>
      <w:r w:rsidR="00770693">
        <w:t>.</w:t>
      </w:r>
      <w:r w:rsidR="00DA4EB4">
        <w:t xml:space="preserve"> </w:t>
      </w:r>
      <w:r w:rsidR="00EE7656">
        <w:t xml:space="preserve">As discussed previously, Dorna have reduced </w:t>
      </w:r>
      <w:r w:rsidR="00873C09">
        <w:t xml:space="preserve">carbon footprint by having employees work remotely, however this </w:t>
      </w:r>
      <w:r w:rsidR="003A5773">
        <w:t>prospect is</w:t>
      </w:r>
      <w:r w:rsidR="0087384C">
        <w:t xml:space="preserve"> potentially</w:t>
      </w:r>
      <w:r w:rsidR="003A5773">
        <w:t xml:space="preserve"> </w:t>
      </w:r>
      <w:r w:rsidR="00873C09">
        <w:t xml:space="preserve">limited for </w:t>
      </w:r>
      <w:r w:rsidR="003A5773">
        <w:t xml:space="preserve">team staff. </w:t>
      </w:r>
      <w:r w:rsidR="00873C09">
        <w:t xml:space="preserve"> </w:t>
      </w:r>
      <w:r w:rsidR="00517A0D">
        <w:t xml:space="preserve">Moreover, reducing the </w:t>
      </w:r>
      <w:r w:rsidR="001336F9">
        <w:t xml:space="preserve">number of rounds or  removing some ‘flyaway’ rounds is also as unachievable, hence relying on </w:t>
      </w:r>
      <w:r w:rsidR="004D5E28">
        <w:t xml:space="preserve">the shipping/transport industry’s reduction of carbon emissions. </w:t>
      </w:r>
    </w:p>
    <w:p w14:paraId="5ED36C39" w14:textId="77777777" w:rsidR="00DA0FEA" w:rsidRPr="006F1BC1" w:rsidRDefault="00DA0FEA" w:rsidP="002D2893">
      <w:pPr>
        <w:rPr>
          <w:color w:val="FF0000"/>
        </w:rPr>
      </w:pPr>
    </w:p>
    <w:p w14:paraId="15DE6B2A" w14:textId="6F8B4A03" w:rsidR="00C7276D" w:rsidRPr="00693FEE" w:rsidRDefault="00F97567" w:rsidP="00F97567">
      <w:r w:rsidRPr="00F97567">
        <w:t>The challenges of sustainability in motorsport, particularly concerning the extensive resource and material consumption, stem from the industry's reliance on constant upgrades and the</w:t>
      </w:r>
      <w:r w:rsidR="00AD1A51">
        <w:t xml:space="preserve"> </w:t>
      </w:r>
      <w:r w:rsidRPr="00F97567">
        <w:t>use of short-life parts</w:t>
      </w:r>
      <w:r w:rsidR="00E77C6D">
        <w:t xml:space="preserve"> as discussed by Wood </w:t>
      </w:r>
      <w:r w:rsidR="00E77C6D">
        <w:rPr>
          <w:i/>
          <w:iCs/>
        </w:rPr>
        <w:t>(2011, p</w:t>
      </w:r>
      <w:r w:rsidR="00AD1A51">
        <w:rPr>
          <w:i/>
          <w:iCs/>
        </w:rPr>
        <w:t>.33)</w:t>
      </w:r>
      <w:r w:rsidR="00F27A84">
        <w:rPr>
          <w:i/>
          <w:iCs/>
        </w:rPr>
        <w:t>.</w:t>
      </w:r>
      <w:r w:rsidR="00AD1A51">
        <w:rPr>
          <w:i/>
          <w:iCs/>
        </w:rPr>
        <w:t xml:space="preserve"> </w:t>
      </w:r>
      <w:r w:rsidRPr="00F97567">
        <w:t>Motorsport's sustainability is hampered by the need for frequent replacements and updates of vehicle components, which are often made from rare or specialized materials. These practices not only contribute to significant material use but also generate substantial waste, as parts quickly become obsolete due to the rapid pace of technological advancements and competitive pressures for performance enhancements. The sector's drive for constant improvement, while beneficial for competition and innovation, clashes with sustainable practices,</w:t>
      </w:r>
      <w:r w:rsidR="00D916F9">
        <w:t xml:space="preserve"> as supported by </w:t>
      </w:r>
      <w:r w:rsidR="00296D85">
        <w:t xml:space="preserve"> Traverso et al.</w:t>
      </w:r>
      <w:r w:rsidR="00D916F9">
        <w:t>’s</w:t>
      </w:r>
      <w:r w:rsidR="00296D85">
        <w:t xml:space="preserve"> </w:t>
      </w:r>
      <w:r w:rsidR="00296D85" w:rsidRPr="00D916F9">
        <w:rPr>
          <w:i/>
          <w:iCs/>
        </w:rPr>
        <w:t>(2015, p.13)</w:t>
      </w:r>
      <w:r w:rsidR="00D916F9">
        <w:rPr>
          <w:i/>
          <w:iCs/>
        </w:rPr>
        <w:t xml:space="preserve">  </w:t>
      </w:r>
      <w:r w:rsidR="00D916F9">
        <w:t xml:space="preserve">claim of reduced </w:t>
      </w:r>
      <w:r w:rsidR="0091408B">
        <w:t xml:space="preserve">material consumption being beneficial for the environment. </w:t>
      </w:r>
      <w:r w:rsidRPr="00F97567">
        <w:t>H</w:t>
      </w:r>
      <w:r w:rsidR="00693FEE">
        <w:t xml:space="preserve">ence </w:t>
      </w:r>
      <w:r w:rsidRPr="00F97567">
        <w:t xml:space="preserve">the challenge </w:t>
      </w:r>
      <w:r w:rsidR="00693FEE">
        <w:t>for reducing resource and material consumption is significant</w:t>
      </w:r>
      <w:r w:rsidR="002E4EE0">
        <w:t xml:space="preserve">, </w:t>
      </w:r>
      <w:r w:rsidRPr="00F97567">
        <w:t xml:space="preserve">as </w:t>
      </w:r>
      <w:r w:rsidR="00693FEE">
        <w:t>balance must be met</w:t>
      </w:r>
      <w:r w:rsidRPr="00F97567">
        <w:t xml:space="preserve"> between the competitive edge that comes from rapid technological development and the imperative for environmental sustainability.</w:t>
      </w:r>
    </w:p>
    <w:p w14:paraId="7C14A7FD" w14:textId="4BE4BC29" w:rsidR="006A1A98" w:rsidRDefault="006A1A98" w:rsidP="000646A9">
      <w:pPr>
        <w:pStyle w:val="ListParagraph"/>
        <w:numPr>
          <w:ilvl w:val="0"/>
          <w:numId w:val="4"/>
        </w:numPr>
        <w:spacing w:line="259" w:lineRule="auto"/>
      </w:pPr>
      <w:r>
        <w:br w:type="page"/>
      </w:r>
    </w:p>
    <w:p w14:paraId="4C41F426" w14:textId="61B03EE3" w:rsidR="006A1A98" w:rsidRDefault="005B6BEE" w:rsidP="006A1A98">
      <w:pPr>
        <w:pStyle w:val="Heading1"/>
      </w:pPr>
      <w:bookmarkStart w:id="6" w:name="_Toc160801464"/>
      <w:r>
        <w:lastRenderedPageBreak/>
        <w:t>Future Outlook</w:t>
      </w:r>
      <w:bookmarkEnd w:id="6"/>
    </w:p>
    <w:p w14:paraId="729AE27F" w14:textId="2A898879" w:rsidR="00715989" w:rsidRPr="005072BA" w:rsidRDefault="00715989" w:rsidP="00715989">
      <w:r>
        <w:t xml:space="preserve">The future </w:t>
      </w:r>
      <w:r w:rsidR="005072BA">
        <w:t>outlook</w:t>
      </w:r>
      <w:r>
        <w:t xml:space="preserve"> </w:t>
      </w:r>
      <w:r w:rsidR="00C23E75">
        <w:t>ensures use of synthetic fuels</w:t>
      </w:r>
      <w:r w:rsidR="005072BA">
        <w:t xml:space="preserve"> as promised by MotoGP in 2021</w:t>
      </w:r>
      <w:r w:rsidR="00A00A6B">
        <w:t>. As discussed previously this would result in</w:t>
      </w:r>
      <w:r w:rsidR="005072BA">
        <w:t xml:space="preserve"> </w:t>
      </w:r>
      <w:r w:rsidR="00A00A6B">
        <w:t>n</w:t>
      </w:r>
      <w:r w:rsidR="00576159">
        <w:t>et zero</w:t>
      </w:r>
      <w:r w:rsidR="00A00A6B">
        <w:t xml:space="preserve"> emissions yet with a</w:t>
      </w:r>
      <w:r w:rsidR="00576159">
        <w:t xml:space="preserve"> </w:t>
      </w:r>
      <w:r w:rsidR="00A00A6B">
        <w:t>h</w:t>
      </w:r>
      <w:r w:rsidR="00576159">
        <w:t xml:space="preserve">igher </w:t>
      </w:r>
      <w:r w:rsidR="00A00A6B">
        <w:t>c</w:t>
      </w:r>
      <w:r w:rsidR="00576159">
        <w:t>ost</w:t>
      </w:r>
      <w:r w:rsidR="00D30CAD">
        <w:t xml:space="preserve"> compared to fossil fuels</w:t>
      </w:r>
      <w:r w:rsidR="00576159">
        <w:t>.</w:t>
      </w:r>
      <w:r w:rsidR="000763EF">
        <w:t xml:space="preserve"> Moreover, as seen in figure 2, the racing motorcycles make up a small proportion of MotoGP’s total CO2 emissions. </w:t>
      </w:r>
      <w:r w:rsidR="00181D04">
        <w:t xml:space="preserve">However, this is still an important step forward, no matter how small the effect. </w:t>
      </w:r>
      <w:r w:rsidR="00576159">
        <w:t xml:space="preserve"> </w:t>
      </w:r>
    </w:p>
    <w:p w14:paraId="4D9B76C7" w14:textId="643CBD6C" w:rsidR="00C23E75" w:rsidRDefault="00775D3A" w:rsidP="00715989">
      <w:r>
        <w:t>Moreover, t</w:t>
      </w:r>
      <w:r w:rsidR="00C23E75">
        <w:t xml:space="preserve">here are </w:t>
      </w:r>
      <w:r>
        <w:t xml:space="preserve">plans for the next big regulation change in MotoGP in 2027 to </w:t>
      </w:r>
      <w:r w:rsidR="00C23E75">
        <w:t>reduc</w:t>
      </w:r>
      <w:r>
        <w:t>e</w:t>
      </w:r>
      <w:r w:rsidR="00C23E75">
        <w:t xml:space="preserve"> </w:t>
      </w:r>
      <w:r>
        <w:t xml:space="preserve">the </w:t>
      </w:r>
      <w:r w:rsidR="00C23E75">
        <w:t>capacity of MotoGP bikes from the current 1000cc to 850cc.</w:t>
      </w:r>
      <w:r w:rsidR="009B3A23">
        <w:t xml:space="preserve"> </w:t>
      </w:r>
      <w:r w:rsidR="009B2B1D">
        <w:t xml:space="preserve">The main objective </w:t>
      </w:r>
      <w:r w:rsidR="00C271FA">
        <w:t xml:space="preserve">of this change is safety, to reduce the speeds the motorcycles are reaching. </w:t>
      </w:r>
      <w:r w:rsidR="002113F3">
        <w:t>As a bi-product of this</w:t>
      </w:r>
      <w:r w:rsidR="004D212E">
        <w:t xml:space="preserve"> capacity reduction is lower fuel consumption and </w:t>
      </w:r>
      <w:r w:rsidR="007E476C">
        <w:t xml:space="preserve">hence </w:t>
      </w:r>
      <w:r w:rsidR="004D212E">
        <w:t xml:space="preserve">fewer </w:t>
      </w:r>
      <w:r w:rsidR="00BD54F1">
        <w:t xml:space="preserve">carbon </w:t>
      </w:r>
      <w:r w:rsidR="004D212E">
        <w:t>emissions</w:t>
      </w:r>
      <w:r w:rsidR="00CC6839">
        <w:t>, as supported by Geo</w:t>
      </w:r>
      <w:r w:rsidR="00EB0C72">
        <w:t xml:space="preserve">rghiiu </w:t>
      </w:r>
      <w:r w:rsidR="00EB0C72" w:rsidRPr="00DF26FF">
        <w:rPr>
          <w:i/>
          <w:iCs/>
        </w:rPr>
        <w:t>(201</w:t>
      </w:r>
      <w:r w:rsidR="00DF26FF" w:rsidRPr="00DF26FF">
        <w:rPr>
          <w:i/>
          <w:iCs/>
        </w:rPr>
        <w:t>5</w:t>
      </w:r>
      <w:r w:rsidR="00EB0C72" w:rsidRPr="00DF26FF">
        <w:rPr>
          <w:i/>
          <w:iCs/>
        </w:rPr>
        <w:t>, p.230)</w:t>
      </w:r>
      <w:r w:rsidR="00041F25">
        <w:rPr>
          <w:i/>
          <w:iCs/>
          <w:color w:val="FF0000"/>
        </w:rPr>
        <w:t xml:space="preserve">. </w:t>
      </w:r>
      <w:r w:rsidR="00BD2451">
        <w:t xml:space="preserve">Moreover, with smaller engines, they are </w:t>
      </w:r>
      <w:r w:rsidR="00BD54F1">
        <w:t xml:space="preserve">more </w:t>
      </w:r>
      <w:r w:rsidR="00BD2451">
        <w:t>likely to be consistently running at a higher rpm, leaving less time for NOx production</w:t>
      </w:r>
      <w:r w:rsidR="00185036">
        <w:t xml:space="preserve"> as stated by Duffy and Mellor </w:t>
      </w:r>
      <w:r w:rsidR="00185036" w:rsidRPr="00513A92">
        <w:rPr>
          <w:i/>
          <w:iCs/>
        </w:rPr>
        <w:t xml:space="preserve">(1998, p.1004-1005) </w:t>
      </w:r>
      <w:r w:rsidR="00185036">
        <w:t xml:space="preserve">and Luo et al. </w:t>
      </w:r>
      <w:r w:rsidR="00185036" w:rsidRPr="00513A92">
        <w:rPr>
          <w:i/>
          <w:iCs/>
        </w:rPr>
        <w:t>(2019, p.17100)</w:t>
      </w:r>
      <w:r w:rsidR="00185036">
        <w:t xml:space="preserve"> . </w:t>
      </w:r>
      <w:r w:rsidR="00C07785">
        <w:t xml:space="preserve">This is likely only a small reduction and only applies to the MotoGP bikes, ignoring </w:t>
      </w:r>
      <w:r w:rsidR="00E40109">
        <w:t xml:space="preserve">Moto2 and Moto3. </w:t>
      </w:r>
    </w:p>
    <w:p w14:paraId="0427E475" w14:textId="1FBD4161" w:rsidR="008D0753" w:rsidRDefault="008D0753" w:rsidP="00715989">
      <w:pPr>
        <w:rPr>
          <w:i/>
          <w:iCs/>
        </w:rPr>
      </w:pPr>
      <w:r>
        <w:t>A</w:t>
      </w:r>
      <w:r w:rsidR="002D718A">
        <w:t xml:space="preserve"> 2023 article by Ricardo discusses how sustainability will shape the future of motorsport</w:t>
      </w:r>
      <w:r w:rsidR="000A6D72">
        <w:t>, mentioning ESG credentials becoming a necessity for supplie</w:t>
      </w:r>
      <w:r w:rsidR="00972CA0">
        <w:t>r</w:t>
      </w:r>
      <w:r w:rsidR="000A6D72">
        <w:t>s</w:t>
      </w:r>
      <w:r w:rsidR="007616DA">
        <w:t xml:space="preserve">, as well as noting formula E’s removal of public parking to encourage public transport and Extreme E </w:t>
      </w:r>
      <w:r w:rsidR="00972CA0">
        <w:t xml:space="preserve">not allowing spectators. Although not an academic reference, Ricardo is a reputable source </w:t>
      </w:r>
      <w:r w:rsidR="00CB33AF">
        <w:t>and hence provides some</w:t>
      </w:r>
      <w:r w:rsidR="00067758">
        <w:t xml:space="preserve"> good</w:t>
      </w:r>
      <w:r w:rsidR="00CB33AF">
        <w:t xml:space="preserve"> insight into how motorsport may change in the future.</w:t>
      </w:r>
      <w:r w:rsidR="00801F0E">
        <w:t xml:space="preserve"> Both Formula E and Extreme E show methods beneficial to the environmental impact of </w:t>
      </w:r>
      <w:r w:rsidR="00B56D29">
        <w:t xml:space="preserve">race events and if applied to MotoGP would </w:t>
      </w:r>
      <w:r w:rsidR="004B405A">
        <w:t>significantly reduce CO2 emissions from transportation of fans</w:t>
      </w:r>
      <w:r w:rsidR="00D463C2">
        <w:t xml:space="preserve">, currently contributing over 7% of CO2 emissions in 2022. </w:t>
      </w:r>
      <w:r w:rsidR="00D463C2">
        <w:rPr>
          <w:i/>
          <w:iCs/>
        </w:rPr>
        <w:t xml:space="preserve">(Dorna, 2022a, p.77) </w:t>
      </w:r>
    </w:p>
    <w:p w14:paraId="3A8DDBF6" w14:textId="1074219C" w:rsidR="00D51E81" w:rsidRDefault="00D51E81" w:rsidP="003257C6">
      <w:r>
        <w:t>As discussed previously, there is no strategy in place for the reduction of noise.</w:t>
      </w:r>
      <w:r w:rsidR="0044527B">
        <w:t xml:space="preserve"> A 1999 study by Snellgrove </w:t>
      </w:r>
      <w:r w:rsidR="0044527B">
        <w:rPr>
          <w:i/>
          <w:iCs/>
        </w:rPr>
        <w:t xml:space="preserve">(p.28) </w:t>
      </w:r>
      <w:r w:rsidR="0044527B">
        <w:t xml:space="preserve">discusses the use of track furniture </w:t>
      </w:r>
      <w:r w:rsidR="00002EF0">
        <w:t xml:space="preserve">to confine noise to within track boundaries, namely using ‘safety backs’ (tyre walls back with earth) and </w:t>
      </w:r>
      <w:r w:rsidR="00631B1C">
        <w:t xml:space="preserve">slightly angled back boundary fence boardings to achieve good results. </w:t>
      </w:r>
      <w:r w:rsidR="00BF6179">
        <w:t xml:space="preserve">This type of solution is likely much more </w:t>
      </w:r>
      <w:r w:rsidR="001B0C53">
        <w:t xml:space="preserve">agreeable to teams instead of inflicting noise limits to bikes, which would restrict performance and add weight. </w:t>
      </w:r>
    </w:p>
    <w:p w14:paraId="21629FEC" w14:textId="2EBEC012" w:rsidR="00C34708" w:rsidRDefault="00B53508" w:rsidP="003257C6">
      <w:r>
        <w:t>Further restriction on number of component replacements could be brought in to reduce the excessive resource and material consumption of short life parts</w:t>
      </w:r>
      <w:r w:rsidR="00522F37">
        <w:t xml:space="preserve">. Moreover, more sustainable materials and production methods need investigation </w:t>
      </w:r>
      <w:r w:rsidR="00B8562C">
        <w:t>to reduce the impact</w:t>
      </w:r>
      <w:r w:rsidR="007B191C">
        <w:t xml:space="preserve">. </w:t>
      </w:r>
      <w:r w:rsidR="00C32AF1">
        <w:t xml:space="preserve">MotoGP’s </w:t>
      </w:r>
      <w:r w:rsidR="00C32AF1">
        <w:rPr>
          <w:i/>
          <w:iCs/>
        </w:rPr>
        <w:t xml:space="preserve">(2024b) </w:t>
      </w:r>
      <w:r w:rsidR="00C32AF1">
        <w:t xml:space="preserve">recent video on the integration of sustainable fuels suggest </w:t>
      </w:r>
      <w:r w:rsidR="007518D8">
        <w:t xml:space="preserve">further steps from 2027 to increase engine efficiency as well as </w:t>
      </w:r>
      <w:r w:rsidR="003257C6">
        <w:t xml:space="preserve">pushing for tyres to be made from more recyclable materials. </w:t>
      </w:r>
      <w:r w:rsidR="00C34708">
        <w:br w:type="page"/>
      </w:r>
    </w:p>
    <w:p w14:paraId="1335CD58" w14:textId="12871AE6" w:rsidR="0047346D" w:rsidRDefault="008D1DCA" w:rsidP="00032313">
      <w:pPr>
        <w:pStyle w:val="Heading1"/>
      </w:pPr>
      <w:bookmarkStart w:id="7" w:name="_Toc160801465"/>
      <w:r>
        <w:lastRenderedPageBreak/>
        <w:t>Conclusion</w:t>
      </w:r>
      <w:bookmarkEnd w:id="7"/>
    </w:p>
    <w:p w14:paraId="6E73EA71" w14:textId="77777777" w:rsidR="00C766A7" w:rsidRDefault="00A22D57" w:rsidP="00C766A7">
      <w:r>
        <w:t xml:space="preserve">Due to limited data it is difficult to see any </w:t>
      </w:r>
      <w:r w:rsidR="00D929B9">
        <w:t>progression in the reduction of CO2 emissions from MotoGP. The limitations of comparing CO2 emissions in one circuit in 2021 to a whole season in 2022</w:t>
      </w:r>
      <w:r w:rsidR="00682BEF">
        <w:t xml:space="preserve"> have been discussed, hence unable to take any definitive conclusions from any differences between the two years. </w:t>
      </w:r>
      <w:r w:rsidR="00EF4046">
        <w:t>Future work would be beneficial once Dorna’s 2023 ESG report is released to effectively compare CO2 emissions</w:t>
      </w:r>
      <w:r w:rsidR="00591B9F">
        <w:t xml:space="preserve"> between seasons. </w:t>
      </w:r>
      <w:r w:rsidR="00AA6B63">
        <w:t>Moreover, limited strategy is in place for other issues such as noise and ground protection</w:t>
      </w:r>
      <w:r w:rsidR="00C766A7">
        <w:t>.</w:t>
      </w:r>
    </w:p>
    <w:p w14:paraId="50EFF40E" w14:textId="77777777" w:rsidR="008E5E1F" w:rsidRDefault="00C766A7" w:rsidP="00C766A7">
      <w:r>
        <w:t>Although ISO 20121 accreditation has been achieved</w:t>
      </w:r>
      <w:r w:rsidR="007D028C">
        <w:t>, there is no specific quantitative targets for improving sustainability of the sport</w:t>
      </w:r>
      <w:r w:rsidR="00E011A9">
        <w:t xml:space="preserve">. </w:t>
      </w:r>
      <w:r w:rsidR="00631035">
        <w:t>However, decent steps</w:t>
      </w:r>
      <w:r w:rsidR="008D2441">
        <w:t xml:space="preserve">, with varying initiatives, </w:t>
      </w:r>
      <w:r w:rsidR="00631035">
        <w:t>have been taken to work towards multiple of the United Nations Sustainable Development Goals.</w:t>
      </w:r>
    </w:p>
    <w:p w14:paraId="0F6D9F2A" w14:textId="524E302C" w:rsidR="009D6048" w:rsidRDefault="008E5E1F" w:rsidP="00C766A7">
      <w:r>
        <w:t>It could be argued Dorna, the FIM and MotoGP are not doing enough to work towards a sustainable future, however with significant challenges</w:t>
      </w:r>
      <w:r w:rsidR="000879F8">
        <w:t xml:space="preserve">, this becomes difficult. </w:t>
      </w:r>
      <w:r w:rsidR="00A5241C">
        <w:t xml:space="preserve">The amount of employee travel and shipping of materials </w:t>
      </w:r>
      <w:r w:rsidR="004D43B2">
        <w:t xml:space="preserve">would be the most effective method to reducing CO2 emissions. However, </w:t>
      </w:r>
      <w:r w:rsidR="00F52817">
        <w:t xml:space="preserve">a more sustainable solution for this is out of their control without </w:t>
      </w:r>
      <w:r w:rsidR="00F46DF2">
        <w:t xml:space="preserve">significant change of the MotoGP calendar, which could result in extensive backlash from fans. </w:t>
      </w:r>
      <w:r w:rsidR="00E4146F">
        <w:t xml:space="preserve">Moreover, an admirable change is seen with the </w:t>
      </w:r>
      <w:r w:rsidR="005954EF">
        <w:t xml:space="preserve">introduction of sustainable fuels, despite their </w:t>
      </w:r>
      <w:r w:rsidR="00A95439">
        <w:t>increased</w:t>
      </w:r>
      <w:r w:rsidR="005954EF">
        <w:t xml:space="preserve"> </w:t>
      </w:r>
      <w:r w:rsidR="00DD4173">
        <w:t xml:space="preserve">cost and complexity of production. </w:t>
      </w:r>
      <w:r w:rsidR="008223CA">
        <w:t xml:space="preserve">A sustainability challenge is also present in the consumption of materials and resources for the production of short-life and constantly evolving components. </w:t>
      </w:r>
    </w:p>
    <w:p w14:paraId="52BAB021" w14:textId="5C57F518" w:rsidR="00F61B14" w:rsidRDefault="00D345D6" w:rsidP="00C766A7">
      <w:r>
        <w:t xml:space="preserve">For the future, MotoGP </w:t>
      </w:r>
      <w:r w:rsidR="00D34E73">
        <w:t xml:space="preserve">will benefit sustainability through use of synthetic fuels and </w:t>
      </w:r>
      <w:r w:rsidR="006D1E05">
        <w:t xml:space="preserve">the likely reduction of engine capacity in 2027. </w:t>
      </w:r>
      <w:r w:rsidR="005B5C2A">
        <w:t>Changing fan transportation to</w:t>
      </w:r>
      <w:r w:rsidR="00DC5ADD">
        <w:t xml:space="preserve"> reduce emissions was discussed, either through public transport </w:t>
      </w:r>
      <w:r w:rsidR="004E3336">
        <w:t xml:space="preserve">to the circuit </w:t>
      </w:r>
      <w:r w:rsidR="00DC5ADD">
        <w:t xml:space="preserve">or disallowing spectators. </w:t>
      </w:r>
      <w:r w:rsidR="004E3336">
        <w:t>Potential solutions to noise pollution without affecting the motorbikes were suggested</w:t>
      </w:r>
      <w:r w:rsidR="008C01FF">
        <w:t xml:space="preserve">, involving carefully placed track furniture to constrain noise inside the circuit. </w:t>
      </w:r>
      <w:r w:rsidR="00625F17">
        <w:t xml:space="preserve">Plans are suggested to be in place to improve </w:t>
      </w:r>
      <w:r w:rsidR="005804B6">
        <w:t xml:space="preserve">engine efficiency and increased usage of more recyclable materials from 2027.  </w:t>
      </w:r>
      <w:r w:rsidR="008D1DCA">
        <w:br w:type="page"/>
      </w:r>
    </w:p>
    <w:p w14:paraId="48349B48" w14:textId="3AE0B129" w:rsidR="008D1DCA" w:rsidRDefault="008D1DCA" w:rsidP="008D1DCA">
      <w:pPr>
        <w:pStyle w:val="Heading1"/>
      </w:pPr>
      <w:bookmarkStart w:id="8" w:name="_Toc160801466"/>
      <w:r>
        <w:lastRenderedPageBreak/>
        <w:t>References</w:t>
      </w:r>
      <w:bookmarkEnd w:id="8"/>
    </w:p>
    <w:p w14:paraId="1ADBD02A" w14:textId="7888E5F5" w:rsidR="00F17D8A" w:rsidRPr="00F17D8A" w:rsidRDefault="00F17D8A" w:rsidP="00F17D8A">
      <w:r w:rsidRPr="00F17D8A">
        <w:t xml:space="preserve">Agus, P., Ratna </w:t>
      </w:r>
      <w:proofErr w:type="spellStart"/>
      <w:r w:rsidRPr="00F17D8A">
        <w:t>Setyowati</w:t>
      </w:r>
      <w:proofErr w:type="spellEnd"/>
      <w:r w:rsidRPr="00F17D8A">
        <w:t xml:space="preserve">, P., Arman, H.A., </w:t>
      </w:r>
      <w:proofErr w:type="spellStart"/>
      <w:r w:rsidRPr="00F17D8A">
        <w:t>Masduki</w:t>
      </w:r>
      <w:proofErr w:type="spellEnd"/>
      <w:r w:rsidRPr="00F17D8A">
        <w:t xml:space="preserve">, A., Innocentius, B., </w:t>
      </w:r>
      <w:proofErr w:type="spellStart"/>
      <w:r w:rsidRPr="00F17D8A">
        <w:t>Priyono</w:t>
      </w:r>
      <w:proofErr w:type="spellEnd"/>
      <w:r w:rsidRPr="00F17D8A">
        <w:t xml:space="preserve"> Budi, S. and Otta Breman, S., </w:t>
      </w:r>
      <w:r>
        <w:t>(</w:t>
      </w:r>
      <w:r w:rsidRPr="00F17D8A">
        <w:t>2020</w:t>
      </w:r>
      <w:r>
        <w:t>)</w:t>
      </w:r>
      <w:r w:rsidRPr="00F17D8A">
        <w:t xml:space="preserve"> </w:t>
      </w:r>
      <w:r w:rsidRPr="00F17D8A">
        <w:rPr>
          <w:i/>
          <w:iCs/>
        </w:rPr>
        <w:t>The effect of implementation integrated management system ISO 9001, ISO 14001, ISO 22000 and ISO 45001 on Indonesian food industries performance.</w:t>
      </w:r>
      <w:r w:rsidRPr="00F17D8A">
        <w:t> Test Engineering and Management, 82(20), pp.14054-14069.</w:t>
      </w:r>
    </w:p>
    <w:p w14:paraId="7F1AD98E" w14:textId="03E52EC1" w:rsidR="00B16777" w:rsidRPr="00B16777" w:rsidRDefault="00B16777" w:rsidP="00B16777">
      <w:r w:rsidRPr="00B16777">
        <w:t>Arvidsson, S., &amp; Dumay, J. (2022). </w:t>
      </w:r>
      <w:r w:rsidRPr="00B16777">
        <w:rPr>
          <w:i/>
          <w:iCs/>
        </w:rPr>
        <w:t>Corporate ESG reporting quantity, quality and performance: Where to now for environmental policy and practice?</w:t>
      </w:r>
      <w:r w:rsidRPr="00B16777">
        <w:t> Business Strategy and the Environment, 31(3), </w:t>
      </w:r>
      <w:r>
        <w:t xml:space="preserve">pp. </w:t>
      </w:r>
      <w:r w:rsidRPr="00B16777">
        <w:t>1091–1110.</w:t>
      </w:r>
    </w:p>
    <w:p w14:paraId="4CB530B2" w14:textId="3BDC7C82" w:rsidR="00AA49CC" w:rsidRDefault="00AA49CC" w:rsidP="00AA49CC">
      <w:r w:rsidRPr="00AA49CC">
        <w:t xml:space="preserve">Brundtland, G.H. (1987) </w:t>
      </w:r>
      <w:r w:rsidRPr="00AA49CC">
        <w:rPr>
          <w:i/>
          <w:iCs/>
        </w:rPr>
        <w:t>Our Common Future: Report of the World Commission on Environment and Development.</w:t>
      </w:r>
      <w:r w:rsidRPr="00AA49CC">
        <w:t xml:space="preserve"> Geneva, UN-Do</w:t>
      </w:r>
      <w:r w:rsidR="0010268E">
        <w:t>c</w:t>
      </w:r>
      <w:r w:rsidRPr="00AA49CC">
        <w:t>ument A/42/427.</w:t>
      </w:r>
    </w:p>
    <w:p w14:paraId="4AFC7F6F" w14:textId="3C40D686" w:rsidR="00487C57" w:rsidRPr="00487C57" w:rsidRDefault="00487C57" w:rsidP="00487C57">
      <w:r w:rsidRPr="00487C57">
        <w:t xml:space="preserve">Crackel, L. and Small, M., </w:t>
      </w:r>
      <w:r>
        <w:t>(</w:t>
      </w:r>
      <w:r w:rsidRPr="00487C57">
        <w:t>2010</w:t>
      </w:r>
      <w:r>
        <w:t>)</w:t>
      </w:r>
      <w:r w:rsidRPr="00487C57">
        <w:t xml:space="preserve"> </w:t>
      </w:r>
      <w:r w:rsidRPr="00487C57">
        <w:rPr>
          <w:i/>
          <w:iCs/>
        </w:rPr>
        <w:t>ISO 39001: a new tool for safe systems.</w:t>
      </w:r>
      <w:r w:rsidRPr="00487C57">
        <w:t xml:space="preserve"> In Insurance Commission of WA Road Safety Forum.</w:t>
      </w:r>
    </w:p>
    <w:p w14:paraId="32A991AF" w14:textId="68CC9125" w:rsidR="008A7DAB" w:rsidRPr="00AA49CC" w:rsidRDefault="008A7DAB" w:rsidP="00AA49CC">
      <w:r>
        <w:t xml:space="preserve">Dorna (2021) </w:t>
      </w:r>
      <w:r>
        <w:rPr>
          <w:i/>
          <w:iCs/>
        </w:rPr>
        <w:t xml:space="preserve">ESG Annual Report, </w:t>
      </w:r>
      <w:r>
        <w:t xml:space="preserve">[Online], Available at: </w:t>
      </w:r>
      <w:hyperlink r:id="rId13" w:history="1">
        <w:r w:rsidRPr="002606B7">
          <w:rPr>
            <w:rStyle w:val="Hyperlink"/>
          </w:rPr>
          <w:t>https://www.dorna.com/wp-content/uploads/2022/07/ESG_Annual_Report_2021.pdf</w:t>
        </w:r>
      </w:hyperlink>
      <w:r>
        <w:t>, Accessed on: 07/02/2024</w:t>
      </w:r>
    </w:p>
    <w:p w14:paraId="3A307FF4" w14:textId="7B689E0B" w:rsidR="00025EDC" w:rsidRDefault="00025EDC" w:rsidP="00025EDC">
      <w:r>
        <w:t>Dorna (2022</w:t>
      </w:r>
      <w:r w:rsidR="00D42D36">
        <w:t>a</w:t>
      </w:r>
      <w:r>
        <w:t xml:space="preserve">) </w:t>
      </w:r>
      <w:r w:rsidRPr="00025EDC">
        <w:rPr>
          <w:i/>
          <w:iCs/>
        </w:rPr>
        <w:t>ESG Annual Report</w:t>
      </w:r>
      <w:r>
        <w:rPr>
          <w:i/>
          <w:iCs/>
        </w:rPr>
        <w:t>,</w:t>
      </w:r>
      <w:r>
        <w:t xml:space="preserve"> [Online], Available at: </w:t>
      </w:r>
      <w:hyperlink r:id="rId14" w:anchor="page=1" w:history="1">
        <w:r w:rsidR="00BB55DF" w:rsidRPr="002606B7">
          <w:rPr>
            <w:rStyle w:val="Hyperlink"/>
          </w:rPr>
          <w:t>https://publications.dorna.com/.esg_annualreport2022/?_ga=2.76999708.806036197.1695907643-730965176.1695394320#page=1</w:t>
        </w:r>
      </w:hyperlink>
      <w:r w:rsidR="00BB55DF">
        <w:t xml:space="preserve">, </w:t>
      </w:r>
      <w:r>
        <w:t>Accessed on: 07/02/2024</w:t>
      </w:r>
    </w:p>
    <w:p w14:paraId="3079A041" w14:textId="284BB4ED" w:rsidR="008A7DAB" w:rsidRDefault="008A7DAB" w:rsidP="00025EDC">
      <w:r>
        <w:t>Dorna (2022</w:t>
      </w:r>
      <w:r w:rsidR="00D42D36">
        <w:t>b</w:t>
      </w:r>
      <w:r>
        <w:t xml:space="preserve">) </w:t>
      </w:r>
      <w:r>
        <w:rPr>
          <w:i/>
          <w:iCs/>
        </w:rPr>
        <w:t xml:space="preserve">ISO 20121 Sustainability Report, </w:t>
      </w:r>
      <w:r>
        <w:t xml:space="preserve">[Online], Available at: </w:t>
      </w:r>
      <w:hyperlink r:id="rId15" w:history="1">
        <w:r w:rsidRPr="00FE71D4">
          <w:rPr>
            <w:rStyle w:val="Hyperlink"/>
          </w:rPr>
          <w:t>https://www.dorna.com/sustainability/</w:t>
        </w:r>
      </w:hyperlink>
      <w:r>
        <w:t xml:space="preserve">, Accessed on: </w:t>
      </w:r>
      <w:r w:rsidR="00307C8F">
        <w:t>13/02/2024.</w:t>
      </w:r>
    </w:p>
    <w:p w14:paraId="372F45F8" w14:textId="13AE521D" w:rsidR="007E5955" w:rsidRPr="000F3FF5" w:rsidRDefault="007E5955" w:rsidP="00025EDC">
      <w:r>
        <w:t>Dorna (2022</w:t>
      </w:r>
      <w:r w:rsidR="00D42D36">
        <w:t>c</w:t>
      </w:r>
      <w:r>
        <w:t xml:space="preserve">) </w:t>
      </w:r>
      <w:r>
        <w:rPr>
          <w:i/>
          <w:iCs/>
        </w:rPr>
        <w:t>Sustainable Development Policy ISO 20121</w:t>
      </w:r>
      <w:r w:rsidR="000F3FF5">
        <w:rPr>
          <w:i/>
          <w:iCs/>
        </w:rPr>
        <w:t>: Dorna Sports S.L. as organizer of the MotoGP events</w:t>
      </w:r>
      <w:r w:rsidR="000F3FF5">
        <w:t xml:space="preserve">, Available at: </w:t>
      </w:r>
      <w:hyperlink r:id="rId16" w:history="1">
        <w:r w:rsidR="00725970" w:rsidRPr="00906DCE">
          <w:rPr>
            <w:rStyle w:val="Hyperlink"/>
          </w:rPr>
          <w:t>https://www.dorna.com/wp-content/uploads/2022/06/Sustainable-development-policy-ISO-20121-.pdf</w:t>
        </w:r>
      </w:hyperlink>
      <w:r w:rsidR="00725970">
        <w:t>, Accessed on: 07/03/2024</w:t>
      </w:r>
    </w:p>
    <w:p w14:paraId="14255375" w14:textId="7C11CFAD" w:rsidR="00307C8F" w:rsidRDefault="00307C8F" w:rsidP="00025EDC">
      <w:r w:rsidRPr="00307C8F">
        <w:t xml:space="preserve">Doytchev, B., </w:t>
      </w:r>
      <w:r>
        <w:t>(</w:t>
      </w:r>
      <w:r w:rsidRPr="00307C8F">
        <w:t>2019</w:t>
      </w:r>
      <w:r>
        <w:t>)</w:t>
      </w:r>
      <w:r w:rsidRPr="00307C8F">
        <w:t xml:space="preserve"> </w:t>
      </w:r>
      <w:r w:rsidRPr="00307C8F">
        <w:rPr>
          <w:i/>
          <w:iCs/>
        </w:rPr>
        <w:t>IMPACT OF AUTOMOTIVE AND MOTORCYCLE SPORT ON THE ENVIRONMENT. </w:t>
      </w:r>
      <w:r w:rsidRPr="00307C8F">
        <w:t>Trakia Journal of Sciences, 17(1), pp.860-863.</w:t>
      </w:r>
    </w:p>
    <w:p w14:paraId="59806D4E" w14:textId="7A50073A" w:rsidR="001B44FD" w:rsidRDefault="001B44FD" w:rsidP="00025EDC">
      <w:r w:rsidRPr="006D3E43">
        <w:t xml:space="preserve">Duffy, K.P. and Mellor, A.M., </w:t>
      </w:r>
      <w:r>
        <w:t>(</w:t>
      </w:r>
      <w:r w:rsidRPr="006D3E43">
        <w:t>1998</w:t>
      </w:r>
      <w:r>
        <w:t>)</w:t>
      </w:r>
      <w:r w:rsidRPr="006D3E43">
        <w:t xml:space="preserve"> </w:t>
      </w:r>
      <w:r w:rsidRPr="006D3E43">
        <w:rPr>
          <w:i/>
          <w:iCs/>
        </w:rPr>
        <w:t xml:space="preserve">Further developments on a characteristic time model for NOx emissions from diesel engines. </w:t>
      </w:r>
      <w:r w:rsidRPr="006D3E43">
        <w:t>SAE Transactions, pp.998-1015.</w:t>
      </w:r>
    </w:p>
    <w:p w14:paraId="06D32D2B" w14:textId="1E5133D8" w:rsidR="00DF26FF" w:rsidRPr="00DF26FF" w:rsidRDefault="00DF26FF" w:rsidP="00DF26FF">
      <w:r w:rsidRPr="00DF26FF">
        <w:t>Gheorghiu, V., 2015. </w:t>
      </w:r>
      <w:r w:rsidRPr="00DF26FF">
        <w:rPr>
          <w:i/>
          <w:iCs/>
        </w:rPr>
        <w:t>Ultra-downsizing of internal combustion engines </w:t>
      </w:r>
      <w:r w:rsidRPr="00DF26FF">
        <w:t>(No. 2015-01-1252). SAE Technical Paper.</w:t>
      </w:r>
    </w:p>
    <w:p w14:paraId="54E37425" w14:textId="5803513A" w:rsidR="009C5493" w:rsidRDefault="009C5493" w:rsidP="00025EDC">
      <w:r>
        <w:t>Global Goals</w:t>
      </w:r>
      <w:r w:rsidR="00101D9A">
        <w:t xml:space="preserve"> </w:t>
      </w:r>
      <w:r w:rsidR="00FC04B1">
        <w:t>(</w:t>
      </w:r>
      <w:r w:rsidR="00101D9A">
        <w:t>2016)</w:t>
      </w:r>
      <w:r>
        <w:t xml:space="preserve"> </w:t>
      </w:r>
      <w:r w:rsidR="002E1611">
        <w:rPr>
          <w:i/>
          <w:iCs/>
        </w:rPr>
        <w:t xml:space="preserve">The 17 Goals, </w:t>
      </w:r>
      <w:r w:rsidR="002E1611">
        <w:t xml:space="preserve">Available at: </w:t>
      </w:r>
      <w:hyperlink r:id="rId17" w:history="1">
        <w:r w:rsidR="002E1611" w:rsidRPr="00396F28">
          <w:rPr>
            <w:rStyle w:val="Hyperlink"/>
          </w:rPr>
          <w:t>https://www.globalgoals.org/goals/</w:t>
        </w:r>
      </w:hyperlink>
      <w:r w:rsidR="002E1611">
        <w:t>, Accessed on: 07/03/2024</w:t>
      </w:r>
    </w:p>
    <w:p w14:paraId="72E0E156" w14:textId="5A0DF814" w:rsidR="00827B1C" w:rsidRDefault="00827B1C" w:rsidP="00827B1C">
      <w:proofErr w:type="spellStart"/>
      <w:r w:rsidRPr="00827B1C">
        <w:lastRenderedPageBreak/>
        <w:t>Hänggi</w:t>
      </w:r>
      <w:proofErr w:type="spellEnd"/>
      <w:r w:rsidRPr="00827B1C">
        <w:t xml:space="preserve">, S., Elbert, P., </w:t>
      </w:r>
      <w:proofErr w:type="spellStart"/>
      <w:r w:rsidRPr="00827B1C">
        <w:t>Bütler</w:t>
      </w:r>
      <w:proofErr w:type="spellEnd"/>
      <w:r w:rsidRPr="00827B1C">
        <w:t xml:space="preserve">, T., </w:t>
      </w:r>
      <w:proofErr w:type="spellStart"/>
      <w:r w:rsidRPr="00827B1C">
        <w:t>Cabalzar</w:t>
      </w:r>
      <w:proofErr w:type="spellEnd"/>
      <w:r w:rsidRPr="00827B1C">
        <w:t xml:space="preserve">, U., Teske, S., Bach, C. and Onder, C., </w:t>
      </w:r>
      <w:r>
        <w:t>(</w:t>
      </w:r>
      <w:r w:rsidRPr="00827B1C">
        <w:t>2019</w:t>
      </w:r>
      <w:r>
        <w:t>)</w:t>
      </w:r>
      <w:r w:rsidRPr="00827B1C">
        <w:t xml:space="preserve"> </w:t>
      </w:r>
      <w:r w:rsidRPr="00827B1C">
        <w:rPr>
          <w:i/>
          <w:iCs/>
        </w:rPr>
        <w:t>A review of synthetic fuels for passenger vehicles</w:t>
      </w:r>
      <w:r w:rsidRPr="00827B1C">
        <w:t>. Energy Reports, 5, pp.555-569.</w:t>
      </w:r>
    </w:p>
    <w:p w14:paraId="7A2A534E" w14:textId="624FC06E" w:rsidR="00131785" w:rsidRPr="00131785" w:rsidRDefault="00131785" w:rsidP="00131785">
      <w:r w:rsidRPr="00131785">
        <w:t xml:space="preserve">Jiang, R.J. and Bansal, P., </w:t>
      </w:r>
      <w:r>
        <w:t>(</w:t>
      </w:r>
      <w:r w:rsidRPr="00131785">
        <w:t>2003</w:t>
      </w:r>
      <w:r>
        <w:t>)</w:t>
      </w:r>
      <w:r w:rsidRPr="00131785">
        <w:t xml:space="preserve"> </w:t>
      </w:r>
      <w:r w:rsidRPr="00131785">
        <w:rPr>
          <w:i/>
          <w:iCs/>
        </w:rPr>
        <w:t>Seeing the need for ISO 14001</w:t>
      </w:r>
      <w:r w:rsidRPr="00131785">
        <w:t>. Journal of Management Studies, 40(4), pp.1047-1067.</w:t>
      </w:r>
    </w:p>
    <w:p w14:paraId="2AECE621" w14:textId="1282BFEC" w:rsidR="00E83DE9" w:rsidRDefault="00E83DE9" w:rsidP="00025EDC">
      <w:r w:rsidRPr="00E83DE9">
        <w:t xml:space="preserve">Kaplan, R.S. and </w:t>
      </w:r>
      <w:proofErr w:type="spellStart"/>
      <w:r w:rsidRPr="00E83DE9">
        <w:t>Ramanna</w:t>
      </w:r>
      <w:proofErr w:type="spellEnd"/>
      <w:r w:rsidRPr="00E83DE9">
        <w:t xml:space="preserve">, K., </w:t>
      </w:r>
      <w:r>
        <w:t>(</w:t>
      </w:r>
      <w:r w:rsidRPr="00E83DE9">
        <w:t>2021</w:t>
      </w:r>
      <w:r>
        <w:t>)</w:t>
      </w:r>
      <w:r w:rsidRPr="00E83DE9">
        <w:t xml:space="preserve"> </w:t>
      </w:r>
      <w:r w:rsidRPr="00E83DE9">
        <w:rPr>
          <w:i/>
          <w:iCs/>
        </w:rPr>
        <w:t>How to fix ESG reporting</w:t>
      </w:r>
      <w:r w:rsidRPr="00E83DE9">
        <w:t>. Harvard Business School Accounting &amp; Management Unit Working Paper, (22-005).</w:t>
      </w:r>
    </w:p>
    <w:p w14:paraId="3B0C731B" w14:textId="4F1ED36C" w:rsidR="007D340F" w:rsidRDefault="0047372B" w:rsidP="00025EDC">
      <w:proofErr w:type="spellStart"/>
      <w:r w:rsidRPr="0047372B">
        <w:t>Kotsantonis</w:t>
      </w:r>
      <w:proofErr w:type="spellEnd"/>
      <w:r w:rsidRPr="0047372B">
        <w:t xml:space="preserve">, S. and Serafeim, G., </w:t>
      </w:r>
      <w:r>
        <w:t>(</w:t>
      </w:r>
      <w:r w:rsidRPr="0047372B">
        <w:t>2019)</w:t>
      </w:r>
      <w:r w:rsidRPr="0047372B">
        <w:rPr>
          <w:i/>
          <w:iCs/>
        </w:rPr>
        <w:t xml:space="preserve"> Four things no one will tell you about ESG data</w:t>
      </w:r>
      <w:r w:rsidRPr="0047372B">
        <w:t>. Journal of Applied Corporate Finance, 31(2), pp.50-58.</w:t>
      </w:r>
    </w:p>
    <w:p w14:paraId="7E8C1C94" w14:textId="781FCC75" w:rsidR="001A5ABF" w:rsidRDefault="001A5ABF" w:rsidP="001A5ABF">
      <w:r w:rsidRPr="001A5ABF">
        <w:t xml:space="preserve">Leal Filho, W., Tripathi, S.K., Andrade Guerra, J.B.S.O.D., </w:t>
      </w:r>
      <w:proofErr w:type="spellStart"/>
      <w:r w:rsidRPr="001A5ABF">
        <w:t>Giné</w:t>
      </w:r>
      <w:proofErr w:type="spellEnd"/>
      <w:r w:rsidRPr="001A5ABF">
        <w:t xml:space="preserve">-Garriga, R., </w:t>
      </w:r>
      <w:proofErr w:type="spellStart"/>
      <w:r w:rsidRPr="001A5ABF">
        <w:t>Orlovic</w:t>
      </w:r>
      <w:proofErr w:type="spellEnd"/>
      <w:r w:rsidRPr="001A5ABF">
        <w:t xml:space="preserve"> Lovren, V. and Willats, J., </w:t>
      </w:r>
      <w:r>
        <w:t>(</w:t>
      </w:r>
      <w:r w:rsidRPr="001A5ABF">
        <w:t>2019</w:t>
      </w:r>
      <w:r>
        <w:t>)</w:t>
      </w:r>
      <w:r w:rsidRPr="001A5ABF">
        <w:t xml:space="preserve"> </w:t>
      </w:r>
      <w:r w:rsidRPr="001A5ABF">
        <w:rPr>
          <w:i/>
          <w:iCs/>
        </w:rPr>
        <w:t>Using the sustainable development goals towards a better understanding of sustainability challenges</w:t>
      </w:r>
      <w:r w:rsidRPr="001A5ABF">
        <w:t>. International Journal of Sustainable Development &amp; World Ecology, 26(2), pp.179-190.</w:t>
      </w:r>
    </w:p>
    <w:p w14:paraId="30EBC88C" w14:textId="623910FC" w:rsidR="00D374EA" w:rsidRPr="001A5ABF" w:rsidRDefault="00D374EA" w:rsidP="001A5ABF">
      <w:pPr>
        <w:rPr>
          <w:lang w:eastAsia="en-GB"/>
        </w:rPr>
      </w:pPr>
      <w:r w:rsidRPr="004036A1">
        <w:rPr>
          <w:lang w:eastAsia="en-GB"/>
        </w:rPr>
        <w:t xml:space="preserve">Luo, Q.H., </w:t>
      </w:r>
      <w:r>
        <w:rPr>
          <w:lang w:eastAsia="en-GB"/>
        </w:rPr>
        <w:t>et al.</w:t>
      </w:r>
      <w:r w:rsidRPr="004036A1">
        <w:rPr>
          <w:lang w:eastAsia="en-GB"/>
        </w:rPr>
        <w:t xml:space="preserve"> (2019) </w:t>
      </w:r>
      <w:r w:rsidRPr="004036A1">
        <w:rPr>
          <w:i/>
          <w:iCs/>
          <w:lang w:eastAsia="en-GB"/>
        </w:rPr>
        <w:t>Effect of equivalence ratios on the power, combustion stability and NOx controlling strategy for the turbocharged hydrogen engine at low engine speeds. International journal of hydrogen energy</w:t>
      </w:r>
      <w:r w:rsidRPr="004036A1">
        <w:rPr>
          <w:lang w:eastAsia="en-GB"/>
        </w:rPr>
        <w:t>, 44(31), pp.17095-17102.</w:t>
      </w:r>
    </w:p>
    <w:p w14:paraId="2029D438" w14:textId="1D7AE305" w:rsidR="009A67D8" w:rsidRDefault="009A67D8" w:rsidP="009A67D8">
      <w:proofErr w:type="spellStart"/>
      <w:r w:rsidRPr="009A67D8">
        <w:t>Mayyas</w:t>
      </w:r>
      <w:proofErr w:type="spellEnd"/>
      <w:r w:rsidRPr="009A67D8">
        <w:t xml:space="preserve">, A., </w:t>
      </w:r>
      <w:proofErr w:type="spellStart"/>
      <w:r w:rsidRPr="009A67D8">
        <w:t>Qattawi</w:t>
      </w:r>
      <w:proofErr w:type="spellEnd"/>
      <w:r w:rsidRPr="009A67D8">
        <w:t xml:space="preserve">, A., Omar, M. and Shan, D., </w:t>
      </w:r>
      <w:r>
        <w:t>(</w:t>
      </w:r>
      <w:r w:rsidRPr="009A67D8">
        <w:t>2012</w:t>
      </w:r>
      <w:r>
        <w:t>)</w:t>
      </w:r>
      <w:r w:rsidRPr="009A67D8">
        <w:t xml:space="preserve"> </w:t>
      </w:r>
      <w:r w:rsidRPr="009F598F">
        <w:rPr>
          <w:i/>
          <w:iCs/>
        </w:rPr>
        <w:t>Design for sustainability in automotive industry: A comprehensive review.</w:t>
      </w:r>
      <w:r w:rsidRPr="009A67D8">
        <w:t> Renewable and sustainable energy reviews, 16(4), pp.1845-1862.</w:t>
      </w:r>
    </w:p>
    <w:p w14:paraId="5F7A1EA5" w14:textId="37C5D611" w:rsidR="00195E13" w:rsidRPr="007F4AA2" w:rsidRDefault="00195E13" w:rsidP="009A67D8">
      <w:r>
        <w:t xml:space="preserve">MotoGP (2022) </w:t>
      </w:r>
      <w:r w:rsidR="007F4AA2">
        <w:rPr>
          <w:i/>
          <w:iCs/>
        </w:rPr>
        <w:t xml:space="preserve">Dorna Sports Obtains international ISO 20121 certification, </w:t>
      </w:r>
      <w:r w:rsidR="007F4AA2">
        <w:t>Accessed at:</w:t>
      </w:r>
      <w:r w:rsidR="00154B92">
        <w:t xml:space="preserve"> </w:t>
      </w:r>
      <w:hyperlink r:id="rId18" w:history="1">
        <w:r w:rsidR="00154B92" w:rsidRPr="00906DCE">
          <w:rPr>
            <w:rStyle w:val="Hyperlink"/>
          </w:rPr>
          <w:t>https://www.motogp.com/en/news/2022/09/18/dorna-sports-obtains-international-iso-20121-certification/181754</w:t>
        </w:r>
      </w:hyperlink>
      <w:r w:rsidR="00154B92">
        <w:t>, Accessed on 07/03/2024</w:t>
      </w:r>
    </w:p>
    <w:p w14:paraId="12CFB05C" w14:textId="78695B6F" w:rsidR="007D340F" w:rsidRDefault="007D340F" w:rsidP="009A67D8">
      <w:r>
        <w:t>MotoGP (2024</w:t>
      </w:r>
      <w:r w:rsidR="00BE64F8">
        <w:t>a</w:t>
      </w:r>
      <w:r>
        <w:t xml:space="preserve">) </w:t>
      </w:r>
      <w:r>
        <w:rPr>
          <w:i/>
          <w:iCs/>
        </w:rPr>
        <w:t xml:space="preserve">Kiss: Keep it shiny and sustainable, </w:t>
      </w:r>
      <w:r w:rsidR="00AD4235">
        <w:t xml:space="preserve">Accessed at: </w:t>
      </w:r>
      <w:hyperlink r:id="rId19" w:history="1">
        <w:r w:rsidR="003059F5" w:rsidRPr="00EB483E">
          <w:rPr>
            <w:rStyle w:val="Hyperlink"/>
          </w:rPr>
          <w:t>https://www.motogp.com/en/racing-together/kiss</w:t>
        </w:r>
      </w:hyperlink>
      <w:r w:rsidR="00AD4235">
        <w:t>,</w:t>
      </w:r>
      <w:r w:rsidR="003059F5">
        <w:t xml:space="preserve"> </w:t>
      </w:r>
      <w:r w:rsidR="00AD4235">
        <w:t>Accessed on: 15/02/2024</w:t>
      </w:r>
    </w:p>
    <w:p w14:paraId="55EF552E" w14:textId="4472851C" w:rsidR="00BE64F8" w:rsidRPr="00BE64F8" w:rsidRDefault="00BE64F8" w:rsidP="009A67D8">
      <w:r>
        <w:t xml:space="preserve">MotoGP (2024b) </w:t>
      </w:r>
      <w:r>
        <w:rPr>
          <w:i/>
          <w:iCs/>
        </w:rPr>
        <w:t xml:space="preserve">How did MotoGP design the fuel of the future. </w:t>
      </w:r>
      <w:r>
        <w:t xml:space="preserve">Available at: </w:t>
      </w:r>
      <w:hyperlink r:id="rId20" w:history="1">
        <w:r w:rsidRPr="003F40BD">
          <w:rPr>
            <w:rStyle w:val="Hyperlink"/>
          </w:rPr>
          <w:t>https://www.youtube.com/watch?v=dLBl3VnUpJI</w:t>
        </w:r>
      </w:hyperlink>
      <w:r>
        <w:t>, Accessed on: 08/03/2024</w:t>
      </w:r>
    </w:p>
    <w:p w14:paraId="5642F27C" w14:textId="4A97CF42" w:rsidR="009D0807" w:rsidRDefault="003F6777" w:rsidP="009A67D8">
      <w:r>
        <w:t>MotoGP (202</w:t>
      </w:r>
      <w:r w:rsidR="005D4C0C">
        <w:t xml:space="preserve">1) </w:t>
      </w:r>
      <w:r w:rsidR="005D4C0C">
        <w:rPr>
          <w:i/>
          <w:iCs/>
        </w:rPr>
        <w:t xml:space="preserve">MotoGP: Racing towards the fuel of the future. </w:t>
      </w:r>
      <w:r w:rsidR="0011389C">
        <w:t xml:space="preserve">Available at: </w:t>
      </w:r>
      <w:hyperlink r:id="rId21" w:history="1">
        <w:r w:rsidR="0011389C" w:rsidRPr="00A3181D">
          <w:rPr>
            <w:rStyle w:val="Hyperlink"/>
          </w:rPr>
          <w:t>https://www.motogp.com/en/news/2021/11/24/motogp-racing-towards-the-fuel-of-the-future/186321</w:t>
        </w:r>
      </w:hyperlink>
      <w:r w:rsidR="0011389C">
        <w:t>, Accessed on: 06/03/2024</w:t>
      </w:r>
    </w:p>
    <w:p w14:paraId="687CCD8D" w14:textId="205A42F3" w:rsidR="006D5451" w:rsidRPr="0051653C" w:rsidRDefault="006D5451" w:rsidP="009A67D8">
      <w:r>
        <w:t>Mugello Circuit S.p.A (2024)</w:t>
      </w:r>
      <w:r w:rsidR="0051653C">
        <w:t xml:space="preserve"> </w:t>
      </w:r>
      <w:r w:rsidR="0051653C">
        <w:rPr>
          <w:i/>
          <w:iCs/>
        </w:rPr>
        <w:t xml:space="preserve">ISO 9001 Quality management system, </w:t>
      </w:r>
      <w:r w:rsidR="0051653C">
        <w:t xml:space="preserve">Available at: </w:t>
      </w:r>
      <w:hyperlink r:id="rId22" w:history="1">
        <w:r w:rsidR="0051653C" w:rsidRPr="00B06CD3">
          <w:rPr>
            <w:rStyle w:val="Hyperlink"/>
          </w:rPr>
          <w:t>https://mugellocircuit.com/en/systems-management/certificati/iso-9001</w:t>
        </w:r>
      </w:hyperlink>
      <w:r w:rsidR="0051653C">
        <w:t xml:space="preserve">, Accessed on: </w:t>
      </w:r>
      <w:r w:rsidR="00820F84">
        <w:t>07/03/2024.</w:t>
      </w:r>
    </w:p>
    <w:p w14:paraId="5B5B720F" w14:textId="70E59B71" w:rsidR="00816286" w:rsidRDefault="00816286" w:rsidP="00816286">
      <w:r w:rsidRPr="00816286">
        <w:lastRenderedPageBreak/>
        <w:t>P</w:t>
      </w:r>
      <w:r>
        <w:t>elham</w:t>
      </w:r>
      <w:r w:rsidRPr="00816286">
        <w:t xml:space="preserve">, F., </w:t>
      </w:r>
      <w:r>
        <w:t>(</w:t>
      </w:r>
      <w:r w:rsidRPr="00816286">
        <w:t>2011</w:t>
      </w:r>
      <w:r>
        <w:t>)</w:t>
      </w:r>
      <w:r w:rsidRPr="00816286">
        <w:t xml:space="preserve"> </w:t>
      </w:r>
      <w:r w:rsidRPr="00816286">
        <w:rPr>
          <w:i/>
          <w:iCs/>
        </w:rPr>
        <w:t>Will sustainability change the business model of the event industry?</w:t>
      </w:r>
      <w:r w:rsidRPr="00816286">
        <w:t> Worldwide Hospitality and Tourism Themes, 3(3), pp. 187-192.</w:t>
      </w:r>
    </w:p>
    <w:p w14:paraId="043349C8" w14:textId="5CB4F161" w:rsidR="009D2BB3" w:rsidRPr="009D2BB3" w:rsidRDefault="009D2BB3" w:rsidP="009D2BB3">
      <w:r w:rsidRPr="009D2BB3">
        <w:t xml:space="preserve">Pregger, T., Schiller, G., Cebulla, F., Dietrich, R.U., Maier, S., Thess, A., Lischke, A., </w:t>
      </w:r>
      <w:proofErr w:type="spellStart"/>
      <w:r w:rsidRPr="009D2BB3">
        <w:t>Monnerie</w:t>
      </w:r>
      <w:proofErr w:type="spellEnd"/>
      <w:r w:rsidRPr="009D2BB3">
        <w:t xml:space="preserve">, N., Sattler, C., Clercq, P.L. and Rauch, B., </w:t>
      </w:r>
      <w:r w:rsidR="008A3183">
        <w:t>(</w:t>
      </w:r>
      <w:r w:rsidRPr="009D2BB3">
        <w:t>2019</w:t>
      </w:r>
      <w:r w:rsidR="008A3183">
        <w:t>)</w:t>
      </w:r>
      <w:r w:rsidRPr="009D2BB3">
        <w:t xml:space="preserve"> </w:t>
      </w:r>
      <w:r w:rsidRPr="008A3183">
        <w:rPr>
          <w:i/>
          <w:iCs/>
        </w:rPr>
        <w:t>Future fuels—analyses of the future prospects of renewable synthetic fuels. </w:t>
      </w:r>
      <w:r w:rsidRPr="009D2BB3">
        <w:t>Energies, 13(1)</w:t>
      </w:r>
      <w:r w:rsidR="008A3183">
        <w:t xml:space="preserve">. </w:t>
      </w:r>
    </w:p>
    <w:p w14:paraId="667BEAE0" w14:textId="28FCD778" w:rsidR="009D0807" w:rsidRDefault="009D0807" w:rsidP="00816286">
      <w:proofErr w:type="spellStart"/>
      <w:r w:rsidRPr="005C3481">
        <w:t>Puškár</w:t>
      </w:r>
      <w:proofErr w:type="spellEnd"/>
      <w:r w:rsidRPr="005C3481">
        <w:t xml:space="preserve">, M., </w:t>
      </w:r>
      <w:proofErr w:type="spellStart"/>
      <w:r w:rsidRPr="005C3481">
        <w:t>Živčák</w:t>
      </w:r>
      <w:proofErr w:type="spellEnd"/>
      <w:r w:rsidRPr="005C3481">
        <w:t xml:space="preserve">, J., Kopas, M., </w:t>
      </w:r>
      <w:proofErr w:type="spellStart"/>
      <w:r w:rsidRPr="005C3481">
        <w:t>Tarbajovsky</w:t>
      </w:r>
      <w:proofErr w:type="spellEnd"/>
      <w:r w:rsidRPr="005C3481">
        <w:t xml:space="preserve">, P. and </w:t>
      </w:r>
      <w:proofErr w:type="spellStart"/>
      <w:r w:rsidRPr="005C3481">
        <w:t>Lavcak</w:t>
      </w:r>
      <w:proofErr w:type="spellEnd"/>
      <w:r w:rsidRPr="005C3481">
        <w:t xml:space="preserve">, M., </w:t>
      </w:r>
      <w:r>
        <w:t>(</w:t>
      </w:r>
      <w:r w:rsidRPr="005C3481">
        <w:t>2023</w:t>
      </w:r>
      <w:r>
        <w:t>)</w:t>
      </w:r>
      <w:r w:rsidRPr="005C3481">
        <w:t xml:space="preserve"> </w:t>
      </w:r>
      <w:r w:rsidRPr="009D0807">
        <w:rPr>
          <w:i/>
          <w:iCs/>
        </w:rPr>
        <w:t>Complex Analysis of Power Output and Emission Parameters of High-Power Motorcycles at Application of Advanced and Sustainable Fuels and Their Mixtures.</w:t>
      </w:r>
      <w:r w:rsidRPr="005C3481">
        <w:t> ACS omega, 8(7), pp.7085-7092.</w:t>
      </w:r>
    </w:p>
    <w:p w14:paraId="4D633F95" w14:textId="50A16F7D" w:rsidR="006C00A1" w:rsidRPr="006C00A1" w:rsidRDefault="006C00A1" w:rsidP="00816286">
      <w:r>
        <w:t xml:space="preserve">Ricardo </w:t>
      </w:r>
      <w:r>
        <w:rPr>
          <w:i/>
          <w:iCs/>
        </w:rPr>
        <w:t xml:space="preserve">(2023) </w:t>
      </w:r>
      <w:r>
        <w:t xml:space="preserve">The future of motorsport: Trends, opportunities and challenges to look out for over the next decade. Available at: </w:t>
      </w:r>
      <w:hyperlink r:id="rId23" w:history="1">
        <w:r w:rsidRPr="003F40BD">
          <w:rPr>
            <w:rStyle w:val="Hyperlink"/>
          </w:rPr>
          <w:t>https://www.ricardo.com/en/news-and-insights/insights/future-of-motorsport-opportunities-and-challenges</w:t>
        </w:r>
      </w:hyperlink>
      <w:r>
        <w:t>, Accessed on: 08/03/2024</w:t>
      </w:r>
    </w:p>
    <w:p w14:paraId="2AE7308C" w14:textId="38360442" w:rsidR="009F77B8" w:rsidRPr="009F77B8" w:rsidRDefault="009F77B8" w:rsidP="009F77B8">
      <w:r w:rsidRPr="009F77B8">
        <w:t xml:space="preserve">Ridjan, I., Mathiesen, B.V., Connolly, D. and </w:t>
      </w:r>
      <w:proofErr w:type="spellStart"/>
      <w:r w:rsidRPr="009F77B8">
        <w:t>Duić</w:t>
      </w:r>
      <w:proofErr w:type="spellEnd"/>
      <w:r w:rsidRPr="009F77B8">
        <w:t xml:space="preserve">, N., </w:t>
      </w:r>
      <w:r>
        <w:t>(</w:t>
      </w:r>
      <w:r w:rsidRPr="009F77B8">
        <w:t>2013</w:t>
      </w:r>
      <w:r>
        <w:t>)</w:t>
      </w:r>
      <w:r w:rsidRPr="009F77B8">
        <w:t xml:space="preserve"> </w:t>
      </w:r>
      <w:r w:rsidRPr="009F77B8">
        <w:rPr>
          <w:i/>
          <w:iCs/>
        </w:rPr>
        <w:t>The feasibility of synthetic fuels in renewable energy systems. </w:t>
      </w:r>
      <w:r w:rsidRPr="009F77B8">
        <w:t>Energy, 57, pp.76-84.</w:t>
      </w:r>
    </w:p>
    <w:p w14:paraId="26F5556C" w14:textId="77777777" w:rsidR="00D20C2F" w:rsidRDefault="00D20C2F" w:rsidP="00D20C2F">
      <w:pPr>
        <w:rPr>
          <w:lang w:eastAsia="en-GB"/>
        </w:rPr>
      </w:pPr>
      <w:r w:rsidRPr="00D20C2F">
        <w:rPr>
          <w:lang w:eastAsia="en-GB"/>
        </w:rPr>
        <w:t>Salama, M. (2021)</w:t>
      </w:r>
      <w:r w:rsidRPr="00D20C2F">
        <w:rPr>
          <w:i/>
          <w:iCs/>
          <w:lang w:eastAsia="en-GB"/>
        </w:rPr>
        <w:t> Event project management : principles, technology and innovation</w:t>
      </w:r>
      <w:r w:rsidRPr="00D20C2F">
        <w:rPr>
          <w:lang w:eastAsia="en-GB"/>
        </w:rPr>
        <w:t>. Edited by M. Salama. Oxford: Goodfellow Publishers Limited.</w:t>
      </w:r>
    </w:p>
    <w:p w14:paraId="09A10369" w14:textId="44632CA6" w:rsidR="003D5A7F" w:rsidRDefault="003D5A7F" w:rsidP="003D5A7F">
      <w:r w:rsidRPr="003D5A7F">
        <w:t xml:space="preserve">Sampaio, P., Saraiva, P. and Guimarães Rodrigues, A., </w:t>
      </w:r>
      <w:r>
        <w:t>(</w:t>
      </w:r>
      <w:r w:rsidRPr="003D5A7F">
        <w:t>2009</w:t>
      </w:r>
      <w:r w:rsidRPr="003D5A7F">
        <w:rPr>
          <w:i/>
          <w:iCs/>
        </w:rPr>
        <w:t>) ISO 9001 certification research: questions, answers and approaches</w:t>
      </w:r>
      <w:r w:rsidRPr="003D5A7F">
        <w:t>. International Journal of Quality &amp; Reliability Management, 26(1), pp.38-58.</w:t>
      </w:r>
    </w:p>
    <w:p w14:paraId="2774CD2C" w14:textId="1B289778" w:rsidR="00857704" w:rsidRPr="00857704" w:rsidRDefault="00857704" w:rsidP="00857704">
      <w:r w:rsidRPr="00857704">
        <w:t xml:space="preserve">Snellgrove, I., </w:t>
      </w:r>
      <w:r>
        <w:t>(</w:t>
      </w:r>
      <w:r w:rsidRPr="00857704">
        <w:t>1999</w:t>
      </w:r>
      <w:r>
        <w:t xml:space="preserve">) </w:t>
      </w:r>
      <w:r w:rsidRPr="00857704">
        <w:rPr>
          <w:i/>
          <w:iCs/>
        </w:rPr>
        <w:t>Motor racing noise--The issues we face.</w:t>
      </w:r>
      <w:r w:rsidRPr="00857704">
        <w:t> Noise Control Engineering Journal, 47(4), pp.150-152.</w:t>
      </w:r>
    </w:p>
    <w:p w14:paraId="69950040" w14:textId="540DEF77" w:rsidR="004A2DE6" w:rsidRDefault="004A2DE6" w:rsidP="004A2DE6">
      <w:proofErr w:type="spellStart"/>
      <w:r w:rsidRPr="004A2DE6">
        <w:t>Tarí</w:t>
      </w:r>
      <w:proofErr w:type="spellEnd"/>
      <w:r w:rsidRPr="004A2DE6">
        <w:t>, J.J., Molina-</w:t>
      </w:r>
      <w:proofErr w:type="spellStart"/>
      <w:r w:rsidRPr="004A2DE6">
        <w:t>Azorín</w:t>
      </w:r>
      <w:proofErr w:type="spellEnd"/>
      <w:r w:rsidRPr="004A2DE6">
        <w:t xml:space="preserve">, J.F. and Heras, I., </w:t>
      </w:r>
      <w:r>
        <w:t>(</w:t>
      </w:r>
      <w:r w:rsidRPr="004A2DE6">
        <w:t>2012</w:t>
      </w:r>
      <w:r>
        <w:t>)</w:t>
      </w:r>
      <w:r w:rsidRPr="004A2DE6">
        <w:t xml:space="preserve"> </w:t>
      </w:r>
      <w:r w:rsidRPr="004A2DE6">
        <w:rPr>
          <w:i/>
          <w:iCs/>
        </w:rPr>
        <w:t>Benefits of the ISO 9001 and ISO 14001 standards: A literature review.</w:t>
      </w:r>
      <w:r w:rsidRPr="004A2DE6">
        <w:t> Journal of Industrial Engineering and Management (JIEM), 5(2), pp.297-322.</w:t>
      </w:r>
    </w:p>
    <w:p w14:paraId="5274D6DC" w14:textId="15CA026E" w:rsidR="00DA102A" w:rsidRPr="00DA102A" w:rsidRDefault="00DA102A" w:rsidP="00DA102A">
      <w:r w:rsidRPr="00DA102A">
        <w:t xml:space="preserve">Traverso, M., Kim, P., </w:t>
      </w:r>
      <w:proofErr w:type="spellStart"/>
      <w:r w:rsidRPr="00DA102A">
        <w:t>Brattig</w:t>
      </w:r>
      <w:proofErr w:type="spellEnd"/>
      <w:r w:rsidRPr="00DA102A">
        <w:t xml:space="preserve">, S., Wagner, V. (2015). </w:t>
      </w:r>
      <w:r w:rsidRPr="00DA102A">
        <w:rPr>
          <w:i/>
          <w:iCs/>
        </w:rPr>
        <w:t>Managing Life Cycle Sustainability Aspects in the Automotive Industry</w:t>
      </w:r>
      <w:r w:rsidRPr="00DA102A">
        <w:t xml:space="preserve">. In: Sonnemann, G., </w:t>
      </w:r>
      <w:proofErr w:type="spellStart"/>
      <w:r w:rsidRPr="00DA102A">
        <w:t>Margni</w:t>
      </w:r>
      <w:proofErr w:type="spellEnd"/>
      <w:r w:rsidRPr="00DA102A">
        <w:t xml:space="preserve">, M. (eds) Life Cycle Management. LCA Compendium – The Complete World of Life Cycle Assessment. Springer, Dordrecht. </w:t>
      </w:r>
    </w:p>
    <w:p w14:paraId="332ECC96" w14:textId="1DD069A7" w:rsidR="00FE40D0" w:rsidRPr="00FE40D0" w:rsidRDefault="00FE40D0" w:rsidP="00FE40D0">
      <w:r w:rsidRPr="00FE40D0">
        <w:t xml:space="preserve">Walker, A., </w:t>
      </w:r>
      <w:r>
        <w:t>(</w:t>
      </w:r>
      <w:r w:rsidRPr="00FE40D0">
        <w:t>2012</w:t>
      </w:r>
      <w:r>
        <w:t>)</w:t>
      </w:r>
      <w:r w:rsidRPr="00FE40D0">
        <w:t xml:space="preserve"> </w:t>
      </w:r>
      <w:r w:rsidRPr="00FE40D0">
        <w:rPr>
          <w:i/>
          <w:iCs/>
        </w:rPr>
        <w:t>Process vs. Performance Standards for Sustainable Meeting and Event Management. </w:t>
      </w:r>
      <w:proofErr w:type="spellStart"/>
      <w:r w:rsidRPr="00FE40D0">
        <w:t>Osgoode</w:t>
      </w:r>
      <w:proofErr w:type="spellEnd"/>
      <w:r w:rsidRPr="00FE40D0">
        <w:t xml:space="preserve"> CLPE Research Paper, (17).</w:t>
      </w:r>
    </w:p>
    <w:p w14:paraId="58F947E9" w14:textId="3F52C202" w:rsidR="008D1DCA" w:rsidRPr="008D1DCA" w:rsidRDefault="00671952" w:rsidP="008D1DCA">
      <w:r w:rsidRPr="005C3481">
        <w:t xml:space="preserve">Wood, B.M., </w:t>
      </w:r>
      <w:r>
        <w:t>(</w:t>
      </w:r>
      <w:r w:rsidRPr="005C3481">
        <w:t>2011</w:t>
      </w:r>
      <w:r>
        <w:t>)</w:t>
      </w:r>
      <w:r w:rsidRPr="005C3481">
        <w:t> </w:t>
      </w:r>
      <w:r w:rsidRPr="00671952">
        <w:rPr>
          <w:i/>
          <w:iCs/>
        </w:rPr>
        <w:t>Overcoming the barriers to sustainable motorsport</w:t>
      </w:r>
      <w:r w:rsidRPr="005C3481">
        <w:t> (Doctoral dissertation, University of Warwick).</w:t>
      </w:r>
    </w:p>
    <w:sectPr w:rsidR="008D1DCA" w:rsidRPr="008D1DCA" w:rsidSect="00AA08CB">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6B6923" w14:textId="77777777" w:rsidR="00AA08CB" w:rsidRDefault="00AA08CB" w:rsidP="00032313">
      <w:pPr>
        <w:spacing w:after="0" w:line="240" w:lineRule="auto"/>
      </w:pPr>
      <w:r>
        <w:separator/>
      </w:r>
    </w:p>
  </w:endnote>
  <w:endnote w:type="continuationSeparator" w:id="0">
    <w:p w14:paraId="0AE23716" w14:textId="77777777" w:rsidR="00AA08CB" w:rsidRDefault="00AA08CB" w:rsidP="000323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Microsoft Sans Serif">
    <w:panose1 w:val="020B0604020202020204"/>
    <w:charset w:val="00"/>
    <w:family w:val="swiss"/>
    <w:pitch w:val="variable"/>
    <w:sig w:usb0="E5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5373859"/>
      <w:docPartObj>
        <w:docPartGallery w:val="Page Numbers (Bottom of Page)"/>
        <w:docPartUnique/>
      </w:docPartObj>
    </w:sdtPr>
    <w:sdtEndPr>
      <w:rPr>
        <w:noProof/>
      </w:rPr>
    </w:sdtEndPr>
    <w:sdtContent>
      <w:p w14:paraId="3AB41C87" w14:textId="50E26B0F" w:rsidR="00032313" w:rsidRDefault="000323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6A3F4D" w14:textId="77777777" w:rsidR="00032313" w:rsidRDefault="000323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F6ECF6" w14:textId="77777777" w:rsidR="00AA08CB" w:rsidRDefault="00AA08CB" w:rsidP="00032313">
      <w:pPr>
        <w:spacing w:after="0" w:line="240" w:lineRule="auto"/>
      </w:pPr>
      <w:r>
        <w:separator/>
      </w:r>
    </w:p>
  </w:footnote>
  <w:footnote w:type="continuationSeparator" w:id="0">
    <w:p w14:paraId="15B6A3FB" w14:textId="77777777" w:rsidR="00AA08CB" w:rsidRDefault="00AA08CB" w:rsidP="000323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C0514"/>
    <w:multiLevelType w:val="hybridMultilevel"/>
    <w:tmpl w:val="6B922454"/>
    <w:lvl w:ilvl="0" w:tplc="2FEE26D6">
      <w:numFmt w:val="bullet"/>
      <w:lvlText w:val="-"/>
      <w:lvlJc w:val="left"/>
      <w:pPr>
        <w:ind w:left="720" w:hanging="360"/>
      </w:pPr>
      <w:rPr>
        <w:rFonts w:ascii="Microsoft Sans Serif" w:eastAsiaTheme="minorHAnsi" w:hAnsi="Microsoft Sans Serif" w:cs="Microsoft Sans Serif"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380A3F"/>
    <w:multiLevelType w:val="hybridMultilevel"/>
    <w:tmpl w:val="11041768"/>
    <w:lvl w:ilvl="0" w:tplc="BEF8C1BE">
      <w:numFmt w:val="bullet"/>
      <w:lvlText w:val="-"/>
      <w:lvlJc w:val="left"/>
      <w:pPr>
        <w:ind w:left="720" w:hanging="360"/>
      </w:pPr>
      <w:rPr>
        <w:rFonts w:ascii="Microsoft Sans Serif" w:eastAsiaTheme="minorHAnsi" w:hAnsi="Microsoft Sans Serif" w:cs="Microsoft Sans Serif"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0E169D"/>
    <w:multiLevelType w:val="hybridMultilevel"/>
    <w:tmpl w:val="95E87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2116B3"/>
    <w:multiLevelType w:val="hybridMultilevel"/>
    <w:tmpl w:val="4D9E1CB0"/>
    <w:lvl w:ilvl="0" w:tplc="AEB4C482">
      <w:numFmt w:val="bullet"/>
      <w:lvlText w:val="-"/>
      <w:lvlJc w:val="left"/>
      <w:pPr>
        <w:ind w:left="720" w:hanging="360"/>
      </w:pPr>
      <w:rPr>
        <w:rFonts w:ascii="Microsoft Sans Serif" w:eastAsiaTheme="minorHAnsi" w:hAnsi="Microsoft Sans Serif" w:cs="Microsoft Sans Serif"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C03D7B"/>
    <w:multiLevelType w:val="hybridMultilevel"/>
    <w:tmpl w:val="4194246C"/>
    <w:lvl w:ilvl="0" w:tplc="0270F7B4">
      <w:numFmt w:val="bullet"/>
      <w:lvlText w:val="-"/>
      <w:lvlJc w:val="left"/>
      <w:pPr>
        <w:ind w:left="720" w:hanging="360"/>
      </w:pPr>
      <w:rPr>
        <w:rFonts w:ascii="Microsoft Sans Serif" w:eastAsiaTheme="minorHAnsi" w:hAnsi="Microsoft Sans Serif" w:cs="Microsoft Sans Serif"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965AD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327947393">
    <w:abstractNumId w:val="5"/>
  </w:num>
  <w:num w:numId="2" w16cid:durableId="1560676723">
    <w:abstractNumId w:val="2"/>
  </w:num>
  <w:num w:numId="3" w16cid:durableId="52504997">
    <w:abstractNumId w:val="3"/>
  </w:num>
  <w:num w:numId="4" w16cid:durableId="64304371">
    <w:abstractNumId w:val="4"/>
  </w:num>
  <w:num w:numId="5" w16cid:durableId="563103115">
    <w:abstractNumId w:val="0"/>
  </w:num>
  <w:num w:numId="6" w16cid:durableId="17808289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46D"/>
    <w:rsid w:val="000020E7"/>
    <w:rsid w:val="00002EF0"/>
    <w:rsid w:val="000058C8"/>
    <w:rsid w:val="0001102E"/>
    <w:rsid w:val="00013CA0"/>
    <w:rsid w:val="00020F3C"/>
    <w:rsid w:val="00025EDC"/>
    <w:rsid w:val="00032313"/>
    <w:rsid w:val="00041F25"/>
    <w:rsid w:val="00043005"/>
    <w:rsid w:val="00052CD7"/>
    <w:rsid w:val="000549FB"/>
    <w:rsid w:val="00054C00"/>
    <w:rsid w:val="00062FA6"/>
    <w:rsid w:val="0006345D"/>
    <w:rsid w:val="000646A9"/>
    <w:rsid w:val="00067758"/>
    <w:rsid w:val="00070CFC"/>
    <w:rsid w:val="000763EF"/>
    <w:rsid w:val="00083598"/>
    <w:rsid w:val="000879F8"/>
    <w:rsid w:val="00091084"/>
    <w:rsid w:val="00094D82"/>
    <w:rsid w:val="00095E7C"/>
    <w:rsid w:val="00097D20"/>
    <w:rsid w:val="00097F39"/>
    <w:rsid w:val="000A6D72"/>
    <w:rsid w:val="000B0463"/>
    <w:rsid w:val="000B13BC"/>
    <w:rsid w:val="000C09DC"/>
    <w:rsid w:val="000C2350"/>
    <w:rsid w:val="000C3FCF"/>
    <w:rsid w:val="000C7D4B"/>
    <w:rsid w:val="000D70FF"/>
    <w:rsid w:val="000E5283"/>
    <w:rsid w:val="000E5DAC"/>
    <w:rsid w:val="000E6537"/>
    <w:rsid w:val="000E65A3"/>
    <w:rsid w:val="000E7026"/>
    <w:rsid w:val="000F379A"/>
    <w:rsid w:val="000F3FF5"/>
    <w:rsid w:val="000F6BBE"/>
    <w:rsid w:val="00101D9A"/>
    <w:rsid w:val="0010268E"/>
    <w:rsid w:val="001063E2"/>
    <w:rsid w:val="00107746"/>
    <w:rsid w:val="00107CCE"/>
    <w:rsid w:val="00111529"/>
    <w:rsid w:val="0011389C"/>
    <w:rsid w:val="00116FB8"/>
    <w:rsid w:val="00121BCD"/>
    <w:rsid w:val="001221CD"/>
    <w:rsid w:val="00122494"/>
    <w:rsid w:val="001306C2"/>
    <w:rsid w:val="00131785"/>
    <w:rsid w:val="001336F9"/>
    <w:rsid w:val="0014326B"/>
    <w:rsid w:val="00145CBF"/>
    <w:rsid w:val="001526B6"/>
    <w:rsid w:val="00153E24"/>
    <w:rsid w:val="00154B92"/>
    <w:rsid w:val="00160C17"/>
    <w:rsid w:val="00161D2F"/>
    <w:rsid w:val="0017097D"/>
    <w:rsid w:val="00170AF5"/>
    <w:rsid w:val="00171471"/>
    <w:rsid w:val="00174BFF"/>
    <w:rsid w:val="00176A98"/>
    <w:rsid w:val="00176DDF"/>
    <w:rsid w:val="00181D04"/>
    <w:rsid w:val="0018285D"/>
    <w:rsid w:val="00185036"/>
    <w:rsid w:val="00195DE3"/>
    <w:rsid w:val="00195E13"/>
    <w:rsid w:val="001A2E9C"/>
    <w:rsid w:val="001A5ABF"/>
    <w:rsid w:val="001B0C53"/>
    <w:rsid w:val="001B1623"/>
    <w:rsid w:val="001B4332"/>
    <w:rsid w:val="001B44FD"/>
    <w:rsid w:val="001D46F9"/>
    <w:rsid w:val="001E090B"/>
    <w:rsid w:val="001E0CCC"/>
    <w:rsid w:val="001E5F34"/>
    <w:rsid w:val="001E76DD"/>
    <w:rsid w:val="00205141"/>
    <w:rsid w:val="002113F3"/>
    <w:rsid w:val="00232502"/>
    <w:rsid w:val="00234DA5"/>
    <w:rsid w:val="00236374"/>
    <w:rsid w:val="00237EDF"/>
    <w:rsid w:val="00243E43"/>
    <w:rsid w:val="00245E41"/>
    <w:rsid w:val="002774D4"/>
    <w:rsid w:val="002825DA"/>
    <w:rsid w:val="00292D12"/>
    <w:rsid w:val="00296D85"/>
    <w:rsid w:val="00296E73"/>
    <w:rsid w:val="002A111E"/>
    <w:rsid w:val="002B48A7"/>
    <w:rsid w:val="002B62E8"/>
    <w:rsid w:val="002C1957"/>
    <w:rsid w:val="002C22A4"/>
    <w:rsid w:val="002D2893"/>
    <w:rsid w:val="002D718A"/>
    <w:rsid w:val="002E1611"/>
    <w:rsid w:val="002E4EE0"/>
    <w:rsid w:val="00301004"/>
    <w:rsid w:val="003059F5"/>
    <w:rsid w:val="0030773C"/>
    <w:rsid w:val="00307C8F"/>
    <w:rsid w:val="00315E06"/>
    <w:rsid w:val="003257C6"/>
    <w:rsid w:val="00326106"/>
    <w:rsid w:val="003341C7"/>
    <w:rsid w:val="00336E39"/>
    <w:rsid w:val="003475C1"/>
    <w:rsid w:val="00351ACB"/>
    <w:rsid w:val="0035305F"/>
    <w:rsid w:val="00354F75"/>
    <w:rsid w:val="0035610D"/>
    <w:rsid w:val="00360D1D"/>
    <w:rsid w:val="0036238F"/>
    <w:rsid w:val="003644E7"/>
    <w:rsid w:val="0036531D"/>
    <w:rsid w:val="00370022"/>
    <w:rsid w:val="00370782"/>
    <w:rsid w:val="003806B2"/>
    <w:rsid w:val="00381ECE"/>
    <w:rsid w:val="003846BB"/>
    <w:rsid w:val="0038492F"/>
    <w:rsid w:val="003915EF"/>
    <w:rsid w:val="003A4427"/>
    <w:rsid w:val="003A5773"/>
    <w:rsid w:val="003A6420"/>
    <w:rsid w:val="003B1D70"/>
    <w:rsid w:val="003C727F"/>
    <w:rsid w:val="003D018B"/>
    <w:rsid w:val="003D5A7F"/>
    <w:rsid w:val="003D5F5F"/>
    <w:rsid w:val="003E2D43"/>
    <w:rsid w:val="003F6777"/>
    <w:rsid w:val="003F6ABD"/>
    <w:rsid w:val="00400469"/>
    <w:rsid w:val="00402110"/>
    <w:rsid w:val="0040594F"/>
    <w:rsid w:val="00433A2E"/>
    <w:rsid w:val="00433B6F"/>
    <w:rsid w:val="00434BD8"/>
    <w:rsid w:val="0044527B"/>
    <w:rsid w:val="00453BDF"/>
    <w:rsid w:val="00455366"/>
    <w:rsid w:val="0046206D"/>
    <w:rsid w:val="00463E96"/>
    <w:rsid w:val="00465D5A"/>
    <w:rsid w:val="00466AE4"/>
    <w:rsid w:val="00470F12"/>
    <w:rsid w:val="00471E22"/>
    <w:rsid w:val="0047346D"/>
    <w:rsid w:val="0047372B"/>
    <w:rsid w:val="00481C40"/>
    <w:rsid w:val="004869F9"/>
    <w:rsid w:val="00487C57"/>
    <w:rsid w:val="00494B32"/>
    <w:rsid w:val="00495AB9"/>
    <w:rsid w:val="004A147E"/>
    <w:rsid w:val="004A2DE6"/>
    <w:rsid w:val="004A6537"/>
    <w:rsid w:val="004B405A"/>
    <w:rsid w:val="004B5480"/>
    <w:rsid w:val="004C0B63"/>
    <w:rsid w:val="004C2AA2"/>
    <w:rsid w:val="004C53B5"/>
    <w:rsid w:val="004D0EAB"/>
    <w:rsid w:val="004D212E"/>
    <w:rsid w:val="004D2196"/>
    <w:rsid w:val="004D43B2"/>
    <w:rsid w:val="004D5E28"/>
    <w:rsid w:val="004E3336"/>
    <w:rsid w:val="004F707E"/>
    <w:rsid w:val="004F7678"/>
    <w:rsid w:val="00503FB3"/>
    <w:rsid w:val="00506669"/>
    <w:rsid w:val="005072BA"/>
    <w:rsid w:val="0051653C"/>
    <w:rsid w:val="00517A0D"/>
    <w:rsid w:val="00522F37"/>
    <w:rsid w:val="00532E41"/>
    <w:rsid w:val="00535F65"/>
    <w:rsid w:val="0053702C"/>
    <w:rsid w:val="00546095"/>
    <w:rsid w:val="00554FB4"/>
    <w:rsid w:val="00555494"/>
    <w:rsid w:val="0055675A"/>
    <w:rsid w:val="00561EF2"/>
    <w:rsid w:val="00574798"/>
    <w:rsid w:val="00576159"/>
    <w:rsid w:val="00576CC4"/>
    <w:rsid w:val="005804B6"/>
    <w:rsid w:val="005819E1"/>
    <w:rsid w:val="0058570B"/>
    <w:rsid w:val="00585815"/>
    <w:rsid w:val="005911A0"/>
    <w:rsid w:val="00591B9F"/>
    <w:rsid w:val="005945D0"/>
    <w:rsid w:val="005954EF"/>
    <w:rsid w:val="0059647E"/>
    <w:rsid w:val="00597241"/>
    <w:rsid w:val="005A37EC"/>
    <w:rsid w:val="005B5C2A"/>
    <w:rsid w:val="005B6BEE"/>
    <w:rsid w:val="005C0905"/>
    <w:rsid w:val="005C0A50"/>
    <w:rsid w:val="005C3481"/>
    <w:rsid w:val="005C546B"/>
    <w:rsid w:val="005D4C0C"/>
    <w:rsid w:val="005D77F4"/>
    <w:rsid w:val="005D7896"/>
    <w:rsid w:val="005F0A88"/>
    <w:rsid w:val="005F3269"/>
    <w:rsid w:val="005F40C2"/>
    <w:rsid w:val="006207A1"/>
    <w:rsid w:val="006219E1"/>
    <w:rsid w:val="00622235"/>
    <w:rsid w:val="00625F17"/>
    <w:rsid w:val="00625FD7"/>
    <w:rsid w:val="00626DE1"/>
    <w:rsid w:val="00631035"/>
    <w:rsid w:val="0063110A"/>
    <w:rsid w:val="00631B1C"/>
    <w:rsid w:val="00635959"/>
    <w:rsid w:val="00637513"/>
    <w:rsid w:val="00657983"/>
    <w:rsid w:val="00660136"/>
    <w:rsid w:val="00662CD4"/>
    <w:rsid w:val="00665516"/>
    <w:rsid w:val="00671952"/>
    <w:rsid w:val="006748EE"/>
    <w:rsid w:val="0068114E"/>
    <w:rsid w:val="00682BEF"/>
    <w:rsid w:val="006836F2"/>
    <w:rsid w:val="0068641F"/>
    <w:rsid w:val="00693BFA"/>
    <w:rsid w:val="00693FEE"/>
    <w:rsid w:val="006962BC"/>
    <w:rsid w:val="006A1A98"/>
    <w:rsid w:val="006A3C49"/>
    <w:rsid w:val="006A507F"/>
    <w:rsid w:val="006B6760"/>
    <w:rsid w:val="006C00A1"/>
    <w:rsid w:val="006C35A0"/>
    <w:rsid w:val="006C56F8"/>
    <w:rsid w:val="006D1E05"/>
    <w:rsid w:val="006D5451"/>
    <w:rsid w:val="006D5873"/>
    <w:rsid w:val="006E3C21"/>
    <w:rsid w:val="006F1BC1"/>
    <w:rsid w:val="006F4628"/>
    <w:rsid w:val="0071013A"/>
    <w:rsid w:val="00711091"/>
    <w:rsid w:val="00715989"/>
    <w:rsid w:val="00715FA8"/>
    <w:rsid w:val="0071790C"/>
    <w:rsid w:val="0072434D"/>
    <w:rsid w:val="00725970"/>
    <w:rsid w:val="00726EBB"/>
    <w:rsid w:val="007366AD"/>
    <w:rsid w:val="00736AFA"/>
    <w:rsid w:val="007518D8"/>
    <w:rsid w:val="007524B1"/>
    <w:rsid w:val="00754674"/>
    <w:rsid w:val="0075742C"/>
    <w:rsid w:val="00760F86"/>
    <w:rsid w:val="007616DA"/>
    <w:rsid w:val="00770693"/>
    <w:rsid w:val="00774BFA"/>
    <w:rsid w:val="00774E41"/>
    <w:rsid w:val="00775D3A"/>
    <w:rsid w:val="00777085"/>
    <w:rsid w:val="007877C5"/>
    <w:rsid w:val="007915DA"/>
    <w:rsid w:val="0079339D"/>
    <w:rsid w:val="007952E2"/>
    <w:rsid w:val="00795E3C"/>
    <w:rsid w:val="007B191C"/>
    <w:rsid w:val="007B4960"/>
    <w:rsid w:val="007B61A7"/>
    <w:rsid w:val="007B6841"/>
    <w:rsid w:val="007C40F2"/>
    <w:rsid w:val="007D028C"/>
    <w:rsid w:val="007D0AA5"/>
    <w:rsid w:val="007D340F"/>
    <w:rsid w:val="007D4305"/>
    <w:rsid w:val="007D537A"/>
    <w:rsid w:val="007E476C"/>
    <w:rsid w:val="007E5955"/>
    <w:rsid w:val="007F4AA2"/>
    <w:rsid w:val="0080006B"/>
    <w:rsid w:val="00801F0E"/>
    <w:rsid w:val="008023EB"/>
    <w:rsid w:val="00803283"/>
    <w:rsid w:val="00806DB1"/>
    <w:rsid w:val="00812481"/>
    <w:rsid w:val="0081566B"/>
    <w:rsid w:val="00816286"/>
    <w:rsid w:val="00820F84"/>
    <w:rsid w:val="008223CA"/>
    <w:rsid w:val="00827B1C"/>
    <w:rsid w:val="00827DDE"/>
    <w:rsid w:val="008452A4"/>
    <w:rsid w:val="00846339"/>
    <w:rsid w:val="00852446"/>
    <w:rsid w:val="00854BE0"/>
    <w:rsid w:val="00857704"/>
    <w:rsid w:val="00871725"/>
    <w:rsid w:val="0087384C"/>
    <w:rsid w:val="00873C09"/>
    <w:rsid w:val="0088144D"/>
    <w:rsid w:val="008825D6"/>
    <w:rsid w:val="008866D3"/>
    <w:rsid w:val="008938E6"/>
    <w:rsid w:val="008A3183"/>
    <w:rsid w:val="008A653F"/>
    <w:rsid w:val="008A7DAB"/>
    <w:rsid w:val="008B2E74"/>
    <w:rsid w:val="008B37EC"/>
    <w:rsid w:val="008B7A51"/>
    <w:rsid w:val="008C01FF"/>
    <w:rsid w:val="008D04A7"/>
    <w:rsid w:val="008D0753"/>
    <w:rsid w:val="008D1DCA"/>
    <w:rsid w:val="008D2441"/>
    <w:rsid w:val="008E2703"/>
    <w:rsid w:val="008E41D8"/>
    <w:rsid w:val="008E5E1F"/>
    <w:rsid w:val="008F0982"/>
    <w:rsid w:val="008F0FE9"/>
    <w:rsid w:val="008F4010"/>
    <w:rsid w:val="008F5BC2"/>
    <w:rsid w:val="008F5F2F"/>
    <w:rsid w:val="00903F0F"/>
    <w:rsid w:val="00910586"/>
    <w:rsid w:val="0091408B"/>
    <w:rsid w:val="00914474"/>
    <w:rsid w:val="00914925"/>
    <w:rsid w:val="009224E8"/>
    <w:rsid w:val="0092798C"/>
    <w:rsid w:val="009326C6"/>
    <w:rsid w:val="009331F5"/>
    <w:rsid w:val="0093494E"/>
    <w:rsid w:val="00957581"/>
    <w:rsid w:val="0097075B"/>
    <w:rsid w:val="00972CA0"/>
    <w:rsid w:val="009775C3"/>
    <w:rsid w:val="00985582"/>
    <w:rsid w:val="0098708C"/>
    <w:rsid w:val="00990299"/>
    <w:rsid w:val="009906E4"/>
    <w:rsid w:val="00992F26"/>
    <w:rsid w:val="009934D0"/>
    <w:rsid w:val="009A1D6C"/>
    <w:rsid w:val="009A2A9A"/>
    <w:rsid w:val="009A5E9F"/>
    <w:rsid w:val="009A67D8"/>
    <w:rsid w:val="009A766C"/>
    <w:rsid w:val="009B2604"/>
    <w:rsid w:val="009B2B1D"/>
    <w:rsid w:val="009B3A23"/>
    <w:rsid w:val="009C5493"/>
    <w:rsid w:val="009C6528"/>
    <w:rsid w:val="009D0807"/>
    <w:rsid w:val="009D2BB3"/>
    <w:rsid w:val="009D6048"/>
    <w:rsid w:val="009E1D30"/>
    <w:rsid w:val="009E75A1"/>
    <w:rsid w:val="009F598F"/>
    <w:rsid w:val="009F77B8"/>
    <w:rsid w:val="009F7CA5"/>
    <w:rsid w:val="00A00A6B"/>
    <w:rsid w:val="00A04FDB"/>
    <w:rsid w:val="00A0792A"/>
    <w:rsid w:val="00A22D57"/>
    <w:rsid w:val="00A2647B"/>
    <w:rsid w:val="00A343A8"/>
    <w:rsid w:val="00A46F8E"/>
    <w:rsid w:val="00A47796"/>
    <w:rsid w:val="00A5241C"/>
    <w:rsid w:val="00A52E43"/>
    <w:rsid w:val="00A60D2F"/>
    <w:rsid w:val="00A66EA0"/>
    <w:rsid w:val="00A81FE1"/>
    <w:rsid w:val="00A86C96"/>
    <w:rsid w:val="00A95439"/>
    <w:rsid w:val="00AA08CB"/>
    <w:rsid w:val="00AA4517"/>
    <w:rsid w:val="00AA49CC"/>
    <w:rsid w:val="00AA6B63"/>
    <w:rsid w:val="00AB1852"/>
    <w:rsid w:val="00AB323A"/>
    <w:rsid w:val="00AC0EFC"/>
    <w:rsid w:val="00AC191D"/>
    <w:rsid w:val="00AD1A51"/>
    <w:rsid w:val="00AD4235"/>
    <w:rsid w:val="00AD7466"/>
    <w:rsid w:val="00AE13AA"/>
    <w:rsid w:val="00AE1C48"/>
    <w:rsid w:val="00AE761D"/>
    <w:rsid w:val="00AE7BE5"/>
    <w:rsid w:val="00AF2F3C"/>
    <w:rsid w:val="00AF6F7E"/>
    <w:rsid w:val="00B10880"/>
    <w:rsid w:val="00B14BD2"/>
    <w:rsid w:val="00B16777"/>
    <w:rsid w:val="00B24468"/>
    <w:rsid w:val="00B31D32"/>
    <w:rsid w:val="00B33FFF"/>
    <w:rsid w:val="00B42423"/>
    <w:rsid w:val="00B52ABC"/>
    <w:rsid w:val="00B53508"/>
    <w:rsid w:val="00B549EE"/>
    <w:rsid w:val="00B56D29"/>
    <w:rsid w:val="00B626E4"/>
    <w:rsid w:val="00B645F6"/>
    <w:rsid w:val="00B7350A"/>
    <w:rsid w:val="00B735AD"/>
    <w:rsid w:val="00B831E6"/>
    <w:rsid w:val="00B8562C"/>
    <w:rsid w:val="00B87515"/>
    <w:rsid w:val="00B9758B"/>
    <w:rsid w:val="00B97E97"/>
    <w:rsid w:val="00BA0312"/>
    <w:rsid w:val="00BB2EBE"/>
    <w:rsid w:val="00BB55DF"/>
    <w:rsid w:val="00BD2451"/>
    <w:rsid w:val="00BD27D3"/>
    <w:rsid w:val="00BD2D63"/>
    <w:rsid w:val="00BD54F1"/>
    <w:rsid w:val="00BE1B97"/>
    <w:rsid w:val="00BE64F8"/>
    <w:rsid w:val="00BF47BA"/>
    <w:rsid w:val="00BF6179"/>
    <w:rsid w:val="00BF6EC9"/>
    <w:rsid w:val="00C00C2D"/>
    <w:rsid w:val="00C07785"/>
    <w:rsid w:val="00C13977"/>
    <w:rsid w:val="00C14563"/>
    <w:rsid w:val="00C15CCE"/>
    <w:rsid w:val="00C23E75"/>
    <w:rsid w:val="00C2436A"/>
    <w:rsid w:val="00C24E05"/>
    <w:rsid w:val="00C2646F"/>
    <w:rsid w:val="00C271FA"/>
    <w:rsid w:val="00C27B65"/>
    <w:rsid w:val="00C32AF1"/>
    <w:rsid w:val="00C335C8"/>
    <w:rsid w:val="00C335D2"/>
    <w:rsid w:val="00C34708"/>
    <w:rsid w:val="00C424B8"/>
    <w:rsid w:val="00C5083B"/>
    <w:rsid w:val="00C52DB9"/>
    <w:rsid w:val="00C53C6B"/>
    <w:rsid w:val="00C7276D"/>
    <w:rsid w:val="00C766A7"/>
    <w:rsid w:val="00C803D1"/>
    <w:rsid w:val="00C85726"/>
    <w:rsid w:val="00CA5117"/>
    <w:rsid w:val="00CA622A"/>
    <w:rsid w:val="00CA6D85"/>
    <w:rsid w:val="00CB101E"/>
    <w:rsid w:val="00CB33AF"/>
    <w:rsid w:val="00CB7AB9"/>
    <w:rsid w:val="00CC43F7"/>
    <w:rsid w:val="00CC4ECD"/>
    <w:rsid w:val="00CC6839"/>
    <w:rsid w:val="00CC6A8D"/>
    <w:rsid w:val="00CD0B92"/>
    <w:rsid w:val="00CD23C4"/>
    <w:rsid w:val="00CD33DC"/>
    <w:rsid w:val="00D058A8"/>
    <w:rsid w:val="00D15B06"/>
    <w:rsid w:val="00D20C2F"/>
    <w:rsid w:val="00D30CAD"/>
    <w:rsid w:val="00D345D6"/>
    <w:rsid w:val="00D34E73"/>
    <w:rsid w:val="00D374EA"/>
    <w:rsid w:val="00D37860"/>
    <w:rsid w:val="00D42D36"/>
    <w:rsid w:val="00D463C2"/>
    <w:rsid w:val="00D476F3"/>
    <w:rsid w:val="00D51E81"/>
    <w:rsid w:val="00D60CD7"/>
    <w:rsid w:val="00D6117B"/>
    <w:rsid w:val="00D65BA7"/>
    <w:rsid w:val="00D65F27"/>
    <w:rsid w:val="00D709A7"/>
    <w:rsid w:val="00D72616"/>
    <w:rsid w:val="00D87380"/>
    <w:rsid w:val="00D913D5"/>
    <w:rsid w:val="00D916F9"/>
    <w:rsid w:val="00D929B9"/>
    <w:rsid w:val="00D93927"/>
    <w:rsid w:val="00DA0D78"/>
    <w:rsid w:val="00DA0FEA"/>
    <w:rsid w:val="00DA102A"/>
    <w:rsid w:val="00DA4EB4"/>
    <w:rsid w:val="00DA52BB"/>
    <w:rsid w:val="00DB4B88"/>
    <w:rsid w:val="00DC1320"/>
    <w:rsid w:val="00DC383F"/>
    <w:rsid w:val="00DC5ADD"/>
    <w:rsid w:val="00DD39DF"/>
    <w:rsid w:val="00DD4173"/>
    <w:rsid w:val="00DD63BA"/>
    <w:rsid w:val="00DE3B62"/>
    <w:rsid w:val="00DE40B0"/>
    <w:rsid w:val="00DF26FF"/>
    <w:rsid w:val="00E011A9"/>
    <w:rsid w:val="00E14FF3"/>
    <w:rsid w:val="00E16B82"/>
    <w:rsid w:val="00E2214E"/>
    <w:rsid w:val="00E40109"/>
    <w:rsid w:val="00E40BC1"/>
    <w:rsid w:val="00E4146F"/>
    <w:rsid w:val="00E44B0C"/>
    <w:rsid w:val="00E56335"/>
    <w:rsid w:val="00E56665"/>
    <w:rsid w:val="00E63185"/>
    <w:rsid w:val="00E70A47"/>
    <w:rsid w:val="00E74A0F"/>
    <w:rsid w:val="00E77326"/>
    <w:rsid w:val="00E77C6D"/>
    <w:rsid w:val="00E82AA1"/>
    <w:rsid w:val="00E83DE9"/>
    <w:rsid w:val="00E84DF7"/>
    <w:rsid w:val="00E92E51"/>
    <w:rsid w:val="00E9449B"/>
    <w:rsid w:val="00EA199C"/>
    <w:rsid w:val="00EB0C72"/>
    <w:rsid w:val="00EB3AE0"/>
    <w:rsid w:val="00EB5C90"/>
    <w:rsid w:val="00EC160F"/>
    <w:rsid w:val="00EC6935"/>
    <w:rsid w:val="00EC6BD4"/>
    <w:rsid w:val="00ED48B8"/>
    <w:rsid w:val="00ED77DA"/>
    <w:rsid w:val="00EE1D93"/>
    <w:rsid w:val="00EE7656"/>
    <w:rsid w:val="00EE7A41"/>
    <w:rsid w:val="00EF4046"/>
    <w:rsid w:val="00EF7A74"/>
    <w:rsid w:val="00F055CB"/>
    <w:rsid w:val="00F1117A"/>
    <w:rsid w:val="00F136B7"/>
    <w:rsid w:val="00F17A82"/>
    <w:rsid w:val="00F17D8A"/>
    <w:rsid w:val="00F17EDD"/>
    <w:rsid w:val="00F224F5"/>
    <w:rsid w:val="00F25FB9"/>
    <w:rsid w:val="00F26E7C"/>
    <w:rsid w:val="00F27A84"/>
    <w:rsid w:val="00F346A0"/>
    <w:rsid w:val="00F403D9"/>
    <w:rsid w:val="00F46DF2"/>
    <w:rsid w:val="00F52817"/>
    <w:rsid w:val="00F53BCA"/>
    <w:rsid w:val="00F54589"/>
    <w:rsid w:val="00F6154C"/>
    <w:rsid w:val="00F61B14"/>
    <w:rsid w:val="00F65F34"/>
    <w:rsid w:val="00F67EF2"/>
    <w:rsid w:val="00F7672C"/>
    <w:rsid w:val="00F76CAB"/>
    <w:rsid w:val="00F77707"/>
    <w:rsid w:val="00F81380"/>
    <w:rsid w:val="00F820B9"/>
    <w:rsid w:val="00F868F9"/>
    <w:rsid w:val="00F9318B"/>
    <w:rsid w:val="00F94AD3"/>
    <w:rsid w:val="00F96FE4"/>
    <w:rsid w:val="00F97567"/>
    <w:rsid w:val="00FA2D8B"/>
    <w:rsid w:val="00FA62A5"/>
    <w:rsid w:val="00FA7601"/>
    <w:rsid w:val="00FC04B1"/>
    <w:rsid w:val="00FC77A5"/>
    <w:rsid w:val="00FE06FA"/>
    <w:rsid w:val="00FE1F52"/>
    <w:rsid w:val="00FE40D0"/>
    <w:rsid w:val="00FE522D"/>
    <w:rsid w:val="00FE5A5C"/>
    <w:rsid w:val="00FE623E"/>
    <w:rsid w:val="00FE7B3F"/>
    <w:rsid w:val="00FF348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7FBD54"/>
  <w15:chartTrackingRefBased/>
  <w15:docId w15:val="{2D00EDE9-66DB-4174-BC82-9D1A525B2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46D"/>
    <w:pPr>
      <w:spacing w:line="360" w:lineRule="auto"/>
    </w:pPr>
    <w:rPr>
      <w:rFonts w:ascii="Microsoft Sans Serif" w:hAnsi="Microsoft Sans Serif"/>
    </w:rPr>
  </w:style>
  <w:style w:type="paragraph" w:styleId="Heading1">
    <w:name w:val="heading 1"/>
    <w:basedOn w:val="Normal"/>
    <w:next w:val="Normal"/>
    <w:link w:val="Heading1Char"/>
    <w:uiPriority w:val="9"/>
    <w:qFormat/>
    <w:rsid w:val="0047346D"/>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346D"/>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32313"/>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32313"/>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32313"/>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32313"/>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32313"/>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3231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3231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46D"/>
    <w:rPr>
      <w:rFonts w:ascii="Microsoft Sans Serif" w:eastAsiaTheme="majorEastAsia" w:hAnsi="Microsoft Sans Serif" w:cstheme="majorBidi"/>
      <w:color w:val="2F5496" w:themeColor="accent1" w:themeShade="BF"/>
      <w:sz w:val="32"/>
      <w:szCs w:val="32"/>
    </w:rPr>
  </w:style>
  <w:style w:type="character" w:customStyle="1" w:styleId="Heading2Char">
    <w:name w:val="Heading 2 Char"/>
    <w:basedOn w:val="DefaultParagraphFont"/>
    <w:link w:val="Heading2"/>
    <w:uiPriority w:val="9"/>
    <w:rsid w:val="0047346D"/>
    <w:rPr>
      <w:rFonts w:ascii="Microsoft Sans Serif" w:eastAsiaTheme="majorEastAsia" w:hAnsi="Microsoft Sans Serif"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3231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3231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3231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3231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3231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3231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3231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323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313"/>
    <w:rPr>
      <w:rFonts w:ascii="Microsoft Sans Serif" w:hAnsi="Microsoft Sans Serif"/>
    </w:rPr>
  </w:style>
  <w:style w:type="paragraph" w:styleId="Footer">
    <w:name w:val="footer"/>
    <w:basedOn w:val="Normal"/>
    <w:link w:val="FooterChar"/>
    <w:uiPriority w:val="99"/>
    <w:unhideWhenUsed/>
    <w:rsid w:val="000323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313"/>
    <w:rPr>
      <w:rFonts w:ascii="Microsoft Sans Serif" w:hAnsi="Microsoft Sans Serif"/>
    </w:rPr>
  </w:style>
  <w:style w:type="paragraph" w:styleId="TOCHeading">
    <w:name w:val="TOC Heading"/>
    <w:basedOn w:val="Heading1"/>
    <w:next w:val="Normal"/>
    <w:uiPriority w:val="39"/>
    <w:unhideWhenUsed/>
    <w:qFormat/>
    <w:rsid w:val="00032313"/>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032313"/>
    <w:pPr>
      <w:spacing w:after="100"/>
    </w:pPr>
  </w:style>
  <w:style w:type="character" w:styleId="Hyperlink">
    <w:name w:val="Hyperlink"/>
    <w:basedOn w:val="DefaultParagraphFont"/>
    <w:uiPriority w:val="99"/>
    <w:unhideWhenUsed/>
    <w:rsid w:val="00032313"/>
    <w:rPr>
      <w:color w:val="0563C1" w:themeColor="hyperlink"/>
      <w:u w:val="single"/>
    </w:rPr>
  </w:style>
  <w:style w:type="paragraph" w:styleId="TOC2">
    <w:name w:val="toc 2"/>
    <w:basedOn w:val="Normal"/>
    <w:next w:val="Normal"/>
    <w:autoRedefine/>
    <w:uiPriority w:val="39"/>
    <w:unhideWhenUsed/>
    <w:rsid w:val="00EA199C"/>
    <w:pPr>
      <w:spacing w:after="100"/>
      <w:ind w:left="220"/>
    </w:pPr>
  </w:style>
  <w:style w:type="paragraph" w:styleId="Title">
    <w:name w:val="Title"/>
    <w:basedOn w:val="Normal"/>
    <w:next w:val="Normal"/>
    <w:link w:val="TitleChar"/>
    <w:uiPriority w:val="10"/>
    <w:qFormat/>
    <w:rsid w:val="00EA199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199C"/>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145CBF"/>
    <w:pPr>
      <w:ind w:left="720"/>
      <w:contextualSpacing/>
    </w:pPr>
  </w:style>
  <w:style w:type="character" w:styleId="UnresolvedMention">
    <w:name w:val="Unresolved Mention"/>
    <w:basedOn w:val="DefaultParagraphFont"/>
    <w:uiPriority w:val="99"/>
    <w:semiHidden/>
    <w:unhideWhenUsed/>
    <w:rsid w:val="005911A0"/>
    <w:rPr>
      <w:color w:val="605E5C"/>
      <w:shd w:val="clear" w:color="auto" w:fill="E1DFDD"/>
    </w:rPr>
  </w:style>
  <w:style w:type="character" w:styleId="FollowedHyperlink">
    <w:name w:val="FollowedHyperlink"/>
    <w:basedOn w:val="DefaultParagraphFont"/>
    <w:uiPriority w:val="99"/>
    <w:semiHidden/>
    <w:unhideWhenUsed/>
    <w:rsid w:val="00C15CCE"/>
    <w:rPr>
      <w:color w:val="954F72" w:themeColor="followedHyperlink"/>
      <w:u w:val="single"/>
    </w:rPr>
  </w:style>
  <w:style w:type="character" w:customStyle="1" w:styleId="author">
    <w:name w:val="author"/>
    <w:basedOn w:val="DefaultParagraphFont"/>
    <w:rsid w:val="00B16777"/>
  </w:style>
  <w:style w:type="character" w:customStyle="1" w:styleId="pubyear">
    <w:name w:val="pubyear"/>
    <w:basedOn w:val="DefaultParagraphFont"/>
    <w:rsid w:val="00B16777"/>
  </w:style>
  <w:style w:type="character" w:customStyle="1" w:styleId="articletitle">
    <w:name w:val="articletitle"/>
    <w:basedOn w:val="DefaultParagraphFont"/>
    <w:rsid w:val="00B16777"/>
  </w:style>
  <w:style w:type="character" w:customStyle="1" w:styleId="vol">
    <w:name w:val="vol"/>
    <w:basedOn w:val="DefaultParagraphFont"/>
    <w:rsid w:val="00B16777"/>
  </w:style>
  <w:style w:type="character" w:customStyle="1" w:styleId="citedissue">
    <w:name w:val="citedissue"/>
    <w:basedOn w:val="DefaultParagraphFont"/>
    <w:rsid w:val="00B16777"/>
  </w:style>
  <w:style w:type="character" w:customStyle="1" w:styleId="pagefirst">
    <w:name w:val="pagefirst"/>
    <w:basedOn w:val="DefaultParagraphFont"/>
    <w:rsid w:val="00B16777"/>
  </w:style>
  <w:style w:type="character" w:customStyle="1" w:styleId="pagelast">
    <w:name w:val="pagelast"/>
    <w:basedOn w:val="DefaultParagraphFont"/>
    <w:rsid w:val="00B16777"/>
  </w:style>
  <w:style w:type="paragraph" w:styleId="NormalWeb">
    <w:name w:val="Normal (Web)"/>
    <w:basedOn w:val="Normal"/>
    <w:uiPriority w:val="99"/>
    <w:semiHidden/>
    <w:unhideWhenUsed/>
    <w:rsid w:val="00F820B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A2647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927501">
      <w:bodyDiv w:val="1"/>
      <w:marLeft w:val="0"/>
      <w:marRight w:val="0"/>
      <w:marTop w:val="0"/>
      <w:marBottom w:val="0"/>
      <w:divBdr>
        <w:top w:val="none" w:sz="0" w:space="0" w:color="auto"/>
        <w:left w:val="none" w:sz="0" w:space="0" w:color="auto"/>
        <w:bottom w:val="none" w:sz="0" w:space="0" w:color="auto"/>
        <w:right w:val="none" w:sz="0" w:space="0" w:color="auto"/>
      </w:divBdr>
    </w:div>
    <w:div w:id="1238783265">
      <w:bodyDiv w:val="1"/>
      <w:marLeft w:val="0"/>
      <w:marRight w:val="0"/>
      <w:marTop w:val="0"/>
      <w:marBottom w:val="0"/>
      <w:divBdr>
        <w:top w:val="none" w:sz="0" w:space="0" w:color="auto"/>
        <w:left w:val="none" w:sz="0" w:space="0" w:color="auto"/>
        <w:bottom w:val="none" w:sz="0" w:space="0" w:color="auto"/>
        <w:right w:val="none" w:sz="0" w:space="0" w:color="auto"/>
      </w:divBdr>
      <w:divsChild>
        <w:div w:id="211694964">
          <w:marLeft w:val="0"/>
          <w:marRight w:val="0"/>
          <w:marTop w:val="0"/>
          <w:marBottom w:val="0"/>
          <w:divBdr>
            <w:top w:val="none" w:sz="0" w:space="0" w:color="auto"/>
            <w:left w:val="none" w:sz="0" w:space="0" w:color="auto"/>
            <w:bottom w:val="none" w:sz="0" w:space="0" w:color="auto"/>
            <w:right w:val="none" w:sz="0" w:space="0" w:color="auto"/>
          </w:divBdr>
          <w:divsChild>
            <w:div w:id="347996981">
              <w:marLeft w:val="0"/>
              <w:marRight w:val="0"/>
              <w:marTop w:val="0"/>
              <w:marBottom w:val="0"/>
              <w:divBdr>
                <w:top w:val="none" w:sz="0" w:space="0" w:color="auto"/>
                <w:left w:val="none" w:sz="0" w:space="0" w:color="auto"/>
                <w:bottom w:val="none" w:sz="0" w:space="0" w:color="auto"/>
                <w:right w:val="none" w:sz="0" w:space="0" w:color="auto"/>
              </w:divBdr>
              <w:divsChild>
                <w:div w:id="875700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989859">
      <w:bodyDiv w:val="1"/>
      <w:marLeft w:val="0"/>
      <w:marRight w:val="0"/>
      <w:marTop w:val="0"/>
      <w:marBottom w:val="0"/>
      <w:divBdr>
        <w:top w:val="none" w:sz="0" w:space="0" w:color="auto"/>
        <w:left w:val="none" w:sz="0" w:space="0" w:color="auto"/>
        <w:bottom w:val="none" w:sz="0" w:space="0" w:color="auto"/>
        <w:right w:val="none" w:sz="0" w:space="0" w:color="auto"/>
      </w:divBdr>
      <w:divsChild>
        <w:div w:id="1272785895">
          <w:marLeft w:val="0"/>
          <w:marRight w:val="0"/>
          <w:marTop w:val="0"/>
          <w:marBottom w:val="0"/>
          <w:divBdr>
            <w:top w:val="single" w:sz="2" w:space="0" w:color="E3E3E3"/>
            <w:left w:val="single" w:sz="2" w:space="0" w:color="E3E3E3"/>
            <w:bottom w:val="single" w:sz="2" w:space="0" w:color="E3E3E3"/>
            <w:right w:val="single" w:sz="2" w:space="0" w:color="E3E3E3"/>
          </w:divBdr>
          <w:divsChild>
            <w:div w:id="1223441401">
              <w:marLeft w:val="0"/>
              <w:marRight w:val="0"/>
              <w:marTop w:val="0"/>
              <w:marBottom w:val="0"/>
              <w:divBdr>
                <w:top w:val="single" w:sz="2" w:space="0" w:color="E3E3E3"/>
                <w:left w:val="single" w:sz="2" w:space="0" w:color="E3E3E3"/>
                <w:bottom w:val="single" w:sz="2" w:space="0" w:color="E3E3E3"/>
                <w:right w:val="single" w:sz="2" w:space="0" w:color="E3E3E3"/>
              </w:divBdr>
              <w:divsChild>
                <w:div w:id="241725339">
                  <w:marLeft w:val="0"/>
                  <w:marRight w:val="0"/>
                  <w:marTop w:val="0"/>
                  <w:marBottom w:val="0"/>
                  <w:divBdr>
                    <w:top w:val="single" w:sz="2" w:space="0" w:color="E3E3E3"/>
                    <w:left w:val="single" w:sz="2" w:space="0" w:color="E3E3E3"/>
                    <w:bottom w:val="single" w:sz="2" w:space="0" w:color="E3E3E3"/>
                    <w:right w:val="single" w:sz="2" w:space="0" w:color="E3E3E3"/>
                  </w:divBdr>
                  <w:divsChild>
                    <w:div w:id="2108848010">
                      <w:marLeft w:val="0"/>
                      <w:marRight w:val="0"/>
                      <w:marTop w:val="0"/>
                      <w:marBottom w:val="0"/>
                      <w:divBdr>
                        <w:top w:val="single" w:sz="2" w:space="0" w:color="E3E3E3"/>
                        <w:left w:val="single" w:sz="2" w:space="0" w:color="E3E3E3"/>
                        <w:bottom w:val="single" w:sz="2" w:space="0" w:color="E3E3E3"/>
                        <w:right w:val="single" w:sz="2" w:space="0" w:color="E3E3E3"/>
                      </w:divBdr>
                      <w:divsChild>
                        <w:div w:id="404226155">
                          <w:marLeft w:val="0"/>
                          <w:marRight w:val="0"/>
                          <w:marTop w:val="0"/>
                          <w:marBottom w:val="0"/>
                          <w:divBdr>
                            <w:top w:val="single" w:sz="2" w:space="0" w:color="E3E3E3"/>
                            <w:left w:val="single" w:sz="2" w:space="0" w:color="E3E3E3"/>
                            <w:bottom w:val="single" w:sz="2" w:space="0" w:color="E3E3E3"/>
                            <w:right w:val="single" w:sz="2" w:space="0" w:color="E3E3E3"/>
                          </w:divBdr>
                          <w:divsChild>
                            <w:div w:id="1708985756">
                              <w:marLeft w:val="0"/>
                              <w:marRight w:val="0"/>
                              <w:marTop w:val="100"/>
                              <w:marBottom w:val="100"/>
                              <w:divBdr>
                                <w:top w:val="single" w:sz="2" w:space="0" w:color="E3E3E3"/>
                                <w:left w:val="single" w:sz="2" w:space="0" w:color="E3E3E3"/>
                                <w:bottom w:val="single" w:sz="2" w:space="0" w:color="E3E3E3"/>
                                <w:right w:val="single" w:sz="2" w:space="0" w:color="E3E3E3"/>
                              </w:divBdr>
                              <w:divsChild>
                                <w:div w:id="904072215">
                                  <w:marLeft w:val="0"/>
                                  <w:marRight w:val="0"/>
                                  <w:marTop w:val="0"/>
                                  <w:marBottom w:val="0"/>
                                  <w:divBdr>
                                    <w:top w:val="single" w:sz="2" w:space="0" w:color="E3E3E3"/>
                                    <w:left w:val="single" w:sz="2" w:space="0" w:color="E3E3E3"/>
                                    <w:bottom w:val="single" w:sz="2" w:space="0" w:color="E3E3E3"/>
                                    <w:right w:val="single" w:sz="2" w:space="0" w:color="E3E3E3"/>
                                  </w:divBdr>
                                  <w:divsChild>
                                    <w:div w:id="2020959681">
                                      <w:marLeft w:val="0"/>
                                      <w:marRight w:val="0"/>
                                      <w:marTop w:val="0"/>
                                      <w:marBottom w:val="0"/>
                                      <w:divBdr>
                                        <w:top w:val="single" w:sz="2" w:space="0" w:color="E3E3E3"/>
                                        <w:left w:val="single" w:sz="2" w:space="0" w:color="E3E3E3"/>
                                        <w:bottom w:val="single" w:sz="2" w:space="0" w:color="E3E3E3"/>
                                        <w:right w:val="single" w:sz="2" w:space="0" w:color="E3E3E3"/>
                                      </w:divBdr>
                                      <w:divsChild>
                                        <w:div w:id="7144098">
                                          <w:marLeft w:val="0"/>
                                          <w:marRight w:val="0"/>
                                          <w:marTop w:val="0"/>
                                          <w:marBottom w:val="0"/>
                                          <w:divBdr>
                                            <w:top w:val="single" w:sz="2" w:space="0" w:color="E3E3E3"/>
                                            <w:left w:val="single" w:sz="2" w:space="0" w:color="E3E3E3"/>
                                            <w:bottom w:val="single" w:sz="2" w:space="0" w:color="E3E3E3"/>
                                            <w:right w:val="single" w:sz="2" w:space="0" w:color="E3E3E3"/>
                                          </w:divBdr>
                                          <w:divsChild>
                                            <w:div w:id="787891361">
                                              <w:marLeft w:val="0"/>
                                              <w:marRight w:val="0"/>
                                              <w:marTop w:val="0"/>
                                              <w:marBottom w:val="0"/>
                                              <w:divBdr>
                                                <w:top w:val="single" w:sz="2" w:space="0" w:color="E3E3E3"/>
                                                <w:left w:val="single" w:sz="2" w:space="0" w:color="E3E3E3"/>
                                                <w:bottom w:val="single" w:sz="2" w:space="0" w:color="E3E3E3"/>
                                                <w:right w:val="single" w:sz="2" w:space="0" w:color="E3E3E3"/>
                                              </w:divBdr>
                                              <w:divsChild>
                                                <w:div w:id="1890069081">
                                                  <w:marLeft w:val="0"/>
                                                  <w:marRight w:val="0"/>
                                                  <w:marTop w:val="0"/>
                                                  <w:marBottom w:val="0"/>
                                                  <w:divBdr>
                                                    <w:top w:val="single" w:sz="2" w:space="0" w:color="E3E3E3"/>
                                                    <w:left w:val="single" w:sz="2" w:space="0" w:color="E3E3E3"/>
                                                    <w:bottom w:val="single" w:sz="2" w:space="0" w:color="E3E3E3"/>
                                                    <w:right w:val="single" w:sz="2" w:space="0" w:color="E3E3E3"/>
                                                  </w:divBdr>
                                                  <w:divsChild>
                                                    <w:div w:id="1996285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85129649">
          <w:marLeft w:val="0"/>
          <w:marRight w:val="0"/>
          <w:marTop w:val="0"/>
          <w:marBottom w:val="0"/>
          <w:divBdr>
            <w:top w:val="none" w:sz="0" w:space="0" w:color="auto"/>
            <w:left w:val="none" w:sz="0" w:space="0" w:color="auto"/>
            <w:bottom w:val="none" w:sz="0" w:space="0" w:color="auto"/>
            <w:right w:val="none" w:sz="0" w:space="0" w:color="auto"/>
          </w:divBdr>
        </w:div>
      </w:divsChild>
    </w:div>
    <w:div w:id="1775589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dorna.com/wp-content/uploads/2022/07/ESG_Annual_Report_2021.pdf" TargetMode="External"/><Relationship Id="rId18" Type="http://schemas.openxmlformats.org/officeDocument/2006/relationships/hyperlink" Target="https://www.motogp.com/en/news/2022/09/18/dorna-sports-obtains-international-iso-20121-certification/181754" TargetMode="External"/><Relationship Id="rId3" Type="http://schemas.openxmlformats.org/officeDocument/2006/relationships/styles" Target="styles.xml"/><Relationship Id="rId21" Type="http://schemas.openxmlformats.org/officeDocument/2006/relationships/hyperlink" Target="https://www.motogp.com/en/news/2021/11/24/motogp-racing-towards-the-fuel-of-the-future/186321"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globalgoals.org/goal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dorna.com/wp-content/uploads/2022/06/Sustainable-development-policy-ISO-20121-.pdf" TargetMode="External"/><Relationship Id="rId20" Type="http://schemas.openxmlformats.org/officeDocument/2006/relationships/hyperlink" Target="https://www.youtube.com/watch?v=dLBl3VnUpJ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dorna.com/sustainability/" TargetMode="External"/><Relationship Id="rId23" Type="http://schemas.openxmlformats.org/officeDocument/2006/relationships/hyperlink" Target="https://www.ricardo.com/en/news-and-insights/insights/future-of-motorsport-opportunities-and-challenges" TargetMode="External"/><Relationship Id="rId10" Type="http://schemas.openxmlformats.org/officeDocument/2006/relationships/image" Target="media/image2.jpeg"/><Relationship Id="rId19" Type="http://schemas.openxmlformats.org/officeDocument/2006/relationships/hyperlink" Target="https://www.motogp.com/en/racing-together/kis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publications.dorna.com/.esg_annualreport2022/?_ga=2.76999708.806036197.1695907643-730965176.1695394320" TargetMode="External"/><Relationship Id="rId22" Type="http://schemas.openxmlformats.org/officeDocument/2006/relationships/hyperlink" Target="https://mugellocircuit.com/en/systems-management/certificati/iso-9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944EB6-0B90-4F0F-8A9F-2A246EF317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4143</Words>
  <Characters>23621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King</dc:creator>
  <cp:keywords/>
  <dc:description/>
  <cp:lastModifiedBy>Aidan King (2107344)</cp:lastModifiedBy>
  <cp:revision>570</cp:revision>
  <dcterms:created xsi:type="dcterms:W3CDTF">2021-10-14T16:30:00Z</dcterms:created>
  <dcterms:modified xsi:type="dcterms:W3CDTF">2024-03-14T11:02:00Z</dcterms:modified>
</cp:coreProperties>
</file>