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31B94" w14:textId="77777777" w:rsidR="00350B70" w:rsidRPr="0030400D" w:rsidRDefault="00350B70" w:rsidP="00876381">
      <w:pPr>
        <w:pStyle w:val="NormalWeb"/>
        <w:spacing w:line="360" w:lineRule="auto"/>
        <w:rPr>
          <w:rFonts w:ascii="Arial" w:hAnsi="Arial" w:cs="Arial"/>
          <w:sz w:val="28"/>
          <w:szCs w:val="28"/>
        </w:rPr>
      </w:pPr>
      <w:r w:rsidRPr="0030400D">
        <w:rPr>
          <w:rStyle w:val="Strong"/>
          <w:rFonts w:ascii="Arial" w:hAnsi="Arial" w:cs="Arial"/>
          <w:sz w:val="28"/>
          <w:szCs w:val="28"/>
        </w:rPr>
        <w:t>Certificate of Higher Education in Health and Social Care</w:t>
      </w:r>
    </w:p>
    <w:p w14:paraId="7C55E86F" w14:textId="2916FB78" w:rsidR="00741029" w:rsidRPr="00876381" w:rsidRDefault="00350B70" w:rsidP="00FE0A6D">
      <w:pPr>
        <w:pStyle w:val="NormalWeb"/>
        <w:spacing w:line="360" w:lineRule="auto"/>
        <w:rPr>
          <w:rFonts w:ascii="Arial" w:hAnsi="Arial" w:cs="Arial"/>
          <w:b/>
          <w:bCs/>
          <w:sz w:val="22"/>
          <w:szCs w:val="22"/>
        </w:rPr>
      </w:pPr>
      <w:r w:rsidRPr="00741029">
        <w:rPr>
          <w:rStyle w:val="Strong"/>
          <w:rFonts w:ascii="Arial" w:hAnsi="Arial" w:cs="Arial"/>
          <w:sz w:val="22"/>
          <w:szCs w:val="22"/>
        </w:rPr>
        <w:t>Module:</w:t>
      </w:r>
      <w:r w:rsidRPr="00741029">
        <w:rPr>
          <w:rFonts w:ascii="Arial" w:hAnsi="Arial" w:cs="Arial"/>
          <w:sz w:val="22"/>
          <w:szCs w:val="22"/>
        </w:rPr>
        <w:t xml:space="preserve"> Psychology in Health and Social Care (LCHS4010)</w:t>
      </w:r>
      <w:r w:rsidRPr="00741029">
        <w:rPr>
          <w:rFonts w:ascii="Arial" w:hAnsi="Arial" w:cs="Arial"/>
          <w:sz w:val="22"/>
          <w:szCs w:val="22"/>
        </w:rPr>
        <w:br/>
      </w:r>
      <w:r w:rsidRPr="00741029">
        <w:rPr>
          <w:rStyle w:val="Strong"/>
          <w:rFonts w:ascii="Arial" w:hAnsi="Arial" w:cs="Arial"/>
          <w:sz w:val="22"/>
          <w:szCs w:val="22"/>
        </w:rPr>
        <w:t>Assignment 2:</w:t>
      </w:r>
      <w:r w:rsidRPr="00741029">
        <w:rPr>
          <w:rFonts w:ascii="Arial" w:hAnsi="Arial" w:cs="Arial"/>
          <w:sz w:val="22"/>
          <w:szCs w:val="22"/>
        </w:rPr>
        <w:t xml:space="preserve"> Written Task – Report</w:t>
      </w:r>
      <w:r w:rsidRPr="00741029">
        <w:rPr>
          <w:rFonts w:ascii="Arial" w:hAnsi="Arial" w:cs="Arial"/>
          <w:sz w:val="22"/>
          <w:szCs w:val="22"/>
        </w:rPr>
        <w:br/>
      </w:r>
      <w:r w:rsidRPr="00741029">
        <w:rPr>
          <w:rStyle w:val="Strong"/>
          <w:rFonts w:ascii="Arial" w:hAnsi="Arial" w:cs="Arial"/>
          <w:sz w:val="22"/>
          <w:szCs w:val="22"/>
        </w:rPr>
        <w:t>Title:</w:t>
      </w:r>
      <w:r w:rsidRPr="00741029">
        <w:rPr>
          <w:rFonts w:ascii="Arial" w:hAnsi="Arial" w:cs="Arial"/>
          <w:sz w:val="22"/>
          <w:szCs w:val="22"/>
        </w:rPr>
        <w:t xml:space="preserve"> Application of Psychological Theories to Support Older Adults with Dementia</w:t>
      </w:r>
      <w:r w:rsidRPr="00741029">
        <w:rPr>
          <w:rFonts w:ascii="Arial" w:hAnsi="Arial" w:cs="Arial"/>
          <w:sz w:val="22"/>
          <w:szCs w:val="22"/>
        </w:rPr>
        <w:br/>
      </w:r>
      <w:r w:rsidRPr="00741029">
        <w:rPr>
          <w:rStyle w:val="Strong"/>
          <w:rFonts w:ascii="Arial" w:hAnsi="Arial" w:cs="Arial"/>
          <w:sz w:val="22"/>
          <w:szCs w:val="22"/>
        </w:rPr>
        <w:t>Student Name:</w:t>
      </w:r>
      <w:r w:rsidRPr="00741029">
        <w:rPr>
          <w:rFonts w:ascii="Arial" w:hAnsi="Arial" w:cs="Arial"/>
          <w:sz w:val="22"/>
          <w:szCs w:val="22"/>
        </w:rPr>
        <w:t xml:space="preserve"> Sasha Mohammed</w:t>
      </w:r>
      <w:r w:rsidRPr="00741029">
        <w:rPr>
          <w:rFonts w:ascii="Arial" w:hAnsi="Arial" w:cs="Arial"/>
          <w:sz w:val="22"/>
          <w:szCs w:val="22"/>
        </w:rPr>
        <w:br/>
      </w:r>
      <w:r w:rsidRPr="00741029">
        <w:rPr>
          <w:rStyle w:val="Strong"/>
          <w:rFonts w:ascii="Arial" w:hAnsi="Arial" w:cs="Arial"/>
          <w:sz w:val="22"/>
          <w:szCs w:val="22"/>
        </w:rPr>
        <w:t>Student ID:</w:t>
      </w:r>
      <w:r w:rsidRPr="00741029">
        <w:rPr>
          <w:rFonts w:ascii="Arial" w:hAnsi="Arial" w:cs="Arial"/>
          <w:sz w:val="22"/>
          <w:szCs w:val="22"/>
        </w:rPr>
        <w:t xml:space="preserve"> 2429698</w:t>
      </w:r>
      <w:r w:rsidRPr="00741029">
        <w:rPr>
          <w:rFonts w:ascii="Arial" w:hAnsi="Arial" w:cs="Arial"/>
          <w:sz w:val="22"/>
          <w:szCs w:val="22"/>
        </w:rPr>
        <w:br/>
      </w:r>
      <w:r w:rsidRPr="00741029">
        <w:rPr>
          <w:rStyle w:val="Strong"/>
          <w:rFonts w:ascii="Arial" w:hAnsi="Arial" w:cs="Arial"/>
          <w:sz w:val="22"/>
          <w:szCs w:val="22"/>
        </w:rPr>
        <w:t>Lecturer:</w:t>
      </w:r>
      <w:r w:rsidRPr="00741029">
        <w:rPr>
          <w:rFonts w:ascii="Arial" w:hAnsi="Arial" w:cs="Arial"/>
          <w:sz w:val="22"/>
          <w:szCs w:val="22"/>
        </w:rPr>
        <w:t xml:space="preserve"> Peace Ukachukwu </w:t>
      </w:r>
      <w:r w:rsidRPr="00741029">
        <w:rPr>
          <w:rFonts w:ascii="Arial" w:hAnsi="Arial" w:cs="Arial"/>
          <w:sz w:val="22"/>
          <w:szCs w:val="22"/>
        </w:rPr>
        <w:br/>
      </w:r>
      <w:r w:rsidRPr="00741029">
        <w:rPr>
          <w:rStyle w:val="Strong"/>
          <w:rFonts w:ascii="Arial" w:hAnsi="Arial" w:cs="Arial"/>
          <w:sz w:val="22"/>
          <w:szCs w:val="22"/>
        </w:rPr>
        <w:t>Word Count:</w:t>
      </w:r>
      <w:r w:rsidR="00F21EA1" w:rsidRPr="00741029">
        <w:rPr>
          <w:rFonts w:ascii="Arial" w:hAnsi="Arial" w:cs="Arial"/>
          <w:sz w:val="22"/>
          <w:szCs w:val="22"/>
        </w:rPr>
        <w:t xml:space="preserve"> </w:t>
      </w:r>
      <w:r w:rsidR="00F21EA1">
        <w:rPr>
          <w:rFonts w:ascii="Arial" w:hAnsi="Arial" w:cs="Arial"/>
          <w:sz w:val="22"/>
          <w:szCs w:val="22"/>
        </w:rPr>
        <w:t>1600</w:t>
      </w:r>
      <w:r w:rsidRPr="00741029">
        <w:rPr>
          <w:rFonts w:ascii="Arial" w:hAnsi="Arial" w:cs="Arial"/>
          <w:sz w:val="22"/>
          <w:szCs w:val="22"/>
        </w:rPr>
        <w:br/>
      </w:r>
      <w:r w:rsidRPr="00741029">
        <w:rPr>
          <w:rStyle w:val="Strong"/>
          <w:rFonts w:ascii="Arial" w:hAnsi="Arial" w:cs="Arial"/>
          <w:sz w:val="22"/>
          <w:szCs w:val="22"/>
        </w:rPr>
        <w:t>Submission Date:</w:t>
      </w:r>
      <w:r w:rsidRPr="00741029">
        <w:rPr>
          <w:rFonts w:ascii="Arial" w:hAnsi="Arial" w:cs="Arial"/>
          <w:sz w:val="22"/>
          <w:szCs w:val="22"/>
        </w:rPr>
        <w:t xml:space="preserve"> 19 December 2025</w:t>
      </w:r>
    </w:p>
    <w:p w14:paraId="3AE3FFF2" w14:textId="579FB028" w:rsidR="0030192B" w:rsidRPr="0030192B" w:rsidRDefault="0030192B" w:rsidP="00FE0A6D">
      <w:pPr>
        <w:spacing w:line="360" w:lineRule="auto"/>
        <w:rPr>
          <w:rFonts w:ascii="Arial" w:hAnsi="Arial" w:cs="Arial"/>
          <w:b/>
          <w:bCs/>
        </w:rPr>
      </w:pPr>
      <w:bookmarkStart w:id="0" w:name="_Toc213615995"/>
      <w:r w:rsidRPr="0030192B">
        <w:rPr>
          <w:rFonts w:ascii="Arial" w:hAnsi="Arial" w:cs="Arial"/>
          <w:b/>
          <w:bCs/>
        </w:rPr>
        <w:t>AI Acknowledgment</w:t>
      </w:r>
      <w:bookmarkEnd w:id="0"/>
      <w:r>
        <w:br/>
      </w:r>
      <w:r w:rsidRPr="0030192B">
        <w:rPr>
          <w:rFonts w:ascii="Arial" w:hAnsi="Arial" w:cs="Arial"/>
        </w:rPr>
        <w:t>I confirm that I used AI-supported tools such as Grammarly for proofreading, grammar checking and clarity improvements only. All ideas, analysis and written content are my own work, and no AI writing tool was used to generate the assignment.</w:t>
      </w:r>
    </w:p>
    <w:p w14:paraId="257BC472" w14:textId="77777777" w:rsidR="00741029" w:rsidRPr="00741029" w:rsidRDefault="00741029" w:rsidP="00241E54">
      <w:pPr>
        <w:jc w:val="both"/>
        <w:rPr>
          <w:rFonts w:ascii="Arial" w:eastAsia="Times New Roman" w:hAnsi="Arial" w:cs="Arial"/>
          <w:lang w:eastAsia="en-GB"/>
        </w:rPr>
      </w:pPr>
      <w:r w:rsidRPr="00741029">
        <w:rPr>
          <w:rFonts w:ascii="Arial" w:hAnsi="Arial" w:cs="Arial"/>
        </w:rPr>
        <w:br w:type="page"/>
      </w:r>
    </w:p>
    <w:sdt>
      <w:sdtPr>
        <w:rPr>
          <w:rFonts w:ascii="Arial" w:eastAsiaTheme="minorHAnsi" w:hAnsi="Arial" w:cs="Arial"/>
          <w:color w:val="auto"/>
          <w:sz w:val="22"/>
          <w:szCs w:val="22"/>
          <w:lang w:val="en-GB"/>
        </w:rPr>
        <w:id w:val="687033881"/>
        <w:docPartObj>
          <w:docPartGallery w:val="Table of Contents"/>
          <w:docPartUnique/>
        </w:docPartObj>
      </w:sdtPr>
      <w:sdtEndPr>
        <w:rPr>
          <w:b/>
          <w:bCs/>
          <w:noProof/>
        </w:rPr>
      </w:sdtEndPr>
      <w:sdtContent>
        <w:p w14:paraId="58C365A5" w14:textId="6D9F298F" w:rsidR="00741029" w:rsidRPr="0030400D" w:rsidRDefault="00741029" w:rsidP="00241E54">
          <w:pPr>
            <w:pStyle w:val="TOCHeading"/>
            <w:jc w:val="both"/>
            <w:rPr>
              <w:rFonts w:ascii="Arial" w:hAnsi="Arial" w:cs="Arial"/>
              <w:b/>
              <w:bCs/>
              <w:sz w:val="28"/>
              <w:szCs w:val="28"/>
            </w:rPr>
          </w:pPr>
          <w:r w:rsidRPr="0030400D">
            <w:rPr>
              <w:rFonts w:ascii="Arial" w:hAnsi="Arial" w:cs="Arial"/>
              <w:b/>
              <w:bCs/>
              <w:sz w:val="28"/>
              <w:szCs w:val="28"/>
            </w:rPr>
            <w:t>Contents</w:t>
          </w:r>
        </w:p>
        <w:p w14:paraId="0E0A363C" w14:textId="77777777" w:rsidR="00741029" w:rsidRPr="00741029" w:rsidRDefault="00741029" w:rsidP="00241E54">
          <w:pPr>
            <w:jc w:val="both"/>
            <w:rPr>
              <w:lang w:val="en-US"/>
            </w:rPr>
          </w:pPr>
        </w:p>
        <w:p w14:paraId="4F8FBF15" w14:textId="2D0EF5CF" w:rsidR="00FE0A6D" w:rsidRDefault="00741029">
          <w:pPr>
            <w:pStyle w:val="TOC1"/>
            <w:tabs>
              <w:tab w:val="right" w:leader="dot" w:pos="9016"/>
            </w:tabs>
            <w:rPr>
              <w:rFonts w:eastAsiaTheme="minorEastAsia"/>
              <w:noProof/>
              <w:lang w:eastAsia="en-GB"/>
            </w:rPr>
          </w:pPr>
          <w:r w:rsidRPr="00741029">
            <w:rPr>
              <w:rFonts w:ascii="Arial" w:hAnsi="Arial" w:cs="Arial"/>
            </w:rPr>
            <w:fldChar w:fldCharType="begin"/>
          </w:r>
          <w:r w:rsidRPr="00741029">
            <w:rPr>
              <w:rFonts w:ascii="Arial" w:hAnsi="Arial" w:cs="Arial"/>
            </w:rPr>
            <w:instrText xml:space="preserve"> TOC \o "1-3" \h \z \u </w:instrText>
          </w:r>
          <w:r w:rsidRPr="00741029">
            <w:rPr>
              <w:rFonts w:ascii="Arial" w:hAnsi="Arial" w:cs="Arial"/>
            </w:rPr>
            <w:fldChar w:fldCharType="separate"/>
          </w:r>
          <w:hyperlink w:anchor="_Toc215396176" w:history="1">
            <w:r w:rsidR="00FE0A6D" w:rsidRPr="000E5C3A">
              <w:rPr>
                <w:rStyle w:val="Hyperlink"/>
                <w:rFonts w:ascii="Arial" w:hAnsi="Arial" w:cs="Arial"/>
                <w:b/>
                <w:bCs/>
                <w:noProof/>
              </w:rPr>
              <w:t>Introduction</w:t>
            </w:r>
            <w:r w:rsidR="00FE0A6D">
              <w:rPr>
                <w:noProof/>
                <w:webHidden/>
              </w:rPr>
              <w:tab/>
            </w:r>
            <w:r w:rsidR="00FE0A6D">
              <w:rPr>
                <w:noProof/>
                <w:webHidden/>
              </w:rPr>
              <w:fldChar w:fldCharType="begin"/>
            </w:r>
            <w:r w:rsidR="00FE0A6D">
              <w:rPr>
                <w:noProof/>
                <w:webHidden/>
              </w:rPr>
              <w:instrText xml:space="preserve"> PAGEREF _Toc215396176 \h </w:instrText>
            </w:r>
            <w:r w:rsidR="00FE0A6D">
              <w:rPr>
                <w:noProof/>
                <w:webHidden/>
              </w:rPr>
            </w:r>
            <w:r w:rsidR="00FE0A6D">
              <w:rPr>
                <w:noProof/>
                <w:webHidden/>
              </w:rPr>
              <w:fldChar w:fldCharType="separate"/>
            </w:r>
            <w:r w:rsidR="00FE0A6D">
              <w:rPr>
                <w:noProof/>
                <w:webHidden/>
              </w:rPr>
              <w:t>3</w:t>
            </w:r>
            <w:r w:rsidR="00FE0A6D">
              <w:rPr>
                <w:noProof/>
                <w:webHidden/>
              </w:rPr>
              <w:fldChar w:fldCharType="end"/>
            </w:r>
          </w:hyperlink>
        </w:p>
        <w:p w14:paraId="58A25581" w14:textId="7FE59E14" w:rsidR="00FE0A6D" w:rsidRDefault="00FE0A6D">
          <w:pPr>
            <w:pStyle w:val="TOC1"/>
            <w:tabs>
              <w:tab w:val="right" w:leader="dot" w:pos="9016"/>
            </w:tabs>
            <w:rPr>
              <w:rFonts w:eastAsiaTheme="minorEastAsia"/>
              <w:noProof/>
              <w:lang w:eastAsia="en-GB"/>
            </w:rPr>
          </w:pPr>
          <w:hyperlink w:anchor="_Toc215396177" w:history="1">
            <w:r w:rsidRPr="000E5C3A">
              <w:rPr>
                <w:rStyle w:val="Hyperlink"/>
                <w:rFonts w:ascii="Arial" w:hAnsi="Arial" w:cs="Arial"/>
                <w:b/>
                <w:bCs/>
                <w:noProof/>
              </w:rPr>
              <w:t>Erikson’s Psychosocial Theory</w:t>
            </w:r>
            <w:r>
              <w:rPr>
                <w:noProof/>
                <w:webHidden/>
              </w:rPr>
              <w:tab/>
            </w:r>
            <w:r>
              <w:rPr>
                <w:noProof/>
                <w:webHidden/>
              </w:rPr>
              <w:fldChar w:fldCharType="begin"/>
            </w:r>
            <w:r>
              <w:rPr>
                <w:noProof/>
                <w:webHidden/>
              </w:rPr>
              <w:instrText xml:space="preserve"> PAGEREF _Toc215396177 \h </w:instrText>
            </w:r>
            <w:r>
              <w:rPr>
                <w:noProof/>
                <w:webHidden/>
              </w:rPr>
            </w:r>
            <w:r>
              <w:rPr>
                <w:noProof/>
                <w:webHidden/>
              </w:rPr>
              <w:fldChar w:fldCharType="separate"/>
            </w:r>
            <w:r>
              <w:rPr>
                <w:noProof/>
                <w:webHidden/>
              </w:rPr>
              <w:t>3</w:t>
            </w:r>
            <w:r>
              <w:rPr>
                <w:noProof/>
                <w:webHidden/>
              </w:rPr>
              <w:fldChar w:fldCharType="end"/>
            </w:r>
          </w:hyperlink>
        </w:p>
        <w:p w14:paraId="66B71DA3" w14:textId="4E9F5C7A" w:rsidR="00FE0A6D" w:rsidRDefault="00FE0A6D">
          <w:pPr>
            <w:pStyle w:val="TOC1"/>
            <w:tabs>
              <w:tab w:val="right" w:leader="dot" w:pos="9016"/>
            </w:tabs>
            <w:rPr>
              <w:rFonts w:eastAsiaTheme="minorEastAsia"/>
              <w:noProof/>
              <w:lang w:eastAsia="en-GB"/>
            </w:rPr>
          </w:pPr>
          <w:hyperlink w:anchor="_Toc215396178" w:history="1">
            <w:r w:rsidRPr="000E5C3A">
              <w:rPr>
                <w:rStyle w:val="Hyperlink"/>
                <w:rFonts w:ascii="Arial" w:hAnsi="Arial" w:cs="Arial"/>
                <w:b/>
                <w:bCs/>
                <w:noProof/>
              </w:rPr>
              <w:t>Maslow’s Hierarchy of Needs</w:t>
            </w:r>
            <w:r>
              <w:rPr>
                <w:noProof/>
                <w:webHidden/>
              </w:rPr>
              <w:tab/>
            </w:r>
            <w:r>
              <w:rPr>
                <w:noProof/>
                <w:webHidden/>
              </w:rPr>
              <w:fldChar w:fldCharType="begin"/>
            </w:r>
            <w:r>
              <w:rPr>
                <w:noProof/>
                <w:webHidden/>
              </w:rPr>
              <w:instrText xml:space="preserve"> PAGEREF _Toc215396178 \h </w:instrText>
            </w:r>
            <w:r>
              <w:rPr>
                <w:noProof/>
                <w:webHidden/>
              </w:rPr>
            </w:r>
            <w:r>
              <w:rPr>
                <w:noProof/>
                <w:webHidden/>
              </w:rPr>
              <w:fldChar w:fldCharType="separate"/>
            </w:r>
            <w:r>
              <w:rPr>
                <w:noProof/>
                <w:webHidden/>
              </w:rPr>
              <w:t>4</w:t>
            </w:r>
            <w:r>
              <w:rPr>
                <w:noProof/>
                <w:webHidden/>
              </w:rPr>
              <w:fldChar w:fldCharType="end"/>
            </w:r>
          </w:hyperlink>
        </w:p>
        <w:p w14:paraId="19F8E603" w14:textId="42C82964" w:rsidR="00FE0A6D" w:rsidRDefault="00FE0A6D">
          <w:pPr>
            <w:pStyle w:val="TOC1"/>
            <w:tabs>
              <w:tab w:val="right" w:leader="dot" w:pos="9016"/>
            </w:tabs>
            <w:rPr>
              <w:rFonts w:eastAsiaTheme="minorEastAsia"/>
              <w:noProof/>
              <w:lang w:eastAsia="en-GB"/>
            </w:rPr>
          </w:pPr>
          <w:hyperlink w:anchor="_Toc215396179" w:history="1">
            <w:r w:rsidRPr="000E5C3A">
              <w:rPr>
                <w:rStyle w:val="Hyperlink"/>
                <w:rFonts w:ascii="Arial" w:hAnsi="Arial" w:cs="Arial"/>
                <w:b/>
                <w:bCs/>
                <w:noProof/>
              </w:rPr>
              <w:t>Nature vs Nurture in Dementia Care</w:t>
            </w:r>
            <w:r>
              <w:rPr>
                <w:noProof/>
                <w:webHidden/>
              </w:rPr>
              <w:tab/>
            </w:r>
            <w:r>
              <w:rPr>
                <w:noProof/>
                <w:webHidden/>
              </w:rPr>
              <w:fldChar w:fldCharType="begin"/>
            </w:r>
            <w:r>
              <w:rPr>
                <w:noProof/>
                <w:webHidden/>
              </w:rPr>
              <w:instrText xml:space="preserve"> PAGEREF _Toc215396179 \h </w:instrText>
            </w:r>
            <w:r>
              <w:rPr>
                <w:noProof/>
                <w:webHidden/>
              </w:rPr>
            </w:r>
            <w:r>
              <w:rPr>
                <w:noProof/>
                <w:webHidden/>
              </w:rPr>
              <w:fldChar w:fldCharType="separate"/>
            </w:r>
            <w:r>
              <w:rPr>
                <w:noProof/>
                <w:webHidden/>
              </w:rPr>
              <w:t>6</w:t>
            </w:r>
            <w:r>
              <w:rPr>
                <w:noProof/>
                <w:webHidden/>
              </w:rPr>
              <w:fldChar w:fldCharType="end"/>
            </w:r>
          </w:hyperlink>
        </w:p>
        <w:p w14:paraId="7C9CB4DD" w14:textId="30E7AE9B" w:rsidR="00FE0A6D" w:rsidRDefault="00FE0A6D">
          <w:pPr>
            <w:pStyle w:val="TOC1"/>
            <w:tabs>
              <w:tab w:val="right" w:leader="dot" w:pos="9016"/>
            </w:tabs>
            <w:rPr>
              <w:rFonts w:eastAsiaTheme="minorEastAsia"/>
              <w:noProof/>
              <w:lang w:eastAsia="en-GB"/>
            </w:rPr>
          </w:pPr>
          <w:hyperlink w:anchor="_Toc215396180" w:history="1">
            <w:r w:rsidRPr="000E5C3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_Toc215396180 \h </w:instrText>
            </w:r>
            <w:r>
              <w:rPr>
                <w:noProof/>
                <w:webHidden/>
              </w:rPr>
            </w:r>
            <w:r>
              <w:rPr>
                <w:noProof/>
                <w:webHidden/>
              </w:rPr>
              <w:fldChar w:fldCharType="separate"/>
            </w:r>
            <w:r>
              <w:rPr>
                <w:noProof/>
                <w:webHidden/>
              </w:rPr>
              <w:t>7</w:t>
            </w:r>
            <w:r>
              <w:rPr>
                <w:noProof/>
                <w:webHidden/>
              </w:rPr>
              <w:fldChar w:fldCharType="end"/>
            </w:r>
          </w:hyperlink>
        </w:p>
        <w:p w14:paraId="22D36FD5" w14:textId="22068AEB" w:rsidR="00FE0A6D" w:rsidRDefault="00FE0A6D">
          <w:pPr>
            <w:pStyle w:val="TOC1"/>
            <w:tabs>
              <w:tab w:val="right" w:leader="dot" w:pos="9016"/>
            </w:tabs>
            <w:rPr>
              <w:rFonts w:eastAsiaTheme="minorEastAsia"/>
              <w:noProof/>
              <w:lang w:eastAsia="en-GB"/>
            </w:rPr>
          </w:pPr>
          <w:hyperlink w:anchor="_Toc215396181" w:history="1">
            <w:r w:rsidRPr="000E5C3A">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_Toc215396181 \h </w:instrText>
            </w:r>
            <w:r>
              <w:rPr>
                <w:noProof/>
                <w:webHidden/>
              </w:rPr>
            </w:r>
            <w:r>
              <w:rPr>
                <w:noProof/>
                <w:webHidden/>
              </w:rPr>
              <w:fldChar w:fldCharType="separate"/>
            </w:r>
            <w:r>
              <w:rPr>
                <w:noProof/>
                <w:webHidden/>
              </w:rPr>
              <w:t>8</w:t>
            </w:r>
            <w:r>
              <w:rPr>
                <w:noProof/>
                <w:webHidden/>
              </w:rPr>
              <w:fldChar w:fldCharType="end"/>
            </w:r>
          </w:hyperlink>
        </w:p>
        <w:p w14:paraId="5B1F5ABC" w14:textId="24760770" w:rsidR="00741029" w:rsidRPr="00741029" w:rsidRDefault="00741029" w:rsidP="00241E54">
          <w:pPr>
            <w:jc w:val="both"/>
            <w:rPr>
              <w:rFonts w:ascii="Arial" w:hAnsi="Arial" w:cs="Arial"/>
            </w:rPr>
          </w:pPr>
          <w:r w:rsidRPr="00741029">
            <w:rPr>
              <w:rFonts w:ascii="Arial" w:hAnsi="Arial" w:cs="Arial"/>
              <w:b/>
              <w:bCs/>
              <w:noProof/>
            </w:rPr>
            <w:fldChar w:fldCharType="end"/>
          </w:r>
        </w:p>
      </w:sdtContent>
    </w:sdt>
    <w:p w14:paraId="798AAA33" w14:textId="77777777" w:rsidR="00350B70" w:rsidRPr="00741029" w:rsidRDefault="00350B70" w:rsidP="00241E54">
      <w:pPr>
        <w:pStyle w:val="NormalWeb"/>
        <w:spacing w:line="360" w:lineRule="auto"/>
        <w:jc w:val="both"/>
        <w:rPr>
          <w:rFonts w:ascii="Arial" w:hAnsi="Arial" w:cs="Arial"/>
          <w:sz w:val="22"/>
          <w:szCs w:val="22"/>
        </w:rPr>
      </w:pPr>
    </w:p>
    <w:p w14:paraId="70B4B49E" w14:textId="77777777" w:rsidR="00350B70" w:rsidRPr="00741029" w:rsidRDefault="00350B70" w:rsidP="00241E54">
      <w:pPr>
        <w:jc w:val="both"/>
        <w:rPr>
          <w:rFonts w:ascii="Arial" w:eastAsia="Times New Roman" w:hAnsi="Arial" w:cs="Arial"/>
          <w:lang w:eastAsia="en-GB"/>
        </w:rPr>
      </w:pPr>
      <w:r w:rsidRPr="00741029">
        <w:rPr>
          <w:rFonts w:ascii="Arial" w:hAnsi="Arial" w:cs="Arial"/>
        </w:rPr>
        <w:br w:type="page"/>
      </w:r>
    </w:p>
    <w:p w14:paraId="40EF44D3" w14:textId="3DB6CBE2" w:rsidR="00350B70" w:rsidRPr="0030400D" w:rsidRDefault="00741029" w:rsidP="00FE0A6D">
      <w:pPr>
        <w:pStyle w:val="Heading1"/>
        <w:spacing w:line="360" w:lineRule="auto"/>
        <w:jc w:val="both"/>
        <w:rPr>
          <w:rFonts w:ascii="Arial" w:hAnsi="Arial" w:cs="Arial"/>
          <w:b/>
          <w:bCs/>
          <w:sz w:val="28"/>
          <w:szCs w:val="28"/>
        </w:rPr>
      </w:pPr>
      <w:bookmarkStart w:id="1" w:name="_Toc215396176"/>
      <w:r w:rsidRPr="0030400D">
        <w:rPr>
          <w:rFonts w:ascii="Arial" w:hAnsi="Arial" w:cs="Arial"/>
          <w:b/>
          <w:bCs/>
          <w:sz w:val="28"/>
          <w:szCs w:val="28"/>
        </w:rPr>
        <w:lastRenderedPageBreak/>
        <w:t>Introduction</w:t>
      </w:r>
      <w:bookmarkEnd w:id="1"/>
    </w:p>
    <w:p w14:paraId="67882E90" w14:textId="633E550C" w:rsidR="00741029" w:rsidRPr="00B56C0E" w:rsidRDefault="00B56C0E" w:rsidP="00FE0A6D">
      <w:pPr>
        <w:spacing w:line="360" w:lineRule="auto"/>
        <w:jc w:val="both"/>
        <w:rPr>
          <w:rFonts w:ascii="Arial" w:hAnsi="Arial" w:cs="Arial"/>
        </w:rPr>
      </w:pPr>
      <w:r w:rsidRPr="00B56C0E">
        <w:rPr>
          <w:rFonts w:ascii="Arial" w:hAnsi="Arial" w:cs="Arial"/>
        </w:rPr>
        <w:t>Dementia is a progressive neurological condition that impairs memory, communication, and decision-making, leading to emotional and behavioural changes in older adults. In health and social care, recognising the psychological needs of individuals aged sixty-five and above is vital for compassionate, person-centred support. This report examines how Erikson’s Psychosocial Theory and Maslow’s Hierarchy of Needs can guide dementia care in residential settings. Erikson’s model highlights the challenge of Integrity versus Despair in later life, while Maslow’s framework emphasises meeting fundamental and psychological requirements to sustain wellbeing. Applying these theories demonstrates how psychological insight can enhance practice, strengthen professional–resident relationships, and improve quality of life.</w:t>
      </w:r>
    </w:p>
    <w:p w14:paraId="20AA1BC3" w14:textId="1092C498" w:rsidR="00741029" w:rsidRPr="0030400D" w:rsidRDefault="00741029" w:rsidP="00FE0A6D">
      <w:pPr>
        <w:pStyle w:val="Heading1"/>
        <w:spacing w:line="360" w:lineRule="auto"/>
        <w:jc w:val="both"/>
        <w:rPr>
          <w:rFonts w:ascii="Arial" w:hAnsi="Arial" w:cs="Arial"/>
          <w:b/>
          <w:bCs/>
          <w:sz w:val="28"/>
          <w:szCs w:val="28"/>
        </w:rPr>
      </w:pPr>
      <w:bookmarkStart w:id="2" w:name="_Toc215396177"/>
      <w:r w:rsidRPr="0030400D">
        <w:rPr>
          <w:rFonts w:ascii="Arial" w:hAnsi="Arial" w:cs="Arial"/>
          <w:b/>
          <w:bCs/>
          <w:sz w:val="28"/>
          <w:szCs w:val="28"/>
        </w:rPr>
        <w:t>Erikson’s Psychosocial Theory</w:t>
      </w:r>
      <w:bookmarkEnd w:id="2"/>
    </w:p>
    <w:p w14:paraId="744A9BE9" w14:textId="4BE75704" w:rsidR="008D5D3F" w:rsidRPr="006F7FD0" w:rsidRDefault="006A204D" w:rsidP="00FE0A6D">
      <w:pPr>
        <w:pStyle w:val="NormalWeb"/>
        <w:spacing w:line="360" w:lineRule="auto"/>
        <w:jc w:val="both"/>
        <w:rPr>
          <w:rFonts w:ascii="Arial" w:hAnsi="Arial" w:cs="Arial"/>
          <w:sz w:val="22"/>
          <w:szCs w:val="22"/>
        </w:rPr>
      </w:pPr>
      <w:r w:rsidRPr="006A204D">
        <w:rPr>
          <w:rFonts w:ascii="Arial" w:hAnsi="Arial" w:cs="Arial"/>
          <w:sz w:val="22"/>
          <w:szCs w:val="22"/>
        </w:rPr>
        <w:t>Erik Erikson’s theory of psychosocial development outlines how people shape their identity and emotional health through eight distinct life phases</w:t>
      </w:r>
      <w:r w:rsidR="008D5D3F" w:rsidRPr="006F7FD0">
        <w:rPr>
          <w:rFonts w:ascii="Arial" w:hAnsi="Arial" w:cs="Arial"/>
          <w:sz w:val="22"/>
          <w:szCs w:val="22"/>
        </w:rPr>
        <w:t xml:space="preserve">. Each stage presents a specific conflict that must be resolved for healthy psychological growth. The final stage, known as </w:t>
      </w:r>
      <w:r w:rsidR="008D5D3F" w:rsidRPr="006F7FD0">
        <w:rPr>
          <w:rStyle w:val="Emphasis"/>
          <w:rFonts w:ascii="Arial" w:hAnsi="Arial" w:cs="Arial"/>
          <w:sz w:val="22"/>
          <w:szCs w:val="22"/>
        </w:rPr>
        <w:t>Integrity versus Despair</w:t>
      </w:r>
      <w:r w:rsidR="008D5D3F" w:rsidRPr="006F7FD0">
        <w:rPr>
          <w:rFonts w:ascii="Arial" w:hAnsi="Arial" w:cs="Arial"/>
          <w:sz w:val="22"/>
          <w:szCs w:val="22"/>
        </w:rPr>
        <w:t>, occurs in late adulthood and is particularly relevant to people aged sixty-five and over. At this stage, individuals reflect on their lives, evaluating whether they have lived meaningfully and fulfilled their goals. Successfully achieving integrity leads to acceptance, wisdom, and a sense of completeness, while feelings of regret or failure can lead to despair and hopelessness (Erikson, 195</w:t>
      </w:r>
      <w:r w:rsidR="00876381">
        <w:rPr>
          <w:rFonts w:ascii="Arial" w:hAnsi="Arial" w:cs="Arial"/>
          <w:sz w:val="22"/>
          <w:szCs w:val="22"/>
        </w:rPr>
        <w:t>0; B</w:t>
      </w:r>
      <w:r w:rsidR="001B7C12">
        <w:rPr>
          <w:rFonts w:ascii="Arial" w:hAnsi="Arial" w:cs="Arial"/>
          <w:sz w:val="22"/>
          <w:szCs w:val="22"/>
        </w:rPr>
        <w:t>ee &amp; Boyd, 2019)</w:t>
      </w:r>
      <w:r w:rsidR="008D5D3F" w:rsidRPr="006F7FD0">
        <w:rPr>
          <w:rFonts w:ascii="Arial" w:hAnsi="Arial" w:cs="Arial"/>
          <w:sz w:val="22"/>
          <w:szCs w:val="22"/>
        </w:rPr>
        <w:t>.</w:t>
      </w:r>
    </w:p>
    <w:p w14:paraId="6D4C3B58" w14:textId="7F2C5F33" w:rsidR="008D5D3F" w:rsidRPr="006F7FD0" w:rsidRDefault="008D5D3F" w:rsidP="00FE0A6D">
      <w:pPr>
        <w:pStyle w:val="NormalWeb"/>
        <w:spacing w:line="360" w:lineRule="auto"/>
        <w:jc w:val="both"/>
        <w:rPr>
          <w:rFonts w:ascii="Arial" w:hAnsi="Arial" w:cs="Arial"/>
          <w:sz w:val="22"/>
          <w:szCs w:val="22"/>
        </w:rPr>
      </w:pPr>
      <w:r w:rsidRPr="006F7FD0">
        <w:rPr>
          <w:rFonts w:ascii="Arial" w:hAnsi="Arial" w:cs="Arial"/>
          <w:sz w:val="22"/>
          <w:szCs w:val="22"/>
        </w:rPr>
        <w:t xml:space="preserve">Understanding this stage is vital for professionals supporting older adults in care settings, especially those with dementia. Cognitive decline can make it difficult for residents to recall events or maintain a strong sense of identity, which may increase emotional distress. </w:t>
      </w:r>
      <w:r w:rsidR="008A0B9D" w:rsidRPr="008A0B9D">
        <w:rPr>
          <w:rFonts w:ascii="Arial" w:hAnsi="Arial" w:cs="Arial"/>
          <w:sz w:val="22"/>
          <w:szCs w:val="22"/>
        </w:rPr>
        <w:t>Health and social care workers can apply Erikson’s theory by helping residents engage in reminiscence activities, such as discussing past experiences, viewing family photos, or listening to familiar music.</w:t>
      </w:r>
      <w:r w:rsidR="008A0B9D">
        <w:t xml:space="preserve"> </w:t>
      </w:r>
      <w:r w:rsidRPr="006F7FD0">
        <w:rPr>
          <w:rFonts w:ascii="Arial" w:hAnsi="Arial" w:cs="Arial"/>
          <w:sz w:val="22"/>
          <w:szCs w:val="22"/>
        </w:rPr>
        <w:t>These interventions support memory, self-recognition, and self-worth, encouraging feelings of integrity rather than despair. Studies have shown that reminiscence therapy and validation therapy can reduce anxiety and enhance mood among older adults with dementia (Woods et al., 2018).</w:t>
      </w:r>
    </w:p>
    <w:p w14:paraId="208D88FF" w14:textId="77777777" w:rsidR="008D5D3F" w:rsidRPr="006F7FD0" w:rsidRDefault="008D5D3F" w:rsidP="00FE0A6D">
      <w:pPr>
        <w:pStyle w:val="NormalWeb"/>
        <w:spacing w:line="360" w:lineRule="auto"/>
        <w:jc w:val="both"/>
        <w:rPr>
          <w:rFonts w:ascii="Arial" w:hAnsi="Arial" w:cs="Arial"/>
          <w:sz w:val="22"/>
          <w:szCs w:val="22"/>
        </w:rPr>
      </w:pPr>
      <w:r w:rsidRPr="006F7FD0">
        <w:rPr>
          <w:rFonts w:ascii="Arial" w:hAnsi="Arial" w:cs="Arial"/>
          <w:sz w:val="22"/>
          <w:szCs w:val="22"/>
        </w:rPr>
        <w:t xml:space="preserve">In a dementia care home, the concept of </w:t>
      </w:r>
      <w:r w:rsidRPr="006F7FD0">
        <w:rPr>
          <w:rStyle w:val="Emphasis"/>
          <w:rFonts w:ascii="Arial" w:hAnsi="Arial" w:cs="Arial"/>
          <w:sz w:val="22"/>
          <w:szCs w:val="22"/>
        </w:rPr>
        <w:t>Integrity versus Despair</w:t>
      </w:r>
      <w:r w:rsidRPr="006F7FD0">
        <w:rPr>
          <w:rFonts w:ascii="Arial" w:hAnsi="Arial" w:cs="Arial"/>
          <w:sz w:val="22"/>
          <w:szCs w:val="22"/>
        </w:rPr>
        <w:t xml:space="preserve"> also highlights the importance of empathy and respect for the individual’s life history. Many residents experience a loss of autonomy as their condition progresses, which can contribute to feelings of frustration or isolation. Professionals can promote emotional wellbeing by recognising residents’ achievements, encouraging autonomy in daily routines, and using life-story books to support </w:t>
      </w:r>
      <w:r w:rsidRPr="006F7FD0">
        <w:rPr>
          <w:rFonts w:ascii="Arial" w:hAnsi="Arial" w:cs="Arial"/>
          <w:sz w:val="22"/>
          <w:szCs w:val="22"/>
        </w:rPr>
        <w:lastRenderedPageBreak/>
        <w:t>identity (NICE, 2023). For example, a care worker might help a resident recall past roles—such as being a parent or teacher—by incorporating related activities into their care plan. This reinforces self-esteem and helps the individual maintain a positive sense of identity.</w:t>
      </w:r>
    </w:p>
    <w:p w14:paraId="70CD5302" w14:textId="5CC31F1A" w:rsidR="008D5D3F" w:rsidRPr="006F7FD0" w:rsidRDefault="008D5D3F" w:rsidP="00FE0A6D">
      <w:pPr>
        <w:pStyle w:val="NormalWeb"/>
        <w:spacing w:line="360" w:lineRule="auto"/>
        <w:jc w:val="both"/>
        <w:rPr>
          <w:rFonts w:ascii="Arial" w:hAnsi="Arial" w:cs="Arial"/>
          <w:sz w:val="22"/>
          <w:szCs w:val="22"/>
        </w:rPr>
      </w:pPr>
      <w:r w:rsidRPr="006F7FD0">
        <w:rPr>
          <w:rFonts w:ascii="Arial" w:hAnsi="Arial" w:cs="Arial"/>
          <w:sz w:val="22"/>
          <w:szCs w:val="22"/>
        </w:rPr>
        <w:t>However, applying Erikson’s theory in practice is not without challenges. Dementia often affects memory, communication, and emotional regulation, which can make it difficult for professionals to fully engage residents in reflective activities. Staff may also face time constraints or limited training in psychological approaches</w:t>
      </w:r>
      <w:r w:rsidR="008F02C5">
        <w:rPr>
          <w:rFonts w:ascii="Arial" w:hAnsi="Arial" w:cs="Arial"/>
          <w:sz w:val="22"/>
          <w:szCs w:val="22"/>
        </w:rPr>
        <w:t>.</w:t>
      </w:r>
      <w:r w:rsidR="008A0B9D" w:rsidRPr="008A0B9D">
        <w:t xml:space="preserve"> </w:t>
      </w:r>
      <w:r w:rsidR="008A0B9D" w:rsidRPr="008F02C5">
        <w:rPr>
          <w:rFonts w:ascii="Arial" w:hAnsi="Arial" w:cs="Arial"/>
          <w:sz w:val="22"/>
          <w:szCs w:val="22"/>
        </w:rPr>
        <w:t>Staff may face time constraints or limited training. Person-centred strategies that focus on individual strengths can help overcome these barriers.</w:t>
      </w:r>
      <w:r w:rsidR="008A0B9D" w:rsidRPr="006F7FD0">
        <w:rPr>
          <w:rFonts w:ascii="Arial" w:hAnsi="Arial" w:cs="Arial"/>
          <w:sz w:val="22"/>
          <w:szCs w:val="22"/>
        </w:rPr>
        <w:t xml:space="preserve"> </w:t>
      </w:r>
      <w:r w:rsidRPr="006F7FD0">
        <w:rPr>
          <w:rFonts w:ascii="Arial" w:hAnsi="Arial" w:cs="Arial"/>
          <w:sz w:val="22"/>
          <w:szCs w:val="22"/>
        </w:rPr>
        <w:t>(Kitwood, 1997). Training staff to use positive communication techniques—such as active listening, eye contact, and non-verbal reassurance—can help build trust and reduce distress.</w:t>
      </w:r>
    </w:p>
    <w:p w14:paraId="25349FDC" w14:textId="2A236093" w:rsidR="008D5D3F" w:rsidRDefault="008D5D3F" w:rsidP="00FE0A6D">
      <w:pPr>
        <w:spacing w:line="360" w:lineRule="auto"/>
        <w:jc w:val="both"/>
        <w:rPr>
          <w:rFonts w:ascii="Arial" w:hAnsi="Arial" w:cs="Arial"/>
        </w:rPr>
      </w:pPr>
      <w:r w:rsidRPr="006F7FD0">
        <w:rPr>
          <w:rFonts w:ascii="Arial" w:hAnsi="Arial" w:cs="Arial"/>
        </w:rPr>
        <w:t xml:space="preserve">Overall, Erikson’s psychosocial theory provides a valuable framework for understanding the emotional needs of older adults living with dementia. By promoting opportunities for reflection, connection, and dignity, professionals can help residents move towards feelings of integrity and acceptance. </w:t>
      </w:r>
      <w:r w:rsidR="008F02C5" w:rsidRPr="008F02C5">
        <w:rPr>
          <w:rFonts w:ascii="Arial" w:hAnsi="Arial" w:cs="Arial"/>
        </w:rPr>
        <w:t>This supports holistic care, where psychological and physical needs are met to improve quality of life</w:t>
      </w:r>
      <w:r w:rsidR="008F02C5">
        <w:t xml:space="preserve">. </w:t>
      </w:r>
      <w:r w:rsidR="00670B89" w:rsidRPr="00670B89">
        <w:rPr>
          <w:rFonts w:ascii="Arial" w:hAnsi="Arial" w:cs="Arial"/>
        </w:rPr>
        <w:t>This emphasis on life review and identity work demonstrates how nurturing environments can buffer biological decline, connecting directly to the nature–nurture interaction discussed below.</w:t>
      </w:r>
    </w:p>
    <w:p w14:paraId="389F00DB" w14:textId="7D64427F" w:rsidR="00876381" w:rsidRPr="00876381" w:rsidRDefault="00876381" w:rsidP="00FE0A6D">
      <w:pPr>
        <w:spacing w:before="100" w:beforeAutospacing="1" w:after="100" w:afterAutospacing="1" w:line="360" w:lineRule="auto"/>
        <w:jc w:val="both"/>
        <w:rPr>
          <w:rFonts w:ascii="Arial" w:eastAsia="Times New Roman" w:hAnsi="Arial" w:cs="Arial"/>
          <w:lang w:eastAsia="en-GB"/>
        </w:rPr>
      </w:pPr>
      <w:r w:rsidRPr="00876381">
        <w:rPr>
          <w:rFonts w:ascii="Arial" w:eastAsia="Times New Roman" w:hAnsi="Arial" w:cs="Arial"/>
          <w:i/>
          <w:iCs/>
          <w:lang w:eastAsia="en-GB"/>
        </w:rPr>
        <w:t>Strengths:</w:t>
      </w:r>
      <w:r w:rsidRPr="00876381">
        <w:rPr>
          <w:rFonts w:ascii="Arial" w:eastAsia="Times New Roman" w:hAnsi="Arial" w:cs="Arial"/>
          <w:lang w:eastAsia="en-GB"/>
        </w:rPr>
        <w:t xml:space="preserve"> Erikson’s model provides a compassionate framework for understanding meaning-making and identity in later life, which is highly relevant for dementia care.</w:t>
      </w:r>
      <w:r w:rsidRPr="00876381">
        <w:rPr>
          <w:rFonts w:ascii="Arial" w:eastAsia="Times New Roman" w:hAnsi="Arial" w:cs="Arial"/>
          <w:lang w:eastAsia="en-GB"/>
        </w:rPr>
        <w:br/>
      </w:r>
      <w:r w:rsidRPr="00876381">
        <w:rPr>
          <w:rFonts w:ascii="Arial" w:eastAsia="Times New Roman" w:hAnsi="Arial" w:cs="Arial"/>
          <w:i/>
          <w:iCs/>
          <w:lang w:eastAsia="en-GB"/>
        </w:rPr>
        <w:t>Limitations:</w:t>
      </w:r>
      <w:r w:rsidRPr="00876381">
        <w:rPr>
          <w:rFonts w:ascii="Arial" w:eastAsia="Times New Roman" w:hAnsi="Arial" w:cs="Arial"/>
          <w:lang w:eastAsia="en-GB"/>
        </w:rPr>
        <w:t xml:space="preserve"> However, the </w:t>
      </w:r>
      <w:r w:rsidR="006E09A3">
        <w:rPr>
          <w:rFonts w:ascii="Arial" w:eastAsia="Times New Roman" w:hAnsi="Arial" w:cs="Arial"/>
          <w:lang w:eastAsia="en-GB"/>
        </w:rPr>
        <w:t>theory offers limited practical strategies when memory loss restricts reflection, requiring careful adaptation</w:t>
      </w:r>
      <w:r w:rsidRPr="00876381">
        <w:rPr>
          <w:rFonts w:ascii="Arial" w:eastAsia="Times New Roman" w:hAnsi="Arial" w:cs="Arial"/>
          <w:lang w:eastAsia="en-GB"/>
        </w:rPr>
        <w:t>.</w:t>
      </w:r>
    </w:p>
    <w:p w14:paraId="76B3868A" w14:textId="0D45A3EC" w:rsidR="00741029" w:rsidRPr="0030400D" w:rsidRDefault="00741029" w:rsidP="00FE0A6D">
      <w:pPr>
        <w:pStyle w:val="Heading1"/>
        <w:spacing w:line="360" w:lineRule="auto"/>
        <w:jc w:val="both"/>
        <w:rPr>
          <w:rFonts w:ascii="Arial" w:hAnsi="Arial" w:cs="Arial"/>
          <w:b/>
          <w:bCs/>
          <w:sz w:val="28"/>
          <w:szCs w:val="28"/>
        </w:rPr>
      </w:pPr>
      <w:bookmarkStart w:id="3" w:name="_Toc215396178"/>
      <w:r w:rsidRPr="0030400D">
        <w:rPr>
          <w:rFonts w:ascii="Arial" w:hAnsi="Arial" w:cs="Arial"/>
          <w:b/>
          <w:bCs/>
          <w:sz w:val="28"/>
          <w:szCs w:val="28"/>
        </w:rPr>
        <w:t>Maslow’s Hierarchy of Needs</w:t>
      </w:r>
      <w:bookmarkEnd w:id="3"/>
    </w:p>
    <w:p w14:paraId="1F9A2179" w14:textId="117E248A" w:rsidR="006F7FD0" w:rsidRPr="0030400D" w:rsidRDefault="006F7FD0" w:rsidP="00FE0A6D">
      <w:pPr>
        <w:pStyle w:val="NormalWeb"/>
        <w:spacing w:line="360" w:lineRule="auto"/>
        <w:jc w:val="both"/>
        <w:rPr>
          <w:rFonts w:ascii="Arial" w:hAnsi="Arial" w:cs="Arial"/>
          <w:sz w:val="22"/>
          <w:szCs w:val="22"/>
        </w:rPr>
      </w:pPr>
      <w:r w:rsidRPr="0030400D">
        <w:rPr>
          <w:rFonts w:ascii="Arial" w:hAnsi="Arial" w:cs="Arial"/>
          <w:sz w:val="22"/>
          <w:szCs w:val="22"/>
        </w:rPr>
        <w:t xml:space="preserve">Abraham Maslow’s Hierarchy of Needs is a motivational theory that explains how human behaviour is influenced by the desire to meet a series of basic and psychological needs. Maslow (1943) proposed that individuals are motivated by five key levels of need: physiological, safety, love and belonging, esteem, and self-actualisation. </w:t>
      </w:r>
      <w:r w:rsidR="006E09A3" w:rsidRPr="006E09A3">
        <w:rPr>
          <w:rFonts w:ascii="Arial" w:hAnsi="Arial" w:cs="Arial"/>
          <w:sz w:val="22"/>
          <w:szCs w:val="22"/>
        </w:rPr>
        <w:t>Maslow arranged these needs hierarchically, with essentials like nutrition, hydration, rest, and security met before emotional connection or growth.</w:t>
      </w:r>
      <w:r w:rsidR="006E09A3">
        <w:t xml:space="preserve"> </w:t>
      </w:r>
      <w:r w:rsidRPr="0030400D">
        <w:rPr>
          <w:rFonts w:ascii="Arial" w:hAnsi="Arial" w:cs="Arial"/>
          <w:sz w:val="22"/>
          <w:szCs w:val="22"/>
        </w:rPr>
        <w:t>For older adults living with dementia, this model offers a valuable framework for understanding how unmet needs can contribute to distress, confusion, or challenging behaviour (</w:t>
      </w:r>
      <w:proofErr w:type="spellStart"/>
      <w:r w:rsidR="001B7C12">
        <w:rPr>
          <w:rFonts w:ascii="Arial" w:hAnsi="Arial" w:cs="Arial"/>
          <w:sz w:val="22"/>
          <w:szCs w:val="22"/>
        </w:rPr>
        <w:t>Neher</w:t>
      </w:r>
      <w:proofErr w:type="spellEnd"/>
      <w:r w:rsidR="001B7C12">
        <w:rPr>
          <w:rFonts w:ascii="Arial" w:hAnsi="Arial" w:cs="Arial"/>
          <w:sz w:val="22"/>
          <w:szCs w:val="22"/>
        </w:rPr>
        <w:t>, 1991</w:t>
      </w:r>
      <w:r w:rsidRPr="0030400D">
        <w:rPr>
          <w:rFonts w:ascii="Arial" w:hAnsi="Arial" w:cs="Arial"/>
          <w:sz w:val="22"/>
          <w:szCs w:val="22"/>
        </w:rPr>
        <w:t>).</w:t>
      </w:r>
      <w:r w:rsidR="00900818">
        <w:rPr>
          <w:rFonts w:ascii="Arial" w:hAnsi="Arial" w:cs="Arial"/>
          <w:sz w:val="22"/>
          <w:szCs w:val="22"/>
        </w:rPr>
        <w:t xml:space="preserve"> </w:t>
      </w:r>
      <w:r w:rsidRPr="0030400D">
        <w:rPr>
          <w:rFonts w:ascii="Arial" w:hAnsi="Arial" w:cs="Arial"/>
          <w:sz w:val="22"/>
          <w:szCs w:val="22"/>
        </w:rPr>
        <w:t xml:space="preserve">In a dementia care home, staff can apply Maslow’s hierarchy to ensure that residents’ fundamental physiological needs are consistently </w:t>
      </w:r>
      <w:r w:rsidRPr="0030400D">
        <w:rPr>
          <w:rFonts w:ascii="Arial" w:hAnsi="Arial" w:cs="Arial"/>
          <w:sz w:val="22"/>
          <w:szCs w:val="22"/>
        </w:rPr>
        <w:lastRenderedPageBreak/>
        <w:t xml:space="preserve">met. Many individuals with dementia rely on support for eating, drinking, and maintaining personal hygiene. </w:t>
      </w:r>
    </w:p>
    <w:p w14:paraId="7702D8B9" w14:textId="6A701C59" w:rsidR="006F7FD0" w:rsidRPr="0030400D" w:rsidRDefault="006F7FD0" w:rsidP="00FE0A6D">
      <w:pPr>
        <w:pStyle w:val="NormalWeb"/>
        <w:spacing w:line="360" w:lineRule="auto"/>
        <w:jc w:val="both"/>
        <w:rPr>
          <w:rFonts w:ascii="Arial" w:hAnsi="Arial" w:cs="Arial"/>
          <w:sz w:val="22"/>
          <w:szCs w:val="22"/>
        </w:rPr>
      </w:pPr>
      <w:r w:rsidRPr="0030400D">
        <w:rPr>
          <w:rFonts w:ascii="Arial" w:hAnsi="Arial" w:cs="Arial"/>
          <w:sz w:val="22"/>
          <w:szCs w:val="22"/>
        </w:rPr>
        <w:t>The second level of the hierarchy—</w:t>
      </w:r>
      <w:r w:rsidRPr="0030400D">
        <w:rPr>
          <w:rStyle w:val="Strong"/>
          <w:rFonts w:ascii="Arial" w:hAnsi="Arial" w:cs="Arial"/>
          <w:b w:val="0"/>
          <w:bCs w:val="0"/>
          <w:sz w:val="22"/>
          <w:szCs w:val="22"/>
        </w:rPr>
        <w:t>safety needs</w:t>
      </w:r>
      <w:r w:rsidRPr="0030400D">
        <w:rPr>
          <w:rFonts w:ascii="Arial" w:hAnsi="Arial" w:cs="Arial"/>
          <w:sz w:val="22"/>
          <w:szCs w:val="22"/>
        </w:rPr>
        <w:t xml:space="preserve">—is particularly important in dementia care. Residents may experience fear or confusion due to memory loss and disorientation. </w:t>
      </w:r>
      <w:r w:rsidR="006E09A3" w:rsidRPr="006E09A3">
        <w:rPr>
          <w:rFonts w:ascii="Arial" w:hAnsi="Arial" w:cs="Arial"/>
          <w:sz w:val="22"/>
          <w:szCs w:val="22"/>
        </w:rPr>
        <w:t xml:space="preserve">Secure environments with signage, lighting, and familiar furniture provide reassurance and reduce accidents (NICE, 2023). </w:t>
      </w:r>
      <w:r w:rsidRPr="0030400D">
        <w:rPr>
          <w:rFonts w:ascii="Arial" w:hAnsi="Arial" w:cs="Arial"/>
          <w:sz w:val="22"/>
          <w:szCs w:val="22"/>
        </w:rPr>
        <w:t>Staff consistency is also crucial; seeing familiar carers each day helps residents feel protected and confident. When individuals feel safe and secure, they are more likely to engage positively in activities and build trusting relationships with staff.</w:t>
      </w:r>
    </w:p>
    <w:p w14:paraId="43413322" w14:textId="088F280E" w:rsidR="006F7FD0" w:rsidRPr="0030400D" w:rsidRDefault="006F7FD0" w:rsidP="00FE0A6D">
      <w:pPr>
        <w:pStyle w:val="NormalWeb"/>
        <w:spacing w:line="360" w:lineRule="auto"/>
        <w:jc w:val="both"/>
        <w:rPr>
          <w:rFonts w:ascii="Arial" w:hAnsi="Arial" w:cs="Arial"/>
          <w:sz w:val="22"/>
          <w:szCs w:val="22"/>
        </w:rPr>
      </w:pPr>
      <w:r w:rsidRPr="0030400D">
        <w:rPr>
          <w:rStyle w:val="Strong"/>
          <w:rFonts w:ascii="Arial" w:hAnsi="Arial" w:cs="Arial"/>
          <w:b w:val="0"/>
          <w:bCs w:val="0"/>
          <w:sz w:val="22"/>
          <w:szCs w:val="22"/>
        </w:rPr>
        <w:t>Love and belonging needs</w:t>
      </w:r>
      <w:r w:rsidRPr="0030400D">
        <w:rPr>
          <w:rFonts w:ascii="Arial" w:hAnsi="Arial" w:cs="Arial"/>
          <w:sz w:val="22"/>
          <w:szCs w:val="22"/>
        </w:rPr>
        <w:t xml:space="preserve"> relate to social interaction and emotional connection. Dementia often leads to social withdrawal, especially when communication difficulties arise. </w:t>
      </w:r>
      <w:r w:rsidR="006E09A3">
        <w:rPr>
          <w:rFonts w:ascii="Arial" w:hAnsi="Arial" w:cs="Arial"/>
          <w:sz w:val="22"/>
          <w:szCs w:val="22"/>
        </w:rPr>
        <w:t xml:space="preserve">Professionals can encourage inclusion through group activities, music, </w:t>
      </w:r>
      <w:r w:rsidR="00A77D0A">
        <w:rPr>
          <w:rFonts w:ascii="Arial" w:hAnsi="Arial" w:cs="Arial"/>
          <w:sz w:val="22"/>
          <w:szCs w:val="22"/>
        </w:rPr>
        <w:t>or family involvement</w:t>
      </w:r>
      <w:r w:rsidRPr="0030400D">
        <w:rPr>
          <w:rFonts w:ascii="Arial" w:hAnsi="Arial" w:cs="Arial"/>
          <w:sz w:val="22"/>
          <w:szCs w:val="22"/>
        </w:rPr>
        <w:t>. Positive relationships between residents and carers can foster trust and companionship, reducing loneliness and depression (Alzheimer’s Society, 2024). Encouraging residents to maintain contact with family or participate in community-based programmes can also fulfil these social needs.</w:t>
      </w:r>
    </w:p>
    <w:p w14:paraId="375377FE" w14:textId="29CB997B" w:rsidR="006F7FD0" w:rsidRPr="0030400D" w:rsidRDefault="006F7FD0" w:rsidP="00FE0A6D">
      <w:pPr>
        <w:pStyle w:val="NormalWeb"/>
        <w:spacing w:line="360" w:lineRule="auto"/>
        <w:jc w:val="both"/>
        <w:rPr>
          <w:rFonts w:ascii="Arial" w:hAnsi="Arial" w:cs="Arial"/>
          <w:sz w:val="22"/>
          <w:szCs w:val="22"/>
        </w:rPr>
      </w:pPr>
      <w:r w:rsidRPr="0030400D">
        <w:rPr>
          <w:rFonts w:ascii="Arial" w:hAnsi="Arial" w:cs="Arial"/>
          <w:sz w:val="22"/>
          <w:szCs w:val="22"/>
        </w:rPr>
        <w:t xml:space="preserve">The </w:t>
      </w:r>
      <w:r w:rsidRPr="0030400D">
        <w:rPr>
          <w:rStyle w:val="Strong"/>
          <w:rFonts w:ascii="Arial" w:hAnsi="Arial" w:cs="Arial"/>
          <w:b w:val="0"/>
          <w:bCs w:val="0"/>
          <w:sz w:val="22"/>
          <w:szCs w:val="22"/>
        </w:rPr>
        <w:t>esteem</w:t>
      </w:r>
      <w:r w:rsidRPr="0030400D">
        <w:rPr>
          <w:rFonts w:ascii="Arial" w:hAnsi="Arial" w:cs="Arial"/>
          <w:sz w:val="22"/>
          <w:szCs w:val="22"/>
        </w:rPr>
        <w:t xml:space="preserve"> level of Maslow’s hierarchy involves recognition, respect, and feelings of accomplishment. Dementia may reduce self-esteem as individuals lose independence or struggle to complete daily tasks. Care staff can promote confidence by celebrating small achievements, offering praise, and allowing residents to make choices about clothing, meals, or leisure activities. Promoting autonomy and recognising </w:t>
      </w:r>
      <w:r w:rsidR="00A77D0A">
        <w:rPr>
          <w:rFonts w:ascii="Arial" w:hAnsi="Arial" w:cs="Arial"/>
          <w:sz w:val="22"/>
          <w:szCs w:val="22"/>
        </w:rPr>
        <w:t>past roles – such as parent, professional, or community member- preserves dignity and self-worth</w:t>
      </w:r>
      <w:r w:rsidRPr="0030400D">
        <w:rPr>
          <w:rFonts w:ascii="Arial" w:hAnsi="Arial" w:cs="Arial"/>
          <w:sz w:val="22"/>
          <w:szCs w:val="22"/>
        </w:rPr>
        <w:t>.</w:t>
      </w:r>
    </w:p>
    <w:p w14:paraId="52CBF2D6" w14:textId="77777777" w:rsidR="006F7FD0" w:rsidRPr="0030400D" w:rsidRDefault="006F7FD0" w:rsidP="00FE0A6D">
      <w:pPr>
        <w:pStyle w:val="NormalWeb"/>
        <w:spacing w:line="360" w:lineRule="auto"/>
        <w:jc w:val="both"/>
        <w:rPr>
          <w:rFonts w:ascii="Arial" w:hAnsi="Arial" w:cs="Arial"/>
          <w:sz w:val="22"/>
          <w:szCs w:val="22"/>
        </w:rPr>
      </w:pPr>
      <w:r w:rsidRPr="0030400D">
        <w:rPr>
          <w:rFonts w:ascii="Arial" w:hAnsi="Arial" w:cs="Arial"/>
          <w:sz w:val="22"/>
          <w:szCs w:val="22"/>
        </w:rPr>
        <w:t xml:space="preserve">Finally, </w:t>
      </w:r>
      <w:r w:rsidRPr="0030400D">
        <w:rPr>
          <w:rStyle w:val="Strong"/>
          <w:rFonts w:ascii="Arial" w:hAnsi="Arial" w:cs="Arial"/>
          <w:b w:val="0"/>
          <w:bCs w:val="0"/>
          <w:sz w:val="22"/>
          <w:szCs w:val="22"/>
        </w:rPr>
        <w:t>self-actualisation</w:t>
      </w:r>
      <w:r w:rsidRPr="0030400D">
        <w:rPr>
          <w:rFonts w:ascii="Arial" w:hAnsi="Arial" w:cs="Arial"/>
          <w:sz w:val="22"/>
          <w:szCs w:val="22"/>
        </w:rPr>
        <w:t xml:space="preserve"> refers to achieving one’s potential and finding personal meaning. For many older adults, this can involve reflecting on life experiences or participating in creative or spiritual activities. In a dementia care home, self-actualisation may look different for each person. Some may express fulfilment through art, gardening, or helping others, while others may find peace through faith-based activities or reminiscence sessions. Staff can support this by identifying what brings each resident joy and incorporating it into their care plans (Haque and Khan, 2014).</w:t>
      </w:r>
    </w:p>
    <w:p w14:paraId="752FD55A" w14:textId="52155AD2" w:rsidR="006F7FD0" w:rsidRPr="0030400D" w:rsidRDefault="006F7FD0" w:rsidP="00FE0A6D">
      <w:pPr>
        <w:pStyle w:val="NormalWeb"/>
        <w:spacing w:line="360" w:lineRule="auto"/>
        <w:jc w:val="both"/>
        <w:rPr>
          <w:rFonts w:ascii="Arial" w:hAnsi="Arial" w:cs="Arial"/>
          <w:sz w:val="22"/>
          <w:szCs w:val="22"/>
        </w:rPr>
      </w:pPr>
      <w:r w:rsidRPr="0030400D">
        <w:rPr>
          <w:rFonts w:ascii="Arial" w:hAnsi="Arial" w:cs="Arial"/>
          <w:sz w:val="22"/>
          <w:szCs w:val="22"/>
        </w:rPr>
        <w:t>Despite its benefits, applying Maslow’s theory in dementia care has limitations. The hierarchy may not progress in fixed order, particularly for those with fluctuating cogniti</w:t>
      </w:r>
      <w:r w:rsidR="00A77D0A">
        <w:rPr>
          <w:rFonts w:ascii="Arial" w:hAnsi="Arial" w:cs="Arial"/>
          <w:sz w:val="22"/>
          <w:szCs w:val="22"/>
        </w:rPr>
        <w:t>on</w:t>
      </w:r>
      <w:r w:rsidRPr="0030400D">
        <w:rPr>
          <w:rFonts w:ascii="Arial" w:hAnsi="Arial" w:cs="Arial"/>
          <w:sz w:val="22"/>
          <w:szCs w:val="22"/>
        </w:rPr>
        <w:t>. For instance, emotional or social needs may sometimes be more urgent than physical ones. Additionally, staff shortages and time pressures can make it challenging to address every level of need consistently. To overcome these barriers, organisations should prioritise training in person-</w:t>
      </w:r>
      <w:r w:rsidRPr="0030400D">
        <w:rPr>
          <w:rFonts w:ascii="Arial" w:hAnsi="Arial" w:cs="Arial"/>
          <w:sz w:val="22"/>
          <w:szCs w:val="22"/>
        </w:rPr>
        <w:lastRenderedPageBreak/>
        <w:t>centred care and communication skills. Encouraging reflective practice also helps professionals identify unmet needs early and adapt care accordingly.</w:t>
      </w:r>
    </w:p>
    <w:p w14:paraId="7E6D2E17" w14:textId="45C93B63" w:rsidR="006F7FD0" w:rsidRDefault="006F7FD0" w:rsidP="00FE0A6D">
      <w:pPr>
        <w:pStyle w:val="NormalWeb"/>
        <w:spacing w:line="360" w:lineRule="auto"/>
        <w:jc w:val="both"/>
        <w:rPr>
          <w:rFonts w:ascii="Arial" w:hAnsi="Arial" w:cs="Arial"/>
          <w:sz w:val="22"/>
          <w:szCs w:val="22"/>
        </w:rPr>
      </w:pPr>
      <w:r w:rsidRPr="0030400D">
        <w:rPr>
          <w:rFonts w:ascii="Arial" w:hAnsi="Arial" w:cs="Arial"/>
          <w:sz w:val="22"/>
          <w:szCs w:val="22"/>
        </w:rPr>
        <w:t>Overall, Maslow’s Hierarchy of Needs provides a holistic model that encourages carers to view residents as individuals with unique physical, emotional, and social requirements. When applied effectively, it promotes dignity, independence, and emotional wellbeing for people living with dementia, while guiding professionals to deliver compassionate, structured, and person-centred support.</w:t>
      </w:r>
      <w:r w:rsidR="00670B89">
        <w:rPr>
          <w:rFonts w:ascii="Arial" w:hAnsi="Arial" w:cs="Arial"/>
          <w:sz w:val="22"/>
          <w:szCs w:val="22"/>
        </w:rPr>
        <w:t xml:space="preserve"> Because the model spans biological and psychosocial needs, it operationalises the nature- nurture interplay in daily care planning.</w:t>
      </w:r>
    </w:p>
    <w:p w14:paraId="1D8F5D75" w14:textId="77777777" w:rsidR="00876381" w:rsidRPr="00876381" w:rsidRDefault="00876381" w:rsidP="00FE0A6D">
      <w:pPr>
        <w:spacing w:before="100" w:beforeAutospacing="1" w:after="100" w:afterAutospacing="1" w:line="360" w:lineRule="auto"/>
        <w:jc w:val="both"/>
        <w:rPr>
          <w:rFonts w:ascii="Arial" w:eastAsia="Times New Roman" w:hAnsi="Arial" w:cs="Arial"/>
          <w:lang w:eastAsia="en-GB"/>
        </w:rPr>
      </w:pPr>
      <w:r w:rsidRPr="00876381">
        <w:rPr>
          <w:rFonts w:ascii="Arial" w:eastAsia="Times New Roman" w:hAnsi="Arial" w:cs="Arial"/>
          <w:i/>
          <w:iCs/>
          <w:lang w:eastAsia="en-GB"/>
        </w:rPr>
        <w:t>Strengths:</w:t>
      </w:r>
      <w:r w:rsidRPr="00876381">
        <w:rPr>
          <w:rFonts w:ascii="Arial" w:eastAsia="Times New Roman" w:hAnsi="Arial" w:cs="Arial"/>
          <w:lang w:eastAsia="en-GB"/>
        </w:rPr>
        <w:t xml:space="preserve"> Maslow’s hierarchy offers a clear structure for prioritising care needs across biological and psychosocial domains, making it practical for care planning.</w:t>
      </w:r>
      <w:r w:rsidRPr="00876381">
        <w:rPr>
          <w:rFonts w:ascii="Arial" w:eastAsia="Times New Roman" w:hAnsi="Arial" w:cs="Arial"/>
          <w:lang w:eastAsia="en-GB"/>
        </w:rPr>
        <w:br/>
      </w:r>
      <w:r w:rsidRPr="00876381">
        <w:rPr>
          <w:rFonts w:ascii="Arial" w:eastAsia="Times New Roman" w:hAnsi="Arial" w:cs="Arial"/>
          <w:i/>
          <w:iCs/>
          <w:lang w:eastAsia="en-GB"/>
        </w:rPr>
        <w:t>Limitations:</w:t>
      </w:r>
      <w:r w:rsidRPr="00876381">
        <w:rPr>
          <w:rFonts w:ascii="Arial" w:eastAsia="Times New Roman" w:hAnsi="Arial" w:cs="Arial"/>
          <w:lang w:eastAsia="en-GB"/>
        </w:rPr>
        <w:t xml:space="preserve"> Yet, the model assumes a linear progression of needs, which may not reflect the fluctuating realities of dementia, where emotional or social needs can sometimes outweigh physical ones.</w:t>
      </w:r>
    </w:p>
    <w:p w14:paraId="3CE0D635" w14:textId="51197388" w:rsidR="00241E54" w:rsidRDefault="00241E54" w:rsidP="00FE0A6D">
      <w:pPr>
        <w:pStyle w:val="Heading1"/>
        <w:spacing w:line="360" w:lineRule="auto"/>
        <w:jc w:val="both"/>
        <w:rPr>
          <w:rFonts w:ascii="Arial" w:hAnsi="Arial" w:cs="Arial"/>
          <w:b/>
          <w:bCs/>
          <w:sz w:val="28"/>
          <w:szCs w:val="28"/>
        </w:rPr>
      </w:pPr>
      <w:bookmarkStart w:id="4" w:name="_Toc215396179"/>
      <w:r w:rsidRPr="00241E54">
        <w:rPr>
          <w:rFonts w:ascii="Arial" w:hAnsi="Arial" w:cs="Arial"/>
          <w:b/>
          <w:bCs/>
          <w:sz w:val="28"/>
          <w:szCs w:val="28"/>
        </w:rPr>
        <w:t>Nature vs Nurture</w:t>
      </w:r>
      <w:r>
        <w:rPr>
          <w:rFonts w:ascii="Arial" w:hAnsi="Arial" w:cs="Arial"/>
          <w:b/>
          <w:bCs/>
          <w:sz w:val="28"/>
          <w:szCs w:val="28"/>
        </w:rPr>
        <w:t xml:space="preserve"> in Dementia Care</w:t>
      </w:r>
      <w:bookmarkEnd w:id="4"/>
    </w:p>
    <w:p w14:paraId="037023DB" w14:textId="1B11C42E" w:rsidR="00241E54" w:rsidRPr="00241E54" w:rsidRDefault="006A204D" w:rsidP="00FE0A6D">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Mental and emotional growth in older adulthood is influenced by the interplay of genetics factors (nature) and life environmental experiences (nurture).</w:t>
      </w:r>
      <w:r w:rsidR="00241E54" w:rsidRPr="00241E54">
        <w:rPr>
          <w:rFonts w:ascii="Arial" w:eastAsia="Times New Roman" w:hAnsi="Arial" w:cs="Arial"/>
          <w:lang w:eastAsia="en-GB"/>
        </w:rPr>
        <w:t xml:space="preserve"> In dementia care, this balance becomes especially significant. Biological factors such as genetic predisposition, neurological decline, and age</w:t>
      </w:r>
      <w:r w:rsidR="00241E54" w:rsidRPr="00241E54">
        <w:rPr>
          <w:rFonts w:ascii="Arial" w:eastAsia="Times New Roman" w:hAnsi="Arial" w:cs="Arial"/>
          <w:lang w:eastAsia="en-GB"/>
        </w:rPr>
        <w:noBreakHyphen/>
        <w:t>related changes affect memory, cognition, and emotional regulation. At the same time, environmental conditions—including social relationships, quality of care, and daily routines—play a crucial role in shaping wellbeing and behaviour.</w:t>
      </w:r>
    </w:p>
    <w:p w14:paraId="001C3598" w14:textId="77777777" w:rsidR="00241E54" w:rsidRPr="00241E54" w:rsidRDefault="00241E54" w:rsidP="00FE0A6D">
      <w:pPr>
        <w:spacing w:before="100" w:beforeAutospacing="1" w:after="100" w:afterAutospacing="1" w:line="360" w:lineRule="auto"/>
        <w:jc w:val="both"/>
        <w:rPr>
          <w:rFonts w:ascii="Arial" w:eastAsia="Times New Roman" w:hAnsi="Arial" w:cs="Arial"/>
          <w:lang w:eastAsia="en-GB"/>
        </w:rPr>
      </w:pPr>
      <w:r w:rsidRPr="00241E54">
        <w:rPr>
          <w:rFonts w:ascii="Arial" w:eastAsia="Times New Roman" w:hAnsi="Arial" w:cs="Arial"/>
          <w:lang w:eastAsia="en-GB"/>
        </w:rPr>
        <w:t>Erikson’s psychosocial theory leans towards the nurture perspective, as it emphasises how supportive environments help older adults achieve integrity rather than despair. For instance, reminiscence activities guided by carers can compensate for memory loss, enabling residents to maintain identity and dignity despite biological decline. Conversely, Maslow’s hierarchy of needs integrates both nature and nurture. Physiological requirements such as nutrition, hydration, and rest reflect biological necessities, while higher</w:t>
      </w:r>
      <w:r w:rsidRPr="00241E54">
        <w:rPr>
          <w:rFonts w:ascii="Arial" w:eastAsia="Times New Roman" w:hAnsi="Arial" w:cs="Arial"/>
          <w:lang w:eastAsia="en-GB"/>
        </w:rPr>
        <w:noBreakHyphen/>
        <w:t>level needs—belonging, esteem, and self</w:t>
      </w:r>
      <w:r w:rsidRPr="00241E54">
        <w:rPr>
          <w:rFonts w:ascii="Arial" w:eastAsia="Times New Roman" w:hAnsi="Arial" w:cs="Arial"/>
          <w:lang w:eastAsia="en-GB"/>
        </w:rPr>
        <w:noBreakHyphen/>
        <w:t>actualisation—depend heavily on social interaction and emotional support within the care home.</w:t>
      </w:r>
    </w:p>
    <w:p w14:paraId="5540C210" w14:textId="77777777" w:rsidR="00241E54" w:rsidRPr="00241E54" w:rsidRDefault="00241E54" w:rsidP="00FE0A6D">
      <w:pPr>
        <w:spacing w:before="100" w:beforeAutospacing="1" w:after="100" w:afterAutospacing="1" w:line="360" w:lineRule="auto"/>
        <w:jc w:val="both"/>
        <w:rPr>
          <w:rFonts w:ascii="Arial" w:eastAsia="Times New Roman" w:hAnsi="Arial" w:cs="Arial"/>
          <w:lang w:eastAsia="en-GB"/>
        </w:rPr>
      </w:pPr>
      <w:r w:rsidRPr="00241E54">
        <w:rPr>
          <w:rFonts w:ascii="Arial" w:eastAsia="Times New Roman" w:hAnsi="Arial" w:cs="Arial"/>
          <w:lang w:eastAsia="en-GB"/>
        </w:rPr>
        <w:t xml:space="preserve">Recognising this dynamic interplay helps professionals deliver more holistic care. By acknowledging that dementia is not solely a biological condition but also influenced by environmental factors, staff can tailor interventions that address both physical deterioration and psychosocial needs. For example, ensuring safety through secure surroundings meets </w:t>
      </w:r>
      <w:r w:rsidRPr="00241E54">
        <w:rPr>
          <w:rFonts w:ascii="Arial" w:eastAsia="Times New Roman" w:hAnsi="Arial" w:cs="Arial"/>
          <w:lang w:eastAsia="en-GB"/>
        </w:rPr>
        <w:lastRenderedPageBreak/>
        <w:t>biological vulnerabilities, while fostering companionship and autonomy addresses environmental influences. Ultimately, understanding the synergy between nature and nurture enables health and social care practitioners to provide compassionate, person</w:t>
      </w:r>
      <w:r w:rsidRPr="00241E54">
        <w:rPr>
          <w:rFonts w:ascii="Arial" w:eastAsia="Times New Roman" w:hAnsi="Arial" w:cs="Arial"/>
          <w:lang w:eastAsia="en-GB"/>
        </w:rPr>
        <w:noBreakHyphen/>
        <w:t>centred support that enhances quality of life for residents with dementia.</w:t>
      </w:r>
    </w:p>
    <w:p w14:paraId="0433DCAA" w14:textId="2700D14A" w:rsidR="00741029" w:rsidRPr="0030400D" w:rsidRDefault="00741029" w:rsidP="00FE0A6D">
      <w:pPr>
        <w:pStyle w:val="Heading1"/>
        <w:spacing w:line="360" w:lineRule="auto"/>
        <w:jc w:val="both"/>
        <w:rPr>
          <w:rFonts w:ascii="Arial" w:hAnsi="Arial" w:cs="Arial"/>
          <w:b/>
          <w:bCs/>
          <w:sz w:val="28"/>
          <w:szCs w:val="28"/>
        </w:rPr>
      </w:pPr>
      <w:bookmarkStart w:id="5" w:name="_Toc215396180"/>
      <w:r w:rsidRPr="0030400D">
        <w:rPr>
          <w:rFonts w:ascii="Arial" w:hAnsi="Arial" w:cs="Arial"/>
          <w:b/>
          <w:bCs/>
          <w:sz w:val="28"/>
          <w:szCs w:val="28"/>
        </w:rPr>
        <w:t>Conclusion</w:t>
      </w:r>
      <w:bookmarkEnd w:id="5"/>
    </w:p>
    <w:p w14:paraId="6569C1D9" w14:textId="4DDECC77" w:rsidR="0030400D" w:rsidRDefault="0030400D" w:rsidP="00FE0A6D">
      <w:pPr>
        <w:spacing w:line="360" w:lineRule="auto"/>
        <w:jc w:val="both"/>
      </w:pPr>
    </w:p>
    <w:p w14:paraId="32188493" w14:textId="5A9C6F24" w:rsidR="006543CF" w:rsidRPr="006543CF" w:rsidRDefault="00670B89" w:rsidP="00FE0A6D">
      <w:pPr>
        <w:spacing w:line="360" w:lineRule="auto"/>
        <w:jc w:val="both"/>
        <w:rPr>
          <w:rFonts w:ascii="Arial" w:hAnsi="Arial" w:cs="Arial"/>
        </w:rPr>
      </w:pPr>
      <w:r w:rsidRPr="00670B89">
        <w:rPr>
          <w:rFonts w:ascii="Arial" w:hAnsi="Arial" w:cs="Arial"/>
        </w:rPr>
        <w:t>Acknowledging the interaction of biology and environment clarifies why both clinical stability and relational care matter in dementia.</w:t>
      </w:r>
      <w:r>
        <w:t xml:space="preserve"> </w:t>
      </w:r>
      <w:r w:rsidR="0030400D" w:rsidRPr="0030400D">
        <w:rPr>
          <w:rFonts w:ascii="Arial" w:hAnsi="Arial" w:cs="Arial"/>
        </w:rPr>
        <w:t>In conclusion, understanding and applying psychological theories can significantly improve the quality of care provided to older adults living with dementia. Erikson’s psychosocial theory highlights the importance of supporting identity, reflection, and emotional acceptance in later life, while Maslow’s hierarchy of needs emphasises the value of meeting both basic and psychological needs to promote wellbeing. When professionals integrate these theories into daily practice, they can provide holistic, person-centred care that addresses not only physical requirements but also emotional and social dimensions of health. However, effective implementation depends on sufficient training, empathy, and consistent communication among staff. Overall, using psychological frameworks encourages a more compassionate approach to dementia care—one that respects individuality, preserves dignity, and enhances the overall quality of life for older people in residential settings.</w:t>
      </w:r>
      <w:r>
        <w:rPr>
          <w:rFonts w:ascii="Arial" w:hAnsi="Arial" w:cs="Arial"/>
        </w:rPr>
        <w:t xml:space="preserve"> </w:t>
      </w:r>
      <w:r w:rsidRPr="00670B89">
        <w:rPr>
          <w:rFonts w:ascii="Arial" w:hAnsi="Arial" w:cs="Arial"/>
        </w:rPr>
        <w:t>Integrating these frameworks helps teams prioritise needs, personalise interventions, and sustain dignity even as cognitive changes progress.</w:t>
      </w:r>
    </w:p>
    <w:p w14:paraId="2B952967" w14:textId="77777777" w:rsidR="006543CF" w:rsidRDefault="006543CF" w:rsidP="00FE0A6D">
      <w:pPr>
        <w:spacing w:line="360" w:lineRule="auto"/>
        <w:jc w:val="both"/>
        <w:rPr>
          <w:rFonts w:ascii="Arial" w:eastAsiaTheme="majorEastAsia" w:hAnsi="Arial" w:cs="Arial"/>
          <w:b/>
          <w:bCs/>
          <w:color w:val="2F5496" w:themeColor="accent1" w:themeShade="BF"/>
          <w:sz w:val="28"/>
          <w:szCs w:val="28"/>
        </w:rPr>
      </w:pPr>
      <w:r>
        <w:rPr>
          <w:rFonts w:ascii="Arial" w:hAnsi="Arial" w:cs="Arial"/>
          <w:b/>
          <w:bCs/>
          <w:sz w:val="28"/>
          <w:szCs w:val="28"/>
        </w:rPr>
        <w:br w:type="page"/>
      </w:r>
    </w:p>
    <w:p w14:paraId="5ECC25B6" w14:textId="227CDF74" w:rsidR="00350B70" w:rsidRPr="001B7C12" w:rsidRDefault="00741029" w:rsidP="00FE0A6D">
      <w:pPr>
        <w:pStyle w:val="Heading1"/>
        <w:spacing w:line="360" w:lineRule="auto"/>
        <w:jc w:val="both"/>
        <w:rPr>
          <w:rFonts w:ascii="Arial" w:hAnsi="Arial" w:cs="Arial"/>
          <w:b/>
          <w:bCs/>
          <w:sz w:val="28"/>
          <w:szCs w:val="28"/>
        </w:rPr>
      </w:pPr>
      <w:bookmarkStart w:id="6" w:name="_Toc215396181"/>
      <w:r w:rsidRPr="0030400D">
        <w:rPr>
          <w:rFonts w:ascii="Arial" w:hAnsi="Arial" w:cs="Arial"/>
          <w:b/>
          <w:bCs/>
          <w:sz w:val="28"/>
          <w:szCs w:val="28"/>
        </w:rPr>
        <w:lastRenderedPageBreak/>
        <w:t>Reference List</w:t>
      </w:r>
      <w:bookmarkEnd w:id="6"/>
    </w:p>
    <w:p w14:paraId="3823EC60" w14:textId="395A27EA" w:rsidR="001B7C12" w:rsidRPr="001B7C12" w:rsidRDefault="001B7C12" w:rsidP="00FE0A6D">
      <w:pPr>
        <w:pStyle w:val="NormalWeb"/>
        <w:spacing w:line="360" w:lineRule="auto"/>
        <w:rPr>
          <w:rFonts w:ascii="Arial" w:hAnsi="Arial" w:cs="Arial"/>
          <w:sz w:val="22"/>
          <w:szCs w:val="22"/>
        </w:rPr>
      </w:pPr>
      <w:r w:rsidRPr="001B7C12">
        <w:rPr>
          <w:rFonts w:ascii="Arial" w:hAnsi="Arial" w:cs="Arial"/>
          <w:sz w:val="22"/>
          <w:szCs w:val="22"/>
        </w:rPr>
        <w:t xml:space="preserve">Alzheimer’s Society (2024) </w:t>
      </w:r>
      <w:r w:rsidRPr="001B7C12">
        <w:rPr>
          <w:rStyle w:val="Emphasis"/>
          <w:rFonts w:ascii="Arial" w:hAnsi="Arial" w:cs="Arial"/>
          <w:sz w:val="22"/>
          <w:szCs w:val="22"/>
        </w:rPr>
        <w:t>Emotional and Social Needs in Dementia Care</w:t>
      </w:r>
      <w:r w:rsidRPr="001B7C12">
        <w:rPr>
          <w:rFonts w:ascii="Arial" w:hAnsi="Arial" w:cs="Arial"/>
          <w:sz w:val="22"/>
          <w:szCs w:val="22"/>
        </w:rPr>
        <w:t xml:space="preserve">. Available at: </w:t>
      </w:r>
      <w:hyperlink r:id="rId8" w:history="1">
        <w:r w:rsidRPr="001B7C12">
          <w:rPr>
            <w:rStyle w:val="Hyperlink"/>
            <w:rFonts w:ascii="Arial" w:hAnsi="Arial" w:cs="Arial"/>
            <w:sz w:val="22"/>
            <w:szCs w:val="22"/>
          </w:rPr>
          <w:t>https://www.alzheimers.org.uk</w:t>
        </w:r>
      </w:hyperlink>
      <w:r w:rsidRPr="001B7C12">
        <w:rPr>
          <w:rFonts w:ascii="Arial" w:hAnsi="Arial" w:cs="Arial"/>
          <w:sz w:val="22"/>
          <w:szCs w:val="22"/>
        </w:rPr>
        <w:t xml:space="preserve"> </w:t>
      </w:r>
    </w:p>
    <w:p w14:paraId="552FF2F2" w14:textId="77777777" w:rsidR="001B7C12" w:rsidRPr="001B7C12" w:rsidRDefault="001B7C12" w:rsidP="00FE0A6D">
      <w:pPr>
        <w:pStyle w:val="NormalWeb"/>
        <w:spacing w:line="360" w:lineRule="auto"/>
        <w:rPr>
          <w:rFonts w:ascii="Arial" w:hAnsi="Arial" w:cs="Arial"/>
          <w:sz w:val="22"/>
          <w:szCs w:val="22"/>
        </w:rPr>
      </w:pPr>
      <w:r w:rsidRPr="001B7C12">
        <w:rPr>
          <w:rFonts w:ascii="Arial" w:hAnsi="Arial" w:cs="Arial"/>
          <w:sz w:val="22"/>
          <w:szCs w:val="22"/>
        </w:rPr>
        <w:t xml:space="preserve">Bee, H. and Boyd, D. (2019) </w:t>
      </w:r>
      <w:r w:rsidRPr="001B7C12">
        <w:rPr>
          <w:rStyle w:val="Emphasis"/>
          <w:rFonts w:ascii="Arial" w:hAnsi="Arial" w:cs="Arial"/>
          <w:sz w:val="22"/>
          <w:szCs w:val="22"/>
        </w:rPr>
        <w:t>Lifespan Development</w:t>
      </w:r>
      <w:r w:rsidRPr="001B7C12">
        <w:rPr>
          <w:rFonts w:ascii="Arial" w:hAnsi="Arial" w:cs="Arial"/>
          <w:sz w:val="22"/>
          <w:szCs w:val="22"/>
        </w:rPr>
        <w:t xml:space="preserve">. 7th </w:t>
      </w:r>
      <w:proofErr w:type="spellStart"/>
      <w:r w:rsidRPr="001B7C12">
        <w:rPr>
          <w:rFonts w:ascii="Arial" w:hAnsi="Arial" w:cs="Arial"/>
          <w:sz w:val="22"/>
          <w:szCs w:val="22"/>
        </w:rPr>
        <w:t>edn</w:t>
      </w:r>
      <w:proofErr w:type="spellEnd"/>
      <w:r w:rsidRPr="001B7C12">
        <w:rPr>
          <w:rFonts w:ascii="Arial" w:hAnsi="Arial" w:cs="Arial"/>
          <w:sz w:val="22"/>
          <w:szCs w:val="22"/>
        </w:rPr>
        <w:t>. London: Pearson.</w:t>
      </w:r>
    </w:p>
    <w:p w14:paraId="2B88001D" w14:textId="77777777" w:rsidR="001B7C12" w:rsidRPr="001B7C12" w:rsidRDefault="001B7C12" w:rsidP="00FE0A6D">
      <w:pPr>
        <w:pStyle w:val="NormalWeb"/>
        <w:spacing w:line="360" w:lineRule="auto"/>
        <w:rPr>
          <w:rFonts w:ascii="Arial" w:hAnsi="Arial" w:cs="Arial"/>
          <w:sz w:val="22"/>
          <w:szCs w:val="22"/>
        </w:rPr>
      </w:pPr>
      <w:r w:rsidRPr="001B7C12">
        <w:rPr>
          <w:rFonts w:ascii="Arial" w:hAnsi="Arial" w:cs="Arial"/>
          <w:sz w:val="22"/>
          <w:szCs w:val="22"/>
        </w:rPr>
        <w:t xml:space="preserve">Brooker, D. (2007) </w:t>
      </w:r>
      <w:r w:rsidRPr="001B7C12">
        <w:rPr>
          <w:rStyle w:val="Emphasis"/>
          <w:rFonts w:ascii="Arial" w:hAnsi="Arial" w:cs="Arial"/>
          <w:sz w:val="22"/>
          <w:szCs w:val="22"/>
        </w:rPr>
        <w:t>Person-Centred Dementia Care: Making Services Better</w:t>
      </w:r>
      <w:r w:rsidRPr="001B7C12">
        <w:rPr>
          <w:rFonts w:ascii="Arial" w:hAnsi="Arial" w:cs="Arial"/>
          <w:sz w:val="22"/>
          <w:szCs w:val="22"/>
        </w:rPr>
        <w:t>. London: Jessica Kingsley Publishers.</w:t>
      </w:r>
    </w:p>
    <w:p w14:paraId="1B7915FB" w14:textId="77777777" w:rsidR="001B7C12" w:rsidRPr="001B7C12" w:rsidRDefault="001B7C12" w:rsidP="00FE0A6D">
      <w:pPr>
        <w:pStyle w:val="NormalWeb"/>
        <w:spacing w:line="360" w:lineRule="auto"/>
        <w:rPr>
          <w:rFonts w:ascii="Arial" w:hAnsi="Arial" w:cs="Arial"/>
          <w:sz w:val="22"/>
          <w:szCs w:val="22"/>
        </w:rPr>
      </w:pPr>
      <w:r w:rsidRPr="001B7C12">
        <w:rPr>
          <w:rFonts w:ascii="Arial" w:hAnsi="Arial" w:cs="Arial"/>
          <w:sz w:val="22"/>
          <w:szCs w:val="22"/>
        </w:rPr>
        <w:t xml:space="preserve">Erikson, E.H. (1950) </w:t>
      </w:r>
      <w:r w:rsidRPr="001B7C12">
        <w:rPr>
          <w:rStyle w:val="Emphasis"/>
          <w:rFonts w:ascii="Arial" w:hAnsi="Arial" w:cs="Arial"/>
          <w:sz w:val="22"/>
          <w:szCs w:val="22"/>
        </w:rPr>
        <w:t>Childhood and Society</w:t>
      </w:r>
      <w:r w:rsidRPr="001B7C12">
        <w:rPr>
          <w:rFonts w:ascii="Arial" w:hAnsi="Arial" w:cs="Arial"/>
          <w:sz w:val="22"/>
          <w:szCs w:val="22"/>
        </w:rPr>
        <w:t>. New York: W.W. Norton.</w:t>
      </w:r>
    </w:p>
    <w:p w14:paraId="0F4CEF91" w14:textId="77777777" w:rsidR="001B7C12" w:rsidRPr="001B7C12" w:rsidRDefault="001B7C12" w:rsidP="00FE0A6D">
      <w:pPr>
        <w:pStyle w:val="NormalWeb"/>
        <w:spacing w:line="360" w:lineRule="auto"/>
        <w:rPr>
          <w:rFonts w:ascii="Arial" w:hAnsi="Arial" w:cs="Arial"/>
          <w:sz w:val="22"/>
          <w:szCs w:val="22"/>
        </w:rPr>
      </w:pPr>
      <w:r w:rsidRPr="001B7C12">
        <w:rPr>
          <w:rFonts w:ascii="Arial" w:hAnsi="Arial" w:cs="Arial"/>
          <w:sz w:val="22"/>
          <w:szCs w:val="22"/>
        </w:rPr>
        <w:t xml:space="preserve">Haque, A. and Khan, S. (2014) ‘Maslow’s Hierarchy of Needs: A Critical Analysis,’ </w:t>
      </w:r>
      <w:r w:rsidRPr="001B7C12">
        <w:rPr>
          <w:rStyle w:val="Emphasis"/>
          <w:rFonts w:ascii="Arial" w:hAnsi="Arial" w:cs="Arial"/>
          <w:sz w:val="22"/>
          <w:szCs w:val="22"/>
        </w:rPr>
        <w:t>Journal of Humanities and Social Science</w:t>
      </w:r>
      <w:r w:rsidRPr="001B7C12">
        <w:rPr>
          <w:rFonts w:ascii="Arial" w:hAnsi="Arial" w:cs="Arial"/>
          <w:sz w:val="22"/>
          <w:szCs w:val="22"/>
        </w:rPr>
        <w:t>, 19(9), pp. 39–45.</w:t>
      </w:r>
    </w:p>
    <w:p w14:paraId="158F35B1" w14:textId="77777777" w:rsidR="001B7C12" w:rsidRPr="001B7C12" w:rsidRDefault="001B7C12" w:rsidP="00FE0A6D">
      <w:pPr>
        <w:pStyle w:val="NormalWeb"/>
        <w:spacing w:line="360" w:lineRule="auto"/>
        <w:rPr>
          <w:rFonts w:ascii="Arial" w:hAnsi="Arial" w:cs="Arial"/>
          <w:sz w:val="22"/>
          <w:szCs w:val="22"/>
        </w:rPr>
      </w:pPr>
      <w:r w:rsidRPr="001B7C12">
        <w:rPr>
          <w:rFonts w:ascii="Arial" w:hAnsi="Arial" w:cs="Arial"/>
          <w:sz w:val="22"/>
          <w:szCs w:val="22"/>
        </w:rPr>
        <w:t xml:space="preserve">Kitwood, T. (1997) </w:t>
      </w:r>
      <w:r w:rsidRPr="001B7C12">
        <w:rPr>
          <w:rStyle w:val="Emphasis"/>
          <w:rFonts w:ascii="Arial" w:hAnsi="Arial" w:cs="Arial"/>
          <w:sz w:val="22"/>
          <w:szCs w:val="22"/>
        </w:rPr>
        <w:t>Dementia Reconsidered: The Person Comes First</w:t>
      </w:r>
      <w:r w:rsidRPr="001B7C12">
        <w:rPr>
          <w:rFonts w:ascii="Arial" w:hAnsi="Arial" w:cs="Arial"/>
          <w:sz w:val="22"/>
          <w:szCs w:val="22"/>
        </w:rPr>
        <w:t>. Buckingham: Open University Press.</w:t>
      </w:r>
    </w:p>
    <w:p w14:paraId="320B7AA1" w14:textId="77777777" w:rsidR="001B7C12" w:rsidRPr="001B7C12" w:rsidRDefault="001B7C12" w:rsidP="00FE0A6D">
      <w:pPr>
        <w:pStyle w:val="NormalWeb"/>
        <w:spacing w:line="360" w:lineRule="auto"/>
        <w:rPr>
          <w:rFonts w:ascii="Arial" w:hAnsi="Arial" w:cs="Arial"/>
          <w:sz w:val="22"/>
          <w:szCs w:val="22"/>
        </w:rPr>
      </w:pPr>
      <w:r w:rsidRPr="001B7C12">
        <w:rPr>
          <w:rFonts w:ascii="Arial" w:hAnsi="Arial" w:cs="Arial"/>
          <w:sz w:val="22"/>
          <w:szCs w:val="22"/>
        </w:rPr>
        <w:t xml:space="preserve">Maslow, A.H. (1943) ‘A Theory of Human Motivation,’ </w:t>
      </w:r>
      <w:r w:rsidRPr="001B7C12">
        <w:rPr>
          <w:rStyle w:val="Emphasis"/>
          <w:rFonts w:ascii="Arial" w:hAnsi="Arial" w:cs="Arial"/>
          <w:sz w:val="22"/>
          <w:szCs w:val="22"/>
        </w:rPr>
        <w:t>Psychological Review</w:t>
      </w:r>
      <w:r w:rsidRPr="001B7C12">
        <w:rPr>
          <w:rFonts w:ascii="Arial" w:hAnsi="Arial" w:cs="Arial"/>
          <w:sz w:val="22"/>
          <w:szCs w:val="22"/>
        </w:rPr>
        <w:t>, 50(4), pp. 370–396.</w:t>
      </w:r>
    </w:p>
    <w:p w14:paraId="7D6C3638" w14:textId="77777777" w:rsidR="001B7C12" w:rsidRPr="001B7C12" w:rsidRDefault="001B7C12" w:rsidP="00FE0A6D">
      <w:pPr>
        <w:pStyle w:val="NormalWeb"/>
        <w:spacing w:line="360" w:lineRule="auto"/>
        <w:rPr>
          <w:rFonts w:ascii="Arial" w:hAnsi="Arial" w:cs="Arial"/>
          <w:sz w:val="22"/>
          <w:szCs w:val="22"/>
        </w:rPr>
      </w:pPr>
      <w:proofErr w:type="spellStart"/>
      <w:r w:rsidRPr="001B7C12">
        <w:rPr>
          <w:rFonts w:ascii="Arial" w:hAnsi="Arial" w:cs="Arial"/>
          <w:sz w:val="22"/>
          <w:szCs w:val="22"/>
        </w:rPr>
        <w:t>Neher</w:t>
      </w:r>
      <w:proofErr w:type="spellEnd"/>
      <w:r w:rsidRPr="001B7C12">
        <w:rPr>
          <w:rFonts w:ascii="Arial" w:hAnsi="Arial" w:cs="Arial"/>
          <w:sz w:val="22"/>
          <w:szCs w:val="22"/>
        </w:rPr>
        <w:t xml:space="preserve">, A. (1991) ‘Maslow’s Theory of Motivation: A Critique,’ </w:t>
      </w:r>
      <w:r w:rsidRPr="001B7C12">
        <w:rPr>
          <w:rStyle w:val="Emphasis"/>
          <w:rFonts w:ascii="Arial" w:hAnsi="Arial" w:cs="Arial"/>
          <w:sz w:val="22"/>
          <w:szCs w:val="22"/>
        </w:rPr>
        <w:t>Journal of Humanistic Psychology</w:t>
      </w:r>
      <w:r w:rsidRPr="001B7C12">
        <w:rPr>
          <w:rFonts w:ascii="Arial" w:hAnsi="Arial" w:cs="Arial"/>
          <w:sz w:val="22"/>
          <w:szCs w:val="22"/>
        </w:rPr>
        <w:t>, 31(3), pp. 89–112.</w:t>
      </w:r>
    </w:p>
    <w:p w14:paraId="2AEF0DD1" w14:textId="77E2A74F" w:rsidR="006F7FD0" w:rsidRPr="001B7C12" w:rsidRDefault="001B7C12" w:rsidP="00FE0A6D">
      <w:pPr>
        <w:pStyle w:val="NormalWeb"/>
        <w:spacing w:line="360" w:lineRule="auto"/>
        <w:rPr>
          <w:rFonts w:ascii="Arial" w:hAnsi="Arial" w:cs="Arial"/>
          <w:sz w:val="22"/>
          <w:szCs w:val="22"/>
        </w:rPr>
      </w:pPr>
      <w:r w:rsidRPr="001B7C12">
        <w:rPr>
          <w:rFonts w:ascii="Arial" w:hAnsi="Arial" w:cs="Arial"/>
          <w:sz w:val="22"/>
          <w:szCs w:val="22"/>
        </w:rPr>
        <w:t xml:space="preserve">National Institute for Health and Care Excellence (NICE) (2023) </w:t>
      </w:r>
      <w:r w:rsidRPr="001B7C12">
        <w:rPr>
          <w:rStyle w:val="Emphasis"/>
          <w:rFonts w:ascii="Arial" w:hAnsi="Arial" w:cs="Arial"/>
          <w:sz w:val="22"/>
          <w:szCs w:val="22"/>
        </w:rPr>
        <w:t>Dementia: Assessment, Management and Support for People Living with Dementia and Their Carers</w:t>
      </w:r>
      <w:r w:rsidRPr="001B7C12">
        <w:rPr>
          <w:rFonts w:ascii="Arial" w:hAnsi="Arial" w:cs="Arial"/>
          <w:sz w:val="22"/>
          <w:szCs w:val="22"/>
        </w:rPr>
        <w:t>. London: NICE.</w:t>
      </w:r>
    </w:p>
    <w:sectPr w:rsidR="006F7FD0" w:rsidRPr="001B7C1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30F33" w14:textId="77777777" w:rsidR="00D3592B" w:rsidRDefault="00D3592B" w:rsidP="00350B70">
      <w:pPr>
        <w:spacing w:after="0" w:line="240" w:lineRule="auto"/>
      </w:pPr>
      <w:r>
        <w:separator/>
      </w:r>
    </w:p>
  </w:endnote>
  <w:endnote w:type="continuationSeparator" w:id="0">
    <w:p w14:paraId="2F8495DF" w14:textId="77777777" w:rsidR="00D3592B" w:rsidRDefault="00D3592B" w:rsidP="00350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3014000"/>
      <w:docPartObj>
        <w:docPartGallery w:val="Page Numbers (Bottom of Page)"/>
        <w:docPartUnique/>
      </w:docPartObj>
    </w:sdtPr>
    <w:sdtEndPr>
      <w:rPr>
        <w:noProof/>
      </w:rPr>
    </w:sdtEndPr>
    <w:sdtContent>
      <w:p w14:paraId="4E97CA4D" w14:textId="0C40574A" w:rsidR="00350B70" w:rsidRDefault="00350B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5071D0" w14:textId="77777777" w:rsidR="00350B70" w:rsidRDefault="00350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05822" w14:textId="77777777" w:rsidR="00D3592B" w:rsidRDefault="00D3592B" w:rsidP="00350B70">
      <w:pPr>
        <w:spacing w:after="0" w:line="240" w:lineRule="auto"/>
      </w:pPr>
      <w:r>
        <w:separator/>
      </w:r>
    </w:p>
  </w:footnote>
  <w:footnote w:type="continuationSeparator" w:id="0">
    <w:p w14:paraId="42A9D081" w14:textId="77777777" w:rsidR="00D3592B" w:rsidRDefault="00D3592B" w:rsidP="00350B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F5A4E"/>
    <w:multiLevelType w:val="hybridMultilevel"/>
    <w:tmpl w:val="70D89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1627E"/>
    <w:multiLevelType w:val="hybridMultilevel"/>
    <w:tmpl w:val="97F28D50"/>
    <w:lvl w:ilvl="0" w:tplc="F96EBCB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4600EF"/>
    <w:multiLevelType w:val="multilevel"/>
    <w:tmpl w:val="E7AAF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F61433"/>
    <w:multiLevelType w:val="hybridMultilevel"/>
    <w:tmpl w:val="1616AC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224168B"/>
    <w:multiLevelType w:val="hybridMultilevel"/>
    <w:tmpl w:val="44528B56"/>
    <w:lvl w:ilvl="0" w:tplc="F96EBCB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B70"/>
    <w:rsid w:val="001B7C12"/>
    <w:rsid w:val="00241E54"/>
    <w:rsid w:val="002440AC"/>
    <w:rsid w:val="0030192B"/>
    <w:rsid w:val="0030400D"/>
    <w:rsid w:val="00324384"/>
    <w:rsid w:val="00350B70"/>
    <w:rsid w:val="004C585A"/>
    <w:rsid w:val="005B5DF8"/>
    <w:rsid w:val="006469A8"/>
    <w:rsid w:val="006543CF"/>
    <w:rsid w:val="00670B89"/>
    <w:rsid w:val="006A204D"/>
    <w:rsid w:val="006E09A3"/>
    <w:rsid w:val="006F7FD0"/>
    <w:rsid w:val="00741029"/>
    <w:rsid w:val="007C0AE8"/>
    <w:rsid w:val="00876381"/>
    <w:rsid w:val="008A0B9D"/>
    <w:rsid w:val="008D49CC"/>
    <w:rsid w:val="008D5D3F"/>
    <w:rsid w:val="008F02C5"/>
    <w:rsid w:val="00900818"/>
    <w:rsid w:val="00A77D0A"/>
    <w:rsid w:val="00B56C0E"/>
    <w:rsid w:val="00C330BA"/>
    <w:rsid w:val="00CE4EEE"/>
    <w:rsid w:val="00D3592B"/>
    <w:rsid w:val="00D67795"/>
    <w:rsid w:val="00F21EA1"/>
    <w:rsid w:val="00FE0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62B15D"/>
  <w15:chartTrackingRefBased/>
  <w15:docId w15:val="{B226FAE1-A986-4389-9562-E8503F13F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0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0B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B70"/>
  </w:style>
  <w:style w:type="paragraph" w:styleId="Footer">
    <w:name w:val="footer"/>
    <w:basedOn w:val="Normal"/>
    <w:link w:val="FooterChar"/>
    <w:uiPriority w:val="99"/>
    <w:unhideWhenUsed/>
    <w:rsid w:val="00350B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B70"/>
  </w:style>
  <w:style w:type="paragraph" w:styleId="NormalWeb">
    <w:name w:val="Normal (Web)"/>
    <w:basedOn w:val="Normal"/>
    <w:uiPriority w:val="99"/>
    <w:unhideWhenUsed/>
    <w:rsid w:val="00350B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0B70"/>
    <w:rPr>
      <w:b/>
      <w:bCs/>
    </w:rPr>
  </w:style>
  <w:style w:type="character" w:customStyle="1" w:styleId="Heading1Char">
    <w:name w:val="Heading 1 Char"/>
    <w:basedOn w:val="DefaultParagraphFont"/>
    <w:link w:val="Heading1"/>
    <w:uiPriority w:val="9"/>
    <w:rsid w:val="007410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1029"/>
    <w:pPr>
      <w:outlineLvl w:val="9"/>
    </w:pPr>
    <w:rPr>
      <w:lang w:val="en-US"/>
    </w:rPr>
  </w:style>
  <w:style w:type="paragraph" w:styleId="TOC1">
    <w:name w:val="toc 1"/>
    <w:basedOn w:val="Normal"/>
    <w:next w:val="Normal"/>
    <w:autoRedefine/>
    <w:uiPriority w:val="39"/>
    <w:unhideWhenUsed/>
    <w:rsid w:val="00741029"/>
    <w:pPr>
      <w:spacing w:after="100"/>
    </w:pPr>
  </w:style>
  <w:style w:type="character" w:styleId="Hyperlink">
    <w:name w:val="Hyperlink"/>
    <w:basedOn w:val="DefaultParagraphFont"/>
    <w:uiPriority w:val="99"/>
    <w:unhideWhenUsed/>
    <w:rsid w:val="00741029"/>
    <w:rPr>
      <w:color w:val="0563C1" w:themeColor="hyperlink"/>
      <w:u w:val="single"/>
    </w:rPr>
  </w:style>
  <w:style w:type="character" w:styleId="Emphasis">
    <w:name w:val="Emphasis"/>
    <w:basedOn w:val="DefaultParagraphFont"/>
    <w:uiPriority w:val="20"/>
    <w:qFormat/>
    <w:rsid w:val="0074102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93838">
      <w:bodyDiv w:val="1"/>
      <w:marLeft w:val="0"/>
      <w:marRight w:val="0"/>
      <w:marTop w:val="0"/>
      <w:marBottom w:val="0"/>
      <w:divBdr>
        <w:top w:val="none" w:sz="0" w:space="0" w:color="auto"/>
        <w:left w:val="none" w:sz="0" w:space="0" w:color="auto"/>
        <w:bottom w:val="none" w:sz="0" w:space="0" w:color="auto"/>
        <w:right w:val="none" w:sz="0" w:space="0" w:color="auto"/>
      </w:divBdr>
    </w:div>
    <w:div w:id="261185932">
      <w:bodyDiv w:val="1"/>
      <w:marLeft w:val="0"/>
      <w:marRight w:val="0"/>
      <w:marTop w:val="0"/>
      <w:marBottom w:val="0"/>
      <w:divBdr>
        <w:top w:val="none" w:sz="0" w:space="0" w:color="auto"/>
        <w:left w:val="none" w:sz="0" w:space="0" w:color="auto"/>
        <w:bottom w:val="none" w:sz="0" w:space="0" w:color="auto"/>
        <w:right w:val="none" w:sz="0" w:space="0" w:color="auto"/>
      </w:divBdr>
    </w:div>
    <w:div w:id="457144448">
      <w:bodyDiv w:val="1"/>
      <w:marLeft w:val="0"/>
      <w:marRight w:val="0"/>
      <w:marTop w:val="0"/>
      <w:marBottom w:val="0"/>
      <w:divBdr>
        <w:top w:val="none" w:sz="0" w:space="0" w:color="auto"/>
        <w:left w:val="none" w:sz="0" w:space="0" w:color="auto"/>
        <w:bottom w:val="none" w:sz="0" w:space="0" w:color="auto"/>
        <w:right w:val="none" w:sz="0" w:space="0" w:color="auto"/>
      </w:divBdr>
    </w:div>
    <w:div w:id="476918106">
      <w:bodyDiv w:val="1"/>
      <w:marLeft w:val="0"/>
      <w:marRight w:val="0"/>
      <w:marTop w:val="0"/>
      <w:marBottom w:val="0"/>
      <w:divBdr>
        <w:top w:val="none" w:sz="0" w:space="0" w:color="auto"/>
        <w:left w:val="none" w:sz="0" w:space="0" w:color="auto"/>
        <w:bottom w:val="none" w:sz="0" w:space="0" w:color="auto"/>
        <w:right w:val="none" w:sz="0" w:space="0" w:color="auto"/>
      </w:divBdr>
    </w:div>
    <w:div w:id="747386523">
      <w:bodyDiv w:val="1"/>
      <w:marLeft w:val="0"/>
      <w:marRight w:val="0"/>
      <w:marTop w:val="0"/>
      <w:marBottom w:val="0"/>
      <w:divBdr>
        <w:top w:val="none" w:sz="0" w:space="0" w:color="auto"/>
        <w:left w:val="none" w:sz="0" w:space="0" w:color="auto"/>
        <w:bottom w:val="none" w:sz="0" w:space="0" w:color="auto"/>
        <w:right w:val="none" w:sz="0" w:space="0" w:color="auto"/>
      </w:divBdr>
    </w:div>
    <w:div w:id="761486923">
      <w:bodyDiv w:val="1"/>
      <w:marLeft w:val="0"/>
      <w:marRight w:val="0"/>
      <w:marTop w:val="0"/>
      <w:marBottom w:val="0"/>
      <w:divBdr>
        <w:top w:val="none" w:sz="0" w:space="0" w:color="auto"/>
        <w:left w:val="none" w:sz="0" w:space="0" w:color="auto"/>
        <w:bottom w:val="none" w:sz="0" w:space="0" w:color="auto"/>
        <w:right w:val="none" w:sz="0" w:space="0" w:color="auto"/>
      </w:divBdr>
    </w:div>
    <w:div w:id="768044217">
      <w:bodyDiv w:val="1"/>
      <w:marLeft w:val="0"/>
      <w:marRight w:val="0"/>
      <w:marTop w:val="0"/>
      <w:marBottom w:val="0"/>
      <w:divBdr>
        <w:top w:val="none" w:sz="0" w:space="0" w:color="auto"/>
        <w:left w:val="none" w:sz="0" w:space="0" w:color="auto"/>
        <w:bottom w:val="none" w:sz="0" w:space="0" w:color="auto"/>
        <w:right w:val="none" w:sz="0" w:space="0" w:color="auto"/>
      </w:divBdr>
    </w:div>
    <w:div w:id="906652161">
      <w:bodyDiv w:val="1"/>
      <w:marLeft w:val="0"/>
      <w:marRight w:val="0"/>
      <w:marTop w:val="0"/>
      <w:marBottom w:val="0"/>
      <w:divBdr>
        <w:top w:val="none" w:sz="0" w:space="0" w:color="auto"/>
        <w:left w:val="none" w:sz="0" w:space="0" w:color="auto"/>
        <w:bottom w:val="none" w:sz="0" w:space="0" w:color="auto"/>
        <w:right w:val="none" w:sz="0" w:space="0" w:color="auto"/>
      </w:divBdr>
    </w:div>
    <w:div w:id="1028221390">
      <w:bodyDiv w:val="1"/>
      <w:marLeft w:val="0"/>
      <w:marRight w:val="0"/>
      <w:marTop w:val="0"/>
      <w:marBottom w:val="0"/>
      <w:divBdr>
        <w:top w:val="none" w:sz="0" w:space="0" w:color="auto"/>
        <w:left w:val="none" w:sz="0" w:space="0" w:color="auto"/>
        <w:bottom w:val="none" w:sz="0" w:space="0" w:color="auto"/>
        <w:right w:val="none" w:sz="0" w:space="0" w:color="auto"/>
      </w:divBdr>
    </w:div>
    <w:div w:id="1039815898">
      <w:bodyDiv w:val="1"/>
      <w:marLeft w:val="0"/>
      <w:marRight w:val="0"/>
      <w:marTop w:val="0"/>
      <w:marBottom w:val="0"/>
      <w:divBdr>
        <w:top w:val="none" w:sz="0" w:space="0" w:color="auto"/>
        <w:left w:val="none" w:sz="0" w:space="0" w:color="auto"/>
        <w:bottom w:val="none" w:sz="0" w:space="0" w:color="auto"/>
        <w:right w:val="none" w:sz="0" w:space="0" w:color="auto"/>
      </w:divBdr>
    </w:div>
    <w:div w:id="1041635176">
      <w:bodyDiv w:val="1"/>
      <w:marLeft w:val="0"/>
      <w:marRight w:val="0"/>
      <w:marTop w:val="0"/>
      <w:marBottom w:val="0"/>
      <w:divBdr>
        <w:top w:val="none" w:sz="0" w:space="0" w:color="auto"/>
        <w:left w:val="none" w:sz="0" w:space="0" w:color="auto"/>
        <w:bottom w:val="none" w:sz="0" w:space="0" w:color="auto"/>
        <w:right w:val="none" w:sz="0" w:space="0" w:color="auto"/>
      </w:divBdr>
    </w:div>
    <w:div w:id="1195463431">
      <w:bodyDiv w:val="1"/>
      <w:marLeft w:val="0"/>
      <w:marRight w:val="0"/>
      <w:marTop w:val="0"/>
      <w:marBottom w:val="0"/>
      <w:divBdr>
        <w:top w:val="none" w:sz="0" w:space="0" w:color="auto"/>
        <w:left w:val="none" w:sz="0" w:space="0" w:color="auto"/>
        <w:bottom w:val="none" w:sz="0" w:space="0" w:color="auto"/>
        <w:right w:val="none" w:sz="0" w:space="0" w:color="auto"/>
      </w:divBdr>
    </w:div>
    <w:div w:id="1486582781">
      <w:bodyDiv w:val="1"/>
      <w:marLeft w:val="0"/>
      <w:marRight w:val="0"/>
      <w:marTop w:val="0"/>
      <w:marBottom w:val="0"/>
      <w:divBdr>
        <w:top w:val="none" w:sz="0" w:space="0" w:color="auto"/>
        <w:left w:val="none" w:sz="0" w:space="0" w:color="auto"/>
        <w:bottom w:val="none" w:sz="0" w:space="0" w:color="auto"/>
        <w:right w:val="none" w:sz="0" w:space="0" w:color="auto"/>
      </w:divBdr>
    </w:div>
    <w:div w:id="2001738496">
      <w:bodyDiv w:val="1"/>
      <w:marLeft w:val="0"/>
      <w:marRight w:val="0"/>
      <w:marTop w:val="0"/>
      <w:marBottom w:val="0"/>
      <w:divBdr>
        <w:top w:val="none" w:sz="0" w:space="0" w:color="auto"/>
        <w:left w:val="none" w:sz="0" w:space="0" w:color="auto"/>
        <w:bottom w:val="none" w:sz="0" w:space="0" w:color="auto"/>
        <w:right w:val="none" w:sz="0" w:space="0" w:color="auto"/>
      </w:divBdr>
    </w:div>
    <w:div w:id="2083870915">
      <w:bodyDiv w:val="1"/>
      <w:marLeft w:val="0"/>
      <w:marRight w:val="0"/>
      <w:marTop w:val="0"/>
      <w:marBottom w:val="0"/>
      <w:divBdr>
        <w:top w:val="none" w:sz="0" w:space="0" w:color="auto"/>
        <w:left w:val="none" w:sz="0" w:space="0" w:color="auto"/>
        <w:bottom w:val="none" w:sz="0" w:space="0" w:color="auto"/>
        <w:right w:val="none" w:sz="0" w:space="0" w:color="auto"/>
      </w:divBdr>
    </w:div>
    <w:div w:id="2105415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B2634D-2423-43F8-8F72-27C7113F9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Pages>
  <Words>2191</Words>
  <Characters>12493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Khanom Reshma Mohammed (2429698)</dc:creator>
  <cp:keywords/>
  <dc:description/>
  <cp:lastModifiedBy>Sasha Khanom Reshma Mohammed (2429698)</cp:lastModifiedBy>
  <cp:revision>13</cp:revision>
  <dcterms:created xsi:type="dcterms:W3CDTF">2025-11-10T23:19:00Z</dcterms:created>
  <dcterms:modified xsi:type="dcterms:W3CDTF">2025-11-30T11:56:00Z</dcterms:modified>
</cp:coreProperties>
</file>