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8A87CF" w14:textId="054DF9B6" w:rsidR="007145A7" w:rsidRDefault="007145A7" w:rsidP="007145A7">
      <w:pPr>
        <w:pStyle w:val="NormalWeb"/>
        <w:spacing w:before="0" w:beforeAutospacing="0" w:after="0" w:afterAutospacing="0"/>
        <w:jc w:val="center"/>
      </w:pPr>
      <w:r>
        <w:rPr>
          <w:rFonts w:ascii="Arial" w:hAnsi="Arial" w:cs="Arial"/>
          <w:color w:val="000000"/>
          <w:sz w:val="20"/>
          <w:szCs w:val="20"/>
        </w:rPr>
        <w:br/>
      </w:r>
      <w:r>
        <w:rPr>
          <w:noProof/>
          <w:color w:val="000000"/>
          <w:bdr w:val="none" w:sz="0" w:space="0" w:color="auto" w:frame="1"/>
        </w:rPr>
        <w:drawing>
          <wp:inline distT="0" distB="0" distL="0" distR="0" wp14:anchorId="7861DDE5" wp14:editId="364EBA4D">
            <wp:extent cx="1813560" cy="723900"/>
            <wp:effectExtent l="0" t="0" r="0" b="0"/>
            <wp:docPr id="2"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p>
    <w:p w14:paraId="26890683" w14:textId="77777777" w:rsidR="007145A7" w:rsidRDefault="007145A7" w:rsidP="007145A7"/>
    <w:tbl>
      <w:tblPr>
        <w:tblW w:w="0" w:type="auto"/>
        <w:tblCellMar>
          <w:top w:w="15" w:type="dxa"/>
          <w:left w:w="15" w:type="dxa"/>
          <w:bottom w:w="15" w:type="dxa"/>
          <w:right w:w="15" w:type="dxa"/>
        </w:tblCellMar>
        <w:tblLook w:val="04A0" w:firstRow="1" w:lastRow="0" w:firstColumn="1" w:lastColumn="0" w:noHBand="0" w:noVBand="1"/>
      </w:tblPr>
      <w:tblGrid>
        <w:gridCol w:w="8032"/>
      </w:tblGrid>
      <w:tr w:rsidR="007145A7" w14:paraId="2C18DF2E" w14:textId="77777777" w:rsidTr="007145A7">
        <w:tc>
          <w:tcPr>
            <w:tcW w:w="0" w:type="auto"/>
            <w:tcBorders>
              <w:top w:val="single" w:sz="4" w:space="0" w:color="000000"/>
              <w:left w:val="single" w:sz="4" w:space="0" w:color="000000"/>
              <w:bottom w:val="single" w:sz="4" w:space="0" w:color="000000"/>
              <w:right w:val="single" w:sz="4" w:space="0" w:color="000000"/>
            </w:tcBorders>
            <w:shd w:val="clear" w:color="auto" w:fill="C0C0C0"/>
            <w:tcMar>
              <w:top w:w="0" w:type="dxa"/>
              <w:left w:w="115" w:type="dxa"/>
              <w:bottom w:w="0" w:type="dxa"/>
              <w:right w:w="115" w:type="dxa"/>
            </w:tcMar>
            <w:hideMark/>
          </w:tcPr>
          <w:p w14:paraId="71CBA228" w14:textId="77777777" w:rsidR="007145A7" w:rsidRDefault="007145A7">
            <w:pPr>
              <w:pStyle w:val="Heading4"/>
              <w:spacing w:before="120" w:after="120"/>
              <w:jc w:val="center"/>
            </w:pPr>
            <w:r>
              <w:rPr>
                <w:rFonts w:ascii="Arial" w:hAnsi="Arial" w:cs="Arial"/>
                <w:b/>
                <w:bCs/>
                <w:i w:val="0"/>
                <w:iCs w:val="0"/>
                <w:color w:val="000000"/>
                <w:sz w:val="40"/>
                <w:szCs w:val="40"/>
              </w:rPr>
              <w:t>LEVEL 5 ASSESSMENT SPECIFICATION </w:t>
            </w:r>
          </w:p>
        </w:tc>
      </w:tr>
    </w:tbl>
    <w:p w14:paraId="5136AAEC" w14:textId="77777777" w:rsidR="007145A7" w:rsidRDefault="007145A7" w:rsidP="007145A7"/>
    <w:tbl>
      <w:tblPr>
        <w:tblW w:w="0" w:type="auto"/>
        <w:tblCellMar>
          <w:top w:w="15" w:type="dxa"/>
          <w:left w:w="15" w:type="dxa"/>
          <w:bottom w:w="15" w:type="dxa"/>
          <w:right w:w="15" w:type="dxa"/>
        </w:tblCellMar>
        <w:tblLook w:val="04A0" w:firstRow="1" w:lastRow="0" w:firstColumn="1" w:lastColumn="0" w:noHBand="0" w:noVBand="1"/>
      </w:tblPr>
      <w:tblGrid>
        <w:gridCol w:w="1955"/>
        <w:gridCol w:w="2198"/>
        <w:gridCol w:w="3395"/>
        <w:gridCol w:w="1468"/>
      </w:tblGrid>
      <w:tr w:rsidR="007145A7" w14:paraId="3563C2DF" w14:textId="77777777" w:rsidTr="007145A7">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3947F6F4" w14:textId="77777777" w:rsidR="007145A7" w:rsidRDefault="007145A7">
            <w:pPr>
              <w:pStyle w:val="NormalWeb"/>
              <w:spacing w:before="120" w:beforeAutospacing="0" w:after="120" w:afterAutospacing="0"/>
              <w:jc w:val="both"/>
            </w:pPr>
            <w:r>
              <w:rPr>
                <w:rFonts w:ascii="Arial" w:hAnsi="Arial" w:cs="Arial"/>
                <w:b/>
                <w:bCs/>
                <w:color w:val="000000"/>
                <w:sz w:val="22"/>
                <w:szCs w:val="22"/>
              </w:rPr>
              <w:t>Student name: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8D9B29A" w14:textId="236EF216" w:rsidR="007145A7" w:rsidRDefault="00DE15FE">
            <w:pPr>
              <w:pStyle w:val="NormalWeb"/>
              <w:spacing w:before="120" w:beforeAutospacing="0" w:after="120" w:afterAutospacing="0"/>
              <w:jc w:val="both"/>
            </w:pPr>
            <w:r>
              <w:rPr>
                <w:rFonts w:ascii="Arial" w:hAnsi="Arial" w:cs="Arial"/>
                <w:b/>
                <w:bCs/>
                <w:color w:val="000000"/>
                <w:sz w:val="22"/>
                <w:szCs w:val="22"/>
              </w:rPr>
              <w:t>SHARIFUL ISLAM</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72A58E1E" w14:textId="77777777" w:rsidR="007145A7" w:rsidRDefault="007145A7">
            <w:pPr>
              <w:pStyle w:val="NormalWeb"/>
              <w:spacing w:before="120" w:beforeAutospacing="0" w:after="120" w:afterAutospacing="0"/>
              <w:jc w:val="both"/>
            </w:pPr>
            <w:r>
              <w:rPr>
                <w:rFonts w:ascii="Arial" w:hAnsi="Arial" w:cs="Arial"/>
                <w:b/>
                <w:bCs/>
                <w:color w:val="000000"/>
                <w:sz w:val="22"/>
                <w:szCs w:val="22"/>
              </w:rPr>
              <w:t>Student ID number:</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449FC60" w14:textId="399A3994" w:rsidR="007145A7" w:rsidRDefault="00DE15FE">
            <w:r>
              <w:t>2013505</w:t>
            </w:r>
          </w:p>
        </w:tc>
      </w:tr>
      <w:tr w:rsidR="007145A7" w14:paraId="5783AF5C" w14:textId="77777777" w:rsidTr="007145A7">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4F37B03D" w14:textId="77777777" w:rsidR="007145A7" w:rsidRDefault="007145A7">
            <w:pPr>
              <w:pStyle w:val="NormalWeb"/>
              <w:spacing w:before="120" w:beforeAutospacing="0" w:after="120" w:afterAutospacing="0"/>
              <w:jc w:val="both"/>
            </w:pPr>
            <w:proofErr w:type="spellStart"/>
            <w:r>
              <w:rPr>
                <w:rFonts w:ascii="Arial" w:hAnsi="Arial" w:cs="Arial"/>
                <w:b/>
                <w:bCs/>
                <w:color w:val="000000"/>
                <w:sz w:val="22"/>
                <w:szCs w:val="22"/>
              </w:rPr>
              <w:t>Programme</w:t>
            </w:r>
            <w:proofErr w:type="spellEnd"/>
            <w:r>
              <w:rPr>
                <w:rFonts w:ascii="Arial" w:hAnsi="Arial" w:cs="Arial"/>
                <w:b/>
                <w:bCs/>
                <w:color w:val="000000"/>
                <w:sz w:val="22"/>
                <w:szCs w:val="22"/>
              </w:rPr>
              <w:t>:</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670FC16" w14:textId="77777777" w:rsidR="007145A7" w:rsidRDefault="007145A7">
            <w:pPr>
              <w:pStyle w:val="NormalWeb"/>
              <w:spacing w:before="120" w:beforeAutospacing="0" w:after="120" w:afterAutospacing="0"/>
              <w:jc w:val="both"/>
            </w:pPr>
            <w:r>
              <w:rPr>
                <w:rFonts w:ascii="Calibri" w:hAnsi="Calibri" w:cs="Calibri"/>
                <w:b/>
                <w:bCs/>
                <w:color w:val="000000"/>
                <w:sz w:val="22"/>
                <w:szCs w:val="22"/>
              </w:rPr>
              <w:t>BA SOTAH – International Hotel Management</w:t>
            </w:r>
          </w:p>
        </w:tc>
      </w:tr>
      <w:tr w:rsidR="007145A7" w14:paraId="1066C612" w14:textId="77777777" w:rsidTr="007145A7">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71EB2E51" w14:textId="77777777" w:rsidR="007145A7" w:rsidRDefault="007145A7">
            <w:pPr>
              <w:pStyle w:val="NormalWeb"/>
              <w:spacing w:before="120" w:beforeAutospacing="0" w:after="120" w:afterAutospacing="0"/>
              <w:jc w:val="both"/>
            </w:pPr>
            <w:r>
              <w:rPr>
                <w:rFonts w:ascii="Arial" w:hAnsi="Arial" w:cs="Arial"/>
                <w:b/>
                <w:bCs/>
                <w:color w:val="000000"/>
                <w:sz w:val="22"/>
                <w:szCs w:val="22"/>
              </w:rPr>
              <w:t>Module:</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65CC7B8" w14:textId="77777777" w:rsidR="007145A7" w:rsidRDefault="007145A7">
            <w:pPr>
              <w:pStyle w:val="NormalWeb"/>
              <w:spacing w:before="120" w:beforeAutospacing="0" w:after="120" w:afterAutospacing="0"/>
              <w:jc w:val="both"/>
            </w:pPr>
            <w:r>
              <w:rPr>
                <w:rFonts w:ascii="Calibri" w:hAnsi="Calibri" w:cs="Calibri"/>
                <w:b/>
                <w:bCs/>
                <w:color w:val="000000"/>
                <w:sz w:val="22"/>
                <w:szCs w:val="22"/>
              </w:rPr>
              <w:t>Financial Management for the Hotel Industry</w:t>
            </w:r>
          </w:p>
        </w:tc>
      </w:tr>
      <w:tr w:rsidR="007145A7" w14:paraId="0FFCB422" w14:textId="77777777" w:rsidTr="007145A7">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51C96D6A" w14:textId="77777777" w:rsidR="007145A7" w:rsidRDefault="007145A7">
            <w:pPr>
              <w:pStyle w:val="NormalWeb"/>
              <w:spacing w:before="120" w:beforeAutospacing="0" w:after="120" w:afterAutospacing="0"/>
              <w:jc w:val="both"/>
            </w:pPr>
            <w:r>
              <w:rPr>
                <w:rFonts w:ascii="Arial" w:hAnsi="Arial" w:cs="Arial"/>
                <w:b/>
                <w:bCs/>
                <w:color w:val="000000"/>
                <w:sz w:val="22"/>
                <w:szCs w:val="22"/>
              </w:rPr>
              <w:t>Module code: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7776349" w14:textId="77777777" w:rsidR="007145A7" w:rsidRDefault="007145A7">
            <w:pPr>
              <w:pStyle w:val="NormalWeb"/>
              <w:spacing w:before="120" w:beforeAutospacing="0" w:after="120" w:afterAutospacing="0"/>
              <w:jc w:val="both"/>
            </w:pPr>
            <w:r>
              <w:rPr>
                <w:rFonts w:ascii="Calibri" w:hAnsi="Calibri" w:cs="Calibri"/>
                <w:b/>
                <w:bCs/>
                <w:color w:val="000000"/>
                <w:sz w:val="22"/>
                <w:szCs w:val="22"/>
              </w:rPr>
              <w:t>BMIH5007</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7A28B0F2" w14:textId="77777777" w:rsidR="007145A7" w:rsidRDefault="007145A7">
            <w:pPr>
              <w:pStyle w:val="Heading2"/>
              <w:spacing w:before="0"/>
            </w:pPr>
            <w:bookmarkStart w:id="0" w:name="_Toc104568112"/>
            <w:r>
              <w:rPr>
                <w:rFonts w:ascii="Arial" w:hAnsi="Arial" w:cs="Arial"/>
                <w:color w:val="000000"/>
                <w:sz w:val="22"/>
                <w:szCs w:val="22"/>
              </w:rPr>
              <w:t>Contribution to Overall Module Assessment (%):</w:t>
            </w:r>
            <w:bookmarkEnd w:id="0"/>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619346C" w14:textId="77777777" w:rsidR="007145A7" w:rsidRDefault="007145A7">
            <w:pPr>
              <w:pStyle w:val="NormalWeb"/>
              <w:spacing w:before="120" w:beforeAutospacing="0" w:after="120" w:afterAutospacing="0"/>
              <w:jc w:val="both"/>
            </w:pPr>
            <w:r>
              <w:rPr>
                <w:rFonts w:ascii="Arial" w:hAnsi="Arial" w:cs="Arial"/>
                <w:b/>
                <w:bCs/>
                <w:color w:val="000000"/>
                <w:sz w:val="22"/>
                <w:szCs w:val="22"/>
              </w:rPr>
              <w:t>50%</w:t>
            </w:r>
          </w:p>
        </w:tc>
      </w:tr>
      <w:tr w:rsidR="007145A7" w14:paraId="5D3A0C76" w14:textId="77777777" w:rsidTr="007145A7">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6C9725DC" w14:textId="77777777" w:rsidR="007145A7" w:rsidRDefault="007145A7">
            <w:pPr>
              <w:pStyle w:val="NormalWeb"/>
              <w:spacing w:before="120" w:beforeAutospacing="0" w:after="120" w:afterAutospacing="0"/>
              <w:jc w:val="both"/>
            </w:pPr>
            <w:r>
              <w:rPr>
                <w:rFonts w:ascii="Arial" w:hAnsi="Arial" w:cs="Arial"/>
                <w:b/>
                <w:bCs/>
                <w:color w:val="000000"/>
                <w:sz w:val="22"/>
                <w:szCs w:val="22"/>
              </w:rPr>
              <w:t>Lecturer:</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D945AE2" w14:textId="77777777" w:rsidR="007145A7" w:rsidRDefault="007145A7">
            <w:pPr>
              <w:pStyle w:val="NormalWeb"/>
              <w:spacing w:before="120" w:beforeAutospacing="0" w:after="120" w:afterAutospacing="0"/>
              <w:jc w:val="both"/>
            </w:pPr>
            <w:r>
              <w:rPr>
                <w:rFonts w:ascii="Arial" w:hAnsi="Arial" w:cs="Arial"/>
                <w:b/>
                <w:bCs/>
                <w:color w:val="000000"/>
                <w:sz w:val="22"/>
                <w:szCs w:val="22"/>
              </w:rPr>
              <w:t>Dale Clarke</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3F6F9AF2" w14:textId="77777777" w:rsidR="007145A7" w:rsidRDefault="007145A7">
            <w:pPr>
              <w:pStyle w:val="NormalWeb"/>
              <w:spacing w:before="120" w:beforeAutospacing="0" w:after="120" w:afterAutospacing="0"/>
              <w:jc w:val="both"/>
            </w:pPr>
            <w:r>
              <w:rPr>
                <w:rFonts w:ascii="Arial" w:hAnsi="Arial" w:cs="Arial"/>
                <w:b/>
                <w:bCs/>
                <w:color w:val="000000"/>
                <w:sz w:val="22"/>
                <w:szCs w:val="22"/>
              </w:rPr>
              <w:t>Internal Verifier:</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797FFB8" w14:textId="77777777" w:rsidR="007145A7" w:rsidRDefault="007145A7">
            <w:pPr>
              <w:pStyle w:val="NormalWeb"/>
              <w:spacing w:before="120" w:beforeAutospacing="0" w:after="120" w:afterAutospacing="0"/>
              <w:jc w:val="both"/>
            </w:pPr>
            <w:r>
              <w:rPr>
                <w:rFonts w:ascii="Arial" w:hAnsi="Arial" w:cs="Arial"/>
                <w:b/>
                <w:bCs/>
                <w:color w:val="000000"/>
                <w:sz w:val="22"/>
                <w:szCs w:val="22"/>
              </w:rPr>
              <w:t>Emily Williams </w:t>
            </w:r>
          </w:p>
        </w:tc>
      </w:tr>
      <w:tr w:rsidR="007145A7" w14:paraId="3E68A0E9" w14:textId="77777777" w:rsidTr="007145A7">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16FCE3CF" w14:textId="77777777" w:rsidR="007145A7" w:rsidRDefault="007145A7">
            <w:pPr>
              <w:pStyle w:val="NormalWeb"/>
              <w:spacing w:before="120" w:beforeAutospacing="0" w:after="120" w:afterAutospacing="0"/>
              <w:jc w:val="both"/>
            </w:pPr>
            <w:r>
              <w:rPr>
                <w:rFonts w:ascii="Arial" w:hAnsi="Arial" w:cs="Arial"/>
                <w:b/>
                <w:bCs/>
                <w:color w:val="000000"/>
                <w:sz w:val="22"/>
                <w:szCs w:val="22"/>
              </w:rPr>
              <w:t>Assignment Title: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EBC46F9" w14:textId="77777777" w:rsidR="007145A7" w:rsidRDefault="007145A7">
            <w:pPr>
              <w:pStyle w:val="NormalWeb"/>
              <w:spacing w:before="120" w:beforeAutospacing="0" w:after="120" w:afterAutospacing="0"/>
              <w:jc w:val="both"/>
            </w:pPr>
            <w:r>
              <w:rPr>
                <w:rFonts w:ascii="Arial" w:hAnsi="Arial" w:cs="Arial"/>
                <w:b/>
                <w:bCs/>
                <w:color w:val="000000"/>
                <w:sz w:val="22"/>
                <w:szCs w:val="22"/>
              </w:rPr>
              <w:t>Assignment 1: Hilton Hotel </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17FBC94D" w14:textId="77777777" w:rsidR="007145A7" w:rsidRDefault="007145A7">
            <w:pPr>
              <w:pStyle w:val="NormalWeb"/>
              <w:spacing w:before="120" w:beforeAutospacing="0" w:after="120" w:afterAutospacing="0"/>
              <w:jc w:val="both"/>
            </w:pPr>
            <w:r>
              <w:rPr>
                <w:rFonts w:ascii="Arial" w:hAnsi="Arial" w:cs="Arial"/>
                <w:b/>
                <w:bCs/>
                <w:color w:val="000000"/>
                <w:sz w:val="22"/>
                <w:szCs w:val="22"/>
              </w:rPr>
              <w:t>Word count (or equivalent):</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16658C7" w14:textId="77777777" w:rsidR="007145A7" w:rsidRDefault="007145A7">
            <w:pPr>
              <w:pStyle w:val="NormalWeb"/>
              <w:spacing w:before="120" w:beforeAutospacing="0" w:after="120" w:afterAutospacing="0"/>
              <w:jc w:val="both"/>
            </w:pPr>
            <w:r>
              <w:rPr>
                <w:rFonts w:ascii="Arial" w:hAnsi="Arial" w:cs="Arial"/>
                <w:b/>
                <w:bCs/>
                <w:color w:val="000000"/>
                <w:sz w:val="22"/>
                <w:szCs w:val="22"/>
              </w:rPr>
              <w:t>2000</w:t>
            </w:r>
          </w:p>
        </w:tc>
      </w:tr>
      <w:tr w:rsidR="007145A7" w14:paraId="04B3A382" w14:textId="77777777" w:rsidTr="007145A7">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4EF1E395" w14:textId="77777777" w:rsidR="007145A7" w:rsidRDefault="007145A7">
            <w:pPr>
              <w:pStyle w:val="NormalWeb"/>
              <w:spacing w:before="120" w:beforeAutospacing="0" w:after="120" w:afterAutospacing="0"/>
              <w:jc w:val="both"/>
            </w:pPr>
            <w:r>
              <w:rPr>
                <w:rFonts w:ascii="Arial" w:hAnsi="Arial" w:cs="Arial"/>
                <w:b/>
                <w:bCs/>
                <w:color w:val="000000"/>
                <w:sz w:val="22"/>
                <w:szCs w:val="22"/>
              </w:rPr>
              <w:t>Submission deadline: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0B4BC46" w14:textId="77777777" w:rsidR="007145A7" w:rsidRDefault="007145A7">
            <w:pPr>
              <w:pStyle w:val="NormalWeb"/>
              <w:spacing w:before="120" w:beforeAutospacing="0" w:after="120" w:afterAutospacing="0"/>
              <w:jc w:val="both"/>
            </w:pPr>
            <w:r>
              <w:rPr>
                <w:rFonts w:ascii="Arial" w:hAnsi="Arial" w:cs="Arial"/>
                <w:b/>
                <w:bCs/>
                <w:color w:val="000000"/>
                <w:sz w:val="22"/>
                <w:szCs w:val="22"/>
              </w:rPr>
              <w:t>1 June 2022</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20A7878C" w14:textId="77777777" w:rsidR="007145A7" w:rsidRDefault="007145A7">
            <w:pPr>
              <w:pStyle w:val="NormalWeb"/>
              <w:spacing w:before="120" w:beforeAutospacing="0" w:after="120" w:afterAutospacing="0"/>
              <w:jc w:val="both"/>
            </w:pPr>
            <w:r>
              <w:rPr>
                <w:rFonts w:ascii="Arial" w:hAnsi="Arial" w:cs="Arial"/>
                <w:b/>
                <w:bCs/>
                <w:color w:val="000000"/>
                <w:sz w:val="22"/>
                <w:szCs w:val="22"/>
              </w:rPr>
              <w:t>Return date of provisional marks &amp; written feedback:</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607CF96" w14:textId="77777777" w:rsidR="007145A7" w:rsidRDefault="007145A7">
            <w:pPr>
              <w:pStyle w:val="NormalWeb"/>
              <w:spacing w:before="120" w:beforeAutospacing="0" w:after="120" w:afterAutospacing="0"/>
              <w:jc w:val="both"/>
            </w:pPr>
            <w:r>
              <w:rPr>
                <w:rFonts w:ascii="Arial" w:hAnsi="Arial" w:cs="Arial"/>
                <w:b/>
                <w:bCs/>
                <w:color w:val="000000"/>
                <w:sz w:val="22"/>
                <w:szCs w:val="22"/>
              </w:rPr>
              <w:t xml:space="preserve"> Aug 2022</w:t>
            </w:r>
          </w:p>
        </w:tc>
      </w:tr>
      <w:tr w:rsidR="007145A7" w14:paraId="64315968" w14:textId="77777777" w:rsidTr="007145A7">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7A9468EC" w14:textId="77777777" w:rsidR="007145A7" w:rsidRDefault="007145A7"/>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A8A1681" w14:textId="77777777" w:rsidR="007145A7" w:rsidRDefault="007145A7"/>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0E8E1494" w14:textId="77777777" w:rsidR="007145A7" w:rsidRDefault="007145A7"/>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BB830B4" w14:textId="77777777" w:rsidR="007145A7" w:rsidRDefault="007145A7"/>
        </w:tc>
      </w:tr>
    </w:tbl>
    <w:p w14:paraId="543FD9E6" w14:textId="77777777" w:rsidR="007145A7" w:rsidRDefault="007145A7" w:rsidP="007145A7"/>
    <w:p w14:paraId="726012A8" w14:textId="77B079EB" w:rsidR="007145A7" w:rsidRDefault="007145A7">
      <w:pPr>
        <w:spacing w:line="259" w:lineRule="auto"/>
        <w:jc w:val="left"/>
      </w:pPr>
      <w:r>
        <w:br w:type="page"/>
      </w:r>
    </w:p>
    <w:sdt>
      <w:sdtPr>
        <w:rPr>
          <w:rFonts w:ascii="Times New Roman" w:eastAsiaTheme="minorHAnsi" w:hAnsi="Times New Roman" w:cstheme="minorBidi"/>
          <w:color w:val="auto"/>
          <w:sz w:val="24"/>
          <w:szCs w:val="22"/>
          <w:lang w:val="en-IN"/>
        </w:rPr>
        <w:id w:val="1366253748"/>
        <w:docPartObj>
          <w:docPartGallery w:val="Table of Contents"/>
          <w:docPartUnique/>
        </w:docPartObj>
      </w:sdtPr>
      <w:sdtEndPr>
        <w:rPr>
          <w:b/>
          <w:bCs/>
          <w:noProof/>
        </w:rPr>
      </w:sdtEndPr>
      <w:sdtContent>
        <w:p w14:paraId="1C0C4445" w14:textId="42A6D48D" w:rsidR="007145A7" w:rsidRDefault="007145A7">
          <w:pPr>
            <w:pStyle w:val="TOCHeading"/>
          </w:pPr>
          <w:r>
            <w:t>Table of Contents</w:t>
          </w:r>
        </w:p>
        <w:p w14:paraId="63411882" w14:textId="39A96503" w:rsidR="007145A7" w:rsidRDefault="007145A7">
          <w:pPr>
            <w:pStyle w:val="TOC2"/>
            <w:tabs>
              <w:tab w:val="right" w:leader="dot" w:pos="9016"/>
            </w:tabs>
            <w:rPr>
              <w:noProof/>
            </w:rPr>
          </w:pPr>
          <w:r>
            <w:fldChar w:fldCharType="begin"/>
          </w:r>
          <w:r>
            <w:instrText xml:space="preserve"> TOC \o "1-3" \h \z \u </w:instrText>
          </w:r>
          <w:r>
            <w:fldChar w:fldCharType="separate"/>
          </w:r>
          <w:hyperlink w:anchor="_Toc104568112" w:history="1">
            <w:r w:rsidRPr="00CA1C05">
              <w:rPr>
                <w:rStyle w:val="Hyperlink"/>
                <w:rFonts w:ascii="Arial" w:hAnsi="Arial" w:cs="Arial"/>
                <w:noProof/>
              </w:rPr>
              <w:t>Contribution to Overall Module Assessment (%):</w:t>
            </w:r>
            <w:r>
              <w:rPr>
                <w:noProof/>
                <w:webHidden/>
              </w:rPr>
              <w:tab/>
            </w:r>
            <w:r>
              <w:rPr>
                <w:noProof/>
                <w:webHidden/>
              </w:rPr>
              <w:fldChar w:fldCharType="begin"/>
            </w:r>
            <w:r>
              <w:rPr>
                <w:noProof/>
                <w:webHidden/>
              </w:rPr>
              <w:instrText xml:space="preserve"> PAGEREF _Toc104568112 \h </w:instrText>
            </w:r>
            <w:r>
              <w:rPr>
                <w:noProof/>
                <w:webHidden/>
              </w:rPr>
            </w:r>
            <w:r>
              <w:rPr>
                <w:noProof/>
                <w:webHidden/>
              </w:rPr>
              <w:fldChar w:fldCharType="separate"/>
            </w:r>
            <w:r>
              <w:rPr>
                <w:noProof/>
                <w:webHidden/>
              </w:rPr>
              <w:t>1</w:t>
            </w:r>
            <w:r>
              <w:rPr>
                <w:noProof/>
                <w:webHidden/>
              </w:rPr>
              <w:fldChar w:fldCharType="end"/>
            </w:r>
          </w:hyperlink>
        </w:p>
        <w:p w14:paraId="53561754" w14:textId="7BC684E3" w:rsidR="007145A7" w:rsidRDefault="001A1AEB">
          <w:pPr>
            <w:pStyle w:val="TOC1"/>
            <w:tabs>
              <w:tab w:val="right" w:leader="dot" w:pos="9016"/>
            </w:tabs>
            <w:rPr>
              <w:rFonts w:asciiTheme="minorHAnsi" w:eastAsiaTheme="minorEastAsia" w:hAnsiTheme="minorHAnsi"/>
              <w:noProof/>
              <w:sz w:val="22"/>
              <w:lang w:val="en-US"/>
            </w:rPr>
          </w:pPr>
          <w:hyperlink w:anchor="_Toc104568113" w:history="1">
            <w:r w:rsidR="007145A7" w:rsidRPr="00CA1C05">
              <w:rPr>
                <w:rStyle w:val="Hyperlink"/>
                <w:noProof/>
              </w:rPr>
              <w:t>Introduction</w:t>
            </w:r>
            <w:r w:rsidR="007145A7">
              <w:rPr>
                <w:noProof/>
                <w:webHidden/>
              </w:rPr>
              <w:tab/>
            </w:r>
            <w:r w:rsidR="007145A7">
              <w:rPr>
                <w:noProof/>
                <w:webHidden/>
              </w:rPr>
              <w:fldChar w:fldCharType="begin"/>
            </w:r>
            <w:r w:rsidR="007145A7">
              <w:rPr>
                <w:noProof/>
                <w:webHidden/>
              </w:rPr>
              <w:instrText xml:space="preserve"> PAGEREF _Toc104568113 \h </w:instrText>
            </w:r>
            <w:r w:rsidR="007145A7">
              <w:rPr>
                <w:noProof/>
                <w:webHidden/>
              </w:rPr>
            </w:r>
            <w:r w:rsidR="007145A7">
              <w:rPr>
                <w:noProof/>
                <w:webHidden/>
              </w:rPr>
              <w:fldChar w:fldCharType="separate"/>
            </w:r>
            <w:r w:rsidR="007145A7">
              <w:rPr>
                <w:noProof/>
                <w:webHidden/>
              </w:rPr>
              <w:t>3</w:t>
            </w:r>
            <w:r w:rsidR="007145A7">
              <w:rPr>
                <w:noProof/>
                <w:webHidden/>
              </w:rPr>
              <w:fldChar w:fldCharType="end"/>
            </w:r>
          </w:hyperlink>
        </w:p>
        <w:p w14:paraId="28C9E522" w14:textId="0D35A49A" w:rsidR="007145A7" w:rsidRDefault="001A1AEB">
          <w:pPr>
            <w:pStyle w:val="TOC1"/>
            <w:tabs>
              <w:tab w:val="right" w:leader="dot" w:pos="9016"/>
            </w:tabs>
            <w:rPr>
              <w:rFonts w:asciiTheme="minorHAnsi" w:eastAsiaTheme="minorEastAsia" w:hAnsiTheme="minorHAnsi"/>
              <w:noProof/>
              <w:sz w:val="22"/>
              <w:lang w:val="en-US"/>
            </w:rPr>
          </w:pPr>
          <w:hyperlink w:anchor="_Toc104568114" w:history="1">
            <w:r w:rsidR="007145A7" w:rsidRPr="00CA1C05">
              <w:rPr>
                <w:rStyle w:val="Hyperlink"/>
                <w:noProof/>
              </w:rPr>
              <w:t>Calculate horizontal ratios and interpret</w:t>
            </w:r>
            <w:r w:rsidR="007145A7">
              <w:rPr>
                <w:noProof/>
                <w:webHidden/>
              </w:rPr>
              <w:tab/>
            </w:r>
            <w:r w:rsidR="007145A7">
              <w:rPr>
                <w:noProof/>
                <w:webHidden/>
              </w:rPr>
              <w:fldChar w:fldCharType="begin"/>
            </w:r>
            <w:r w:rsidR="007145A7">
              <w:rPr>
                <w:noProof/>
                <w:webHidden/>
              </w:rPr>
              <w:instrText xml:space="preserve"> PAGEREF _Toc104568114 \h </w:instrText>
            </w:r>
            <w:r w:rsidR="007145A7">
              <w:rPr>
                <w:noProof/>
                <w:webHidden/>
              </w:rPr>
            </w:r>
            <w:r w:rsidR="007145A7">
              <w:rPr>
                <w:noProof/>
                <w:webHidden/>
              </w:rPr>
              <w:fldChar w:fldCharType="separate"/>
            </w:r>
            <w:r w:rsidR="007145A7">
              <w:rPr>
                <w:noProof/>
                <w:webHidden/>
              </w:rPr>
              <w:t>4</w:t>
            </w:r>
            <w:r w:rsidR="007145A7">
              <w:rPr>
                <w:noProof/>
                <w:webHidden/>
              </w:rPr>
              <w:fldChar w:fldCharType="end"/>
            </w:r>
          </w:hyperlink>
        </w:p>
        <w:p w14:paraId="6468073E" w14:textId="57E97E4C" w:rsidR="007145A7" w:rsidRDefault="001A1AEB">
          <w:pPr>
            <w:pStyle w:val="TOC1"/>
            <w:tabs>
              <w:tab w:val="right" w:leader="dot" w:pos="9016"/>
            </w:tabs>
            <w:rPr>
              <w:rFonts w:asciiTheme="minorHAnsi" w:eastAsiaTheme="minorEastAsia" w:hAnsiTheme="minorHAnsi"/>
              <w:noProof/>
              <w:sz w:val="22"/>
              <w:lang w:val="en-US"/>
            </w:rPr>
          </w:pPr>
          <w:hyperlink w:anchor="_Toc104568115" w:history="1">
            <w:r w:rsidR="007145A7" w:rsidRPr="00CA1C05">
              <w:rPr>
                <w:rStyle w:val="Hyperlink"/>
                <w:noProof/>
              </w:rPr>
              <w:t>Demonstrate the trends of the calculating ratios and provide appropriate conclusion</w:t>
            </w:r>
            <w:r w:rsidR="007145A7">
              <w:rPr>
                <w:noProof/>
                <w:webHidden/>
              </w:rPr>
              <w:tab/>
            </w:r>
            <w:r w:rsidR="007145A7">
              <w:rPr>
                <w:noProof/>
                <w:webHidden/>
              </w:rPr>
              <w:fldChar w:fldCharType="begin"/>
            </w:r>
            <w:r w:rsidR="007145A7">
              <w:rPr>
                <w:noProof/>
                <w:webHidden/>
              </w:rPr>
              <w:instrText xml:space="preserve"> PAGEREF _Toc104568115 \h </w:instrText>
            </w:r>
            <w:r w:rsidR="007145A7">
              <w:rPr>
                <w:noProof/>
                <w:webHidden/>
              </w:rPr>
            </w:r>
            <w:r w:rsidR="007145A7">
              <w:rPr>
                <w:noProof/>
                <w:webHidden/>
              </w:rPr>
              <w:fldChar w:fldCharType="separate"/>
            </w:r>
            <w:r w:rsidR="007145A7">
              <w:rPr>
                <w:noProof/>
                <w:webHidden/>
              </w:rPr>
              <w:t>7</w:t>
            </w:r>
            <w:r w:rsidR="007145A7">
              <w:rPr>
                <w:noProof/>
                <w:webHidden/>
              </w:rPr>
              <w:fldChar w:fldCharType="end"/>
            </w:r>
          </w:hyperlink>
        </w:p>
        <w:p w14:paraId="05EAB0B7" w14:textId="3F9CAE1E" w:rsidR="007145A7" w:rsidRDefault="001A1AEB">
          <w:pPr>
            <w:pStyle w:val="TOC1"/>
            <w:tabs>
              <w:tab w:val="right" w:leader="dot" w:pos="9016"/>
            </w:tabs>
            <w:rPr>
              <w:rFonts w:asciiTheme="minorHAnsi" w:eastAsiaTheme="minorEastAsia" w:hAnsiTheme="minorHAnsi"/>
              <w:noProof/>
              <w:sz w:val="22"/>
              <w:lang w:val="en-US"/>
            </w:rPr>
          </w:pPr>
          <w:hyperlink w:anchor="_Toc104568116" w:history="1">
            <w:r w:rsidR="007145A7" w:rsidRPr="00CA1C05">
              <w:rPr>
                <w:rStyle w:val="Hyperlink"/>
                <w:noProof/>
              </w:rPr>
              <w:t>The importance of ratio analysis for effective decision-making</w:t>
            </w:r>
            <w:r w:rsidR="007145A7">
              <w:rPr>
                <w:noProof/>
                <w:webHidden/>
              </w:rPr>
              <w:tab/>
            </w:r>
            <w:r w:rsidR="007145A7">
              <w:rPr>
                <w:noProof/>
                <w:webHidden/>
              </w:rPr>
              <w:fldChar w:fldCharType="begin"/>
            </w:r>
            <w:r w:rsidR="007145A7">
              <w:rPr>
                <w:noProof/>
                <w:webHidden/>
              </w:rPr>
              <w:instrText xml:space="preserve"> PAGEREF _Toc104568116 \h </w:instrText>
            </w:r>
            <w:r w:rsidR="007145A7">
              <w:rPr>
                <w:noProof/>
                <w:webHidden/>
              </w:rPr>
            </w:r>
            <w:r w:rsidR="007145A7">
              <w:rPr>
                <w:noProof/>
                <w:webHidden/>
              </w:rPr>
              <w:fldChar w:fldCharType="separate"/>
            </w:r>
            <w:r w:rsidR="007145A7">
              <w:rPr>
                <w:noProof/>
                <w:webHidden/>
              </w:rPr>
              <w:t>8</w:t>
            </w:r>
            <w:r w:rsidR="007145A7">
              <w:rPr>
                <w:noProof/>
                <w:webHidden/>
              </w:rPr>
              <w:fldChar w:fldCharType="end"/>
            </w:r>
          </w:hyperlink>
        </w:p>
        <w:p w14:paraId="178A1222" w14:textId="02033EC5" w:rsidR="007145A7" w:rsidRDefault="001A1AEB">
          <w:pPr>
            <w:pStyle w:val="TOC1"/>
            <w:tabs>
              <w:tab w:val="right" w:leader="dot" w:pos="9016"/>
            </w:tabs>
            <w:rPr>
              <w:rFonts w:asciiTheme="minorHAnsi" w:eastAsiaTheme="minorEastAsia" w:hAnsiTheme="minorHAnsi"/>
              <w:noProof/>
              <w:sz w:val="22"/>
              <w:lang w:val="en-US"/>
            </w:rPr>
          </w:pPr>
          <w:hyperlink w:anchor="_Toc104568117" w:history="1">
            <w:r w:rsidR="007145A7" w:rsidRPr="00CA1C05">
              <w:rPr>
                <w:rStyle w:val="Hyperlink"/>
                <w:noProof/>
              </w:rPr>
              <w:t>Limitation of ratio analysis and analyse the importance of ratios and their fluctuations in Hotel management</w:t>
            </w:r>
            <w:r w:rsidR="007145A7">
              <w:rPr>
                <w:noProof/>
                <w:webHidden/>
              </w:rPr>
              <w:tab/>
            </w:r>
            <w:r w:rsidR="007145A7">
              <w:rPr>
                <w:noProof/>
                <w:webHidden/>
              </w:rPr>
              <w:fldChar w:fldCharType="begin"/>
            </w:r>
            <w:r w:rsidR="007145A7">
              <w:rPr>
                <w:noProof/>
                <w:webHidden/>
              </w:rPr>
              <w:instrText xml:space="preserve"> PAGEREF _Toc104568117 \h </w:instrText>
            </w:r>
            <w:r w:rsidR="007145A7">
              <w:rPr>
                <w:noProof/>
                <w:webHidden/>
              </w:rPr>
            </w:r>
            <w:r w:rsidR="007145A7">
              <w:rPr>
                <w:noProof/>
                <w:webHidden/>
              </w:rPr>
              <w:fldChar w:fldCharType="separate"/>
            </w:r>
            <w:r w:rsidR="007145A7">
              <w:rPr>
                <w:noProof/>
                <w:webHidden/>
              </w:rPr>
              <w:t>9</w:t>
            </w:r>
            <w:r w:rsidR="007145A7">
              <w:rPr>
                <w:noProof/>
                <w:webHidden/>
              </w:rPr>
              <w:fldChar w:fldCharType="end"/>
            </w:r>
          </w:hyperlink>
        </w:p>
        <w:p w14:paraId="26E657ED" w14:textId="1DDDE11B" w:rsidR="007145A7" w:rsidRDefault="001A1AEB">
          <w:pPr>
            <w:pStyle w:val="TOC1"/>
            <w:tabs>
              <w:tab w:val="right" w:leader="dot" w:pos="9016"/>
            </w:tabs>
            <w:rPr>
              <w:rFonts w:asciiTheme="minorHAnsi" w:eastAsiaTheme="minorEastAsia" w:hAnsiTheme="minorHAnsi"/>
              <w:noProof/>
              <w:sz w:val="22"/>
              <w:lang w:val="en-US"/>
            </w:rPr>
          </w:pPr>
          <w:hyperlink w:anchor="_Toc104568118" w:history="1">
            <w:r w:rsidR="007145A7" w:rsidRPr="00CA1C05">
              <w:rPr>
                <w:rStyle w:val="Hyperlink"/>
                <w:noProof/>
              </w:rPr>
              <w:t>Conclusion</w:t>
            </w:r>
            <w:r w:rsidR="007145A7">
              <w:rPr>
                <w:noProof/>
                <w:webHidden/>
              </w:rPr>
              <w:tab/>
            </w:r>
            <w:r w:rsidR="007145A7">
              <w:rPr>
                <w:noProof/>
                <w:webHidden/>
              </w:rPr>
              <w:fldChar w:fldCharType="begin"/>
            </w:r>
            <w:r w:rsidR="007145A7">
              <w:rPr>
                <w:noProof/>
                <w:webHidden/>
              </w:rPr>
              <w:instrText xml:space="preserve"> PAGEREF _Toc104568118 \h </w:instrText>
            </w:r>
            <w:r w:rsidR="007145A7">
              <w:rPr>
                <w:noProof/>
                <w:webHidden/>
              </w:rPr>
            </w:r>
            <w:r w:rsidR="007145A7">
              <w:rPr>
                <w:noProof/>
                <w:webHidden/>
              </w:rPr>
              <w:fldChar w:fldCharType="separate"/>
            </w:r>
            <w:r w:rsidR="007145A7">
              <w:rPr>
                <w:noProof/>
                <w:webHidden/>
              </w:rPr>
              <w:t>11</w:t>
            </w:r>
            <w:r w:rsidR="007145A7">
              <w:rPr>
                <w:noProof/>
                <w:webHidden/>
              </w:rPr>
              <w:fldChar w:fldCharType="end"/>
            </w:r>
          </w:hyperlink>
        </w:p>
        <w:p w14:paraId="6DC7F410" w14:textId="19A54672" w:rsidR="007145A7" w:rsidRDefault="001A1AEB">
          <w:pPr>
            <w:pStyle w:val="TOC1"/>
            <w:tabs>
              <w:tab w:val="right" w:leader="dot" w:pos="9016"/>
            </w:tabs>
            <w:rPr>
              <w:rFonts w:asciiTheme="minorHAnsi" w:eastAsiaTheme="minorEastAsia" w:hAnsiTheme="minorHAnsi"/>
              <w:noProof/>
              <w:sz w:val="22"/>
              <w:lang w:val="en-US"/>
            </w:rPr>
          </w:pPr>
          <w:hyperlink w:anchor="_Toc104568119" w:history="1">
            <w:r w:rsidR="007145A7" w:rsidRPr="00CA1C05">
              <w:rPr>
                <w:rStyle w:val="Hyperlink"/>
                <w:rFonts w:eastAsia="Times New Roman"/>
                <w:noProof/>
                <w:lang w:eastAsia="en-IN"/>
              </w:rPr>
              <w:t>Reference list</w:t>
            </w:r>
            <w:r w:rsidR="007145A7">
              <w:rPr>
                <w:noProof/>
                <w:webHidden/>
              </w:rPr>
              <w:tab/>
            </w:r>
            <w:r w:rsidR="007145A7">
              <w:rPr>
                <w:noProof/>
                <w:webHidden/>
              </w:rPr>
              <w:fldChar w:fldCharType="begin"/>
            </w:r>
            <w:r w:rsidR="007145A7">
              <w:rPr>
                <w:noProof/>
                <w:webHidden/>
              </w:rPr>
              <w:instrText xml:space="preserve"> PAGEREF _Toc104568119 \h </w:instrText>
            </w:r>
            <w:r w:rsidR="007145A7">
              <w:rPr>
                <w:noProof/>
                <w:webHidden/>
              </w:rPr>
            </w:r>
            <w:r w:rsidR="007145A7">
              <w:rPr>
                <w:noProof/>
                <w:webHidden/>
              </w:rPr>
              <w:fldChar w:fldCharType="separate"/>
            </w:r>
            <w:r w:rsidR="007145A7">
              <w:rPr>
                <w:noProof/>
                <w:webHidden/>
              </w:rPr>
              <w:t>12</w:t>
            </w:r>
            <w:r w:rsidR="007145A7">
              <w:rPr>
                <w:noProof/>
                <w:webHidden/>
              </w:rPr>
              <w:fldChar w:fldCharType="end"/>
            </w:r>
          </w:hyperlink>
        </w:p>
        <w:p w14:paraId="1DA3BB06" w14:textId="748C3A55" w:rsidR="007145A7" w:rsidRDefault="007145A7">
          <w:r>
            <w:rPr>
              <w:b/>
              <w:bCs/>
              <w:noProof/>
            </w:rPr>
            <w:fldChar w:fldCharType="end"/>
          </w:r>
        </w:p>
      </w:sdtContent>
    </w:sdt>
    <w:p w14:paraId="48422814" w14:textId="77777777" w:rsidR="00A12B74" w:rsidRDefault="00A12B74"/>
    <w:p w14:paraId="6AB8AFBD" w14:textId="77777777" w:rsidR="00A12B74" w:rsidRDefault="00A12B74" w:rsidP="00A12B74"/>
    <w:p w14:paraId="4A3AD77A" w14:textId="77777777" w:rsidR="00A12B74" w:rsidRDefault="00A12B74" w:rsidP="00A12B74">
      <w:pPr>
        <w:rPr>
          <w:rFonts w:eastAsiaTheme="majorEastAsia" w:cstheme="majorBidi"/>
          <w:sz w:val="32"/>
          <w:szCs w:val="32"/>
        </w:rPr>
      </w:pPr>
      <w:r>
        <w:br w:type="page"/>
      </w:r>
    </w:p>
    <w:p w14:paraId="4E6939C9" w14:textId="77777777" w:rsidR="00B8707A" w:rsidRDefault="00B8707A" w:rsidP="00B8707A">
      <w:pPr>
        <w:pStyle w:val="Heading1"/>
      </w:pPr>
      <w:bookmarkStart w:id="1" w:name="_Toc104566751"/>
      <w:bookmarkStart w:id="2" w:name="_Toc104568113"/>
      <w:r>
        <w:lastRenderedPageBreak/>
        <w:t>Introduction</w:t>
      </w:r>
      <w:bookmarkEnd w:id="1"/>
      <w:bookmarkEnd w:id="2"/>
    </w:p>
    <w:p w14:paraId="35DAC563" w14:textId="77777777" w:rsidR="00B8707A" w:rsidRDefault="00936A19" w:rsidP="00B8707A">
      <w:pPr>
        <w:rPr>
          <w:rFonts w:eastAsiaTheme="majorEastAsia" w:cstheme="majorBidi"/>
          <w:sz w:val="32"/>
          <w:szCs w:val="32"/>
        </w:rPr>
      </w:pPr>
      <w:r>
        <w:t xml:space="preserve">Ratio </w:t>
      </w:r>
      <w:r w:rsidR="00B8707A" w:rsidRPr="00B8707A">
        <w:t xml:space="preserve">analysis </w:t>
      </w:r>
      <w:r>
        <w:t xml:space="preserve">is a process of </w:t>
      </w:r>
      <w:r w:rsidRPr="00B8707A">
        <w:t>identify</w:t>
      </w:r>
      <w:r>
        <w:t xml:space="preserve">ing </w:t>
      </w:r>
      <w:r w:rsidRPr="00B8707A">
        <w:t>and</w:t>
      </w:r>
      <w:r w:rsidR="00B8707A" w:rsidRPr="00B8707A">
        <w:t xml:space="preserve"> understand</w:t>
      </w:r>
      <w:r>
        <w:t xml:space="preserve">ing a company’s </w:t>
      </w:r>
      <w:r w:rsidR="00B8707A" w:rsidRPr="00B8707A">
        <w:t>financial performance as well as also its strengths and weaknesses</w:t>
      </w:r>
      <w:r w:rsidR="00590402" w:rsidRPr="00590402">
        <w:t xml:space="preserve"> (</w:t>
      </w:r>
      <w:proofErr w:type="spellStart"/>
      <w:r w:rsidR="00590402" w:rsidRPr="00590402">
        <w:t>Nimalathasan</w:t>
      </w:r>
      <w:proofErr w:type="spellEnd"/>
      <w:r w:rsidR="00590402" w:rsidRPr="00590402">
        <w:t xml:space="preserve"> </w:t>
      </w:r>
      <w:proofErr w:type="spellStart"/>
      <w:r w:rsidR="00590402" w:rsidRPr="00590402">
        <w:t>Balasundaram</w:t>
      </w:r>
      <w:proofErr w:type="spellEnd"/>
      <w:r w:rsidR="00590402" w:rsidRPr="00590402">
        <w:t>, 2012)</w:t>
      </w:r>
      <w:r w:rsidR="00B8707A" w:rsidRPr="00B8707A">
        <w:t xml:space="preserve">. </w:t>
      </w:r>
      <w:r>
        <w:t xml:space="preserve">Through effective analysing of ratios by evaluating a company’s financial statement, a company can manage its properties profitably and ensure effective financial management in hotel industry. Hence in this sturdy, different ratios are calculated based on the given information of Hilton Worldwide Holdings Inc. and also analyse the trend of these financial ratios and make proper conclusion. And the importance of ratio analysis in decision making process and also the limitations of ratio analysis are highlighted. Hence the importance of ratios and their fluctuations for hotel management in analysing financial statements are also examined in this study. </w:t>
      </w:r>
      <w:r w:rsidR="00B8707A">
        <w:br w:type="page"/>
      </w:r>
    </w:p>
    <w:p w14:paraId="24D339FD" w14:textId="77777777" w:rsidR="004772F4" w:rsidRDefault="00225CE9" w:rsidP="00225CE9">
      <w:pPr>
        <w:pStyle w:val="Heading1"/>
      </w:pPr>
      <w:bookmarkStart w:id="3" w:name="_Toc104566752"/>
      <w:bookmarkStart w:id="4" w:name="_Toc104568114"/>
      <w:r>
        <w:lastRenderedPageBreak/>
        <w:t>Calculate horizontal ratios and interpret</w:t>
      </w:r>
      <w:bookmarkEnd w:id="3"/>
      <w:bookmarkEnd w:id="4"/>
    </w:p>
    <w:p w14:paraId="56645C46" w14:textId="77777777" w:rsidR="006A2F45" w:rsidRPr="006A2F45" w:rsidRDefault="006A2F45" w:rsidP="006A2F45">
      <w:r>
        <w:t>Horizontal analysis of Hilton</w:t>
      </w:r>
      <w:r w:rsidRPr="006A2F45">
        <w:t xml:space="preserve"> Worldwide Holdings Inc. (HLT)</w:t>
      </w:r>
      <w:r>
        <w:t>’s financial statements are given below:</w:t>
      </w:r>
    </w:p>
    <w:tbl>
      <w:tblPr>
        <w:tblW w:w="9072" w:type="dxa"/>
        <w:tblInd w:w="-5" w:type="dxa"/>
        <w:tblLook w:val="04A0" w:firstRow="1" w:lastRow="0" w:firstColumn="1" w:lastColumn="0" w:noHBand="0" w:noVBand="1"/>
      </w:tblPr>
      <w:tblGrid>
        <w:gridCol w:w="2186"/>
        <w:gridCol w:w="2067"/>
        <w:gridCol w:w="2126"/>
        <w:gridCol w:w="1276"/>
        <w:gridCol w:w="1417"/>
      </w:tblGrid>
      <w:tr w:rsidR="00830BB2" w:rsidRPr="00830BB2" w14:paraId="46B1984D" w14:textId="77777777" w:rsidTr="0012686B">
        <w:trPr>
          <w:trHeight w:val="300"/>
        </w:trPr>
        <w:tc>
          <w:tcPr>
            <w:tcW w:w="218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34E090" w14:textId="77777777" w:rsidR="00830BB2" w:rsidRPr="00DA1BEE" w:rsidRDefault="00830BB2" w:rsidP="00DA1BEE">
            <w:pPr>
              <w:spacing w:after="0" w:line="240" w:lineRule="auto"/>
              <w:jc w:val="left"/>
              <w:rPr>
                <w:rFonts w:eastAsia="Times New Roman" w:cs="Times New Roman"/>
                <w:b/>
                <w:color w:val="000000"/>
                <w:szCs w:val="24"/>
                <w:lang w:eastAsia="en-IN"/>
              </w:rPr>
            </w:pPr>
            <w:r w:rsidRPr="00DA1BEE">
              <w:rPr>
                <w:rFonts w:eastAsia="Times New Roman" w:cs="Times New Roman"/>
                <w:b/>
                <w:color w:val="000000"/>
                <w:szCs w:val="24"/>
                <w:lang w:val="en-GB" w:eastAsia="en-IN"/>
              </w:rPr>
              <w:t>Income Statement</w:t>
            </w:r>
          </w:p>
        </w:tc>
        <w:tc>
          <w:tcPr>
            <w:tcW w:w="4193" w:type="dxa"/>
            <w:gridSpan w:val="2"/>
            <w:tcBorders>
              <w:top w:val="single" w:sz="4" w:space="0" w:color="auto"/>
              <w:left w:val="nil"/>
              <w:bottom w:val="single" w:sz="4" w:space="0" w:color="auto"/>
              <w:right w:val="single" w:sz="4" w:space="0" w:color="auto"/>
            </w:tcBorders>
            <w:shd w:val="clear" w:color="auto" w:fill="auto"/>
            <w:noWrap/>
            <w:vAlign w:val="bottom"/>
            <w:hideMark/>
          </w:tcPr>
          <w:p w14:paraId="7E97ED2B" w14:textId="77777777" w:rsidR="00830BB2" w:rsidRPr="00830BB2" w:rsidRDefault="00830BB2" w:rsidP="00DA1BEE">
            <w:pPr>
              <w:spacing w:after="0" w:line="240" w:lineRule="auto"/>
              <w:jc w:val="left"/>
              <w:rPr>
                <w:rFonts w:eastAsia="Times New Roman" w:cs="Times New Roman"/>
                <w:b/>
                <w:color w:val="000000"/>
                <w:szCs w:val="24"/>
                <w:lang w:eastAsia="en-IN"/>
              </w:rPr>
            </w:pPr>
            <w:r w:rsidRPr="00DA1BEE">
              <w:rPr>
                <w:rFonts w:eastAsia="Times New Roman" w:cs="Times New Roman"/>
                <w:b/>
                <w:color w:val="000000"/>
                <w:szCs w:val="24"/>
                <w:lang w:val="en-GB" w:eastAsia="en-IN"/>
              </w:rPr>
              <w:t>Hilton Worldwide Holdings Inc. (HLT)</w:t>
            </w:r>
          </w:p>
          <w:p w14:paraId="25728A4D" w14:textId="77777777" w:rsidR="00830BB2" w:rsidRPr="00DA1BEE" w:rsidRDefault="00830BB2" w:rsidP="00830BB2">
            <w:pPr>
              <w:spacing w:after="0" w:line="240" w:lineRule="auto"/>
              <w:rPr>
                <w:rFonts w:eastAsia="Times New Roman" w:cs="Times New Roman"/>
                <w:b/>
                <w:color w:val="000000"/>
                <w:szCs w:val="24"/>
                <w:lang w:eastAsia="en-IN"/>
              </w:rPr>
            </w:pP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14:paraId="3630733B" w14:textId="77777777" w:rsidR="00830BB2" w:rsidRPr="00DA1BEE" w:rsidRDefault="00830BB2" w:rsidP="00DA1BEE">
            <w:pPr>
              <w:spacing w:after="0" w:line="240" w:lineRule="auto"/>
              <w:jc w:val="left"/>
              <w:rPr>
                <w:rFonts w:eastAsia="Times New Roman" w:cs="Times New Roman"/>
                <w:b/>
                <w:color w:val="000000"/>
                <w:szCs w:val="24"/>
                <w:lang w:eastAsia="en-IN"/>
              </w:rPr>
            </w:pPr>
            <w:r w:rsidRPr="00DA1BEE">
              <w:rPr>
                <w:rFonts w:eastAsia="Times New Roman" w:cs="Times New Roman"/>
                <w:b/>
                <w:color w:val="000000"/>
                <w:szCs w:val="24"/>
                <w:lang w:eastAsia="en-IN"/>
              </w:rPr>
              <w:t> </w:t>
            </w:r>
          </w:p>
        </w:tc>
        <w:tc>
          <w:tcPr>
            <w:tcW w:w="1417" w:type="dxa"/>
            <w:tcBorders>
              <w:top w:val="single" w:sz="4" w:space="0" w:color="auto"/>
              <w:left w:val="nil"/>
              <w:bottom w:val="single" w:sz="4" w:space="0" w:color="auto"/>
              <w:right w:val="single" w:sz="4" w:space="0" w:color="auto"/>
            </w:tcBorders>
            <w:shd w:val="clear" w:color="auto" w:fill="auto"/>
            <w:noWrap/>
            <w:vAlign w:val="bottom"/>
            <w:hideMark/>
          </w:tcPr>
          <w:p w14:paraId="7BC16E4E" w14:textId="77777777" w:rsidR="00830BB2" w:rsidRPr="00DA1BEE" w:rsidRDefault="00830BB2" w:rsidP="00DA1BEE">
            <w:pPr>
              <w:spacing w:after="0" w:line="240" w:lineRule="auto"/>
              <w:jc w:val="left"/>
              <w:rPr>
                <w:rFonts w:eastAsia="Times New Roman" w:cs="Times New Roman"/>
                <w:color w:val="000000"/>
                <w:szCs w:val="24"/>
                <w:lang w:eastAsia="en-IN"/>
              </w:rPr>
            </w:pPr>
            <w:r w:rsidRPr="00DA1BEE">
              <w:rPr>
                <w:rFonts w:eastAsia="Times New Roman" w:cs="Times New Roman"/>
                <w:color w:val="000000"/>
                <w:szCs w:val="24"/>
                <w:lang w:eastAsia="en-IN"/>
              </w:rPr>
              <w:t> </w:t>
            </w:r>
          </w:p>
        </w:tc>
      </w:tr>
      <w:tr w:rsidR="0012686B" w:rsidRPr="00DA1BEE" w14:paraId="572E115B" w14:textId="77777777" w:rsidTr="0012686B">
        <w:trPr>
          <w:trHeight w:val="318"/>
        </w:trPr>
        <w:tc>
          <w:tcPr>
            <w:tcW w:w="2186" w:type="dxa"/>
            <w:tcBorders>
              <w:top w:val="nil"/>
              <w:left w:val="single" w:sz="4" w:space="0" w:color="auto"/>
              <w:bottom w:val="single" w:sz="4" w:space="0" w:color="auto"/>
              <w:right w:val="single" w:sz="4" w:space="0" w:color="auto"/>
            </w:tcBorders>
            <w:shd w:val="clear" w:color="auto" w:fill="auto"/>
            <w:noWrap/>
            <w:vAlign w:val="bottom"/>
            <w:hideMark/>
          </w:tcPr>
          <w:p w14:paraId="262CA674" w14:textId="77777777" w:rsidR="00DA1BEE" w:rsidRPr="00DA1BEE" w:rsidRDefault="00DA1BEE" w:rsidP="00DA1BEE">
            <w:pPr>
              <w:spacing w:after="0" w:line="240" w:lineRule="auto"/>
              <w:jc w:val="left"/>
              <w:rPr>
                <w:rFonts w:eastAsia="Times New Roman" w:cs="Times New Roman"/>
                <w:b/>
                <w:color w:val="000000"/>
                <w:szCs w:val="24"/>
                <w:lang w:eastAsia="en-IN"/>
              </w:rPr>
            </w:pPr>
            <w:r w:rsidRPr="00DA1BEE">
              <w:rPr>
                <w:rFonts w:eastAsia="Times New Roman" w:cs="Times New Roman"/>
                <w:b/>
                <w:color w:val="000000"/>
                <w:szCs w:val="24"/>
                <w:lang w:eastAsia="en-IN"/>
              </w:rPr>
              <w:t> </w:t>
            </w:r>
          </w:p>
        </w:tc>
        <w:tc>
          <w:tcPr>
            <w:tcW w:w="2067" w:type="dxa"/>
            <w:tcBorders>
              <w:top w:val="nil"/>
              <w:left w:val="nil"/>
              <w:bottom w:val="single" w:sz="4" w:space="0" w:color="auto"/>
              <w:right w:val="single" w:sz="4" w:space="0" w:color="auto"/>
            </w:tcBorders>
            <w:shd w:val="clear" w:color="auto" w:fill="auto"/>
            <w:noWrap/>
            <w:vAlign w:val="bottom"/>
            <w:hideMark/>
          </w:tcPr>
          <w:p w14:paraId="19FA79DF" w14:textId="77777777" w:rsidR="00DA1BEE" w:rsidRPr="00DA1BEE" w:rsidRDefault="00DA1BEE" w:rsidP="00DA1BEE">
            <w:pPr>
              <w:spacing w:after="0" w:line="240" w:lineRule="auto"/>
              <w:jc w:val="right"/>
              <w:rPr>
                <w:rFonts w:eastAsia="Times New Roman" w:cs="Times New Roman"/>
                <w:b/>
                <w:color w:val="000000"/>
                <w:szCs w:val="24"/>
                <w:lang w:eastAsia="en-IN"/>
              </w:rPr>
            </w:pPr>
            <w:r w:rsidRPr="00DA1BEE">
              <w:rPr>
                <w:rFonts w:eastAsia="Times New Roman" w:cs="Times New Roman"/>
                <w:b/>
                <w:color w:val="000000"/>
                <w:szCs w:val="24"/>
                <w:lang w:val="en-GB" w:eastAsia="en-IN"/>
              </w:rPr>
              <w:t>2020</w:t>
            </w:r>
          </w:p>
        </w:tc>
        <w:tc>
          <w:tcPr>
            <w:tcW w:w="2126" w:type="dxa"/>
            <w:tcBorders>
              <w:top w:val="nil"/>
              <w:left w:val="nil"/>
              <w:bottom w:val="single" w:sz="4" w:space="0" w:color="auto"/>
              <w:right w:val="single" w:sz="4" w:space="0" w:color="auto"/>
            </w:tcBorders>
            <w:shd w:val="clear" w:color="auto" w:fill="auto"/>
            <w:noWrap/>
            <w:vAlign w:val="bottom"/>
            <w:hideMark/>
          </w:tcPr>
          <w:p w14:paraId="39222FA9" w14:textId="77777777" w:rsidR="00DA1BEE" w:rsidRPr="00DA1BEE" w:rsidRDefault="00DA1BEE" w:rsidP="00DA1BEE">
            <w:pPr>
              <w:spacing w:after="0" w:line="240" w:lineRule="auto"/>
              <w:jc w:val="right"/>
              <w:rPr>
                <w:rFonts w:eastAsia="Times New Roman" w:cs="Times New Roman"/>
                <w:b/>
                <w:color w:val="000000"/>
                <w:szCs w:val="24"/>
                <w:lang w:eastAsia="en-IN"/>
              </w:rPr>
            </w:pPr>
            <w:r w:rsidRPr="00DA1BEE">
              <w:rPr>
                <w:rFonts w:eastAsia="Times New Roman" w:cs="Times New Roman"/>
                <w:b/>
                <w:color w:val="000000"/>
                <w:szCs w:val="24"/>
                <w:lang w:val="en-GB" w:eastAsia="en-IN"/>
              </w:rPr>
              <w:t>2019</w:t>
            </w:r>
          </w:p>
        </w:tc>
        <w:tc>
          <w:tcPr>
            <w:tcW w:w="1276" w:type="dxa"/>
            <w:tcBorders>
              <w:top w:val="nil"/>
              <w:left w:val="nil"/>
              <w:bottom w:val="single" w:sz="4" w:space="0" w:color="auto"/>
              <w:right w:val="single" w:sz="4" w:space="0" w:color="auto"/>
            </w:tcBorders>
            <w:shd w:val="clear" w:color="auto" w:fill="auto"/>
            <w:noWrap/>
            <w:vAlign w:val="bottom"/>
            <w:hideMark/>
          </w:tcPr>
          <w:p w14:paraId="6F8B4374" w14:textId="77777777" w:rsidR="00DA1BEE" w:rsidRPr="00DA1BEE" w:rsidRDefault="00DA1BEE" w:rsidP="00DA1BEE">
            <w:pPr>
              <w:spacing w:after="0" w:line="240" w:lineRule="auto"/>
              <w:jc w:val="left"/>
              <w:rPr>
                <w:rFonts w:eastAsia="Times New Roman" w:cs="Times New Roman"/>
                <w:b/>
                <w:color w:val="000000"/>
                <w:szCs w:val="24"/>
                <w:lang w:eastAsia="en-IN"/>
              </w:rPr>
            </w:pPr>
            <w:r w:rsidRPr="00DA1BEE">
              <w:rPr>
                <w:rFonts w:eastAsia="Times New Roman" w:cs="Times New Roman"/>
                <w:b/>
                <w:color w:val="000000"/>
                <w:szCs w:val="24"/>
                <w:lang w:val="en-GB" w:eastAsia="en-IN"/>
              </w:rPr>
              <w:t>Change</w:t>
            </w:r>
          </w:p>
        </w:tc>
        <w:tc>
          <w:tcPr>
            <w:tcW w:w="1417" w:type="dxa"/>
            <w:tcBorders>
              <w:top w:val="nil"/>
              <w:left w:val="nil"/>
              <w:bottom w:val="single" w:sz="4" w:space="0" w:color="auto"/>
              <w:right w:val="single" w:sz="4" w:space="0" w:color="auto"/>
            </w:tcBorders>
            <w:shd w:val="clear" w:color="auto" w:fill="auto"/>
            <w:noWrap/>
            <w:vAlign w:val="bottom"/>
            <w:hideMark/>
          </w:tcPr>
          <w:p w14:paraId="4CA7A9E8" w14:textId="77777777" w:rsidR="00DA1BEE" w:rsidRPr="00DA1BEE" w:rsidRDefault="00DA1BEE" w:rsidP="00DA1BEE">
            <w:pPr>
              <w:spacing w:after="0" w:line="240" w:lineRule="auto"/>
              <w:jc w:val="left"/>
              <w:rPr>
                <w:rFonts w:eastAsia="Times New Roman" w:cs="Times New Roman"/>
                <w:b/>
                <w:color w:val="000000"/>
                <w:szCs w:val="24"/>
                <w:lang w:eastAsia="en-IN"/>
              </w:rPr>
            </w:pPr>
            <w:r w:rsidRPr="00DA1BEE">
              <w:rPr>
                <w:rFonts w:eastAsia="Times New Roman" w:cs="Times New Roman"/>
                <w:b/>
                <w:color w:val="000000"/>
                <w:szCs w:val="24"/>
                <w:lang w:val="en-GB" w:eastAsia="en-IN"/>
              </w:rPr>
              <w:t>% Change</w:t>
            </w:r>
          </w:p>
        </w:tc>
      </w:tr>
      <w:tr w:rsidR="0012686B" w:rsidRPr="00DA1BEE" w14:paraId="3E5F037E" w14:textId="77777777" w:rsidTr="0012686B">
        <w:trPr>
          <w:trHeight w:val="300"/>
        </w:trPr>
        <w:tc>
          <w:tcPr>
            <w:tcW w:w="2186" w:type="dxa"/>
            <w:tcBorders>
              <w:top w:val="nil"/>
              <w:left w:val="single" w:sz="4" w:space="0" w:color="auto"/>
              <w:bottom w:val="single" w:sz="4" w:space="0" w:color="auto"/>
              <w:right w:val="single" w:sz="4" w:space="0" w:color="auto"/>
            </w:tcBorders>
            <w:shd w:val="clear" w:color="auto" w:fill="auto"/>
            <w:noWrap/>
            <w:vAlign w:val="bottom"/>
            <w:hideMark/>
          </w:tcPr>
          <w:p w14:paraId="1D5CB55D" w14:textId="77777777" w:rsidR="00DA1BEE" w:rsidRPr="00DA1BEE" w:rsidRDefault="00DA1BEE" w:rsidP="00DA1BEE">
            <w:pPr>
              <w:spacing w:after="0" w:line="240" w:lineRule="auto"/>
              <w:jc w:val="left"/>
              <w:rPr>
                <w:rFonts w:eastAsia="Times New Roman" w:cs="Times New Roman"/>
                <w:b/>
                <w:color w:val="000000"/>
                <w:szCs w:val="24"/>
                <w:lang w:eastAsia="en-IN"/>
              </w:rPr>
            </w:pPr>
            <w:r w:rsidRPr="00DA1BEE">
              <w:rPr>
                <w:rFonts w:eastAsia="Times New Roman" w:cs="Times New Roman"/>
                <w:b/>
                <w:color w:val="000000"/>
                <w:szCs w:val="24"/>
                <w:lang w:val="en-GB" w:eastAsia="en-IN"/>
              </w:rPr>
              <w:t>Fiscal Year Ends</w:t>
            </w:r>
          </w:p>
        </w:tc>
        <w:tc>
          <w:tcPr>
            <w:tcW w:w="2067" w:type="dxa"/>
            <w:tcBorders>
              <w:top w:val="nil"/>
              <w:left w:val="nil"/>
              <w:bottom w:val="single" w:sz="4" w:space="0" w:color="auto"/>
              <w:right w:val="single" w:sz="4" w:space="0" w:color="auto"/>
            </w:tcBorders>
            <w:shd w:val="clear" w:color="auto" w:fill="auto"/>
            <w:noWrap/>
            <w:vAlign w:val="bottom"/>
            <w:hideMark/>
          </w:tcPr>
          <w:p w14:paraId="08A67A72" w14:textId="77777777" w:rsidR="00DA1BEE" w:rsidRPr="00DA1BEE" w:rsidRDefault="00DA1BEE" w:rsidP="00DA1BEE">
            <w:pPr>
              <w:spacing w:after="0" w:line="240" w:lineRule="auto"/>
              <w:jc w:val="right"/>
              <w:rPr>
                <w:rFonts w:eastAsia="Times New Roman" w:cs="Times New Roman"/>
                <w:b/>
                <w:color w:val="000000"/>
                <w:szCs w:val="24"/>
                <w:lang w:eastAsia="en-IN"/>
              </w:rPr>
            </w:pPr>
            <w:r w:rsidRPr="00DA1BEE">
              <w:rPr>
                <w:rFonts w:eastAsia="Times New Roman" w:cs="Times New Roman"/>
                <w:b/>
                <w:color w:val="000000"/>
                <w:szCs w:val="24"/>
                <w:lang w:val="en-GB" w:eastAsia="en-IN"/>
              </w:rPr>
              <w:t>31-12-2021</w:t>
            </w:r>
          </w:p>
        </w:tc>
        <w:tc>
          <w:tcPr>
            <w:tcW w:w="2126" w:type="dxa"/>
            <w:tcBorders>
              <w:top w:val="nil"/>
              <w:left w:val="nil"/>
              <w:bottom w:val="single" w:sz="4" w:space="0" w:color="auto"/>
              <w:right w:val="single" w:sz="4" w:space="0" w:color="auto"/>
            </w:tcBorders>
            <w:shd w:val="clear" w:color="auto" w:fill="auto"/>
            <w:noWrap/>
            <w:vAlign w:val="bottom"/>
            <w:hideMark/>
          </w:tcPr>
          <w:p w14:paraId="75B409BA" w14:textId="77777777" w:rsidR="00DA1BEE" w:rsidRPr="00DA1BEE" w:rsidRDefault="00DA1BEE" w:rsidP="00DA1BEE">
            <w:pPr>
              <w:spacing w:after="0" w:line="240" w:lineRule="auto"/>
              <w:jc w:val="right"/>
              <w:rPr>
                <w:rFonts w:eastAsia="Times New Roman" w:cs="Times New Roman"/>
                <w:b/>
                <w:color w:val="000000"/>
                <w:szCs w:val="24"/>
                <w:lang w:eastAsia="en-IN"/>
              </w:rPr>
            </w:pPr>
            <w:r w:rsidRPr="00DA1BEE">
              <w:rPr>
                <w:rFonts w:eastAsia="Times New Roman" w:cs="Times New Roman"/>
                <w:b/>
                <w:color w:val="000000"/>
                <w:szCs w:val="24"/>
                <w:lang w:val="en-GB" w:eastAsia="en-IN"/>
              </w:rPr>
              <w:t>31-12-2020</w:t>
            </w:r>
          </w:p>
        </w:tc>
        <w:tc>
          <w:tcPr>
            <w:tcW w:w="1276" w:type="dxa"/>
            <w:tcBorders>
              <w:top w:val="nil"/>
              <w:left w:val="nil"/>
              <w:bottom w:val="single" w:sz="4" w:space="0" w:color="auto"/>
              <w:right w:val="single" w:sz="4" w:space="0" w:color="auto"/>
            </w:tcBorders>
            <w:shd w:val="clear" w:color="auto" w:fill="auto"/>
            <w:noWrap/>
            <w:vAlign w:val="bottom"/>
            <w:hideMark/>
          </w:tcPr>
          <w:p w14:paraId="16E62C1E" w14:textId="77777777" w:rsidR="00DA1BEE" w:rsidRPr="00DA1BEE" w:rsidRDefault="00DA1BEE" w:rsidP="00DA1BEE">
            <w:pPr>
              <w:spacing w:after="0" w:line="240" w:lineRule="auto"/>
              <w:jc w:val="left"/>
              <w:rPr>
                <w:rFonts w:eastAsia="Times New Roman" w:cs="Times New Roman"/>
                <w:b/>
                <w:color w:val="000000"/>
                <w:szCs w:val="24"/>
                <w:lang w:eastAsia="en-IN"/>
              </w:rPr>
            </w:pPr>
            <w:r w:rsidRPr="00DA1BEE">
              <w:rPr>
                <w:rFonts w:eastAsia="Times New Roman" w:cs="Times New Roman"/>
                <w:b/>
                <w:color w:val="000000"/>
                <w:szCs w:val="24"/>
                <w:lang w:eastAsia="en-IN"/>
              </w:rPr>
              <w:t> </w:t>
            </w:r>
          </w:p>
        </w:tc>
        <w:tc>
          <w:tcPr>
            <w:tcW w:w="1417" w:type="dxa"/>
            <w:tcBorders>
              <w:top w:val="nil"/>
              <w:left w:val="nil"/>
              <w:bottom w:val="single" w:sz="4" w:space="0" w:color="auto"/>
              <w:right w:val="single" w:sz="4" w:space="0" w:color="auto"/>
            </w:tcBorders>
            <w:shd w:val="clear" w:color="auto" w:fill="auto"/>
            <w:noWrap/>
            <w:vAlign w:val="bottom"/>
            <w:hideMark/>
          </w:tcPr>
          <w:p w14:paraId="17374501" w14:textId="77777777" w:rsidR="00DA1BEE" w:rsidRPr="00DA1BEE" w:rsidRDefault="00DA1BEE" w:rsidP="00DA1BEE">
            <w:pPr>
              <w:spacing w:after="0" w:line="240" w:lineRule="auto"/>
              <w:jc w:val="left"/>
              <w:rPr>
                <w:rFonts w:eastAsia="Times New Roman" w:cs="Times New Roman"/>
                <w:b/>
                <w:color w:val="000000"/>
                <w:szCs w:val="24"/>
                <w:lang w:eastAsia="en-IN"/>
              </w:rPr>
            </w:pPr>
            <w:r w:rsidRPr="00DA1BEE">
              <w:rPr>
                <w:rFonts w:eastAsia="Times New Roman" w:cs="Times New Roman"/>
                <w:b/>
                <w:color w:val="000000"/>
                <w:szCs w:val="24"/>
                <w:lang w:eastAsia="en-IN"/>
              </w:rPr>
              <w:t> </w:t>
            </w:r>
          </w:p>
        </w:tc>
      </w:tr>
      <w:tr w:rsidR="0012686B" w:rsidRPr="00DA1BEE" w14:paraId="65449A0E" w14:textId="77777777" w:rsidTr="0012686B">
        <w:trPr>
          <w:trHeight w:val="300"/>
        </w:trPr>
        <w:tc>
          <w:tcPr>
            <w:tcW w:w="2186" w:type="dxa"/>
            <w:tcBorders>
              <w:top w:val="nil"/>
              <w:left w:val="single" w:sz="4" w:space="0" w:color="auto"/>
              <w:bottom w:val="single" w:sz="4" w:space="0" w:color="auto"/>
              <w:right w:val="single" w:sz="4" w:space="0" w:color="auto"/>
            </w:tcBorders>
            <w:shd w:val="clear" w:color="auto" w:fill="auto"/>
            <w:noWrap/>
            <w:vAlign w:val="bottom"/>
            <w:hideMark/>
          </w:tcPr>
          <w:p w14:paraId="5E15C13A" w14:textId="77777777" w:rsidR="00DA1BEE" w:rsidRPr="00DA1BEE" w:rsidRDefault="00DA1BEE" w:rsidP="00DA1BEE">
            <w:pPr>
              <w:spacing w:after="0" w:line="240" w:lineRule="auto"/>
              <w:jc w:val="left"/>
              <w:rPr>
                <w:rFonts w:eastAsia="Times New Roman" w:cs="Times New Roman"/>
                <w:color w:val="000000"/>
                <w:szCs w:val="24"/>
                <w:lang w:eastAsia="en-IN"/>
              </w:rPr>
            </w:pPr>
            <w:r w:rsidRPr="00DA1BEE">
              <w:rPr>
                <w:rFonts w:eastAsia="Times New Roman" w:cs="Times New Roman"/>
                <w:color w:val="000000"/>
                <w:szCs w:val="24"/>
                <w:lang w:val="en-GB" w:eastAsia="en-IN"/>
              </w:rPr>
              <w:t>Sales</w:t>
            </w:r>
          </w:p>
        </w:tc>
        <w:tc>
          <w:tcPr>
            <w:tcW w:w="2067" w:type="dxa"/>
            <w:tcBorders>
              <w:top w:val="nil"/>
              <w:left w:val="nil"/>
              <w:bottom w:val="single" w:sz="4" w:space="0" w:color="auto"/>
              <w:right w:val="single" w:sz="4" w:space="0" w:color="auto"/>
            </w:tcBorders>
            <w:shd w:val="clear" w:color="auto" w:fill="auto"/>
            <w:noWrap/>
            <w:vAlign w:val="bottom"/>
            <w:hideMark/>
          </w:tcPr>
          <w:p w14:paraId="03A2C0B7"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43,07,000</w:t>
            </w:r>
          </w:p>
        </w:tc>
        <w:tc>
          <w:tcPr>
            <w:tcW w:w="2126" w:type="dxa"/>
            <w:tcBorders>
              <w:top w:val="nil"/>
              <w:left w:val="nil"/>
              <w:bottom w:val="single" w:sz="4" w:space="0" w:color="auto"/>
              <w:right w:val="single" w:sz="4" w:space="0" w:color="auto"/>
            </w:tcBorders>
            <w:shd w:val="clear" w:color="auto" w:fill="auto"/>
            <w:noWrap/>
            <w:vAlign w:val="bottom"/>
            <w:hideMark/>
          </w:tcPr>
          <w:p w14:paraId="15C7DC83"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94,52,000</w:t>
            </w:r>
          </w:p>
        </w:tc>
        <w:tc>
          <w:tcPr>
            <w:tcW w:w="1276" w:type="dxa"/>
            <w:tcBorders>
              <w:top w:val="nil"/>
              <w:left w:val="nil"/>
              <w:bottom w:val="single" w:sz="4" w:space="0" w:color="auto"/>
              <w:right w:val="single" w:sz="4" w:space="0" w:color="auto"/>
            </w:tcBorders>
            <w:shd w:val="clear" w:color="auto" w:fill="auto"/>
            <w:noWrap/>
            <w:vAlign w:val="bottom"/>
            <w:hideMark/>
          </w:tcPr>
          <w:p w14:paraId="2F6351A0"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-51,45,000</w:t>
            </w:r>
          </w:p>
        </w:tc>
        <w:tc>
          <w:tcPr>
            <w:tcW w:w="1417" w:type="dxa"/>
            <w:tcBorders>
              <w:top w:val="nil"/>
              <w:left w:val="nil"/>
              <w:bottom w:val="single" w:sz="4" w:space="0" w:color="auto"/>
              <w:right w:val="single" w:sz="4" w:space="0" w:color="auto"/>
            </w:tcBorders>
            <w:shd w:val="clear" w:color="auto" w:fill="auto"/>
            <w:noWrap/>
            <w:vAlign w:val="bottom"/>
            <w:hideMark/>
          </w:tcPr>
          <w:p w14:paraId="103F3E45"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-54.43%</w:t>
            </w:r>
          </w:p>
        </w:tc>
      </w:tr>
      <w:tr w:rsidR="0012686B" w:rsidRPr="00DA1BEE" w14:paraId="30786970" w14:textId="77777777" w:rsidTr="0012686B">
        <w:trPr>
          <w:trHeight w:val="300"/>
        </w:trPr>
        <w:tc>
          <w:tcPr>
            <w:tcW w:w="2186" w:type="dxa"/>
            <w:tcBorders>
              <w:top w:val="nil"/>
              <w:left w:val="single" w:sz="4" w:space="0" w:color="auto"/>
              <w:bottom w:val="single" w:sz="4" w:space="0" w:color="auto"/>
              <w:right w:val="single" w:sz="4" w:space="0" w:color="auto"/>
            </w:tcBorders>
            <w:shd w:val="clear" w:color="auto" w:fill="auto"/>
            <w:noWrap/>
            <w:vAlign w:val="bottom"/>
            <w:hideMark/>
          </w:tcPr>
          <w:p w14:paraId="13D705BF" w14:textId="77777777" w:rsidR="00DA1BEE" w:rsidRPr="00DA1BEE" w:rsidRDefault="00DA1BEE" w:rsidP="00DA1BEE">
            <w:pPr>
              <w:spacing w:after="0" w:line="240" w:lineRule="auto"/>
              <w:jc w:val="left"/>
              <w:rPr>
                <w:rFonts w:eastAsia="Times New Roman" w:cs="Times New Roman"/>
                <w:color w:val="000000"/>
                <w:szCs w:val="24"/>
                <w:lang w:eastAsia="en-IN"/>
              </w:rPr>
            </w:pPr>
            <w:r w:rsidRPr="00DA1BEE">
              <w:rPr>
                <w:rFonts w:eastAsia="Times New Roman" w:cs="Times New Roman"/>
                <w:color w:val="000000"/>
                <w:szCs w:val="24"/>
                <w:lang w:val="en-GB" w:eastAsia="en-IN"/>
              </w:rPr>
              <w:t>Cost of goods sold</w:t>
            </w:r>
          </w:p>
        </w:tc>
        <w:tc>
          <w:tcPr>
            <w:tcW w:w="2067" w:type="dxa"/>
            <w:tcBorders>
              <w:top w:val="nil"/>
              <w:left w:val="nil"/>
              <w:bottom w:val="single" w:sz="4" w:space="0" w:color="auto"/>
              <w:right w:val="single" w:sz="4" w:space="0" w:color="auto"/>
            </w:tcBorders>
            <w:shd w:val="clear" w:color="auto" w:fill="auto"/>
            <w:noWrap/>
            <w:vAlign w:val="bottom"/>
            <w:hideMark/>
          </w:tcPr>
          <w:p w14:paraId="3B043120"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37,24,000</w:t>
            </w:r>
          </w:p>
        </w:tc>
        <w:tc>
          <w:tcPr>
            <w:tcW w:w="2126" w:type="dxa"/>
            <w:tcBorders>
              <w:top w:val="nil"/>
              <w:left w:val="nil"/>
              <w:bottom w:val="single" w:sz="4" w:space="0" w:color="auto"/>
              <w:right w:val="single" w:sz="4" w:space="0" w:color="auto"/>
            </w:tcBorders>
            <w:shd w:val="clear" w:color="auto" w:fill="auto"/>
            <w:noWrap/>
            <w:vAlign w:val="bottom"/>
            <w:hideMark/>
          </w:tcPr>
          <w:p w14:paraId="2ADD7011"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70,17,000</w:t>
            </w:r>
          </w:p>
        </w:tc>
        <w:tc>
          <w:tcPr>
            <w:tcW w:w="1276" w:type="dxa"/>
            <w:tcBorders>
              <w:top w:val="nil"/>
              <w:left w:val="nil"/>
              <w:bottom w:val="single" w:sz="4" w:space="0" w:color="auto"/>
              <w:right w:val="single" w:sz="4" w:space="0" w:color="auto"/>
            </w:tcBorders>
            <w:shd w:val="clear" w:color="auto" w:fill="auto"/>
            <w:noWrap/>
            <w:vAlign w:val="bottom"/>
            <w:hideMark/>
          </w:tcPr>
          <w:p w14:paraId="0C21150B"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-32,93,000</w:t>
            </w:r>
          </w:p>
        </w:tc>
        <w:tc>
          <w:tcPr>
            <w:tcW w:w="1417" w:type="dxa"/>
            <w:tcBorders>
              <w:top w:val="nil"/>
              <w:left w:val="nil"/>
              <w:bottom w:val="single" w:sz="4" w:space="0" w:color="auto"/>
              <w:right w:val="single" w:sz="4" w:space="0" w:color="auto"/>
            </w:tcBorders>
            <w:shd w:val="clear" w:color="auto" w:fill="auto"/>
            <w:noWrap/>
            <w:vAlign w:val="bottom"/>
            <w:hideMark/>
          </w:tcPr>
          <w:p w14:paraId="6C310ACE"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-46.93%</w:t>
            </w:r>
          </w:p>
        </w:tc>
      </w:tr>
      <w:tr w:rsidR="0012686B" w:rsidRPr="00DA1BEE" w14:paraId="60195191" w14:textId="77777777" w:rsidTr="0012686B">
        <w:trPr>
          <w:trHeight w:val="300"/>
        </w:trPr>
        <w:tc>
          <w:tcPr>
            <w:tcW w:w="2186" w:type="dxa"/>
            <w:tcBorders>
              <w:top w:val="nil"/>
              <w:left w:val="single" w:sz="4" w:space="0" w:color="auto"/>
              <w:bottom w:val="single" w:sz="4" w:space="0" w:color="auto"/>
              <w:right w:val="single" w:sz="4" w:space="0" w:color="auto"/>
            </w:tcBorders>
            <w:shd w:val="clear" w:color="auto" w:fill="auto"/>
            <w:noWrap/>
            <w:vAlign w:val="bottom"/>
            <w:hideMark/>
          </w:tcPr>
          <w:p w14:paraId="1671B70C" w14:textId="77777777" w:rsidR="00DA1BEE" w:rsidRPr="00DA1BEE" w:rsidRDefault="00DA1BEE" w:rsidP="00DA1BEE">
            <w:pPr>
              <w:spacing w:after="0" w:line="240" w:lineRule="auto"/>
              <w:jc w:val="left"/>
              <w:rPr>
                <w:rFonts w:eastAsia="Times New Roman" w:cs="Times New Roman"/>
                <w:color w:val="000000"/>
                <w:szCs w:val="24"/>
                <w:lang w:eastAsia="en-IN"/>
              </w:rPr>
            </w:pPr>
            <w:r w:rsidRPr="00DA1BEE">
              <w:rPr>
                <w:rFonts w:eastAsia="Times New Roman" w:cs="Times New Roman"/>
                <w:color w:val="000000"/>
                <w:szCs w:val="24"/>
                <w:lang w:val="en-GB" w:eastAsia="en-IN"/>
              </w:rPr>
              <w:t>Gross profit</w:t>
            </w:r>
          </w:p>
        </w:tc>
        <w:tc>
          <w:tcPr>
            <w:tcW w:w="2067" w:type="dxa"/>
            <w:tcBorders>
              <w:top w:val="nil"/>
              <w:left w:val="nil"/>
              <w:bottom w:val="single" w:sz="4" w:space="0" w:color="auto"/>
              <w:right w:val="single" w:sz="4" w:space="0" w:color="auto"/>
            </w:tcBorders>
            <w:shd w:val="clear" w:color="auto" w:fill="auto"/>
            <w:noWrap/>
            <w:vAlign w:val="bottom"/>
            <w:hideMark/>
          </w:tcPr>
          <w:p w14:paraId="2387F42B"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5,83,000</w:t>
            </w:r>
          </w:p>
        </w:tc>
        <w:tc>
          <w:tcPr>
            <w:tcW w:w="2126" w:type="dxa"/>
            <w:tcBorders>
              <w:top w:val="nil"/>
              <w:left w:val="nil"/>
              <w:bottom w:val="single" w:sz="4" w:space="0" w:color="auto"/>
              <w:right w:val="single" w:sz="4" w:space="0" w:color="auto"/>
            </w:tcBorders>
            <w:shd w:val="clear" w:color="auto" w:fill="auto"/>
            <w:noWrap/>
            <w:vAlign w:val="bottom"/>
            <w:hideMark/>
          </w:tcPr>
          <w:p w14:paraId="31AEE0ED"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24,35,000</w:t>
            </w:r>
          </w:p>
        </w:tc>
        <w:tc>
          <w:tcPr>
            <w:tcW w:w="1276" w:type="dxa"/>
            <w:tcBorders>
              <w:top w:val="nil"/>
              <w:left w:val="nil"/>
              <w:bottom w:val="single" w:sz="4" w:space="0" w:color="auto"/>
              <w:right w:val="single" w:sz="4" w:space="0" w:color="auto"/>
            </w:tcBorders>
            <w:shd w:val="clear" w:color="auto" w:fill="auto"/>
            <w:noWrap/>
            <w:vAlign w:val="bottom"/>
            <w:hideMark/>
          </w:tcPr>
          <w:p w14:paraId="1CF7ACA1"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-18,52,000</w:t>
            </w:r>
          </w:p>
        </w:tc>
        <w:tc>
          <w:tcPr>
            <w:tcW w:w="1417" w:type="dxa"/>
            <w:tcBorders>
              <w:top w:val="nil"/>
              <w:left w:val="nil"/>
              <w:bottom w:val="single" w:sz="4" w:space="0" w:color="auto"/>
              <w:right w:val="single" w:sz="4" w:space="0" w:color="auto"/>
            </w:tcBorders>
            <w:shd w:val="clear" w:color="auto" w:fill="auto"/>
            <w:noWrap/>
            <w:vAlign w:val="bottom"/>
            <w:hideMark/>
          </w:tcPr>
          <w:p w14:paraId="64A66FBB"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-76.06%</w:t>
            </w:r>
          </w:p>
        </w:tc>
      </w:tr>
      <w:tr w:rsidR="0012686B" w:rsidRPr="00DA1BEE" w14:paraId="4AB85D10" w14:textId="77777777" w:rsidTr="0012686B">
        <w:trPr>
          <w:trHeight w:val="300"/>
        </w:trPr>
        <w:tc>
          <w:tcPr>
            <w:tcW w:w="2186" w:type="dxa"/>
            <w:tcBorders>
              <w:top w:val="nil"/>
              <w:left w:val="single" w:sz="4" w:space="0" w:color="auto"/>
              <w:bottom w:val="single" w:sz="4" w:space="0" w:color="auto"/>
              <w:right w:val="single" w:sz="4" w:space="0" w:color="auto"/>
            </w:tcBorders>
            <w:shd w:val="clear" w:color="auto" w:fill="auto"/>
            <w:noWrap/>
            <w:vAlign w:val="bottom"/>
            <w:hideMark/>
          </w:tcPr>
          <w:p w14:paraId="465B1273" w14:textId="77777777" w:rsidR="00DA1BEE" w:rsidRPr="00DA1BEE" w:rsidRDefault="00DA1BEE" w:rsidP="00DA1BEE">
            <w:pPr>
              <w:spacing w:after="0" w:line="240" w:lineRule="auto"/>
              <w:jc w:val="left"/>
              <w:rPr>
                <w:rFonts w:eastAsia="Times New Roman" w:cs="Times New Roman"/>
                <w:color w:val="000000"/>
                <w:szCs w:val="24"/>
                <w:lang w:eastAsia="en-IN"/>
              </w:rPr>
            </w:pPr>
            <w:r w:rsidRPr="00DA1BEE">
              <w:rPr>
                <w:rFonts w:eastAsia="Times New Roman" w:cs="Times New Roman"/>
                <w:color w:val="000000"/>
                <w:szCs w:val="24"/>
                <w:lang w:val="en-GB" w:eastAsia="en-IN"/>
              </w:rPr>
              <w:t>Operating Expenses</w:t>
            </w:r>
          </w:p>
        </w:tc>
        <w:tc>
          <w:tcPr>
            <w:tcW w:w="2067" w:type="dxa"/>
            <w:tcBorders>
              <w:top w:val="nil"/>
              <w:left w:val="nil"/>
              <w:bottom w:val="single" w:sz="4" w:space="0" w:color="auto"/>
              <w:right w:val="single" w:sz="4" w:space="0" w:color="auto"/>
            </w:tcBorders>
            <w:shd w:val="clear" w:color="auto" w:fill="auto"/>
            <w:noWrap/>
            <w:vAlign w:val="bottom"/>
            <w:hideMark/>
          </w:tcPr>
          <w:p w14:paraId="2EDF9966"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7,02,000</w:t>
            </w:r>
          </w:p>
        </w:tc>
        <w:tc>
          <w:tcPr>
            <w:tcW w:w="2126" w:type="dxa"/>
            <w:tcBorders>
              <w:top w:val="nil"/>
              <w:left w:val="nil"/>
              <w:bottom w:val="single" w:sz="4" w:space="0" w:color="auto"/>
              <w:right w:val="single" w:sz="4" w:space="0" w:color="auto"/>
            </w:tcBorders>
            <w:shd w:val="clear" w:color="auto" w:fill="auto"/>
            <w:noWrap/>
            <w:vAlign w:val="bottom"/>
            <w:hideMark/>
          </w:tcPr>
          <w:p w14:paraId="530CACCE"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8,59,000</w:t>
            </w:r>
          </w:p>
        </w:tc>
        <w:tc>
          <w:tcPr>
            <w:tcW w:w="1276" w:type="dxa"/>
            <w:tcBorders>
              <w:top w:val="nil"/>
              <w:left w:val="nil"/>
              <w:bottom w:val="single" w:sz="4" w:space="0" w:color="auto"/>
              <w:right w:val="single" w:sz="4" w:space="0" w:color="auto"/>
            </w:tcBorders>
            <w:shd w:val="clear" w:color="auto" w:fill="auto"/>
            <w:noWrap/>
            <w:vAlign w:val="bottom"/>
            <w:hideMark/>
          </w:tcPr>
          <w:p w14:paraId="284E3101"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-1,57,000</w:t>
            </w:r>
          </w:p>
        </w:tc>
        <w:tc>
          <w:tcPr>
            <w:tcW w:w="1417" w:type="dxa"/>
            <w:tcBorders>
              <w:top w:val="nil"/>
              <w:left w:val="nil"/>
              <w:bottom w:val="single" w:sz="4" w:space="0" w:color="auto"/>
              <w:right w:val="single" w:sz="4" w:space="0" w:color="auto"/>
            </w:tcBorders>
            <w:shd w:val="clear" w:color="auto" w:fill="auto"/>
            <w:noWrap/>
            <w:vAlign w:val="bottom"/>
            <w:hideMark/>
          </w:tcPr>
          <w:p w14:paraId="5ABAC8DB"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-18.28%</w:t>
            </w:r>
          </w:p>
        </w:tc>
      </w:tr>
      <w:tr w:rsidR="0012686B" w:rsidRPr="00DA1BEE" w14:paraId="5D08E121" w14:textId="77777777" w:rsidTr="0012686B">
        <w:trPr>
          <w:trHeight w:val="300"/>
        </w:trPr>
        <w:tc>
          <w:tcPr>
            <w:tcW w:w="2186" w:type="dxa"/>
            <w:tcBorders>
              <w:top w:val="nil"/>
              <w:left w:val="single" w:sz="4" w:space="0" w:color="auto"/>
              <w:bottom w:val="single" w:sz="4" w:space="0" w:color="auto"/>
              <w:right w:val="single" w:sz="4" w:space="0" w:color="auto"/>
            </w:tcBorders>
            <w:shd w:val="clear" w:color="auto" w:fill="auto"/>
            <w:noWrap/>
            <w:vAlign w:val="bottom"/>
            <w:hideMark/>
          </w:tcPr>
          <w:p w14:paraId="1DD7110C" w14:textId="77777777" w:rsidR="00DA1BEE" w:rsidRPr="00DA1BEE" w:rsidRDefault="00DA1BEE" w:rsidP="00DA1BEE">
            <w:pPr>
              <w:spacing w:after="0" w:line="240" w:lineRule="auto"/>
              <w:jc w:val="left"/>
              <w:rPr>
                <w:rFonts w:eastAsia="Times New Roman" w:cs="Times New Roman"/>
                <w:color w:val="000000"/>
                <w:szCs w:val="24"/>
                <w:lang w:eastAsia="en-IN"/>
              </w:rPr>
            </w:pPr>
            <w:r w:rsidRPr="00DA1BEE">
              <w:rPr>
                <w:rFonts w:eastAsia="Times New Roman" w:cs="Times New Roman"/>
                <w:color w:val="000000"/>
                <w:szCs w:val="24"/>
                <w:lang w:val="en-GB" w:eastAsia="en-IN"/>
              </w:rPr>
              <w:t>Operating income</w:t>
            </w:r>
          </w:p>
        </w:tc>
        <w:tc>
          <w:tcPr>
            <w:tcW w:w="2067" w:type="dxa"/>
            <w:tcBorders>
              <w:top w:val="nil"/>
              <w:left w:val="nil"/>
              <w:bottom w:val="single" w:sz="4" w:space="0" w:color="auto"/>
              <w:right w:val="single" w:sz="4" w:space="0" w:color="auto"/>
            </w:tcBorders>
            <w:shd w:val="clear" w:color="auto" w:fill="auto"/>
            <w:noWrap/>
            <w:vAlign w:val="bottom"/>
            <w:hideMark/>
          </w:tcPr>
          <w:p w14:paraId="5EB5B1DB"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-1,19,000</w:t>
            </w:r>
          </w:p>
        </w:tc>
        <w:tc>
          <w:tcPr>
            <w:tcW w:w="2126" w:type="dxa"/>
            <w:tcBorders>
              <w:top w:val="nil"/>
              <w:left w:val="nil"/>
              <w:bottom w:val="single" w:sz="4" w:space="0" w:color="auto"/>
              <w:right w:val="single" w:sz="4" w:space="0" w:color="auto"/>
            </w:tcBorders>
            <w:shd w:val="clear" w:color="auto" w:fill="auto"/>
            <w:noWrap/>
            <w:vAlign w:val="bottom"/>
            <w:hideMark/>
          </w:tcPr>
          <w:p w14:paraId="7B74F6BF"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15,76,000</w:t>
            </w:r>
          </w:p>
        </w:tc>
        <w:tc>
          <w:tcPr>
            <w:tcW w:w="1276" w:type="dxa"/>
            <w:tcBorders>
              <w:top w:val="nil"/>
              <w:left w:val="nil"/>
              <w:bottom w:val="single" w:sz="4" w:space="0" w:color="auto"/>
              <w:right w:val="single" w:sz="4" w:space="0" w:color="auto"/>
            </w:tcBorders>
            <w:shd w:val="clear" w:color="auto" w:fill="auto"/>
            <w:noWrap/>
            <w:vAlign w:val="bottom"/>
            <w:hideMark/>
          </w:tcPr>
          <w:p w14:paraId="512AF592"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-16,95,000</w:t>
            </w:r>
          </w:p>
        </w:tc>
        <w:tc>
          <w:tcPr>
            <w:tcW w:w="1417" w:type="dxa"/>
            <w:tcBorders>
              <w:top w:val="nil"/>
              <w:left w:val="nil"/>
              <w:bottom w:val="single" w:sz="4" w:space="0" w:color="auto"/>
              <w:right w:val="single" w:sz="4" w:space="0" w:color="auto"/>
            </w:tcBorders>
            <w:shd w:val="clear" w:color="auto" w:fill="auto"/>
            <w:noWrap/>
            <w:vAlign w:val="bottom"/>
            <w:hideMark/>
          </w:tcPr>
          <w:p w14:paraId="781BC95D"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-107.55%</w:t>
            </w:r>
          </w:p>
        </w:tc>
      </w:tr>
      <w:tr w:rsidR="0012686B" w:rsidRPr="00DA1BEE" w14:paraId="148321D6" w14:textId="77777777" w:rsidTr="0012686B">
        <w:trPr>
          <w:trHeight w:val="300"/>
        </w:trPr>
        <w:tc>
          <w:tcPr>
            <w:tcW w:w="2186" w:type="dxa"/>
            <w:tcBorders>
              <w:top w:val="nil"/>
              <w:left w:val="single" w:sz="4" w:space="0" w:color="auto"/>
              <w:bottom w:val="single" w:sz="4" w:space="0" w:color="auto"/>
              <w:right w:val="single" w:sz="4" w:space="0" w:color="auto"/>
            </w:tcBorders>
            <w:shd w:val="clear" w:color="auto" w:fill="auto"/>
            <w:noWrap/>
            <w:vAlign w:val="bottom"/>
            <w:hideMark/>
          </w:tcPr>
          <w:p w14:paraId="38B1A201" w14:textId="77777777" w:rsidR="00DA1BEE" w:rsidRPr="00DA1BEE" w:rsidRDefault="00DA1BEE" w:rsidP="00DA1BEE">
            <w:pPr>
              <w:spacing w:after="0" w:line="240" w:lineRule="auto"/>
              <w:jc w:val="left"/>
              <w:rPr>
                <w:rFonts w:eastAsia="Times New Roman" w:cs="Times New Roman"/>
                <w:color w:val="000000"/>
                <w:szCs w:val="24"/>
                <w:lang w:eastAsia="en-IN"/>
              </w:rPr>
            </w:pPr>
            <w:r w:rsidRPr="00DA1BEE">
              <w:rPr>
                <w:rFonts w:eastAsia="Times New Roman" w:cs="Times New Roman"/>
                <w:color w:val="000000"/>
                <w:szCs w:val="24"/>
                <w:lang w:val="en-GB" w:eastAsia="en-IN"/>
              </w:rPr>
              <w:t>Interest Expense</w:t>
            </w:r>
          </w:p>
        </w:tc>
        <w:tc>
          <w:tcPr>
            <w:tcW w:w="2067" w:type="dxa"/>
            <w:tcBorders>
              <w:top w:val="nil"/>
              <w:left w:val="nil"/>
              <w:bottom w:val="single" w:sz="4" w:space="0" w:color="auto"/>
              <w:right w:val="single" w:sz="4" w:space="0" w:color="auto"/>
            </w:tcBorders>
            <w:shd w:val="clear" w:color="auto" w:fill="auto"/>
            <w:noWrap/>
            <w:vAlign w:val="bottom"/>
            <w:hideMark/>
          </w:tcPr>
          <w:p w14:paraId="11A0D33D"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4,29,000</w:t>
            </w:r>
          </w:p>
        </w:tc>
        <w:tc>
          <w:tcPr>
            <w:tcW w:w="2126" w:type="dxa"/>
            <w:tcBorders>
              <w:top w:val="nil"/>
              <w:left w:val="nil"/>
              <w:bottom w:val="single" w:sz="4" w:space="0" w:color="auto"/>
              <w:right w:val="single" w:sz="4" w:space="0" w:color="auto"/>
            </w:tcBorders>
            <w:shd w:val="clear" w:color="auto" w:fill="auto"/>
            <w:noWrap/>
            <w:vAlign w:val="bottom"/>
            <w:hideMark/>
          </w:tcPr>
          <w:p w14:paraId="61D47A97"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4,14,000</w:t>
            </w:r>
          </w:p>
        </w:tc>
        <w:tc>
          <w:tcPr>
            <w:tcW w:w="1276" w:type="dxa"/>
            <w:tcBorders>
              <w:top w:val="nil"/>
              <w:left w:val="nil"/>
              <w:bottom w:val="single" w:sz="4" w:space="0" w:color="auto"/>
              <w:right w:val="single" w:sz="4" w:space="0" w:color="auto"/>
            </w:tcBorders>
            <w:shd w:val="clear" w:color="auto" w:fill="auto"/>
            <w:noWrap/>
            <w:vAlign w:val="bottom"/>
            <w:hideMark/>
          </w:tcPr>
          <w:p w14:paraId="2F6FCBDF"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15,000</w:t>
            </w:r>
          </w:p>
        </w:tc>
        <w:tc>
          <w:tcPr>
            <w:tcW w:w="1417" w:type="dxa"/>
            <w:tcBorders>
              <w:top w:val="nil"/>
              <w:left w:val="nil"/>
              <w:bottom w:val="single" w:sz="4" w:space="0" w:color="auto"/>
              <w:right w:val="single" w:sz="4" w:space="0" w:color="auto"/>
            </w:tcBorders>
            <w:shd w:val="clear" w:color="auto" w:fill="auto"/>
            <w:noWrap/>
            <w:vAlign w:val="bottom"/>
            <w:hideMark/>
          </w:tcPr>
          <w:p w14:paraId="6EECFBC2"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3.62%</w:t>
            </w:r>
          </w:p>
        </w:tc>
      </w:tr>
      <w:tr w:rsidR="0012686B" w:rsidRPr="00DA1BEE" w14:paraId="54C15668" w14:textId="77777777" w:rsidTr="0012686B">
        <w:trPr>
          <w:trHeight w:val="300"/>
        </w:trPr>
        <w:tc>
          <w:tcPr>
            <w:tcW w:w="2186" w:type="dxa"/>
            <w:tcBorders>
              <w:top w:val="nil"/>
              <w:left w:val="single" w:sz="4" w:space="0" w:color="auto"/>
              <w:bottom w:val="single" w:sz="4" w:space="0" w:color="auto"/>
              <w:right w:val="single" w:sz="4" w:space="0" w:color="auto"/>
            </w:tcBorders>
            <w:shd w:val="clear" w:color="auto" w:fill="auto"/>
            <w:noWrap/>
            <w:vAlign w:val="bottom"/>
            <w:hideMark/>
          </w:tcPr>
          <w:p w14:paraId="05B5D900" w14:textId="77777777" w:rsidR="00DA1BEE" w:rsidRPr="00DA1BEE" w:rsidRDefault="00DA1BEE" w:rsidP="00DA1BEE">
            <w:pPr>
              <w:spacing w:after="0" w:line="240" w:lineRule="auto"/>
              <w:jc w:val="left"/>
              <w:rPr>
                <w:rFonts w:eastAsia="Times New Roman" w:cs="Times New Roman"/>
                <w:color w:val="000000"/>
                <w:szCs w:val="24"/>
                <w:lang w:eastAsia="en-IN"/>
              </w:rPr>
            </w:pPr>
            <w:r w:rsidRPr="00DA1BEE">
              <w:rPr>
                <w:rFonts w:eastAsia="Times New Roman" w:cs="Times New Roman"/>
                <w:color w:val="000000"/>
                <w:szCs w:val="24"/>
                <w:lang w:val="en-GB" w:eastAsia="en-IN"/>
              </w:rPr>
              <w:t xml:space="preserve">Total Other income/ expenses net </w:t>
            </w:r>
          </w:p>
        </w:tc>
        <w:tc>
          <w:tcPr>
            <w:tcW w:w="2067" w:type="dxa"/>
            <w:tcBorders>
              <w:top w:val="nil"/>
              <w:left w:val="nil"/>
              <w:bottom w:val="single" w:sz="4" w:space="0" w:color="auto"/>
              <w:right w:val="single" w:sz="4" w:space="0" w:color="auto"/>
            </w:tcBorders>
            <w:shd w:val="clear" w:color="auto" w:fill="auto"/>
            <w:noWrap/>
            <w:vAlign w:val="bottom"/>
            <w:hideMark/>
          </w:tcPr>
          <w:p w14:paraId="2C5288B4"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-3,76,000</w:t>
            </w:r>
          </w:p>
        </w:tc>
        <w:tc>
          <w:tcPr>
            <w:tcW w:w="2126" w:type="dxa"/>
            <w:tcBorders>
              <w:top w:val="nil"/>
              <w:left w:val="nil"/>
              <w:bottom w:val="single" w:sz="4" w:space="0" w:color="auto"/>
              <w:right w:val="single" w:sz="4" w:space="0" w:color="auto"/>
            </w:tcBorders>
            <w:shd w:val="clear" w:color="auto" w:fill="auto"/>
            <w:noWrap/>
            <w:vAlign w:val="bottom"/>
            <w:hideMark/>
          </w:tcPr>
          <w:p w14:paraId="7553219A"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82,000</w:t>
            </w:r>
          </w:p>
        </w:tc>
        <w:tc>
          <w:tcPr>
            <w:tcW w:w="1276" w:type="dxa"/>
            <w:tcBorders>
              <w:top w:val="nil"/>
              <w:left w:val="nil"/>
              <w:bottom w:val="single" w:sz="4" w:space="0" w:color="auto"/>
              <w:right w:val="single" w:sz="4" w:space="0" w:color="auto"/>
            </w:tcBorders>
            <w:shd w:val="clear" w:color="auto" w:fill="auto"/>
            <w:noWrap/>
            <w:vAlign w:val="bottom"/>
            <w:hideMark/>
          </w:tcPr>
          <w:p w14:paraId="113D0457"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-4,58,000</w:t>
            </w:r>
          </w:p>
        </w:tc>
        <w:tc>
          <w:tcPr>
            <w:tcW w:w="1417" w:type="dxa"/>
            <w:tcBorders>
              <w:top w:val="nil"/>
              <w:left w:val="nil"/>
              <w:bottom w:val="single" w:sz="4" w:space="0" w:color="auto"/>
              <w:right w:val="single" w:sz="4" w:space="0" w:color="auto"/>
            </w:tcBorders>
            <w:shd w:val="clear" w:color="auto" w:fill="auto"/>
            <w:noWrap/>
            <w:vAlign w:val="bottom"/>
            <w:hideMark/>
          </w:tcPr>
          <w:p w14:paraId="6CDC2697"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-558.54%</w:t>
            </w:r>
          </w:p>
        </w:tc>
      </w:tr>
      <w:tr w:rsidR="0012686B" w:rsidRPr="00DA1BEE" w14:paraId="26DFA3C9" w14:textId="77777777" w:rsidTr="0012686B">
        <w:trPr>
          <w:trHeight w:val="300"/>
        </w:trPr>
        <w:tc>
          <w:tcPr>
            <w:tcW w:w="2186" w:type="dxa"/>
            <w:tcBorders>
              <w:top w:val="nil"/>
              <w:left w:val="single" w:sz="4" w:space="0" w:color="auto"/>
              <w:bottom w:val="single" w:sz="4" w:space="0" w:color="auto"/>
              <w:right w:val="single" w:sz="4" w:space="0" w:color="auto"/>
            </w:tcBorders>
            <w:shd w:val="clear" w:color="auto" w:fill="auto"/>
            <w:noWrap/>
            <w:vAlign w:val="bottom"/>
            <w:hideMark/>
          </w:tcPr>
          <w:p w14:paraId="181CAED2" w14:textId="77777777" w:rsidR="00DA1BEE" w:rsidRPr="00DA1BEE" w:rsidRDefault="00DA1BEE" w:rsidP="00DA1BEE">
            <w:pPr>
              <w:spacing w:after="0" w:line="240" w:lineRule="auto"/>
              <w:jc w:val="left"/>
              <w:rPr>
                <w:rFonts w:eastAsia="Times New Roman" w:cs="Times New Roman"/>
                <w:color w:val="000000"/>
                <w:szCs w:val="24"/>
                <w:lang w:eastAsia="en-IN"/>
              </w:rPr>
            </w:pPr>
            <w:r w:rsidRPr="00DA1BEE">
              <w:rPr>
                <w:rFonts w:eastAsia="Times New Roman" w:cs="Times New Roman"/>
                <w:color w:val="000000"/>
                <w:szCs w:val="24"/>
                <w:lang w:val="en-GB" w:eastAsia="en-IN"/>
              </w:rPr>
              <w:t>Income before taxes</w:t>
            </w:r>
          </w:p>
        </w:tc>
        <w:tc>
          <w:tcPr>
            <w:tcW w:w="2067" w:type="dxa"/>
            <w:tcBorders>
              <w:top w:val="nil"/>
              <w:left w:val="nil"/>
              <w:bottom w:val="single" w:sz="4" w:space="0" w:color="auto"/>
              <w:right w:val="single" w:sz="4" w:space="0" w:color="auto"/>
            </w:tcBorders>
            <w:shd w:val="clear" w:color="auto" w:fill="auto"/>
            <w:noWrap/>
            <w:vAlign w:val="bottom"/>
            <w:hideMark/>
          </w:tcPr>
          <w:p w14:paraId="1F6B7C5E"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-9,24,000</w:t>
            </w:r>
          </w:p>
        </w:tc>
        <w:tc>
          <w:tcPr>
            <w:tcW w:w="2126" w:type="dxa"/>
            <w:tcBorders>
              <w:top w:val="nil"/>
              <w:left w:val="nil"/>
              <w:bottom w:val="single" w:sz="4" w:space="0" w:color="auto"/>
              <w:right w:val="single" w:sz="4" w:space="0" w:color="auto"/>
            </w:tcBorders>
            <w:shd w:val="clear" w:color="auto" w:fill="auto"/>
            <w:noWrap/>
            <w:vAlign w:val="bottom"/>
            <w:hideMark/>
          </w:tcPr>
          <w:p w14:paraId="798EDFF6"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12,44,000</w:t>
            </w:r>
          </w:p>
        </w:tc>
        <w:tc>
          <w:tcPr>
            <w:tcW w:w="1276" w:type="dxa"/>
            <w:tcBorders>
              <w:top w:val="nil"/>
              <w:left w:val="nil"/>
              <w:bottom w:val="single" w:sz="4" w:space="0" w:color="auto"/>
              <w:right w:val="single" w:sz="4" w:space="0" w:color="auto"/>
            </w:tcBorders>
            <w:shd w:val="clear" w:color="auto" w:fill="auto"/>
            <w:noWrap/>
            <w:vAlign w:val="bottom"/>
            <w:hideMark/>
          </w:tcPr>
          <w:p w14:paraId="7932DAF2"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-21,68,000</w:t>
            </w:r>
          </w:p>
        </w:tc>
        <w:tc>
          <w:tcPr>
            <w:tcW w:w="1417" w:type="dxa"/>
            <w:tcBorders>
              <w:top w:val="nil"/>
              <w:left w:val="nil"/>
              <w:bottom w:val="single" w:sz="4" w:space="0" w:color="auto"/>
              <w:right w:val="single" w:sz="4" w:space="0" w:color="auto"/>
            </w:tcBorders>
            <w:shd w:val="clear" w:color="auto" w:fill="auto"/>
            <w:noWrap/>
            <w:vAlign w:val="bottom"/>
            <w:hideMark/>
          </w:tcPr>
          <w:p w14:paraId="2F067C69"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-174.28%</w:t>
            </w:r>
          </w:p>
        </w:tc>
      </w:tr>
      <w:tr w:rsidR="0012686B" w:rsidRPr="00DA1BEE" w14:paraId="3070EDC4" w14:textId="77777777" w:rsidTr="0012686B">
        <w:trPr>
          <w:trHeight w:val="300"/>
        </w:trPr>
        <w:tc>
          <w:tcPr>
            <w:tcW w:w="2186" w:type="dxa"/>
            <w:tcBorders>
              <w:top w:val="nil"/>
              <w:left w:val="single" w:sz="4" w:space="0" w:color="auto"/>
              <w:bottom w:val="single" w:sz="4" w:space="0" w:color="auto"/>
              <w:right w:val="single" w:sz="4" w:space="0" w:color="auto"/>
            </w:tcBorders>
            <w:shd w:val="clear" w:color="auto" w:fill="auto"/>
            <w:noWrap/>
            <w:vAlign w:val="bottom"/>
            <w:hideMark/>
          </w:tcPr>
          <w:p w14:paraId="6C9B0F1D" w14:textId="77777777" w:rsidR="00DA1BEE" w:rsidRPr="00DA1BEE" w:rsidRDefault="00DA1BEE" w:rsidP="00DA1BEE">
            <w:pPr>
              <w:spacing w:after="0" w:line="240" w:lineRule="auto"/>
              <w:jc w:val="left"/>
              <w:rPr>
                <w:rFonts w:eastAsia="Times New Roman" w:cs="Times New Roman"/>
                <w:color w:val="000000"/>
                <w:szCs w:val="24"/>
                <w:lang w:eastAsia="en-IN"/>
              </w:rPr>
            </w:pPr>
            <w:r w:rsidRPr="00DA1BEE">
              <w:rPr>
                <w:rFonts w:eastAsia="Times New Roman" w:cs="Times New Roman"/>
                <w:color w:val="000000"/>
                <w:szCs w:val="24"/>
                <w:lang w:val="en-GB" w:eastAsia="en-IN"/>
              </w:rPr>
              <w:t>Net income</w:t>
            </w:r>
          </w:p>
        </w:tc>
        <w:tc>
          <w:tcPr>
            <w:tcW w:w="2067" w:type="dxa"/>
            <w:tcBorders>
              <w:top w:val="nil"/>
              <w:left w:val="nil"/>
              <w:bottom w:val="single" w:sz="4" w:space="0" w:color="auto"/>
              <w:right w:val="single" w:sz="4" w:space="0" w:color="auto"/>
            </w:tcBorders>
            <w:shd w:val="clear" w:color="auto" w:fill="auto"/>
            <w:noWrap/>
            <w:vAlign w:val="bottom"/>
            <w:hideMark/>
          </w:tcPr>
          <w:p w14:paraId="139FB51D"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-7,15,000</w:t>
            </w:r>
          </w:p>
        </w:tc>
        <w:tc>
          <w:tcPr>
            <w:tcW w:w="2126" w:type="dxa"/>
            <w:tcBorders>
              <w:top w:val="nil"/>
              <w:left w:val="nil"/>
              <w:bottom w:val="single" w:sz="4" w:space="0" w:color="auto"/>
              <w:right w:val="single" w:sz="4" w:space="0" w:color="auto"/>
            </w:tcBorders>
            <w:shd w:val="clear" w:color="auto" w:fill="auto"/>
            <w:noWrap/>
            <w:vAlign w:val="bottom"/>
            <w:hideMark/>
          </w:tcPr>
          <w:p w14:paraId="70F3CA76"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8,81,000</w:t>
            </w:r>
          </w:p>
        </w:tc>
        <w:tc>
          <w:tcPr>
            <w:tcW w:w="1276" w:type="dxa"/>
            <w:tcBorders>
              <w:top w:val="nil"/>
              <w:left w:val="nil"/>
              <w:bottom w:val="single" w:sz="4" w:space="0" w:color="auto"/>
              <w:right w:val="single" w:sz="4" w:space="0" w:color="auto"/>
            </w:tcBorders>
            <w:shd w:val="clear" w:color="auto" w:fill="auto"/>
            <w:noWrap/>
            <w:vAlign w:val="bottom"/>
            <w:hideMark/>
          </w:tcPr>
          <w:p w14:paraId="53AB0228"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-15,96,000</w:t>
            </w:r>
          </w:p>
        </w:tc>
        <w:tc>
          <w:tcPr>
            <w:tcW w:w="1417" w:type="dxa"/>
            <w:tcBorders>
              <w:top w:val="nil"/>
              <w:left w:val="nil"/>
              <w:bottom w:val="single" w:sz="4" w:space="0" w:color="auto"/>
              <w:right w:val="single" w:sz="4" w:space="0" w:color="auto"/>
            </w:tcBorders>
            <w:shd w:val="clear" w:color="auto" w:fill="auto"/>
            <w:noWrap/>
            <w:vAlign w:val="bottom"/>
            <w:hideMark/>
          </w:tcPr>
          <w:p w14:paraId="627EAAF2"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-181.16%</w:t>
            </w:r>
          </w:p>
        </w:tc>
      </w:tr>
    </w:tbl>
    <w:p w14:paraId="775E4899" w14:textId="77777777" w:rsidR="00DA1BEE" w:rsidRDefault="00DA1BEE"/>
    <w:tbl>
      <w:tblPr>
        <w:tblW w:w="8848" w:type="dxa"/>
        <w:tblInd w:w="-5" w:type="dxa"/>
        <w:tblLook w:val="04A0" w:firstRow="1" w:lastRow="0" w:firstColumn="1" w:lastColumn="0" w:noHBand="0" w:noVBand="1"/>
      </w:tblPr>
      <w:tblGrid>
        <w:gridCol w:w="2787"/>
        <w:gridCol w:w="2316"/>
        <w:gridCol w:w="1556"/>
        <w:gridCol w:w="1321"/>
        <w:gridCol w:w="1003"/>
      </w:tblGrid>
      <w:tr w:rsidR="00DA1BEE" w:rsidRPr="00DA1BEE" w14:paraId="497EB810" w14:textId="77777777" w:rsidTr="00575F64">
        <w:trPr>
          <w:trHeight w:val="295"/>
        </w:trPr>
        <w:tc>
          <w:tcPr>
            <w:tcW w:w="278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71411F6" w14:textId="77777777" w:rsidR="00DA1BEE" w:rsidRPr="00DA1BEE" w:rsidRDefault="00DA1BEE" w:rsidP="00DA1BEE">
            <w:pPr>
              <w:spacing w:after="0" w:line="240" w:lineRule="auto"/>
              <w:jc w:val="left"/>
              <w:rPr>
                <w:rFonts w:eastAsia="Times New Roman" w:cs="Times New Roman"/>
                <w:b/>
                <w:color w:val="000000"/>
                <w:szCs w:val="24"/>
                <w:lang w:eastAsia="en-IN"/>
              </w:rPr>
            </w:pPr>
            <w:r w:rsidRPr="00DA1BEE">
              <w:rPr>
                <w:rFonts w:eastAsia="Times New Roman" w:cs="Times New Roman"/>
                <w:b/>
                <w:color w:val="000000"/>
                <w:szCs w:val="24"/>
                <w:lang w:eastAsia="en-IN"/>
              </w:rPr>
              <w:t> </w:t>
            </w:r>
            <w:r w:rsidR="00461CEC" w:rsidRPr="00461CEC">
              <w:rPr>
                <w:rFonts w:eastAsia="Times New Roman" w:cs="Times New Roman"/>
                <w:b/>
                <w:color w:val="000000"/>
                <w:szCs w:val="24"/>
                <w:lang w:eastAsia="en-IN"/>
              </w:rPr>
              <w:t xml:space="preserve">Balance Sheet </w:t>
            </w:r>
          </w:p>
        </w:tc>
        <w:tc>
          <w:tcPr>
            <w:tcW w:w="2316" w:type="dxa"/>
            <w:tcBorders>
              <w:top w:val="single" w:sz="4" w:space="0" w:color="auto"/>
              <w:left w:val="nil"/>
              <w:bottom w:val="single" w:sz="4" w:space="0" w:color="auto"/>
              <w:right w:val="single" w:sz="4" w:space="0" w:color="auto"/>
            </w:tcBorders>
            <w:shd w:val="clear" w:color="auto" w:fill="auto"/>
            <w:noWrap/>
            <w:vAlign w:val="bottom"/>
            <w:hideMark/>
          </w:tcPr>
          <w:p w14:paraId="5801F849" w14:textId="77777777" w:rsidR="00DA1BEE" w:rsidRPr="00DA1BEE" w:rsidRDefault="00DA1BEE" w:rsidP="00DA1BEE">
            <w:pPr>
              <w:spacing w:after="0" w:line="240" w:lineRule="auto"/>
              <w:jc w:val="right"/>
              <w:rPr>
                <w:rFonts w:eastAsia="Times New Roman" w:cs="Times New Roman"/>
                <w:b/>
                <w:color w:val="000000"/>
                <w:szCs w:val="24"/>
                <w:lang w:eastAsia="en-IN"/>
              </w:rPr>
            </w:pPr>
            <w:r w:rsidRPr="00DA1BEE">
              <w:rPr>
                <w:rFonts w:eastAsia="Times New Roman" w:cs="Times New Roman"/>
                <w:b/>
                <w:color w:val="000000"/>
                <w:szCs w:val="24"/>
                <w:lang w:val="en-GB" w:eastAsia="en-IN"/>
              </w:rPr>
              <w:t>2020</w:t>
            </w:r>
          </w:p>
        </w:tc>
        <w:tc>
          <w:tcPr>
            <w:tcW w:w="1556" w:type="dxa"/>
            <w:tcBorders>
              <w:top w:val="single" w:sz="4" w:space="0" w:color="auto"/>
              <w:left w:val="nil"/>
              <w:bottom w:val="single" w:sz="4" w:space="0" w:color="auto"/>
              <w:right w:val="single" w:sz="4" w:space="0" w:color="auto"/>
            </w:tcBorders>
            <w:shd w:val="clear" w:color="auto" w:fill="auto"/>
            <w:noWrap/>
            <w:vAlign w:val="bottom"/>
            <w:hideMark/>
          </w:tcPr>
          <w:p w14:paraId="5E9EF457" w14:textId="77777777" w:rsidR="00DA1BEE" w:rsidRPr="00DA1BEE" w:rsidRDefault="00DA1BEE" w:rsidP="00DA1BEE">
            <w:pPr>
              <w:spacing w:after="0" w:line="240" w:lineRule="auto"/>
              <w:jc w:val="right"/>
              <w:rPr>
                <w:rFonts w:eastAsia="Times New Roman" w:cs="Times New Roman"/>
                <w:b/>
                <w:color w:val="000000"/>
                <w:szCs w:val="24"/>
                <w:lang w:eastAsia="en-IN"/>
              </w:rPr>
            </w:pPr>
            <w:r w:rsidRPr="00DA1BEE">
              <w:rPr>
                <w:rFonts w:eastAsia="Times New Roman" w:cs="Times New Roman"/>
                <w:b/>
                <w:color w:val="000000"/>
                <w:szCs w:val="24"/>
                <w:lang w:val="en-GB" w:eastAsia="en-IN"/>
              </w:rPr>
              <w:t>2019</w:t>
            </w:r>
          </w:p>
        </w:tc>
        <w:tc>
          <w:tcPr>
            <w:tcW w:w="1321" w:type="dxa"/>
            <w:tcBorders>
              <w:top w:val="single" w:sz="4" w:space="0" w:color="auto"/>
              <w:left w:val="nil"/>
              <w:bottom w:val="single" w:sz="4" w:space="0" w:color="auto"/>
              <w:right w:val="single" w:sz="4" w:space="0" w:color="auto"/>
            </w:tcBorders>
            <w:shd w:val="clear" w:color="auto" w:fill="auto"/>
            <w:noWrap/>
            <w:vAlign w:val="bottom"/>
            <w:hideMark/>
          </w:tcPr>
          <w:p w14:paraId="1310960F" w14:textId="77777777" w:rsidR="00DA1BEE" w:rsidRPr="00DA1BEE" w:rsidRDefault="00DA1BEE" w:rsidP="00DA1BEE">
            <w:pPr>
              <w:spacing w:after="0" w:line="240" w:lineRule="auto"/>
              <w:jc w:val="left"/>
              <w:rPr>
                <w:rFonts w:eastAsia="Times New Roman" w:cs="Times New Roman"/>
                <w:b/>
                <w:color w:val="000000"/>
                <w:szCs w:val="24"/>
                <w:lang w:eastAsia="en-IN"/>
              </w:rPr>
            </w:pPr>
            <w:r w:rsidRPr="00DA1BEE">
              <w:rPr>
                <w:rFonts w:eastAsia="Times New Roman" w:cs="Times New Roman"/>
                <w:b/>
                <w:color w:val="000000"/>
                <w:szCs w:val="24"/>
                <w:lang w:val="en-GB" w:eastAsia="en-IN"/>
              </w:rPr>
              <w:t>Change</w:t>
            </w:r>
          </w:p>
        </w:tc>
        <w:tc>
          <w:tcPr>
            <w:tcW w:w="868" w:type="dxa"/>
            <w:tcBorders>
              <w:top w:val="single" w:sz="4" w:space="0" w:color="auto"/>
              <w:left w:val="nil"/>
              <w:bottom w:val="single" w:sz="4" w:space="0" w:color="auto"/>
              <w:right w:val="single" w:sz="4" w:space="0" w:color="auto"/>
            </w:tcBorders>
            <w:shd w:val="clear" w:color="auto" w:fill="auto"/>
            <w:noWrap/>
            <w:vAlign w:val="bottom"/>
            <w:hideMark/>
          </w:tcPr>
          <w:p w14:paraId="7E5978DD" w14:textId="77777777" w:rsidR="00DA1BEE" w:rsidRPr="00DA1BEE" w:rsidRDefault="00DA1BEE" w:rsidP="00DA1BEE">
            <w:pPr>
              <w:spacing w:after="0" w:line="240" w:lineRule="auto"/>
              <w:jc w:val="left"/>
              <w:rPr>
                <w:rFonts w:eastAsia="Times New Roman" w:cs="Times New Roman"/>
                <w:b/>
                <w:color w:val="000000"/>
                <w:szCs w:val="24"/>
                <w:lang w:eastAsia="en-IN"/>
              </w:rPr>
            </w:pPr>
            <w:r w:rsidRPr="00DA1BEE">
              <w:rPr>
                <w:rFonts w:eastAsia="Times New Roman" w:cs="Times New Roman"/>
                <w:b/>
                <w:color w:val="000000"/>
                <w:szCs w:val="24"/>
                <w:lang w:val="en-GB" w:eastAsia="en-IN"/>
              </w:rPr>
              <w:t>% Change</w:t>
            </w:r>
          </w:p>
        </w:tc>
      </w:tr>
      <w:tr w:rsidR="00DA1BEE" w:rsidRPr="00DA1BEE" w14:paraId="511D2DC5" w14:textId="77777777" w:rsidTr="00575F64">
        <w:trPr>
          <w:trHeight w:val="295"/>
        </w:trPr>
        <w:tc>
          <w:tcPr>
            <w:tcW w:w="2787" w:type="dxa"/>
            <w:tcBorders>
              <w:top w:val="nil"/>
              <w:left w:val="single" w:sz="4" w:space="0" w:color="auto"/>
              <w:bottom w:val="single" w:sz="4" w:space="0" w:color="auto"/>
              <w:right w:val="single" w:sz="4" w:space="0" w:color="auto"/>
            </w:tcBorders>
            <w:shd w:val="clear" w:color="auto" w:fill="auto"/>
            <w:noWrap/>
            <w:vAlign w:val="bottom"/>
            <w:hideMark/>
          </w:tcPr>
          <w:p w14:paraId="1D68085E" w14:textId="77777777" w:rsidR="00DA1BEE" w:rsidRPr="00DA1BEE" w:rsidRDefault="00DA1BEE" w:rsidP="00DA1BEE">
            <w:pPr>
              <w:spacing w:after="0" w:line="240" w:lineRule="auto"/>
              <w:jc w:val="left"/>
              <w:rPr>
                <w:rFonts w:eastAsia="Times New Roman" w:cs="Times New Roman"/>
                <w:color w:val="000000"/>
                <w:szCs w:val="24"/>
                <w:lang w:eastAsia="en-IN"/>
              </w:rPr>
            </w:pPr>
            <w:r w:rsidRPr="00DA1BEE">
              <w:rPr>
                <w:rFonts w:eastAsia="Times New Roman" w:cs="Times New Roman"/>
                <w:color w:val="000000"/>
                <w:szCs w:val="24"/>
                <w:lang w:val="en-GB" w:eastAsia="en-IN"/>
              </w:rPr>
              <w:t>Current Asset</w:t>
            </w:r>
          </w:p>
        </w:tc>
        <w:tc>
          <w:tcPr>
            <w:tcW w:w="2316" w:type="dxa"/>
            <w:tcBorders>
              <w:top w:val="nil"/>
              <w:left w:val="nil"/>
              <w:bottom w:val="single" w:sz="4" w:space="0" w:color="auto"/>
              <w:right w:val="single" w:sz="4" w:space="0" w:color="auto"/>
            </w:tcBorders>
            <w:shd w:val="clear" w:color="auto" w:fill="auto"/>
            <w:noWrap/>
            <w:vAlign w:val="bottom"/>
            <w:hideMark/>
          </w:tcPr>
          <w:p w14:paraId="3B15CDB9"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42,02,000</w:t>
            </w:r>
          </w:p>
        </w:tc>
        <w:tc>
          <w:tcPr>
            <w:tcW w:w="1556" w:type="dxa"/>
            <w:tcBorders>
              <w:top w:val="nil"/>
              <w:left w:val="nil"/>
              <w:bottom w:val="single" w:sz="4" w:space="0" w:color="auto"/>
              <w:right w:val="single" w:sz="4" w:space="0" w:color="auto"/>
            </w:tcBorders>
            <w:shd w:val="clear" w:color="auto" w:fill="auto"/>
            <w:noWrap/>
            <w:vAlign w:val="bottom"/>
            <w:hideMark/>
          </w:tcPr>
          <w:p w14:paraId="4E82084D"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20,93,000</w:t>
            </w:r>
          </w:p>
        </w:tc>
        <w:tc>
          <w:tcPr>
            <w:tcW w:w="1321" w:type="dxa"/>
            <w:tcBorders>
              <w:top w:val="nil"/>
              <w:left w:val="nil"/>
              <w:bottom w:val="single" w:sz="4" w:space="0" w:color="auto"/>
              <w:right w:val="single" w:sz="4" w:space="0" w:color="auto"/>
            </w:tcBorders>
            <w:shd w:val="clear" w:color="auto" w:fill="auto"/>
            <w:noWrap/>
            <w:vAlign w:val="bottom"/>
            <w:hideMark/>
          </w:tcPr>
          <w:p w14:paraId="6D85407F"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21,09,000</w:t>
            </w:r>
          </w:p>
        </w:tc>
        <w:tc>
          <w:tcPr>
            <w:tcW w:w="868" w:type="dxa"/>
            <w:tcBorders>
              <w:top w:val="nil"/>
              <w:left w:val="nil"/>
              <w:bottom w:val="single" w:sz="4" w:space="0" w:color="auto"/>
              <w:right w:val="single" w:sz="4" w:space="0" w:color="auto"/>
            </w:tcBorders>
            <w:shd w:val="clear" w:color="auto" w:fill="auto"/>
            <w:noWrap/>
            <w:vAlign w:val="bottom"/>
            <w:hideMark/>
          </w:tcPr>
          <w:p w14:paraId="2C082FC4"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101%</w:t>
            </w:r>
          </w:p>
        </w:tc>
      </w:tr>
      <w:tr w:rsidR="00DA1BEE" w:rsidRPr="00DA1BEE" w14:paraId="6E7026EB" w14:textId="77777777" w:rsidTr="00575F64">
        <w:trPr>
          <w:trHeight w:val="295"/>
        </w:trPr>
        <w:tc>
          <w:tcPr>
            <w:tcW w:w="2787" w:type="dxa"/>
            <w:tcBorders>
              <w:top w:val="nil"/>
              <w:left w:val="single" w:sz="4" w:space="0" w:color="auto"/>
              <w:bottom w:val="single" w:sz="4" w:space="0" w:color="auto"/>
              <w:right w:val="single" w:sz="4" w:space="0" w:color="auto"/>
            </w:tcBorders>
            <w:shd w:val="clear" w:color="auto" w:fill="auto"/>
            <w:noWrap/>
            <w:vAlign w:val="bottom"/>
            <w:hideMark/>
          </w:tcPr>
          <w:p w14:paraId="6771C7EA" w14:textId="77777777" w:rsidR="00DA1BEE" w:rsidRPr="00DA1BEE" w:rsidRDefault="00DA1BEE" w:rsidP="00DA1BEE">
            <w:pPr>
              <w:spacing w:after="0" w:line="240" w:lineRule="auto"/>
              <w:jc w:val="left"/>
              <w:rPr>
                <w:rFonts w:eastAsia="Times New Roman" w:cs="Times New Roman"/>
                <w:color w:val="000000"/>
                <w:szCs w:val="24"/>
                <w:lang w:eastAsia="en-IN"/>
              </w:rPr>
            </w:pPr>
            <w:r w:rsidRPr="00830BB2">
              <w:rPr>
                <w:rFonts w:eastAsia="Times New Roman" w:cs="Times New Roman"/>
                <w:color w:val="000000"/>
                <w:szCs w:val="24"/>
                <w:lang w:val="en-GB" w:eastAsia="en-IN"/>
              </w:rPr>
              <w:t>Non-Current</w:t>
            </w:r>
            <w:r w:rsidRPr="00DA1BEE">
              <w:rPr>
                <w:rFonts w:eastAsia="Times New Roman" w:cs="Times New Roman"/>
                <w:color w:val="000000"/>
                <w:szCs w:val="24"/>
                <w:lang w:val="en-GB" w:eastAsia="en-IN"/>
              </w:rPr>
              <w:t xml:space="preserve"> Asset</w:t>
            </w:r>
          </w:p>
        </w:tc>
        <w:tc>
          <w:tcPr>
            <w:tcW w:w="2316" w:type="dxa"/>
            <w:tcBorders>
              <w:top w:val="nil"/>
              <w:left w:val="nil"/>
              <w:bottom w:val="single" w:sz="4" w:space="0" w:color="auto"/>
              <w:right w:val="single" w:sz="4" w:space="0" w:color="auto"/>
            </w:tcBorders>
            <w:shd w:val="clear" w:color="auto" w:fill="auto"/>
            <w:noWrap/>
            <w:vAlign w:val="bottom"/>
            <w:hideMark/>
          </w:tcPr>
          <w:p w14:paraId="130F44B0"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1,58,10,000</w:t>
            </w:r>
          </w:p>
        </w:tc>
        <w:tc>
          <w:tcPr>
            <w:tcW w:w="1556" w:type="dxa"/>
            <w:tcBorders>
              <w:top w:val="nil"/>
              <w:left w:val="nil"/>
              <w:bottom w:val="single" w:sz="4" w:space="0" w:color="auto"/>
              <w:right w:val="single" w:sz="4" w:space="0" w:color="auto"/>
            </w:tcBorders>
            <w:shd w:val="clear" w:color="auto" w:fill="auto"/>
            <w:noWrap/>
            <w:vAlign w:val="bottom"/>
            <w:hideMark/>
          </w:tcPr>
          <w:p w14:paraId="4BCABDE6"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1,25,58,000</w:t>
            </w:r>
          </w:p>
        </w:tc>
        <w:tc>
          <w:tcPr>
            <w:tcW w:w="1321" w:type="dxa"/>
            <w:tcBorders>
              <w:top w:val="nil"/>
              <w:left w:val="nil"/>
              <w:bottom w:val="single" w:sz="4" w:space="0" w:color="auto"/>
              <w:right w:val="single" w:sz="4" w:space="0" w:color="auto"/>
            </w:tcBorders>
            <w:shd w:val="clear" w:color="auto" w:fill="auto"/>
            <w:noWrap/>
            <w:vAlign w:val="bottom"/>
            <w:hideMark/>
          </w:tcPr>
          <w:p w14:paraId="3BE3EF9B"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32,52,000</w:t>
            </w:r>
          </w:p>
        </w:tc>
        <w:tc>
          <w:tcPr>
            <w:tcW w:w="868" w:type="dxa"/>
            <w:tcBorders>
              <w:top w:val="nil"/>
              <w:left w:val="nil"/>
              <w:bottom w:val="single" w:sz="4" w:space="0" w:color="auto"/>
              <w:right w:val="single" w:sz="4" w:space="0" w:color="auto"/>
            </w:tcBorders>
            <w:shd w:val="clear" w:color="auto" w:fill="auto"/>
            <w:noWrap/>
            <w:vAlign w:val="bottom"/>
            <w:hideMark/>
          </w:tcPr>
          <w:p w14:paraId="326BD8FD"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26%</w:t>
            </w:r>
          </w:p>
        </w:tc>
      </w:tr>
      <w:tr w:rsidR="00DA1BEE" w:rsidRPr="00DA1BEE" w14:paraId="641906D6" w14:textId="77777777" w:rsidTr="00575F64">
        <w:trPr>
          <w:trHeight w:val="295"/>
        </w:trPr>
        <w:tc>
          <w:tcPr>
            <w:tcW w:w="2787" w:type="dxa"/>
            <w:tcBorders>
              <w:top w:val="nil"/>
              <w:left w:val="single" w:sz="4" w:space="0" w:color="auto"/>
              <w:bottom w:val="single" w:sz="4" w:space="0" w:color="auto"/>
              <w:right w:val="single" w:sz="4" w:space="0" w:color="auto"/>
            </w:tcBorders>
            <w:shd w:val="clear" w:color="auto" w:fill="auto"/>
            <w:noWrap/>
            <w:vAlign w:val="bottom"/>
            <w:hideMark/>
          </w:tcPr>
          <w:p w14:paraId="5F91EA5F" w14:textId="77777777" w:rsidR="00DA1BEE" w:rsidRPr="00DA1BEE" w:rsidRDefault="00DA1BEE" w:rsidP="00DA1BEE">
            <w:pPr>
              <w:spacing w:after="0" w:line="240" w:lineRule="auto"/>
              <w:jc w:val="left"/>
              <w:rPr>
                <w:rFonts w:eastAsia="Times New Roman" w:cs="Times New Roman"/>
                <w:color w:val="000000"/>
                <w:szCs w:val="24"/>
                <w:lang w:eastAsia="en-IN"/>
              </w:rPr>
            </w:pPr>
            <w:r w:rsidRPr="00DA1BEE">
              <w:rPr>
                <w:rFonts w:eastAsia="Times New Roman" w:cs="Times New Roman"/>
                <w:color w:val="000000"/>
                <w:szCs w:val="24"/>
                <w:lang w:val="en-GB" w:eastAsia="en-IN"/>
              </w:rPr>
              <w:t>Total Asset</w:t>
            </w:r>
          </w:p>
        </w:tc>
        <w:tc>
          <w:tcPr>
            <w:tcW w:w="2316" w:type="dxa"/>
            <w:tcBorders>
              <w:top w:val="nil"/>
              <w:left w:val="nil"/>
              <w:bottom w:val="single" w:sz="4" w:space="0" w:color="auto"/>
              <w:right w:val="single" w:sz="4" w:space="0" w:color="auto"/>
            </w:tcBorders>
            <w:shd w:val="clear" w:color="auto" w:fill="auto"/>
            <w:noWrap/>
            <w:vAlign w:val="bottom"/>
            <w:hideMark/>
          </w:tcPr>
          <w:p w14:paraId="7BD93904"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1,67,55,000</w:t>
            </w:r>
          </w:p>
        </w:tc>
        <w:tc>
          <w:tcPr>
            <w:tcW w:w="1556" w:type="dxa"/>
            <w:tcBorders>
              <w:top w:val="nil"/>
              <w:left w:val="nil"/>
              <w:bottom w:val="single" w:sz="4" w:space="0" w:color="auto"/>
              <w:right w:val="single" w:sz="4" w:space="0" w:color="auto"/>
            </w:tcBorders>
            <w:shd w:val="clear" w:color="auto" w:fill="auto"/>
            <w:noWrap/>
            <w:vAlign w:val="bottom"/>
            <w:hideMark/>
          </w:tcPr>
          <w:p w14:paraId="576D4DFB"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1,49,57,000</w:t>
            </w:r>
          </w:p>
        </w:tc>
        <w:tc>
          <w:tcPr>
            <w:tcW w:w="1321" w:type="dxa"/>
            <w:tcBorders>
              <w:top w:val="nil"/>
              <w:left w:val="nil"/>
              <w:bottom w:val="single" w:sz="4" w:space="0" w:color="auto"/>
              <w:right w:val="single" w:sz="4" w:space="0" w:color="auto"/>
            </w:tcBorders>
            <w:shd w:val="clear" w:color="auto" w:fill="auto"/>
            <w:noWrap/>
            <w:vAlign w:val="bottom"/>
            <w:hideMark/>
          </w:tcPr>
          <w:p w14:paraId="17557605"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17,98,000</w:t>
            </w:r>
          </w:p>
        </w:tc>
        <w:tc>
          <w:tcPr>
            <w:tcW w:w="868" w:type="dxa"/>
            <w:tcBorders>
              <w:top w:val="nil"/>
              <w:left w:val="nil"/>
              <w:bottom w:val="single" w:sz="4" w:space="0" w:color="auto"/>
              <w:right w:val="single" w:sz="4" w:space="0" w:color="auto"/>
            </w:tcBorders>
            <w:shd w:val="clear" w:color="auto" w:fill="auto"/>
            <w:noWrap/>
            <w:vAlign w:val="bottom"/>
            <w:hideMark/>
          </w:tcPr>
          <w:p w14:paraId="449D5D81"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12%</w:t>
            </w:r>
          </w:p>
        </w:tc>
      </w:tr>
      <w:tr w:rsidR="00DA1BEE" w:rsidRPr="00DA1BEE" w14:paraId="7A6BF7E4" w14:textId="77777777" w:rsidTr="00575F64">
        <w:trPr>
          <w:trHeight w:val="295"/>
        </w:trPr>
        <w:tc>
          <w:tcPr>
            <w:tcW w:w="2787" w:type="dxa"/>
            <w:tcBorders>
              <w:top w:val="nil"/>
              <w:left w:val="single" w:sz="4" w:space="0" w:color="auto"/>
              <w:bottom w:val="single" w:sz="4" w:space="0" w:color="auto"/>
              <w:right w:val="single" w:sz="4" w:space="0" w:color="auto"/>
            </w:tcBorders>
            <w:shd w:val="clear" w:color="auto" w:fill="auto"/>
            <w:noWrap/>
            <w:vAlign w:val="bottom"/>
            <w:hideMark/>
          </w:tcPr>
          <w:p w14:paraId="2F282BF1" w14:textId="77777777" w:rsidR="00DA1BEE" w:rsidRPr="00DA1BEE" w:rsidRDefault="00DA1BEE" w:rsidP="00DA1BEE">
            <w:pPr>
              <w:spacing w:after="0" w:line="240" w:lineRule="auto"/>
              <w:jc w:val="left"/>
              <w:rPr>
                <w:rFonts w:eastAsia="Times New Roman" w:cs="Times New Roman"/>
                <w:color w:val="000000"/>
                <w:szCs w:val="24"/>
                <w:lang w:eastAsia="en-IN"/>
              </w:rPr>
            </w:pPr>
            <w:r w:rsidRPr="00DA1BEE">
              <w:rPr>
                <w:rFonts w:eastAsia="Times New Roman" w:cs="Times New Roman"/>
                <w:color w:val="000000"/>
                <w:szCs w:val="24"/>
                <w:lang w:val="en-GB" w:eastAsia="en-IN"/>
              </w:rPr>
              <w:t>Current Liabilities</w:t>
            </w:r>
          </w:p>
        </w:tc>
        <w:tc>
          <w:tcPr>
            <w:tcW w:w="2316" w:type="dxa"/>
            <w:tcBorders>
              <w:top w:val="nil"/>
              <w:left w:val="nil"/>
              <w:bottom w:val="single" w:sz="4" w:space="0" w:color="auto"/>
              <w:right w:val="single" w:sz="4" w:space="0" w:color="auto"/>
            </w:tcBorders>
            <w:shd w:val="clear" w:color="auto" w:fill="auto"/>
            <w:noWrap/>
            <w:vAlign w:val="bottom"/>
            <w:hideMark/>
          </w:tcPr>
          <w:p w14:paraId="332A7B1E"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24,31,000</w:t>
            </w:r>
          </w:p>
        </w:tc>
        <w:tc>
          <w:tcPr>
            <w:tcW w:w="1556" w:type="dxa"/>
            <w:tcBorders>
              <w:top w:val="nil"/>
              <w:left w:val="nil"/>
              <w:bottom w:val="single" w:sz="4" w:space="0" w:color="auto"/>
              <w:right w:val="single" w:sz="4" w:space="0" w:color="auto"/>
            </w:tcBorders>
            <w:shd w:val="clear" w:color="auto" w:fill="auto"/>
            <w:noWrap/>
            <w:vAlign w:val="bottom"/>
            <w:hideMark/>
          </w:tcPr>
          <w:p w14:paraId="7FC1FB12"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28,71,000</w:t>
            </w:r>
          </w:p>
        </w:tc>
        <w:tc>
          <w:tcPr>
            <w:tcW w:w="1321" w:type="dxa"/>
            <w:tcBorders>
              <w:top w:val="nil"/>
              <w:left w:val="nil"/>
              <w:bottom w:val="single" w:sz="4" w:space="0" w:color="auto"/>
              <w:right w:val="single" w:sz="4" w:space="0" w:color="auto"/>
            </w:tcBorders>
            <w:shd w:val="clear" w:color="auto" w:fill="auto"/>
            <w:noWrap/>
            <w:vAlign w:val="bottom"/>
            <w:hideMark/>
          </w:tcPr>
          <w:p w14:paraId="4FC9E530"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-4,40,000</w:t>
            </w:r>
          </w:p>
        </w:tc>
        <w:tc>
          <w:tcPr>
            <w:tcW w:w="868" w:type="dxa"/>
            <w:tcBorders>
              <w:top w:val="nil"/>
              <w:left w:val="nil"/>
              <w:bottom w:val="single" w:sz="4" w:space="0" w:color="auto"/>
              <w:right w:val="single" w:sz="4" w:space="0" w:color="auto"/>
            </w:tcBorders>
            <w:shd w:val="clear" w:color="auto" w:fill="auto"/>
            <w:noWrap/>
            <w:vAlign w:val="bottom"/>
            <w:hideMark/>
          </w:tcPr>
          <w:p w14:paraId="0F6A41D3"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-15%</w:t>
            </w:r>
          </w:p>
        </w:tc>
      </w:tr>
      <w:tr w:rsidR="00DA1BEE" w:rsidRPr="00DA1BEE" w14:paraId="21E9DBEA" w14:textId="77777777" w:rsidTr="00575F64">
        <w:trPr>
          <w:trHeight w:val="295"/>
        </w:trPr>
        <w:tc>
          <w:tcPr>
            <w:tcW w:w="2787" w:type="dxa"/>
            <w:tcBorders>
              <w:top w:val="nil"/>
              <w:left w:val="single" w:sz="4" w:space="0" w:color="auto"/>
              <w:bottom w:val="single" w:sz="4" w:space="0" w:color="auto"/>
              <w:right w:val="single" w:sz="4" w:space="0" w:color="auto"/>
            </w:tcBorders>
            <w:shd w:val="clear" w:color="auto" w:fill="auto"/>
            <w:noWrap/>
            <w:vAlign w:val="bottom"/>
            <w:hideMark/>
          </w:tcPr>
          <w:p w14:paraId="1B11E788" w14:textId="77777777" w:rsidR="00DA1BEE" w:rsidRPr="00DA1BEE" w:rsidRDefault="00DA1BEE" w:rsidP="00DA1BEE">
            <w:pPr>
              <w:spacing w:after="0" w:line="240" w:lineRule="auto"/>
              <w:jc w:val="left"/>
              <w:rPr>
                <w:rFonts w:eastAsia="Times New Roman" w:cs="Times New Roman"/>
                <w:color w:val="000000"/>
                <w:szCs w:val="24"/>
                <w:lang w:eastAsia="en-IN"/>
              </w:rPr>
            </w:pPr>
            <w:r w:rsidRPr="00830BB2">
              <w:rPr>
                <w:rFonts w:eastAsia="Times New Roman" w:cs="Times New Roman"/>
                <w:color w:val="000000"/>
                <w:szCs w:val="24"/>
                <w:lang w:val="en-GB" w:eastAsia="en-IN"/>
              </w:rPr>
              <w:t>Non-current</w:t>
            </w:r>
            <w:r w:rsidRPr="00DA1BEE">
              <w:rPr>
                <w:rFonts w:eastAsia="Times New Roman" w:cs="Times New Roman"/>
                <w:color w:val="000000"/>
                <w:szCs w:val="24"/>
                <w:lang w:val="en-GB" w:eastAsia="en-IN"/>
              </w:rPr>
              <w:t xml:space="preserve"> Liabilities</w:t>
            </w:r>
          </w:p>
        </w:tc>
        <w:tc>
          <w:tcPr>
            <w:tcW w:w="2316" w:type="dxa"/>
            <w:tcBorders>
              <w:top w:val="nil"/>
              <w:left w:val="nil"/>
              <w:bottom w:val="single" w:sz="4" w:space="0" w:color="auto"/>
              <w:right w:val="single" w:sz="4" w:space="0" w:color="auto"/>
            </w:tcBorders>
            <w:shd w:val="clear" w:color="auto" w:fill="auto"/>
            <w:noWrap/>
            <w:vAlign w:val="bottom"/>
            <w:hideMark/>
          </w:tcPr>
          <w:p w14:paraId="18EC1012"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1,58,10,000</w:t>
            </w:r>
          </w:p>
        </w:tc>
        <w:tc>
          <w:tcPr>
            <w:tcW w:w="1556" w:type="dxa"/>
            <w:tcBorders>
              <w:top w:val="nil"/>
              <w:left w:val="nil"/>
              <w:bottom w:val="single" w:sz="4" w:space="0" w:color="auto"/>
              <w:right w:val="single" w:sz="4" w:space="0" w:color="auto"/>
            </w:tcBorders>
            <w:shd w:val="clear" w:color="auto" w:fill="auto"/>
            <w:noWrap/>
            <w:vAlign w:val="bottom"/>
            <w:hideMark/>
          </w:tcPr>
          <w:p w14:paraId="333136D7"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1,25,58,000</w:t>
            </w:r>
          </w:p>
        </w:tc>
        <w:tc>
          <w:tcPr>
            <w:tcW w:w="1321" w:type="dxa"/>
            <w:tcBorders>
              <w:top w:val="nil"/>
              <w:left w:val="nil"/>
              <w:bottom w:val="single" w:sz="4" w:space="0" w:color="auto"/>
              <w:right w:val="single" w:sz="4" w:space="0" w:color="auto"/>
            </w:tcBorders>
            <w:shd w:val="clear" w:color="auto" w:fill="auto"/>
            <w:noWrap/>
            <w:vAlign w:val="bottom"/>
            <w:hideMark/>
          </w:tcPr>
          <w:p w14:paraId="0211A7B5"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32,52,000</w:t>
            </w:r>
          </w:p>
        </w:tc>
        <w:tc>
          <w:tcPr>
            <w:tcW w:w="868" w:type="dxa"/>
            <w:tcBorders>
              <w:top w:val="nil"/>
              <w:left w:val="nil"/>
              <w:bottom w:val="single" w:sz="4" w:space="0" w:color="auto"/>
              <w:right w:val="single" w:sz="4" w:space="0" w:color="auto"/>
            </w:tcBorders>
            <w:shd w:val="clear" w:color="auto" w:fill="auto"/>
            <w:noWrap/>
            <w:vAlign w:val="bottom"/>
            <w:hideMark/>
          </w:tcPr>
          <w:p w14:paraId="7A5B76CF"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26%</w:t>
            </w:r>
          </w:p>
        </w:tc>
      </w:tr>
      <w:tr w:rsidR="00DA1BEE" w:rsidRPr="00DA1BEE" w14:paraId="7B7DD9E0" w14:textId="77777777" w:rsidTr="00575F64">
        <w:trPr>
          <w:trHeight w:val="295"/>
        </w:trPr>
        <w:tc>
          <w:tcPr>
            <w:tcW w:w="2787" w:type="dxa"/>
            <w:tcBorders>
              <w:top w:val="nil"/>
              <w:left w:val="single" w:sz="4" w:space="0" w:color="auto"/>
              <w:bottom w:val="single" w:sz="4" w:space="0" w:color="auto"/>
              <w:right w:val="single" w:sz="4" w:space="0" w:color="auto"/>
            </w:tcBorders>
            <w:shd w:val="clear" w:color="auto" w:fill="auto"/>
            <w:noWrap/>
            <w:vAlign w:val="bottom"/>
            <w:hideMark/>
          </w:tcPr>
          <w:p w14:paraId="23A65C07" w14:textId="77777777" w:rsidR="00DA1BEE" w:rsidRPr="00DA1BEE" w:rsidRDefault="00DA1BEE" w:rsidP="00DA1BEE">
            <w:pPr>
              <w:spacing w:after="0" w:line="240" w:lineRule="auto"/>
              <w:jc w:val="left"/>
              <w:rPr>
                <w:rFonts w:eastAsia="Times New Roman" w:cs="Times New Roman"/>
                <w:color w:val="000000"/>
                <w:szCs w:val="24"/>
                <w:lang w:eastAsia="en-IN"/>
              </w:rPr>
            </w:pPr>
            <w:r w:rsidRPr="00DA1BEE">
              <w:rPr>
                <w:rFonts w:eastAsia="Times New Roman" w:cs="Times New Roman"/>
                <w:color w:val="000000"/>
                <w:szCs w:val="24"/>
                <w:lang w:val="en-GB" w:eastAsia="en-IN"/>
              </w:rPr>
              <w:t>Total Liabilities</w:t>
            </w:r>
          </w:p>
        </w:tc>
        <w:tc>
          <w:tcPr>
            <w:tcW w:w="2316" w:type="dxa"/>
            <w:tcBorders>
              <w:top w:val="nil"/>
              <w:left w:val="nil"/>
              <w:bottom w:val="single" w:sz="4" w:space="0" w:color="auto"/>
              <w:right w:val="single" w:sz="4" w:space="0" w:color="auto"/>
            </w:tcBorders>
            <w:shd w:val="clear" w:color="auto" w:fill="auto"/>
            <w:noWrap/>
            <w:vAlign w:val="bottom"/>
            <w:hideMark/>
          </w:tcPr>
          <w:p w14:paraId="40253EFA"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1,82,41,000</w:t>
            </w:r>
          </w:p>
        </w:tc>
        <w:tc>
          <w:tcPr>
            <w:tcW w:w="1556" w:type="dxa"/>
            <w:tcBorders>
              <w:top w:val="nil"/>
              <w:left w:val="nil"/>
              <w:bottom w:val="single" w:sz="4" w:space="0" w:color="auto"/>
              <w:right w:val="single" w:sz="4" w:space="0" w:color="auto"/>
            </w:tcBorders>
            <w:shd w:val="clear" w:color="auto" w:fill="auto"/>
            <w:noWrap/>
            <w:vAlign w:val="bottom"/>
            <w:hideMark/>
          </w:tcPr>
          <w:p w14:paraId="6FEDCCC4"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1,54,29,000</w:t>
            </w:r>
          </w:p>
        </w:tc>
        <w:tc>
          <w:tcPr>
            <w:tcW w:w="1321" w:type="dxa"/>
            <w:tcBorders>
              <w:top w:val="nil"/>
              <w:left w:val="nil"/>
              <w:bottom w:val="single" w:sz="4" w:space="0" w:color="auto"/>
              <w:right w:val="single" w:sz="4" w:space="0" w:color="auto"/>
            </w:tcBorders>
            <w:shd w:val="clear" w:color="auto" w:fill="auto"/>
            <w:noWrap/>
            <w:vAlign w:val="bottom"/>
            <w:hideMark/>
          </w:tcPr>
          <w:p w14:paraId="10D57424"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28,12,000</w:t>
            </w:r>
          </w:p>
        </w:tc>
        <w:tc>
          <w:tcPr>
            <w:tcW w:w="868" w:type="dxa"/>
            <w:tcBorders>
              <w:top w:val="nil"/>
              <w:left w:val="nil"/>
              <w:bottom w:val="single" w:sz="4" w:space="0" w:color="auto"/>
              <w:right w:val="single" w:sz="4" w:space="0" w:color="auto"/>
            </w:tcBorders>
            <w:shd w:val="clear" w:color="auto" w:fill="auto"/>
            <w:noWrap/>
            <w:vAlign w:val="bottom"/>
            <w:hideMark/>
          </w:tcPr>
          <w:p w14:paraId="67D54325"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18%</w:t>
            </w:r>
          </w:p>
        </w:tc>
      </w:tr>
      <w:tr w:rsidR="00DA1BEE" w:rsidRPr="00DA1BEE" w14:paraId="05223FA9" w14:textId="77777777" w:rsidTr="00575F64">
        <w:trPr>
          <w:trHeight w:val="295"/>
        </w:trPr>
        <w:tc>
          <w:tcPr>
            <w:tcW w:w="2787" w:type="dxa"/>
            <w:tcBorders>
              <w:top w:val="nil"/>
              <w:left w:val="single" w:sz="4" w:space="0" w:color="auto"/>
              <w:bottom w:val="single" w:sz="4" w:space="0" w:color="auto"/>
              <w:right w:val="single" w:sz="4" w:space="0" w:color="auto"/>
            </w:tcBorders>
            <w:shd w:val="clear" w:color="auto" w:fill="auto"/>
            <w:noWrap/>
            <w:vAlign w:val="bottom"/>
            <w:hideMark/>
          </w:tcPr>
          <w:p w14:paraId="261C54BF" w14:textId="77777777" w:rsidR="00DA1BEE" w:rsidRPr="00DA1BEE" w:rsidRDefault="00DA1BEE" w:rsidP="00DA1BEE">
            <w:pPr>
              <w:spacing w:after="0" w:line="240" w:lineRule="auto"/>
              <w:jc w:val="left"/>
              <w:rPr>
                <w:rFonts w:eastAsia="Times New Roman" w:cs="Times New Roman"/>
                <w:color w:val="000000"/>
                <w:szCs w:val="24"/>
                <w:lang w:eastAsia="en-IN"/>
              </w:rPr>
            </w:pPr>
            <w:r w:rsidRPr="00DA1BEE">
              <w:rPr>
                <w:rFonts w:eastAsia="Times New Roman" w:cs="Times New Roman"/>
                <w:color w:val="000000"/>
                <w:szCs w:val="24"/>
                <w:lang w:val="en-GB" w:eastAsia="en-IN"/>
              </w:rPr>
              <w:t>Common Stock</w:t>
            </w:r>
          </w:p>
        </w:tc>
        <w:tc>
          <w:tcPr>
            <w:tcW w:w="2316" w:type="dxa"/>
            <w:tcBorders>
              <w:top w:val="nil"/>
              <w:left w:val="nil"/>
              <w:bottom w:val="single" w:sz="4" w:space="0" w:color="auto"/>
              <w:right w:val="single" w:sz="4" w:space="0" w:color="auto"/>
            </w:tcBorders>
            <w:shd w:val="clear" w:color="auto" w:fill="auto"/>
            <w:noWrap/>
            <w:vAlign w:val="bottom"/>
            <w:hideMark/>
          </w:tcPr>
          <w:p w14:paraId="27EBEC4B"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3,000</w:t>
            </w:r>
          </w:p>
        </w:tc>
        <w:tc>
          <w:tcPr>
            <w:tcW w:w="1556" w:type="dxa"/>
            <w:tcBorders>
              <w:top w:val="nil"/>
              <w:left w:val="nil"/>
              <w:bottom w:val="single" w:sz="4" w:space="0" w:color="auto"/>
              <w:right w:val="single" w:sz="4" w:space="0" w:color="auto"/>
            </w:tcBorders>
            <w:shd w:val="clear" w:color="auto" w:fill="auto"/>
            <w:noWrap/>
            <w:vAlign w:val="bottom"/>
            <w:hideMark/>
          </w:tcPr>
          <w:p w14:paraId="20D4C8F9"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3,000</w:t>
            </w:r>
          </w:p>
        </w:tc>
        <w:tc>
          <w:tcPr>
            <w:tcW w:w="1321" w:type="dxa"/>
            <w:tcBorders>
              <w:top w:val="nil"/>
              <w:left w:val="nil"/>
              <w:bottom w:val="single" w:sz="4" w:space="0" w:color="auto"/>
              <w:right w:val="single" w:sz="4" w:space="0" w:color="auto"/>
            </w:tcBorders>
            <w:shd w:val="clear" w:color="auto" w:fill="auto"/>
            <w:noWrap/>
            <w:vAlign w:val="bottom"/>
            <w:hideMark/>
          </w:tcPr>
          <w:p w14:paraId="1E2EB620"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0</w:t>
            </w:r>
          </w:p>
        </w:tc>
        <w:tc>
          <w:tcPr>
            <w:tcW w:w="868" w:type="dxa"/>
            <w:tcBorders>
              <w:top w:val="nil"/>
              <w:left w:val="nil"/>
              <w:bottom w:val="single" w:sz="4" w:space="0" w:color="auto"/>
              <w:right w:val="single" w:sz="4" w:space="0" w:color="auto"/>
            </w:tcBorders>
            <w:shd w:val="clear" w:color="auto" w:fill="auto"/>
            <w:noWrap/>
            <w:vAlign w:val="bottom"/>
            <w:hideMark/>
          </w:tcPr>
          <w:p w14:paraId="010DAFE9"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0%</w:t>
            </w:r>
          </w:p>
        </w:tc>
      </w:tr>
      <w:tr w:rsidR="00DA1BEE" w:rsidRPr="00DA1BEE" w14:paraId="2DFB814C" w14:textId="77777777" w:rsidTr="00575F64">
        <w:trPr>
          <w:trHeight w:val="295"/>
        </w:trPr>
        <w:tc>
          <w:tcPr>
            <w:tcW w:w="2787" w:type="dxa"/>
            <w:tcBorders>
              <w:top w:val="nil"/>
              <w:left w:val="single" w:sz="4" w:space="0" w:color="auto"/>
              <w:bottom w:val="single" w:sz="4" w:space="0" w:color="auto"/>
              <w:right w:val="single" w:sz="4" w:space="0" w:color="auto"/>
            </w:tcBorders>
            <w:shd w:val="clear" w:color="auto" w:fill="auto"/>
            <w:noWrap/>
            <w:vAlign w:val="bottom"/>
            <w:hideMark/>
          </w:tcPr>
          <w:p w14:paraId="0DF0EAD9" w14:textId="77777777" w:rsidR="00DA1BEE" w:rsidRPr="00DA1BEE" w:rsidRDefault="00DA1BEE" w:rsidP="00DA1BEE">
            <w:pPr>
              <w:spacing w:after="0" w:line="240" w:lineRule="auto"/>
              <w:jc w:val="left"/>
              <w:rPr>
                <w:rFonts w:eastAsia="Times New Roman" w:cs="Times New Roman"/>
                <w:color w:val="000000"/>
                <w:szCs w:val="24"/>
                <w:lang w:eastAsia="en-IN"/>
              </w:rPr>
            </w:pPr>
            <w:r w:rsidRPr="00DA1BEE">
              <w:rPr>
                <w:rFonts w:eastAsia="Times New Roman" w:cs="Times New Roman"/>
                <w:color w:val="000000"/>
                <w:szCs w:val="24"/>
                <w:lang w:val="en-GB" w:eastAsia="en-IN"/>
              </w:rPr>
              <w:t>Retained Earnings</w:t>
            </w:r>
          </w:p>
        </w:tc>
        <w:tc>
          <w:tcPr>
            <w:tcW w:w="2316" w:type="dxa"/>
            <w:tcBorders>
              <w:top w:val="nil"/>
              <w:left w:val="nil"/>
              <w:bottom w:val="single" w:sz="4" w:space="0" w:color="auto"/>
              <w:right w:val="single" w:sz="4" w:space="0" w:color="auto"/>
            </w:tcBorders>
            <w:shd w:val="clear" w:color="auto" w:fill="auto"/>
            <w:noWrap/>
            <w:vAlign w:val="bottom"/>
            <w:hideMark/>
          </w:tcPr>
          <w:p w14:paraId="6E6E4B7F"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-67,32,000</w:t>
            </w:r>
          </w:p>
        </w:tc>
        <w:tc>
          <w:tcPr>
            <w:tcW w:w="1556" w:type="dxa"/>
            <w:tcBorders>
              <w:top w:val="nil"/>
              <w:left w:val="nil"/>
              <w:bottom w:val="single" w:sz="4" w:space="0" w:color="auto"/>
              <w:right w:val="single" w:sz="4" w:space="0" w:color="auto"/>
            </w:tcBorders>
            <w:shd w:val="clear" w:color="auto" w:fill="auto"/>
            <w:noWrap/>
            <w:vAlign w:val="bottom"/>
            <w:hideMark/>
          </w:tcPr>
          <w:p w14:paraId="18533EB5"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-59,65,000</w:t>
            </w:r>
          </w:p>
        </w:tc>
        <w:tc>
          <w:tcPr>
            <w:tcW w:w="1321" w:type="dxa"/>
            <w:tcBorders>
              <w:top w:val="nil"/>
              <w:left w:val="nil"/>
              <w:bottom w:val="single" w:sz="4" w:space="0" w:color="auto"/>
              <w:right w:val="single" w:sz="4" w:space="0" w:color="auto"/>
            </w:tcBorders>
            <w:shd w:val="clear" w:color="auto" w:fill="auto"/>
            <w:noWrap/>
            <w:vAlign w:val="bottom"/>
            <w:hideMark/>
          </w:tcPr>
          <w:p w14:paraId="4C995D46"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-7,67,000</w:t>
            </w:r>
          </w:p>
        </w:tc>
        <w:tc>
          <w:tcPr>
            <w:tcW w:w="868" w:type="dxa"/>
            <w:tcBorders>
              <w:top w:val="nil"/>
              <w:left w:val="nil"/>
              <w:bottom w:val="single" w:sz="4" w:space="0" w:color="auto"/>
              <w:right w:val="single" w:sz="4" w:space="0" w:color="auto"/>
            </w:tcBorders>
            <w:shd w:val="clear" w:color="auto" w:fill="auto"/>
            <w:noWrap/>
            <w:vAlign w:val="bottom"/>
            <w:hideMark/>
          </w:tcPr>
          <w:p w14:paraId="329C371F"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13%</w:t>
            </w:r>
          </w:p>
        </w:tc>
      </w:tr>
      <w:tr w:rsidR="00DA1BEE" w:rsidRPr="00DA1BEE" w14:paraId="4BE1239D" w14:textId="77777777" w:rsidTr="00575F64">
        <w:trPr>
          <w:trHeight w:val="295"/>
        </w:trPr>
        <w:tc>
          <w:tcPr>
            <w:tcW w:w="2787" w:type="dxa"/>
            <w:tcBorders>
              <w:top w:val="nil"/>
              <w:left w:val="single" w:sz="4" w:space="0" w:color="auto"/>
              <w:bottom w:val="single" w:sz="4" w:space="0" w:color="auto"/>
              <w:right w:val="single" w:sz="4" w:space="0" w:color="auto"/>
            </w:tcBorders>
            <w:shd w:val="clear" w:color="auto" w:fill="auto"/>
            <w:noWrap/>
            <w:vAlign w:val="bottom"/>
            <w:hideMark/>
          </w:tcPr>
          <w:p w14:paraId="249BFCB4" w14:textId="77777777" w:rsidR="00DA1BEE" w:rsidRPr="00DA1BEE" w:rsidRDefault="00DA1BEE" w:rsidP="00DA1BEE">
            <w:pPr>
              <w:spacing w:after="0" w:line="240" w:lineRule="auto"/>
              <w:jc w:val="left"/>
              <w:rPr>
                <w:rFonts w:eastAsia="Times New Roman" w:cs="Times New Roman"/>
                <w:color w:val="000000"/>
                <w:szCs w:val="24"/>
                <w:lang w:eastAsia="en-IN"/>
              </w:rPr>
            </w:pPr>
            <w:r w:rsidRPr="00DA1BEE">
              <w:rPr>
                <w:rFonts w:eastAsia="Times New Roman" w:cs="Times New Roman"/>
                <w:color w:val="000000"/>
                <w:szCs w:val="24"/>
                <w:lang w:val="en-GB" w:eastAsia="en-IN"/>
              </w:rPr>
              <w:t>Total Stockholders' Equity</w:t>
            </w:r>
          </w:p>
        </w:tc>
        <w:tc>
          <w:tcPr>
            <w:tcW w:w="2316" w:type="dxa"/>
            <w:tcBorders>
              <w:top w:val="nil"/>
              <w:left w:val="nil"/>
              <w:bottom w:val="single" w:sz="4" w:space="0" w:color="auto"/>
              <w:right w:val="single" w:sz="4" w:space="0" w:color="auto"/>
            </w:tcBorders>
            <w:shd w:val="clear" w:color="auto" w:fill="auto"/>
            <w:noWrap/>
            <w:vAlign w:val="bottom"/>
            <w:hideMark/>
          </w:tcPr>
          <w:p w14:paraId="0F3A52CB"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-14,90,000</w:t>
            </w:r>
          </w:p>
        </w:tc>
        <w:tc>
          <w:tcPr>
            <w:tcW w:w="1556" w:type="dxa"/>
            <w:tcBorders>
              <w:top w:val="nil"/>
              <w:left w:val="nil"/>
              <w:bottom w:val="single" w:sz="4" w:space="0" w:color="auto"/>
              <w:right w:val="single" w:sz="4" w:space="0" w:color="auto"/>
            </w:tcBorders>
            <w:shd w:val="clear" w:color="auto" w:fill="auto"/>
            <w:noWrap/>
            <w:vAlign w:val="bottom"/>
            <w:hideMark/>
          </w:tcPr>
          <w:p w14:paraId="4B870193"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-4,82,000</w:t>
            </w:r>
          </w:p>
        </w:tc>
        <w:tc>
          <w:tcPr>
            <w:tcW w:w="1321" w:type="dxa"/>
            <w:tcBorders>
              <w:top w:val="nil"/>
              <w:left w:val="nil"/>
              <w:bottom w:val="single" w:sz="4" w:space="0" w:color="auto"/>
              <w:right w:val="single" w:sz="4" w:space="0" w:color="auto"/>
            </w:tcBorders>
            <w:shd w:val="clear" w:color="auto" w:fill="auto"/>
            <w:noWrap/>
            <w:vAlign w:val="bottom"/>
            <w:hideMark/>
          </w:tcPr>
          <w:p w14:paraId="1554375A"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-10,08,000</w:t>
            </w:r>
          </w:p>
        </w:tc>
        <w:tc>
          <w:tcPr>
            <w:tcW w:w="868" w:type="dxa"/>
            <w:tcBorders>
              <w:top w:val="nil"/>
              <w:left w:val="nil"/>
              <w:bottom w:val="single" w:sz="4" w:space="0" w:color="auto"/>
              <w:right w:val="single" w:sz="4" w:space="0" w:color="auto"/>
            </w:tcBorders>
            <w:shd w:val="clear" w:color="auto" w:fill="auto"/>
            <w:noWrap/>
            <w:vAlign w:val="bottom"/>
            <w:hideMark/>
          </w:tcPr>
          <w:p w14:paraId="5ADC2E18"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209%</w:t>
            </w:r>
          </w:p>
        </w:tc>
      </w:tr>
      <w:tr w:rsidR="00DA1BEE" w:rsidRPr="00DA1BEE" w14:paraId="50B5AF7B" w14:textId="77777777" w:rsidTr="00575F64">
        <w:trPr>
          <w:trHeight w:val="774"/>
        </w:trPr>
        <w:tc>
          <w:tcPr>
            <w:tcW w:w="2787" w:type="dxa"/>
            <w:tcBorders>
              <w:top w:val="nil"/>
              <w:left w:val="single" w:sz="4" w:space="0" w:color="auto"/>
              <w:bottom w:val="single" w:sz="4" w:space="0" w:color="auto"/>
              <w:right w:val="single" w:sz="4" w:space="0" w:color="auto"/>
            </w:tcBorders>
            <w:shd w:val="clear" w:color="auto" w:fill="auto"/>
            <w:noWrap/>
            <w:vAlign w:val="bottom"/>
            <w:hideMark/>
          </w:tcPr>
          <w:p w14:paraId="17201029" w14:textId="77777777" w:rsidR="00DA1BEE" w:rsidRPr="00DA1BEE" w:rsidRDefault="00DA1BEE" w:rsidP="00DA1BEE">
            <w:pPr>
              <w:spacing w:after="0" w:line="240" w:lineRule="auto"/>
              <w:jc w:val="left"/>
              <w:rPr>
                <w:rFonts w:eastAsia="Times New Roman" w:cs="Times New Roman"/>
                <w:color w:val="000000"/>
                <w:szCs w:val="24"/>
                <w:lang w:eastAsia="en-IN"/>
              </w:rPr>
            </w:pPr>
            <w:r w:rsidRPr="00DA1BEE">
              <w:rPr>
                <w:rFonts w:eastAsia="Times New Roman" w:cs="Times New Roman"/>
                <w:color w:val="000000"/>
                <w:szCs w:val="24"/>
                <w:lang w:val="en-GB" w:eastAsia="en-IN"/>
              </w:rPr>
              <w:t>Total Liabilities and Stockholder</w:t>
            </w:r>
          </w:p>
        </w:tc>
        <w:tc>
          <w:tcPr>
            <w:tcW w:w="2316" w:type="dxa"/>
            <w:tcBorders>
              <w:top w:val="nil"/>
              <w:left w:val="nil"/>
              <w:bottom w:val="single" w:sz="4" w:space="0" w:color="auto"/>
              <w:right w:val="single" w:sz="4" w:space="0" w:color="auto"/>
            </w:tcBorders>
            <w:shd w:val="clear" w:color="auto" w:fill="auto"/>
            <w:noWrap/>
            <w:vAlign w:val="bottom"/>
            <w:hideMark/>
          </w:tcPr>
          <w:p w14:paraId="4418AB5E"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1,67,55,000</w:t>
            </w:r>
          </w:p>
        </w:tc>
        <w:tc>
          <w:tcPr>
            <w:tcW w:w="1556" w:type="dxa"/>
            <w:tcBorders>
              <w:top w:val="nil"/>
              <w:left w:val="nil"/>
              <w:bottom w:val="single" w:sz="4" w:space="0" w:color="auto"/>
              <w:right w:val="single" w:sz="4" w:space="0" w:color="auto"/>
            </w:tcBorders>
            <w:shd w:val="clear" w:color="auto" w:fill="auto"/>
            <w:noWrap/>
            <w:vAlign w:val="bottom"/>
            <w:hideMark/>
          </w:tcPr>
          <w:p w14:paraId="01731104"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val="en-GB" w:eastAsia="en-IN"/>
              </w:rPr>
              <w:t>1,49,57,000</w:t>
            </w:r>
          </w:p>
        </w:tc>
        <w:tc>
          <w:tcPr>
            <w:tcW w:w="1321" w:type="dxa"/>
            <w:tcBorders>
              <w:top w:val="nil"/>
              <w:left w:val="nil"/>
              <w:bottom w:val="single" w:sz="4" w:space="0" w:color="auto"/>
              <w:right w:val="single" w:sz="4" w:space="0" w:color="auto"/>
            </w:tcBorders>
            <w:shd w:val="clear" w:color="auto" w:fill="auto"/>
            <w:noWrap/>
            <w:vAlign w:val="bottom"/>
            <w:hideMark/>
          </w:tcPr>
          <w:p w14:paraId="36606E17"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17,98,000</w:t>
            </w:r>
          </w:p>
        </w:tc>
        <w:tc>
          <w:tcPr>
            <w:tcW w:w="868" w:type="dxa"/>
            <w:tcBorders>
              <w:top w:val="nil"/>
              <w:left w:val="nil"/>
              <w:bottom w:val="single" w:sz="4" w:space="0" w:color="auto"/>
              <w:right w:val="single" w:sz="4" w:space="0" w:color="auto"/>
            </w:tcBorders>
            <w:shd w:val="clear" w:color="auto" w:fill="auto"/>
            <w:noWrap/>
            <w:vAlign w:val="bottom"/>
            <w:hideMark/>
          </w:tcPr>
          <w:p w14:paraId="2C6C4592" w14:textId="77777777" w:rsidR="00DA1BEE" w:rsidRPr="00DA1BEE" w:rsidRDefault="00DA1BEE" w:rsidP="00DA1BEE">
            <w:pPr>
              <w:spacing w:after="0" w:line="240" w:lineRule="auto"/>
              <w:jc w:val="right"/>
              <w:rPr>
                <w:rFonts w:eastAsia="Times New Roman" w:cs="Times New Roman"/>
                <w:color w:val="000000"/>
                <w:szCs w:val="24"/>
                <w:lang w:eastAsia="en-IN"/>
              </w:rPr>
            </w:pPr>
            <w:r w:rsidRPr="00DA1BEE">
              <w:rPr>
                <w:rFonts w:eastAsia="Times New Roman" w:cs="Times New Roman"/>
                <w:color w:val="000000"/>
                <w:szCs w:val="24"/>
                <w:lang w:eastAsia="en-IN"/>
              </w:rPr>
              <w:t>12%</w:t>
            </w:r>
          </w:p>
        </w:tc>
      </w:tr>
    </w:tbl>
    <w:p w14:paraId="6519D96C" w14:textId="77777777" w:rsidR="00DA1BEE" w:rsidRDefault="00DA1BEE"/>
    <w:p w14:paraId="2BB6F8F9" w14:textId="77777777" w:rsidR="00332F59" w:rsidRDefault="00332F59">
      <w:pPr>
        <w:rPr>
          <w:color w:val="5B9BD5" w:themeColor="accent1"/>
        </w:rPr>
      </w:pPr>
      <w:r w:rsidRPr="00332F59">
        <w:rPr>
          <w:color w:val="5B9BD5" w:themeColor="accent1"/>
        </w:rPr>
        <w:t>Horizontal analysis is applied by a company for reviewing the company’s financial statements over the multiple accounting years of a company. Hence, it implies the percentages of growth and declining over the same line metric in the base year of a company</w:t>
      </w:r>
      <w:r w:rsidR="00B2549F">
        <w:rPr>
          <w:color w:val="5B9BD5" w:themeColor="accent1"/>
        </w:rPr>
        <w:t xml:space="preserve"> </w:t>
      </w:r>
      <w:r w:rsidR="00B2549F" w:rsidRPr="00B2549F">
        <w:rPr>
          <w:color w:val="5B9BD5" w:themeColor="accent1"/>
        </w:rPr>
        <w:t>(Britain, 2013)</w:t>
      </w:r>
      <w:r w:rsidRPr="00332F59">
        <w:rPr>
          <w:color w:val="5B9BD5" w:themeColor="accent1"/>
        </w:rPr>
        <w:t xml:space="preserve">. And through the above horizontal analysis of Hilton Worldwide Holdings Inc. (HLT)’s helps the company to show the percentages of growth which help the users of the company’s financial statement to figure out trends and the company’s growth patterns.  Hence the company’s current year’s sales </w:t>
      </w:r>
      <w:proofErr w:type="gramStart"/>
      <w:r w:rsidRPr="00332F59">
        <w:rPr>
          <w:color w:val="5B9BD5" w:themeColor="accent1"/>
        </w:rPr>
        <w:t>is</w:t>
      </w:r>
      <w:proofErr w:type="gramEnd"/>
      <w:r w:rsidRPr="00332F59">
        <w:rPr>
          <w:color w:val="5B9BD5" w:themeColor="accent1"/>
        </w:rPr>
        <w:t xml:space="preserve"> lower than the base year’s sales as well as the COGS and the Gross profit </w:t>
      </w:r>
      <w:r w:rsidRPr="00332F59">
        <w:rPr>
          <w:color w:val="5B9BD5" w:themeColor="accent1"/>
        </w:rPr>
        <w:lastRenderedPageBreak/>
        <w:t xml:space="preserve">of the current years are also lower than the base year and showing the negative percentage of changes. </w:t>
      </w:r>
      <w:r w:rsidR="00B444ED">
        <w:rPr>
          <w:color w:val="5B9BD5" w:themeColor="accent1"/>
        </w:rPr>
        <w:t xml:space="preserve">Hence in the current year, for increasing the operating and non-operating expenses in terms of the company’s sales, the net income of the current year is too much lower than the net income of base years which shows the negative percentage of growth as well as downward trends of the company as well as comparing the over multiple years the net income of the company shows negative percentages of changes. </w:t>
      </w:r>
    </w:p>
    <w:p w14:paraId="257A4226" w14:textId="77777777" w:rsidR="00B444ED" w:rsidRPr="00332F59" w:rsidRDefault="00B444ED">
      <w:pPr>
        <w:rPr>
          <w:color w:val="5B9BD5" w:themeColor="accent1"/>
        </w:rPr>
      </w:pPr>
      <w:r>
        <w:rPr>
          <w:color w:val="5B9BD5" w:themeColor="accent1"/>
        </w:rPr>
        <w:t>Hence, in the balance sheet of the company based on horizontal analysis, the company’s current assets are increased based on the perspective year as well as through horizontal analysis the company can shows its financial position as comparing to its competitors. Hence based on the percentage of changes the assets of the company, the company’s current years ‘assets look better than the base year’s assets. And the company’s total assets increased by 12% as well as the current liabilities decreased by 15% but the total liabilities increased by 18%. On the other hand, the company’s total liability and shareholders’ equity also increased by 12%. And through horizontal analysis, the company can understand the trends of company performance and cab predict the future percentage of growth of the company</w:t>
      </w:r>
      <w:r w:rsidR="00B2549F">
        <w:rPr>
          <w:color w:val="5B9BD5" w:themeColor="accent1"/>
        </w:rPr>
        <w:t xml:space="preserve"> </w:t>
      </w:r>
      <w:r w:rsidR="00B2549F" w:rsidRPr="00B2549F">
        <w:rPr>
          <w:color w:val="5B9BD5" w:themeColor="accent1"/>
        </w:rPr>
        <w:t>(</w:t>
      </w:r>
      <w:proofErr w:type="spellStart"/>
      <w:r w:rsidR="00B2549F" w:rsidRPr="00B2549F">
        <w:rPr>
          <w:color w:val="5B9BD5" w:themeColor="accent1"/>
        </w:rPr>
        <w:t>Agapova</w:t>
      </w:r>
      <w:proofErr w:type="spellEnd"/>
      <w:r w:rsidR="00B2549F" w:rsidRPr="00B2549F">
        <w:rPr>
          <w:color w:val="5B9BD5" w:themeColor="accent1"/>
        </w:rPr>
        <w:t xml:space="preserve"> and </w:t>
      </w:r>
      <w:proofErr w:type="spellStart"/>
      <w:r w:rsidR="00B2549F" w:rsidRPr="00B2549F">
        <w:rPr>
          <w:color w:val="5B9BD5" w:themeColor="accent1"/>
        </w:rPr>
        <w:t>Vishwasrao</w:t>
      </w:r>
      <w:proofErr w:type="spellEnd"/>
      <w:r w:rsidR="00B2549F" w:rsidRPr="00B2549F">
        <w:rPr>
          <w:color w:val="5B9BD5" w:themeColor="accent1"/>
        </w:rPr>
        <w:t>, 2020</w:t>
      </w:r>
      <w:proofErr w:type="gramStart"/>
      <w:r w:rsidR="00B2549F" w:rsidRPr="00B2549F">
        <w:rPr>
          <w:color w:val="5B9BD5" w:themeColor="accent1"/>
        </w:rPr>
        <w:t>).</w:t>
      </w:r>
      <w:r>
        <w:rPr>
          <w:color w:val="5B9BD5" w:themeColor="accent1"/>
        </w:rPr>
        <w:t>.</w:t>
      </w:r>
      <w:proofErr w:type="gramEnd"/>
      <w:r>
        <w:rPr>
          <w:color w:val="5B9BD5" w:themeColor="accent1"/>
        </w:rPr>
        <w:t xml:space="preserve"> </w:t>
      </w:r>
    </w:p>
    <w:p w14:paraId="5E486F8A" w14:textId="77777777" w:rsidR="00104BBC" w:rsidRDefault="00225CE9">
      <w:r>
        <w:t>Several profitability ratios, solvency ratios, liquidity ratios, turnover ratios etc. are calculated based on the available financial information of Hilton Worldwide Holdings Inc.(HLT) below:</w:t>
      </w:r>
    </w:p>
    <w:tbl>
      <w:tblPr>
        <w:tblStyle w:val="TableGrid"/>
        <w:tblW w:w="0" w:type="auto"/>
        <w:tblLook w:val="04A0" w:firstRow="1" w:lastRow="0" w:firstColumn="1" w:lastColumn="0" w:noHBand="0" w:noVBand="1"/>
      </w:tblPr>
      <w:tblGrid>
        <w:gridCol w:w="1677"/>
        <w:gridCol w:w="3280"/>
        <w:gridCol w:w="2126"/>
        <w:gridCol w:w="1933"/>
      </w:tblGrid>
      <w:tr w:rsidR="00225CE9" w14:paraId="35F3C15C" w14:textId="77777777" w:rsidTr="00925ABF">
        <w:tc>
          <w:tcPr>
            <w:tcW w:w="1677" w:type="dxa"/>
          </w:tcPr>
          <w:p w14:paraId="1BEBE2C4" w14:textId="77777777" w:rsidR="00225CE9" w:rsidRPr="00E35312" w:rsidRDefault="00225CE9" w:rsidP="0025090C">
            <w:pPr>
              <w:rPr>
                <w:b/>
              </w:rPr>
            </w:pPr>
            <w:r w:rsidRPr="00E35312">
              <w:rPr>
                <w:b/>
              </w:rPr>
              <w:t>Ratio</w:t>
            </w:r>
          </w:p>
        </w:tc>
        <w:tc>
          <w:tcPr>
            <w:tcW w:w="3280" w:type="dxa"/>
          </w:tcPr>
          <w:p w14:paraId="436746AE" w14:textId="77777777" w:rsidR="00225CE9" w:rsidRPr="00E35312" w:rsidRDefault="00225CE9" w:rsidP="00925ABF">
            <w:pPr>
              <w:jc w:val="left"/>
              <w:rPr>
                <w:b/>
              </w:rPr>
            </w:pPr>
            <w:r w:rsidRPr="00E35312">
              <w:rPr>
                <w:b/>
              </w:rPr>
              <w:t>Formula</w:t>
            </w:r>
          </w:p>
        </w:tc>
        <w:tc>
          <w:tcPr>
            <w:tcW w:w="2126" w:type="dxa"/>
          </w:tcPr>
          <w:p w14:paraId="6C0F5401" w14:textId="77777777" w:rsidR="00225CE9" w:rsidRPr="00E35312" w:rsidRDefault="00225CE9" w:rsidP="0025090C">
            <w:pPr>
              <w:rPr>
                <w:b/>
              </w:rPr>
            </w:pPr>
            <w:r>
              <w:rPr>
                <w:b/>
              </w:rPr>
              <w:t>Year 2019</w:t>
            </w:r>
          </w:p>
        </w:tc>
        <w:tc>
          <w:tcPr>
            <w:tcW w:w="1933" w:type="dxa"/>
          </w:tcPr>
          <w:p w14:paraId="23169F8E" w14:textId="77777777" w:rsidR="00225CE9" w:rsidRPr="00E35312" w:rsidRDefault="00225CE9" w:rsidP="0025090C">
            <w:pPr>
              <w:rPr>
                <w:b/>
              </w:rPr>
            </w:pPr>
            <w:r>
              <w:rPr>
                <w:b/>
              </w:rPr>
              <w:t>Year 2020</w:t>
            </w:r>
          </w:p>
        </w:tc>
      </w:tr>
      <w:tr w:rsidR="00225CE9" w14:paraId="7D476D55" w14:textId="77777777" w:rsidTr="00925ABF">
        <w:tc>
          <w:tcPr>
            <w:tcW w:w="1677" w:type="dxa"/>
          </w:tcPr>
          <w:p w14:paraId="634DB7CB" w14:textId="77777777" w:rsidR="00225CE9" w:rsidRDefault="00225CE9" w:rsidP="00925ABF">
            <w:r>
              <w:t>Gross profit margin</w:t>
            </w:r>
          </w:p>
        </w:tc>
        <w:tc>
          <w:tcPr>
            <w:tcW w:w="3280" w:type="dxa"/>
          </w:tcPr>
          <w:p w14:paraId="3790CAA0" w14:textId="77777777" w:rsidR="00225CE9" w:rsidRPr="00925ABF" w:rsidRDefault="001A1AEB" w:rsidP="00925ABF">
            <w:pPr>
              <w:rPr>
                <w:rFonts w:cs="Times New Roman"/>
                <w:szCs w:val="24"/>
              </w:rPr>
            </w:pPr>
            <m:oMathPara>
              <m:oMath>
                <m:f>
                  <m:fPr>
                    <m:ctrlPr>
                      <w:rPr>
                        <w:rFonts w:ascii="Cambria Math" w:hAnsi="Cambria Math" w:cs="Times New Roman"/>
                        <w:i/>
                        <w:szCs w:val="24"/>
                      </w:rPr>
                    </m:ctrlPr>
                  </m:fPr>
                  <m:num>
                    <m:r>
                      <w:rPr>
                        <w:rFonts w:ascii="Cambria Math" w:hAnsi="Cambria Math" w:cs="Times New Roman"/>
                        <w:szCs w:val="24"/>
                      </w:rPr>
                      <m:t>Gross profit</m:t>
                    </m:r>
                  </m:num>
                  <m:den>
                    <m:r>
                      <w:rPr>
                        <w:rFonts w:ascii="Cambria Math" w:hAnsi="Cambria Math" w:cs="Times New Roman"/>
                        <w:szCs w:val="24"/>
                      </w:rPr>
                      <m:t>Sales</m:t>
                    </m:r>
                  </m:den>
                </m:f>
                <m:r>
                  <w:rPr>
                    <w:rFonts w:ascii="Cambria Math" w:hAnsi="Cambria Math" w:cs="Times New Roman"/>
                    <w:szCs w:val="24"/>
                  </w:rPr>
                  <m:t>×100</m:t>
                </m:r>
              </m:oMath>
            </m:oMathPara>
          </w:p>
        </w:tc>
        <w:tc>
          <w:tcPr>
            <w:tcW w:w="2126" w:type="dxa"/>
          </w:tcPr>
          <w:p w14:paraId="48BA3AD6" w14:textId="77777777" w:rsidR="00225CE9" w:rsidRPr="005D3DC7" w:rsidRDefault="001A1AEB" w:rsidP="0025090C">
            <w:pPr>
              <w:rPr>
                <w:rFonts w:eastAsiaTheme="minorEastAsia"/>
                <w:szCs w:val="24"/>
              </w:rPr>
            </w:pPr>
            <m:oMathPara>
              <m:oMathParaPr>
                <m:jc m:val="left"/>
              </m:oMathParaPr>
              <m:oMath>
                <m:f>
                  <m:fPr>
                    <m:ctrlPr>
                      <w:rPr>
                        <w:rFonts w:ascii="Cambria Math" w:hAnsi="Cambria Math"/>
                        <w:szCs w:val="24"/>
                      </w:rPr>
                    </m:ctrlPr>
                  </m:fPr>
                  <m:num>
                    <m:r>
                      <w:rPr>
                        <w:rFonts w:ascii="Cambria Math" w:hAnsi="Cambria Math"/>
                        <w:szCs w:val="24"/>
                      </w:rPr>
                      <m:t>2,435,000</m:t>
                    </m:r>
                  </m:num>
                  <m:den>
                    <m:r>
                      <w:rPr>
                        <w:rFonts w:ascii="Cambria Math" w:hAnsi="Cambria Math"/>
                        <w:szCs w:val="24"/>
                      </w:rPr>
                      <m:t>9,452,000</m:t>
                    </m:r>
                  </m:den>
                </m:f>
                <m:r>
                  <m:rPr>
                    <m:sty m:val="p"/>
                  </m:rPr>
                  <w:rPr>
                    <w:rFonts w:ascii="Cambria Math" w:hAnsi="Cambria Math"/>
                    <w:szCs w:val="24"/>
                  </w:rPr>
                  <m:t>×100</m:t>
                </m:r>
              </m:oMath>
            </m:oMathPara>
          </w:p>
          <w:p w14:paraId="2B6FEDFF" w14:textId="77777777" w:rsidR="00225CE9" w:rsidRPr="005D3DC7" w:rsidRDefault="00AF5101" w:rsidP="0025090C">
            <w:pPr>
              <w:rPr>
                <w:rFonts w:eastAsiaTheme="minorEastAsia"/>
              </w:rPr>
            </w:pPr>
            <w:r>
              <w:rPr>
                <w:rFonts w:eastAsiaTheme="minorEastAsia"/>
              </w:rPr>
              <w:t>=25.76</w:t>
            </w:r>
            <w:r w:rsidR="00225CE9">
              <w:rPr>
                <w:rFonts w:eastAsiaTheme="minorEastAsia"/>
              </w:rPr>
              <w:t>%</w:t>
            </w:r>
          </w:p>
        </w:tc>
        <w:tc>
          <w:tcPr>
            <w:tcW w:w="1933" w:type="dxa"/>
          </w:tcPr>
          <w:p w14:paraId="000A29B4" w14:textId="77777777" w:rsidR="00225CE9" w:rsidRPr="005D3DC7" w:rsidRDefault="001A1AEB" w:rsidP="0025090C">
            <w:pPr>
              <w:rPr>
                <w:rFonts w:eastAsiaTheme="minorEastAsia"/>
                <w:szCs w:val="24"/>
              </w:rPr>
            </w:pPr>
            <m:oMathPara>
              <m:oMathParaPr>
                <m:jc m:val="left"/>
              </m:oMathParaPr>
              <m:oMath>
                <m:f>
                  <m:fPr>
                    <m:ctrlPr>
                      <w:rPr>
                        <w:rFonts w:ascii="Cambria Math" w:hAnsi="Cambria Math"/>
                        <w:szCs w:val="24"/>
                      </w:rPr>
                    </m:ctrlPr>
                  </m:fPr>
                  <m:num>
                    <m:r>
                      <w:rPr>
                        <w:rFonts w:ascii="Cambria Math" w:hAnsi="Cambria Math"/>
                        <w:szCs w:val="24"/>
                      </w:rPr>
                      <m:t>583,000</m:t>
                    </m:r>
                  </m:num>
                  <m:den>
                    <m:r>
                      <w:rPr>
                        <w:rFonts w:ascii="Cambria Math" w:hAnsi="Cambria Math"/>
                        <w:szCs w:val="24"/>
                      </w:rPr>
                      <m:t>4,307,000</m:t>
                    </m:r>
                  </m:den>
                </m:f>
                <m:r>
                  <m:rPr>
                    <m:sty m:val="p"/>
                  </m:rPr>
                  <w:rPr>
                    <w:rFonts w:ascii="Cambria Math" w:hAnsi="Cambria Math"/>
                    <w:szCs w:val="24"/>
                  </w:rPr>
                  <m:t>×100</m:t>
                </m:r>
              </m:oMath>
            </m:oMathPara>
          </w:p>
          <w:p w14:paraId="20EE9E9B" w14:textId="77777777" w:rsidR="00225CE9" w:rsidRPr="005D3DC7" w:rsidRDefault="00AF5101" w:rsidP="0025090C">
            <w:pPr>
              <w:rPr>
                <w:rFonts w:eastAsiaTheme="minorEastAsia"/>
              </w:rPr>
            </w:pPr>
            <w:r>
              <w:rPr>
                <w:rFonts w:eastAsiaTheme="minorEastAsia"/>
              </w:rPr>
              <w:t>=13.5</w:t>
            </w:r>
            <w:r w:rsidR="00225CE9">
              <w:rPr>
                <w:rFonts w:eastAsiaTheme="minorEastAsia"/>
              </w:rPr>
              <w:t>4%</w:t>
            </w:r>
          </w:p>
        </w:tc>
      </w:tr>
      <w:tr w:rsidR="00225CE9" w14:paraId="7E2D49B0" w14:textId="77777777" w:rsidTr="00925ABF">
        <w:tc>
          <w:tcPr>
            <w:tcW w:w="1677" w:type="dxa"/>
          </w:tcPr>
          <w:p w14:paraId="383A593B" w14:textId="77777777" w:rsidR="00225CE9" w:rsidRDefault="00225CE9" w:rsidP="0025090C">
            <w:r>
              <w:t xml:space="preserve">Net profit margin </w:t>
            </w:r>
          </w:p>
        </w:tc>
        <w:tc>
          <w:tcPr>
            <w:tcW w:w="3280" w:type="dxa"/>
          </w:tcPr>
          <w:p w14:paraId="317DEFF2" w14:textId="77777777" w:rsidR="00225CE9" w:rsidRPr="00925ABF" w:rsidRDefault="001A1AEB" w:rsidP="00925ABF">
            <w:pPr>
              <w:jc w:val="left"/>
              <w:rPr>
                <w:rFonts w:eastAsiaTheme="minorEastAsia" w:cs="Times New Roman"/>
              </w:rPr>
            </w:pPr>
            <m:oMathPara>
              <m:oMath>
                <m:f>
                  <m:fPr>
                    <m:ctrlPr>
                      <w:rPr>
                        <w:rFonts w:ascii="Cambria Math" w:hAnsi="Cambria Math" w:cs="Times New Roman"/>
                      </w:rPr>
                    </m:ctrlPr>
                  </m:fPr>
                  <m:num>
                    <m:r>
                      <m:rPr>
                        <m:sty m:val="p"/>
                      </m:rPr>
                      <w:rPr>
                        <w:rFonts w:ascii="Cambria Math" w:hAnsi="Cambria Math" w:cs="Times New Roman"/>
                      </w:rPr>
                      <m:t>Net profit</m:t>
                    </m:r>
                  </m:num>
                  <m:den>
                    <m:r>
                      <w:rPr>
                        <w:rFonts w:ascii="Cambria Math" w:hAnsi="Cambria Math" w:cs="Times New Roman"/>
                      </w:rPr>
                      <m:t>Sales</m:t>
                    </m:r>
                  </m:den>
                </m:f>
                <m:r>
                  <m:rPr>
                    <m:sty m:val="p"/>
                  </m:rPr>
                  <w:rPr>
                    <w:rFonts w:ascii="Cambria Math" w:hAnsi="Cambria Math" w:cs="Times New Roman"/>
                  </w:rPr>
                  <m:t>×100</m:t>
                </m:r>
              </m:oMath>
            </m:oMathPara>
          </w:p>
        </w:tc>
        <w:tc>
          <w:tcPr>
            <w:tcW w:w="2126" w:type="dxa"/>
          </w:tcPr>
          <w:p w14:paraId="476AE3A4" w14:textId="77777777" w:rsidR="00225CE9" w:rsidRPr="005D3DC7" w:rsidRDefault="001A1AEB" w:rsidP="0025090C">
            <w:pPr>
              <w:rPr>
                <w:rFonts w:eastAsiaTheme="minorEastAsia"/>
              </w:rPr>
            </w:pPr>
            <m:oMathPara>
              <m:oMathParaPr>
                <m:jc m:val="left"/>
              </m:oMathParaPr>
              <m:oMath>
                <m:f>
                  <m:fPr>
                    <m:ctrlPr>
                      <w:rPr>
                        <w:rFonts w:ascii="Cambria Math" w:hAnsi="Cambria Math"/>
                      </w:rPr>
                    </m:ctrlPr>
                  </m:fPr>
                  <m:num>
                    <m:r>
                      <w:rPr>
                        <w:rFonts w:ascii="Cambria Math" w:hAnsi="Cambria Math"/>
                      </w:rPr>
                      <m:t>881,000</m:t>
                    </m:r>
                  </m:num>
                  <m:den>
                    <m:r>
                      <w:rPr>
                        <w:rFonts w:ascii="Cambria Math" w:hAnsi="Cambria Math"/>
                      </w:rPr>
                      <m:t>9,452,000</m:t>
                    </m:r>
                  </m:den>
                </m:f>
                <m:r>
                  <m:rPr>
                    <m:sty m:val="p"/>
                  </m:rPr>
                  <w:rPr>
                    <w:rFonts w:ascii="Cambria Math" w:hAnsi="Cambria Math"/>
                  </w:rPr>
                  <m:t>×100</m:t>
                </m:r>
              </m:oMath>
            </m:oMathPara>
          </w:p>
          <w:p w14:paraId="6AABE46A" w14:textId="77777777" w:rsidR="00225CE9" w:rsidRPr="005D3DC7" w:rsidRDefault="00AF5101" w:rsidP="0025090C">
            <w:pPr>
              <w:rPr>
                <w:rFonts w:eastAsiaTheme="minorEastAsia"/>
              </w:rPr>
            </w:pPr>
            <w:r>
              <w:rPr>
                <w:rFonts w:eastAsiaTheme="minorEastAsia"/>
              </w:rPr>
              <w:t>=9.32</w:t>
            </w:r>
            <w:r w:rsidR="00225CE9">
              <w:rPr>
                <w:rFonts w:eastAsiaTheme="minorEastAsia"/>
              </w:rPr>
              <w:t>%</w:t>
            </w:r>
          </w:p>
        </w:tc>
        <w:tc>
          <w:tcPr>
            <w:tcW w:w="1933" w:type="dxa"/>
          </w:tcPr>
          <w:p w14:paraId="5F66AE8B" w14:textId="77777777" w:rsidR="00225CE9" w:rsidRPr="005D3DC7" w:rsidRDefault="001A1AEB" w:rsidP="0025090C">
            <w:pPr>
              <w:rPr>
                <w:rFonts w:eastAsiaTheme="minorEastAsia"/>
              </w:rPr>
            </w:pPr>
            <m:oMathPara>
              <m:oMathParaPr>
                <m:jc m:val="left"/>
              </m:oMathParaPr>
              <m:oMath>
                <m:f>
                  <m:fPr>
                    <m:ctrlPr>
                      <w:rPr>
                        <w:rFonts w:ascii="Cambria Math" w:hAnsi="Cambria Math"/>
                      </w:rPr>
                    </m:ctrlPr>
                  </m:fPr>
                  <m:num>
                    <m:r>
                      <w:rPr>
                        <w:rFonts w:ascii="Cambria Math" w:hAnsi="Cambria Math"/>
                      </w:rPr>
                      <m:t>-715,000</m:t>
                    </m:r>
                  </m:num>
                  <m:den>
                    <m:r>
                      <w:rPr>
                        <w:rFonts w:ascii="Cambria Math" w:hAnsi="Cambria Math"/>
                      </w:rPr>
                      <m:t>4,307,000</m:t>
                    </m:r>
                  </m:den>
                </m:f>
                <m:r>
                  <m:rPr>
                    <m:sty m:val="p"/>
                  </m:rPr>
                  <w:rPr>
                    <w:rFonts w:ascii="Cambria Math" w:hAnsi="Cambria Math"/>
                  </w:rPr>
                  <m:t>×100</m:t>
                </m:r>
              </m:oMath>
            </m:oMathPara>
          </w:p>
          <w:p w14:paraId="0142E3E4" w14:textId="77777777" w:rsidR="00225CE9" w:rsidRPr="005D3DC7" w:rsidRDefault="00AF5101" w:rsidP="0025090C">
            <w:pPr>
              <w:rPr>
                <w:rFonts w:eastAsiaTheme="minorEastAsia"/>
              </w:rPr>
            </w:pPr>
            <w:r>
              <w:rPr>
                <w:rFonts w:eastAsiaTheme="minorEastAsia"/>
              </w:rPr>
              <w:t>= -16.60</w:t>
            </w:r>
            <w:r w:rsidR="00225CE9">
              <w:rPr>
                <w:rFonts w:eastAsiaTheme="minorEastAsia"/>
              </w:rPr>
              <w:t>%</w:t>
            </w:r>
          </w:p>
        </w:tc>
      </w:tr>
      <w:tr w:rsidR="00225CE9" w14:paraId="39680E39" w14:textId="77777777" w:rsidTr="00925ABF">
        <w:tc>
          <w:tcPr>
            <w:tcW w:w="1677" w:type="dxa"/>
          </w:tcPr>
          <w:p w14:paraId="2A70D70E" w14:textId="77777777" w:rsidR="00225CE9" w:rsidRDefault="00317257" w:rsidP="0025090C">
            <w:r>
              <w:t xml:space="preserve">Return on assets </w:t>
            </w:r>
            <w:r w:rsidR="00225CE9">
              <w:t xml:space="preserve">ROA </w:t>
            </w:r>
          </w:p>
        </w:tc>
        <w:tc>
          <w:tcPr>
            <w:tcW w:w="3280" w:type="dxa"/>
          </w:tcPr>
          <w:p w14:paraId="45F70BAD" w14:textId="77777777" w:rsidR="00225CE9" w:rsidRDefault="001A1AEB" w:rsidP="00925ABF">
            <w:pPr>
              <w:jc w:val="left"/>
            </w:pPr>
            <m:oMathPara>
              <m:oMath>
                <m:f>
                  <m:fPr>
                    <m:ctrlPr>
                      <w:rPr>
                        <w:rFonts w:ascii="Cambria Math" w:hAnsi="Cambria Math"/>
                        <w:i/>
                      </w:rPr>
                    </m:ctrlPr>
                  </m:fPr>
                  <m:num>
                    <m:r>
                      <w:rPr>
                        <w:rFonts w:ascii="Cambria Math" w:hAnsi="Cambria Math"/>
                      </w:rPr>
                      <m:t>Net profit</m:t>
                    </m:r>
                  </m:num>
                  <m:den>
                    <m:r>
                      <w:rPr>
                        <w:rFonts w:ascii="Cambria Math" w:hAnsi="Cambria Math"/>
                      </w:rPr>
                      <m:t>Total assets</m:t>
                    </m:r>
                  </m:den>
                </m:f>
              </m:oMath>
            </m:oMathPara>
          </w:p>
        </w:tc>
        <w:tc>
          <w:tcPr>
            <w:tcW w:w="2126" w:type="dxa"/>
          </w:tcPr>
          <w:p w14:paraId="3187D2A7" w14:textId="77777777" w:rsidR="00225CE9" w:rsidRPr="00925ABF" w:rsidRDefault="001A1AEB" w:rsidP="0025090C">
            <w:pPr>
              <w:rPr>
                <w:rFonts w:eastAsiaTheme="minorEastAsia"/>
              </w:rPr>
            </w:pPr>
            <m:oMathPara>
              <m:oMathParaPr>
                <m:jc m:val="left"/>
              </m:oMathParaPr>
              <m:oMath>
                <m:f>
                  <m:fPr>
                    <m:ctrlPr>
                      <w:rPr>
                        <w:rFonts w:ascii="Cambria Math" w:hAnsi="Cambria Math"/>
                        <w:i/>
                      </w:rPr>
                    </m:ctrlPr>
                  </m:fPr>
                  <m:num>
                    <m:r>
                      <w:rPr>
                        <w:rFonts w:ascii="Cambria Math" w:hAnsi="Cambria Math"/>
                      </w:rPr>
                      <m:t>881,000</m:t>
                    </m:r>
                  </m:num>
                  <m:den>
                    <m:r>
                      <w:rPr>
                        <w:rFonts w:ascii="Cambria Math" w:hAnsi="Cambria Math"/>
                      </w:rPr>
                      <m:t>14,957,000</m:t>
                    </m:r>
                  </m:den>
                </m:f>
              </m:oMath>
            </m:oMathPara>
          </w:p>
          <w:p w14:paraId="42A90C3C" w14:textId="77777777" w:rsidR="00225CE9" w:rsidRPr="000D6906" w:rsidRDefault="00AF5101" w:rsidP="0025090C">
            <w:pPr>
              <w:rPr>
                <w:rFonts w:eastAsiaTheme="minorEastAsia"/>
              </w:rPr>
            </w:pPr>
            <w:r>
              <w:rPr>
                <w:rFonts w:eastAsiaTheme="minorEastAsia"/>
              </w:rPr>
              <w:t>=5.89</w:t>
            </w:r>
            <w:r w:rsidR="00225CE9">
              <w:rPr>
                <w:rFonts w:eastAsiaTheme="minorEastAsia"/>
              </w:rPr>
              <w:t>%</w:t>
            </w:r>
          </w:p>
        </w:tc>
        <w:tc>
          <w:tcPr>
            <w:tcW w:w="1933" w:type="dxa"/>
          </w:tcPr>
          <w:p w14:paraId="6A474325" w14:textId="77777777" w:rsidR="00225CE9" w:rsidRPr="000D6906" w:rsidRDefault="001A1AEB" w:rsidP="0025090C">
            <w:pPr>
              <w:rPr>
                <w:rFonts w:eastAsiaTheme="minorEastAsia"/>
              </w:rPr>
            </w:pPr>
            <m:oMathPara>
              <m:oMathParaPr>
                <m:jc m:val="left"/>
              </m:oMathParaPr>
              <m:oMath>
                <m:f>
                  <m:fPr>
                    <m:ctrlPr>
                      <w:rPr>
                        <w:rFonts w:ascii="Cambria Math" w:hAnsi="Cambria Math"/>
                        <w:i/>
                      </w:rPr>
                    </m:ctrlPr>
                  </m:fPr>
                  <m:num>
                    <m:r>
                      <w:rPr>
                        <w:rFonts w:ascii="Cambria Math" w:hAnsi="Cambria Math"/>
                      </w:rPr>
                      <m:t>-715,000</m:t>
                    </m:r>
                  </m:num>
                  <m:den>
                    <m:r>
                      <w:rPr>
                        <w:rFonts w:ascii="Cambria Math" w:hAnsi="Cambria Math"/>
                      </w:rPr>
                      <m:t>16,755,000</m:t>
                    </m:r>
                  </m:den>
                </m:f>
              </m:oMath>
            </m:oMathPara>
          </w:p>
          <w:p w14:paraId="4AE7CB1E" w14:textId="77777777" w:rsidR="00225CE9" w:rsidRPr="000D6906" w:rsidRDefault="00AF5101" w:rsidP="0025090C">
            <w:pPr>
              <w:rPr>
                <w:rFonts w:eastAsiaTheme="minorEastAsia"/>
              </w:rPr>
            </w:pPr>
            <w:r>
              <w:rPr>
                <w:rFonts w:eastAsiaTheme="minorEastAsia"/>
              </w:rPr>
              <w:t>= -4.27</w:t>
            </w:r>
            <w:r w:rsidR="00225CE9">
              <w:rPr>
                <w:rFonts w:eastAsiaTheme="minorEastAsia"/>
              </w:rPr>
              <w:t>%</w:t>
            </w:r>
          </w:p>
        </w:tc>
      </w:tr>
      <w:tr w:rsidR="00225CE9" w14:paraId="18D2F9E2" w14:textId="77777777" w:rsidTr="00925ABF">
        <w:tc>
          <w:tcPr>
            <w:tcW w:w="1677" w:type="dxa"/>
          </w:tcPr>
          <w:p w14:paraId="67F66FC1" w14:textId="77777777" w:rsidR="00225CE9" w:rsidRDefault="00225CE9" w:rsidP="0025090C">
            <w:r>
              <w:t>Current ratio</w:t>
            </w:r>
          </w:p>
        </w:tc>
        <w:tc>
          <w:tcPr>
            <w:tcW w:w="3280" w:type="dxa"/>
          </w:tcPr>
          <w:p w14:paraId="742A3127" w14:textId="77777777" w:rsidR="00225CE9" w:rsidRDefault="001A1AEB" w:rsidP="00925ABF">
            <w:pPr>
              <w:jc w:val="left"/>
            </w:pPr>
            <m:oMathPara>
              <m:oMath>
                <m:f>
                  <m:fPr>
                    <m:ctrlPr>
                      <w:rPr>
                        <w:rFonts w:ascii="Cambria Math" w:hAnsi="Cambria Math"/>
                        <w:i/>
                      </w:rPr>
                    </m:ctrlPr>
                  </m:fPr>
                  <m:num>
                    <m:r>
                      <w:rPr>
                        <w:rFonts w:ascii="Cambria Math" w:hAnsi="Cambria Math"/>
                      </w:rPr>
                      <m:t>Current assets</m:t>
                    </m:r>
                  </m:num>
                  <m:den>
                    <m:r>
                      <w:rPr>
                        <w:rFonts w:ascii="Cambria Math" w:hAnsi="Cambria Math"/>
                      </w:rPr>
                      <m:t>Current liabilities</m:t>
                    </m:r>
                  </m:den>
                </m:f>
              </m:oMath>
            </m:oMathPara>
          </w:p>
        </w:tc>
        <w:tc>
          <w:tcPr>
            <w:tcW w:w="2126" w:type="dxa"/>
          </w:tcPr>
          <w:p w14:paraId="11AC908B" w14:textId="77777777" w:rsidR="00225CE9" w:rsidRPr="000D6906" w:rsidRDefault="001A1AEB" w:rsidP="0025090C">
            <w:pPr>
              <w:rPr>
                <w:rFonts w:eastAsiaTheme="minorEastAsia"/>
              </w:rPr>
            </w:pPr>
            <m:oMathPara>
              <m:oMathParaPr>
                <m:jc m:val="left"/>
              </m:oMathParaPr>
              <m:oMath>
                <m:f>
                  <m:fPr>
                    <m:ctrlPr>
                      <w:rPr>
                        <w:rFonts w:ascii="Cambria Math" w:hAnsi="Cambria Math"/>
                        <w:i/>
                      </w:rPr>
                    </m:ctrlPr>
                  </m:fPr>
                  <m:num>
                    <m:r>
                      <w:rPr>
                        <w:rFonts w:ascii="Cambria Math" w:hAnsi="Cambria Math"/>
                      </w:rPr>
                      <m:t>2,093,000</m:t>
                    </m:r>
                  </m:num>
                  <m:den>
                    <m:r>
                      <w:rPr>
                        <w:rFonts w:ascii="Cambria Math" w:hAnsi="Cambria Math"/>
                      </w:rPr>
                      <m:t>2,871,000</m:t>
                    </m:r>
                  </m:den>
                </m:f>
              </m:oMath>
            </m:oMathPara>
          </w:p>
          <w:p w14:paraId="2431E337" w14:textId="77777777" w:rsidR="00225CE9" w:rsidRPr="000D6906" w:rsidRDefault="00AF5101" w:rsidP="0025090C">
            <w:pPr>
              <w:rPr>
                <w:rFonts w:eastAsiaTheme="minorEastAsia"/>
              </w:rPr>
            </w:pPr>
            <w:r>
              <w:rPr>
                <w:rFonts w:eastAsiaTheme="minorEastAsia"/>
              </w:rPr>
              <w:t>=0.73</w:t>
            </w:r>
          </w:p>
        </w:tc>
        <w:tc>
          <w:tcPr>
            <w:tcW w:w="1933" w:type="dxa"/>
          </w:tcPr>
          <w:p w14:paraId="28E669BB" w14:textId="77777777" w:rsidR="00225CE9" w:rsidRPr="000D6906" w:rsidRDefault="001A1AEB" w:rsidP="0025090C">
            <w:pPr>
              <w:rPr>
                <w:rFonts w:eastAsiaTheme="minorEastAsia"/>
              </w:rPr>
            </w:pPr>
            <m:oMathPara>
              <m:oMathParaPr>
                <m:jc m:val="left"/>
              </m:oMathParaPr>
              <m:oMath>
                <m:f>
                  <m:fPr>
                    <m:ctrlPr>
                      <w:rPr>
                        <w:rFonts w:ascii="Cambria Math" w:hAnsi="Cambria Math"/>
                        <w:i/>
                      </w:rPr>
                    </m:ctrlPr>
                  </m:fPr>
                  <m:num>
                    <m:r>
                      <w:rPr>
                        <w:rFonts w:ascii="Cambria Math" w:hAnsi="Cambria Math"/>
                      </w:rPr>
                      <m:t>4,202,000</m:t>
                    </m:r>
                  </m:num>
                  <m:den>
                    <m:r>
                      <w:rPr>
                        <w:rFonts w:ascii="Cambria Math" w:hAnsi="Cambria Math"/>
                      </w:rPr>
                      <m:t>2,431,000</m:t>
                    </m:r>
                  </m:den>
                </m:f>
              </m:oMath>
            </m:oMathPara>
          </w:p>
          <w:p w14:paraId="2A72FFFB" w14:textId="77777777" w:rsidR="00225CE9" w:rsidRPr="000D6906" w:rsidRDefault="00AF5101" w:rsidP="0025090C">
            <w:pPr>
              <w:rPr>
                <w:rFonts w:eastAsiaTheme="minorEastAsia"/>
              </w:rPr>
            </w:pPr>
            <w:r>
              <w:rPr>
                <w:rFonts w:eastAsiaTheme="minorEastAsia"/>
              </w:rPr>
              <w:t>=1.73</w:t>
            </w:r>
          </w:p>
        </w:tc>
      </w:tr>
      <w:tr w:rsidR="00225CE9" w14:paraId="149135AC" w14:textId="77777777" w:rsidTr="00925ABF">
        <w:tc>
          <w:tcPr>
            <w:tcW w:w="1677" w:type="dxa"/>
          </w:tcPr>
          <w:p w14:paraId="70C90154" w14:textId="77777777" w:rsidR="00225CE9" w:rsidRDefault="00225CE9" w:rsidP="0025090C">
            <w:r>
              <w:t xml:space="preserve">Assets turnover ratio </w:t>
            </w:r>
          </w:p>
        </w:tc>
        <w:tc>
          <w:tcPr>
            <w:tcW w:w="3280" w:type="dxa"/>
          </w:tcPr>
          <w:p w14:paraId="6A44F67D" w14:textId="77777777" w:rsidR="00225CE9" w:rsidRPr="00D64E8C" w:rsidRDefault="001A1AEB" w:rsidP="00925ABF">
            <w:pPr>
              <w:jc w:val="left"/>
              <w:rPr>
                <w:rFonts w:eastAsia="Calibri" w:cs="Times New Roman"/>
              </w:rPr>
            </w:pPr>
            <m:oMathPara>
              <m:oMath>
                <m:f>
                  <m:fPr>
                    <m:ctrlPr>
                      <w:rPr>
                        <w:rFonts w:ascii="Cambria Math" w:eastAsia="Calibri" w:hAnsi="Cambria Math" w:cs="Times New Roman"/>
                        <w:i/>
                      </w:rPr>
                    </m:ctrlPr>
                  </m:fPr>
                  <m:num>
                    <m:r>
                      <w:rPr>
                        <w:rFonts w:ascii="Cambria Math" w:eastAsia="Calibri" w:hAnsi="Cambria Math" w:cs="Times New Roman"/>
                      </w:rPr>
                      <m:t>Sales</m:t>
                    </m:r>
                  </m:num>
                  <m:den>
                    <m:r>
                      <w:rPr>
                        <w:rFonts w:ascii="Cambria Math" w:eastAsia="Calibri" w:hAnsi="Cambria Math" w:cs="Times New Roman"/>
                      </w:rPr>
                      <m:t>Total assets</m:t>
                    </m:r>
                  </m:den>
                </m:f>
              </m:oMath>
            </m:oMathPara>
          </w:p>
        </w:tc>
        <w:tc>
          <w:tcPr>
            <w:tcW w:w="2126" w:type="dxa"/>
          </w:tcPr>
          <w:p w14:paraId="72B106BA" w14:textId="77777777" w:rsidR="00225CE9" w:rsidRPr="000D6906" w:rsidRDefault="001A1AEB" w:rsidP="0025090C">
            <w:pPr>
              <w:rPr>
                <w:rFonts w:eastAsia="Calibri" w:cs="Times New Roman"/>
              </w:rPr>
            </w:pPr>
            <m:oMathPara>
              <m:oMathParaPr>
                <m:jc m:val="left"/>
              </m:oMathParaPr>
              <m:oMath>
                <m:f>
                  <m:fPr>
                    <m:ctrlPr>
                      <w:rPr>
                        <w:rFonts w:ascii="Cambria Math" w:eastAsia="Calibri" w:hAnsi="Cambria Math" w:cs="Times New Roman"/>
                        <w:i/>
                      </w:rPr>
                    </m:ctrlPr>
                  </m:fPr>
                  <m:num>
                    <m:r>
                      <w:rPr>
                        <w:rFonts w:ascii="Cambria Math" w:eastAsia="Calibri" w:hAnsi="Cambria Math" w:cs="Times New Roman"/>
                      </w:rPr>
                      <m:t>9,452,000</m:t>
                    </m:r>
                  </m:num>
                  <m:den>
                    <m:r>
                      <w:rPr>
                        <w:rFonts w:ascii="Cambria Math" w:eastAsia="Calibri" w:hAnsi="Cambria Math" w:cs="Times New Roman"/>
                      </w:rPr>
                      <m:t>12,558,000</m:t>
                    </m:r>
                  </m:den>
                </m:f>
              </m:oMath>
            </m:oMathPara>
          </w:p>
          <w:p w14:paraId="0C5C0E4D" w14:textId="77777777" w:rsidR="00225CE9" w:rsidRPr="00FD4B7D" w:rsidRDefault="00AF5101" w:rsidP="0025090C">
            <w:pPr>
              <w:rPr>
                <w:rFonts w:eastAsia="Calibri" w:cs="Times New Roman"/>
              </w:rPr>
            </w:pPr>
            <w:r>
              <w:rPr>
                <w:rFonts w:eastAsia="Calibri" w:cs="Times New Roman"/>
              </w:rPr>
              <w:lastRenderedPageBreak/>
              <w:t>=0.63</w:t>
            </w:r>
          </w:p>
        </w:tc>
        <w:tc>
          <w:tcPr>
            <w:tcW w:w="1933" w:type="dxa"/>
          </w:tcPr>
          <w:p w14:paraId="429D55D9" w14:textId="77777777" w:rsidR="00225CE9" w:rsidRPr="000D6906" w:rsidRDefault="001A1AEB" w:rsidP="0025090C">
            <w:pPr>
              <w:rPr>
                <w:rFonts w:eastAsia="Calibri" w:cs="Times New Roman"/>
              </w:rPr>
            </w:pPr>
            <m:oMathPara>
              <m:oMathParaPr>
                <m:jc m:val="left"/>
              </m:oMathParaPr>
              <m:oMath>
                <m:f>
                  <m:fPr>
                    <m:ctrlPr>
                      <w:rPr>
                        <w:rFonts w:ascii="Cambria Math" w:eastAsia="Calibri" w:hAnsi="Cambria Math" w:cs="Times New Roman"/>
                        <w:i/>
                      </w:rPr>
                    </m:ctrlPr>
                  </m:fPr>
                  <m:num>
                    <m:r>
                      <w:rPr>
                        <w:rFonts w:ascii="Cambria Math" w:eastAsia="Calibri" w:hAnsi="Cambria Math" w:cs="Times New Roman"/>
                      </w:rPr>
                      <m:t>4,307,000</m:t>
                    </m:r>
                  </m:num>
                  <m:den>
                    <m:r>
                      <w:rPr>
                        <w:rFonts w:ascii="Cambria Math" w:eastAsia="Calibri" w:hAnsi="Cambria Math" w:cs="Times New Roman"/>
                      </w:rPr>
                      <m:t>16,755,000</m:t>
                    </m:r>
                  </m:den>
                </m:f>
              </m:oMath>
            </m:oMathPara>
          </w:p>
          <w:p w14:paraId="28F33050" w14:textId="77777777" w:rsidR="00225CE9" w:rsidRPr="00FD4B7D" w:rsidRDefault="00AF5101" w:rsidP="0025090C">
            <w:pPr>
              <w:rPr>
                <w:rFonts w:eastAsia="Calibri" w:cs="Times New Roman"/>
              </w:rPr>
            </w:pPr>
            <w:r>
              <w:rPr>
                <w:rFonts w:eastAsia="Calibri" w:cs="Times New Roman"/>
              </w:rPr>
              <w:lastRenderedPageBreak/>
              <w:t>=0.26</w:t>
            </w:r>
          </w:p>
        </w:tc>
      </w:tr>
    </w:tbl>
    <w:p w14:paraId="21C4BB56" w14:textId="77777777" w:rsidR="00225CE9" w:rsidRDefault="00225CE9"/>
    <w:p w14:paraId="1353A065" w14:textId="77777777" w:rsidR="00DA49EB" w:rsidRDefault="00DA49EB">
      <w:r w:rsidRPr="00572FDF">
        <w:rPr>
          <w:b/>
        </w:rPr>
        <w:t xml:space="preserve">Gross profit margin: </w:t>
      </w:r>
      <w:r w:rsidR="00AF5101">
        <w:t>Gross profit margin refers to a one kind metric by which a company’s financial health is to be accessed and figure out its remaining revenue after paying the company’s direct costs</w:t>
      </w:r>
      <w:r w:rsidR="00964014" w:rsidRPr="00964014">
        <w:t xml:space="preserve"> (Thomas, </w:t>
      </w:r>
      <w:proofErr w:type="spellStart"/>
      <w:r w:rsidR="00964014" w:rsidRPr="00964014">
        <w:t>Tietz</w:t>
      </w:r>
      <w:proofErr w:type="spellEnd"/>
      <w:r w:rsidR="00964014" w:rsidRPr="00964014">
        <w:t xml:space="preserve"> and Harrison, 2019)</w:t>
      </w:r>
      <w:r w:rsidR="00AF5101">
        <w:t xml:space="preserve">. Hence through gross profit a company can access how efficiently it can manage the company’s operations as well as also analyse the sales based performance in the company’s efficiency in production process. </w:t>
      </w:r>
      <w:r w:rsidR="00FF66F8">
        <w:t xml:space="preserve">According to table, </w:t>
      </w:r>
      <w:r w:rsidR="00FF66F8" w:rsidRPr="00FF66F8">
        <w:t>Hilton Worldwide Holdings Inc</w:t>
      </w:r>
      <w:r w:rsidR="00FF66F8">
        <w:t>.’s gross profit in year 2019 and also in the year 2020 are respectively 25.76% and 13.57%</w:t>
      </w:r>
    </w:p>
    <w:p w14:paraId="0A3D077B" w14:textId="77777777" w:rsidR="00FF66F8" w:rsidRDefault="00572FDF">
      <w:r w:rsidRPr="00572FDF">
        <w:rPr>
          <w:b/>
        </w:rPr>
        <w:t xml:space="preserve">Net profit margin: </w:t>
      </w:r>
      <w:r>
        <w:t>Net profit margin is referred to as a profitability ratio in which is determined to figure out how much percentage remaining a company’s earnings in terms of paying the company’s all operating and also non-operating expenses on a particular accounting period</w:t>
      </w:r>
      <w:r w:rsidR="00964014" w:rsidRPr="00964014">
        <w:t xml:space="preserve"> (Britain, 2013)</w:t>
      </w:r>
      <w:r>
        <w:t>. Higher percentages show higher financial growth or healthy financial condition of a company as well as negative percentage shows the operating and non-operating expenses are much more than company’s earrings which indicate lower financial growth and unhealthy financial condition of a company. Based on the above table, net profit margin of the company in the year 2019 and 2020 are 9.31% and -16.60%</w:t>
      </w:r>
    </w:p>
    <w:p w14:paraId="6254A36B" w14:textId="77777777" w:rsidR="00572FDF" w:rsidRDefault="00572FDF">
      <w:r w:rsidRPr="00413B46">
        <w:rPr>
          <w:b/>
        </w:rPr>
        <w:t xml:space="preserve">Return on assets (ROA): </w:t>
      </w:r>
      <w:r>
        <w:t xml:space="preserve">Return on assets refers to a financial ratio which </w:t>
      </w:r>
      <w:r w:rsidR="00413B46">
        <w:t>is measured to examine how much a company is profitable in terms of its total assets as well as higher value indicates a company more effectively utilize its available assets to generate higher profits</w:t>
      </w:r>
      <w:r w:rsidR="00964014" w:rsidRPr="00964014">
        <w:t xml:space="preserve"> (Horngren, 2014)</w:t>
      </w:r>
      <w:r w:rsidR="00413B46">
        <w:t xml:space="preserve">. Hence based on the above table, ROA of that company in both year 2019 and 2020 are respectively 5.89% and -4.27% </w:t>
      </w:r>
    </w:p>
    <w:p w14:paraId="640E2060" w14:textId="77777777" w:rsidR="00413B46" w:rsidRDefault="00413B46">
      <w:r w:rsidRPr="00413B46">
        <w:rPr>
          <w:b/>
        </w:rPr>
        <w:t>Current ratio:</w:t>
      </w:r>
      <w:r>
        <w:t xml:space="preserve"> Current ratio is referred to as a liquidity ratio by which a company can measure its financial ability to meet its financial obligations as well as short-term liabilities by immediate payments with its current assets</w:t>
      </w:r>
      <w:r w:rsidR="00964014" w:rsidRPr="00964014">
        <w:t xml:space="preserve"> (Singh, 2017)</w:t>
      </w:r>
      <w:r>
        <w:t>. And through that ratio, a company can also analyse its efficiency in terms of paying its current liabilities and the ideal format of that ratio is 2: 1. According to the above table, the current ratio of HLT in the year 2019 and also in the year 2020 are 0.73 and 1.73</w:t>
      </w:r>
    </w:p>
    <w:p w14:paraId="0CFD0148" w14:textId="77777777" w:rsidR="00413B46" w:rsidRDefault="00413B46">
      <w:r w:rsidRPr="005E5783">
        <w:rPr>
          <w:b/>
        </w:rPr>
        <w:t>Asset turnover ratio:</w:t>
      </w:r>
      <w:r>
        <w:t xml:space="preserve"> </w:t>
      </w:r>
      <w:r w:rsidR="005E5783">
        <w:t>Asset turnover ratio refers to a turnover ratio of accompany by which a company can measure the company’s ability and efficiency to generate sales from its available assets as well as higher value higher efficiency in terms of utilizing assets to generate sales</w:t>
      </w:r>
      <w:r w:rsidR="00964014" w:rsidRPr="00964014">
        <w:t xml:space="preserve"> (Thomas, </w:t>
      </w:r>
      <w:proofErr w:type="spellStart"/>
      <w:r w:rsidR="00964014" w:rsidRPr="00964014">
        <w:t>Tietz</w:t>
      </w:r>
      <w:proofErr w:type="spellEnd"/>
      <w:r w:rsidR="00964014" w:rsidRPr="00964014">
        <w:t xml:space="preserve"> and Harrison, 2019)</w:t>
      </w:r>
      <w:r w:rsidR="005E5783">
        <w:t xml:space="preserve">. And based on the above table, assets turnover ratio of </w:t>
      </w:r>
      <w:r w:rsidR="005E5783">
        <w:lastRenderedPageBreak/>
        <w:t xml:space="preserve">HLT is financial year 2109 and 2020 are respectively 0.63 and 0.26. Basically a target range of a company’s assets turnover ratio is 0.25 to 0.50 but higher value shows higher efficiency and effectiveness. </w:t>
      </w:r>
    </w:p>
    <w:p w14:paraId="6126EB0A" w14:textId="77777777" w:rsidR="00A673E5" w:rsidRDefault="00A673E5" w:rsidP="00A673E5">
      <w:pPr>
        <w:pStyle w:val="Heading1"/>
      </w:pPr>
      <w:bookmarkStart w:id="5" w:name="_Toc104566753"/>
      <w:bookmarkStart w:id="6" w:name="_Toc104568115"/>
      <w:r>
        <w:t>Demonstrate the trends of the calculating ratios and provide appropriate conclusion</w:t>
      </w:r>
      <w:bookmarkEnd w:id="5"/>
      <w:bookmarkEnd w:id="6"/>
    </w:p>
    <w:p w14:paraId="2D13CE34" w14:textId="77777777" w:rsidR="00FD4C13" w:rsidRDefault="00FD4C13" w:rsidP="00FD4C13">
      <w:pPr>
        <w:keepNext/>
        <w:jc w:val="center"/>
      </w:pPr>
      <w:r>
        <w:rPr>
          <w:noProof/>
          <w:lang w:eastAsia="en-IN"/>
        </w:rPr>
        <w:drawing>
          <wp:inline distT="0" distB="0" distL="0" distR="0" wp14:anchorId="5244152F" wp14:editId="18ED8671">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BDA661F" w14:textId="77777777" w:rsidR="00FD4C13" w:rsidRDefault="00FD4C13" w:rsidP="00FD4C13">
      <w:pPr>
        <w:jc w:val="center"/>
        <w:rPr>
          <w:i/>
        </w:rPr>
      </w:pPr>
      <w:r w:rsidRPr="00FD4C13">
        <w:rPr>
          <w:i/>
        </w:rPr>
        <w:t xml:space="preserve">Figure </w:t>
      </w:r>
      <w:r w:rsidRPr="00FD4C13">
        <w:rPr>
          <w:i/>
        </w:rPr>
        <w:fldChar w:fldCharType="begin"/>
      </w:r>
      <w:r w:rsidRPr="00FD4C13">
        <w:rPr>
          <w:i/>
        </w:rPr>
        <w:instrText xml:space="preserve"> SEQ Figure \* ARABIC </w:instrText>
      </w:r>
      <w:r w:rsidRPr="00FD4C13">
        <w:rPr>
          <w:i/>
        </w:rPr>
        <w:fldChar w:fldCharType="separate"/>
      </w:r>
      <w:r w:rsidR="006D5869">
        <w:rPr>
          <w:i/>
          <w:noProof/>
        </w:rPr>
        <w:t>1</w:t>
      </w:r>
      <w:r w:rsidRPr="00FD4C13">
        <w:rPr>
          <w:i/>
        </w:rPr>
        <w:fldChar w:fldCharType="end"/>
      </w:r>
      <w:r w:rsidRPr="00FD4C13">
        <w:rPr>
          <w:i/>
        </w:rPr>
        <w:t>: financial performance in the year 2019 and 2020</w:t>
      </w:r>
      <w:r w:rsidR="006D5869">
        <w:rPr>
          <w:i/>
        </w:rPr>
        <w:t xml:space="preserve"> (the author)</w:t>
      </w:r>
    </w:p>
    <w:p w14:paraId="348CAD2C" w14:textId="77777777" w:rsidR="00327C6F" w:rsidRDefault="00327C6F" w:rsidP="00327C6F">
      <w:r>
        <w:t xml:space="preserve">According to the line graph, the gross profit margin of </w:t>
      </w:r>
      <w:r w:rsidRPr="00327C6F">
        <w:t>Hilton Worldwide Holdings Inc.(HLT)</w:t>
      </w:r>
      <w:r>
        <w:t xml:space="preserve"> is comparatively lower in the current year than the previous year. And it shows the lower trend of the company as well as the company also has lower sales in terms of the previous year. And</w:t>
      </w:r>
      <w:r w:rsidRPr="00327C6F">
        <w:t xml:space="preserve"> due to increasing cost of goods sold in terms of sales</w:t>
      </w:r>
      <w:r>
        <w:t xml:space="preserve"> in the current year, the company’s gross profit margin is decreased in the year 2020. Hence, the net profit margins of HLT also shows downward trends in terms of the previous financial year which indicates the company has much operating and non-operating expenses in terms of generating earnings and the remaining earnings is lower after paying all expenses like operating and non-operating</w:t>
      </w:r>
      <w:r w:rsidR="00964014" w:rsidRPr="00964014">
        <w:t xml:space="preserve"> (</w:t>
      </w:r>
      <w:proofErr w:type="spellStart"/>
      <w:r w:rsidR="00964014" w:rsidRPr="00964014">
        <w:t>Agapova</w:t>
      </w:r>
      <w:proofErr w:type="spellEnd"/>
      <w:r w:rsidR="00964014" w:rsidRPr="00964014">
        <w:t xml:space="preserve"> and </w:t>
      </w:r>
      <w:proofErr w:type="spellStart"/>
      <w:r w:rsidR="00964014" w:rsidRPr="00964014">
        <w:t>Vishwasrao</w:t>
      </w:r>
      <w:proofErr w:type="spellEnd"/>
      <w:r w:rsidR="00964014" w:rsidRPr="00964014">
        <w:t>, 2020)</w:t>
      </w:r>
      <w:r>
        <w:t xml:space="preserve">. And the downward trend in net profit margin indicates unhealthy financial condition in the current year by comparing the previous year. Hence the another ratio like ROA also shows downward trend in the year 2020 which indicates the company </w:t>
      </w:r>
      <w:r w:rsidR="006D5869">
        <w:t>highly</w:t>
      </w:r>
      <w:r>
        <w:t xml:space="preserve"> fails to </w:t>
      </w:r>
      <w:r w:rsidR="006D5869">
        <w:t xml:space="preserve">generate effective profits by utilizing its available assets. In 2019, the company generated more profits by utilizing its assets but it fails in the current year and the company is quite unprofitable in the year 2020. </w:t>
      </w:r>
    </w:p>
    <w:p w14:paraId="13DC38D8" w14:textId="77777777" w:rsidR="006D5869" w:rsidRDefault="006D5869" w:rsidP="006D5869">
      <w:pPr>
        <w:keepNext/>
        <w:jc w:val="center"/>
      </w:pPr>
      <w:r>
        <w:rPr>
          <w:noProof/>
          <w:lang w:eastAsia="en-IN"/>
        </w:rPr>
        <w:lastRenderedPageBreak/>
        <w:drawing>
          <wp:inline distT="0" distB="0" distL="0" distR="0" wp14:anchorId="6B4B52C6" wp14:editId="43B358D6">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27D715E" w14:textId="77777777" w:rsidR="006D5869" w:rsidRDefault="006D5869" w:rsidP="006D5869">
      <w:pPr>
        <w:jc w:val="center"/>
        <w:rPr>
          <w:i/>
        </w:rPr>
      </w:pPr>
      <w:r w:rsidRPr="006D5869">
        <w:rPr>
          <w:i/>
        </w:rPr>
        <w:t xml:space="preserve">Figure </w:t>
      </w:r>
      <w:r w:rsidRPr="006D5869">
        <w:rPr>
          <w:i/>
        </w:rPr>
        <w:fldChar w:fldCharType="begin"/>
      </w:r>
      <w:r w:rsidRPr="006D5869">
        <w:rPr>
          <w:i/>
        </w:rPr>
        <w:instrText xml:space="preserve"> SEQ Figure \* ARABIC </w:instrText>
      </w:r>
      <w:r w:rsidRPr="006D5869">
        <w:rPr>
          <w:i/>
        </w:rPr>
        <w:fldChar w:fldCharType="separate"/>
      </w:r>
      <w:r w:rsidRPr="006D5869">
        <w:rPr>
          <w:i/>
          <w:noProof/>
        </w:rPr>
        <w:t>2</w:t>
      </w:r>
      <w:r w:rsidRPr="006D5869">
        <w:rPr>
          <w:i/>
        </w:rPr>
        <w:fldChar w:fldCharType="end"/>
      </w:r>
      <w:r w:rsidRPr="006D5869">
        <w:rPr>
          <w:i/>
        </w:rPr>
        <w:t>: Financial performance in terms of current and asset turnover ratio</w:t>
      </w:r>
      <w:r>
        <w:rPr>
          <w:i/>
        </w:rPr>
        <w:t xml:space="preserve"> (the author)</w:t>
      </w:r>
    </w:p>
    <w:p w14:paraId="2172CDC9" w14:textId="77777777" w:rsidR="006D5869" w:rsidRDefault="006D5869" w:rsidP="006D5869">
      <w:r>
        <w:t>Hence according to the above line graph of the HLT’s shows the company’s current ratio and assets turnover ratio in the year 2019 and 2020. In terms of current ratio, the ratio in 2020 is much higher than the year 2019. Hence the company holds more current assets to meet up its financial debt obligations of short-term liabilities but in the previous year, the company hold lower current assets to meet its short-term liabilities. But it’s better for the company to hold more current assets than its current liabilities and effective portion help the company to fulfil the immediate payments of its required short-term liabilities</w:t>
      </w:r>
      <w:r w:rsidR="00964014" w:rsidRPr="00964014">
        <w:t xml:space="preserve"> (Thomas, </w:t>
      </w:r>
      <w:proofErr w:type="spellStart"/>
      <w:r w:rsidR="00964014" w:rsidRPr="00964014">
        <w:t>Tietz</w:t>
      </w:r>
      <w:proofErr w:type="spellEnd"/>
      <w:r w:rsidR="00964014" w:rsidRPr="00964014">
        <w:t xml:space="preserve"> and Harrison, 2019)</w:t>
      </w:r>
      <w:r>
        <w:t xml:space="preserve">. </w:t>
      </w:r>
      <w:r w:rsidR="00C463D4">
        <w:t xml:space="preserve">Hence, the assets turnover ratio of the company is comparatively lower in the year 2020 than previous. and the downward trends show lower efficiency of the company in terms of generating lower sales by using its total assets. </w:t>
      </w:r>
      <w:r w:rsidR="004A12DE">
        <w:t xml:space="preserve">And that ratio’s trend indicates the value of asset turnover of the company is decreasing by comparing as the previous year which ensures lower efficiency and effectiveness in terms of generating sales in the current year of HLT. </w:t>
      </w:r>
    </w:p>
    <w:p w14:paraId="4C4D590F" w14:textId="77777777" w:rsidR="002E5370" w:rsidRDefault="002E5370" w:rsidP="002E5370">
      <w:pPr>
        <w:pStyle w:val="Heading1"/>
      </w:pPr>
      <w:bookmarkStart w:id="7" w:name="_Toc104566754"/>
      <w:bookmarkStart w:id="8" w:name="_Toc104568116"/>
      <w:r>
        <w:t>The importance of ratio analysis for effective decision-making</w:t>
      </w:r>
      <w:bookmarkEnd w:id="7"/>
      <w:bookmarkEnd w:id="8"/>
      <w:r>
        <w:t xml:space="preserve"> </w:t>
      </w:r>
    </w:p>
    <w:p w14:paraId="4E5E7867" w14:textId="77777777" w:rsidR="002E5370" w:rsidRDefault="00EC5C52" w:rsidP="002E5370">
      <w:r>
        <w:t>Financial ratios show the performances of an organisation and the ratio analysis is known as an effective management tools by which a company can effectively understand its financial results as well as also figure out the trends of company’s over time</w:t>
      </w:r>
      <w:r w:rsidR="00964014" w:rsidRPr="00964014">
        <w:t xml:space="preserve"> (</w:t>
      </w:r>
      <w:proofErr w:type="spellStart"/>
      <w:r w:rsidR="00964014" w:rsidRPr="00964014">
        <w:t>Chim</w:t>
      </w:r>
      <w:proofErr w:type="spellEnd"/>
      <w:r w:rsidR="00964014" w:rsidRPr="00964014">
        <w:t xml:space="preserve"> Miki and </w:t>
      </w:r>
      <w:proofErr w:type="spellStart"/>
      <w:r w:rsidR="00964014" w:rsidRPr="00964014">
        <w:t>Nóbrega</w:t>
      </w:r>
      <w:proofErr w:type="spellEnd"/>
      <w:r w:rsidR="00964014" w:rsidRPr="00964014">
        <w:t>, 2021)</w:t>
      </w:r>
      <w:r>
        <w:t xml:space="preserve">. And based on the identifying and understanding weaknesses and strengths, a company can develop the appropriate strategies and initiatives as well as also taking effective business decision which might useful for the company. </w:t>
      </w:r>
      <w:r w:rsidR="00895C04">
        <w:t xml:space="preserve">Hence the process of analysing the financial metric and also interpret the financial ratios, companies’ management can make the best </w:t>
      </w:r>
      <w:r w:rsidR="00895C04">
        <w:lastRenderedPageBreak/>
        <w:t>decisions based on that management tool. Ratio analysis is conducted based on a company’s available financial information and the ratio analysis provide valuable information of a company in terms of its performances which help the company’s manager to allocate and utilize its available resources, develop the best strategies for the company as well as effectively find investors for the company</w:t>
      </w:r>
      <w:r w:rsidR="00964014" w:rsidRPr="00964014">
        <w:t xml:space="preserve"> (</w:t>
      </w:r>
      <w:proofErr w:type="spellStart"/>
      <w:r w:rsidR="00964014" w:rsidRPr="00964014">
        <w:t>Steffy</w:t>
      </w:r>
      <w:proofErr w:type="spellEnd"/>
      <w:r w:rsidR="00964014" w:rsidRPr="00964014">
        <w:t xml:space="preserve">, </w:t>
      </w:r>
      <w:proofErr w:type="spellStart"/>
      <w:r w:rsidR="00964014" w:rsidRPr="00964014">
        <w:t>Zearley</w:t>
      </w:r>
      <w:proofErr w:type="spellEnd"/>
      <w:r w:rsidR="00964014" w:rsidRPr="00964014">
        <w:t xml:space="preserve"> and Strunk, 2014)</w:t>
      </w:r>
      <w:r w:rsidR="00895C04">
        <w:t>.</w:t>
      </w:r>
      <w:r w:rsidR="00893427">
        <w:t xml:space="preserve"> And through ratio analysis and the interpret of the financial metrics, stakeholders can understand the key financial position and its health condition over a particular accounting period as well as through ratio analysis, they can compare each year financial performances with its perspective year’s performances results. And that help stakeholders to make their business decisions. </w:t>
      </w:r>
      <w:r w:rsidR="00895C04">
        <w:t xml:space="preserve">Hence, ratio analysis helps Hilton Worldwide Holdings Inc.’s manager to analyse the financial statements of the company critically and through critical analysis, the company’s manger effectively figures out and understand the company’s financial health conditions and weaknesses which influence their decision making process. And after finding strengths and weaknesses, company’s manager can develop the best strategies for the company </w:t>
      </w:r>
      <w:r w:rsidR="00734889">
        <w:t>and evaluating financial ratios, the suppliers and other interested parties also can take decision on granting credits, proving loans and also investing on the company</w:t>
      </w:r>
      <w:r w:rsidR="00590402" w:rsidRPr="00590402">
        <w:t xml:space="preserve"> (</w:t>
      </w:r>
      <w:proofErr w:type="spellStart"/>
      <w:r w:rsidR="00590402" w:rsidRPr="00590402">
        <w:t>Nimalathasan</w:t>
      </w:r>
      <w:proofErr w:type="spellEnd"/>
      <w:r w:rsidR="00590402" w:rsidRPr="00590402">
        <w:t xml:space="preserve"> </w:t>
      </w:r>
      <w:proofErr w:type="spellStart"/>
      <w:r w:rsidR="00590402" w:rsidRPr="00590402">
        <w:t>Balasundaram</w:t>
      </w:r>
      <w:proofErr w:type="spellEnd"/>
      <w:r w:rsidR="00590402" w:rsidRPr="00590402">
        <w:t>, 2012)</w:t>
      </w:r>
      <w:r w:rsidR="00734889">
        <w:t xml:space="preserve">. </w:t>
      </w:r>
    </w:p>
    <w:p w14:paraId="193DED19" w14:textId="77777777" w:rsidR="00893427" w:rsidRDefault="00767B2C" w:rsidP="00767B2C">
      <w:pPr>
        <w:pStyle w:val="Heading1"/>
      </w:pPr>
      <w:bookmarkStart w:id="9" w:name="_Toc104566755"/>
      <w:bookmarkStart w:id="10" w:name="_Toc104568117"/>
      <w:r>
        <w:t>Limitation of ratio analysis and analyse the importance of ratios and their fluctuations in Hotel management</w:t>
      </w:r>
      <w:bookmarkEnd w:id="9"/>
      <w:bookmarkEnd w:id="10"/>
    </w:p>
    <w:p w14:paraId="77BD9E36" w14:textId="77777777" w:rsidR="00767B2C" w:rsidRDefault="00767B2C" w:rsidP="00767B2C">
      <w:r>
        <w:t>Ratio analysis is considered as a method of analysing, interpreting and also comparing of a company’s financial data through measuring the company’s required financial statement’s values and percentages</w:t>
      </w:r>
      <w:r w:rsidR="00590402" w:rsidRPr="00590402">
        <w:t xml:space="preserve"> (ANUPAMA and KESAVA RAO, 2019)</w:t>
      </w:r>
      <w:r>
        <w:t xml:space="preserve">. And it has several limitations like a company’s financial statements seemed to much complicated Hence a company financial information is highly influenced by different views and also hypothesis. And, the standard accounting criteria provides different accounting methods which decrease comparability as well as in that perspective the ratio analysis is quite ineffective or less useful. Hence ratio analysis highly </w:t>
      </w:r>
      <w:r w:rsidR="00BA753F">
        <w:t>conducted based on the associations of prior data but the interested parties of the company highly concern about the present and future data</w:t>
      </w:r>
      <w:r w:rsidR="00964014" w:rsidRPr="00964014">
        <w:t xml:space="preserve"> (Pan, 2015)</w:t>
      </w:r>
      <w:r w:rsidR="00BA753F">
        <w:t xml:space="preserve">. </w:t>
      </w:r>
    </w:p>
    <w:p w14:paraId="406B7E6B" w14:textId="77777777" w:rsidR="002D1DE9" w:rsidRDefault="00BA753F" w:rsidP="00767B2C">
      <w:pPr>
        <w:rPr>
          <w:color w:val="FF0000"/>
        </w:rPr>
      </w:pPr>
      <w:r>
        <w:t>An effective and proper understating of financial ratios and their fluctuations is highly essential for Hotel management in analysing the financial statement’s required data. Different financial ratios like profitability ratio, solvency ratio, liquidity and activity ratio are highly essential in hotel management or for hotel industry</w:t>
      </w:r>
      <w:r w:rsidR="00590402" w:rsidRPr="00590402">
        <w:t xml:space="preserve"> (</w:t>
      </w:r>
      <w:proofErr w:type="spellStart"/>
      <w:r w:rsidR="00590402" w:rsidRPr="00590402">
        <w:t>Nimalathasan</w:t>
      </w:r>
      <w:proofErr w:type="spellEnd"/>
      <w:r w:rsidR="00590402" w:rsidRPr="00590402">
        <w:t xml:space="preserve"> </w:t>
      </w:r>
      <w:proofErr w:type="spellStart"/>
      <w:r w:rsidR="00590402" w:rsidRPr="00590402">
        <w:t>Balasundaram</w:t>
      </w:r>
      <w:proofErr w:type="spellEnd"/>
      <w:r w:rsidR="00590402" w:rsidRPr="00590402">
        <w:t>, 2012)</w:t>
      </w:r>
      <w:r>
        <w:t xml:space="preserve">. For example, the solvency ratios of a company provide stakeholders an effective understanding in long-term </w:t>
      </w:r>
      <w:r>
        <w:lastRenderedPageBreak/>
        <w:t>solvency of the company in the hotel industry. And through that ratio analysis, stakeholders can analyse the company’s short term solvency and its ability to meet its short-term financial obligations</w:t>
      </w:r>
      <w:r w:rsidR="00752B60">
        <w:t>. Hence in hotel industry, companies need more current liabilities in terms of leasing short-term equipment, salaries and wages and other short-term liabilities and the company needs to ensure effective portion of current assets in terms of current liabilities by considering the stakeholder’s expectations</w:t>
      </w:r>
      <w:r w:rsidR="00590402" w:rsidRPr="00590402">
        <w:t xml:space="preserve"> (ANUPAMA and KESAVA RAO, 2019)</w:t>
      </w:r>
      <w:r w:rsidR="00752B60">
        <w:t xml:space="preserve">. </w:t>
      </w:r>
      <w:r w:rsidR="0025090C">
        <w:t>Hence leverage ratios are also essential for hotel management and like by analysing financial statements, stakeholders expect lower debt ratio and figure out th</w:t>
      </w:r>
      <w:r w:rsidR="002D1DE9">
        <w:t xml:space="preserve">e long term assets which help </w:t>
      </w:r>
      <w:r w:rsidR="0025090C">
        <w:t xml:space="preserve">companies in hotel industry to run the business successfully. </w:t>
      </w:r>
      <w:r w:rsidR="008E04F8">
        <w:t xml:space="preserve">And the ratios and their </w:t>
      </w:r>
      <w:r w:rsidR="0021612C">
        <w:t xml:space="preserve">fluctuations help hotel manager to identify financial outcomes and trends which help them to develop strategies which ensure effective financial management of that sector. </w:t>
      </w:r>
      <w:r w:rsidR="002D1DE9">
        <w:t xml:space="preserve">Hence </w:t>
      </w:r>
      <w:r w:rsidR="008E04F8">
        <w:t xml:space="preserve">the ratio analysis and their fluctuations is crucial for hotel management for providing the interested parities of business like investors, dealers, management, leaders of establishing the necessary information that they highly use in several domain’s concern as well as from which the financial analysis of companies drives its importance. </w:t>
      </w:r>
    </w:p>
    <w:p w14:paraId="76DDB200" w14:textId="77777777" w:rsidR="002D1DE9" w:rsidRDefault="002D1DE9" w:rsidP="002D1DE9">
      <w:r>
        <w:br w:type="page"/>
      </w:r>
    </w:p>
    <w:p w14:paraId="32028FC1" w14:textId="77777777" w:rsidR="00BA753F" w:rsidRDefault="002D1DE9" w:rsidP="002D1DE9">
      <w:pPr>
        <w:pStyle w:val="Heading1"/>
      </w:pPr>
      <w:bookmarkStart w:id="11" w:name="_Toc104566756"/>
      <w:bookmarkStart w:id="12" w:name="_Toc104568118"/>
      <w:r>
        <w:lastRenderedPageBreak/>
        <w:t>Conclusion</w:t>
      </w:r>
      <w:bookmarkEnd w:id="11"/>
      <w:bookmarkEnd w:id="12"/>
    </w:p>
    <w:p w14:paraId="2751AC5E" w14:textId="77777777" w:rsidR="00CA7E75" w:rsidRDefault="002D1DE9" w:rsidP="002D1DE9">
      <w:r>
        <w:t xml:space="preserve">Ratio analysis is highly used for analysing the financial performances of a company and also used for comparing the performances with perspective years as well as through analysis ratio by evaluating company financial statements, stakeholders might figure out the company’s weaknesses and strengths which help each interested parties to make their decisions. Hence through ratio analysis and its fluctuations, companies can enhance the efficiency in planning and monitoring hotel activity and analyse the influencing factors of profitability, solvency, efficiency etc. </w:t>
      </w:r>
    </w:p>
    <w:p w14:paraId="034E500B" w14:textId="77777777" w:rsidR="00CA7E75" w:rsidRDefault="00CA7E75">
      <w:pPr>
        <w:spacing w:line="259" w:lineRule="auto"/>
        <w:jc w:val="left"/>
      </w:pPr>
      <w:r>
        <w:br w:type="page"/>
      </w:r>
    </w:p>
    <w:p w14:paraId="6E616AD1" w14:textId="77777777" w:rsidR="00CA7E75" w:rsidRPr="00CA7E75" w:rsidRDefault="00CA7E75" w:rsidP="00CA7E75">
      <w:pPr>
        <w:pStyle w:val="Heading1"/>
        <w:rPr>
          <w:rFonts w:eastAsia="Times New Roman"/>
          <w:lang w:eastAsia="en-IN"/>
        </w:rPr>
      </w:pPr>
      <w:bookmarkStart w:id="13" w:name="_Toc104566757"/>
      <w:bookmarkStart w:id="14" w:name="_Toc104568119"/>
      <w:r w:rsidRPr="00CA7E75">
        <w:rPr>
          <w:rFonts w:eastAsia="Times New Roman"/>
          <w:lang w:eastAsia="en-IN"/>
        </w:rPr>
        <w:lastRenderedPageBreak/>
        <w:t>Reference list</w:t>
      </w:r>
      <w:bookmarkEnd w:id="13"/>
      <w:bookmarkEnd w:id="14"/>
    </w:p>
    <w:p w14:paraId="2A4BD64E" w14:textId="77777777" w:rsidR="00CA7E75" w:rsidRPr="00CA7E75" w:rsidRDefault="00CA7E75" w:rsidP="00CA7E75">
      <w:pPr>
        <w:shd w:val="clear" w:color="auto" w:fill="FFFFFF"/>
        <w:spacing w:after="240"/>
        <w:jc w:val="left"/>
        <w:rPr>
          <w:rFonts w:eastAsia="Times New Roman" w:cs="Times New Roman"/>
          <w:color w:val="000000"/>
          <w:szCs w:val="24"/>
          <w:lang w:eastAsia="en-IN"/>
        </w:rPr>
      </w:pPr>
      <w:proofErr w:type="spellStart"/>
      <w:r w:rsidRPr="00CA7E75">
        <w:rPr>
          <w:rFonts w:eastAsia="Times New Roman" w:cs="Times New Roman"/>
          <w:color w:val="000000"/>
          <w:szCs w:val="24"/>
          <w:lang w:eastAsia="en-IN"/>
        </w:rPr>
        <w:t>Agapova</w:t>
      </w:r>
      <w:proofErr w:type="spellEnd"/>
      <w:r w:rsidRPr="00CA7E75">
        <w:rPr>
          <w:rFonts w:eastAsia="Times New Roman" w:cs="Times New Roman"/>
          <w:color w:val="000000"/>
          <w:szCs w:val="24"/>
          <w:lang w:eastAsia="en-IN"/>
        </w:rPr>
        <w:t xml:space="preserve">, A. and </w:t>
      </w:r>
      <w:proofErr w:type="spellStart"/>
      <w:r w:rsidRPr="00CA7E75">
        <w:rPr>
          <w:rFonts w:eastAsia="Times New Roman" w:cs="Times New Roman"/>
          <w:color w:val="000000"/>
          <w:szCs w:val="24"/>
          <w:lang w:eastAsia="en-IN"/>
        </w:rPr>
        <w:t>Vishwasrao</w:t>
      </w:r>
      <w:proofErr w:type="spellEnd"/>
      <w:r w:rsidRPr="00CA7E75">
        <w:rPr>
          <w:rFonts w:eastAsia="Times New Roman" w:cs="Times New Roman"/>
          <w:color w:val="000000"/>
          <w:szCs w:val="24"/>
          <w:lang w:eastAsia="en-IN"/>
        </w:rPr>
        <w:t xml:space="preserve">, S. (2020). Financial sector foreign aid and financial intermediation. </w:t>
      </w:r>
      <w:r w:rsidRPr="00CA7E75">
        <w:rPr>
          <w:rFonts w:eastAsia="Times New Roman" w:cs="Times New Roman"/>
          <w:i/>
          <w:iCs/>
          <w:color w:val="000000"/>
          <w:szCs w:val="24"/>
          <w:lang w:eastAsia="en-IN"/>
        </w:rPr>
        <w:t>International Review of Financial Analysis</w:t>
      </w:r>
      <w:r w:rsidRPr="00CA7E75">
        <w:rPr>
          <w:rFonts w:eastAsia="Times New Roman" w:cs="Times New Roman"/>
          <w:color w:val="000000"/>
          <w:szCs w:val="24"/>
          <w:lang w:eastAsia="en-IN"/>
        </w:rPr>
        <w:t xml:space="preserve">, 72(11). </w:t>
      </w:r>
      <w:proofErr w:type="gramStart"/>
      <w:r w:rsidRPr="00CA7E75">
        <w:rPr>
          <w:rFonts w:eastAsia="Times New Roman" w:cs="Times New Roman"/>
          <w:color w:val="000000"/>
          <w:szCs w:val="24"/>
          <w:lang w:eastAsia="en-IN"/>
        </w:rPr>
        <w:t>doi:10.1016/j.irfa</w:t>
      </w:r>
      <w:proofErr w:type="gramEnd"/>
      <w:r w:rsidRPr="00CA7E75">
        <w:rPr>
          <w:rFonts w:eastAsia="Times New Roman" w:cs="Times New Roman"/>
          <w:color w:val="000000"/>
          <w:szCs w:val="24"/>
          <w:lang w:eastAsia="en-IN"/>
        </w:rPr>
        <w:t>.2020.101589.</w:t>
      </w:r>
    </w:p>
    <w:p w14:paraId="3A693AFD" w14:textId="77777777" w:rsidR="00CA7E75" w:rsidRPr="00CA7E75" w:rsidRDefault="00CA7E75" w:rsidP="00CA7E75">
      <w:pPr>
        <w:shd w:val="clear" w:color="auto" w:fill="FFFFFF"/>
        <w:spacing w:after="240"/>
        <w:jc w:val="left"/>
        <w:rPr>
          <w:rFonts w:eastAsia="Times New Roman" w:cs="Times New Roman"/>
          <w:color w:val="000000"/>
          <w:szCs w:val="24"/>
          <w:lang w:eastAsia="en-IN"/>
        </w:rPr>
      </w:pPr>
      <w:r w:rsidRPr="00CA7E75">
        <w:rPr>
          <w:rFonts w:eastAsia="Times New Roman" w:cs="Times New Roman"/>
          <w:color w:val="000000"/>
          <w:szCs w:val="24"/>
          <w:lang w:eastAsia="en-IN"/>
        </w:rPr>
        <w:t xml:space="preserve">ANUPAMA, G. and KESAVA RAO, V.V.S. (2019). SOME OBJECTIVE METHODS FOR DETERMINING RELATIVE IMPORTANCE OF FINANCIAL RATIOS. </w:t>
      </w:r>
      <w:r w:rsidRPr="00CA7E75">
        <w:rPr>
          <w:rFonts w:eastAsia="Times New Roman" w:cs="Times New Roman"/>
          <w:i/>
          <w:iCs/>
          <w:color w:val="000000"/>
          <w:szCs w:val="24"/>
          <w:lang w:eastAsia="en-IN"/>
        </w:rPr>
        <w:t>INTERNATIONAL JOURNAL OF MANAGEMENT</w:t>
      </w:r>
      <w:r w:rsidRPr="00CA7E75">
        <w:rPr>
          <w:rFonts w:eastAsia="Times New Roman" w:cs="Times New Roman"/>
          <w:color w:val="000000"/>
          <w:szCs w:val="24"/>
          <w:lang w:eastAsia="en-IN"/>
        </w:rPr>
        <w:t>, 10(4). doi:10.34218/ijm.10.4.2019.008.</w:t>
      </w:r>
    </w:p>
    <w:p w14:paraId="7208CEC7" w14:textId="77777777" w:rsidR="00CA7E75" w:rsidRPr="00CA7E75" w:rsidRDefault="00CA7E75" w:rsidP="00CA7E75">
      <w:pPr>
        <w:shd w:val="clear" w:color="auto" w:fill="FFFFFF"/>
        <w:spacing w:after="240"/>
        <w:jc w:val="left"/>
        <w:rPr>
          <w:rFonts w:eastAsia="Times New Roman" w:cs="Times New Roman"/>
          <w:color w:val="000000"/>
          <w:szCs w:val="24"/>
          <w:lang w:eastAsia="en-IN"/>
        </w:rPr>
      </w:pPr>
      <w:r w:rsidRPr="00CA7E75">
        <w:rPr>
          <w:rFonts w:eastAsia="Times New Roman" w:cs="Times New Roman"/>
          <w:color w:val="000000"/>
          <w:szCs w:val="24"/>
          <w:lang w:eastAsia="en-IN"/>
        </w:rPr>
        <w:t xml:space="preserve">Britain, G. (2013). </w:t>
      </w:r>
      <w:r w:rsidRPr="00CA7E75">
        <w:rPr>
          <w:rFonts w:eastAsia="Times New Roman" w:cs="Times New Roman"/>
          <w:i/>
          <w:iCs/>
          <w:color w:val="000000"/>
          <w:szCs w:val="24"/>
          <w:lang w:eastAsia="en-IN"/>
        </w:rPr>
        <w:t>Financial management.</w:t>
      </w:r>
      <w:r w:rsidRPr="00CA7E75">
        <w:rPr>
          <w:rFonts w:eastAsia="Times New Roman" w:cs="Times New Roman"/>
          <w:color w:val="000000"/>
          <w:szCs w:val="24"/>
          <w:lang w:eastAsia="en-IN"/>
        </w:rPr>
        <w:t xml:space="preserve"> London: </w:t>
      </w:r>
      <w:proofErr w:type="spellStart"/>
      <w:r w:rsidRPr="00CA7E75">
        <w:rPr>
          <w:rFonts w:eastAsia="Times New Roman" w:cs="Times New Roman"/>
          <w:color w:val="000000"/>
          <w:szCs w:val="24"/>
          <w:lang w:eastAsia="en-IN"/>
        </w:rPr>
        <w:t>Bpp</w:t>
      </w:r>
      <w:proofErr w:type="spellEnd"/>
      <w:r w:rsidRPr="00CA7E75">
        <w:rPr>
          <w:rFonts w:eastAsia="Times New Roman" w:cs="Times New Roman"/>
          <w:color w:val="000000"/>
          <w:szCs w:val="24"/>
          <w:lang w:eastAsia="en-IN"/>
        </w:rPr>
        <w:t xml:space="preserve"> Learning Media Ltd.</w:t>
      </w:r>
    </w:p>
    <w:p w14:paraId="56F1A473" w14:textId="77777777" w:rsidR="00CA7E75" w:rsidRPr="00CA7E75" w:rsidRDefault="00CA7E75" w:rsidP="00CA7E75">
      <w:pPr>
        <w:shd w:val="clear" w:color="auto" w:fill="FFFFFF"/>
        <w:spacing w:after="240"/>
        <w:jc w:val="left"/>
        <w:rPr>
          <w:rFonts w:eastAsia="Times New Roman" w:cs="Times New Roman"/>
          <w:color w:val="000000"/>
          <w:szCs w:val="24"/>
          <w:lang w:eastAsia="en-IN"/>
        </w:rPr>
      </w:pPr>
      <w:proofErr w:type="spellStart"/>
      <w:r w:rsidRPr="00CA7E75">
        <w:rPr>
          <w:rFonts w:eastAsia="Times New Roman" w:cs="Times New Roman"/>
          <w:color w:val="000000"/>
          <w:szCs w:val="24"/>
          <w:lang w:eastAsia="en-IN"/>
        </w:rPr>
        <w:t>Chim</w:t>
      </w:r>
      <w:proofErr w:type="spellEnd"/>
      <w:r w:rsidRPr="00CA7E75">
        <w:rPr>
          <w:rFonts w:eastAsia="Times New Roman" w:cs="Times New Roman"/>
          <w:color w:val="000000"/>
          <w:szCs w:val="24"/>
          <w:lang w:eastAsia="en-IN"/>
        </w:rPr>
        <w:t xml:space="preserve"> Miki, A.F. and </w:t>
      </w:r>
      <w:proofErr w:type="spellStart"/>
      <w:r w:rsidRPr="00CA7E75">
        <w:rPr>
          <w:rFonts w:eastAsia="Times New Roman" w:cs="Times New Roman"/>
          <w:color w:val="000000"/>
          <w:szCs w:val="24"/>
          <w:lang w:eastAsia="en-IN"/>
        </w:rPr>
        <w:t>Nóbrega</w:t>
      </w:r>
      <w:proofErr w:type="spellEnd"/>
      <w:r w:rsidRPr="00CA7E75">
        <w:rPr>
          <w:rFonts w:eastAsia="Times New Roman" w:cs="Times New Roman"/>
          <w:color w:val="000000"/>
          <w:szCs w:val="24"/>
          <w:lang w:eastAsia="en-IN"/>
        </w:rPr>
        <w:t xml:space="preserve">, P.I.S.D. (2021). Decision making based on citizens standpoint: An Importance-Performance Analysis of Smart City Indicators. </w:t>
      </w:r>
      <w:r w:rsidRPr="00CA7E75">
        <w:rPr>
          <w:rFonts w:eastAsia="Times New Roman" w:cs="Times New Roman"/>
          <w:i/>
          <w:iCs/>
          <w:color w:val="000000"/>
          <w:szCs w:val="24"/>
          <w:lang w:eastAsia="en-IN"/>
        </w:rPr>
        <w:t>International Journal of Management and Decision Making</w:t>
      </w:r>
      <w:r w:rsidRPr="00CA7E75">
        <w:rPr>
          <w:rFonts w:eastAsia="Times New Roman" w:cs="Times New Roman"/>
          <w:color w:val="000000"/>
          <w:szCs w:val="24"/>
          <w:lang w:eastAsia="en-IN"/>
        </w:rPr>
        <w:t>, 20(1). doi:10.1504/ijmdm.2021.10034295.</w:t>
      </w:r>
    </w:p>
    <w:p w14:paraId="0F3EA8DF" w14:textId="77777777" w:rsidR="00CA7E75" w:rsidRPr="00CA7E75" w:rsidRDefault="00CA7E75" w:rsidP="00CA7E75">
      <w:pPr>
        <w:shd w:val="clear" w:color="auto" w:fill="FFFFFF"/>
        <w:spacing w:after="240"/>
        <w:jc w:val="left"/>
        <w:rPr>
          <w:rFonts w:eastAsia="Times New Roman" w:cs="Times New Roman"/>
          <w:color w:val="000000"/>
          <w:szCs w:val="24"/>
          <w:lang w:eastAsia="en-IN"/>
        </w:rPr>
      </w:pPr>
      <w:r w:rsidRPr="00CA7E75">
        <w:rPr>
          <w:rFonts w:eastAsia="Times New Roman" w:cs="Times New Roman"/>
          <w:color w:val="000000"/>
          <w:szCs w:val="24"/>
          <w:lang w:eastAsia="en-IN"/>
        </w:rPr>
        <w:t xml:space="preserve">Horngren, C.T. (2014). </w:t>
      </w:r>
      <w:r w:rsidRPr="00CA7E75">
        <w:rPr>
          <w:rFonts w:eastAsia="Times New Roman" w:cs="Times New Roman"/>
          <w:i/>
          <w:iCs/>
          <w:color w:val="000000"/>
          <w:szCs w:val="24"/>
          <w:lang w:eastAsia="en-IN"/>
        </w:rPr>
        <w:t>Accounting</w:t>
      </w:r>
      <w:r w:rsidRPr="00CA7E75">
        <w:rPr>
          <w:rFonts w:eastAsia="Times New Roman" w:cs="Times New Roman"/>
          <w:color w:val="000000"/>
          <w:szCs w:val="24"/>
          <w:lang w:eastAsia="en-IN"/>
        </w:rPr>
        <w:t>. Toronto: Pearson Canada.</w:t>
      </w:r>
    </w:p>
    <w:p w14:paraId="71E1255C" w14:textId="77777777" w:rsidR="00CA7E75" w:rsidRPr="00CA7E75" w:rsidRDefault="00CA7E75" w:rsidP="00CA7E75">
      <w:pPr>
        <w:shd w:val="clear" w:color="auto" w:fill="FFFFFF"/>
        <w:spacing w:after="240"/>
        <w:jc w:val="left"/>
        <w:rPr>
          <w:rFonts w:eastAsia="Times New Roman" w:cs="Times New Roman"/>
          <w:color w:val="000000"/>
          <w:szCs w:val="24"/>
          <w:lang w:eastAsia="en-IN"/>
        </w:rPr>
      </w:pPr>
      <w:proofErr w:type="spellStart"/>
      <w:r w:rsidRPr="00CA7E75">
        <w:rPr>
          <w:rFonts w:eastAsia="Times New Roman" w:cs="Times New Roman"/>
          <w:color w:val="000000"/>
          <w:szCs w:val="24"/>
          <w:lang w:eastAsia="en-IN"/>
        </w:rPr>
        <w:t>Nimalathasan</w:t>
      </w:r>
      <w:proofErr w:type="spellEnd"/>
      <w:r w:rsidRPr="00CA7E75">
        <w:rPr>
          <w:rFonts w:eastAsia="Times New Roman" w:cs="Times New Roman"/>
          <w:color w:val="000000"/>
          <w:szCs w:val="24"/>
          <w:lang w:eastAsia="en-IN"/>
        </w:rPr>
        <w:t xml:space="preserve"> </w:t>
      </w:r>
      <w:proofErr w:type="spellStart"/>
      <w:r w:rsidRPr="00CA7E75">
        <w:rPr>
          <w:rFonts w:eastAsia="Times New Roman" w:cs="Times New Roman"/>
          <w:color w:val="000000"/>
          <w:szCs w:val="24"/>
          <w:lang w:eastAsia="en-IN"/>
        </w:rPr>
        <w:t>Balasundaram</w:t>
      </w:r>
      <w:proofErr w:type="spellEnd"/>
      <w:r w:rsidRPr="00CA7E75">
        <w:rPr>
          <w:rFonts w:eastAsia="Times New Roman" w:cs="Times New Roman"/>
          <w:color w:val="000000"/>
          <w:szCs w:val="24"/>
          <w:lang w:eastAsia="en-IN"/>
        </w:rPr>
        <w:t xml:space="preserve"> (2012). </w:t>
      </w:r>
      <w:r w:rsidRPr="00CA7E75">
        <w:rPr>
          <w:rFonts w:eastAsia="Times New Roman" w:cs="Times New Roman"/>
          <w:i/>
          <w:iCs/>
          <w:color w:val="000000"/>
          <w:szCs w:val="24"/>
          <w:lang w:eastAsia="en-IN"/>
        </w:rPr>
        <w:t>Ratio analysis.</w:t>
      </w:r>
      <w:r w:rsidRPr="00CA7E75">
        <w:rPr>
          <w:rFonts w:eastAsia="Times New Roman" w:cs="Times New Roman"/>
          <w:color w:val="000000"/>
          <w:szCs w:val="24"/>
          <w:lang w:eastAsia="en-IN"/>
        </w:rPr>
        <w:t xml:space="preserve"> Lap Lambert Academic Publ.</w:t>
      </w:r>
    </w:p>
    <w:p w14:paraId="65633D05" w14:textId="77777777" w:rsidR="00CA7E75" w:rsidRPr="00CA7E75" w:rsidRDefault="00CA7E75" w:rsidP="00CA7E75">
      <w:pPr>
        <w:shd w:val="clear" w:color="auto" w:fill="FFFFFF"/>
        <w:spacing w:after="240"/>
        <w:jc w:val="left"/>
        <w:rPr>
          <w:rFonts w:eastAsia="Times New Roman" w:cs="Times New Roman"/>
          <w:color w:val="000000"/>
          <w:szCs w:val="24"/>
          <w:lang w:eastAsia="en-IN"/>
        </w:rPr>
      </w:pPr>
      <w:r w:rsidRPr="00CA7E75">
        <w:rPr>
          <w:rFonts w:eastAsia="Times New Roman" w:cs="Times New Roman"/>
          <w:color w:val="000000"/>
          <w:szCs w:val="24"/>
          <w:lang w:eastAsia="en-IN"/>
        </w:rPr>
        <w:t xml:space="preserve">Pan, F.C. (2015). Practical application of importance-performance analysis in determining critical job satisfaction factors of a tourist hotel. </w:t>
      </w:r>
      <w:r w:rsidRPr="00CA7E75">
        <w:rPr>
          <w:rFonts w:eastAsia="Times New Roman" w:cs="Times New Roman"/>
          <w:i/>
          <w:iCs/>
          <w:color w:val="000000"/>
          <w:szCs w:val="24"/>
          <w:lang w:eastAsia="en-IN"/>
        </w:rPr>
        <w:t>Tourism Management</w:t>
      </w:r>
      <w:r w:rsidRPr="00CA7E75">
        <w:rPr>
          <w:rFonts w:eastAsia="Times New Roman" w:cs="Times New Roman"/>
          <w:color w:val="000000"/>
          <w:szCs w:val="24"/>
          <w:lang w:eastAsia="en-IN"/>
        </w:rPr>
        <w:t xml:space="preserve">, 46(16). </w:t>
      </w:r>
      <w:proofErr w:type="gramStart"/>
      <w:r w:rsidRPr="00CA7E75">
        <w:rPr>
          <w:rFonts w:eastAsia="Times New Roman" w:cs="Times New Roman"/>
          <w:color w:val="000000"/>
          <w:szCs w:val="24"/>
          <w:lang w:eastAsia="en-IN"/>
        </w:rPr>
        <w:t>doi:10.1016/j.tourman</w:t>
      </w:r>
      <w:proofErr w:type="gramEnd"/>
      <w:r w:rsidRPr="00CA7E75">
        <w:rPr>
          <w:rFonts w:eastAsia="Times New Roman" w:cs="Times New Roman"/>
          <w:color w:val="000000"/>
          <w:szCs w:val="24"/>
          <w:lang w:eastAsia="en-IN"/>
        </w:rPr>
        <w:t>.2014.06.004.</w:t>
      </w:r>
    </w:p>
    <w:p w14:paraId="2B28D9BC" w14:textId="77777777" w:rsidR="00CA7E75" w:rsidRPr="00CA7E75" w:rsidRDefault="00CA7E75" w:rsidP="00CA7E75">
      <w:pPr>
        <w:shd w:val="clear" w:color="auto" w:fill="FFFFFF"/>
        <w:spacing w:after="240"/>
        <w:jc w:val="left"/>
        <w:rPr>
          <w:rFonts w:eastAsia="Times New Roman" w:cs="Times New Roman"/>
          <w:color w:val="000000"/>
          <w:szCs w:val="24"/>
          <w:lang w:eastAsia="en-IN"/>
        </w:rPr>
      </w:pPr>
      <w:r w:rsidRPr="00CA7E75">
        <w:rPr>
          <w:rFonts w:eastAsia="Times New Roman" w:cs="Times New Roman"/>
          <w:color w:val="000000"/>
          <w:szCs w:val="24"/>
          <w:lang w:eastAsia="en-IN"/>
        </w:rPr>
        <w:t xml:space="preserve">Singh, S. (2017). Ratio Analysis in Manufacturing Sector-A Study. </w:t>
      </w:r>
      <w:r w:rsidRPr="00CA7E75">
        <w:rPr>
          <w:rFonts w:eastAsia="Times New Roman" w:cs="Times New Roman"/>
          <w:i/>
          <w:iCs/>
          <w:color w:val="000000"/>
          <w:szCs w:val="24"/>
          <w:lang w:eastAsia="en-IN"/>
        </w:rPr>
        <w:t>International Journal of Innovative Research in Engineering &amp; Management</w:t>
      </w:r>
      <w:r w:rsidRPr="00CA7E75">
        <w:rPr>
          <w:rFonts w:eastAsia="Times New Roman" w:cs="Times New Roman"/>
          <w:color w:val="000000"/>
          <w:szCs w:val="24"/>
          <w:lang w:eastAsia="en-IN"/>
        </w:rPr>
        <w:t>, 5(5). doi:10.21276/ijirem.2017.4.4.5.</w:t>
      </w:r>
    </w:p>
    <w:p w14:paraId="5935D0DF" w14:textId="77777777" w:rsidR="00CA7E75" w:rsidRPr="00CA7E75" w:rsidRDefault="00CA7E75" w:rsidP="00CA7E75">
      <w:pPr>
        <w:shd w:val="clear" w:color="auto" w:fill="FFFFFF"/>
        <w:spacing w:after="240"/>
        <w:jc w:val="left"/>
        <w:rPr>
          <w:rFonts w:eastAsia="Times New Roman" w:cs="Times New Roman"/>
          <w:color w:val="000000"/>
          <w:szCs w:val="24"/>
          <w:lang w:eastAsia="en-IN"/>
        </w:rPr>
      </w:pPr>
      <w:proofErr w:type="spellStart"/>
      <w:r w:rsidRPr="00CA7E75">
        <w:rPr>
          <w:rFonts w:eastAsia="Times New Roman" w:cs="Times New Roman"/>
          <w:color w:val="000000"/>
          <w:szCs w:val="24"/>
          <w:lang w:eastAsia="en-IN"/>
        </w:rPr>
        <w:t>Steffy</w:t>
      </w:r>
      <w:proofErr w:type="spellEnd"/>
      <w:r w:rsidRPr="00CA7E75">
        <w:rPr>
          <w:rFonts w:eastAsia="Times New Roman" w:cs="Times New Roman"/>
          <w:color w:val="000000"/>
          <w:szCs w:val="24"/>
          <w:lang w:eastAsia="en-IN"/>
        </w:rPr>
        <w:t xml:space="preserve">, W., </w:t>
      </w:r>
      <w:proofErr w:type="spellStart"/>
      <w:r w:rsidRPr="00CA7E75">
        <w:rPr>
          <w:rFonts w:eastAsia="Times New Roman" w:cs="Times New Roman"/>
          <w:color w:val="000000"/>
          <w:szCs w:val="24"/>
          <w:lang w:eastAsia="en-IN"/>
        </w:rPr>
        <w:t>Zearley</w:t>
      </w:r>
      <w:proofErr w:type="spellEnd"/>
      <w:r w:rsidRPr="00CA7E75">
        <w:rPr>
          <w:rFonts w:eastAsia="Times New Roman" w:cs="Times New Roman"/>
          <w:color w:val="000000"/>
          <w:szCs w:val="24"/>
          <w:lang w:eastAsia="en-IN"/>
        </w:rPr>
        <w:t xml:space="preserve">, T. and Strunk, J. (2014). </w:t>
      </w:r>
      <w:r w:rsidRPr="00CA7E75">
        <w:rPr>
          <w:rFonts w:eastAsia="Times New Roman" w:cs="Times New Roman"/>
          <w:i/>
          <w:iCs/>
          <w:color w:val="000000"/>
          <w:szCs w:val="24"/>
          <w:lang w:eastAsia="en-IN"/>
        </w:rPr>
        <w:t xml:space="preserve">Financial ratio </w:t>
      </w:r>
      <w:proofErr w:type="gramStart"/>
      <w:r w:rsidRPr="00CA7E75">
        <w:rPr>
          <w:rFonts w:eastAsia="Times New Roman" w:cs="Times New Roman"/>
          <w:i/>
          <w:iCs/>
          <w:color w:val="000000"/>
          <w:szCs w:val="24"/>
          <w:lang w:eastAsia="en-IN"/>
        </w:rPr>
        <w:t>analysis :</w:t>
      </w:r>
      <w:proofErr w:type="gramEnd"/>
      <w:r w:rsidRPr="00CA7E75">
        <w:rPr>
          <w:rFonts w:eastAsia="Times New Roman" w:cs="Times New Roman"/>
          <w:i/>
          <w:iCs/>
          <w:color w:val="000000"/>
          <w:szCs w:val="24"/>
          <w:lang w:eastAsia="en-IN"/>
        </w:rPr>
        <w:t xml:space="preserve"> an effective management tool</w:t>
      </w:r>
      <w:r w:rsidRPr="00CA7E75">
        <w:rPr>
          <w:rFonts w:eastAsia="Times New Roman" w:cs="Times New Roman"/>
          <w:color w:val="000000"/>
          <w:szCs w:val="24"/>
          <w:lang w:eastAsia="en-IN"/>
        </w:rPr>
        <w:t xml:space="preserve">. Ann Arbor: Industrial Development Division, Institute </w:t>
      </w:r>
      <w:proofErr w:type="gramStart"/>
      <w:r w:rsidRPr="00CA7E75">
        <w:rPr>
          <w:rFonts w:eastAsia="Times New Roman" w:cs="Times New Roman"/>
          <w:color w:val="000000"/>
          <w:szCs w:val="24"/>
          <w:lang w:eastAsia="en-IN"/>
        </w:rPr>
        <w:t>Of</w:t>
      </w:r>
      <w:proofErr w:type="gramEnd"/>
      <w:r w:rsidRPr="00CA7E75">
        <w:rPr>
          <w:rFonts w:eastAsia="Times New Roman" w:cs="Times New Roman"/>
          <w:color w:val="000000"/>
          <w:szCs w:val="24"/>
          <w:lang w:eastAsia="en-IN"/>
        </w:rPr>
        <w:t xml:space="preserve"> Science And Technology, University Of Michigan.</w:t>
      </w:r>
    </w:p>
    <w:p w14:paraId="009AD11C" w14:textId="77777777" w:rsidR="00CA7E75" w:rsidRPr="00CA7E75" w:rsidRDefault="00CA7E75" w:rsidP="00CA7E75">
      <w:pPr>
        <w:shd w:val="clear" w:color="auto" w:fill="FFFFFF"/>
        <w:spacing w:after="240"/>
        <w:jc w:val="left"/>
        <w:rPr>
          <w:rFonts w:eastAsia="Times New Roman" w:cs="Times New Roman"/>
          <w:color w:val="000000"/>
          <w:szCs w:val="24"/>
          <w:lang w:eastAsia="en-IN"/>
        </w:rPr>
      </w:pPr>
      <w:r w:rsidRPr="00CA7E75">
        <w:rPr>
          <w:rFonts w:eastAsia="Times New Roman" w:cs="Times New Roman"/>
          <w:color w:val="000000"/>
          <w:szCs w:val="24"/>
          <w:lang w:eastAsia="en-IN"/>
        </w:rPr>
        <w:t xml:space="preserve">Thomas, C.W., </w:t>
      </w:r>
      <w:proofErr w:type="spellStart"/>
      <w:r w:rsidRPr="00CA7E75">
        <w:rPr>
          <w:rFonts w:eastAsia="Times New Roman" w:cs="Times New Roman"/>
          <w:color w:val="000000"/>
          <w:szCs w:val="24"/>
          <w:lang w:eastAsia="en-IN"/>
        </w:rPr>
        <w:t>Tietz</w:t>
      </w:r>
      <w:proofErr w:type="spellEnd"/>
      <w:r w:rsidRPr="00CA7E75">
        <w:rPr>
          <w:rFonts w:eastAsia="Times New Roman" w:cs="Times New Roman"/>
          <w:color w:val="000000"/>
          <w:szCs w:val="24"/>
          <w:lang w:eastAsia="en-IN"/>
        </w:rPr>
        <w:t xml:space="preserve">, W.M. and Harrison, W.T. (2019). </w:t>
      </w:r>
      <w:r w:rsidRPr="00CA7E75">
        <w:rPr>
          <w:rFonts w:eastAsia="Times New Roman" w:cs="Times New Roman"/>
          <w:i/>
          <w:iCs/>
          <w:color w:val="000000"/>
          <w:szCs w:val="24"/>
          <w:lang w:eastAsia="en-IN"/>
        </w:rPr>
        <w:t>Financial accounting</w:t>
      </w:r>
      <w:r w:rsidRPr="00CA7E75">
        <w:rPr>
          <w:rFonts w:eastAsia="Times New Roman" w:cs="Times New Roman"/>
          <w:color w:val="000000"/>
          <w:szCs w:val="24"/>
          <w:lang w:eastAsia="en-IN"/>
        </w:rPr>
        <w:t>. New York: Pearson.</w:t>
      </w:r>
    </w:p>
    <w:p w14:paraId="4E54C755" w14:textId="77777777" w:rsidR="00CA7E75" w:rsidRPr="00CA7E75" w:rsidRDefault="00CA7E75" w:rsidP="00CA7E75">
      <w:pPr>
        <w:shd w:val="clear" w:color="auto" w:fill="FFFFFF"/>
        <w:spacing w:after="0" w:line="240" w:lineRule="auto"/>
        <w:jc w:val="left"/>
        <w:rPr>
          <w:rFonts w:eastAsia="Times New Roman" w:cs="Times New Roman"/>
          <w:color w:val="000000"/>
          <w:szCs w:val="24"/>
          <w:lang w:eastAsia="en-IN"/>
        </w:rPr>
      </w:pPr>
      <w:r w:rsidRPr="00CA7E75">
        <w:rPr>
          <w:rFonts w:eastAsia="Times New Roman" w:cs="Times New Roman"/>
          <w:color w:val="000000"/>
          <w:szCs w:val="24"/>
          <w:lang w:eastAsia="en-IN"/>
        </w:rPr>
        <w:t>‌</w:t>
      </w:r>
    </w:p>
    <w:p w14:paraId="256FEF82" w14:textId="77777777" w:rsidR="002D1DE9" w:rsidRPr="002D1DE9" w:rsidRDefault="002D1DE9" w:rsidP="002D1DE9"/>
    <w:sectPr w:rsidR="002D1DE9" w:rsidRPr="002D1DE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750110" w14:textId="77777777" w:rsidR="001A1AEB" w:rsidRDefault="001A1AEB" w:rsidP="00A12B74">
      <w:pPr>
        <w:spacing w:after="0" w:line="240" w:lineRule="auto"/>
      </w:pPr>
      <w:r>
        <w:separator/>
      </w:r>
    </w:p>
  </w:endnote>
  <w:endnote w:type="continuationSeparator" w:id="0">
    <w:p w14:paraId="034B685A" w14:textId="77777777" w:rsidR="001A1AEB" w:rsidRDefault="001A1AEB" w:rsidP="00A12B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4078384"/>
      <w:docPartObj>
        <w:docPartGallery w:val="Page Numbers (Bottom of Page)"/>
        <w:docPartUnique/>
      </w:docPartObj>
    </w:sdtPr>
    <w:sdtEndPr>
      <w:rPr>
        <w:noProof/>
      </w:rPr>
    </w:sdtEndPr>
    <w:sdtContent>
      <w:p w14:paraId="48703598" w14:textId="77777777" w:rsidR="00A12B74" w:rsidRDefault="00A12B74">
        <w:pPr>
          <w:pStyle w:val="Footer"/>
          <w:jc w:val="right"/>
        </w:pPr>
        <w:r>
          <w:fldChar w:fldCharType="begin"/>
        </w:r>
        <w:r>
          <w:instrText xml:space="preserve"> PAGE   \* MERGEFORMAT </w:instrText>
        </w:r>
        <w:r>
          <w:fldChar w:fldCharType="separate"/>
        </w:r>
        <w:r w:rsidR="0042657D">
          <w:rPr>
            <w:noProof/>
          </w:rPr>
          <w:t>2</w:t>
        </w:r>
        <w:r>
          <w:rPr>
            <w:noProof/>
          </w:rPr>
          <w:fldChar w:fldCharType="end"/>
        </w:r>
      </w:p>
    </w:sdtContent>
  </w:sdt>
  <w:p w14:paraId="13C4EAC1" w14:textId="77777777" w:rsidR="00A12B74" w:rsidRDefault="00A12B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169038" w14:textId="77777777" w:rsidR="001A1AEB" w:rsidRDefault="001A1AEB" w:rsidP="00A12B74">
      <w:pPr>
        <w:spacing w:after="0" w:line="240" w:lineRule="auto"/>
      </w:pPr>
      <w:r>
        <w:separator/>
      </w:r>
    </w:p>
  </w:footnote>
  <w:footnote w:type="continuationSeparator" w:id="0">
    <w:p w14:paraId="120BAFF6" w14:textId="77777777" w:rsidR="001A1AEB" w:rsidRDefault="001A1AEB" w:rsidP="00A12B7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cxtDQ0MbE0MbMwNLNU0lEKTi0uzszPAykwrgUALy1ZriwAAAA="/>
  </w:docVars>
  <w:rsids>
    <w:rsidRoot w:val="00C97629"/>
    <w:rsid w:val="000F507C"/>
    <w:rsid w:val="00104BBC"/>
    <w:rsid w:val="0012686B"/>
    <w:rsid w:val="001A1AEB"/>
    <w:rsid w:val="0021612C"/>
    <w:rsid w:val="00225CE9"/>
    <w:rsid w:val="0025090C"/>
    <w:rsid w:val="002D1DE9"/>
    <w:rsid w:val="002E5370"/>
    <w:rsid w:val="00317257"/>
    <w:rsid w:val="00327C6F"/>
    <w:rsid w:val="00332F59"/>
    <w:rsid w:val="003B112F"/>
    <w:rsid w:val="00413B46"/>
    <w:rsid w:val="0042657D"/>
    <w:rsid w:val="00461CEC"/>
    <w:rsid w:val="004772F4"/>
    <w:rsid w:val="004A12DE"/>
    <w:rsid w:val="004B2B63"/>
    <w:rsid w:val="00557996"/>
    <w:rsid w:val="00572FDF"/>
    <w:rsid w:val="00575F64"/>
    <w:rsid w:val="00590402"/>
    <w:rsid w:val="005E5783"/>
    <w:rsid w:val="005E708E"/>
    <w:rsid w:val="00605660"/>
    <w:rsid w:val="006A2F45"/>
    <w:rsid w:val="006D5869"/>
    <w:rsid w:val="007145A7"/>
    <w:rsid w:val="007149C0"/>
    <w:rsid w:val="00734889"/>
    <w:rsid w:val="00752B60"/>
    <w:rsid w:val="00767B2C"/>
    <w:rsid w:val="00830BB2"/>
    <w:rsid w:val="00856C49"/>
    <w:rsid w:val="00893427"/>
    <w:rsid w:val="00895C04"/>
    <w:rsid w:val="008A7561"/>
    <w:rsid w:val="008E04F8"/>
    <w:rsid w:val="00925ABF"/>
    <w:rsid w:val="00936A19"/>
    <w:rsid w:val="00964014"/>
    <w:rsid w:val="009E457C"/>
    <w:rsid w:val="00A109F6"/>
    <w:rsid w:val="00A12B74"/>
    <w:rsid w:val="00A21EE4"/>
    <w:rsid w:val="00A673E5"/>
    <w:rsid w:val="00AF5101"/>
    <w:rsid w:val="00B2549F"/>
    <w:rsid w:val="00B444ED"/>
    <w:rsid w:val="00B8707A"/>
    <w:rsid w:val="00BA753F"/>
    <w:rsid w:val="00C463D4"/>
    <w:rsid w:val="00C97629"/>
    <w:rsid w:val="00CA7E75"/>
    <w:rsid w:val="00DA1BEE"/>
    <w:rsid w:val="00DA49EB"/>
    <w:rsid w:val="00DE15FE"/>
    <w:rsid w:val="00DE2620"/>
    <w:rsid w:val="00DF3F81"/>
    <w:rsid w:val="00EC5C52"/>
    <w:rsid w:val="00F14628"/>
    <w:rsid w:val="00FB474C"/>
    <w:rsid w:val="00FD4C13"/>
    <w:rsid w:val="00FF66F8"/>
  </w:rsids>
  <m:mathPr>
    <m:mathFont m:val="Cambria Math"/>
    <m:brkBin m:val="before"/>
    <m:brkBinSub m:val="--"/>
    <m:smallFrac m:val="0"/>
    <m:dispDef/>
    <m:lMargin m:val="0"/>
    <m:rMargin m:val="0"/>
    <m:defJc m:val="centerGroup"/>
    <m:wrapIndent m:val="1440"/>
    <m:intLim m:val="subSup"/>
    <m:naryLim m:val="undOvr"/>
  </m:mathPr>
  <w:themeFontLang w:val="en-I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467CC0"/>
  <w15:chartTrackingRefBased/>
  <w15:docId w15:val="{A4BC3885-A18F-44AC-92B5-94BB8172EC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762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E2620"/>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DE2620"/>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0F507C"/>
    <w:pPr>
      <w:keepNext/>
      <w:keepLines/>
      <w:spacing w:before="40" w:after="0"/>
      <w:outlineLvl w:val="2"/>
    </w:pPr>
    <w:rPr>
      <w:rFonts w:eastAsiaTheme="majorEastAsia" w:cstheme="majorBidi"/>
      <w:b/>
      <w:sz w:val="26"/>
      <w:szCs w:val="24"/>
      <w:lang w:val="en-GB"/>
    </w:rPr>
  </w:style>
  <w:style w:type="paragraph" w:styleId="Heading4">
    <w:name w:val="heading 4"/>
    <w:basedOn w:val="Normal"/>
    <w:next w:val="Normal"/>
    <w:link w:val="Heading4Char"/>
    <w:uiPriority w:val="9"/>
    <w:semiHidden/>
    <w:unhideWhenUsed/>
    <w:qFormat/>
    <w:rsid w:val="007145A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E2620"/>
    <w:pPr>
      <w:spacing w:after="0" w:line="360" w:lineRule="auto"/>
      <w:jc w:val="both"/>
    </w:pPr>
    <w:rPr>
      <w:rFonts w:ascii="Times New Roman" w:hAnsi="Times New Roman"/>
      <w:sz w:val="24"/>
    </w:rPr>
  </w:style>
  <w:style w:type="character" w:customStyle="1" w:styleId="Heading1Char">
    <w:name w:val="Heading 1 Char"/>
    <w:basedOn w:val="DefaultParagraphFont"/>
    <w:link w:val="Heading1"/>
    <w:uiPriority w:val="9"/>
    <w:rsid w:val="00DE2620"/>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DE2620"/>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0F507C"/>
    <w:rPr>
      <w:rFonts w:ascii="Times New Roman" w:eastAsiaTheme="majorEastAsia" w:hAnsi="Times New Roman" w:cstheme="majorBidi"/>
      <w:b/>
      <w:sz w:val="26"/>
      <w:szCs w:val="24"/>
      <w:lang w:val="en-GB"/>
    </w:rPr>
  </w:style>
  <w:style w:type="table" w:styleId="TableGrid">
    <w:name w:val="Table Grid"/>
    <w:basedOn w:val="TableNormal"/>
    <w:uiPriority w:val="39"/>
    <w:rsid w:val="00C976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D4C13"/>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A12B74"/>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A12B74"/>
    <w:pPr>
      <w:spacing w:after="100"/>
    </w:pPr>
  </w:style>
  <w:style w:type="character" w:styleId="Hyperlink">
    <w:name w:val="Hyperlink"/>
    <w:basedOn w:val="DefaultParagraphFont"/>
    <w:uiPriority w:val="99"/>
    <w:unhideWhenUsed/>
    <w:rsid w:val="00A12B74"/>
    <w:rPr>
      <w:color w:val="0563C1" w:themeColor="hyperlink"/>
      <w:u w:val="single"/>
    </w:rPr>
  </w:style>
  <w:style w:type="paragraph" w:styleId="Header">
    <w:name w:val="header"/>
    <w:basedOn w:val="Normal"/>
    <w:link w:val="HeaderChar"/>
    <w:uiPriority w:val="99"/>
    <w:unhideWhenUsed/>
    <w:rsid w:val="00A12B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2B74"/>
    <w:rPr>
      <w:rFonts w:ascii="Times New Roman" w:hAnsi="Times New Roman"/>
      <w:sz w:val="24"/>
    </w:rPr>
  </w:style>
  <w:style w:type="paragraph" w:styleId="Footer">
    <w:name w:val="footer"/>
    <w:basedOn w:val="Normal"/>
    <w:link w:val="FooterChar"/>
    <w:uiPriority w:val="99"/>
    <w:unhideWhenUsed/>
    <w:rsid w:val="00A12B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2B74"/>
    <w:rPr>
      <w:rFonts w:ascii="Times New Roman" w:hAnsi="Times New Roman"/>
      <w:sz w:val="24"/>
    </w:rPr>
  </w:style>
  <w:style w:type="character" w:customStyle="1" w:styleId="Heading4Char">
    <w:name w:val="Heading 4 Char"/>
    <w:basedOn w:val="DefaultParagraphFont"/>
    <w:link w:val="Heading4"/>
    <w:uiPriority w:val="9"/>
    <w:semiHidden/>
    <w:rsid w:val="007145A7"/>
    <w:rPr>
      <w:rFonts w:asciiTheme="majorHAnsi" w:eastAsiaTheme="majorEastAsia" w:hAnsiTheme="majorHAnsi" w:cstheme="majorBidi"/>
      <w:i/>
      <w:iCs/>
      <w:color w:val="2E74B5" w:themeColor="accent1" w:themeShade="BF"/>
      <w:sz w:val="24"/>
    </w:rPr>
  </w:style>
  <w:style w:type="paragraph" w:styleId="NormalWeb">
    <w:name w:val="Normal (Web)"/>
    <w:basedOn w:val="Normal"/>
    <w:uiPriority w:val="99"/>
    <w:semiHidden/>
    <w:unhideWhenUsed/>
    <w:rsid w:val="007145A7"/>
    <w:pPr>
      <w:spacing w:before="100" w:beforeAutospacing="1" w:after="100" w:afterAutospacing="1" w:line="240" w:lineRule="auto"/>
      <w:jc w:val="left"/>
    </w:pPr>
    <w:rPr>
      <w:rFonts w:eastAsia="Times New Roman" w:cs="Times New Roman"/>
      <w:szCs w:val="24"/>
      <w:lang w:val="en-US"/>
    </w:rPr>
  </w:style>
  <w:style w:type="paragraph" w:styleId="TOC2">
    <w:name w:val="toc 2"/>
    <w:basedOn w:val="Normal"/>
    <w:next w:val="Normal"/>
    <w:autoRedefine/>
    <w:uiPriority w:val="39"/>
    <w:unhideWhenUsed/>
    <w:rsid w:val="007145A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8380186">
      <w:bodyDiv w:val="1"/>
      <w:marLeft w:val="0"/>
      <w:marRight w:val="0"/>
      <w:marTop w:val="0"/>
      <w:marBottom w:val="0"/>
      <w:divBdr>
        <w:top w:val="none" w:sz="0" w:space="0" w:color="auto"/>
        <w:left w:val="none" w:sz="0" w:space="0" w:color="auto"/>
        <w:bottom w:val="none" w:sz="0" w:space="0" w:color="auto"/>
        <w:right w:val="none" w:sz="0" w:space="0" w:color="auto"/>
      </w:divBdr>
    </w:div>
    <w:div w:id="973633263">
      <w:bodyDiv w:val="1"/>
      <w:marLeft w:val="0"/>
      <w:marRight w:val="0"/>
      <w:marTop w:val="0"/>
      <w:marBottom w:val="0"/>
      <w:divBdr>
        <w:top w:val="none" w:sz="0" w:space="0" w:color="auto"/>
        <w:left w:val="none" w:sz="0" w:space="0" w:color="auto"/>
        <w:bottom w:val="none" w:sz="0" w:space="0" w:color="auto"/>
        <w:right w:val="none" w:sz="0" w:space="0" w:color="auto"/>
      </w:divBdr>
      <w:divsChild>
        <w:div w:id="975331491">
          <w:marLeft w:val="-115"/>
          <w:marRight w:val="0"/>
          <w:marTop w:val="0"/>
          <w:marBottom w:val="0"/>
          <w:divBdr>
            <w:top w:val="none" w:sz="0" w:space="0" w:color="auto"/>
            <w:left w:val="none" w:sz="0" w:space="0" w:color="auto"/>
            <w:bottom w:val="none" w:sz="0" w:space="0" w:color="auto"/>
            <w:right w:val="none" w:sz="0" w:space="0" w:color="auto"/>
          </w:divBdr>
        </w:div>
        <w:div w:id="264582943">
          <w:marLeft w:val="-115"/>
          <w:marRight w:val="0"/>
          <w:marTop w:val="0"/>
          <w:marBottom w:val="0"/>
          <w:divBdr>
            <w:top w:val="none" w:sz="0" w:space="0" w:color="auto"/>
            <w:left w:val="none" w:sz="0" w:space="0" w:color="auto"/>
            <w:bottom w:val="none" w:sz="0" w:space="0" w:color="auto"/>
            <w:right w:val="none" w:sz="0" w:space="0" w:color="auto"/>
          </w:divBdr>
        </w:div>
      </w:divsChild>
    </w:div>
    <w:div w:id="1175995562">
      <w:bodyDiv w:val="1"/>
      <w:marLeft w:val="0"/>
      <w:marRight w:val="0"/>
      <w:marTop w:val="0"/>
      <w:marBottom w:val="0"/>
      <w:divBdr>
        <w:top w:val="none" w:sz="0" w:space="0" w:color="auto"/>
        <w:left w:val="none" w:sz="0" w:space="0" w:color="auto"/>
        <w:bottom w:val="none" w:sz="0" w:space="0" w:color="auto"/>
        <w:right w:val="none" w:sz="0" w:space="0" w:color="auto"/>
      </w:divBdr>
      <w:divsChild>
        <w:div w:id="379862826">
          <w:marLeft w:val="0"/>
          <w:marRight w:val="0"/>
          <w:marTop w:val="0"/>
          <w:marBottom w:val="0"/>
          <w:divBdr>
            <w:top w:val="none" w:sz="0" w:space="0" w:color="auto"/>
            <w:left w:val="none" w:sz="0" w:space="0" w:color="auto"/>
            <w:bottom w:val="none" w:sz="0" w:space="0" w:color="auto"/>
            <w:right w:val="none" w:sz="0" w:space="0" w:color="auto"/>
          </w:divBdr>
        </w:div>
      </w:divsChild>
    </w:div>
    <w:div w:id="1222865601">
      <w:bodyDiv w:val="1"/>
      <w:marLeft w:val="0"/>
      <w:marRight w:val="0"/>
      <w:marTop w:val="0"/>
      <w:marBottom w:val="0"/>
      <w:divBdr>
        <w:top w:val="none" w:sz="0" w:space="0" w:color="auto"/>
        <w:left w:val="none" w:sz="0" w:space="0" w:color="auto"/>
        <w:bottom w:val="none" w:sz="0" w:space="0" w:color="auto"/>
        <w:right w:val="none" w:sz="0" w:space="0" w:color="auto"/>
      </w:divBdr>
    </w:div>
    <w:div w:id="2119134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embeddings/oleObject1.bin"/></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embeddings/oleObject2.bin"/></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lineChart>
        <c:grouping val="standard"/>
        <c:varyColors val="0"/>
        <c:ser>
          <c:idx val="0"/>
          <c:order val="0"/>
          <c:tx>
            <c:strRef>
              <c:f>'[Renata ltd (Thesis).xlsx]Sheet2'!$F$4</c:f>
              <c:strCache>
                <c:ptCount val="1"/>
                <c:pt idx="0">
                  <c:v>2019</c:v>
                </c:pt>
              </c:strCache>
            </c:strRef>
          </c:tx>
          <c:spPr>
            <a:ln w="28575" cap="rnd">
              <a:solidFill>
                <a:schemeClr val="accent1"/>
              </a:solidFill>
              <a:round/>
            </a:ln>
            <a:effectLst/>
          </c:spPr>
          <c:marker>
            <c:symbol val="none"/>
          </c:marker>
          <c:cat>
            <c:strRef>
              <c:f>'[Renata ltd (Thesis).xlsx]Sheet2'!$E$5:$E$7</c:f>
              <c:strCache>
                <c:ptCount val="3"/>
                <c:pt idx="0">
                  <c:v>Gross profit margin</c:v>
                </c:pt>
                <c:pt idx="1">
                  <c:v>Net profit margin</c:v>
                </c:pt>
                <c:pt idx="2">
                  <c:v>Return on assets (ROA)</c:v>
                </c:pt>
              </c:strCache>
            </c:strRef>
          </c:cat>
          <c:val>
            <c:numRef>
              <c:f>'[Renata ltd (Thesis).xlsx]Sheet2'!$F$5:$F$7</c:f>
              <c:numCache>
                <c:formatCode>0.00%</c:formatCode>
                <c:ptCount val="3"/>
                <c:pt idx="0">
                  <c:v>0.257617435463394</c:v>
                </c:pt>
                <c:pt idx="1">
                  <c:v>9.3207786711807031E-2</c:v>
                </c:pt>
                <c:pt idx="2">
                  <c:v>5.8902186267299594E-2</c:v>
                </c:pt>
              </c:numCache>
            </c:numRef>
          </c:val>
          <c:smooth val="0"/>
          <c:extLst>
            <c:ext xmlns:c16="http://schemas.microsoft.com/office/drawing/2014/chart" uri="{C3380CC4-5D6E-409C-BE32-E72D297353CC}">
              <c16:uniqueId val="{00000000-D523-42D6-BDF7-61727F06C142}"/>
            </c:ext>
          </c:extLst>
        </c:ser>
        <c:ser>
          <c:idx val="1"/>
          <c:order val="1"/>
          <c:tx>
            <c:strRef>
              <c:f>'[Renata ltd (Thesis).xlsx]Sheet2'!$G$4</c:f>
              <c:strCache>
                <c:ptCount val="1"/>
                <c:pt idx="0">
                  <c:v>2020</c:v>
                </c:pt>
              </c:strCache>
            </c:strRef>
          </c:tx>
          <c:spPr>
            <a:ln w="28575" cap="rnd">
              <a:solidFill>
                <a:schemeClr val="accent2"/>
              </a:solidFill>
              <a:round/>
            </a:ln>
            <a:effectLst/>
          </c:spPr>
          <c:marker>
            <c:symbol val="none"/>
          </c:marker>
          <c:cat>
            <c:strRef>
              <c:f>'[Renata ltd (Thesis).xlsx]Sheet2'!$E$5:$E$7</c:f>
              <c:strCache>
                <c:ptCount val="3"/>
                <c:pt idx="0">
                  <c:v>Gross profit margin</c:v>
                </c:pt>
                <c:pt idx="1">
                  <c:v>Net profit margin</c:v>
                </c:pt>
                <c:pt idx="2">
                  <c:v>Return on assets (ROA)</c:v>
                </c:pt>
              </c:strCache>
            </c:strRef>
          </c:cat>
          <c:val>
            <c:numRef>
              <c:f>'[Renata ltd (Thesis).xlsx]Sheet2'!$G$5:$G$7</c:f>
              <c:numCache>
                <c:formatCode>0.00%</c:formatCode>
                <c:ptCount val="3"/>
                <c:pt idx="0">
                  <c:v>0.13536104016716971</c:v>
                </c:pt>
                <c:pt idx="1">
                  <c:v>-0.1660088228465289</c:v>
                </c:pt>
                <c:pt idx="2">
                  <c:v>-4.2673828707848402E-2</c:v>
                </c:pt>
              </c:numCache>
            </c:numRef>
          </c:val>
          <c:smooth val="0"/>
          <c:extLst>
            <c:ext xmlns:c16="http://schemas.microsoft.com/office/drawing/2014/chart" uri="{C3380CC4-5D6E-409C-BE32-E72D297353CC}">
              <c16:uniqueId val="{00000001-D523-42D6-BDF7-61727F06C142}"/>
            </c:ext>
          </c:extLst>
        </c:ser>
        <c:dLbls>
          <c:showLegendKey val="0"/>
          <c:showVal val="0"/>
          <c:showCatName val="0"/>
          <c:showSerName val="0"/>
          <c:showPercent val="0"/>
          <c:showBubbleSize val="0"/>
        </c:dLbls>
        <c:smooth val="0"/>
        <c:axId val="525746600"/>
        <c:axId val="525753160"/>
      </c:lineChart>
      <c:catAx>
        <c:axId val="5257466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5753160"/>
        <c:crosses val="autoZero"/>
        <c:auto val="1"/>
        <c:lblAlgn val="ctr"/>
        <c:lblOffset val="100"/>
        <c:noMultiLvlLbl val="0"/>
      </c:catAx>
      <c:valAx>
        <c:axId val="52575316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57466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lineChart>
        <c:grouping val="standard"/>
        <c:varyColors val="0"/>
        <c:ser>
          <c:idx val="0"/>
          <c:order val="0"/>
          <c:tx>
            <c:strRef>
              <c:f>'[Renata ltd (Thesis).xlsx]Sheet2'!$F$8</c:f>
              <c:strCache>
                <c:ptCount val="1"/>
                <c:pt idx="0">
                  <c:v>2019</c:v>
                </c:pt>
              </c:strCache>
            </c:strRef>
          </c:tx>
          <c:spPr>
            <a:ln w="28575" cap="rnd">
              <a:solidFill>
                <a:schemeClr val="accent1"/>
              </a:solidFill>
              <a:round/>
            </a:ln>
            <a:effectLst/>
          </c:spPr>
          <c:marker>
            <c:symbol val="none"/>
          </c:marker>
          <c:cat>
            <c:strRef>
              <c:f>'[Renata ltd (Thesis).xlsx]Sheet2'!$E$9:$E$10</c:f>
              <c:strCache>
                <c:ptCount val="2"/>
                <c:pt idx="0">
                  <c:v>Current ratio</c:v>
                </c:pt>
                <c:pt idx="1">
                  <c:v>Assets turnover ratio</c:v>
                </c:pt>
              </c:strCache>
            </c:strRef>
          </c:cat>
          <c:val>
            <c:numRef>
              <c:f>'[Renata ltd (Thesis).xlsx]Sheet2'!$F$9:$F$10</c:f>
              <c:numCache>
                <c:formatCode>0.00</c:formatCode>
                <c:ptCount val="2"/>
                <c:pt idx="0">
                  <c:v>0.72901428073841867</c:v>
                </c:pt>
                <c:pt idx="1">
                  <c:v>0.63194490873838338</c:v>
                </c:pt>
              </c:numCache>
            </c:numRef>
          </c:val>
          <c:smooth val="0"/>
          <c:extLst>
            <c:ext xmlns:c16="http://schemas.microsoft.com/office/drawing/2014/chart" uri="{C3380CC4-5D6E-409C-BE32-E72D297353CC}">
              <c16:uniqueId val="{00000000-2FA6-49FE-BD9B-1B704AF355F2}"/>
            </c:ext>
          </c:extLst>
        </c:ser>
        <c:ser>
          <c:idx val="1"/>
          <c:order val="1"/>
          <c:tx>
            <c:strRef>
              <c:f>'[Renata ltd (Thesis).xlsx]Sheet2'!$G$8</c:f>
              <c:strCache>
                <c:ptCount val="1"/>
                <c:pt idx="0">
                  <c:v>2020</c:v>
                </c:pt>
              </c:strCache>
            </c:strRef>
          </c:tx>
          <c:spPr>
            <a:ln w="28575" cap="rnd">
              <a:solidFill>
                <a:schemeClr val="accent2"/>
              </a:solidFill>
              <a:round/>
            </a:ln>
            <a:effectLst/>
          </c:spPr>
          <c:marker>
            <c:symbol val="none"/>
          </c:marker>
          <c:cat>
            <c:strRef>
              <c:f>'[Renata ltd (Thesis).xlsx]Sheet2'!$E$9:$E$10</c:f>
              <c:strCache>
                <c:ptCount val="2"/>
                <c:pt idx="0">
                  <c:v>Current ratio</c:v>
                </c:pt>
                <c:pt idx="1">
                  <c:v>Assets turnover ratio</c:v>
                </c:pt>
              </c:strCache>
            </c:strRef>
          </c:cat>
          <c:val>
            <c:numRef>
              <c:f>'[Renata ltd (Thesis).xlsx]Sheet2'!$G$9:$G$10</c:f>
              <c:numCache>
                <c:formatCode>0.00</c:formatCode>
                <c:ptCount val="2"/>
                <c:pt idx="0">
                  <c:v>1.7285067873303168</c:v>
                </c:pt>
                <c:pt idx="1">
                  <c:v>0.25705759474783646</c:v>
                </c:pt>
              </c:numCache>
            </c:numRef>
          </c:val>
          <c:smooth val="0"/>
          <c:extLst>
            <c:ext xmlns:c16="http://schemas.microsoft.com/office/drawing/2014/chart" uri="{C3380CC4-5D6E-409C-BE32-E72D297353CC}">
              <c16:uniqueId val="{00000001-2FA6-49FE-BD9B-1B704AF355F2}"/>
            </c:ext>
          </c:extLst>
        </c:ser>
        <c:dLbls>
          <c:showLegendKey val="0"/>
          <c:showVal val="0"/>
          <c:showCatName val="0"/>
          <c:showSerName val="0"/>
          <c:showPercent val="0"/>
          <c:showBubbleSize val="0"/>
        </c:dLbls>
        <c:smooth val="0"/>
        <c:axId val="535823592"/>
        <c:axId val="535822936"/>
      </c:lineChart>
      <c:catAx>
        <c:axId val="5358235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5822936"/>
        <c:crosses val="autoZero"/>
        <c:auto val="1"/>
        <c:lblAlgn val="ctr"/>
        <c:lblOffset val="100"/>
        <c:noMultiLvlLbl val="0"/>
      </c:catAx>
      <c:valAx>
        <c:axId val="53582293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58235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5087CE-0E9E-4C87-BA47-96BAA6BAB7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373</TotalTime>
  <Pages>12</Pages>
  <Words>2839</Words>
  <Characters>16183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TeamOs</Company>
  <LinksUpToDate>false</LinksUpToDate>
  <CharactersWithSpaces>18985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SHAKIL</dc:creator>
  <cp:keywords/>
  <dc:description/>
  <cp:lastModifiedBy>Shariful Islam (2013505)</cp:lastModifiedBy>
  <cp:revision>36</cp:revision>
  <dcterms:created xsi:type="dcterms:W3CDTF">2022-05-19T07:32:00Z</dcterms:created>
  <dcterms:modified xsi:type="dcterms:W3CDTF">2022-06-01T22:08:00Z</dcterms:modified>
</cp:coreProperties>
</file>