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0B7D796" w14:textId="77777777" w:rsidR="00612D3C" w:rsidRDefault="00612D3C">
      <w:pPr>
        <w:pStyle w:val="NoSpacing"/>
        <w:rPr>
          <w:rFonts w:ascii="Calibri" w:hAnsi="Calibri" w:cs="Calibri"/>
        </w:rPr>
      </w:pPr>
    </w:p>
    <w:p w14:paraId="17D66632" w14:textId="77777777" w:rsidR="00612D3C" w:rsidRDefault="00612D3C">
      <w:pPr>
        <w:jc w:val="center"/>
        <w:rPr>
          <w:rFonts w:ascii="Calibri" w:hAnsi="Calibri" w:cs="Calibri"/>
          <w:b/>
          <w:bCs/>
          <w:sz w:val="28"/>
          <w:szCs w:val="28"/>
          <w:u w:val="single"/>
        </w:rPr>
      </w:pPr>
    </w:p>
    <w:p w14:paraId="171B4856" w14:textId="77777777" w:rsidR="00612D3C" w:rsidRDefault="00612D3C">
      <w:pPr>
        <w:jc w:val="center"/>
        <w:rPr>
          <w:rFonts w:ascii="Calibri" w:hAnsi="Calibri" w:cs="Calibri"/>
          <w:b/>
          <w:bCs/>
          <w:sz w:val="28"/>
          <w:szCs w:val="28"/>
          <w:u w:val="single"/>
        </w:rPr>
      </w:pPr>
    </w:p>
    <w:p w14:paraId="0CB2B940" w14:textId="77777777" w:rsidR="00612D3C" w:rsidRDefault="00612D3C">
      <w:pPr>
        <w:jc w:val="center"/>
        <w:rPr>
          <w:rFonts w:ascii="Calibri" w:hAnsi="Calibri" w:cs="Calibri"/>
          <w:b/>
          <w:bCs/>
          <w:sz w:val="28"/>
          <w:szCs w:val="28"/>
          <w:u w:val="single"/>
        </w:rPr>
      </w:pPr>
    </w:p>
    <w:p w14:paraId="3F7993F5" w14:textId="77777777" w:rsidR="00612D3C" w:rsidRDefault="00612D3C">
      <w:pPr>
        <w:jc w:val="center"/>
        <w:rPr>
          <w:rFonts w:ascii="Calibri" w:hAnsi="Calibri" w:cs="Calibri"/>
          <w:b/>
          <w:bCs/>
          <w:sz w:val="28"/>
          <w:szCs w:val="28"/>
          <w:u w:val="single"/>
        </w:rPr>
      </w:pPr>
    </w:p>
    <w:p w14:paraId="362DF153" w14:textId="77777777" w:rsidR="00612D3C" w:rsidRDefault="00612D3C">
      <w:pPr>
        <w:rPr>
          <w:rFonts w:ascii="Calibri" w:hAnsi="Calibri" w:cs="Calibri"/>
          <w:b/>
          <w:bCs/>
          <w:sz w:val="28"/>
          <w:szCs w:val="28"/>
          <w:u w:val="single"/>
        </w:rPr>
      </w:pPr>
    </w:p>
    <w:p w14:paraId="1B8FD665" w14:textId="77777777" w:rsidR="00612D3C" w:rsidRDefault="007047D9">
      <w:pPr>
        <w:jc w:val="center"/>
        <w:rPr>
          <w:rFonts w:ascii="Calibri" w:hAnsi="Calibri" w:cs="Calibri"/>
          <w:b/>
          <w:bCs/>
          <w:sz w:val="40"/>
          <w:szCs w:val="40"/>
        </w:rPr>
      </w:pPr>
      <w:r>
        <w:rPr>
          <w:rFonts w:ascii="Calibri" w:hAnsi="Calibri" w:cs="Calibri"/>
          <w:b/>
          <w:bCs/>
          <w:sz w:val="40"/>
          <w:szCs w:val="40"/>
        </w:rPr>
        <w:t>Investigating the impact of loyalty apps on customer retention in UK grocery stores - A case of Tesco</w:t>
      </w:r>
    </w:p>
    <w:p w14:paraId="7820A0FA" w14:textId="77777777" w:rsidR="00612D3C" w:rsidRDefault="007047D9">
      <w:pPr>
        <w:spacing w:after="120" w:line="240" w:lineRule="auto"/>
        <w:jc w:val="center"/>
        <w:rPr>
          <w:rFonts w:ascii="-webkit-standard" w:eastAsiaTheme="minorEastAsia" w:hAnsi="-webkit-standard" w:cs="Times New Roman" w:hint="eastAsia"/>
          <w:color w:val="000000"/>
          <w:kern w:val="0"/>
          <w:sz w:val="27"/>
          <w:szCs w:val="27"/>
          <w:lang w:val="en-US"/>
          <w14:ligatures w14:val="none"/>
        </w:rPr>
      </w:pPr>
      <w:r>
        <w:rPr>
          <w:rFonts w:eastAsiaTheme="minorEastAsia" w:cs="Times New Roman"/>
          <w:b/>
          <w:bCs/>
          <w:color w:val="000000"/>
          <w:kern w:val="0"/>
          <w:sz w:val="27"/>
          <w:szCs w:val="27"/>
          <w:lang w:val="en-US"/>
          <w14:ligatures w14:val="none"/>
        </w:rPr>
        <w:t>University of Wales Trinity Saint David</w:t>
      </w:r>
    </w:p>
    <w:p w14:paraId="16CC912E" w14:textId="77777777" w:rsidR="00612D3C" w:rsidRDefault="007047D9">
      <w:pPr>
        <w:spacing w:after="120" w:line="240" w:lineRule="auto"/>
        <w:jc w:val="center"/>
        <w:rPr>
          <w:rFonts w:ascii="-webkit-standard" w:eastAsiaTheme="minorEastAsia" w:hAnsi="-webkit-standard" w:cs="Times New Roman" w:hint="eastAsia"/>
          <w:color w:val="000000"/>
          <w:kern w:val="0"/>
          <w:sz w:val="27"/>
          <w:szCs w:val="27"/>
          <w:lang w:val="en-US"/>
          <w14:ligatures w14:val="none"/>
        </w:rPr>
      </w:pPr>
      <w:r>
        <w:rPr>
          <w:rFonts w:eastAsiaTheme="minorEastAsia" w:cs="Times New Roman"/>
          <w:color w:val="000000"/>
          <w:kern w:val="0"/>
          <w:sz w:val="27"/>
          <w:szCs w:val="27"/>
          <w:lang w:val="en-US"/>
          <w14:ligatures w14:val="none"/>
        </w:rPr>
        <w:t>BMMB7003 – Level 7 Dissertation</w:t>
      </w:r>
    </w:p>
    <w:p w14:paraId="40EA5D04" w14:textId="77777777" w:rsidR="00612D3C" w:rsidRDefault="007047D9">
      <w:pPr>
        <w:spacing w:after="120" w:line="240" w:lineRule="auto"/>
        <w:jc w:val="center"/>
        <w:rPr>
          <w:rFonts w:ascii="-webkit-standard" w:eastAsiaTheme="minorEastAsia" w:hAnsi="-webkit-standard" w:cs="Times New Roman" w:hint="eastAsia"/>
          <w:color w:val="000000"/>
          <w:kern w:val="0"/>
          <w:sz w:val="27"/>
          <w:szCs w:val="27"/>
          <w:lang w:val="en-US"/>
          <w14:ligatures w14:val="none"/>
        </w:rPr>
      </w:pPr>
      <w:r>
        <w:rPr>
          <w:rFonts w:eastAsiaTheme="minorEastAsia" w:cs="Times New Roman"/>
          <w:color w:val="000000"/>
          <w:kern w:val="0"/>
          <w:sz w:val="27"/>
          <w:szCs w:val="27"/>
          <w:lang w:val="en-US"/>
          <w14:ligatures w14:val="none"/>
        </w:rPr>
        <w:t>2025–26</w:t>
      </w:r>
    </w:p>
    <w:p w14:paraId="79FF2AFB" w14:textId="77777777" w:rsidR="00612D3C" w:rsidRDefault="007047D9">
      <w:pPr>
        <w:spacing w:after="120" w:line="240" w:lineRule="auto"/>
        <w:jc w:val="center"/>
        <w:rPr>
          <w:rFonts w:ascii="-webkit-standard" w:eastAsiaTheme="minorEastAsia" w:hAnsi="-webkit-standard" w:cs="Times New Roman" w:hint="eastAsia"/>
          <w:color w:val="000000"/>
          <w:kern w:val="0"/>
          <w:sz w:val="27"/>
          <w:szCs w:val="27"/>
          <w:lang w:val="en-US"/>
          <w14:ligatures w14:val="none"/>
        </w:rPr>
      </w:pPr>
      <w:r>
        <w:rPr>
          <w:rFonts w:eastAsiaTheme="minorEastAsia" w:cs="Times New Roman"/>
          <w:color w:val="000000"/>
          <w:kern w:val="0"/>
          <w:sz w:val="27"/>
          <w:szCs w:val="27"/>
          <w:lang w:val="en-US"/>
          <w14:ligatures w14:val="none"/>
        </w:rPr>
        <w:t>Year of submission: 2026</w:t>
      </w:r>
    </w:p>
    <w:p w14:paraId="4D20D8CB" w14:textId="77777777" w:rsidR="00612D3C" w:rsidRDefault="007047D9">
      <w:pPr>
        <w:spacing w:after="120" w:line="240" w:lineRule="auto"/>
        <w:jc w:val="center"/>
        <w:rPr>
          <w:rFonts w:ascii="-webkit-standard" w:eastAsiaTheme="minorEastAsia" w:hAnsi="-webkit-standard" w:cs="Times New Roman" w:hint="eastAsia"/>
          <w:color w:val="000000"/>
          <w:kern w:val="0"/>
          <w:sz w:val="27"/>
          <w:szCs w:val="27"/>
          <w:lang w:val="en-US"/>
          <w14:ligatures w14:val="none"/>
        </w:rPr>
      </w:pPr>
      <w:r>
        <w:rPr>
          <w:rFonts w:eastAsiaTheme="minorEastAsia" w:cs="Times New Roman"/>
          <w:color w:val="000000"/>
          <w:kern w:val="0"/>
          <w:sz w:val="27"/>
          <w:szCs w:val="27"/>
          <w:lang w:val="en-US"/>
          <w14:ligatures w14:val="none"/>
        </w:rPr>
        <w:t>Name of the Student: Karangula Lokesh reddy</w:t>
      </w:r>
    </w:p>
    <w:p w14:paraId="0029B619" w14:textId="77777777" w:rsidR="00612D3C" w:rsidRDefault="007047D9">
      <w:pPr>
        <w:spacing w:after="120" w:line="240" w:lineRule="auto"/>
        <w:jc w:val="center"/>
        <w:rPr>
          <w:rFonts w:ascii="-webkit-standard" w:eastAsiaTheme="minorEastAsia" w:hAnsi="-webkit-standard" w:cs="Times New Roman" w:hint="eastAsia"/>
          <w:color w:val="000000"/>
          <w:kern w:val="0"/>
          <w:sz w:val="27"/>
          <w:szCs w:val="27"/>
          <w:lang w:val="en-US"/>
          <w14:ligatures w14:val="none"/>
        </w:rPr>
      </w:pPr>
      <w:r>
        <w:rPr>
          <w:rFonts w:eastAsiaTheme="minorEastAsia" w:cs="Times New Roman"/>
          <w:color w:val="000000"/>
          <w:kern w:val="0"/>
          <w:sz w:val="27"/>
          <w:szCs w:val="27"/>
          <w:lang w:val="en-US"/>
          <w14:ligatures w14:val="none"/>
        </w:rPr>
        <w:t>Student ID: 2513500</w:t>
      </w:r>
    </w:p>
    <w:p w14:paraId="5B3B8218" w14:textId="77777777" w:rsidR="00612D3C" w:rsidRDefault="00612D3C">
      <w:pPr>
        <w:rPr>
          <w:rFonts w:ascii="Calibri" w:hAnsi="Calibri" w:cs="Calibri"/>
          <w:b/>
          <w:bCs/>
          <w:sz w:val="40"/>
          <w:szCs w:val="40"/>
        </w:rPr>
      </w:pPr>
    </w:p>
    <w:p w14:paraId="14FAC896" w14:textId="77777777" w:rsidR="00612D3C" w:rsidRDefault="007047D9">
      <w:pPr>
        <w:jc w:val="center"/>
        <w:rPr>
          <w:rFonts w:ascii="Calibri" w:hAnsi="Calibri" w:cs="Calibri"/>
          <w:b/>
          <w:bCs/>
          <w:sz w:val="40"/>
          <w:szCs w:val="40"/>
        </w:rPr>
      </w:pPr>
      <w:r>
        <w:br w:type="page"/>
      </w:r>
    </w:p>
    <w:p w14:paraId="73EDD9A3" w14:textId="77777777" w:rsidR="00612D3C" w:rsidRDefault="007047D9">
      <w:pPr>
        <w:pStyle w:val="Heading1"/>
        <w:rPr>
          <w:rFonts w:ascii="Calibri" w:hAnsi="Calibri" w:cs="Calibri"/>
        </w:rPr>
      </w:pPr>
      <w:bookmarkStart w:id="0" w:name="_Toc240835759"/>
      <w:r>
        <w:rPr>
          <w:rFonts w:ascii="Calibri" w:hAnsi="Calibri" w:cs="Calibri"/>
        </w:rPr>
        <w:t>Abstract</w:t>
      </w:r>
      <w:bookmarkEnd w:id="0"/>
    </w:p>
    <w:p w14:paraId="06C3366F" w14:textId="77777777" w:rsidR="00612D3C" w:rsidRDefault="007047D9">
      <w:pPr>
        <w:rPr>
          <w:rFonts w:ascii="Calibri" w:hAnsi="Calibri" w:cs="Calibri"/>
        </w:rPr>
      </w:pPr>
      <w:r>
        <w:t>This study examines how the Tesco Clubcard mobile app relates to customer satisfaction and loyalty in the UK grocery market. Guided by Expectation-Confirmation Theory and research on continued app use, it considers ease of use, perceived usefulness, personalised offers, reward value, gamification, push notifications and app performance. The analysis uses descriptive statistics, Pearson correlations and multiple regression on 150 survey responses. Overall ratings were positive for usefulness, personalisation, rewards, performance and satisfaction, while views of gamification and push notifications were more mixed. At the bivariate level, all seven app features were positively associated with satisfaction. In the multiple regression, perceived usefulness and app performance were the only statistically significant unique predictors of satisfaction; rewards, ease of use, personalisation, gamification and push notifications were not significant after overlap among the predictors was controlled. Satisfaction was also positively associated with shopping preference and intention to continue using the app, although the cross-sectional design does not establish causation or mediation. The findings suggest that practical value and dependable performance matter more than novelty-led engagement in this sample.</w:t>
      </w:r>
    </w:p>
    <w:p w14:paraId="0A0BE950" w14:textId="77777777" w:rsidR="00612D3C" w:rsidRDefault="007047D9">
      <w:pPr>
        <w:rPr>
          <w:rFonts w:ascii="Calibri" w:hAnsi="Calibri" w:cs="Calibri"/>
        </w:rPr>
      </w:pPr>
      <w:r>
        <w:br w:type="page"/>
      </w:r>
    </w:p>
    <w:p w14:paraId="06026341" w14:textId="77777777" w:rsidR="00612D3C" w:rsidRDefault="007047D9">
      <w:pPr>
        <w:pStyle w:val="s6"/>
        <w:spacing w:beforeAutospacing="0" w:after="120" w:afterAutospacing="0"/>
        <w:jc w:val="both"/>
        <w:rPr>
          <w:rFonts w:ascii="-webkit-standard" w:hAnsi="-webkit-standard" w:hint="eastAsia"/>
          <w:color w:val="000000"/>
          <w:sz w:val="27"/>
          <w:szCs w:val="27"/>
        </w:rPr>
      </w:pPr>
      <w:r>
        <w:rPr>
          <w:rStyle w:val="bumpedfont15"/>
          <w:b/>
          <w:bCs/>
          <w:color w:val="000000"/>
          <w:sz w:val="32"/>
          <w:szCs w:val="32"/>
        </w:rPr>
        <w:t>DECLARATION</w:t>
      </w:r>
    </w:p>
    <w:p w14:paraId="24A66924" w14:textId="77777777" w:rsidR="00612D3C" w:rsidRDefault="007047D9">
      <w:pPr>
        <w:pStyle w:val="s6"/>
        <w:spacing w:beforeAutospacing="0" w:after="120" w:afterAutospacing="0"/>
        <w:jc w:val="both"/>
        <w:rPr>
          <w:rFonts w:ascii="-webkit-standard" w:hAnsi="-webkit-standard" w:hint="eastAsia"/>
          <w:color w:val="000000"/>
          <w:sz w:val="27"/>
          <w:szCs w:val="27"/>
        </w:rPr>
      </w:pPr>
      <w:r>
        <w:rPr>
          <w:rStyle w:val="s2"/>
          <w:color w:val="000000"/>
          <w:sz w:val="27"/>
          <w:szCs w:val="27"/>
        </w:rPr>
        <w:t>This work has not previously been accepted in substance for any degree and is not being concurrently submitted in candidature for any degree.</w:t>
      </w:r>
    </w:p>
    <w:p w14:paraId="1F1C4A38" w14:textId="77777777" w:rsidR="00612D3C" w:rsidRDefault="007047D9">
      <w:pPr>
        <w:pStyle w:val="s6"/>
        <w:spacing w:beforeAutospacing="0" w:after="120" w:afterAutospacing="0"/>
        <w:jc w:val="both"/>
        <w:rPr>
          <w:rFonts w:ascii="-webkit-standard" w:hAnsi="-webkit-standard" w:hint="eastAsia"/>
          <w:color w:val="000000"/>
          <w:sz w:val="27"/>
          <w:szCs w:val="27"/>
        </w:rPr>
      </w:pPr>
      <w:r>
        <w:rPr>
          <w:rStyle w:val="s2"/>
          <w:color w:val="000000"/>
          <w:sz w:val="27"/>
          <w:szCs w:val="27"/>
        </w:rPr>
        <w:t>Signed ....k.lokeshreddy.................................................................. (candidate)</w:t>
      </w:r>
    </w:p>
    <w:p w14:paraId="1B580C67" w14:textId="77777777" w:rsidR="00612D3C" w:rsidRDefault="007047D9">
      <w:pPr>
        <w:pStyle w:val="s6"/>
        <w:spacing w:beforeAutospacing="0" w:after="120" w:afterAutospacing="0"/>
        <w:jc w:val="both"/>
        <w:rPr>
          <w:rFonts w:ascii="-webkit-standard" w:hAnsi="-webkit-standard" w:hint="eastAsia"/>
          <w:color w:val="000000"/>
          <w:sz w:val="27"/>
          <w:szCs w:val="27"/>
        </w:rPr>
      </w:pPr>
      <w:r>
        <w:rPr>
          <w:rStyle w:val="s2"/>
          <w:color w:val="000000"/>
          <w:sz w:val="27"/>
          <w:szCs w:val="27"/>
        </w:rPr>
        <w:t>Date.. 25.09.26</w:t>
      </w:r>
    </w:p>
    <w:p w14:paraId="1BE09EE4" w14:textId="77777777" w:rsidR="00612D3C" w:rsidRDefault="007047D9">
      <w:pPr>
        <w:pStyle w:val="s6"/>
        <w:spacing w:beforeAutospacing="0" w:after="120" w:afterAutospacing="0"/>
        <w:jc w:val="both"/>
        <w:rPr>
          <w:rFonts w:ascii="-webkit-standard" w:hAnsi="-webkit-standard" w:hint="eastAsia"/>
          <w:color w:val="000000"/>
          <w:sz w:val="27"/>
          <w:szCs w:val="27"/>
        </w:rPr>
      </w:pPr>
      <w:r>
        <w:rPr>
          <w:rStyle w:val="s2"/>
          <w:color w:val="000000"/>
          <w:sz w:val="27"/>
          <w:szCs w:val="27"/>
        </w:rPr>
        <w:t> </w:t>
      </w:r>
    </w:p>
    <w:p w14:paraId="133C51A5" w14:textId="77777777" w:rsidR="00612D3C" w:rsidRDefault="007047D9">
      <w:pPr>
        <w:pStyle w:val="s6"/>
        <w:spacing w:beforeAutospacing="0" w:after="120" w:afterAutospacing="0"/>
        <w:jc w:val="both"/>
        <w:rPr>
          <w:rFonts w:ascii="-webkit-standard" w:hAnsi="-webkit-standard" w:hint="eastAsia"/>
          <w:color w:val="000000"/>
          <w:sz w:val="27"/>
          <w:szCs w:val="27"/>
        </w:rPr>
      </w:pPr>
      <w:r>
        <w:rPr>
          <w:rStyle w:val="bumpedfont15"/>
          <w:b/>
          <w:bCs/>
          <w:color w:val="000000"/>
          <w:sz w:val="32"/>
          <w:szCs w:val="32"/>
        </w:rPr>
        <w:t>STATEMENT 1</w:t>
      </w:r>
    </w:p>
    <w:p w14:paraId="0C14DEFE" w14:textId="77777777" w:rsidR="00612D3C" w:rsidRDefault="007047D9">
      <w:pPr>
        <w:pStyle w:val="s6"/>
        <w:spacing w:beforeAutospacing="0" w:after="120" w:afterAutospacing="0"/>
        <w:jc w:val="both"/>
        <w:rPr>
          <w:rFonts w:ascii="-webkit-standard" w:hAnsi="-webkit-standard" w:hint="eastAsia"/>
          <w:color w:val="000000"/>
          <w:sz w:val="27"/>
          <w:szCs w:val="27"/>
        </w:rPr>
      </w:pPr>
      <w:r>
        <w:rPr>
          <w:rStyle w:val="s2"/>
          <w:color w:val="000000"/>
          <w:sz w:val="27"/>
          <w:szCs w:val="27"/>
        </w:rPr>
        <w:t>This work is the result of my own investigations, except where otherwise stated.</w:t>
      </w:r>
    </w:p>
    <w:p w14:paraId="17BB64A8" w14:textId="77777777" w:rsidR="00612D3C" w:rsidRDefault="007047D9">
      <w:pPr>
        <w:pStyle w:val="s6"/>
        <w:spacing w:beforeAutospacing="0" w:after="120" w:afterAutospacing="0"/>
        <w:jc w:val="both"/>
        <w:rPr>
          <w:rFonts w:ascii="-webkit-standard" w:hAnsi="-webkit-standard" w:hint="eastAsia"/>
          <w:color w:val="000000"/>
          <w:sz w:val="27"/>
          <w:szCs w:val="27"/>
        </w:rPr>
      </w:pPr>
      <w:r>
        <w:rPr>
          <w:rStyle w:val="s2"/>
          <w:color w:val="000000"/>
          <w:sz w:val="27"/>
          <w:szCs w:val="27"/>
        </w:rPr>
        <w:t>Other sources are acknowledged by footnotes giving explicit references. A bibliography is appended.</w:t>
      </w:r>
    </w:p>
    <w:p w14:paraId="0B114538" w14:textId="77777777" w:rsidR="00612D3C" w:rsidRDefault="007047D9">
      <w:pPr>
        <w:pStyle w:val="s6"/>
        <w:spacing w:beforeAutospacing="0" w:after="120" w:afterAutospacing="0"/>
        <w:jc w:val="both"/>
        <w:rPr>
          <w:rFonts w:ascii="-webkit-standard" w:hAnsi="-webkit-standard" w:hint="eastAsia"/>
          <w:color w:val="000000"/>
          <w:sz w:val="27"/>
          <w:szCs w:val="27"/>
        </w:rPr>
      </w:pPr>
      <w:r>
        <w:rPr>
          <w:rStyle w:val="s2"/>
          <w:color w:val="000000"/>
          <w:sz w:val="27"/>
          <w:szCs w:val="27"/>
        </w:rPr>
        <w:t>Signed ...............k.lokeshreddy...................................................... (candidate)</w:t>
      </w:r>
    </w:p>
    <w:p w14:paraId="3099340F" w14:textId="77777777" w:rsidR="00612D3C" w:rsidRDefault="007047D9">
      <w:pPr>
        <w:pStyle w:val="s6"/>
        <w:spacing w:beforeAutospacing="0" w:after="120" w:afterAutospacing="0"/>
        <w:jc w:val="both"/>
        <w:rPr>
          <w:rFonts w:ascii="-webkit-standard" w:hAnsi="-webkit-standard" w:hint="eastAsia"/>
          <w:color w:val="000000"/>
          <w:sz w:val="27"/>
          <w:szCs w:val="27"/>
        </w:rPr>
      </w:pPr>
      <w:r>
        <w:rPr>
          <w:rStyle w:val="s2"/>
          <w:color w:val="000000"/>
          <w:sz w:val="27"/>
          <w:szCs w:val="27"/>
        </w:rPr>
        <w:t>Date ...................25.09.26.....................................................</w:t>
      </w:r>
    </w:p>
    <w:p w14:paraId="006EFE91" w14:textId="77777777" w:rsidR="00612D3C" w:rsidRDefault="007047D9">
      <w:pPr>
        <w:pStyle w:val="s6"/>
        <w:spacing w:beforeAutospacing="0" w:after="120" w:afterAutospacing="0"/>
        <w:jc w:val="both"/>
        <w:rPr>
          <w:rFonts w:ascii="-webkit-standard" w:hAnsi="-webkit-standard" w:hint="eastAsia"/>
          <w:color w:val="000000"/>
          <w:sz w:val="27"/>
          <w:szCs w:val="27"/>
        </w:rPr>
      </w:pPr>
      <w:r>
        <w:rPr>
          <w:rStyle w:val="s2"/>
          <w:color w:val="000000"/>
          <w:sz w:val="27"/>
          <w:szCs w:val="27"/>
        </w:rPr>
        <w:t> </w:t>
      </w:r>
    </w:p>
    <w:p w14:paraId="3D28AF5B" w14:textId="77777777" w:rsidR="00612D3C" w:rsidRDefault="007047D9">
      <w:pPr>
        <w:pStyle w:val="s6"/>
        <w:spacing w:beforeAutospacing="0" w:after="120" w:afterAutospacing="0"/>
        <w:jc w:val="both"/>
        <w:rPr>
          <w:rFonts w:ascii="-webkit-standard" w:hAnsi="-webkit-standard" w:hint="eastAsia"/>
          <w:color w:val="000000"/>
          <w:sz w:val="27"/>
          <w:szCs w:val="27"/>
        </w:rPr>
      </w:pPr>
      <w:r>
        <w:rPr>
          <w:rStyle w:val="bumpedfont15"/>
          <w:b/>
          <w:bCs/>
          <w:color w:val="000000"/>
          <w:sz w:val="32"/>
          <w:szCs w:val="32"/>
        </w:rPr>
        <w:t>STATEMENT 2</w:t>
      </w:r>
    </w:p>
    <w:p w14:paraId="5CDC161E" w14:textId="77777777" w:rsidR="00612D3C" w:rsidRDefault="007047D9">
      <w:pPr>
        <w:pStyle w:val="s6"/>
        <w:spacing w:beforeAutospacing="0" w:after="120" w:afterAutospacing="0"/>
        <w:jc w:val="both"/>
        <w:rPr>
          <w:rFonts w:ascii="-webkit-standard" w:hAnsi="-webkit-standard" w:hint="eastAsia"/>
          <w:color w:val="000000"/>
          <w:sz w:val="27"/>
          <w:szCs w:val="27"/>
        </w:rPr>
      </w:pPr>
      <w:r>
        <w:rPr>
          <w:rStyle w:val="s2"/>
          <w:color w:val="000000"/>
          <w:sz w:val="27"/>
          <w:szCs w:val="27"/>
        </w:rPr>
        <w:t>I hereby give consent for my work, if accepted, to be available for photocopying and for inter-library loan, and for the title and summary to be made available to outside organization.</w:t>
      </w:r>
    </w:p>
    <w:p w14:paraId="02495CF6" w14:textId="77777777" w:rsidR="00612D3C" w:rsidRDefault="007047D9">
      <w:pPr>
        <w:pStyle w:val="s6"/>
        <w:spacing w:beforeAutospacing="0" w:after="120" w:afterAutospacing="0"/>
        <w:jc w:val="both"/>
        <w:rPr>
          <w:rFonts w:ascii="-webkit-standard" w:hAnsi="-webkit-standard" w:hint="eastAsia"/>
          <w:color w:val="000000"/>
          <w:sz w:val="27"/>
          <w:szCs w:val="27"/>
        </w:rPr>
      </w:pPr>
      <w:r>
        <w:rPr>
          <w:rStyle w:val="s2"/>
          <w:color w:val="000000"/>
          <w:sz w:val="27"/>
          <w:szCs w:val="27"/>
        </w:rPr>
        <w:t>Signed ................K.lokeshreddy..................................................... (candidate)</w:t>
      </w:r>
    </w:p>
    <w:p w14:paraId="537FF799" w14:textId="77777777" w:rsidR="00612D3C" w:rsidRDefault="007047D9">
      <w:pPr>
        <w:pStyle w:val="s6"/>
        <w:spacing w:beforeAutospacing="0" w:after="120" w:afterAutospacing="0"/>
        <w:jc w:val="both"/>
        <w:rPr>
          <w:rFonts w:ascii="-webkit-standard" w:hAnsi="-webkit-standard" w:hint="eastAsia"/>
          <w:color w:val="000000"/>
          <w:sz w:val="27"/>
          <w:szCs w:val="27"/>
        </w:rPr>
      </w:pPr>
      <w:r>
        <w:rPr>
          <w:rStyle w:val="s2"/>
          <w:color w:val="000000"/>
          <w:sz w:val="27"/>
          <w:szCs w:val="27"/>
        </w:rPr>
        <w:t>Date ...................25.09.26.....................................................</w:t>
      </w:r>
    </w:p>
    <w:p w14:paraId="6F4A8531" w14:textId="77777777" w:rsidR="00612D3C" w:rsidRDefault="00612D3C">
      <w:pPr>
        <w:rPr>
          <w:rFonts w:ascii="Calibri" w:hAnsi="Calibri" w:cs="Calibri"/>
        </w:rPr>
      </w:pPr>
    </w:p>
    <w:p w14:paraId="18E4AD20" w14:textId="77777777" w:rsidR="00612D3C" w:rsidRDefault="00612D3C">
      <w:pPr>
        <w:rPr>
          <w:rFonts w:ascii="Calibri" w:hAnsi="Calibri" w:cs="Calibri"/>
        </w:rPr>
      </w:pPr>
    </w:p>
    <w:p w14:paraId="17D275ED" w14:textId="77777777" w:rsidR="00612D3C" w:rsidRDefault="007047D9">
      <w:pPr>
        <w:rPr>
          <w:rFonts w:ascii="Calibri" w:hAnsi="Calibri" w:cs="Calibri"/>
        </w:rPr>
      </w:pPr>
      <w:r>
        <w:br w:type="page"/>
      </w:r>
    </w:p>
    <w:p w14:paraId="0002BBA6" w14:textId="77777777" w:rsidR="00612D3C" w:rsidRDefault="007047D9">
      <w:pPr>
        <w:pStyle w:val="Heading1"/>
        <w:spacing w:before="0"/>
        <w:rPr>
          <w:rFonts w:ascii="Calibri" w:hAnsi="Calibri" w:cs="Calibri"/>
        </w:rPr>
      </w:pPr>
      <w:bookmarkStart w:id="1" w:name="_Toc240835760"/>
      <w:r>
        <w:rPr>
          <w:rFonts w:ascii="Calibri" w:hAnsi="Calibri" w:cs="Calibri"/>
        </w:rPr>
        <w:t>Acknowledgement</w:t>
      </w:r>
      <w:bookmarkEnd w:id="1"/>
    </w:p>
    <w:p w14:paraId="03E58BC7" w14:textId="77777777" w:rsidR="00612D3C" w:rsidRDefault="007047D9">
      <w:pPr>
        <w:rPr>
          <w:rFonts w:ascii="Calibri" w:hAnsi="Calibri" w:cs="Calibri"/>
        </w:rPr>
      </w:pPr>
      <w:r>
        <w:rPr>
          <w:rFonts w:ascii="Calibri" w:hAnsi="Calibri" w:cs="Calibri"/>
        </w:rPr>
        <w:t xml:space="preserve">My supervisor is the one whom I would like to thank with all my heart because of the constant guidance, constructive feedback and encouragement given to me during this research. I acknowledge the contribution of all respondents who took part in the survey and provided their experiences of using the Tesco Clubcard app, as their experience and contributions made this study possible. It is thanks to my family and friends who encouraged and supported me throughout this phase. </w:t>
      </w:r>
    </w:p>
    <w:sdt>
      <w:sdtPr>
        <w:rPr>
          <w:rFonts w:ascii="Times New Roman" w:eastAsiaTheme="minorHAnsi" w:hAnsi="Times New Roman" w:cstheme="minorBidi"/>
          <w:color w:val="auto"/>
          <w:kern w:val="2"/>
          <w:sz w:val="24"/>
          <w:szCs w:val="24"/>
          <w:lang w:val="en-GB"/>
          <w14:ligatures w14:val="standardContextual"/>
        </w:rPr>
        <w:id w:val="812993139"/>
        <w:docPartObj>
          <w:docPartGallery w:val="Table of Contents"/>
          <w:docPartUnique/>
        </w:docPartObj>
      </w:sdtPr>
      <w:sdtEndPr/>
      <w:sdtContent>
        <w:p w14:paraId="182FF4D0" w14:textId="77777777" w:rsidR="00612D3C" w:rsidRDefault="007047D9">
          <w:pPr>
            <w:pStyle w:val="TOCHeading"/>
            <w:spacing w:before="0" w:line="276" w:lineRule="auto"/>
            <w:jc w:val="center"/>
            <w:rPr>
              <w:rFonts w:ascii="Calibri" w:hAnsi="Calibri" w:cs="Calibri"/>
              <w:b/>
              <w:bCs/>
              <w:color w:val="auto"/>
              <w:sz w:val="22"/>
              <w:szCs w:val="22"/>
              <w:lang w:val="en-GB"/>
            </w:rPr>
          </w:pPr>
          <w:r>
            <w:br w:type="page"/>
          </w:r>
          <w:r>
            <w:rPr>
              <w:rFonts w:ascii="Calibri" w:hAnsi="Calibri" w:cs="Calibri"/>
              <w:b/>
              <w:bCs/>
              <w:color w:val="auto"/>
              <w:sz w:val="22"/>
              <w:szCs w:val="22"/>
              <w:lang w:val="en-GB"/>
            </w:rPr>
            <w:t>Table of Contents</w:t>
          </w:r>
        </w:p>
        <w:p w14:paraId="02CF949F" w14:textId="77777777" w:rsidR="00612D3C" w:rsidRDefault="007047D9">
          <w:pPr>
            <w:pStyle w:val="TOC1"/>
            <w:tabs>
              <w:tab w:val="right" w:leader="dot" w:pos="9016"/>
            </w:tabs>
            <w:rPr>
              <w:rFonts w:asciiTheme="minorHAnsi" w:eastAsiaTheme="minorEastAsia" w:hAnsiTheme="minorHAnsi"/>
              <w:lang w:val="en-IN" w:eastAsia="en-IN"/>
            </w:rPr>
          </w:pPr>
          <w:r>
            <w:fldChar w:fldCharType="begin"/>
          </w:r>
          <w:r>
            <w:rPr>
              <w:rStyle w:val="IndexLink"/>
              <w:rFonts w:ascii="Calibri" w:hAnsi="Calibri" w:cs="Calibri"/>
              <w:webHidden/>
            </w:rPr>
            <w:instrText xml:space="preserve"> TOC \z \o "1-3" \u \h</w:instrText>
          </w:r>
          <w:r>
            <w:rPr>
              <w:rStyle w:val="IndexLink"/>
            </w:rPr>
            <w:fldChar w:fldCharType="separate"/>
          </w:r>
          <w:hyperlink w:anchor="_Toc240835759">
            <w:r>
              <w:rPr>
                <w:rStyle w:val="IndexLink"/>
                <w:rFonts w:ascii="Calibri" w:hAnsi="Calibri" w:cs="Calibri"/>
                <w:webHidden/>
              </w:rPr>
              <w:t>Abstract</w:t>
            </w:r>
            <w:r>
              <w:rPr>
                <w:webHidden/>
              </w:rPr>
              <w:fldChar w:fldCharType="begin"/>
            </w:r>
            <w:r>
              <w:rPr>
                <w:webHidden/>
              </w:rPr>
              <w:instrText>PAGEREF _Toc240835759 \h</w:instrText>
            </w:r>
            <w:r>
              <w:rPr>
                <w:webHidden/>
              </w:rPr>
            </w:r>
            <w:r>
              <w:rPr>
                <w:webHidden/>
              </w:rPr>
              <w:fldChar w:fldCharType="separate"/>
            </w:r>
            <w:r>
              <w:rPr>
                <w:rStyle w:val="IndexLink"/>
              </w:rPr>
              <w:tab/>
              <w:t>2</w:t>
            </w:r>
            <w:r>
              <w:rPr>
                <w:webHidden/>
              </w:rPr>
              <w:fldChar w:fldCharType="end"/>
            </w:r>
          </w:hyperlink>
        </w:p>
        <w:p w14:paraId="708555F8" w14:textId="77777777" w:rsidR="00612D3C" w:rsidRDefault="007047D9">
          <w:pPr>
            <w:pStyle w:val="TOC1"/>
            <w:tabs>
              <w:tab w:val="right" w:leader="dot" w:pos="9016"/>
            </w:tabs>
            <w:rPr>
              <w:rFonts w:asciiTheme="minorHAnsi" w:eastAsiaTheme="minorEastAsia" w:hAnsiTheme="minorHAnsi"/>
              <w:lang w:val="en-IN" w:eastAsia="en-IN"/>
            </w:rPr>
          </w:pPr>
          <w:hyperlink w:anchor="_Toc240835760">
            <w:r>
              <w:rPr>
                <w:rStyle w:val="IndexLink"/>
                <w:rFonts w:ascii="Calibri" w:hAnsi="Calibri" w:cs="Calibri"/>
                <w:webHidden/>
              </w:rPr>
              <w:t>Acknowledgement</w:t>
            </w:r>
            <w:r>
              <w:rPr>
                <w:webHidden/>
              </w:rPr>
              <w:fldChar w:fldCharType="begin"/>
            </w:r>
            <w:r>
              <w:rPr>
                <w:webHidden/>
              </w:rPr>
              <w:instrText>PAGEREF _Toc240835760 \h</w:instrText>
            </w:r>
            <w:r>
              <w:rPr>
                <w:webHidden/>
              </w:rPr>
            </w:r>
            <w:r>
              <w:rPr>
                <w:webHidden/>
              </w:rPr>
              <w:fldChar w:fldCharType="separate"/>
            </w:r>
            <w:r>
              <w:rPr>
                <w:rStyle w:val="IndexLink"/>
              </w:rPr>
              <w:tab/>
              <w:t>4</w:t>
            </w:r>
            <w:r>
              <w:rPr>
                <w:webHidden/>
              </w:rPr>
              <w:fldChar w:fldCharType="end"/>
            </w:r>
          </w:hyperlink>
        </w:p>
        <w:p w14:paraId="463FFA4F" w14:textId="77777777" w:rsidR="00612D3C" w:rsidRDefault="007047D9">
          <w:pPr>
            <w:pStyle w:val="TOC1"/>
            <w:tabs>
              <w:tab w:val="right" w:leader="dot" w:pos="9016"/>
            </w:tabs>
            <w:rPr>
              <w:rFonts w:asciiTheme="minorHAnsi" w:eastAsiaTheme="minorEastAsia" w:hAnsiTheme="minorHAnsi"/>
              <w:lang w:val="en-IN" w:eastAsia="en-IN"/>
            </w:rPr>
          </w:pPr>
          <w:hyperlink w:anchor="_Toc240835761">
            <w:r>
              <w:rPr>
                <w:rStyle w:val="IndexLink"/>
                <w:rFonts w:ascii="Calibri" w:hAnsi="Calibri" w:cs="Calibri"/>
                <w:webHidden/>
              </w:rPr>
              <w:t>1. INTRODUCTION</w:t>
            </w:r>
            <w:r>
              <w:rPr>
                <w:webHidden/>
              </w:rPr>
              <w:fldChar w:fldCharType="begin"/>
            </w:r>
            <w:r>
              <w:rPr>
                <w:webHidden/>
              </w:rPr>
              <w:instrText>PAGEREF _Toc240835761 \h</w:instrText>
            </w:r>
            <w:r>
              <w:rPr>
                <w:webHidden/>
              </w:rPr>
            </w:r>
            <w:r>
              <w:rPr>
                <w:webHidden/>
              </w:rPr>
              <w:fldChar w:fldCharType="separate"/>
            </w:r>
            <w:r>
              <w:rPr>
                <w:rStyle w:val="IndexLink"/>
              </w:rPr>
              <w:tab/>
              <w:t>8</w:t>
            </w:r>
            <w:r>
              <w:rPr>
                <w:webHidden/>
              </w:rPr>
              <w:fldChar w:fldCharType="end"/>
            </w:r>
          </w:hyperlink>
        </w:p>
        <w:p w14:paraId="1F728098" w14:textId="77777777" w:rsidR="00612D3C" w:rsidRDefault="007047D9">
          <w:pPr>
            <w:pStyle w:val="TOC2"/>
            <w:tabs>
              <w:tab w:val="right" w:leader="dot" w:pos="9016"/>
            </w:tabs>
            <w:rPr>
              <w:rFonts w:asciiTheme="minorHAnsi" w:eastAsiaTheme="minorEastAsia" w:hAnsiTheme="minorHAnsi"/>
              <w:lang w:val="en-IN" w:eastAsia="en-IN"/>
            </w:rPr>
          </w:pPr>
          <w:hyperlink w:anchor="_Toc240835762">
            <w:r>
              <w:rPr>
                <w:rStyle w:val="IndexLink"/>
                <w:rFonts w:ascii="Calibri" w:hAnsi="Calibri" w:cs="Calibri"/>
                <w:webHidden/>
              </w:rPr>
              <w:t>1.1 Introduction</w:t>
            </w:r>
            <w:r>
              <w:rPr>
                <w:webHidden/>
              </w:rPr>
              <w:fldChar w:fldCharType="begin"/>
            </w:r>
            <w:r>
              <w:rPr>
                <w:webHidden/>
              </w:rPr>
              <w:instrText>PAGEREF _Toc240835762 \h</w:instrText>
            </w:r>
            <w:r>
              <w:rPr>
                <w:webHidden/>
              </w:rPr>
            </w:r>
            <w:r>
              <w:rPr>
                <w:webHidden/>
              </w:rPr>
              <w:fldChar w:fldCharType="separate"/>
            </w:r>
            <w:r>
              <w:rPr>
                <w:rStyle w:val="IndexLink"/>
              </w:rPr>
              <w:tab/>
              <w:t>8</w:t>
            </w:r>
            <w:r>
              <w:rPr>
                <w:webHidden/>
              </w:rPr>
              <w:fldChar w:fldCharType="end"/>
            </w:r>
          </w:hyperlink>
        </w:p>
        <w:p w14:paraId="06BBFD2C" w14:textId="77777777" w:rsidR="00612D3C" w:rsidRDefault="007047D9">
          <w:pPr>
            <w:pStyle w:val="TOC2"/>
            <w:tabs>
              <w:tab w:val="right" w:leader="dot" w:pos="9016"/>
            </w:tabs>
            <w:rPr>
              <w:rFonts w:asciiTheme="minorHAnsi" w:eastAsiaTheme="minorEastAsia" w:hAnsiTheme="minorHAnsi"/>
              <w:lang w:val="en-IN" w:eastAsia="en-IN"/>
            </w:rPr>
          </w:pPr>
          <w:hyperlink w:anchor="_Toc240835763">
            <w:r>
              <w:rPr>
                <w:rStyle w:val="IndexLink"/>
                <w:rFonts w:ascii="Calibri" w:hAnsi="Calibri" w:cs="Calibri"/>
                <w:webHidden/>
              </w:rPr>
              <w:t>1.2 Rationale of Study</w:t>
            </w:r>
            <w:r>
              <w:rPr>
                <w:webHidden/>
              </w:rPr>
              <w:fldChar w:fldCharType="begin"/>
            </w:r>
            <w:r>
              <w:rPr>
                <w:webHidden/>
              </w:rPr>
              <w:instrText>PAGEREF _Toc240835763 \h</w:instrText>
            </w:r>
            <w:r>
              <w:rPr>
                <w:webHidden/>
              </w:rPr>
            </w:r>
            <w:r>
              <w:rPr>
                <w:webHidden/>
              </w:rPr>
              <w:fldChar w:fldCharType="separate"/>
            </w:r>
            <w:r>
              <w:rPr>
                <w:rStyle w:val="IndexLink"/>
              </w:rPr>
              <w:tab/>
              <w:t>9</w:t>
            </w:r>
            <w:r>
              <w:rPr>
                <w:webHidden/>
              </w:rPr>
              <w:fldChar w:fldCharType="end"/>
            </w:r>
          </w:hyperlink>
        </w:p>
        <w:p w14:paraId="74EC2C11" w14:textId="77777777" w:rsidR="00612D3C" w:rsidRDefault="007047D9">
          <w:pPr>
            <w:pStyle w:val="TOC2"/>
            <w:tabs>
              <w:tab w:val="right" w:leader="dot" w:pos="9016"/>
            </w:tabs>
            <w:rPr>
              <w:rFonts w:asciiTheme="minorHAnsi" w:eastAsiaTheme="minorEastAsia" w:hAnsiTheme="minorHAnsi"/>
              <w:lang w:val="en-IN" w:eastAsia="en-IN"/>
            </w:rPr>
          </w:pPr>
          <w:hyperlink w:anchor="_Toc240835764">
            <w:r>
              <w:rPr>
                <w:rStyle w:val="IndexLink"/>
                <w:rFonts w:ascii="Calibri" w:hAnsi="Calibri" w:cs="Calibri"/>
                <w:webHidden/>
              </w:rPr>
              <w:t>1.3 Research Objectives</w:t>
            </w:r>
            <w:r>
              <w:rPr>
                <w:webHidden/>
              </w:rPr>
              <w:fldChar w:fldCharType="begin"/>
            </w:r>
            <w:r>
              <w:rPr>
                <w:webHidden/>
              </w:rPr>
              <w:instrText>PAGEREF _Toc240835764 \h</w:instrText>
            </w:r>
            <w:r>
              <w:rPr>
                <w:webHidden/>
              </w:rPr>
            </w:r>
            <w:r>
              <w:rPr>
                <w:webHidden/>
              </w:rPr>
              <w:fldChar w:fldCharType="separate"/>
            </w:r>
            <w:r>
              <w:rPr>
                <w:rStyle w:val="IndexLink"/>
              </w:rPr>
              <w:tab/>
              <w:t>10</w:t>
            </w:r>
            <w:r>
              <w:rPr>
                <w:webHidden/>
              </w:rPr>
              <w:fldChar w:fldCharType="end"/>
            </w:r>
          </w:hyperlink>
        </w:p>
        <w:p w14:paraId="23637307" w14:textId="77777777" w:rsidR="00612D3C" w:rsidRDefault="007047D9">
          <w:pPr>
            <w:pStyle w:val="TOC2"/>
            <w:tabs>
              <w:tab w:val="right" w:leader="dot" w:pos="9016"/>
            </w:tabs>
            <w:rPr>
              <w:rFonts w:asciiTheme="minorHAnsi" w:eastAsiaTheme="minorEastAsia" w:hAnsiTheme="minorHAnsi"/>
              <w:lang w:val="en-IN" w:eastAsia="en-IN"/>
            </w:rPr>
          </w:pPr>
          <w:hyperlink w:anchor="_Toc240835765">
            <w:r>
              <w:rPr>
                <w:rStyle w:val="IndexLink"/>
                <w:rFonts w:ascii="Calibri" w:hAnsi="Calibri" w:cs="Calibri"/>
                <w:webHidden/>
              </w:rPr>
              <w:t>1.4 Research Questions</w:t>
            </w:r>
            <w:r>
              <w:rPr>
                <w:webHidden/>
              </w:rPr>
              <w:fldChar w:fldCharType="begin"/>
            </w:r>
            <w:r>
              <w:rPr>
                <w:webHidden/>
              </w:rPr>
              <w:instrText>PAGEREF _Toc240835765 \h</w:instrText>
            </w:r>
            <w:r>
              <w:rPr>
                <w:webHidden/>
              </w:rPr>
            </w:r>
            <w:r>
              <w:rPr>
                <w:webHidden/>
              </w:rPr>
              <w:fldChar w:fldCharType="separate"/>
            </w:r>
            <w:r>
              <w:rPr>
                <w:rStyle w:val="IndexLink"/>
              </w:rPr>
              <w:tab/>
              <w:t>10</w:t>
            </w:r>
            <w:r>
              <w:rPr>
                <w:webHidden/>
              </w:rPr>
              <w:fldChar w:fldCharType="end"/>
            </w:r>
          </w:hyperlink>
        </w:p>
        <w:p w14:paraId="394087C5" w14:textId="77777777" w:rsidR="00612D3C" w:rsidRDefault="007047D9">
          <w:pPr>
            <w:pStyle w:val="TOC2"/>
            <w:tabs>
              <w:tab w:val="right" w:leader="dot" w:pos="9016"/>
            </w:tabs>
            <w:rPr>
              <w:rFonts w:asciiTheme="minorHAnsi" w:eastAsiaTheme="minorEastAsia" w:hAnsiTheme="minorHAnsi"/>
              <w:lang w:val="en-IN" w:eastAsia="en-IN"/>
            </w:rPr>
          </w:pPr>
          <w:hyperlink w:anchor="_Toc240835766">
            <w:r>
              <w:rPr>
                <w:rStyle w:val="IndexLink"/>
                <w:rFonts w:ascii="Calibri" w:hAnsi="Calibri" w:cs="Calibri"/>
                <w:webHidden/>
              </w:rPr>
              <w:t>1.5 Justification</w:t>
            </w:r>
            <w:r>
              <w:rPr>
                <w:webHidden/>
              </w:rPr>
              <w:fldChar w:fldCharType="begin"/>
            </w:r>
            <w:r>
              <w:rPr>
                <w:webHidden/>
              </w:rPr>
              <w:instrText>PAGEREF _Toc240835766 \h</w:instrText>
            </w:r>
            <w:r>
              <w:rPr>
                <w:webHidden/>
              </w:rPr>
            </w:r>
            <w:r>
              <w:rPr>
                <w:webHidden/>
              </w:rPr>
              <w:fldChar w:fldCharType="separate"/>
            </w:r>
            <w:r>
              <w:rPr>
                <w:rStyle w:val="IndexLink"/>
              </w:rPr>
              <w:tab/>
              <w:t>10</w:t>
            </w:r>
            <w:r>
              <w:rPr>
                <w:webHidden/>
              </w:rPr>
              <w:fldChar w:fldCharType="end"/>
            </w:r>
          </w:hyperlink>
        </w:p>
        <w:p w14:paraId="7BA55B31" w14:textId="77777777" w:rsidR="00612D3C" w:rsidRDefault="007047D9">
          <w:pPr>
            <w:pStyle w:val="TOC2"/>
            <w:tabs>
              <w:tab w:val="right" w:leader="dot" w:pos="9016"/>
            </w:tabs>
            <w:rPr>
              <w:rFonts w:asciiTheme="minorHAnsi" w:eastAsiaTheme="minorEastAsia" w:hAnsiTheme="minorHAnsi"/>
              <w:lang w:val="en-IN" w:eastAsia="en-IN"/>
            </w:rPr>
          </w:pPr>
          <w:hyperlink w:anchor="_Toc240835767">
            <w:r>
              <w:rPr>
                <w:rStyle w:val="IndexLink"/>
                <w:rFonts w:ascii="Calibri" w:hAnsi="Calibri" w:cs="Calibri"/>
                <w:webHidden/>
              </w:rPr>
              <w:t>1.6 Scope</w:t>
            </w:r>
            <w:r>
              <w:rPr>
                <w:webHidden/>
              </w:rPr>
              <w:fldChar w:fldCharType="begin"/>
            </w:r>
            <w:r>
              <w:rPr>
                <w:webHidden/>
              </w:rPr>
              <w:instrText>PAGEREF _Toc240835767 \h</w:instrText>
            </w:r>
            <w:r>
              <w:rPr>
                <w:webHidden/>
              </w:rPr>
            </w:r>
            <w:r>
              <w:rPr>
                <w:webHidden/>
              </w:rPr>
              <w:fldChar w:fldCharType="separate"/>
            </w:r>
            <w:r>
              <w:rPr>
                <w:rStyle w:val="IndexLink"/>
              </w:rPr>
              <w:tab/>
              <w:t>11</w:t>
            </w:r>
            <w:r>
              <w:rPr>
                <w:webHidden/>
              </w:rPr>
              <w:fldChar w:fldCharType="end"/>
            </w:r>
          </w:hyperlink>
        </w:p>
        <w:p w14:paraId="11A863B6" w14:textId="77777777" w:rsidR="00612D3C" w:rsidRDefault="007047D9">
          <w:pPr>
            <w:pStyle w:val="TOC2"/>
            <w:tabs>
              <w:tab w:val="right" w:leader="dot" w:pos="9016"/>
            </w:tabs>
            <w:rPr>
              <w:rFonts w:asciiTheme="minorHAnsi" w:eastAsiaTheme="minorEastAsia" w:hAnsiTheme="minorHAnsi"/>
              <w:lang w:val="en-IN" w:eastAsia="en-IN"/>
            </w:rPr>
          </w:pPr>
          <w:hyperlink w:anchor="_Toc240835768">
            <w:r>
              <w:rPr>
                <w:rStyle w:val="IndexLink"/>
                <w:rFonts w:ascii="Calibri" w:hAnsi="Calibri" w:cs="Calibri"/>
                <w:webHidden/>
              </w:rPr>
              <w:t>1.7 Limitations</w:t>
            </w:r>
            <w:r>
              <w:rPr>
                <w:webHidden/>
              </w:rPr>
              <w:fldChar w:fldCharType="begin"/>
            </w:r>
            <w:r>
              <w:rPr>
                <w:webHidden/>
              </w:rPr>
              <w:instrText>PAGEREF _Toc240835768 \h</w:instrText>
            </w:r>
            <w:r>
              <w:rPr>
                <w:webHidden/>
              </w:rPr>
            </w:r>
            <w:r>
              <w:rPr>
                <w:webHidden/>
              </w:rPr>
              <w:fldChar w:fldCharType="separate"/>
            </w:r>
            <w:r>
              <w:rPr>
                <w:rStyle w:val="IndexLink"/>
              </w:rPr>
              <w:tab/>
              <w:t>11</w:t>
            </w:r>
            <w:r>
              <w:rPr>
                <w:webHidden/>
              </w:rPr>
              <w:fldChar w:fldCharType="end"/>
            </w:r>
          </w:hyperlink>
        </w:p>
        <w:p w14:paraId="0405E8CE" w14:textId="77777777" w:rsidR="00612D3C" w:rsidRDefault="007047D9">
          <w:pPr>
            <w:pStyle w:val="TOC2"/>
            <w:tabs>
              <w:tab w:val="right" w:leader="dot" w:pos="9016"/>
            </w:tabs>
            <w:rPr>
              <w:rFonts w:asciiTheme="minorHAnsi" w:eastAsiaTheme="minorEastAsia" w:hAnsiTheme="minorHAnsi"/>
              <w:lang w:val="en-IN" w:eastAsia="en-IN"/>
            </w:rPr>
          </w:pPr>
          <w:hyperlink w:anchor="_Toc240835769">
            <w:r>
              <w:rPr>
                <w:rStyle w:val="IndexLink"/>
                <w:rFonts w:ascii="Calibri" w:hAnsi="Calibri" w:cs="Calibri"/>
                <w:webHidden/>
              </w:rPr>
              <w:t>1.8 Structure of the thesis</w:t>
            </w:r>
            <w:r>
              <w:rPr>
                <w:webHidden/>
              </w:rPr>
              <w:fldChar w:fldCharType="begin"/>
            </w:r>
            <w:r>
              <w:rPr>
                <w:webHidden/>
              </w:rPr>
              <w:instrText>PAGEREF _Toc240835769 \h</w:instrText>
            </w:r>
            <w:r>
              <w:rPr>
                <w:webHidden/>
              </w:rPr>
            </w:r>
            <w:r>
              <w:rPr>
                <w:webHidden/>
              </w:rPr>
              <w:fldChar w:fldCharType="separate"/>
            </w:r>
            <w:r>
              <w:rPr>
                <w:rStyle w:val="IndexLink"/>
              </w:rPr>
              <w:tab/>
              <w:t>12</w:t>
            </w:r>
            <w:r>
              <w:rPr>
                <w:webHidden/>
              </w:rPr>
              <w:fldChar w:fldCharType="end"/>
            </w:r>
          </w:hyperlink>
        </w:p>
        <w:p w14:paraId="71C0D656" w14:textId="77777777" w:rsidR="00612D3C" w:rsidRDefault="007047D9">
          <w:pPr>
            <w:pStyle w:val="TOC1"/>
            <w:tabs>
              <w:tab w:val="right" w:leader="dot" w:pos="9016"/>
            </w:tabs>
            <w:rPr>
              <w:rFonts w:asciiTheme="minorHAnsi" w:eastAsiaTheme="minorEastAsia" w:hAnsiTheme="minorHAnsi"/>
              <w:lang w:val="en-IN" w:eastAsia="en-IN"/>
            </w:rPr>
          </w:pPr>
          <w:hyperlink w:anchor="_Toc240835770">
            <w:r>
              <w:rPr>
                <w:rStyle w:val="IndexLink"/>
                <w:rFonts w:ascii="Calibri" w:hAnsi="Calibri" w:cs="Calibri"/>
                <w:webHidden/>
              </w:rPr>
              <w:t>2. LITERATURE REVIEW</w:t>
            </w:r>
            <w:r>
              <w:rPr>
                <w:webHidden/>
              </w:rPr>
              <w:fldChar w:fldCharType="begin"/>
            </w:r>
            <w:r>
              <w:rPr>
                <w:webHidden/>
              </w:rPr>
              <w:instrText>PAGEREF _Toc240835770 \h</w:instrText>
            </w:r>
            <w:r>
              <w:rPr>
                <w:webHidden/>
              </w:rPr>
            </w:r>
            <w:r>
              <w:rPr>
                <w:webHidden/>
              </w:rPr>
              <w:fldChar w:fldCharType="separate"/>
            </w:r>
            <w:r>
              <w:rPr>
                <w:rStyle w:val="IndexLink"/>
              </w:rPr>
              <w:tab/>
              <w:t>12</w:t>
            </w:r>
            <w:r>
              <w:rPr>
                <w:webHidden/>
              </w:rPr>
              <w:fldChar w:fldCharType="end"/>
            </w:r>
          </w:hyperlink>
        </w:p>
        <w:p w14:paraId="0DEBA798" w14:textId="77777777" w:rsidR="00612D3C" w:rsidRDefault="007047D9">
          <w:pPr>
            <w:pStyle w:val="TOC2"/>
            <w:tabs>
              <w:tab w:val="right" w:leader="dot" w:pos="9016"/>
            </w:tabs>
            <w:rPr>
              <w:rFonts w:asciiTheme="minorHAnsi" w:eastAsiaTheme="minorEastAsia" w:hAnsiTheme="minorHAnsi"/>
              <w:lang w:val="en-IN" w:eastAsia="en-IN"/>
            </w:rPr>
          </w:pPr>
          <w:hyperlink w:anchor="_Toc240835771">
            <w:r>
              <w:rPr>
                <w:rStyle w:val="IndexLink"/>
                <w:rFonts w:ascii="Calibri" w:hAnsi="Calibri" w:cs="Calibri"/>
                <w:webHidden/>
              </w:rPr>
              <w:t>2.1 Overview</w:t>
            </w:r>
            <w:r>
              <w:rPr>
                <w:webHidden/>
              </w:rPr>
              <w:fldChar w:fldCharType="begin"/>
            </w:r>
            <w:r>
              <w:rPr>
                <w:webHidden/>
              </w:rPr>
              <w:instrText>PAGEREF _Toc240835771 \h</w:instrText>
            </w:r>
            <w:r>
              <w:rPr>
                <w:webHidden/>
              </w:rPr>
            </w:r>
            <w:r>
              <w:rPr>
                <w:webHidden/>
              </w:rPr>
              <w:fldChar w:fldCharType="separate"/>
            </w:r>
            <w:r>
              <w:rPr>
                <w:rStyle w:val="IndexLink"/>
              </w:rPr>
              <w:tab/>
              <w:t>13</w:t>
            </w:r>
            <w:r>
              <w:rPr>
                <w:webHidden/>
              </w:rPr>
              <w:fldChar w:fldCharType="end"/>
            </w:r>
          </w:hyperlink>
        </w:p>
        <w:p w14:paraId="2489198F" w14:textId="77777777" w:rsidR="00612D3C" w:rsidRDefault="007047D9">
          <w:pPr>
            <w:pStyle w:val="TOC2"/>
            <w:tabs>
              <w:tab w:val="right" w:leader="dot" w:pos="9016"/>
            </w:tabs>
            <w:rPr>
              <w:rFonts w:asciiTheme="minorHAnsi" w:eastAsiaTheme="minorEastAsia" w:hAnsiTheme="minorHAnsi"/>
              <w:lang w:val="en-IN" w:eastAsia="en-IN"/>
            </w:rPr>
          </w:pPr>
          <w:hyperlink w:anchor="_Toc240835772">
            <w:r>
              <w:rPr>
                <w:rStyle w:val="IndexLink"/>
                <w:rFonts w:ascii="Calibri" w:hAnsi="Calibri" w:cs="Calibri"/>
                <w:webHidden/>
              </w:rPr>
              <w:t>2.2 Theoretical Evolution in Expectation-confirmation models</w:t>
            </w:r>
            <w:r>
              <w:rPr>
                <w:webHidden/>
              </w:rPr>
              <w:fldChar w:fldCharType="begin"/>
            </w:r>
            <w:r>
              <w:rPr>
                <w:webHidden/>
              </w:rPr>
              <w:instrText>PAGEREF _Toc240835772 \h</w:instrText>
            </w:r>
            <w:r>
              <w:rPr>
                <w:webHidden/>
              </w:rPr>
            </w:r>
            <w:r>
              <w:rPr>
                <w:webHidden/>
              </w:rPr>
              <w:fldChar w:fldCharType="separate"/>
            </w:r>
            <w:r>
              <w:rPr>
                <w:rStyle w:val="IndexLink"/>
              </w:rPr>
              <w:tab/>
              <w:t>14</w:t>
            </w:r>
            <w:r>
              <w:rPr>
                <w:webHidden/>
              </w:rPr>
              <w:fldChar w:fldCharType="end"/>
            </w:r>
          </w:hyperlink>
        </w:p>
        <w:p w14:paraId="3AA6444A" w14:textId="77777777" w:rsidR="00612D3C" w:rsidRDefault="007047D9">
          <w:pPr>
            <w:pStyle w:val="TOC3"/>
            <w:tabs>
              <w:tab w:val="right" w:leader="dot" w:pos="9016"/>
            </w:tabs>
            <w:rPr>
              <w:rFonts w:asciiTheme="minorHAnsi" w:eastAsiaTheme="minorEastAsia" w:hAnsiTheme="minorHAnsi"/>
              <w:lang w:val="en-IN" w:eastAsia="en-IN"/>
            </w:rPr>
          </w:pPr>
          <w:hyperlink w:anchor="_Toc240835773">
            <w:r>
              <w:rPr>
                <w:rStyle w:val="IndexLink"/>
                <w:rFonts w:ascii="Calibri" w:hAnsi="Calibri" w:cs="Calibri"/>
                <w:webHidden/>
              </w:rPr>
              <w:t>2.2.1 Evolution of the Model</w:t>
            </w:r>
            <w:r>
              <w:rPr>
                <w:webHidden/>
              </w:rPr>
              <w:fldChar w:fldCharType="begin"/>
            </w:r>
            <w:r>
              <w:rPr>
                <w:webHidden/>
              </w:rPr>
              <w:instrText>PAGEREF _Toc240835773 \h</w:instrText>
            </w:r>
            <w:r>
              <w:rPr>
                <w:webHidden/>
              </w:rPr>
            </w:r>
            <w:r>
              <w:rPr>
                <w:webHidden/>
              </w:rPr>
              <w:fldChar w:fldCharType="separate"/>
            </w:r>
            <w:r>
              <w:rPr>
                <w:rStyle w:val="IndexLink"/>
              </w:rPr>
              <w:tab/>
              <w:t>14</w:t>
            </w:r>
            <w:r>
              <w:rPr>
                <w:webHidden/>
              </w:rPr>
              <w:fldChar w:fldCharType="end"/>
            </w:r>
          </w:hyperlink>
        </w:p>
        <w:p w14:paraId="17968D59" w14:textId="77777777" w:rsidR="00612D3C" w:rsidRDefault="007047D9">
          <w:pPr>
            <w:pStyle w:val="TOC3"/>
            <w:tabs>
              <w:tab w:val="right" w:leader="dot" w:pos="9016"/>
            </w:tabs>
            <w:rPr>
              <w:rFonts w:asciiTheme="minorHAnsi" w:eastAsiaTheme="minorEastAsia" w:hAnsiTheme="minorHAnsi"/>
              <w:lang w:val="en-IN" w:eastAsia="en-IN"/>
            </w:rPr>
          </w:pPr>
          <w:hyperlink w:anchor="_Toc240835774">
            <w:r>
              <w:rPr>
                <w:rStyle w:val="IndexLink"/>
                <w:rFonts w:ascii="Calibri" w:hAnsi="Calibri" w:cs="Calibri"/>
                <w:webHidden/>
              </w:rPr>
              <w:t>2.2.2 The Expectation Confirmation Model Extensions.</w:t>
            </w:r>
            <w:r>
              <w:rPr>
                <w:webHidden/>
              </w:rPr>
              <w:fldChar w:fldCharType="begin"/>
            </w:r>
            <w:r>
              <w:rPr>
                <w:webHidden/>
              </w:rPr>
              <w:instrText>PAGEREF _Toc240835774 \h</w:instrText>
            </w:r>
            <w:r>
              <w:rPr>
                <w:webHidden/>
              </w:rPr>
            </w:r>
            <w:r>
              <w:rPr>
                <w:webHidden/>
              </w:rPr>
              <w:fldChar w:fldCharType="separate"/>
            </w:r>
            <w:r>
              <w:rPr>
                <w:rStyle w:val="IndexLink"/>
              </w:rPr>
              <w:tab/>
              <w:t>15</w:t>
            </w:r>
            <w:r>
              <w:rPr>
                <w:webHidden/>
              </w:rPr>
              <w:fldChar w:fldCharType="end"/>
            </w:r>
          </w:hyperlink>
        </w:p>
        <w:p w14:paraId="05B9473C" w14:textId="77777777" w:rsidR="00612D3C" w:rsidRDefault="007047D9">
          <w:pPr>
            <w:pStyle w:val="TOC3"/>
            <w:tabs>
              <w:tab w:val="right" w:leader="dot" w:pos="9016"/>
            </w:tabs>
            <w:rPr>
              <w:rFonts w:asciiTheme="minorHAnsi" w:eastAsiaTheme="minorEastAsia" w:hAnsiTheme="minorHAnsi"/>
              <w:lang w:val="en-IN" w:eastAsia="en-IN"/>
            </w:rPr>
          </w:pPr>
          <w:hyperlink w:anchor="_Toc240835775">
            <w:r>
              <w:rPr>
                <w:rStyle w:val="IndexLink"/>
                <w:rFonts w:ascii="Calibri" w:hAnsi="Calibri" w:cs="Calibri"/>
                <w:webHidden/>
              </w:rPr>
              <w:t>2.2.3. Price Sensitivity and Post Adoption Adjustment</w:t>
            </w:r>
            <w:r>
              <w:rPr>
                <w:webHidden/>
              </w:rPr>
              <w:fldChar w:fldCharType="begin"/>
            </w:r>
            <w:r>
              <w:rPr>
                <w:webHidden/>
              </w:rPr>
              <w:instrText>PAGEREF _Toc240835775 \h</w:instrText>
            </w:r>
            <w:r>
              <w:rPr>
                <w:webHidden/>
              </w:rPr>
            </w:r>
            <w:r>
              <w:rPr>
                <w:webHidden/>
              </w:rPr>
              <w:fldChar w:fldCharType="separate"/>
            </w:r>
            <w:r>
              <w:rPr>
                <w:rStyle w:val="IndexLink"/>
              </w:rPr>
              <w:tab/>
              <w:t>16</w:t>
            </w:r>
            <w:r>
              <w:rPr>
                <w:webHidden/>
              </w:rPr>
              <w:fldChar w:fldCharType="end"/>
            </w:r>
          </w:hyperlink>
        </w:p>
        <w:p w14:paraId="2FEE693E" w14:textId="77777777" w:rsidR="00612D3C" w:rsidRDefault="007047D9">
          <w:pPr>
            <w:pStyle w:val="TOC2"/>
            <w:tabs>
              <w:tab w:val="right" w:leader="dot" w:pos="9016"/>
            </w:tabs>
            <w:rPr>
              <w:rFonts w:asciiTheme="minorHAnsi" w:eastAsiaTheme="minorEastAsia" w:hAnsiTheme="minorHAnsi"/>
              <w:lang w:val="en-IN" w:eastAsia="en-IN"/>
            </w:rPr>
          </w:pPr>
          <w:hyperlink w:anchor="_Toc240835776">
            <w:r>
              <w:rPr>
                <w:rStyle w:val="IndexLink"/>
                <w:rFonts w:ascii="Calibri" w:hAnsi="Calibri" w:cs="Calibri"/>
                <w:webHidden/>
              </w:rPr>
              <w:t>2.3 Behavioural Constructs: Trust, Flow and Social Comparison.</w:t>
            </w:r>
            <w:r>
              <w:rPr>
                <w:webHidden/>
              </w:rPr>
              <w:fldChar w:fldCharType="begin"/>
            </w:r>
            <w:r>
              <w:rPr>
                <w:webHidden/>
              </w:rPr>
              <w:instrText>PAGEREF _Toc240835776 \h</w:instrText>
            </w:r>
            <w:r>
              <w:rPr>
                <w:webHidden/>
              </w:rPr>
            </w:r>
            <w:r>
              <w:rPr>
                <w:webHidden/>
              </w:rPr>
              <w:fldChar w:fldCharType="separate"/>
            </w:r>
            <w:r>
              <w:rPr>
                <w:rStyle w:val="IndexLink"/>
              </w:rPr>
              <w:tab/>
              <w:t>16</w:t>
            </w:r>
            <w:r>
              <w:rPr>
                <w:webHidden/>
              </w:rPr>
              <w:fldChar w:fldCharType="end"/>
            </w:r>
          </w:hyperlink>
        </w:p>
        <w:p w14:paraId="68483BF3" w14:textId="77777777" w:rsidR="00612D3C" w:rsidRDefault="007047D9">
          <w:pPr>
            <w:pStyle w:val="TOC3"/>
            <w:tabs>
              <w:tab w:val="right" w:leader="dot" w:pos="9016"/>
            </w:tabs>
            <w:rPr>
              <w:rFonts w:asciiTheme="minorHAnsi" w:eastAsiaTheme="minorEastAsia" w:hAnsiTheme="minorHAnsi"/>
              <w:lang w:val="en-IN" w:eastAsia="en-IN"/>
            </w:rPr>
          </w:pPr>
          <w:hyperlink w:anchor="_Toc240835777">
            <w:r>
              <w:rPr>
                <w:rStyle w:val="IndexLink"/>
                <w:rFonts w:ascii="Calibri" w:hAnsi="Calibri" w:cs="Calibri"/>
                <w:webHidden/>
              </w:rPr>
              <w:t>2.3.1 The Role of Trust</w:t>
            </w:r>
            <w:r>
              <w:rPr>
                <w:webHidden/>
              </w:rPr>
              <w:fldChar w:fldCharType="begin"/>
            </w:r>
            <w:r>
              <w:rPr>
                <w:webHidden/>
              </w:rPr>
              <w:instrText>PAGEREF _Toc240835777 \h</w:instrText>
            </w:r>
            <w:r>
              <w:rPr>
                <w:webHidden/>
              </w:rPr>
            </w:r>
            <w:r>
              <w:rPr>
                <w:webHidden/>
              </w:rPr>
              <w:fldChar w:fldCharType="separate"/>
            </w:r>
            <w:r>
              <w:rPr>
                <w:rStyle w:val="IndexLink"/>
              </w:rPr>
              <w:tab/>
              <w:t>16</w:t>
            </w:r>
            <w:r>
              <w:rPr>
                <w:webHidden/>
              </w:rPr>
              <w:fldChar w:fldCharType="end"/>
            </w:r>
          </w:hyperlink>
        </w:p>
        <w:p w14:paraId="3630BD9B" w14:textId="77777777" w:rsidR="00612D3C" w:rsidRDefault="007047D9">
          <w:pPr>
            <w:pStyle w:val="TOC3"/>
            <w:tabs>
              <w:tab w:val="right" w:leader="dot" w:pos="9016"/>
            </w:tabs>
            <w:rPr>
              <w:rFonts w:asciiTheme="minorHAnsi" w:eastAsiaTheme="minorEastAsia" w:hAnsiTheme="minorHAnsi"/>
              <w:lang w:val="en-IN" w:eastAsia="en-IN"/>
            </w:rPr>
          </w:pPr>
          <w:hyperlink w:anchor="_Toc240835778">
            <w:r>
              <w:rPr>
                <w:rStyle w:val="IndexLink"/>
                <w:rFonts w:ascii="Calibri" w:hAnsi="Calibri" w:cs="Calibri"/>
                <w:webHidden/>
              </w:rPr>
              <w:t>2.3.2 Flow Experience and Habitual Use.</w:t>
            </w:r>
            <w:r>
              <w:rPr>
                <w:webHidden/>
              </w:rPr>
              <w:fldChar w:fldCharType="begin"/>
            </w:r>
            <w:r>
              <w:rPr>
                <w:webHidden/>
              </w:rPr>
              <w:instrText>PAGEREF _Toc240835778 \h</w:instrText>
            </w:r>
            <w:r>
              <w:rPr>
                <w:webHidden/>
              </w:rPr>
            </w:r>
            <w:r>
              <w:rPr>
                <w:webHidden/>
              </w:rPr>
              <w:fldChar w:fldCharType="separate"/>
            </w:r>
            <w:r>
              <w:rPr>
                <w:rStyle w:val="IndexLink"/>
              </w:rPr>
              <w:tab/>
              <w:t>17</w:t>
            </w:r>
            <w:r>
              <w:rPr>
                <w:webHidden/>
              </w:rPr>
              <w:fldChar w:fldCharType="end"/>
            </w:r>
          </w:hyperlink>
        </w:p>
        <w:p w14:paraId="06E6C578" w14:textId="77777777" w:rsidR="00612D3C" w:rsidRDefault="007047D9">
          <w:pPr>
            <w:pStyle w:val="TOC3"/>
            <w:tabs>
              <w:tab w:val="right" w:leader="dot" w:pos="9016"/>
            </w:tabs>
            <w:rPr>
              <w:rFonts w:asciiTheme="minorHAnsi" w:eastAsiaTheme="minorEastAsia" w:hAnsiTheme="minorHAnsi"/>
              <w:lang w:val="en-IN" w:eastAsia="en-IN"/>
            </w:rPr>
          </w:pPr>
          <w:hyperlink w:anchor="_Toc240835779">
            <w:r>
              <w:rPr>
                <w:rStyle w:val="IndexLink"/>
                <w:rFonts w:ascii="Calibri" w:hAnsi="Calibri" w:cs="Calibri"/>
                <w:webHidden/>
              </w:rPr>
              <w:t>2.3.3 Generational behaviour and Technological Adaptation.</w:t>
            </w:r>
            <w:r>
              <w:rPr>
                <w:webHidden/>
              </w:rPr>
              <w:fldChar w:fldCharType="begin"/>
            </w:r>
            <w:r>
              <w:rPr>
                <w:webHidden/>
              </w:rPr>
              <w:instrText>PAGEREF _Toc240835779 \h</w:instrText>
            </w:r>
            <w:r>
              <w:rPr>
                <w:webHidden/>
              </w:rPr>
            </w:r>
            <w:r>
              <w:rPr>
                <w:webHidden/>
              </w:rPr>
              <w:fldChar w:fldCharType="separate"/>
            </w:r>
            <w:r>
              <w:rPr>
                <w:rStyle w:val="IndexLink"/>
              </w:rPr>
              <w:tab/>
              <w:t>17</w:t>
            </w:r>
            <w:r>
              <w:rPr>
                <w:webHidden/>
              </w:rPr>
              <w:fldChar w:fldCharType="end"/>
            </w:r>
          </w:hyperlink>
        </w:p>
        <w:p w14:paraId="5E323E1F" w14:textId="77777777" w:rsidR="00612D3C" w:rsidRDefault="007047D9">
          <w:pPr>
            <w:pStyle w:val="TOC2"/>
            <w:tabs>
              <w:tab w:val="right" w:leader="dot" w:pos="9016"/>
            </w:tabs>
            <w:rPr>
              <w:rFonts w:asciiTheme="minorHAnsi" w:eastAsiaTheme="minorEastAsia" w:hAnsiTheme="minorHAnsi"/>
              <w:lang w:val="en-IN" w:eastAsia="en-IN"/>
            </w:rPr>
          </w:pPr>
          <w:hyperlink w:anchor="_Toc240835780">
            <w:r>
              <w:rPr>
                <w:rStyle w:val="IndexLink"/>
                <w:rFonts w:ascii="Calibri" w:hAnsi="Calibri" w:cs="Calibri"/>
                <w:webHidden/>
              </w:rPr>
              <w:t>2.4 Service Quality, Expectation, and Digital Satisfaction.</w:t>
            </w:r>
            <w:r>
              <w:rPr>
                <w:webHidden/>
              </w:rPr>
              <w:fldChar w:fldCharType="begin"/>
            </w:r>
            <w:r>
              <w:rPr>
                <w:webHidden/>
              </w:rPr>
              <w:instrText>PAGEREF _Toc240835780 \h</w:instrText>
            </w:r>
            <w:r>
              <w:rPr>
                <w:webHidden/>
              </w:rPr>
            </w:r>
            <w:r>
              <w:rPr>
                <w:webHidden/>
              </w:rPr>
              <w:fldChar w:fldCharType="separate"/>
            </w:r>
            <w:r>
              <w:rPr>
                <w:rStyle w:val="IndexLink"/>
              </w:rPr>
              <w:tab/>
              <w:t>18</w:t>
            </w:r>
            <w:r>
              <w:rPr>
                <w:webHidden/>
              </w:rPr>
              <w:fldChar w:fldCharType="end"/>
            </w:r>
          </w:hyperlink>
        </w:p>
        <w:p w14:paraId="48860793" w14:textId="77777777" w:rsidR="00612D3C" w:rsidRDefault="007047D9">
          <w:pPr>
            <w:pStyle w:val="TOC3"/>
            <w:tabs>
              <w:tab w:val="right" w:leader="dot" w:pos="9016"/>
            </w:tabs>
            <w:rPr>
              <w:rFonts w:asciiTheme="minorHAnsi" w:eastAsiaTheme="minorEastAsia" w:hAnsiTheme="minorHAnsi"/>
              <w:lang w:val="en-IN" w:eastAsia="en-IN"/>
            </w:rPr>
          </w:pPr>
          <w:hyperlink w:anchor="_Toc240835781">
            <w:r>
              <w:rPr>
                <w:rStyle w:val="IndexLink"/>
                <w:rFonts w:ascii="Calibri" w:hAnsi="Calibri" w:cs="Calibri"/>
                <w:webHidden/>
              </w:rPr>
              <w:t>2.4.1 Service Quality in Retail Situations.</w:t>
            </w:r>
            <w:r>
              <w:rPr>
                <w:webHidden/>
              </w:rPr>
              <w:fldChar w:fldCharType="begin"/>
            </w:r>
            <w:r>
              <w:rPr>
                <w:webHidden/>
              </w:rPr>
              <w:instrText>PAGEREF _Toc240835781 \h</w:instrText>
            </w:r>
            <w:r>
              <w:rPr>
                <w:webHidden/>
              </w:rPr>
            </w:r>
            <w:r>
              <w:rPr>
                <w:webHidden/>
              </w:rPr>
              <w:fldChar w:fldCharType="separate"/>
            </w:r>
            <w:r>
              <w:rPr>
                <w:rStyle w:val="IndexLink"/>
              </w:rPr>
              <w:tab/>
              <w:t>18</w:t>
            </w:r>
            <w:r>
              <w:rPr>
                <w:webHidden/>
              </w:rPr>
              <w:fldChar w:fldCharType="end"/>
            </w:r>
          </w:hyperlink>
        </w:p>
        <w:p w14:paraId="58DD63D9" w14:textId="77777777" w:rsidR="00612D3C" w:rsidRDefault="007047D9">
          <w:pPr>
            <w:pStyle w:val="TOC3"/>
            <w:tabs>
              <w:tab w:val="right" w:leader="dot" w:pos="9016"/>
            </w:tabs>
            <w:rPr>
              <w:rFonts w:asciiTheme="minorHAnsi" w:eastAsiaTheme="minorEastAsia" w:hAnsiTheme="minorHAnsi"/>
              <w:lang w:val="en-IN" w:eastAsia="en-IN"/>
            </w:rPr>
          </w:pPr>
          <w:hyperlink w:anchor="_Toc240835782">
            <w:r>
              <w:rPr>
                <w:rStyle w:val="IndexLink"/>
                <w:rFonts w:ascii="Calibri" w:hAnsi="Calibri" w:cs="Calibri"/>
                <w:webHidden/>
              </w:rPr>
              <w:t>2.4.2 Gaps in Expectation and confirmation dynamics.</w:t>
            </w:r>
            <w:r>
              <w:rPr>
                <w:webHidden/>
              </w:rPr>
              <w:fldChar w:fldCharType="begin"/>
            </w:r>
            <w:r>
              <w:rPr>
                <w:webHidden/>
              </w:rPr>
              <w:instrText>PAGEREF _Toc240835782 \h</w:instrText>
            </w:r>
            <w:r>
              <w:rPr>
                <w:webHidden/>
              </w:rPr>
            </w:r>
            <w:r>
              <w:rPr>
                <w:webHidden/>
              </w:rPr>
              <w:fldChar w:fldCharType="separate"/>
            </w:r>
            <w:r>
              <w:rPr>
                <w:rStyle w:val="IndexLink"/>
              </w:rPr>
              <w:tab/>
              <w:t>18</w:t>
            </w:r>
            <w:r>
              <w:rPr>
                <w:webHidden/>
              </w:rPr>
              <w:fldChar w:fldCharType="end"/>
            </w:r>
          </w:hyperlink>
        </w:p>
        <w:p w14:paraId="404C66AE" w14:textId="77777777" w:rsidR="00612D3C" w:rsidRDefault="007047D9">
          <w:pPr>
            <w:pStyle w:val="TOC2"/>
            <w:tabs>
              <w:tab w:val="right" w:leader="dot" w:pos="9016"/>
            </w:tabs>
            <w:rPr>
              <w:rFonts w:asciiTheme="minorHAnsi" w:eastAsiaTheme="minorEastAsia" w:hAnsiTheme="minorHAnsi"/>
              <w:lang w:val="en-IN" w:eastAsia="en-IN"/>
            </w:rPr>
          </w:pPr>
          <w:hyperlink w:anchor="_Toc240835783">
            <w:r>
              <w:rPr>
                <w:rStyle w:val="IndexLink"/>
                <w:rFonts w:ascii="Calibri" w:hAnsi="Calibri" w:cs="Calibri"/>
                <w:webHidden/>
              </w:rPr>
              <w:t>2.5 Digital Transformation and Operational Infrastructure.</w:t>
            </w:r>
            <w:r>
              <w:rPr>
                <w:webHidden/>
              </w:rPr>
              <w:fldChar w:fldCharType="begin"/>
            </w:r>
            <w:r>
              <w:rPr>
                <w:webHidden/>
              </w:rPr>
              <w:instrText>PAGEREF _Toc240835783 \h</w:instrText>
            </w:r>
            <w:r>
              <w:rPr>
                <w:webHidden/>
              </w:rPr>
            </w:r>
            <w:r>
              <w:rPr>
                <w:webHidden/>
              </w:rPr>
              <w:fldChar w:fldCharType="separate"/>
            </w:r>
            <w:r>
              <w:rPr>
                <w:rStyle w:val="IndexLink"/>
              </w:rPr>
              <w:tab/>
              <w:t>19</w:t>
            </w:r>
            <w:r>
              <w:rPr>
                <w:webHidden/>
              </w:rPr>
              <w:fldChar w:fldCharType="end"/>
            </w:r>
          </w:hyperlink>
        </w:p>
        <w:p w14:paraId="4E0BFBCC" w14:textId="77777777" w:rsidR="00612D3C" w:rsidRDefault="007047D9">
          <w:pPr>
            <w:pStyle w:val="TOC2"/>
            <w:tabs>
              <w:tab w:val="right" w:leader="dot" w:pos="9016"/>
            </w:tabs>
            <w:rPr>
              <w:rFonts w:asciiTheme="minorHAnsi" w:eastAsiaTheme="minorEastAsia" w:hAnsiTheme="minorHAnsi"/>
              <w:lang w:val="en-IN" w:eastAsia="en-IN"/>
            </w:rPr>
          </w:pPr>
          <w:hyperlink w:anchor="_Toc240835784">
            <w:r>
              <w:rPr>
                <w:rStyle w:val="IndexLink"/>
                <w:rFonts w:ascii="Calibri" w:hAnsi="Calibri" w:cs="Calibri"/>
                <w:webHidden/>
              </w:rPr>
              <w:t>2.6 Tesco-Specific Evidence and Market Background</w:t>
            </w:r>
            <w:r>
              <w:rPr>
                <w:webHidden/>
              </w:rPr>
              <w:fldChar w:fldCharType="begin"/>
            </w:r>
            <w:r>
              <w:rPr>
                <w:webHidden/>
              </w:rPr>
              <w:instrText>PAGEREF _Toc240835784 \h</w:instrText>
            </w:r>
            <w:r>
              <w:rPr>
                <w:webHidden/>
              </w:rPr>
            </w:r>
            <w:r>
              <w:rPr>
                <w:webHidden/>
              </w:rPr>
              <w:fldChar w:fldCharType="separate"/>
            </w:r>
            <w:r>
              <w:rPr>
                <w:rStyle w:val="IndexLink"/>
              </w:rPr>
              <w:tab/>
              <w:t>21</w:t>
            </w:r>
            <w:r>
              <w:rPr>
                <w:webHidden/>
              </w:rPr>
              <w:fldChar w:fldCharType="end"/>
            </w:r>
          </w:hyperlink>
        </w:p>
        <w:p w14:paraId="3CC7B21A" w14:textId="77777777" w:rsidR="00612D3C" w:rsidRDefault="007047D9">
          <w:pPr>
            <w:pStyle w:val="TOC3"/>
            <w:tabs>
              <w:tab w:val="right" w:leader="dot" w:pos="9016"/>
            </w:tabs>
            <w:rPr>
              <w:rFonts w:asciiTheme="minorHAnsi" w:eastAsiaTheme="minorEastAsia" w:hAnsiTheme="minorHAnsi"/>
              <w:lang w:val="en-IN" w:eastAsia="en-IN"/>
            </w:rPr>
          </w:pPr>
          <w:hyperlink w:anchor="_Toc240835785">
            <w:r>
              <w:rPr>
                <w:rStyle w:val="IndexLink"/>
                <w:rFonts w:ascii="Calibri" w:hAnsi="Calibri" w:cs="Calibri"/>
                <w:webHidden/>
              </w:rPr>
              <w:t>2.6.1 Customer Behaviour Insights</w:t>
            </w:r>
            <w:r>
              <w:rPr>
                <w:webHidden/>
              </w:rPr>
              <w:fldChar w:fldCharType="begin"/>
            </w:r>
            <w:r>
              <w:rPr>
                <w:webHidden/>
              </w:rPr>
              <w:instrText>PAGEREF _Toc240835785 \h</w:instrText>
            </w:r>
            <w:r>
              <w:rPr>
                <w:webHidden/>
              </w:rPr>
            </w:r>
            <w:r>
              <w:rPr>
                <w:webHidden/>
              </w:rPr>
              <w:fldChar w:fldCharType="separate"/>
            </w:r>
            <w:r>
              <w:rPr>
                <w:rStyle w:val="IndexLink"/>
              </w:rPr>
              <w:tab/>
              <w:t>21</w:t>
            </w:r>
            <w:r>
              <w:rPr>
                <w:webHidden/>
              </w:rPr>
              <w:fldChar w:fldCharType="end"/>
            </w:r>
          </w:hyperlink>
        </w:p>
        <w:p w14:paraId="540865FD" w14:textId="77777777" w:rsidR="00612D3C" w:rsidRDefault="007047D9">
          <w:pPr>
            <w:pStyle w:val="TOC3"/>
            <w:tabs>
              <w:tab w:val="right" w:leader="dot" w:pos="9016"/>
            </w:tabs>
            <w:rPr>
              <w:rFonts w:asciiTheme="minorHAnsi" w:eastAsiaTheme="minorEastAsia" w:hAnsiTheme="minorHAnsi"/>
              <w:lang w:val="en-IN" w:eastAsia="en-IN"/>
            </w:rPr>
          </w:pPr>
          <w:hyperlink w:anchor="_Toc240835786">
            <w:r>
              <w:rPr>
                <w:rStyle w:val="IndexLink"/>
                <w:rFonts w:ascii="Calibri" w:hAnsi="Calibri" w:cs="Calibri"/>
                <w:webHidden/>
              </w:rPr>
              <w:t>2.6.2 Crisis Management and Operation Resilience.</w:t>
            </w:r>
            <w:r>
              <w:rPr>
                <w:webHidden/>
              </w:rPr>
              <w:fldChar w:fldCharType="begin"/>
            </w:r>
            <w:r>
              <w:rPr>
                <w:webHidden/>
              </w:rPr>
              <w:instrText>PAGEREF _Toc240835786 \h</w:instrText>
            </w:r>
            <w:r>
              <w:rPr>
                <w:webHidden/>
              </w:rPr>
            </w:r>
            <w:r>
              <w:rPr>
                <w:webHidden/>
              </w:rPr>
              <w:fldChar w:fldCharType="separate"/>
            </w:r>
            <w:r>
              <w:rPr>
                <w:rStyle w:val="IndexLink"/>
              </w:rPr>
              <w:tab/>
              <w:t>22</w:t>
            </w:r>
            <w:r>
              <w:rPr>
                <w:webHidden/>
              </w:rPr>
              <w:fldChar w:fldCharType="end"/>
            </w:r>
          </w:hyperlink>
        </w:p>
        <w:p w14:paraId="613D6CE1" w14:textId="77777777" w:rsidR="00612D3C" w:rsidRDefault="007047D9">
          <w:pPr>
            <w:pStyle w:val="TOC3"/>
            <w:tabs>
              <w:tab w:val="right" w:leader="dot" w:pos="9016"/>
            </w:tabs>
            <w:rPr>
              <w:rFonts w:asciiTheme="minorHAnsi" w:eastAsiaTheme="minorEastAsia" w:hAnsiTheme="minorHAnsi"/>
              <w:lang w:val="en-IN" w:eastAsia="en-IN"/>
            </w:rPr>
          </w:pPr>
          <w:hyperlink w:anchor="_Toc240835787">
            <w:r>
              <w:rPr>
                <w:rStyle w:val="IndexLink"/>
                <w:rFonts w:ascii="Calibri" w:hAnsi="Calibri" w:cs="Calibri"/>
                <w:webHidden/>
              </w:rPr>
              <w:t>2.6.3 Service and Digital Experience Incorporation.</w:t>
            </w:r>
            <w:r>
              <w:rPr>
                <w:webHidden/>
              </w:rPr>
              <w:fldChar w:fldCharType="begin"/>
            </w:r>
            <w:r>
              <w:rPr>
                <w:webHidden/>
              </w:rPr>
              <w:instrText>PAGEREF _Toc240835787 \h</w:instrText>
            </w:r>
            <w:r>
              <w:rPr>
                <w:webHidden/>
              </w:rPr>
            </w:r>
            <w:r>
              <w:rPr>
                <w:webHidden/>
              </w:rPr>
              <w:fldChar w:fldCharType="separate"/>
            </w:r>
            <w:r>
              <w:rPr>
                <w:rStyle w:val="IndexLink"/>
              </w:rPr>
              <w:tab/>
              <w:t>23</w:t>
            </w:r>
            <w:r>
              <w:rPr>
                <w:webHidden/>
              </w:rPr>
              <w:fldChar w:fldCharType="end"/>
            </w:r>
          </w:hyperlink>
        </w:p>
        <w:p w14:paraId="0C86E901" w14:textId="77777777" w:rsidR="00612D3C" w:rsidRDefault="007047D9">
          <w:pPr>
            <w:pStyle w:val="TOC2"/>
            <w:tabs>
              <w:tab w:val="right" w:leader="dot" w:pos="9016"/>
            </w:tabs>
            <w:rPr>
              <w:rFonts w:asciiTheme="minorHAnsi" w:eastAsiaTheme="minorEastAsia" w:hAnsiTheme="minorHAnsi"/>
              <w:lang w:val="en-IN" w:eastAsia="en-IN"/>
            </w:rPr>
          </w:pPr>
          <w:hyperlink w:anchor="_Toc240835788">
            <w:r>
              <w:rPr>
                <w:rStyle w:val="IndexLink"/>
                <w:rFonts w:ascii="Calibri" w:hAnsi="Calibri" w:cs="Calibri"/>
                <w:webHidden/>
              </w:rPr>
              <w:t>2.7 Theoretical Framework</w:t>
            </w:r>
            <w:r>
              <w:rPr>
                <w:webHidden/>
              </w:rPr>
              <w:fldChar w:fldCharType="begin"/>
            </w:r>
            <w:r>
              <w:rPr>
                <w:webHidden/>
              </w:rPr>
              <w:instrText>PAGEREF _Toc240835788 \h</w:instrText>
            </w:r>
            <w:r>
              <w:rPr>
                <w:webHidden/>
              </w:rPr>
            </w:r>
            <w:r>
              <w:rPr>
                <w:webHidden/>
              </w:rPr>
              <w:fldChar w:fldCharType="separate"/>
            </w:r>
            <w:r>
              <w:rPr>
                <w:rStyle w:val="IndexLink"/>
              </w:rPr>
              <w:tab/>
              <w:t>24</w:t>
            </w:r>
            <w:r>
              <w:rPr>
                <w:webHidden/>
              </w:rPr>
              <w:fldChar w:fldCharType="end"/>
            </w:r>
          </w:hyperlink>
        </w:p>
        <w:p w14:paraId="2EA5891B" w14:textId="77777777" w:rsidR="00612D3C" w:rsidRDefault="007047D9">
          <w:pPr>
            <w:pStyle w:val="TOC2"/>
            <w:tabs>
              <w:tab w:val="right" w:leader="dot" w:pos="9016"/>
            </w:tabs>
            <w:rPr>
              <w:rFonts w:asciiTheme="minorHAnsi" w:eastAsiaTheme="minorEastAsia" w:hAnsiTheme="minorHAnsi"/>
              <w:lang w:val="en-IN" w:eastAsia="en-IN"/>
            </w:rPr>
          </w:pPr>
          <w:hyperlink w:anchor="_Toc240835789">
            <w:r>
              <w:rPr>
                <w:rStyle w:val="IndexLink"/>
                <w:rFonts w:ascii="Calibri" w:hAnsi="Calibri" w:cs="Calibri"/>
                <w:webHidden/>
              </w:rPr>
              <w:t>2.8 Gaps in Literature</w:t>
            </w:r>
            <w:r>
              <w:rPr>
                <w:webHidden/>
              </w:rPr>
              <w:fldChar w:fldCharType="begin"/>
            </w:r>
            <w:r>
              <w:rPr>
                <w:webHidden/>
              </w:rPr>
              <w:instrText>PAGEREF _Toc240835789 \h</w:instrText>
            </w:r>
            <w:r>
              <w:rPr>
                <w:webHidden/>
              </w:rPr>
            </w:r>
            <w:r>
              <w:rPr>
                <w:webHidden/>
              </w:rPr>
              <w:fldChar w:fldCharType="separate"/>
            </w:r>
            <w:r>
              <w:rPr>
                <w:rStyle w:val="IndexLink"/>
              </w:rPr>
              <w:tab/>
              <w:t>26</w:t>
            </w:r>
            <w:r>
              <w:rPr>
                <w:webHidden/>
              </w:rPr>
              <w:fldChar w:fldCharType="end"/>
            </w:r>
          </w:hyperlink>
        </w:p>
        <w:p w14:paraId="1F899E10" w14:textId="77777777" w:rsidR="00612D3C" w:rsidRDefault="007047D9">
          <w:pPr>
            <w:pStyle w:val="TOC2"/>
            <w:tabs>
              <w:tab w:val="right" w:leader="dot" w:pos="9016"/>
            </w:tabs>
            <w:rPr>
              <w:rFonts w:asciiTheme="minorHAnsi" w:eastAsiaTheme="minorEastAsia" w:hAnsiTheme="minorHAnsi"/>
              <w:lang w:val="en-IN" w:eastAsia="en-IN"/>
            </w:rPr>
          </w:pPr>
          <w:hyperlink w:anchor="_Toc240835790">
            <w:r>
              <w:rPr>
                <w:rStyle w:val="IndexLink"/>
                <w:rFonts w:ascii="Calibri" w:hAnsi="Calibri" w:cs="Calibri"/>
                <w:webHidden/>
              </w:rPr>
              <w:t>2.9 Summary</w:t>
            </w:r>
            <w:r>
              <w:rPr>
                <w:webHidden/>
              </w:rPr>
              <w:fldChar w:fldCharType="begin"/>
            </w:r>
            <w:r>
              <w:rPr>
                <w:webHidden/>
              </w:rPr>
              <w:instrText>PAGEREF _Toc240835790 \h</w:instrText>
            </w:r>
            <w:r>
              <w:rPr>
                <w:webHidden/>
              </w:rPr>
            </w:r>
            <w:r>
              <w:rPr>
                <w:webHidden/>
              </w:rPr>
              <w:fldChar w:fldCharType="separate"/>
            </w:r>
            <w:r>
              <w:rPr>
                <w:rStyle w:val="IndexLink"/>
              </w:rPr>
              <w:tab/>
              <w:t>27</w:t>
            </w:r>
            <w:r>
              <w:rPr>
                <w:webHidden/>
              </w:rPr>
              <w:fldChar w:fldCharType="end"/>
            </w:r>
          </w:hyperlink>
        </w:p>
        <w:p w14:paraId="7D8189B3" w14:textId="77777777" w:rsidR="00612D3C" w:rsidRDefault="007047D9">
          <w:pPr>
            <w:pStyle w:val="TOC1"/>
            <w:tabs>
              <w:tab w:val="right" w:leader="dot" w:pos="9016"/>
            </w:tabs>
            <w:rPr>
              <w:rFonts w:asciiTheme="minorHAnsi" w:eastAsiaTheme="minorEastAsia" w:hAnsiTheme="minorHAnsi"/>
              <w:lang w:val="en-IN" w:eastAsia="en-IN"/>
            </w:rPr>
          </w:pPr>
          <w:hyperlink w:anchor="_Toc240835791">
            <w:r>
              <w:rPr>
                <w:rStyle w:val="IndexLink"/>
                <w:rFonts w:ascii="Calibri" w:hAnsi="Calibri" w:cs="Calibri"/>
                <w:webHidden/>
              </w:rPr>
              <w:t>3. RESEARCH METHODOLOGY</w:t>
            </w:r>
            <w:r>
              <w:rPr>
                <w:webHidden/>
              </w:rPr>
              <w:fldChar w:fldCharType="begin"/>
            </w:r>
            <w:r>
              <w:rPr>
                <w:webHidden/>
              </w:rPr>
              <w:instrText>PAGEREF _Toc240835791 \h</w:instrText>
            </w:r>
            <w:r>
              <w:rPr>
                <w:webHidden/>
              </w:rPr>
            </w:r>
            <w:r>
              <w:rPr>
                <w:webHidden/>
              </w:rPr>
              <w:fldChar w:fldCharType="separate"/>
            </w:r>
            <w:r>
              <w:rPr>
                <w:rStyle w:val="IndexLink"/>
              </w:rPr>
              <w:tab/>
              <w:t>28</w:t>
            </w:r>
            <w:r>
              <w:rPr>
                <w:webHidden/>
              </w:rPr>
              <w:fldChar w:fldCharType="end"/>
            </w:r>
          </w:hyperlink>
        </w:p>
        <w:p w14:paraId="6D8C9993" w14:textId="77777777" w:rsidR="00612D3C" w:rsidRDefault="007047D9">
          <w:pPr>
            <w:pStyle w:val="TOC2"/>
            <w:tabs>
              <w:tab w:val="right" w:leader="dot" w:pos="9016"/>
            </w:tabs>
            <w:rPr>
              <w:rFonts w:asciiTheme="minorHAnsi" w:eastAsiaTheme="minorEastAsia" w:hAnsiTheme="minorHAnsi"/>
              <w:lang w:val="en-IN" w:eastAsia="en-IN"/>
            </w:rPr>
          </w:pPr>
          <w:hyperlink w:anchor="_Toc240835792">
            <w:r>
              <w:rPr>
                <w:rStyle w:val="IndexLink"/>
                <w:rFonts w:ascii="Calibri" w:hAnsi="Calibri" w:cs="Calibri"/>
                <w:webHidden/>
              </w:rPr>
              <w:t>3.1 Introduction</w:t>
            </w:r>
            <w:r>
              <w:rPr>
                <w:webHidden/>
              </w:rPr>
              <w:fldChar w:fldCharType="begin"/>
            </w:r>
            <w:r>
              <w:rPr>
                <w:webHidden/>
              </w:rPr>
              <w:instrText>PAGEREF _Toc240835792 \h</w:instrText>
            </w:r>
            <w:r>
              <w:rPr>
                <w:webHidden/>
              </w:rPr>
            </w:r>
            <w:r>
              <w:rPr>
                <w:webHidden/>
              </w:rPr>
              <w:fldChar w:fldCharType="separate"/>
            </w:r>
            <w:r>
              <w:rPr>
                <w:rStyle w:val="IndexLink"/>
              </w:rPr>
              <w:tab/>
              <w:t>28</w:t>
            </w:r>
            <w:r>
              <w:rPr>
                <w:webHidden/>
              </w:rPr>
              <w:fldChar w:fldCharType="end"/>
            </w:r>
          </w:hyperlink>
        </w:p>
        <w:p w14:paraId="45EC9EDA" w14:textId="77777777" w:rsidR="00612D3C" w:rsidRDefault="007047D9">
          <w:pPr>
            <w:pStyle w:val="TOC2"/>
            <w:tabs>
              <w:tab w:val="right" w:leader="dot" w:pos="9016"/>
            </w:tabs>
            <w:rPr>
              <w:rFonts w:asciiTheme="minorHAnsi" w:eastAsiaTheme="minorEastAsia" w:hAnsiTheme="minorHAnsi"/>
              <w:lang w:val="en-IN" w:eastAsia="en-IN"/>
            </w:rPr>
          </w:pPr>
          <w:hyperlink w:anchor="_Toc240835793">
            <w:r>
              <w:rPr>
                <w:rStyle w:val="IndexLink"/>
                <w:rFonts w:ascii="Calibri" w:hAnsi="Calibri" w:cs="Calibri"/>
                <w:webHidden/>
              </w:rPr>
              <w:t>3.2 Research Onion</w:t>
            </w:r>
            <w:r>
              <w:rPr>
                <w:webHidden/>
              </w:rPr>
              <w:fldChar w:fldCharType="begin"/>
            </w:r>
            <w:r>
              <w:rPr>
                <w:webHidden/>
              </w:rPr>
              <w:instrText>PAGEREF _Toc240835793 \h</w:instrText>
            </w:r>
            <w:r>
              <w:rPr>
                <w:webHidden/>
              </w:rPr>
            </w:r>
            <w:r>
              <w:rPr>
                <w:webHidden/>
              </w:rPr>
              <w:fldChar w:fldCharType="separate"/>
            </w:r>
            <w:r>
              <w:rPr>
                <w:rStyle w:val="IndexLink"/>
              </w:rPr>
              <w:tab/>
              <w:t>28</w:t>
            </w:r>
            <w:r>
              <w:rPr>
                <w:webHidden/>
              </w:rPr>
              <w:fldChar w:fldCharType="end"/>
            </w:r>
          </w:hyperlink>
        </w:p>
        <w:p w14:paraId="2196F42E" w14:textId="77777777" w:rsidR="00612D3C" w:rsidRDefault="007047D9">
          <w:pPr>
            <w:pStyle w:val="TOC2"/>
            <w:tabs>
              <w:tab w:val="right" w:leader="dot" w:pos="9016"/>
            </w:tabs>
            <w:rPr>
              <w:rFonts w:asciiTheme="minorHAnsi" w:eastAsiaTheme="minorEastAsia" w:hAnsiTheme="minorHAnsi"/>
              <w:lang w:val="en-IN" w:eastAsia="en-IN"/>
            </w:rPr>
          </w:pPr>
          <w:hyperlink w:anchor="_Toc240835794">
            <w:r>
              <w:rPr>
                <w:rStyle w:val="IndexLink"/>
                <w:rFonts w:ascii="Calibri" w:hAnsi="Calibri" w:cs="Calibri"/>
                <w:webHidden/>
              </w:rPr>
              <w:t>3.3 Philosophy of Research</w:t>
            </w:r>
            <w:r>
              <w:rPr>
                <w:webHidden/>
              </w:rPr>
              <w:fldChar w:fldCharType="begin"/>
            </w:r>
            <w:r>
              <w:rPr>
                <w:webHidden/>
              </w:rPr>
              <w:instrText>PAGEREF _Toc240835794 \h</w:instrText>
            </w:r>
            <w:r>
              <w:rPr>
                <w:webHidden/>
              </w:rPr>
            </w:r>
            <w:r>
              <w:rPr>
                <w:webHidden/>
              </w:rPr>
              <w:fldChar w:fldCharType="separate"/>
            </w:r>
            <w:r>
              <w:rPr>
                <w:rStyle w:val="IndexLink"/>
              </w:rPr>
              <w:tab/>
              <w:t>29</w:t>
            </w:r>
            <w:r>
              <w:rPr>
                <w:webHidden/>
              </w:rPr>
              <w:fldChar w:fldCharType="end"/>
            </w:r>
          </w:hyperlink>
        </w:p>
        <w:p w14:paraId="37223A2A" w14:textId="77777777" w:rsidR="00612D3C" w:rsidRDefault="007047D9">
          <w:pPr>
            <w:pStyle w:val="TOC2"/>
            <w:tabs>
              <w:tab w:val="right" w:leader="dot" w:pos="9016"/>
            </w:tabs>
            <w:rPr>
              <w:rFonts w:asciiTheme="minorHAnsi" w:eastAsiaTheme="minorEastAsia" w:hAnsiTheme="minorHAnsi"/>
              <w:lang w:val="en-IN" w:eastAsia="en-IN"/>
            </w:rPr>
          </w:pPr>
          <w:hyperlink w:anchor="_Toc240835795">
            <w:r>
              <w:rPr>
                <w:rStyle w:val="IndexLink"/>
                <w:rFonts w:ascii="Calibri" w:hAnsi="Calibri" w:cs="Calibri"/>
                <w:webHidden/>
              </w:rPr>
              <w:t>3.4 Research approach</w:t>
            </w:r>
            <w:r>
              <w:rPr>
                <w:webHidden/>
              </w:rPr>
              <w:fldChar w:fldCharType="begin"/>
            </w:r>
            <w:r>
              <w:rPr>
                <w:webHidden/>
              </w:rPr>
              <w:instrText>PAGEREF _Toc240835795 \h</w:instrText>
            </w:r>
            <w:r>
              <w:rPr>
                <w:webHidden/>
              </w:rPr>
            </w:r>
            <w:r>
              <w:rPr>
                <w:webHidden/>
              </w:rPr>
              <w:fldChar w:fldCharType="separate"/>
            </w:r>
            <w:r>
              <w:rPr>
                <w:rStyle w:val="IndexLink"/>
              </w:rPr>
              <w:tab/>
              <w:t>29</w:t>
            </w:r>
            <w:r>
              <w:rPr>
                <w:webHidden/>
              </w:rPr>
              <w:fldChar w:fldCharType="end"/>
            </w:r>
          </w:hyperlink>
        </w:p>
        <w:p w14:paraId="371E329A" w14:textId="77777777" w:rsidR="00612D3C" w:rsidRDefault="007047D9">
          <w:pPr>
            <w:pStyle w:val="TOC2"/>
            <w:tabs>
              <w:tab w:val="right" w:leader="dot" w:pos="9016"/>
            </w:tabs>
            <w:rPr>
              <w:rFonts w:asciiTheme="minorHAnsi" w:eastAsiaTheme="minorEastAsia" w:hAnsiTheme="minorHAnsi"/>
              <w:lang w:val="en-IN" w:eastAsia="en-IN"/>
            </w:rPr>
          </w:pPr>
          <w:hyperlink w:anchor="_Toc240835796">
            <w:r>
              <w:rPr>
                <w:rStyle w:val="IndexLink"/>
                <w:rFonts w:ascii="Calibri" w:hAnsi="Calibri" w:cs="Calibri"/>
                <w:webHidden/>
              </w:rPr>
              <w:t>3.5 Research Strategy: Quantitative Survey Strategy.</w:t>
            </w:r>
            <w:r>
              <w:rPr>
                <w:webHidden/>
              </w:rPr>
              <w:fldChar w:fldCharType="begin"/>
            </w:r>
            <w:r>
              <w:rPr>
                <w:webHidden/>
              </w:rPr>
              <w:instrText>PAGEREF _Toc240835796 \h</w:instrText>
            </w:r>
            <w:r>
              <w:rPr>
                <w:webHidden/>
              </w:rPr>
            </w:r>
            <w:r>
              <w:rPr>
                <w:webHidden/>
              </w:rPr>
              <w:fldChar w:fldCharType="separate"/>
            </w:r>
            <w:r>
              <w:rPr>
                <w:rStyle w:val="IndexLink"/>
              </w:rPr>
              <w:tab/>
              <w:t>30</w:t>
            </w:r>
            <w:r>
              <w:rPr>
                <w:webHidden/>
              </w:rPr>
              <w:fldChar w:fldCharType="end"/>
            </w:r>
          </w:hyperlink>
        </w:p>
        <w:p w14:paraId="1C881384" w14:textId="77777777" w:rsidR="00612D3C" w:rsidRDefault="007047D9">
          <w:pPr>
            <w:pStyle w:val="TOC2"/>
            <w:tabs>
              <w:tab w:val="right" w:leader="dot" w:pos="9016"/>
            </w:tabs>
            <w:rPr>
              <w:rFonts w:asciiTheme="minorHAnsi" w:eastAsiaTheme="minorEastAsia" w:hAnsiTheme="minorHAnsi"/>
              <w:lang w:val="en-IN" w:eastAsia="en-IN"/>
            </w:rPr>
          </w:pPr>
          <w:hyperlink w:anchor="_Toc240835797">
            <w:r>
              <w:rPr>
                <w:rStyle w:val="IndexLink"/>
                <w:rFonts w:ascii="Calibri" w:hAnsi="Calibri" w:cs="Calibri"/>
                <w:webHidden/>
              </w:rPr>
              <w:t>3.6 Data Collection Method</w:t>
            </w:r>
            <w:r>
              <w:rPr>
                <w:webHidden/>
              </w:rPr>
              <w:fldChar w:fldCharType="begin"/>
            </w:r>
            <w:r>
              <w:rPr>
                <w:webHidden/>
              </w:rPr>
              <w:instrText>PAGEREF _Toc240835797 \h</w:instrText>
            </w:r>
            <w:r>
              <w:rPr>
                <w:webHidden/>
              </w:rPr>
            </w:r>
            <w:r>
              <w:rPr>
                <w:webHidden/>
              </w:rPr>
              <w:fldChar w:fldCharType="separate"/>
            </w:r>
            <w:r>
              <w:rPr>
                <w:rStyle w:val="IndexLink"/>
              </w:rPr>
              <w:tab/>
              <w:t>30</w:t>
            </w:r>
            <w:r>
              <w:rPr>
                <w:webHidden/>
              </w:rPr>
              <w:fldChar w:fldCharType="end"/>
            </w:r>
          </w:hyperlink>
        </w:p>
        <w:p w14:paraId="2B617311" w14:textId="77777777" w:rsidR="00612D3C" w:rsidRDefault="007047D9">
          <w:pPr>
            <w:pStyle w:val="TOC2"/>
            <w:tabs>
              <w:tab w:val="right" w:leader="dot" w:pos="9016"/>
            </w:tabs>
            <w:rPr>
              <w:rFonts w:asciiTheme="minorHAnsi" w:eastAsiaTheme="minorEastAsia" w:hAnsiTheme="minorHAnsi"/>
              <w:lang w:val="en-IN" w:eastAsia="en-IN"/>
            </w:rPr>
          </w:pPr>
          <w:hyperlink w:anchor="_Toc240835798">
            <w:r>
              <w:rPr>
                <w:rStyle w:val="IndexLink"/>
                <w:rFonts w:ascii="Calibri" w:hAnsi="Calibri" w:cs="Calibri"/>
                <w:webHidden/>
              </w:rPr>
              <w:t>3.7 Data Analysis Methods</w:t>
            </w:r>
            <w:r>
              <w:rPr>
                <w:webHidden/>
              </w:rPr>
              <w:fldChar w:fldCharType="begin"/>
            </w:r>
            <w:r>
              <w:rPr>
                <w:webHidden/>
              </w:rPr>
              <w:instrText>PAGEREF _Toc240835798 \h</w:instrText>
            </w:r>
            <w:r>
              <w:rPr>
                <w:webHidden/>
              </w:rPr>
            </w:r>
            <w:r>
              <w:rPr>
                <w:webHidden/>
              </w:rPr>
              <w:fldChar w:fldCharType="separate"/>
            </w:r>
            <w:r>
              <w:rPr>
                <w:rStyle w:val="IndexLink"/>
              </w:rPr>
              <w:tab/>
              <w:t>31</w:t>
            </w:r>
            <w:r>
              <w:rPr>
                <w:webHidden/>
              </w:rPr>
              <w:fldChar w:fldCharType="end"/>
            </w:r>
          </w:hyperlink>
        </w:p>
        <w:p w14:paraId="54880AEC" w14:textId="77777777" w:rsidR="00612D3C" w:rsidRDefault="007047D9">
          <w:pPr>
            <w:pStyle w:val="TOC2"/>
            <w:tabs>
              <w:tab w:val="right" w:leader="dot" w:pos="9016"/>
            </w:tabs>
            <w:rPr>
              <w:rFonts w:asciiTheme="minorHAnsi" w:eastAsiaTheme="minorEastAsia" w:hAnsiTheme="minorHAnsi"/>
              <w:lang w:val="en-IN" w:eastAsia="en-IN"/>
            </w:rPr>
          </w:pPr>
          <w:hyperlink w:anchor="_Toc240835799">
            <w:r>
              <w:rPr>
                <w:rStyle w:val="IndexLink"/>
                <w:rFonts w:ascii="Calibri" w:hAnsi="Calibri" w:cs="Calibri"/>
                <w:webHidden/>
              </w:rPr>
              <w:t>3.8 Ethical Considerations</w:t>
            </w:r>
            <w:r>
              <w:rPr>
                <w:webHidden/>
              </w:rPr>
              <w:fldChar w:fldCharType="begin"/>
            </w:r>
            <w:r>
              <w:rPr>
                <w:webHidden/>
              </w:rPr>
              <w:instrText>PAGEREF _Toc240835799 \h</w:instrText>
            </w:r>
            <w:r>
              <w:rPr>
                <w:webHidden/>
              </w:rPr>
            </w:r>
            <w:r>
              <w:rPr>
                <w:webHidden/>
              </w:rPr>
              <w:fldChar w:fldCharType="separate"/>
            </w:r>
            <w:r>
              <w:rPr>
                <w:rStyle w:val="IndexLink"/>
              </w:rPr>
              <w:tab/>
              <w:t>32</w:t>
            </w:r>
            <w:r>
              <w:rPr>
                <w:webHidden/>
              </w:rPr>
              <w:fldChar w:fldCharType="end"/>
            </w:r>
          </w:hyperlink>
        </w:p>
        <w:p w14:paraId="0217DEF9" w14:textId="77777777" w:rsidR="00612D3C" w:rsidRDefault="007047D9">
          <w:pPr>
            <w:pStyle w:val="TOC2"/>
            <w:tabs>
              <w:tab w:val="right" w:leader="dot" w:pos="9016"/>
            </w:tabs>
            <w:rPr>
              <w:rFonts w:asciiTheme="minorHAnsi" w:eastAsiaTheme="minorEastAsia" w:hAnsiTheme="minorHAnsi"/>
              <w:lang w:val="en-IN" w:eastAsia="en-IN"/>
            </w:rPr>
          </w:pPr>
          <w:hyperlink w:anchor="_Toc240835800">
            <w:r>
              <w:rPr>
                <w:rStyle w:val="IndexLink"/>
                <w:rFonts w:ascii="Calibri" w:hAnsi="Calibri" w:cs="Calibri"/>
                <w:webHidden/>
              </w:rPr>
              <w:t>3.9 Constraints of the Research</w:t>
            </w:r>
            <w:r>
              <w:rPr>
                <w:webHidden/>
              </w:rPr>
              <w:fldChar w:fldCharType="begin"/>
            </w:r>
            <w:r>
              <w:rPr>
                <w:webHidden/>
              </w:rPr>
              <w:instrText>PAGEREF _Toc240835800 \h</w:instrText>
            </w:r>
            <w:r>
              <w:rPr>
                <w:webHidden/>
              </w:rPr>
            </w:r>
            <w:r>
              <w:rPr>
                <w:webHidden/>
              </w:rPr>
              <w:fldChar w:fldCharType="separate"/>
            </w:r>
            <w:r>
              <w:rPr>
                <w:rStyle w:val="IndexLink"/>
              </w:rPr>
              <w:tab/>
              <w:t>32</w:t>
            </w:r>
            <w:r>
              <w:rPr>
                <w:webHidden/>
              </w:rPr>
              <w:fldChar w:fldCharType="end"/>
            </w:r>
          </w:hyperlink>
        </w:p>
        <w:p w14:paraId="68D1A4C3" w14:textId="77777777" w:rsidR="00612D3C" w:rsidRDefault="007047D9">
          <w:pPr>
            <w:pStyle w:val="TOC2"/>
            <w:tabs>
              <w:tab w:val="right" w:leader="dot" w:pos="9016"/>
            </w:tabs>
            <w:rPr>
              <w:rFonts w:asciiTheme="minorHAnsi" w:eastAsiaTheme="minorEastAsia" w:hAnsiTheme="minorHAnsi"/>
              <w:lang w:val="en-IN" w:eastAsia="en-IN"/>
            </w:rPr>
          </w:pPr>
          <w:hyperlink w:anchor="_Toc240835801">
            <w:r>
              <w:rPr>
                <w:rStyle w:val="IndexLink"/>
                <w:rFonts w:ascii="Calibri" w:hAnsi="Calibri" w:cs="Calibri"/>
                <w:webHidden/>
              </w:rPr>
              <w:t>3.10 Summary</w:t>
            </w:r>
            <w:r>
              <w:rPr>
                <w:webHidden/>
              </w:rPr>
              <w:fldChar w:fldCharType="begin"/>
            </w:r>
            <w:r>
              <w:rPr>
                <w:webHidden/>
              </w:rPr>
              <w:instrText>PAGEREF _Toc240835801 \h</w:instrText>
            </w:r>
            <w:r>
              <w:rPr>
                <w:webHidden/>
              </w:rPr>
            </w:r>
            <w:r>
              <w:rPr>
                <w:webHidden/>
              </w:rPr>
              <w:fldChar w:fldCharType="separate"/>
            </w:r>
            <w:r>
              <w:rPr>
                <w:rStyle w:val="IndexLink"/>
              </w:rPr>
              <w:tab/>
              <w:t>32</w:t>
            </w:r>
            <w:r>
              <w:rPr>
                <w:webHidden/>
              </w:rPr>
              <w:fldChar w:fldCharType="end"/>
            </w:r>
          </w:hyperlink>
        </w:p>
        <w:p w14:paraId="4DAAB06C" w14:textId="77777777" w:rsidR="00612D3C" w:rsidRDefault="007047D9">
          <w:pPr>
            <w:pStyle w:val="TOC1"/>
            <w:tabs>
              <w:tab w:val="right" w:leader="dot" w:pos="9016"/>
            </w:tabs>
            <w:rPr>
              <w:rFonts w:asciiTheme="minorHAnsi" w:eastAsiaTheme="minorEastAsia" w:hAnsiTheme="minorHAnsi"/>
              <w:lang w:val="en-IN" w:eastAsia="en-IN"/>
            </w:rPr>
          </w:pPr>
          <w:hyperlink w:anchor="_Toc240835802">
            <w:r>
              <w:rPr>
                <w:rStyle w:val="IndexLink"/>
                <w:rFonts w:ascii="Calibri" w:hAnsi="Calibri" w:cs="Calibri"/>
                <w:webHidden/>
              </w:rPr>
              <w:t>4. DATA ANALYSIS</w:t>
            </w:r>
            <w:r>
              <w:rPr>
                <w:webHidden/>
              </w:rPr>
              <w:fldChar w:fldCharType="begin"/>
            </w:r>
            <w:r>
              <w:rPr>
                <w:webHidden/>
              </w:rPr>
              <w:instrText>PAGEREF _Toc240835802 \h</w:instrText>
            </w:r>
            <w:r>
              <w:rPr>
                <w:webHidden/>
              </w:rPr>
            </w:r>
            <w:r>
              <w:rPr>
                <w:webHidden/>
              </w:rPr>
              <w:fldChar w:fldCharType="separate"/>
            </w:r>
            <w:r>
              <w:rPr>
                <w:rStyle w:val="IndexLink"/>
              </w:rPr>
              <w:tab/>
              <w:t>33</w:t>
            </w:r>
            <w:r>
              <w:rPr>
                <w:webHidden/>
              </w:rPr>
              <w:fldChar w:fldCharType="end"/>
            </w:r>
          </w:hyperlink>
        </w:p>
        <w:p w14:paraId="283EF913" w14:textId="77777777" w:rsidR="00612D3C" w:rsidRDefault="007047D9">
          <w:pPr>
            <w:pStyle w:val="TOC2"/>
            <w:tabs>
              <w:tab w:val="right" w:leader="dot" w:pos="9016"/>
            </w:tabs>
            <w:rPr>
              <w:rFonts w:asciiTheme="minorHAnsi" w:eastAsiaTheme="minorEastAsia" w:hAnsiTheme="minorHAnsi"/>
              <w:lang w:val="en-IN" w:eastAsia="en-IN"/>
            </w:rPr>
          </w:pPr>
          <w:hyperlink w:anchor="_Toc240835803">
            <w:r>
              <w:rPr>
                <w:rStyle w:val="IndexLink"/>
                <w:rFonts w:ascii="Calibri" w:hAnsi="Calibri" w:cs="Calibri"/>
                <w:webHidden/>
              </w:rPr>
              <w:t>4.1 Introduction</w:t>
            </w:r>
            <w:r>
              <w:rPr>
                <w:webHidden/>
              </w:rPr>
              <w:fldChar w:fldCharType="begin"/>
            </w:r>
            <w:r>
              <w:rPr>
                <w:webHidden/>
              </w:rPr>
              <w:instrText>PAGEREF _Toc240835803 \h</w:instrText>
            </w:r>
            <w:r>
              <w:rPr>
                <w:webHidden/>
              </w:rPr>
            </w:r>
            <w:r>
              <w:rPr>
                <w:webHidden/>
              </w:rPr>
              <w:fldChar w:fldCharType="separate"/>
            </w:r>
            <w:r>
              <w:rPr>
                <w:rStyle w:val="IndexLink"/>
              </w:rPr>
              <w:tab/>
              <w:t>33</w:t>
            </w:r>
            <w:r>
              <w:rPr>
                <w:webHidden/>
              </w:rPr>
              <w:fldChar w:fldCharType="end"/>
            </w:r>
          </w:hyperlink>
        </w:p>
        <w:p w14:paraId="12E61F94" w14:textId="77777777" w:rsidR="00612D3C" w:rsidRDefault="007047D9">
          <w:pPr>
            <w:pStyle w:val="TOC2"/>
            <w:tabs>
              <w:tab w:val="right" w:leader="dot" w:pos="9016"/>
            </w:tabs>
            <w:rPr>
              <w:rFonts w:asciiTheme="minorHAnsi" w:eastAsiaTheme="minorEastAsia" w:hAnsiTheme="minorHAnsi"/>
              <w:lang w:val="en-IN" w:eastAsia="en-IN"/>
            </w:rPr>
          </w:pPr>
          <w:hyperlink w:anchor="_Toc240835804">
            <w:r>
              <w:rPr>
                <w:rStyle w:val="IndexLink"/>
                <w:rFonts w:ascii="Calibri" w:hAnsi="Calibri" w:cs="Calibri"/>
                <w:webHidden/>
              </w:rPr>
              <w:t>4.2 Graphical Analysis: Demographic Statistics</w:t>
            </w:r>
            <w:r>
              <w:rPr>
                <w:webHidden/>
              </w:rPr>
              <w:fldChar w:fldCharType="begin"/>
            </w:r>
            <w:r>
              <w:rPr>
                <w:webHidden/>
              </w:rPr>
              <w:instrText>PAGEREF _Toc240835804 \h</w:instrText>
            </w:r>
            <w:r>
              <w:rPr>
                <w:webHidden/>
              </w:rPr>
            </w:r>
            <w:r>
              <w:rPr>
                <w:webHidden/>
              </w:rPr>
              <w:fldChar w:fldCharType="separate"/>
            </w:r>
            <w:r>
              <w:rPr>
                <w:rStyle w:val="IndexLink"/>
              </w:rPr>
              <w:tab/>
              <w:t>33</w:t>
            </w:r>
            <w:r>
              <w:rPr>
                <w:webHidden/>
              </w:rPr>
              <w:fldChar w:fldCharType="end"/>
            </w:r>
          </w:hyperlink>
        </w:p>
        <w:p w14:paraId="215623CB" w14:textId="77777777" w:rsidR="00612D3C" w:rsidRDefault="007047D9">
          <w:pPr>
            <w:pStyle w:val="TOC2"/>
            <w:tabs>
              <w:tab w:val="right" w:leader="dot" w:pos="9016"/>
            </w:tabs>
            <w:rPr>
              <w:rFonts w:asciiTheme="minorHAnsi" w:eastAsiaTheme="minorEastAsia" w:hAnsiTheme="minorHAnsi"/>
              <w:lang w:val="en-IN" w:eastAsia="en-IN"/>
            </w:rPr>
          </w:pPr>
          <w:hyperlink w:anchor="_Toc240835805">
            <w:r>
              <w:rPr>
                <w:rStyle w:val="IndexLink"/>
                <w:rFonts w:ascii="Calibri" w:hAnsi="Calibri" w:cs="Calibri"/>
                <w:webHidden/>
              </w:rPr>
              <w:t>4.3 Statistical analysis</w:t>
            </w:r>
            <w:r>
              <w:rPr>
                <w:webHidden/>
              </w:rPr>
              <w:fldChar w:fldCharType="begin"/>
            </w:r>
            <w:r>
              <w:rPr>
                <w:webHidden/>
              </w:rPr>
              <w:instrText>PAGEREF _Toc240835805 \h</w:instrText>
            </w:r>
            <w:r>
              <w:rPr>
                <w:webHidden/>
              </w:rPr>
            </w:r>
            <w:r>
              <w:rPr>
                <w:webHidden/>
              </w:rPr>
              <w:fldChar w:fldCharType="separate"/>
            </w:r>
            <w:r>
              <w:rPr>
                <w:rStyle w:val="IndexLink"/>
              </w:rPr>
              <w:tab/>
              <w:t>41</w:t>
            </w:r>
            <w:r>
              <w:rPr>
                <w:webHidden/>
              </w:rPr>
              <w:fldChar w:fldCharType="end"/>
            </w:r>
          </w:hyperlink>
        </w:p>
        <w:p w14:paraId="00A7F0FA" w14:textId="77777777" w:rsidR="00612D3C" w:rsidRDefault="007047D9">
          <w:pPr>
            <w:pStyle w:val="TOC2"/>
            <w:tabs>
              <w:tab w:val="right" w:leader="dot" w:pos="9016"/>
            </w:tabs>
            <w:rPr>
              <w:rFonts w:asciiTheme="minorHAnsi" w:eastAsiaTheme="minorEastAsia" w:hAnsiTheme="minorHAnsi"/>
              <w:lang w:val="en-IN" w:eastAsia="en-IN"/>
            </w:rPr>
          </w:pPr>
          <w:hyperlink w:anchor="_Toc240835806">
            <w:r>
              <w:rPr>
                <w:rStyle w:val="IndexLink"/>
                <w:rFonts w:ascii="Calibri" w:hAnsi="Calibri" w:cs="Calibri"/>
                <w:webHidden/>
              </w:rPr>
              <w:t>4.4 Interpretation of findings</w:t>
            </w:r>
            <w:r>
              <w:rPr>
                <w:webHidden/>
              </w:rPr>
              <w:fldChar w:fldCharType="begin"/>
            </w:r>
            <w:r>
              <w:rPr>
                <w:webHidden/>
              </w:rPr>
              <w:instrText>PAGEREF _Toc240835806 \h</w:instrText>
            </w:r>
            <w:r>
              <w:rPr>
                <w:webHidden/>
              </w:rPr>
            </w:r>
            <w:r>
              <w:rPr>
                <w:webHidden/>
              </w:rPr>
              <w:fldChar w:fldCharType="separate"/>
            </w:r>
            <w:r>
              <w:rPr>
                <w:rStyle w:val="IndexLink"/>
              </w:rPr>
              <w:tab/>
              <w:t>44</w:t>
            </w:r>
            <w:r>
              <w:rPr>
                <w:webHidden/>
              </w:rPr>
              <w:fldChar w:fldCharType="end"/>
            </w:r>
          </w:hyperlink>
        </w:p>
        <w:p w14:paraId="45D44C36" w14:textId="77777777" w:rsidR="00612D3C" w:rsidRDefault="007047D9">
          <w:pPr>
            <w:pStyle w:val="TOC2"/>
            <w:tabs>
              <w:tab w:val="right" w:leader="dot" w:pos="9016"/>
            </w:tabs>
            <w:rPr>
              <w:rFonts w:asciiTheme="minorHAnsi" w:eastAsiaTheme="minorEastAsia" w:hAnsiTheme="minorHAnsi"/>
              <w:lang w:val="en-IN" w:eastAsia="en-IN"/>
            </w:rPr>
          </w:pPr>
          <w:hyperlink w:anchor="_Toc240835807">
            <w:r>
              <w:rPr>
                <w:rStyle w:val="IndexLink"/>
                <w:rFonts w:ascii="Calibri" w:hAnsi="Calibri" w:cs="Calibri"/>
                <w:webHidden/>
              </w:rPr>
              <w:t>4.5 Summary</w:t>
            </w:r>
            <w:r>
              <w:rPr>
                <w:webHidden/>
              </w:rPr>
              <w:fldChar w:fldCharType="begin"/>
            </w:r>
            <w:r>
              <w:rPr>
                <w:webHidden/>
              </w:rPr>
              <w:instrText>PAGEREF _Toc240835807 \h</w:instrText>
            </w:r>
            <w:r>
              <w:rPr>
                <w:webHidden/>
              </w:rPr>
            </w:r>
            <w:r>
              <w:rPr>
                <w:webHidden/>
              </w:rPr>
              <w:fldChar w:fldCharType="separate"/>
            </w:r>
            <w:r>
              <w:rPr>
                <w:rStyle w:val="IndexLink"/>
              </w:rPr>
              <w:tab/>
              <w:t>46</w:t>
            </w:r>
            <w:r>
              <w:rPr>
                <w:webHidden/>
              </w:rPr>
              <w:fldChar w:fldCharType="end"/>
            </w:r>
          </w:hyperlink>
        </w:p>
        <w:p w14:paraId="7C7C7F98" w14:textId="77777777" w:rsidR="00612D3C" w:rsidRDefault="007047D9">
          <w:pPr>
            <w:pStyle w:val="TOC1"/>
            <w:tabs>
              <w:tab w:val="right" w:leader="dot" w:pos="9016"/>
            </w:tabs>
            <w:rPr>
              <w:rFonts w:asciiTheme="minorHAnsi" w:eastAsiaTheme="minorEastAsia" w:hAnsiTheme="minorHAnsi"/>
              <w:lang w:val="en-IN" w:eastAsia="en-IN"/>
            </w:rPr>
          </w:pPr>
          <w:hyperlink w:anchor="_Toc240835808">
            <w:r>
              <w:rPr>
                <w:rStyle w:val="IndexLink"/>
                <w:rFonts w:ascii="Calibri" w:hAnsi="Calibri" w:cs="Calibri"/>
                <w:webHidden/>
              </w:rPr>
              <w:t>5. DISCUSSION</w:t>
            </w:r>
            <w:r>
              <w:rPr>
                <w:webHidden/>
              </w:rPr>
              <w:fldChar w:fldCharType="begin"/>
            </w:r>
            <w:r>
              <w:rPr>
                <w:webHidden/>
              </w:rPr>
              <w:instrText>PAGEREF _Toc240835808 \h</w:instrText>
            </w:r>
            <w:r>
              <w:rPr>
                <w:webHidden/>
              </w:rPr>
            </w:r>
            <w:r>
              <w:rPr>
                <w:webHidden/>
              </w:rPr>
              <w:fldChar w:fldCharType="separate"/>
            </w:r>
            <w:r>
              <w:rPr>
                <w:rStyle w:val="IndexLink"/>
              </w:rPr>
              <w:tab/>
              <w:t>47</w:t>
            </w:r>
            <w:r>
              <w:rPr>
                <w:webHidden/>
              </w:rPr>
              <w:fldChar w:fldCharType="end"/>
            </w:r>
          </w:hyperlink>
        </w:p>
        <w:p w14:paraId="4F37D691" w14:textId="77777777" w:rsidR="00612D3C" w:rsidRDefault="007047D9">
          <w:pPr>
            <w:pStyle w:val="TOC2"/>
            <w:tabs>
              <w:tab w:val="right" w:leader="dot" w:pos="9016"/>
            </w:tabs>
            <w:rPr>
              <w:rFonts w:asciiTheme="minorHAnsi" w:eastAsiaTheme="minorEastAsia" w:hAnsiTheme="minorHAnsi"/>
              <w:lang w:val="en-IN" w:eastAsia="en-IN"/>
            </w:rPr>
          </w:pPr>
          <w:hyperlink w:anchor="_Toc240835809">
            <w:r>
              <w:rPr>
                <w:rStyle w:val="IndexLink"/>
                <w:rFonts w:ascii="Calibri" w:hAnsi="Calibri" w:cs="Calibri"/>
                <w:webHidden/>
              </w:rPr>
              <w:t>5.1 Introduction</w:t>
            </w:r>
            <w:r>
              <w:rPr>
                <w:webHidden/>
              </w:rPr>
              <w:fldChar w:fldCharType="begin"/>
            </w:r>
            <w:r>
              <w:rPr>
                <w:webHidden/>
              </w:rPr>
              <w:instrText>PAGEREF _Toc240835809 \h</w:instrText>
            </w:r>
            <w:r>
              <w:rPr>
                <w:webHidden/>
              </w:rPr>
            </w:r>
            <w:r>
              <w:rPr>
                <w:webHidden/>
              </w:rPr>
              <w:fldChar w:fldCharType="separate"/>
            </w:r>
            <w:r>
              <w:rPr>
                <w:rStyle w:val="IndexLink"/>
              </w:rPr>
              <w:tab/>
              <w:t>47</w:t>
            </w:r>
            <w:r>
              <w:rPr>
                <w:webHidden/>
              </w:rPr>
              <w:fldChar w:fldCharType="end"/>
            </w:r>
          </w:hyperlink>
        </w:p>
        <w:p w14:paraId="2C2F452E" w14:textId="77777777" w:rsidR="00612D3C" w:rsidRDefault="007047D9">
          <w:pPr>
            <w:pStyle w:val="TOC2"/>
            <w:tabs>
              <w:tab w:val="right" w:leader="dot" w:pos="9016"/>
            </w:tabs>
            <w:rPr>
              <w:rFonts w:asciiTheme="minorHAnsi" w:eastAsiaTheme="minorEastAsia" w:hAnsiTheme="minorHAnsi"/>
              <w:lang w:val="en-IN" w:eastAsia="en-IN"/>
            </w:rPr>
          </w:pPr>
          <w:hyperlink w:anchor="_Toc240835810">
            <w:r>
              <w:rPr>
                <w:rStyle w:val="IndexLink"/>
                <w:rFonts w:ascii="Calibri" w:hAnsi="Calibri" w:cs="Calibri"/>
                <w:webHidden/>
              </w:rPr>
              <w:t>5.2 Findings of the discussion</w:t>
            </w:r>
            <w:r>
              <w:rPr>
                <w:webHidden/>
              </w:rPr>
              <w:fldChar w:fldCharType="begin"/>
            </w:r>
            <w:r>
              <w:rPr>
                <w:webHidden/>
              </w:rPr>
              <w:instrText>PAGEREF _Toc240835810 \h</w:instrText>
            </w:r>
            <w:r>
              <w:rPr>
                <w:webHidden/>
              </w:rPr>
            </w:r>
            <w:r>
              <w:rPr>
                <w:webHidden/>
              </w:rPr>
              <w:fldChar w:fldCharType="separate"/>
            </w:r>
            <w:r>
              <w:rPr>
                <w:rStyle w:val="IndexLink"/>
              </w:rPr>
              <w:tab/>
              <w:t>47</w:t>
            </w:r>
            <w:r>
              <w:rPr>
                <w:webHidden/>
              </w:rPr>
              <w:fldChar w:fldCharType="end"/>
            </w:r>
          </w:hyperlink>
        </w:p>
        <w:p w14:paraId="2C7DBAA6" w14:textId="77777777" w:rsidR="00612D3C" w:rsidRDefault="007047D9">
          <w:pPr>
            <w:pStyle w:val="TOC3"/>
            <w:tabs>
              <w:tab w:val="right" w:leader="dot" w:pos="9016"/>
            </w:tabs>
            <w:rPr>
              <w:rFonts w:asciiTheme="minorHAnsi" w:eastAsiaTheme="minorEastAsia" w:hAnsiTheme="minorHAnsi"/>
              <w:lang w:val="en-IN" w:eastAsia="en-IN"/>
            </w:rPr>
          </w:pPr>
          <w:hyperlink w:anchor="_Toc240835811">
            <w:r>
              <w:rPr>
                <w:rStyle w:val="IndexLink"/>
                <w:rFonts w:ascii="Calibri" w:hAnsi="Calibri" w:cs="Calibri"/>
                <w:webHidden/>
              </w:rPr>
              <w:t>5.2.1 Relationship between Tesco Clubcard app features and customer satisfaction RO 1</w:t>
            </w:r>
            <w:r>
              <w:rPr>
                <w:webHidden/>
              </w:rPr>
              <w:fldChar w:fldCharType="begin"/>
            </w:r>
            <w:r>
              <w:rPr>
                <w:webHidden/>
              </w:rPr>
              <w:instrText>PAGEREF _Toc240835811 \h</w:instrText>
            </w:r>
            <w:r>
              <w:rPr>
                <w:webHidden/>
              </w:rPr>
            </w:r>
            <w:r>
              <w:rPr>
                <w:webHidden/>
              </w:rPr>
              <w:fldChar w:fldCharType="separate"/>
            </w:r>
            <w:r>
              <w:rPr>
                <w:rStyle w:val="IndexLink"/>
              </w:rPr>
              <w:tab/>
              <w:t>47</w:t>
            </w:r>
            <w:r>
              <w:rPr>
                <w:webHidden/>
              </w:rPr>
              <w:fldChar w:fldCharType="end"/>
            </w:r>
          </w:hyperlink>
        </w:p>
        <w:p w14:paraId="6E6E29F9" w14:textId="77777777" w:rsidR="00612D3C" w:rsidRDefault="007047D9">
          <w:pPr>
            <w:pStyle w:val="TOC3"/>
            <w:tabs>
              <w:tab w:val="right" w:leader="dot" w:pos="9016"/>
            </w:tabs>
            <w:rPr>
              <w:rFonts w:asciiTheme="minorHAnsi" w:eastAsiaTheme="minorEastAsia" w:hAnsiTheme="minorHAnsi"/>
              <w:lang w:val="en-IN" w:eastAsia="en-IN"/>
            </w:rPr>
          </w:pPr>
          <w:hyperlink w:anchor="_Toc240835812">
            <w:r>
              <w:rPr>
                <w:rStyle w:val="IndexLink"/>
                <w:rFonts w:ascii="Calibri" w:hAnsi="Calibri" w:cs="Calibri"/>
                <w:webHidden/>
              </w:rPr>
              <w:t>5.2.2 Associations among app use, satisfaction and loyalty RO 2</w:t>
            </w:r>
            <w:r>
              <w:rPr>
                <w:webHidden/>
              </w:rPr>
              <w:fldChar w:fldCharType="begin"/>
            </w:r>
            <w:r>
              <w:rPr>
                <w:webHidden/>
              </w:rPr>
              <w:instrText>PAGEREF _Toc240835812 \h</w:instrText>
            </w:r>
            <w:r>
              <w:rPr>
                <w:webHidden/>
              </w:rPr>
            </w:r>
            <w:r>
              <w:rPr>
                <w:webHidden/>
              </w:rPr>
              <w:fldChar w:fldCharType="separate"/>
            </w:r>
            <w:r>
              <w:rPr>
                <w:rStyle w:val="IndexLink"/>
              </w:rPr>
              <w:tab/>
              <w:t>48</w:t>
            </w:r>
            <w:r>
              <w:rPr>
                <w:webHidden/>
              </w:rPr>
              <w:fldChar w:fldCharType="end"/>
            </w:r>
          </w:hyperlink>
        </w:p>
        <w:p w14:paraId="134D3417" w14:textId="77777777" w:rsidR="00612D3C" w:rsidRDefault="007047D9">
          <w:pPr>
            <w:pStyle w:val="TOC3"/>
            <w:tabs>
              <w:tab w:val="right" w:leader="dot" w:pos="9016"/>
            </w:tabs>
            <w:rPr>
              <w:rFonts w:asciiTheme="minorHAnsi" w:eastAsiaTheme="minorEastAsia" w:hAnsiTheme="minorHAnsi"/>
              <w:lang w:val="en-IN" w:eastAsia="en-IN"/>
            </w:rPr>
          </w:pPr>
          <w:hyperlink w:anchor="_Toc240835813">
            <w:r>
              <w:rPr>
                <w:rStyle w:val="IndexLink"/>
                <w:rFonts w:ascii="Calibri" w:hAnsi="Calibri" w:cs="Calibri"/>
                <w:webHidden/>
              </w:rPr>
              <w:t>5.2.3 Why Gamification and Push Notifications Failed to Achieve Statistical Significance in Tesco's Ecosystem RO 3</w:t>
            </w:r>
            <w:r>
              <w:rPr>
                <w:webHidden/>
              </w:rPr>
              <w:fldChar w:fldCharType="begin"/>
            </w:r>
            <w:r>
              <w:rPr>
                <w:webHidden/>
              </w:rPr>
              <w:instrText>PAGEREF _Toc240835813 \h</w:instrText>
            </w:r>
            <w:r>
              <w:rPr>
                <w:webHidden/>
              </w:rPr>
            </w:r>
            <w:r>
              <w:rPr>
                <w:webHidden/>
              </w:rPr>
              <w:fldChar w:fldCharType="separate"/>
            </w:r>
            <w:r>
              <w:rPr>
                <w:rStyle w:val="IndexLink"/>
              </w:rPr>
              <w:tab/>
              <w:t>49</w:t>
            </w:r>
            <w:r>
              <w:rPr>
                <w:webHidden/>
              </w:rPr>
              <w:fldChar w:fldCharType="end"/>
            </w:r>
          </w:hyperlink>
        </w:p>
        <w:p w14:paraId="13D408C9" w14:textId="77777777" w:rsidR="00612D3C" w:rsidRDefault="007047D9">
          <w:pPr>
            <w:pStyle w:val="TOC3"/>
            <w:tabs>
              <w:tab w:val="right" w:leader="dot" w:pos="9016"/>
            </w:tabs>
            <w:rPr>
              <w:rFonts w:asciiTheme="minorHAnsi" w:eastAsiaTheme="minorEastAsia" w:hAnsiTheme="minorHAnsi"/>
              <w:lang w:val="en-IN" w:eastAsia="en-IN"/>
            </w:rPr>
          </w:pPr>
          <w:hyperlink w:anchor="_Toc240835814">
            <w:r>
              <w:rPr>
                <w:rStyle w:val="IndexLink"/>
                <w:rFonts w:ascii="Calibri" w:hAnsi="Calibri" w:cs="Calibri"/>
                <w:webHidden/>
              </w:rPr>
              <w:t>5.2.4 Statistically significant predictors of customer satisfaction RO 4</w:t>
            </w:r>
            <w:r>
              <w:rPr>
                <w:webHidden/>
              </w:rPr>
              <w:fldChar w:fldCharType="begin"/>
            </w:r>
            <w:r>
              <w:rPr>
                <w:webHidden/>
              </w:rPr>
              <w:instrText>PAGEREF _Toc240835814 \h</w:instrText>
            </w:r>
            <w:r>
              <w:rPr>
                <w:webHidden/>
              </w:rPr>
            </w:r>
            <w:r>
              <w:rPr>
                <w:webHidden/>
              </w:rPr>
              <w:fldChar w:fldCharType="separate"/>
            </w:r>
            <w:r>
              <w:rPr>
                <w:rStyle w:val="IndexLink"/>
              </w:rPr>
              <w:tab/>
              <w:t>49</w:t>
            </w:r>
            <w:r>
              <w:rPr>
                <w:webHidden/>
              </w:rPr>
              <w:fldChar w:fldCharType="end"/>
            </w:r>
          </w:hyperlink>
        </w:p>
        <w:p w14:paraId="4861C3DC" w14:textId="77777777" w:rsidR="00612D3C" w:rsidRDefault="007047D9">
          <w:pPr>
            <w:pStyle w:val="TOC2"/>
            <w:tabs>
              <w:tab w:val="right" w:leader="dot" w:pos="9016"/>
            </w:tabs>
            <w:rPr>
              <w:rFonts w:asciiTheme="minorHAnsi" w:eastAsiaTheme="minorEastAsia" w:hAnsiTheme="minorHAnsi"/>
              <w:lang w:val="en-IN" w:eastAsia="en-IN"/>
            </w:rPr>
          </w:pPr>
          <w:hyperlink w:anchor="_Toc240835815">
            <w:r>
              <w:rPr>
                <w:rStyle w:val="IndexLink"/>
                <w:rFonts w:ascii="Calibri" w:hAnsi="Calibri" w:cs="Calibri"/>
                <w:webHidden/>
              </w:rPr>
              <w:t>5.3 Integration and critical interpretation (theoretical).</w:t>
            </w:r>
            <w:r>
              <w:rPr>
                <w:webHidden/>
              </w:rPr>
              <w:fldChar w:fldCharType="begin"/>
            </w:r>
            <w:r>
              <w:rPr>
                <w:webHidden/>
              </w:rPr>
              <w:instrText>PAGEREF _Toc240835815 \h</w:instrText>
            </w:r>
            <w:r>
              <w:rPr>
                <w:webHidden/>
              </w:rPr>
            </w:r>
            <w:r>
              <w:rPr>
                <w:webHidden/>
              </w:rPr>
              <w:fldChar w:fldCharType="separate"/>
            </w:r>
            <w:r>
              <w:rPr>
                <w:rStyle w:val="IndexLink"/>
              </w:rPr>
              <w:tab/>
              <w:t>50</w:t>
            </w:r>
            <w:r>
              <w:rPr>
                <w:webHidden/>
              </w:rPr>
              <w:fldChar w:fldCharType="end"/>
            </w:r>
          </w:hyperlink>
        </w:p>
        <w:p w14:paraId="69A3BBA4" w14:textId="77777777" w:rsidR="00612D3C" w:rsidRDefault="007047D9">
          <w:pPr>
            <w:pStyle w:val="TOC2"/>
            <w:tabs>
              <w:tab w:val="right" w:leader="dot" w:pos="9016"/>
            </w:tabs>
            <w:rPr>
              <w:rFonts w:asciiTheme="minorHAnsi" w:eastAsiaTheme="minorEastAsia" w:hAnsiTheme="minorHAnsi"/>
              <w:lang w:val="en-IN" w:eastAsia="en-IN"/>
            </w:rPr>
          </w:pPr>
          <w:hyperlink w:anchor="_Toc240835816">
            <w:r>
              <w:rPr>
                <w:rStyle w:val="IndexLink"/>
                <w:rFonts w:ascii="Calibri" w:hAnsi="Calibri" w:cs="Calibri"/>
                <w:webHidden/>
              </w:rPr>
              <w:t>5.4 Summary of discussion</w:t>
            </w:r>
            <w:r>
              <w:rPr>
                <w:webHidden/>
              </w:rPr>
              <w:fldChar w:fldCharType="begin"/>
            </w:r>
            <w:r>
              <w:rPr>
                <w:webHidden/>
              </w:rPr>
              <w:instrText>PAGEREF _Toc240835816 \h</w:instrText>
            </w:r>
            <w:r>
              <w:rPr>
                <w:webHidden/>
              </w:rPr>
            </w:r>
            <w:r>
              <w:rPr>
                <w:webHidden/>
              </w:rPr>
              <w:fldChar w:fldCharType="separate"/>
            </w:r>
            <w:r>
              <w:rPr>
                <w:rStyle w:val="IndexLink"/>
              </w:rPr>
              <w:tab/>
              <w:t>50</w:t>
            </w:r>
            <w:r>
              <w:rPr>
                <w:webHidden/>
              </w:rPr>
              <w:fldChar w:fldCharType="end"/>
            </w:r>
          </w:hyperlink>
        </w:p>
        <w:p w14:paraId="496271EC" w14:textId="77777777" w:rsidR="00612D3C" w:rsidRDefault="007047D9">
          <w:pPr>
            <w:pStyle w:val="TOC1"/>
            <w:tabs>
              <w:tab w:val="right" w:leader="dot" w:pos="9016"/>
            </w:tabs>
            <w:rPr>
              <w:rFonts w:asciiTheme="minorHAnsi" w:eastAsiaTheme="minorEastAsia" w:hAnsiTheme="minorHAnsi"/>
              <w:lang w:val="en-IN" w:eastAsia="en-IN"/>
            </w:rPr>
          </w:pPr>
          <w:hyperlink w:anchor="_Toc240835817">
            <w:r>
              <w:rPr>
                <w:rStyle w:val="IndexLink"/>
                <w:rFonts w:ascii="Calibri" w:hAnsi="Calibri" w:cs="Calibri"/>
                <w:webHidden/>
              </w:rPr>
              <w:t>6. CONCLUSION AND RECOMMENDATIONS</w:t>
            </w:r>
            <w:r>
              <w:rPr>
                <w:webHidden/>
              </w:rPr>
              <w:fldChar w:fldCharType="begin"/>
            </w:r>
            <w:r>
              <w:rPr>
                <w:webHidden/>
              </w:rPr>
              <w:instrText>PAGEREF _Toc240835817 \h</w:instrText>
            </w:r>
            <w:r>
              <w:rPr>
                <w:webHidden/>
              </w:rPr>
            </w:r>
            <w:r>
              <w:rPr>
                <w:webHidden/>
              </w:rPr>
              <w:fldChar w:fldCharType="separate"/>
            </w:r>
            <w:r>
              <w:rPr>
                <w:rStyle w:val="IndexLink"/>
              </w:rPr>
              <w:tab/>
              <w:t>51</w:t>
            </w:r>
            <w:r>
              <w:rPr>
                <w:webHidden/>
              </w:rPr>
              <w:fldChar w:fldCharType="end"/>
            </w:r>
          </w:hyperlink>
        </w:p>
        <w:p w14:paraId="60B9416D" w14:textId="77777777" w:rsidR="00612D3C" w:rsidRDefault="007047D9">
          <w:pPr>
            <w:pStyle w:val="TOC2"/>
            <w:tabs>
              <w:tab w:val="right" w:leader="dot" w:pos="9016"/>
            </w:tabs>
            <w:rPr>
              <w:rFonts w:asciiTheme="minorHAnsi" w:eastAsiaTheme="minorEastAsia" w:hAnsiTheme="minorHAnsi"/>
              <w:lang w:val="en-IN" w:eastAsia="en-IN"/>
            </w:rPr>
          </w:pPr>
          <w:hyperlink w:anchor="_Toc240835818">
            <w:r>
              <w:rPr>
                <w:rStyle w:val="IndexLink"/>
                <w:rFonts w:ascii="Calibri" w:hAnsi="Calibri" w:cs="Calibri"/>
                <w:webHidden/>
              </w:rPr>
              <w:t>6.1 Conclusion</w:t>
            </w:r>
            <w:r>
              <w:rPr>
                <w:webHidden/>
              </w:rPr>
              <w:fldChar w:fldCharType="begin"/>
            </w:r>
            <w:r>
              <w:rPr>
                <w:webHidden/>
              </w:rPr>
              <w:instrText>PAGEREF _Toc240835818 \h</w:instrText>
            </w:r>
            <w:r>
              <w:rPr>
                <w:webHidden/>
              </w:rPr>
            </w:r>
            <w:r>
              <w:rPr>
                <w:webHidden/>
              </w:rPr>
              <w:fldChar w:fldCharType="separate"/>
            </w:r>
            <w:r>
              <w:rPr>
                <w:rStyle w:val="IndexLink"/>
              </w:rPr>
              <w:tab/>
              <w:t>51</w:t>
            </w:r>
            <w:r>
              <w:rPr>
                <w:webHidden/>
              </w:rPr>
              <w:fldChar w:fldCharType="end"/>
            </w:r>
          </w:hyperlink>
        </w:p>
        <w:p w14:paraId="3E0FD282" w14:textId="77777777" w:rsidR="00612D3C" w:rsidRDefault="007047D9">
          <w:pPr>
            <w:pStyle w:val="TOC2"/>
            <w:tabs>
              <w:tab w:val="right" w:leader="dot" w:pos="9016"/>
            </w:tabs>
            <w:rPr>
              <w:rFonts w:asciiTheme="minorHAnsi" w:eastAsiaTheme="minorEastAsia" w:hAnsiTheme="minorHAnsi"/>
              <w:lang w:val="en-IN" w:eastAsia="en-IN"/>
            </w:rPr>
          </w:pPr>
          <w:hyperlink w:anchor="_Toc240835819">
            <w:r>
              <w:rPr>
                <w:rStyle w:val="IndexLink"/>
                <w:rFonts w:ascii="Calibri" w:hAnsi="Calibri" w:cs="Calibri"/>
                <w:webHidden/>
              </w:rPr>
              <w:t>6.2 Recommendations</w:t>
            </w:r>
            <w:r>
              <w:rPr>
                <w:webHidden/>
              </w:rPr>
              <w:fldChar w:fldCharType="begin"/>
            </w:r>
            <w:r>
              <w:rPr>
                <w:webHidden/>
              </w:rPr>
              <w:instrText>PAGEREF _Toc240835819 \h</w:instrText>
            </w:r>
            <w:r>
              <w:rPr>
                <w:webHidden/>
              </w:rPr>
            </w:r>
            <w:r>
              <w:rPr>
                <w:webHidden/>
              </w:rPr>
              <w:fldChar w:fldCharType="separate"/>
            </w:r>
            <w:r>
              <w:rPr>
                <w:rStyle w:val="IndexLink"/>
              </w:rPr>
              <w:tab/>
              <w:t>52</w:t>
            </w:r>
            <w:r>
              <w:rPr>
                <w:webHidden/>
              </w:rPr>
              <w:fldChar w:fldCharType="end"/>
            </w:r>
          </w:hyperlink>
        </w:p>
        <w:p w14:paraId="000B8BE3" w14:textId="77777777" w:rsidR="00612D3C" w:rsidRDefault="007047D9">
          <w:pPr>
            <w:pStyle w:val="TOC2"/>
            <w:tabs>
              <w:tab w:val="right" w:leader="dot" w:pos="9016"/>
            </w:tabs>
            <w:rPr>
              <w:rFonts w:asciiTheme="minorHAnsi" w:eastAsiaTheme="minorEastAsia" w:hAnsiTheme="minorHAnsi"/>
              <w:lang w:val="en-IN" w:eastAsia="en-IN"/>
            </w:rPr>
          </w:pPr>
          <w:hyperlink w:anchor="_Toc240835820">
            <w:r>
              <w:rPr>
                <w:rStyle w:val="IndexLink"/>
                <w:rFonts w:ascii="Calibri" w:hAnsi="Calibri" w:cs="Calibri"/>
                <w:webHidden/>
              </w:rPr>
              <w:t>6.3 Practical implications</w:t>
            </w:r>
            <w:r>
              <w:rPr>
                <w:webHidden/>
              </w:rPr>
              <w:fldChar w:fldCharType="begin"/>
            </w:r>
            <w:r>
              <w:rPr>
                <w:webHidden/>
              </w:rPr>
              <w:instrText>PAGEREF _Toc240835820 \h</w:instrText>
            </w:r>
            <w:r>
              <w:rPr>
                <w:webHidden/>
              </w:rPr>
            </w:r>
            <w:r>
              <w:rPr>
                <w:webHidden/>
              </w:rPr>
              <w:fldChar w:fldCharType="separate"/>
            </w:r>
            <w:r>
              <w:rPr>
                <w:rStyle w:val="IndexLink"/>
              </w:rPr>
              <w:tab/>
              <w:t>53</w:t>
            </w:r>
            <w:r>
              <w:rPr>
                <w:webHidden/>
              </w:rPr>
              <w:fldChar w:fldCharType="end"/>
            </w:r>
          </w:hyperlink>
        </w:p>
        <w:p w14:paraId="560241F4" w14:textId="77777777" w:rsidR="00612D3C" w:rsidRDefault="007047D9">
          <w:pPr>
            <w:pStyle w:val="TOC2"/>
            <w:tabs>
              <w:tab w:val="right" w:leader="dot" w:pos="9016"/>
            </w:tabs>
            <w:rPr>
              <w:rFonts w:asciiTheme="minorHAnsi" w:eastAsiaTheme="minorEastAsia" w:hAnsiTheme="minorHAnsi"/>
              <w:lang w:val="en-IN" w:eastAsia="en-IN"/>
            </w:rPr>
          </w:pPr>
          <w:hyperlink w:anchor="_Toc240835821">
            <w:r>
              <w:rPr>
                <w:rStyle w:val="IndexLink"/>
                <w:rFonts w:ascii="Calibri" w:hAnsi="Calibri" w:cs="Calibri"/>
                <w:webHidden/>
              </w:rPr>
              <w:t>6.4 Concluding statement</w:t>
            </w:r>
            <w:r>
              <w:rPr>
                <w:webHidden/>
              </w:rPr>
              <w:fldChar w:fldCharType="begin"/>
            </w:r>
            <w:r>
              <w:rPr>
                <w:webHidden/>
              </w:rPr>
              <w:instrText>PAGEREF _Toc240835821 \h</w:instrText>
            </w:r>
            <w:r>
              <w:rPr>
                <w:webHidden/>
              </w:rPr>
            </w:r>
            <w:r>
              <w:rPr>
                <w:webHidden/>
              </w:rPr>
              <w:fldChar w:fldCharType="separate"/>
            </w:r>
            <w:r>
              <w:rPr>
                <w:rStyle w:val="IndexLink"/>
              </w:rPr>
              <w:tab/>
              <w:t>53</w:t>
            </w:r>
            <w:r>
              <w:rPr>
                <w:webHidden/>
              </w:rPr>
              <w:fldChar w:fldCharType="end"/>
            </w:r>
          </w:hyperlink>
        </w:p>
        <w:p w14:paraId="2FA91A37" w14:textId="77777777" w:rsidR="00612D3C" w:rsidRDefault="007047D9">
          <w:pPr>
            <w:pStyle w:val="TOC1"/>
            <w:tabs>
              <w:tab w:val="right" w:leader="dot" w:pos="9016"/>
            </w:tabs>
            <w:rPr>
              <w:rFonts w:asciiTheme="minorHAnsi" w:eastAsiaTheme="minorEastAsia" w:hAnsiTheme="minorHAnsi"/>
              <w:lang w:val="en-IN" w:eastAsia="en-IN"/>
            </w:rPr>
          </w:pPr>
          <w:hyperlink w:anchor="_Toc240835822">
            <w:r>
              <w:rPr>
                <w:rStyle w:val="IndexLink"/>
                <w:rFonts w:ascii="Calibri" w:hAnsi="Calibri" w:cs="Calibri"/>
                <w:webHidden/>
              </w:rPr>
              <w:t>References</w:t>
            </w:r>
            <w:r>
              <w:rPr>
                <w:webHidden/>
              </w:rPr>
              <w:fldChar w:fldCharType="begin"/>
            </w:r>
            <w:r>
              <w:rPr>
                <w:webHidden/>
              </w:rPr>
              <w:instrText>PAGEREF _Toc240835822 \h</w:instrText>
            </w:r>
            <w:r>
              <w:rPr>
                <w:webHidden/>
              </w:rPr>
            </w:r>
            <w:r>
              <w:rPr>
                <w:webHidden/>
              </w:rPr>
              <w:fldChar w:fldCharType="separate"/>
            </w:r>
            <w:r>
              <w:rPr>
                <w:rStyle w:val="IndexLink"/>
              </w:rPr>
              <w:tab/>
              <w:t>54</w:t>
            </w:r>
            <w:r>
              <w:rPr>
                <w:webHidden/>
              </w:rPr>
              <w:fldChar w:fldCharType="end"/>
            </w:r>
          </w:hyperlink>
        </w:p>
        <w:p w14:paraId="055F78AA" w14:textId="77777777" w:rsidR="00612D3C" w:rsidRDefault="007047D9">
          <w:pPr>
            <w:pStyle w:val="TOC1"/>
            <w:tabs>
              <w:tab w:val="right" w:leader="dot" w:pos="9016"/>
            </w:tabs>
            <w:rPr>
              <w:rFonts w:asciiTheme="minorHAnsi" w:eastAsiaTheme="minorEastAsia" w:hAnsiTheme="minorHAnsi"/>
              <w:lang w:val="en-IN" w:eastAsia="en-IN"/>
            </w:rPr>
          </w:pPr>
          <w:hyperlink w:anchor="_Toc240835823">
            <w:r>
              <w:rPr>
                <w:rStyle w:val="IndexLink"/>
                <w:rFonts w:ascii="Calibri" w:hAnsi="Calibri" w:cs="Calibri"/>
                <w:webHidden/>
              </w:rPr>
              <w:t>Appendix</w:t>
            </w:r>
            <w:r>
              <w:rPr>
                <w:webHidden/>
              </w:rPr>
              <w:fldChar w:fldCharType="begin"/>
            </w:r>
            <w:r>
              <w:rPr>
                <w:webHidden/>
              </w:rPr>
              <w:instrText>PAGEREF _Toc240835823 \h</w:instrText>
            </w:r>
            <w:r>
              <w:rPr>
                <w:webHidden/>
              </w:rPr>
            </w:r>
            <w:r>
              <w:rPr>
                <w:webHidden/>
              </w:rPr>
              <w:fldChar w:fldCharType="separate"/>
            </w:r>
            <w:r>
              <w:rPr>
                <w:rStyle w:val="IndexLink"/>
              </w:rPr>
              <w:tab/>
              <w:t>63</w:t>
            </w:r>
            <w:r>
              <w:rPr>
                <w:webHidden/>
              </w:rPr>
              <w:fldChar w:fldCharType="end"/>
            </w:r>
          </w:hyperlink>
        </w:p>
        <w:p w14:paraId="3AA4CC94" w14:textId="77777777" w:rsidR="00612D3C" w:rsidRDefault="007047D9">
          <w:pPr>
            <w:pStyle w:val="TOC2"/>
            <w:tabs>
              <w:tab w:val="right" w:leader="dot" w:pos="9016"/>
            </w:tabs>
            <w:rPr>
              <w:rFonts w:asciiTheme="minorHAnsi" w:eastAsiaTheme="minorEastAsia" w:hAnsiTheme="minorHAnsi"/>
              <w:lang w:val="en-IN" w:eastAsia="en-IN"/>
            </w:rPr>
          </w:pPr>
          <w:hyperlink w:anchor="_Toc240835824">
            <w:r>
              <w:rPr>
                <w:rStyle w:val="IndexLink"/>
                <w:rFonts w:ascii="Calibri" w:hAnsi="Calibri" w:cs="Calibri"/>
                <w:webHidden/>
              </w:rPr>
              <w:t>Survey Questionnaire</w:t>
            </w:r>
            <w:r>
              <w:rPr>
                <w:webHidden/>
              </w:rPr>
              <w:fldChar w:fldCharType="begin"/>
            </w:r>
            <w:r>
              <w:rPr>
                <w:webHidden/>
              </w:rPr>
              <w:instrText>PAGEREF _Toc240835824 \h</w:instrText>
            </w:r>
            <w:r>
              <w:rPr>
                <w:webHidden/>
              </w:rPr>
            </w:r>
            <w:r>
              <w:rPr>
                <w:webHidden/>
              </w:rPr>
              <w:fldChar w:fldCharType="separate"/>
            </w:r>
            <w:r>
              <w:rPr>
                <w:rStyle w:val="IndexLink"/>
              </w:rPr>
              <w:tab/>
              <w:t>63</w:t>
            </w:r>
            <w:r>
              <w:rPr>
                <w:webHidden/>
              </w:rPr>
              <w:fldChar w:fldCharType="end"/>
            </w:r>
          </w:hyperlink>
        </w:p>
        <w:p w14:paraId="5F4913CB" w14:textId="77777777" w:rsidR="00612D3C" w:rsidRDefault="007047D9">
          <w:pPr>
            <w:spacing w:line="276" w:lineRule="auto"/>
            <w:rPr>
              <w:rFonts w:ascii="Calibri" w:hAnsi="Calibri" w:cs="Calibri"/>
              <w:sz w:val="20"/>
              <w:szCs w:val="20"/>
            </w:rPr>
          </w:pPr>
          <w:r>
            <w:rPr>
              <w:rFonts w:ascii="Calibri" w:hAnsi="Calibri" w:cs="Calibri"/>
              <w:sz w:val="20"/>
              <w:szCs w:val="20"/>
            </w:rPr>
            <w:fldChar w:fldCharType="end"/>
          </w:r>
        </w:p>
      </w:sdtContent>
    </w:sdt>
    <w:p w14:paraId="11893E45" w14:textId="77777777" w:rsidR="00612D3C" w:rsidRDefault="007047D9">
      <w:pPr>
        <w:pStyle w:val="Heading1"/>
        <w:rPr>
          <w:rFonts w:ascii="Calibri" w:hAnsi="Calibri" w:cs="Calibri"/>
        </w:rPr>
      </w:pPr>
      <w:r>
        <w:br w:type="page"/>
      </w:r>
      <w:bookmarkStart w:id="2" w:name="_Toc240835761"/>
      <w:r>
        <w:rPr>
          <w:rFonts w:ascii="Calibri" w:hAnsi="Calibri" w:cs="Calibri"/>
        </w:rPr>
        <w:t>1. INTRODUCTION</w:t>
      </w:r>
      <w:bookmarkEnd w:id="2"/>
    </w:p>
    <w:p w14:paraId="5926A9A4" w14:textId="77777777" w:rsidR="00612D3C" w:rsidRDefault="007047D9">
      <w:pPr>
        <w:rPr>
          <w:rFonts w:ascii="Calibri" w:hAnsi="Calibri" w:cs="Calibri"/>
        </w:rPr>
      </w:pPr>
      <w:r>
        <w:rPr>
          <w:rFonts w:ascii="Calibri" w:hAnsi="Calibri" w:cs="Calibri"/>
        </w:rPr>
        <w:t>The introduction chapter lays emphasis on presenting the background and focus of the study.  The chapter illustrates the rationale and importance of the research, while describing the problem, defining the aim and objectives, scope, and theoretical backgrounds that support the investigation of Tesco digital loyalty strategies and their role in customer retention.</w:t>
      </w:r>
    </w:p>
    <w:p w14:paraId="3B46EAD8" w14:textId="77777777" w:rsidR="00612D3C" w:rsidRDefault="007047D9">
      <w:pPr>
        <w:pStyle w:val="Heading2"/>
        <w:rPr>
          <w:rFonts w:ascii="Calibri" w:hAnsi="Calibri" w:cs="Calibri"/>
        </w:rPr>
      </w:pPr>
      <w:bookmarkStart w:id="3" w:name="_Toc240835762"/>
      <w:r>
        <w:rPr>
          <w:rFonts w:ascii="Calibri" w:hAnsi="Calibri" w:cs="Calibri"/>
        </w:rPr>
        <w:t>1.1 Introduction</w:t>
      </w:r>
      <w:bookmarkEnd w:id="3"/>
    </w:p>
    <w:p w14:paraId="2AAC3A62" w14:textId="77777777" w:rsidR="00612D3C" w:rsidRDefault="007047D9">
      <w:pPr>
        <w:rPr>
          <w:rFonts w:ascii="Calibri" w:hAnsi="Calibri" w:cs="Calibri"/>
        </w:rPr>
      </w:pPr>
      <w:r>
        <w:rPr>
          <w:rFonts w:ascii="Calibri" w:hAnsi="Calibri" w:cs="Calibri"/>
        </w:rPr>
        <w:t>In recent times, customer loyalty in grocery retail sector has shifted its character from in-store relationships to a matter of data-driven and technology-enabled interactions. In this context, opportunities like personalisation of offers, monitoring of buying behaviour, and retention with the help of analytics are offered by mobile-based loyalty applications. The Tesco PLC Annual Report 2024 revealed that nowadays more than 80 percent of UK transactions are connected with its Clubcard loyalty app program, which supports 23 million households and over 11 million monthly active users of the app (Tesco PLC, 2024). This places Tesco as one of the leaders in the digital retail analytics and customer relationship management across the globe.</w:t>
      </w:r>
    </w:p>
    <w:p w14:paraId="2C489A3E" w14:textId="77777777" w:rsidR="00612D3C" w:rsidRDefault="007047D9">
      <w:pPr>
        <w:rPr>
          <w:rFonts w:ascii="Calibri" w:hAnsi="Calibri" w:cs="Calibri"/>
        </w:rPr>
      </w:pPr>
      <w:r>
        <w:rPr>
          <w:rFonts w:ascii="Calibri" w:hAnsi="Calibri" w:cs="Calibri"/>
        </w:rPr>
        <w:t>In terms of digital services, it has been found that trust and satisfaction are key determinants in customer retention and repeat purchases. Talwar et al. (2020) asserted that perceived risk during initial trust is reduced and post-adoption satisfaction is increased in mobile-payment systems. Poromatikul et al. (2020) claimed that perceived usefulness, reliability and ease of use lead to repeat intention in mobile-banking applications. These lessons are reflected on Tesco digital loyalty ecosystem, where retention is based on technological reliability and user trust.</w:t>
      </w:r>
    </w:p>
    <w:p w14:paraId="785211CA" w14:textId="77777777" w:rsidR="00612D3C" w:rsidRDefault="007047D9">
      <w:pPr>
        <w:rPr>
          <w:rFonts w:ascii="Calibri" w:hAnsi="Calibri" w:cs="Calibri"/>
        </w:rPr>
      </w:pPr>
      <w:r>
        <w:rPr>
          <w:rFonts w:ascii="Calibri" w:hAnsi="Calibri" w:cs="Calibri"/>
        </w:rPr>
        <w:t>In the Tesco marketing model, the customers become actively involved in the co-creation of loyalty. As Patel and Swamy (2023) observed, Tesco is dynamic in how it seeks feedback and evolves the services based on its customer responses to maintain engagement by making customers the partners of the company instead of a passive recipient. The perceived fairness and personalisation of Clubcard and the development of emotional attachment and brand trust to create long-term commitment were also confirmed by Azan and Karimah (2022).</w:t>
      </w:r>
    </w:p>
    <w:p w14:paraId="7F816758" w14:textId="77777777" w:rsidR="00612D3C" w:rsidRDefault="007047D9">
      <w:pPr>
        <w:rPr>
          <w:rFonts w:ascii="Calibri" w:hAnsi="Calibri" w:cs="Calibri"/>
        </w:rPr>
      </w:pPr>
      <w:r>
        <w:rPr>
          <w:rFonts w:ascii="Calibri" w:hAnsi="Calibri" w:cs="Calibri"/>
        </w:rPr>
        <w:t>This strategy is supported by operational capability. According to Meng (2024), one of the essential enablers of customer-focused implementation at Tesco is automation and real-time analytics with the help of Dunnhumby data integration. These systems enable micro-segmentation, predictive marketing and coordinated logistics that bring raw data to actionable insights and enhanced satisfaction. On a more general level, Hughes (2021) found that incentives based on Clubcard affect non-grocery consumer spending, including housing spending, which indicates that digital loyalty platforms can redefine more economic behaviours.</w:t>
      </w:r>
    </w:p>
    <w:p w14:paraId="226689A4" w14:textId="77777777" w:rsidR="00612D3C" w:rsidRDefault="007047D9">
      <w:pPr>
        <w:rPr>
          <w:rFonts w:ascii="Calibri" w:hAnsi="Calibri" w:cs="Calibri"/>
        </w:rPr>
      </w:pPr>
      <w:r>
        <w:rPr>
          <w:rFonts w:ascii="Calibri" w:hAnsi="Calibri" w:cs="Calibri"/>
        </w:rPr>
        <w:t>All in all, the literature represents Tesco as Clubcard both as a data-heavy infrastructure and a behavioural engine that binds trust, personalisation and operational accuracy to long-term customer relationships.</w:t>
      </w:r>
    </w:p>
    <w:p w14:paraId="52BB16FE" w14:textId="77777777" w:rsidR="00612D3C" w:rsidRDefault="007047D9">
      <w:pPr>
        <w:pStyle w:val="Heading2"/>
        <w:rPr>
          <w:rFonts w:ascii="Calibri" w:hAnsi="Calibri" w:cs="Calibri"/>
        </w:rPr>
      </w:pPr>
      <w:bookmarkStart w:id="4" w:name="_Toc240835763"/>
      <w:r>
        <w:rPr>
          <w:rFonts w:ascii="Calibri" w:hAnsi="Calibri" w:cs="Calibri"/>
        </w:rPr>
        <w:t>1.2 Rationale of Study</w:t>
      </w:r>
      <w:bookmarkEnd w:id="4"/>
    </w:p>
    <w:p w14:paraId="6E6DF3E0" w14:textId="77777777" w:rsidR="00612D3C" w:rsidRDefault="007047D9">
      <w:pPr>
        <w:rPr>
          <w:rFonts w:ascii="Calibri" w:hAnsi="Calibri" w:cs="Calibri"/>
        </w:rPr>
      </w:pPr>
      <w:r>
        <w:t>Although Clubcard has been widely adopted, digital saturation makes it harder for Tesco to sustain long-term differentiation. Tesco competes with app-based loyalty systems such as Sainsbury's Nectar, which provides personalised Nectar Prices through its app, and Lidl Plus, which offers tailored coupons and weekly member offers (J Sainsbury plc, 2025; Lidl GB, n.d.). As competitors provide similar digital savings and personalisation, continued advantage depends less on initial sign-up and more on whether customers keep finding the app reliable and useful. Talwar et al. (2020) show that trust is important at initial adoption, while Poromatikul et al. (2020) find that continued use depends on sustained satisfaction, reliability and usefulness.</w:t>
      </w:r>
    </w:p>
    <w:p w14:paraId="0B31BDE8" w14:textId="77777777" w:rsidR="00612D3C" w:rsidRDefault="007047D9">
      <w:pPr>
        <w:rPr>
          <w:rFonts w:ascii="Calibri" w:hAnsi="Calibri" w:cs="Calibri"/>
          <w:color w:val="000000"/>
        </w:rPr>
      </w:pPr>
      <w:r>
        <w:rPr>
          <w:rFonts w:ascii="Calibri" w:hAnsi="Calibri" w:cs="Calibri"/>
        </w:rPr>
        <w:t xml:space="preserve">According to the reports provided by Tesco, the use is high, but the growth in active involvement is slowing down, which means that the effect of novelty could have reached its limits (Tesco PLC, 2024). Retention maintenance consequently means being constantly up to the task and avoiding experience burnout. </w:t>
      </w:r>
      <w:r>
        <w:rPr>
          <w:rFonts w:ascii="Calibri" w:hAnsi="Calibri" w:cs="Calibri"/>
          <w:color w:val="000000"/>
        </w:rPr>
        <w:t>Wolniak et al. (2024) noted that AI, augmentation reality, and self-scanning can increase efficiency, but can also undermine trust or usability among specific customers. Therefore, technological innovation does not necessarily mean satisfaction, and its success depends on its intelligent design, transparency, and value. In the case of Tesco, a loss of convenience or clarity in pricing will result in compromised trust even though the number of users is high.</w:t>
      </w:r>
    </w:p>
    <w:p w14:paraId="0E4F258E" w14:textId="77777777" w:rsidR="00612D3C" w:rsidRDefault="007047D9">
      <w:pPr>
        <w:rPr>
          <w:rFonts w:ascii="Calibri" w:hAnsi="Calibri" w:cs="Calibri"/>
        </w:rPr>
      </w:pPr>
      <w:r>
        <w:rPr>
          <w:rFonts w:ascii="Calibri" w:hAnsi="Calibri" w:cs="Calibri"/>
        </w:rPr>
        <w:t>Moreover, the equality of data-analytics among large retailers reduces differentiation. Hartfield (2024) suggested that the competitive ability to overcome data barriers has become the hallmark of competitive strength, due to its greater and greater influence on market advantage. Failure to create higher perceived value (in terms of the appropriate offers, fair pricing, and ethical data handling) by the ecosystem of Tesco means that this company may lose its strategic advantage. The issue at hand then is on whether digital loyalty is a viable retention tool in the event that technological convenience is unanimous among competitors.</w:t>
      </w:r>
    </w:p>
    <w:p w14:paraId="0D607BE0" w14:textId="77777777" w:rsidR="00612D3C" w:rsidRDefault="007047D9">
      <w:pPr>
        <w:pStyle w:val="Heading2"/>
        <w:rPr>
          <w:rFonts w:ascii="Calibri" w:hAnsi="Calibri" w:cs="Calibri"/>
        </w:rPr>
      </w:pPr>
      <w:bookmarkStart w:id="5" w:name="_Toc240835764"/>
      <w:r>
        <w:rPr>
          <w:rFonts w:ascii="Calibri" w:hAnsi="Calibri" w:cs="Calibri"/>
        </w:rPr>
        <w:t>1.3 Research Objectives</w:t>
      </w:r>
      <w:bookmarkEnd w:id="5"/>
    </w:p>
    <w:p w14:paraId="497CF832" w14:textId="77777777" w:rsidR="00612D3C" w:rsidRDefault="007047D9">
      <w:pPr>
        <w:spacing w:line="278" w:lineRule="auto"/>
        <w:rPr>
          <w:rFonts w:ascii="Calibri" w:hAnsi="Calibri" w:cs="Calibri"/>
        </w:rPr>
      </w:pPr>
      <w:r>
        <w:rPr>
          <w:rFonts w:ascii="Calibri" w:hAnsi="Calibri" w:cs="Calibri"/>
        </w:rPr>
        <w:t>The purpose of this study is to discuss the efficacy of Tesco’s Clubcard loyalty application in maintaining customer loyalty within the UK grocery sector.</w:t>
      </w:r>
    </w:p>
    <w:p w14:paraId="5A4A7C5D" w14:textId="77777777" w:rsidR="00612D3C" w:rsidRDefault="007047D9">
      <w:pPr>
        <w:spacing w:line="278" w:lineRule="auto"/>
        <w:rPr>
          <w:rFonts w:ascii="Calibri" w:hAnsi="Calibri" w:cs="Calibri"/>
        </w:rPr>
      </w:pPr>
      <w:r>
        <w:rPr>
          <w:rFonts w:ascii="Calibri" w:hAnsi="Calibri" w:cs="Calibri"/>
        </w:rPr>
        <w:t>The specific objectives are:</w:t>
      </w:r>
    </w:p>
    <w:p w14:paraId="7691F2B1" w14:textId="77777777" w:rsidR="00612D3C" w:rsidRDefault="007047D9">
      <w:pPr>
        <w:ind w:left="720"/>
        <w:rPr>
          <w:rFonts w:ascii="Calibri" w:hAnsi="Calibri" w:cs="Calibri"/>
        </w:rPr>
      </w:pPr>
      <w:r>
        <w:rPr>
          <w:rFonts w:ascii="Calibri" w:hAnsi="Calibri" w:cs="Calibri"/>
        </w:rPr>
        <w:t>1. To evaluate the relationship between Tesco Clubcard app features and customer satisfaction</w:t>
      </w:r>
    </w:p>
    <w:p w14:paraId="58187A9E" w14:textId="77777777" w:rsidR="00612D3C" w:rsidRDefault="007047D9">
      <w:pPr>
        <w:ind w:left="720"/>
        <w:rPr>
          <w:rFonts w:ascii="Calibri" w:hAnsi="Calibri" w:cs="Calibri"/>
        </w:rPr>
      </w:pPr>
      <w:r>
        <w:t>2. To examine the relationships between frequency of app use, customer satisfaction and self-reported loyalty</w:t>
      </w:r>
    </w:p>
    <w:p w14:paraId="3E24E514" w14:textId="77777777" w:rsidR="00612D3C" w:rsidRDefault="007047D9">
      <w:pPr>
        <w:ind w:left="720"/>
        <w:rPr>
          <w:rFonts w:ascii="Calibri" w:hAnsi="Calibri" w:cs="Calibri"/>
        </w:rPr>
      </w:pPr>
      <w:r>
        <w:rPr>
          <w:rFonts w:ascii="Calibri" w:hAnsi="Calibri" w:cs="Calibri"/>
        </w:rPr>
        <w:t>3. To measure customer perceptions of digital engagement tools such as gamification and push notifications</w:t>
      </w:r>
    </w:p>
    <w:p w14:paraId="2874F666" w14:textId="77777777" w:rsidR="00612D3C" w:rsidRDefault="007047D9">
      <w:pPr>
        <w:spacing w:line="278" w:lineRule="auto"/>
        <w:ind w:left="720"/>
        <w:rPr>
          <w:rFonts w:ascii="Calibri" w:hAnsi="Calibri" w:cs="Calibri"/>
        </w:rPr>
      </w:pPr>
      <w:r>
        <w:t>4. To identify which measured Clubcard app features are statistically significant predictors of customer satisfaction</w:t>
      </w:r>
    </w:p>
    <w:p w14:paraId="2A1D817F" w14:textId="77777777" w:rsidR="00612D3C" w:rsidRDefault="007047D9">
      <w:pPr>
        <w:pStyle w:val="Heading2"/>
        <w:rPr>
          <w:rFonts w:ascii="Calibri" w:hAnsi="Calibri" w:cs="Calibri"/>
        </w:rPr>
      </w:pPr>
      <w:bookmarkStart w:id="6" w:name="_Toc240835765"/>
      <w:r>
        <w:rPr>
          <w:rFonts w:ascii="Calibri" w:hAnsi="Calibri" w:cs="Calibri"/>
        </w:rPr>
        <w:t>1.4 Research Questions</w:t>
      </w:r>
      <w:bookmarkEnd w:id="6"/>
    </w:p>
    <w:p w14:paraId="48FDA1D4" w14:textId="77777777" w:rsidR="00612D3C" w:rsidRDefault="007047D9">
      <w:pPr>
        <w:rPr>
          <w:rFonts w:ascii="Calibri" w:hAnsi="Calibri" w:cs="Calibri"/>
        </w:rPr>
      </w:pPr>
      <w:r>
        <w:rPr>
          <w:rFonts w:ascii="Calibri" w:hAnsi="Calibri" w:cs="Calibri"/>
        </w:rPr>
        <w:t>1. How does the app features (such as ease of use, usefulness, personalisation, rewards) of Tesco Clubcard influence the satisfaction level of customers?</w:t>
      </w:r>
    </w:p>
    <w:p w14:paraId="453620CD" w14:textId="77777777" w:rsidR="00612D3C" w:rsidRDefault="007047D9">
      <w:pPr>
        <w:rPr>
          <w:rFonts w:ascii="Calibri" w:hAnsi="Calibri" w:cs="Calibri"/>
        </w:rPr>
      </w:pPr>
      <w:r>
        <w:t>2. How are app-use frequency, customer satisfaction and self-reported loyalty related?</w:t>
      </w:r>
    </w:p>
    <w:p w14:paraId="489529B2" w14:textId="77777777" w:rsidR="00612D3C" w:rsidRDefault="007047D9">
      <w:pPr>
        <w:rPr>
          <w:rFonts w:ascii="Calibri" w:hAnsi="Calibri" w:cs="Calibri"/>
        </w:rPr>
      </w:pPr>
      <w:r>
        <w:rPr>
          <w:rFonts w:ascii="Calibri" w:hAnsi="Calibri" w:cs="Calibri"/>
        </w:rPr>
        <w:t>3. What are perceptions of customers regarding digital engagement tools such as gamification and push notifications in Tesco Clubcard app?</w:t>
      </w:r>
    </w:p>
    <w:p w14:paraId="1D6D679C" w14:textId="77777777" w:rsidR="00612D3C" w:rsidRDefault="007047D9">
      <w:pPr>
        <w:spacing w:line="278" w:lineRule="auto"/>
        <w:rPr>
          <w:rFonts w:ascii="Calibri" w:hAnsi="Calibri" w:cs="Calibri"/>
        </w:rPr>
      </w:pPr>
      <w:r>
        <w:t>4. Which measured Clubcard app features—ease of use, perceived usefulness, personalisation, rewards, gamification, push notifications and app performance—are statistically significant predictors of customer satisfaction?</w:t>
      </w:r>
    </w:p>
    <w:p w14:paraId="092C8C44" w14:textId="77777777" w:rsidR="00612D3C" w:rsidRDefault="007047D9">
      <w:pPr>
        <w:pStyle w:val="Heading2"/>
        <w:rPr>
          <w:rFonts w:ascii="Calibri" w:hAnsi="Calibri" w:cs="Calibri"/>
        </w:rPr>
      </w:pPr>
      <w:bookmarkStart w:id="7" w:name="_Toc240835766"/>
      <w:r>
        <w:rPr>
          <w:rFonts w:ascii="Calibri" w:hAnsi="Calibri" w:cs="Calibri"/>
        </w:rPr>
        <w:t>1.5 Justification</w:t>
      </w:r>
      <w:bookmarkEnd w:id="7"/>
    </w:p>
    <w:p w14:paraId="0D0DAFD9" w14:textId="77777777" w:rsidR="00612D3C" w:rsidRDefault="007047D9">
      <w:pPr>
        <w:rPr>
          <w:rFonts w:ascii="Calibri" w:hAnsi="Calibri" w:cs="Calibri"/>
          <w:color w:val="000000"/>
        </w:rPr>
      </w:pPr>
      <w:r>
        <w:rPr>
          <w:rFonts w:ascii="Calibri" w:hAnsi="Calibri" w:cs="Calibri"/>
          <w:color w:val="000000"/>
        </w:rPr>
        <w:t>The significance of Tesco’s digital loyalty system in the macroeconomics perspective is especially important in cases where household spending power for groceries is being affected. In cases where food prices go up, the customers will be more aware of the value, discounts, and other benefits they will get through loyalty programs. Tesco’s Clubcard will thus be able to assist in retaining customers with customised offers and discounts that may enhance the value that they get in the loyalty program (Hughes, 2021). However, retention should not rely on discounts alone, since there are times when customers will discontinue using the loyalty program if the benefits offered to them are not relevant anymore or if competitors offer similar benefits. The success of the Clubcard app should thus be gauged based on its ability to offer customers value in addition to convenience and personalisation.</w:t>
      </w:r>
    </w:p>
    <w:p w14:paraId="611FD293" w14:textId="77777777" w:rsidR="00612D3C" w:rsidRDefault="007047D9">
      <w:pPr>
        <w:pStyle w:val="Heading2"/>
        <w:rPr>
          <w:rFonts w:ascii="Calibri" w:hAnsi="Calibri" w:cs="Calibri"/>
        </w:rPr>
      </w:pPr>
      <w:bookmarkStart w:id="8" w:name="_Toc240835767"/>
      <w:r>
        <w:rPr>
          <w:rFonts w:ascii="Calibri" w:hAnsi="Calibri" w:cs="Calibri"/>
        </w:rPr>
        <w:t>1.6 Scope</w:t>
      </w:r>
      <w:bookmarkEnd w:id="8"/>
    </w:p>
    <w:p w14:paraId="1CDE3AD4" w14:textId="77777777" w:rsidR="00612D3C" w:rsidRDefault="007047D9">
      <w:pPr>
        <w:rPr>
          <w:rFonts w:ascii="Calibri" w:hAnsi="Calibri" w:cs="Calibri"/>
        </w:rPr>
      </w:pPr>
      <w:r>
        <w:t>This study focuses on Tesco's UK operations and the Clubcard mobile app as a customer-retention tool. It examines perceived ease of use, usefulness, personalisation, reward value, gamification, push notifications, app performance, satisfaction and two self-reported loyalty outcomes. The quantitative analysis is based on 150 survey responses.</w:t>
      </w:r>
    </w:p>
    <w:p w14:paraId="1483A04C" w14:textId="77777777" w:rsidR="00612D3C" w:rsidRDefault="007047D9">
      <w:pPr>
        <w:pStyle w:val="Heading2"/>
        <w:rPr>
          <w:rFonts w:ascii="Calibri" w:hAnsi="Calibri" w:cs="Calibri"/>
        </w:rPr>
      </w:pPr>
      <w:bookmarkStart w:id="9" w:name="_Toc240835768"/>
      <w:r>
        <w:rPr>
          <w:rFonts w:ascii="Calibri" w:hAnsi="Calibri" w:cs="Calibri"/>
        </w:rPr>
        <w:t>1.7 Limitations</w:t>
      </w:r>
      <w:bookmarkEnd w:id="9"/>
    </w:p>
    <w:p w14:paraId="18A94FD0" w14:textId="77777777" w:rsidR="00612D3C" w:rsidRDefault="007047D9">
      <w:pPr>
        <w:rPr>
          <w:rFonts w:ascii="Calibri" w:hAnsi="Calibri" w:cs="Calibri"/>
        </w:rPr>
      </w:pPr>
      <w:r>
        <w:rPr>
          <w:rFonts w:ascii="Calibri" w:hAnsi="Calibri" w:cs="Calibri"/>
        </w:rPr>
        <w:t>This study has a number of limitations on its generalisability. The sample used of 150 is a limitation to the statistical power, and might not be a sample that represents the total population of UK Clubcard users. The cross-sectional format measures the perceptions at one point and longitudinal examination of variations in satisfaction or loyalty is not possible. The survey can be prone to common-method bias or social-desirability effects as it is a self-reported summary. Satisfaction might also be influenced by external variables (price inflation, competitor promotions, or disruption of the supply-chain) without depending on the quality of the app.</w:t>
      </w:r>
    </w:p>
    <w:p w14:paraId="3267ADFD" w14:textId="77777777" w:rsidR="00612D3C" w:rsidRDefault="007047D9">
      <w:pPr>
        <w:rPr>
          <w:rFonts w:ascii="Calibri" w:hAnsi="Calibri" w:cs="Calibri"/>
        </w:rPr>
      </w:pPr>
      <w:r>
        <w:rPr>
          <w:rFonts w:ascii="Calibri" w:hAnsi="Calibri" w:cs="Calibri"/>
        </w:rPr>
        <w:t>These limitations reflect those that have been recognised in the previous studies. According to Singh et al. (2021), SERVQUAL determines the areas of perception differences as opposed to quantifiable service performance, and Wolniak et al. (2024) pointed out that the technological measurements usually fail to consider user diversity and situational factors. The awareness of these limits will also make it clear that the results will be reflective of perceptual and not universal realities, which will lead to a more transparent interpretation of the findings in their operational and temporal conditions.</w:t>
      </w:r>
    </w:p>
    <w:p w14:paraId="4E8A8B11" w14:textId="77777777" w:rsidR="00612D3C" w:rsidRDefault="007047D9">
      <w:pPr>
        <w:pStyle w:val="Heading2"/>
        <w:rPr>
          <w:rFonts w:ascii="Calibri" w:hAnsi="Calibri" w:cs="Calibri"/>
        </w:rPr>
      </w:pPr>
      <w:bookmarkStart w:id="10" w:name="_Toc240835769"/>
      <w:r>
        <w:rPr>
          <w:rFonts w:ascii="Calibri" w:hAnsi="Calibri" w:cs="Calibri"/>
        </w:rPr>
        <w:t>1.8 Structure of the thesis</w:t>
      </w:r>
      <w:bookmarkEnd w:id="10"/>
    </w:p>
    <w:p w14:paraId="3405E1F2" w14:textId="77777777" w:rsidR="00612D3C" w:rsidRDefault="007047D9">
      <w:pPr>
        <w:rPr>
          <w:rFonts w:ascii="Calibri" w:hAnsi="Calibri" w:cs="Calibri"/>
          <w:i/>
          <w:iCs/>
        </w:rPr>
      </w:pPr>
      <w:r>
        <w:rPr>
          <w:rFonts w:ascii="Calibri" w:hAnsi="Calibri" w:cs="Calibri"/>
          <w:i/>
          <w:iCs/>
        </w:rPr>
        <w:t>Chapter 1: Introduction</w:t>
      </w:r>
    </w:p>
    <w:p w14:paraId="60B9C16D" w14:textId="77777777" w:rsidR="00612D3C" w:rsidRDefault="007047D9">
      <w:pPr>
        <w:rPr>
          <w:rFonts w:ascii="Calibri" w:hAnsi="Calibri" w:cs="Calibri"/>
        </w:rPr>
      </w:pPr>
      <w:r>
        <w:rPr>
          <w:rFonts w:ascii="Calibri" w:hAnsi="Calibri" w:cs="Calibri"/>
        </w:rPr>
        <w:t>Offers background, problem statement, research aim, objectives, questions, justification, scope and limitations.</w:t>
      </w:r>
    </w:p>
    <w:p w14:paraId="513E5B7F" w14:textId="77777777" w:rsidR="00612D3C" w:rsidRDefault="007047D9">
      <w:pPr>
        <w:rPr>
          <w:rFonts w:ascii="Calibri" w:hAnsi="Calibri" w:cs="Calibri"/>
          <w:i/>
          <w:iCs/>
        </w:rPr>
      </w:pPr>
      <w:r>
        <w:rPr>
          <w:rFonts w:ascii="Calibri" w:hAnsi="Calibri" w:cs="Calibri"/>
          <w:i/>
          <w:iCs/>
        </w:rPr>
        <w:t>Chapter 2: Literature Review</w:t>
      </w:r>
    </w:p>
    <w:p w14:paraId="6048FC5D" w14:textId="77777777" w:rsidR="00612D3C" w:rsidRDefault="007047D9">
      <w:pPr>
        <w:rPr>
          <w:rFonts w:ascii="Calibri" w:hAnsi="Calibri" w:cs="Calibri"/>
        </w:rPr>
      </w:pPr>
      <w:r>
        <w:rPr>
          <w:rFonts w:ascii="Calibri" w:hAnsi="Calibri" w:cs="Calibri"/>
        </w:rPr>
        <w:t>Thoughtfully reviews the scholarly concepts and empirical research, maps out the conceptual themes, gaps in the research, and the theoretical framework.</w:t>
      </w:r>
    </w:p>
    <w:p w14:paraId="6B0664D5" w14:textId="77777777" w:rsidR="00612D3C" w:rsidRDefault="007047D9">
      <w:pPr>
        <w:rPr>
          <w:rFonts w:ascii="Calibri" w:hAnsi="Calibri" w:cs="Calibri"/>
          <w:i/>
          <w:iCs/>
        </w:rPr>
      </w:pPr>
      <w:r>
        <w:rPr>
          <w:rFonts w:ascii="Calibri" w:hAnsi="Calibri" w:cs="Calibri"/>
          <w:i/>
          <w:iCs/>
        </w:rPr>
        <w:t>Chapter 3: Methodology</w:t>
      </w:r>
    </w:p>
    <w:p w14:paraId="6F57328B" w14:textId="77777777" w:rsidR="00612D3C" w:rsidRDefault="007047D9">
      <w:pPr>
        <w:rPr>
          <w:rFonts w:ascii="Calibri" w:hAnsi="Calibri" w:cs="Calibri"/>
        </w:rPr>
      </w:pPr>
      <w:r>
        <w:rPr>
          <w:rFonts w:ascii="Calibri" w:hAnsi="Calibri" w:cs="Calibri"/>
        </w:rPr>
        <w:t>Outlines the philosophy of research (positivism), design (quantitative survey), sampling, questionnaire design, data collection, ethical issues, and analysis processes.</w:t>
      </w:r>
    </w:p>
    <w:p w14:paraId="7F3ADF60" w14:textId="77777777" w:rsidR="00612D3C" w:rsidRDefault="007047D9">
      <w:pPr>
        <w:rPr>
          <w:rFonts w:ascii="Calibri" w:hAnsi="Calibri" w:cs="Calibri"/>
          <w:i/>
          <w:iCs/>
        </w:rPr>
      </w:pPr>
      <w:r>
        <w:rPr>
          <w:rFonts w:ascii="Calibri" w:hAnsi="Calibri" w:cs="Calibri"/>
          <w:i/>
          <w:iCs/>
        </w:rPr>
        <w:t>Chapter 4: Analysis and results of the data.</w:t>
      </w:r>
    </w:p>
    <w:p w14:paraId="109860D6" w14:textId="77777777" w:rsidR="00612D3C" w:rsidRDefault="007047D9">
      <w:pPr>
        <w:rPr>
          <w:rFonts w:ascii="Calibri" w:hAnsi="Calibri" w:cs="Calibri"/>
        </w:rPr>
      </w:pPr>
      <w:r>
        <w:rPr>
          <w:rFonts w:ascii="Calibri" w:hAnsi="Calibri" w:cs="Calibri"/>
        </w:rPr>
        <w:t>Presents will provide descriptive statistics, reliability tests, and correlation of variables after which results of the surveys will be interpreted.</w:t>
      </w:r>
    </w:p>
    <w:p w14:paraId="40C7A811" w14:textId="77777777" w:rsidR="00612D3C" w:rsidRDefault="007047D9">
      <w:pPr>
        <w:rPr>
          <w:rFonts w:ascii="Calibri" w:hAnsi="Calibri" w:cs="Calibri"/>
          <w:i/>
          <w:iCs/>
        </w:rPr>
      </w:pPr>
      <w:r>
        <w:rPr>
          <w:rFonts w:ascii="Calibri" w:hAnsi="Calibri" w:cs="Calibri"/>
          <w:i/>
          <w:iCs/>
        </w:rPr>
        <w:t>Chapter 5: Discussion</w:t>
      </w:r>
    </w:p>
    <w:p w14:paraId="4687621A" w14:textId="77777777" w:rsidR="00612D3C" w:rsidRDefault="007047D9">
      <w:pPr>
        <w:rPr>
          <w:rFonts w:ascii="Calibri" w:hAnsi="Calibri" w:cs="Calibri"/>
        </w:rPr>
      </w:pPr>
      <w:r>
        <w:rPr>
          <w:rFonts w:ascii="Calibri" w:hAnsi="Calibri" w:cs="Calibri"/>
        </w:rPr>
        <w:t>Relates findings to the available literature, discusses theoretical and practical implications, and assesses how the results respond to the objectives of the researches.</w:t>
      </w:r>
    </w:p>
    <w:p w14:paraId="52CB55B0" w14:textId="77777777" w:rsidR="00612D3C" w:rsidRDefault="007047D9">
      <w:pPr>
        <w:rPr>
          <w:rFonts w:ascii="Calibri" w:hAnsi="Calibri" w:cs="Calibri"/>
          <w:i/>
          <w:iCs/>
        </w:rPr>
      </w:pPr>
      <w:r>
        <w:rPr>
          <w:rFonts w:ascii="Calibri" w:hAnsi="Calibri" w:cs="Calibri"/>
          <w:i/>
          <w:iCs/>
        </w:rPr>
        <w:t>Chapter 6: Conclusion and Recommendations.</w:t>
      </w:r>
    </w:p>
    <w:p w14:paraId="5DA31D66" w14:textId="77777777" w:rsidR="00612D3C" w:rsidRDefault="007047D9">
      <w:pPr>
        <w:rPr>
          <w:rFonts w:ascii="Calibri" w:hAnsi="Calibri" w:cs="Calibri"/>
        </w:rPr>
      </w:pPr>
      <w:r>
        <w:rPr>
          <w:rFonts w:ascii="Calibri" w:hAnsi="Calibri" w:cs="Calibri"/>
        </w:rPr>
        <w:t>Comments on the main findings, gives the recommendations to Tesco, highlights limitations, and suggests the further research.</w:t>
      </w:r>
    </w:p>
    <w:p w14:paraId="55ABB170" w14:textId="77777777" w:rsidR="00612D3C" w:rsidRDefault="00612D3C">
      <w:pPr>
        <w:rPr>
          <w:rFonts w:ascii="Calibri" w:hAnsi="Calibri" w:cs="Calibri"/>
        </w:rPr>
      </w:pPr>
    </w:p>
    <w:p w14:paraId="36C2F84B" w14:textId="77777777" w:rsidR="00612D3C" w:rsidRDefault="007047D9">
      <w:pPr>
        <w:rPr>
          <w:rFonts w:ascii="Calibri" w:hAnsi="Calibri" w:cs="Calibri"/>
        </w:rPr>
      </w:pPr>
      <w:r>
        <w:br w:type="page"/>
      </w:r>
    </w:p>
    <w:p w14:paraId="70BC3095" w14:textId="77777777" w:rsidR="00612D3C" w:rsidRDefault="007047D9">
      <w:pPr>
        <w:pStyle w:val="Heading1"/>
        <w:spacing w:before="0"/>
        <w:rPr>
          <w:rFonts w:ascii="Calibri" w:hAnsi="Calibri" w:cs="Calibri"/>
        </w:rPr>
      </w:pPr>
      <w:bookmarkStart w:id="11" w:name="_Toc240835770"/>
      <w:r>
        <w:rPr>
          <w:rFonts w:ascii="Calibri" w:hAnsi="Calibri" w:cs="Calibri"/>
        </w:rPr>
        <w:t>2. LITERATURE REVIEW</w:t>
      </w:r>
      <w:bookmarkEnd w:id="11"/>
    </w:p>
    <w:p w14:paraId="7EA0AE13" w14:textId="77777777" w:rsidR="00612D3C" w:rsidRDefault="007047D9">
      <w:pPr>
        <w:rPr>
          <w:rFonts w:ascii="Calibri" w:hAnsi="Calibri" w:cs="Calibri"/>
        </w:rPr>
      </w:pPr>
      <w:r>
        <w:rPr>
          <w:rFonts w:ascii="Calibri" w:hAnsi="Calibri" w:cs="Calibri"/>
        </w:rPr>
        <w:t>The literature review chapter is aimed at critically analysing available theories and evidence to determine the conceptual background and research gap that represents the focus of the study. The review will lay emphasis on identifying and reviewing the current state of knowledge related to digital transformation and customer behaviour and loyalty in the retail sector, while identify gaps in the overall literature body. </w:t>
      </w:r>
    </w:p>
    <w:p w14:paraId="754308F5" w14:textId="77777777" w:rsidR="00612D3C" w:rsidRDefault="007047D9">
      <w:pPr>
        <w:pStyle w:val="Heading2"/>
        <w:rPr>
          <w:rFonts w:ascii="Calibri" w:hAnsi="Calibri" w:cs="Calibri"/>
        </w:rPr>
      </w:pPr>
      <w:bookmarkStart w:id="12" w:name="_Toc240835771"/>
      <w:r>
        <w:rPr>
          <w:rFonts w:ascii="Calibri" w:hAnsi="Calibri" w:cs="Calibri"/>
        </w:rPr>
        <w:t>2.1 Overview</w:t>
      </w:r>
      <w:bookmarkEnd w:id="12"/>
    </w:p>
    <w:p w14:paraId="27BB9B29" w14:textId="77777777" w:rsidR="00612D3C" w:rsidRDefault="007047D9">
      <w:pPr>
        <w:rPr>
          <w:rFonts w:ascii="Calibri" w:hAnsi="Calibri" w:cs="Calibri"/>
        </w:rPr>
      </w:pPr>
      <w:r>
        <w:rPr>
          <w:rFonts w:ascii="Calibri" w:hAnsi="Calibri" w:cs="Calibri"/>
        </w:rPr>
        <w:t>Online shopping is becoming more and more about follow-up than about first-mover. Mobile loyalty apps have transformed the transactional-based frequency loyalty to the digital long-term loyalty in the case of grocery markets. The Tesco Clubcard App demonstrates that retailers can use analytics, personalisation, and user-friendly design to keep millions of clients loyal and keep engaging with them (Tesco PLC, 2024).</w:t>
      </w:r>
    </w:p>
    <w:p w14:paraId="633C4CFC" w14:textId="77777777" w:rsidR="00612D3C" w:rsidRDefault="007047D9">
      <w:pPr>
        <w:rPr>
          <w:rFonts w:ascii="Calibri" w:hAnsi="Calibri" w:cs="Calibri"/>
        </w:rPr>
      </w:pPr>
      <w:r>
        <w:rPr>
          <w:rFonts w:ascii="Calibri" w:hAnsi="Calibri" w:cs="Calibri"/>
        </w:rPr>
        <w:t>As the Expectation-Confirmation Model (ECM) was found to be one of the foundations of the explanations of further technology use by Tam et al., the framework has become heavily utilised to examine the influence of expectation confirmation, perceived usefulness, and satisfaction on continuance intention in unison (Tam et al., 2020). Subsequent research indicated that these associations can be reinforced or undermined by contextual variables, such as trust, user adaptation, price sensitivity, and flow experience (Nguyen and Ha, 2021; Nguyen and Thi Dao, 2024; Susanto et al., 2023).</w:t>
      </w:r>
    </w:p>
    <w:p w14:paraId="1B623844" w14:textId="77777777" w:rsidR="00612D3C" w:rsidRDefault="007047D9">
      <w:pPr>
        <w:rPr>
          <w:rFonts w:ascii="Calibri" w:hAnsi="Calibri" w:cs="Calibri"/>
        </w:rPr>
      </w:pPr>
      <w:r>
        <w:rPr>
          <w:rFonts w:ascii="Calibri" w:hAnsi="Calibri" w:cs="Calibri"/>
        </w:rPr>
        <w:t>In this regard, the literature applicable to the case of Tesco falls into four overlapping strands: (1) theoretical developments in expectation-confirmation and continuance intention, (2) behavioural and trust-related construction in the use of mobile-apps, (3) service-quality and digital-transformation in retail operations, and (4) Tesco-specific results on loyalty, operations, and customer-data infrastructure.</w:t>
      </w:r>
    </w:p>
    <w:p w14:paraId="22153E94" w14:textId="77777777" w:rsidR="00612D3C" w:rsidRDefault="007047D9">
      <w:pPr>
        <w:pStyle w:val="Heading2"/>
        <w:rPr>
          <w:rFonts w:ascii="Calibri" w:hAnsi="Calibri" w:cs="Calibri"/>
        </w:rPr>
      </w:pPr>
      <w:bookmarkStart w:id="13" w:name="_Toc240835772"/>
      <w:r>
        <w:rPr>
          <w:rFonts w:ascii="Calibri" w:hAnsi="Calibri" w:cs="Calibri"/>
        </w:rPr>
        <w:t>2.2 Theoretical Evolution in Expectation-confirmation models</w:t>
      </w:r>
      <w:bookmarkEnd w:id="13"/>
    </w:p>
    <w:p w14:paraId="240E7E3F" w14:textId="77777777" w:rsidR="00612D3C" w:rsidRDefault="007047D9">
      <w:pPr>
        <w:pStyle w:val="Heading3"/>
        <w:rPr>
          <w:rFonts w:ascii="Calibri" w:hAnsi="Calibri" w:cs="Calibri"/>
          <w:color w:val="auto"/>
        </w:rPr>
      </w:pPr>
      <w:bookmarkStart w:id="14" w:name="_Toc240835773"/>
      <w:r>
        <w:rPr>
          <w:rFonts w:ascii="Calibri" w:hAnsi="Calibri" w:cs="Calibri"/>
          <w:color w:val="auto"/>
        </w:rPr>
        <w:t>2.2.1 Evolution of the Model</w:t>
      </w:r>
      <w:bookmarkEnd w:id="14"/>
    </w:p>
    <w:p w14:paraId="5B0DFF7E" w14:textId="77777777" w:rsidR="00612D3C" w:rsidRDefault="007047D9">
      <w:pPr>
        <w:jc w:val="center"/>
        <w:rPr>
          <w:rFonts w:ascii="Calibri" w:hAnsi="Calibri" w:cs="Calibri"/>
        </w:rPr>
      </w:pPr>
      <w:r>
        <w:rPr>
          <w:noProof/>
        </w:rPr>
        <w:drawing>
          <wp:inline distT="0" distB="0" distL="0" distR="0" wp14:anchorId="51798B3A" wp14:editId="3EDF1A18">
            <wp:extent cx="3867150" cy="3867150"/>
            <wp:effectExtent l="0" t="0" r="0" b="0"/>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8"/>
                    <a:stretch>
                      <a:fillRect/>
                    </a:stretch>
                  </pic:blipFill>
                  <pic:spPr bwMode="auto">
                    <a:xfrm>
                      <a:off x="0" y="0"/>
                      <a:ext cx="3867150" cy="3867150"/>
                    </a:xfrm>
                    <a:prstGeom prst="rect">
                      <a:avLst/>
                    </a:prstGeom>
                    <a:noFill/>
                  </pic:spPr>
                </pic:pic>
              </a:graphicData>
            </a:graphic>
          </wp:inline>
        </w:drawing>
      </w:r>
    </w:p>
    <w:p w14:paraId="430F5EFD" w14:textId="77777777" w:rsidR="00612D3C" w:rsidRDefault="007047D9">
      <w:pPr>
        <w:jc w:val="center"/>
        <w:rPr>
          <w:rFonts w:ascii="Calibri" w:hAnsi="Calibri" w:cs="Calibri"/>
          <w:b/>
          <w:bCs/>
        </w:rPr>
      </w:pPr>
      <w:r>
        <w:rPr>
          <w:rFonts w:ascii="Calibri" w:hAnsi="Calibri" w:cs="Calibri"/>
          <w:b/>
          <w:bCs/>
        </w:rPr>
        <w:t>Figure 1: Theoretical evolution</w:t>
      </w:r>
    </w:p>
    <w:p w14:paraId="3FBBDE10" w14:textId="77777777" w:rsidR="00612D3C" w:rsidRDefault="007047D9">
      <w:pPr>
        <w:jc w:val="center"/>
        <w:rPr>
          <w:rFonts w:ascii="Calibri" w:hAnsi="Calibri" w:cs="Calibri"/>
        </w:rPr>
      </w:pPr>
      <w:r>
        <w:rPr>
          <w:rFonts w:ascii="Calibri" w:hAnsi="Calibri" w:cs="Calibri"/>
        </w:rPr>
        <w:t>(Source: self-developed)</w:t>
      </w:r>
    </w:p>
    <w:p w14:paraId="2542D099" w14:textId="77777777" w:rsidR="00612D3C" w:rsidRDefault="007047D9">
      <w:pPr>
        <w:rPr>
          <w:rFonts w:ascii="Calibri" w:hAnsi="Calibri" w:cs="Calibri"/>
        </w:rPr>
      </w:pPr>
      <w:r>
        <w:rPr>
          <w:rFonts w:ascii="Calibri" w:hAnsi="Calibri" w:cs="Calibri"/>
        </w:rPr>
        <w:t>Expectation Confirmation Theory (ECT) is rooted in consumer-satisfaction studies, in which it is presumed that satisfaction is achieved when actual performance falls in line with or surpasses the pre- purchase expectations which results in post purchase loyalty or continuance intention (Bhattacherjee, 2001). Later Bhattacherjee re-conceived the model to the digital environment to create the Expectation-Confirmation Model (ECM) of Information Systems, in which the original expectation variable was replaced by post-adoption perceived usefulness. This change enabled the framework to describe the behaviour of users following the adoption of technology especially in the systems in which constant usage is the indicator of success and not initial acceptance (Bhattacherjee, 2001). The same logic was extended in later studies using Technology Acceptance Model (TAM), Task Technology Fit (TTF) and Self-Determination Theory (SDT) constructs to consider motivational, contextual and experiential factors of post adoption behaviour (Tam et al., 2020).</w:t>
      </w:r>
    </w:p>
    <w:p w14:paraId="0F494DAF" w14:textId="77777777" w:rsidR="00612D3C" w:rsidRDefault="007047D9">
      <w:pPr>
        <w:pStyle w:val="Heading3"/>
        <w:rPr>
          <w:rFonts w:ascii="Calibri" w:hAnsi="Calibri" w:cs="Calibri"/>
          <w:color w:val="auto"/>
        </w:rPr>
      </w:pPr>
      <w:bookmarkStart w:id="15" w:name="_Toc240835774"/>
      <w:r>
        <w:rPr>
          <w:rFonts w:ascii="Calibri" w:hAnsi="Calibri" w:cs="Calibri"/>
          <w:color w:val="auto"/>
        </w:rPr>
        <w:t>2.2.2 The Expectation Confirmation Model Extensions.</w:t>
      </w:r>
      <w:bookmarkEnd w:id="15"/>
    </w:p>
    <w:p w14:paraId="0A35ECB9" w14:textId="77777777" w:rsidR="00612D3C" w:rsidRDefault="007047D9">
      <w:pPr>
        <w:rPr>
          <w:rFonts w:ascii="Calibri" w:hAnsi="Calibri" w:cs="Calibri"/>
        </w:rPr>
      </w:pPr>
      <w:r>
        <w:rPr>
          <w:rFonts w:ascii="Calibri" w:hAnsi="Calibri" w:cs="Calibri"/>
        </w:rPr>
        <w:t>Because Tam et al. applied the ECM to mobile-app settings, the model has offered essential insights into the interactions of perceived enjoyment and habitual use with confirmation and satisfaction to determine outcomes on continuance intention (Tam et al., 2020). They found that their empirical model revealed that confirmation and satisfaction have the most significant direct effects on continued use and perceived usefulness mediates this effect, indicating that the judgments made by the users of reliability have a more significant impact on continuing engagement compared to design novelty.</w:t>
      </w:r>
    </w:p>
    <w:p w14:paraId="51C726E2" w14:textId="77777777" w:rsidR="00612D3C" w:rsidRDefault="007047D9">
      <w:pPr>
        <w:rPr>
          <w:rFonts w:ascii="Calibri" w:hAnsi="Calibri" w:cs="Calibri"/>
        </w:rPr>
      </w:pPr>
      <w:r>
        <w:rPr>
          <w:rFonts w:ascii="Calibri" w:hAnsi="Calibri" w:cs="Calibri"/>
        </w:rPr>
        <w:t>Likewise, Nguyen and Ha proposed the user adaptation and trust as moderators in the mobile-shopping context, and through the structural-equation modelling, they found that adaptive behaviour, which is the skills of the consumer to match the functionality of the app, augmented the relationship between confirmation and satisfaction (Nguyen and Ha, 2021). The effect of satisfaction on continuance is also enhanced by trust, which shows that, emotional assurance increases cognitive confirmation effects.</w:t>
      </w:r>
    </w:p>
    <w:p w14:paraId="602B9659" w14:textId="77777777" w:rsidR="00612D3C" w:rsidRDefault="007047D9">
      <w:pPr>
        <w:rPr>
          <w:rFonts w:ascii="Calibri" w:hAnsi="Calibri" w:cs="Calibri"/>
        </w:rPr>
      </w:pPr>
      <w:r>
        <w:rPr>
          <w:rFonts w:ascii="Calibri" w:hAnsi="Calibri" w:cs="Calibri"/>
        </w:rPr>
        <w:t>Based on these results, Nguyen and Thi Dao (2024) combined flow experience and task-technology fit into a new model of m-commerce continuance and demonstrated that ease of interaction and intrinsic enjoyment have a joint positive effect on the satisfaction-continuance relationship. Their research suggests that the slight inconsistency in the services can hardly defuse satisfaction when the consumers feel like they are in a flawless integration between the personal objective and technological assistance (Nguyen and Thi Dao, 2024). All of these empirical advances indicate that continuance intention is a changing consequence of trust, flexibility, and experiential immersion, but not a fixed effect of met expectations.</w:t>
      </w:r>
    </w:p>
    <w:p w14:paraId="0333C3E7" w14:textId="77777777" w:rsidR="00612D3C" w:rsidRDefault="007047D9">
      <w:pPr>
        <w:rPr>
          <w:rFonts w:ascii="Calibri" w:hAnsi="Calibri" w:cs="Calibri"/>
        </w:rPr>
      </w:pPr>
      <w:r>
        <w:rPr>
          <w:rFonts w:ascii="Calibri" w:hAnsi="Calibri" w:cs="Calibri"/>
        </w:rPr>
        <w:t>Included in the theoretical developments applied to retail loyalty apps like Tesco Clubcard, these theoretical developments imply that retention of customers depends not on the motivational aspects of transactions but on the credibility, flexibility and engagement design of the platform. Put another way, the continuity to use arises when the personalisation, reliability, and informational transparency are constantly combined with confirming consumer anticipations (Tesco PLC, 2024).</w:t>
      </w:r>
    </w:p>
    <w:p w14:paraId="73EF3A26" w14:textId="77777777" w:rsidR="00612D3C" w:rsidRDefault="007047D9">
      <w:pPr>
        <w:pStyle w:val="Heading3"/>
        <w:rPr>
          <w:rFonts w:ascii="Calibri" w:hAnsi="Calibri" w:cs="Calibri"/>
          <w:color w:val="auto"/>
        </w:rPr>
      </w:pPr>
      <w:bookmarkStart w:id="16" w:name="_Toc240835775"/>
      <w:r>
        <w:rPr>
          <w:rFonts w:ascii="Calibri" w:hAnsi="Calibri" w:cs="Calibri"/>
          <w:color w:val="auto"/>
        </w:rPr>
        <w:t>2.2.3. Price Sensitivity and Post Adoption Adjustment</w:t>
      </w:r>
      <w:bookmarkEnd w:id="16"/>
      <w:r>
        <w:rPr>
          <w:rFonts w:ascii="Calibri" w:hAnsi="Calibri" w:cs="Calibri"/>
          <w:color w:val="auto"/>
        </w:rPr>
        <w:t xml:space="preserve"> </w:t>
      </w:r>
    </w:p>
    <w:p w14:paraId="3B96BDB7" w14:textId="77777777" w:rsidR="00612D3C" w:rsidRDefault="007047D9">
      <w:pPr>
        <w:rPr>
          <w:rFonts w:ascii="Calibri" w:hAnsi="Calibri" w:cs="Calibri"/>
        </w:rPr>
      </w:pPr>
      <w:r>
        <w:rPr>
          <w:rFonts w:ascii="Calibri" w:hAnsi="Calibri" w:cs="Calibri"/>
        </w:rPr>
        <w:t>ECM has been furthered to examine behaviour of the economy. Susanto et al. investigated m-commerce continuance and price sensitivity and found that satisfaction mediates the confirmation-continuance relationship but the latter relationship is weaker when price sensitivity is high (Susanto et al., 2023). Acutely price sensitive consumers need better performance assurance to be loyal. What it means is that any loyalty programmes such as Tesco Clubcard that relies on discounts need to balance emotional and experience value failure to which users will do away with it once the incentives have reduced.</w:t>
      </w:r>
    </w:p>
    <w:p w14:paraId="20F8F444" w14:textId="77777777" w:rsidR="00612D3C" w:rsidRDefault="007047D9">
      <w:pPr>
        <w:rPr>
          <w:rFonts w:ascii="Calibri" w:hAnsi="Calibri" w:cs="Calibri"/>
        </w:rPr>
      </w:pPr>
      <w:r>
        <w:rPr>
          <w:rFonts w:ascii="Calibri" w:hAnsi="Calibri" w:cs="Calibri"/>
        </w:rPr>
        <w:t>Simultaneously, Rahi et al. integrated Self-Determination Theory (SDT) and ECM within the framework of internet banking and discovered that intrinsic motivation complies with confirmation and perceived usefulness in the description of continuance intention (Rahi et al., 2021). Autonomous and competent psychological fulfilment was a better predictor of loyalty compared to monetary rewards. Applying this to Tesco context, allowing the users to be in control of the data and giving them self-service options may bring more satisfaction than promotions on the price, further strengthening the loyalty by creating the sense of autonomy and trust.</w:t>
      </w:r>
    </w:p>
    <w:p w14:paraId="09BFA5EE" w14:textId="77777777" w:rsidR="00612D3C" w:rsidRDefault="007047D9">
      <w:pPr>
        <w:pStyle w:val="Heading2"/>
        <w:rPr>
          <w:rFonts w:ascii="Calibri" w:hAnsi="Calibri" w:cs="Calibri"/>
        </w:rPr>
      </w:pPr>
      <w:r>
        <w:t>2.3 Behavioural Constructs: Trust, Flow and Social Comparison.</w:t>
      </w:r>
    </w:p>
    <w:p w14:paraId="184D4B0B" w14:textId="77777777" w:rsidR="00612D3C" w:rsidRDefault="007047D9">
      <w:pPr>
        <w:pStyle w:val="Heading3"/>
        <w:rPr>
          <w:rFonts w:ascii="Calibri" w:hAnsi="Calibri" w:cs="Calibri"/>
          <w:color w:val="auto"/>
        </w:rPr>
      </w:pPr>
      <w:r>
        <w:t>2.3.1 The Role of Trust</w:t>
      </w:r>
    </w:p>
    <w:p w14:paraId="6844A595" w14:textId="77777777" w:rsidR="00612D3C" w:rsidRDefault="007047D9">
      <w:pPr>
        <w:rPr>
          <w:rFonts w:ascii="Calibri" w:hAnsi="Calibri" w:cs="Calibri"/>
        </w:rPr>
      </w:pPr>
      <w:r>
        <w:rPr>
          <w:rFonts w:ascii="Calibri" w:hAnsi="Calibri" w:cs="Calibri"/>
        </w:rPr>
        <w:t>One of the most conclusive antecedents of a post-adoption loyalty is trust. Nguyen and Dao revealed that instead of being a heightening factor of satisfaction, perceived trust also has a direct impact on continuance intention in mobile banking applications (Nguyen and Dao, 2024). When the users trust the integrity and safety of the data on the platform, then this trust is more important than convenience in estimating the long-term usage. On the same note, the researchers of Talwar et al. have determined that preliminary trust forms the basis of mobile-payment continuance, particularly high-risk financial transactions (Talwar et al., 2020).</w:t>
      </w:r>
    </w:p>
    <w:p w14:paraId="2C913500" w14:textId="77777777" w:rsidR="00612D3C" w:rsidRDefault="007047D9">
      <w:pPr>
        <w:rPr>
          <w:rFonts w:ascii="Calibri" w:hAnsi="Calibri" w:cs="Calibri"/>
        </w:rPr>
      </w:pPr>
      <w:r>
        <w:rPr>
          <w:rFonts w:ascii="Calibri" w:hAnsi="Calibri" w:cs="Calibri"/>
        </w:rPr>
        <w:t>Similarly, trust, in the case of Tesco’s digital retail ecosystems, is the basis of the relationship between the user and data infrastructure of the firm. Cybersecurity, transparency and responsible AI are a few of the building blocks of customer confidence discussed in the Tesco Annual Report 2024, which directly attributes digital trustworthiness to brand equity (Tesco PLC, 2024). Thus, the key tenets of trust in online banking, such as security, reliability and integrity, are exactly applicable to the level of consumer trust in data-driven loyalty at Tesco.</w:t>
      </w:r>
    </w:p>
    <w:p w14:paraId="59AAFBBE" w14:textId="77777777" w:rsidR="00612D3C" w:rsidRDefault="007047D9">
      <w:pPr>
        <w:pStyle w:val="Heading3"/>
        <w:rPr>
          <w:rFonts w:ascii="Calibri" w:hAnsi="Calibri" w:cs="Calibri"/>
          <w:color w:val="auto"/>
        </w:rPr>
      </w:pPr>
      <w:r>
        <w:t>2.3.2 Flow Experience and Habitual Use.</w:t>
      </w:r>
    </w:p>
    <w:p w14:paraId="0F889173" w14:textId="77777777" w:rsidR="00612D3C" w:rsidRDefault="007047D9">
      <w:pPr>
        <w:rPr>
          <w:rFonts w:ascii="Calibri" w:hAnsi="Calibri" w:cs="Calibri"/>
        </w:rPr>
      </w:pPr>
      <w:r>
        <w:rPr>
          <w:rFonts w:ascii="Calibri" w:hAnsi="Calibri" w:cs="Calibri"/>
        </w:rPr>
        <w:t>Flow, which is a state of immersive psychological involvement has become an important moderator of digital loyalty studies. Nguyen and Thi Dao empirically demonstrated that flow boosts both perceived usefulness and enjoyment in parallel reinforcing satisfaction and continuance intention (Nguyen and Thi Dao, 2024). Recurring exposure then results in a habitual interaction wherein the further loading of such interaction is out of behavioural inertia and not conscious consideration.</w:t>
      </w:r>
    </w:p>
    <w:p w14:paraId="0540B210" w14:textId="77777777" w:rsidR="00612D3C" w:rsidRDefault="007047D9">
      <w:pPr>
        <w:rPr>
          <w:rFonts w:ascii="Calibri" w:hAnsi="Calibri" w:cs="Calibri"/>
        </w:rPr>
      </w:pPr>
      <w:r>
        <w:rPr>
          <w:rFonts w:ascii="Calibri" w:hAnsi="Calibri" w:cs="Calibri"/>
        </w:rPr>
        <w:t>To substantiate this idea, Chiu et al. introduced a hybrid of ECM and Investment Model to examine health-app continuance and discovered that user satisfaction is connected with investment size -time, effort, and emotional energy, to form long-term commitment (Chiu et al., 2021). On the same note, Gupta et al. applied ECT to smart-wearables and found out that social comparison positively affects perceived value and emotional attachment, promoting continuance intention (Gupta et al., 2021). Such results suggest that gamified experiences, competitive ratings, and belonging to the community can be used to strengthen the loyalty mechanisms. In connexion to Tesco, this can be replicated by incorporating gamification into the online space of Clubcard to create emotional attachment and habitual behaviour that is not purely utilitarian.</w:t>
      </w:r>
    </w:p>
    <w:p w14:paraId="1DFBB5A7" w14:textId="77777777" w:rsidR="00612D3C" w:rsidRDefault="007047D9">
      <w:pPr>
        <w:pStyle w:val="Heading3"/>
        <w:rPr>
          <w:rFonts w:ascii="Calibri" w:hAnsi="Calibri" w:cs="Calibri"/>
          <w:color w:val="auto"/>
        </w:rPr>
      </w:pPr>
      <w:r>
        <w:t>2.3.3 Generational behaviour and Technological Adaptation.</w:t>
      </w:r>
    </w:p>
    <w:p w14:paraId="5C749717" w14:textId="77777777" w:rsidR="00612D3C" w:rsidRDefault="007047D9">
      <w:pPr>
        <w:rPr>
          <w:rFonts w:ascii="Calibri" w:hAnsi="Calibri" w:cs="Calibri"/>
        </w:rPr>
      </w:pPr>
      <w:r>
        <w:rPr>
          <w:rFonts w:ascii="Calibri" w:hAnsi="Calibri" w:cs="Calibri"/>
        </w:rPr>
        <w:t>The reaction of the user to technology is influenced by generation trends and adaptability. Ngubelanga and Duffett conceptualised mobile-commerce satisfaction among the millennials, based on an extended Technology Acceptance Model (TAM) and discovered the core antecedents of perceived usefulness, ease of use, and value (Ngubelanga and Duffett, 2021). The intermediating role of ease of use between the technological characteristics and the satisfaction emphasises the ergonomic importance of interface design as used in the digital setting. Jain et al. further refined this view by proposing the Technology Continuance Theory (TCT), to find out that convenient, trustful, and hedonic motivation are all positive predictors of continuance intention in mobile shopping (Jain et al., 2022). Their results revealed that both utilitarian (efficiency) and hedonic (enjoyment) gratifications are required to be sustained.</w:t>
      </w:r>
    </w:p>
    <w:p w14:paraId="7FD53BDF" w14:textId="77777777" w:rsidR="00612D3C" w:rsidRDefault="007047D9">
      <w:pPr>
        <w:rPr>
          <w:rFonts w:ascii="Calibri" w:hAnsi="Calibri" w:cs="Calibri"/>
        </w:rPr>
      </w:pPr>
      <w:r>
        <w:rPr>
          <w:rFonts w:ascii="Calibri" w:hAnsi="Calibri" w:cs="Calibri"/>
        </w:rPr>
        <w:t>Generational diversity, in the case of Tesco, influences patterns of engagement younger shoppers are more attracted to gamified convenience, but older customers are more concerned with reliability and transparency. These lessons highlight the idea that different user groups have different adaptation mechanisms that demand special communication, design interface needs and reward systems that ensure that satisfaction levels are maintained among various demographic groups.</w:t>
      </w:r>
    </w:p>
    <w:p w14:paraId="3266D725" w14:textId="77777777" w:rsidR="00612D3C" w:rsidRDefault="007047D9">
      <w:pPr>
        <w:pStyle w:val="Heading2"/>
        <w:rPr>
          <w:rFonts w:ascii="Calibri" w:hAnsi="Calibri" w:cs="Calibri"/>
        </w:rPr>
      </w:pPr>
      <w:r>
        <w:t>2.4 Service Quality, Expectation, and Digital Satisfaction.</w:t>
      </w:r>
    </w:p>
    <w:p w14:paraId="2E5866F5" w14:textId="77777777" w:rsidR="00612D3C" w:rsidRDefault="007047D9">
      <w:pPr>
        <w:pStyle w:val="Heading3"/>
        <w:rPr>
          <w:rFonts w:ascii="Calibri" w:hAnsi="Calibri" w:cs="Calibri"/>
          <w:color w:val="auto"/>
        </w:rPr>
      </w:pPr>
      <w:r>
        <w:t>2.4.1 Service Quality in Retail Situations.</w:t>
      </w:r>
    </w:p>
    <w:p w14:paraId="1072878B" w14:textId="77777777" w:rsidR="00612D3C" w:rsidRDefault="007047D9">
      <w:pPr>
        <w:rPr>
          <w:rFonts w:ascii="Calibri" w:hAnsi="Calibri" w:cs="Calibri"/>
        </w:rPr>
      </w:pPr>
      <w:r>
        <w:rPr>
          <w:rFonts w:ascii="Calibri" w:hAnsi="Calibri" w:cs="Calibri"/>
        </w:rPr>
        <w:t>The operationalisation of service quality in the traditional retail research is based on the SERVQUAL model which includes the elements of tangibility, reliability, responsiveness, assurance, and empathy. Singh et al. used SERVQUAL to Tesco hypermarkets in Malaysia and established that all five dimensions have a significant effect on satisfaction, and reliability and assurance were strongest predictors (Singh et al., 2021). The way of consistent performance and staff competence were on the list of the most appreciated features by customers compared to the atmospheric and emotional aspects. These findings emphasise the fact that satisfaction is motivated by assurance and reliability, which are functional equivalents of trust, prior to the digital mediation process.</w:t>
      </w:r>
    </w:p>
    <w:p w14:paraId="14C69E5D" w14:textId="77777777" w:rsidR="00612D3C" w:rsidRDefault="007047D9">
      <w:pPr>
        <w:rPr>
          <w:rFonts w:ascii="Calibri" w:hAnsi="Calibri" w:cs="Calibri"/>
        </w:rPr>
      </w:pPr>
      <w:r>
        <w:rPr>
          <w:rFonts w:ascii="Calibri" w:hAnsi="Calibri" w:cs="Calibri"/>
        </w:rPr>
        <w:t>These aspects in digital retail translate to reliability of the system, responsiveness of the system, and assurance of data-security. Since human service interfaces become less necessary and self-service interfaces become more prevalent, perceived reliability substitutes empathy as a motivator of critical satisfaction. In the case of the Clubcard App of Tesco, functional reliability along with clear communication and quick resolution of any issue directly translates the satisfaction processes that are evident in the conventional service setting.</w:t>
      </w:r>
    </w:p>
    <w:p w14:paraId="22B61879" w14:textId="77777777" w:rsidR="00612D3C" w:rsidRDefault="007047D9">
      <w:pPr>
        <w:pStyle w:val="Heading3"/>
        <w:rPr>
          <w:rFonts w:ascii="Calibri" w:hAnsi="Calibri" w:cs="Calibri"/>
          <w:color w:val="auto"/>
        </w:rPr>
      </w:pPr>
      <w:r>
        <w:t>2.4.2 Gaps in Expectation and confirmation dynamics.</w:t>
      </w:r>
    </w:p>
    <w:p w14:paraId="3ED5A6C2" w14:textId="77777777" w:rsidR="00612D3C" w:rsidRDefault="007047D9">
      <w:pPr>
        <w:rPr>
          <w:rFonts w:ascii="Calibri" w:hAnsi="Calibri" w:cs="Calibri"/>
        </w:rPr>
      </w:pPr>
      <w:r>
        <w:rPr>
          <w:rFonts w:ascii="Calibri" w:hAnsi="Calibri" w:cs="Calibri"/>
        </w:rPr>
        <w:t>Confirmation, in ECM, is similar to SERVQUAL, in terms of expectation-perception gaps. Negative gaps where perceived performance is below the expectation show those areas where satisfaction can be low. Singh et al. (2021) noted that Tesco Malaysia has continued to show negative differences along the dimensions without improvement, which portrays that customer expectations are changing at a faster rate than service delivery development. In digital ecosystems, this inflation of expectation is exacerbated by the fact that the technological innovation keeps reshaping the understanding of what consumers consider as the normal quality of the services.</w:t>
      </w:r>
    </w:p>
    <w:p w14:paraId="256B4149" w14:textId="77777777" w:rsidR="00612D3C" w:rsidRDefault="007047D9">
      <w:pPr>
        <w:rPr>
          <w:rFonts w:ascii="Calibri" w:hAnsi="Calibri" w:cs="Calibri"/>
        </w:rPr>
      </w:pPr>
      <w:r>
        <w:rPr>
          <w:rFonts w:ascii="Calibri" w:hAnsi="Calibri" w:cs="Calibri"/>
        </w:rPr>
        <w:t>Wolniak et al. confirmed this assertion, indicating that self-scanning, AI, and augmented-reality systems enhance efficiency, but at the same time increase the pace at which expectations are made in terms of speed, accuracy, and personalisation (Wolniak et al., 2024). Satisfaction is hence temporary and dependent on the level of technological parity. In the case of Tesco, being highly invested in AI-based personalisation, the perception of modernity will be positively affected; however, the customer standards will also increase; their unmet expectations may consequently turn into acuter dissatisfaction (Tesco PLC, 2024). To maintain loyalty, there is a need to balance innovation and stability to avoid the problem known as expectation overshoot where the demands by consumers exceed the capability of the system.</w:t>
      </w:r>
    </w:p>
    <w:p w14:paraId="1EB45B13" w14:textId="77777777" w:rsidR="00612D3C" w:rsidRDefault="007047D9">
      <w:pPr>
        <w:pStyle w:val="Heading2"/>
        <w:rPr>
          <w:rFonts w:ascii="Calibri" w:hAnsi="Calibri" w:cs="Calibri"/>
        </w:rPr>
      </w:pPr>
      <w:r>
        <w:t>2.5 Digital Transformation and Operational Infrastructure.</w:t>
      </w:r>
    </w:p>
    <w:p w14:paraId="08169B4F" w14:textId="77777777" w:rsidR="00612D3C" w:rsidRDefault="007047D9">
      <w:pPr>
        <w:rPr>
          <w:rFonts w:ascii="Calibri" w:hAnsi="Calibri" w:cs="Calibri"/>
        </w:rPr>
      </w:pPr>
      <w:r>
        <w:rPr>
          <w:rFonts w:ascii="Calibri" w:hAnsi="Calibri" w:cs="Calibri"/>
        </w:rPr>
        <w:t>Grocery retail digital transformation entails the integration of customer front-end interfaces and back-end analytics and logistics platforms. Wolniak et al. summarised the new technologies included in-store scanners, AI recommendation engines, and augmented-reality navigation tools, concluding that all new technologies can be successful only with the help of interoperability and user trust (Wolniak et al., 2024). Retailers that can combine the reliability of operations with user- friendly front end experiences have the capacity to create the sense of convenience which has continued to be one of the antecedents of satisfaction.</w:t>
      </w:r>
    </w:p>
    <w:p w14:paraId="6650CA0A" w14:textId="77777777" w:rsidR="00612D3C" w:rsidRDefault="007047D9">
      <w:pPr>
        <w:rPr>
          <w:rFonts w:ascii="Calibri" w:hAnsi="Calibri" w:cs="Calibri"/>
        </w:rPr>
      </w:pPr>
      <w:r>
        <w:rPr>
          <w:rFonts w:ascii="Calibri" w:hAnsi="Calibri" w:cs="Calibri"/>
        </w:rPr>
        <w:t>This is the model of integration that can be found in Tesco infrastructure. It uses real time analytics to customise offers, forecast inventory requirements and strategize promotions with behavioural data through partnership with Dunnhumby (Tesco PLC, 2024). This system connects the experience of the customer directly to the operational agility, which proves that the digital loyalty is not provided solely through the design of marketing, but also through the technical implementation. Similar to world-betters, like the introduction of physical and digital touchpoints at Apple, the strategy of Tesco will improve the continuity in data analytics, consumer trust, and their satisfaction.</w:t>
      </w:r>
    </w:p>
    <w:p w14:paraId="4463BF25" w14:textId="77777777" w:rsidR="00612D3C" w:rsidRDefault="007047D9">
      <w:pPr>
        <w:jc w:val="center"/>
        <w:rPr>
          <w:rFonts w:ascii="Calibri" w:hAnsi="Calibri" w:cs="Calibri"/>
        </w:rPr>
      </w:pPr>
      <w:r>
        <w:rPr>
          <w:noProof/>
        </w:rPr>
        <w:drawing>
          <wp:inline distT="0" distB="0" distL="0" distR="0" wp14:anchorId="0FF8E563" wp14:editId="5A84B232">
            <wp:extent cx="5731510" cy="3441065"/>
            <wp:effectExtent l="0" t="0" r="0" b="0"/>
            <wp:docPr id="2" name="Picture 5" descr="Tesco Club Card or Sainsbury's Nectar: Which will save you the most money?  | This is Mo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5" descr="Tesco Club Card or Sainsbury's Nectar: Which will save you the most money?  | This is Money"/>
                    <pic:cNvPicPr>
                      <a:picLocks noChangeAspect="1" noChangeArrowheads="1"/>
                    </pic:cNvPicPr>
                  </pic:nvPicPr>
                  <pic:blipFill>
                    <a:blip r:embed="rId9"/>
                    <a:stretch>
                      <a:fillRect/>
                    </a:stretch>
                  </pic:blipFill>
                  <pic:spPr bwMode="auto">
                    <a:xfrm>
                      <a:off x="0" y="0"/>
                      <a:ext cx="5731510" cy="3441065"/>
                    </a:xfrm>
                    <a:prstGeom prst="rect">
                      <a:avLst/>
                    </a:prstGeom>
                    <a:noFill/>
                  </pic:spPr>
                </pic:pic>
              </a:graphicData>
            </a:graphic>
          </wp:inline>
        </w:drawing>
      </w:r>
    </w:p>
    <w:p w14:paraId="41A8BC4B" w14:textId="77777777" w:rsidR="00612D3C" w:rsidRDefault="007047D9">
      <w:pPr>
        <w:jc w:val="center"/>
        <w:rPr>
          <w:rFonts w:ascii="Calibri" w:hAnsi="Calibri" w:cs="Calibri"/>
          <w:b/>
          <w:bCs/>
        </w:rPr>
      </w:pPr>
      <w:r>
        <w:rPr>
          <w:rFonts w:ascii="Calibri" w:hAnsi="Calibri" w:cs="Calibri"/>
          <w:b/>
          <w:bCs/>
        </w:rPr>
        <w:t>Figure 2: club card prices of Tesco</w:t>
      </w:r>
    </w:p>
    <w:p w14:paraId="014C5886" w14:textId="77777777" w:rsidR="00612D3C" w:rsidRDefault="007047D9">
      <w:pPr>
        <w:jc w:val="center"/>
        <w:rPr>
          <w:rFonts w:ascii="Calibri" w:hAnsi="Calibri" w:cs="Calibri"/>
        </w:rPr>
      </w:pPr>
      <w:r>
        <w:t>Sources: The Sun (2025) and Which? (2024)</w:t>
      </w:r>
    </w:p>
    <w:p w14:paraId="68ECC6E6" w14:textId="77777777" w:rsidR="00612D3C" w:rsidRDefault="007047D9">
      <w:pPr>
        <w:rPr>
          <w:rFonts w:ascii="Calibri" w:hAnsi="Calibri" w:cs="Calibri"/>
        </w:rPr>
      </w:pPr>
      <w:r>
        <w:t>A newspaper comparison reported that the selected basket was approximately £6.48 cheaper at Clubcard prices than at Tesco's regular prices and £9.50 cheaper than the compared Sainsbury's basket (The Sun, 2025). This is a contextual price snapshot rather than a general market estimate. More systematic consumer-price analysis by Which? found that a basket of commonly bought groceries was 5.5% cheaper for Tesco Clubcard members and 7.6% cheaper for Sainsbury's Nectar members (Which?, 2024). Together, these findings show that member pricing can create tangible savings, although the size of the saving depends on the basket and time period. Tesco's 2024 Annual Report also reports that automation and Dunnhumby analytics supported personalisation and supply-chain responsiveness, alongside increases in its Trust Index and Net Promoter Score (Tesco PLC, 2024).</w:t>
      </w:r>
    </w:p>
    <w:p w14:paraId="5E974490" w14:textId="77777777" w:rsidR="00612D3C" w:rsidRDefault="007047D9">
      <w:pPr>
        <w:rPr>
          <w:rFonts w:ascii="Calibri" w:hAnsi="Calibri" w:cs="Calibri"/>
        </w:rPr>
      </w:pPr>
      <w:r>
        <w:rPr>
          <w:rFonts w:ascii="Calibri" w:hAnsi="Calibri" w:cs="Calibri"/>
        </w:rPr>
        <w:t>Nevertheless, the issue of loyalty analytics creates an intricate ethical aspect. Customers are more likely to be willing to give their personal data when they feel that there is a fair and equal value exchange. The data on the research of digital-banking also indicate that the continuance intention is greatly influenced by the trust towards data processing since the transparent and safe management increases the level of satisfaction and usage frequency (Nguyen and Dao, 2024). The same premise is applied to the retail industry: intrusive targeting may compromise satisfaction irrespective of functional efficiency. Ethical AI practises and openly administered data is thus a compliance factor and a long-term customer trust strategy of Tesco (Tesco PLC, 2024).</w:t>
      </w:r>
    </w:p>
    <w:p w14:paraId="6C2E39E7" w14:textId="77777777" w:rsidR="00612D3C" w:rsidRDefault="007047D9">
      <w:pPr>
        <w:rPr>
          <w:rFonts w:ascii="Calibri" w:hAnsi="Calibri" w:cs="Calibri"/>
        </w:rPr>
      </w:pPr>
      <w:r>
        <w:rPr>
          <w:rFonts w:ascii="Calibri" w:hAnsi="Calibri" w:cs="Calibri"/>
        </w:rPr>
        <w:t>Moreover, the price sensitivity has such a drastic impact in moderating the loyalty. Susanto et al. (2023) found out that highly price sensitive buyers do not have a strong continuance intention unless there is strongly confirmed performance expectation. In the dual-level pricing scheme at Tesco, members of the Clubcard obtain discounted prices, but long-term success can only be attained by whether the consumers are convinced that these differences are genuine offers and not over-inflated base prices. This balance of value impression, fairness, and trust ends up determining the sustainability of digital loyalty within the competitive grocery retailing.</w:t>
      </w:r>
    </w:p>
    <w:p w14:paraId="44703AD8" w14:textId="77777777" w:rsidR="00612D3C" w:rsidRDefault="007047D9">
      <w:pPr>
        <w:pStyle w:val="Heading2"/>
        <w:rPr>
          <w:rFonts w:ascii="Calibri" w:hAnsi="Calibri" w:cs="Calibri"/>
        </w:rPr>
      </w:pPr>
      <w:r>
        <w:t>2.6 Tesco-Specific Evidence and Market Background</w:t>
      </w:r>
    </w:p>
    <w:p w14:paraId="208E47EA" w14:textId="77777777" w:rsidR="00612D3C" w:rsidRDefault="007047D9">
      <w:pPr>
        <w:pStyle w:val="Heading3"/>
        <w:rPr>
          <w:rFonts w:ascii="Calibri" w:hAnsi="Calibri" w:cs="Calibri"/>
          <w:color w:val="auto"/>
        </w:rPr>
      </w:pPr>
      <w:r>
        <w:t>2.6.1 Customer Behaviour Insights</w:t>
      </w:r>
    </w:p>
    <w:p w14:paraId="0D698E83" w14:textId="77777777" w:rsidR="00612D3C" w:rsidRDefault="007047D9">
      <w:pPr>
        <w:rPr>
          <w:rFonts w:ascii="Calibri" w:hAnsi="Calibri" w:cs="Calibri"/>
        </w:rPr>
      </w:pPr>
      <w:r>
        <w:rPr>
          <w:rFonts w:ascii="Calibri" w:hAnsi="Calibri" w:cs="Calibri"/>
        </w:rPr>
        <w:t>The loyalty-card information of Tesco gives one of the most detailed behavioural datasets in retailing all over the world. These data were utilized by Rose et al. (2024) to investigate the influence of weather conditions on the purchasing pattern of the so-called click and collect, with the study discovering that the poor weather condition elevated the time of ordering online more frequently but decreased the number of impulse purchases. Their machine-learning model found temporal and regional variation and, therefore, validated the predictive value of loyalty analytics. This fact points to the ability of Tesco to convert data on behaviour to operational forecasting an ability that enhances customer satisfaction based on the ability to keep stock on hand and make reliable services.</w:t>
      </w:r>
    </w:p>
    <w:p w14:paraId="258CFB67" w14:textId="77777777" w:rsidR="00612D3C" w:rsidRDefault="007047D9">
      <w:pPr>
        <w:jc w:val="center"/>
        <w:rPr>
          <w:rFonts w:ascii="Calibri" w:hAnsi="Calibri" w:cs="Calibri"/>
        </w:rPr>
      </w:pPr>
      <w:r>
        <w:rPr>
          <w:noProof/>
        </w:rPr>
        <w:drawing>
          <wp:inline distT="0" distB="0" distL="0" distR="0" wp14:anchorId="2FB520F3" wp14:editId="52BDDC9F">
            <wp:extent cx="3259455" cy="3403600"/>
            <wp:effectExtent l="0" t="0" r="0" b="0"/>
            <wp:docPr id="3" name="Picture 6" descr="Tesco profit warning – how much was Clubcard responsible? | CustomerTh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6" descr="Tesco profit warning – how much was Clubcard responsible? | CustomerThink"/>
                    <pic:cNvPicPr>
                      <a:picLocks noChangeAspect="1" noChangeArrowheads="1"/>
                    </pic:cNvPicPr>
                  </pic:nvPicPr>
                  <pic:blipFill>
                    <a:blip r:embed="rId10"/>
                    <a:stretch>
                      <a:fillRect/>
                    </a:stretch>
                  </pic:blipFill>
                  <pic:spPr bwMode="auto">
                    <a:xfrm>
                      <a:off x="0" y="0"/>
                      <a:ext cx="3259455" cy="3403600"/>
                    </a:xfrm>
                    <a:prstGeom prst="rect">
                      <a:avLst/>
                    </a:prstGeom>
                    <a:noFill/>
                  </pic:spPr>
                </pic:pic>
              </a:graphicData>
            </a:graphic>
          </wp:inline>
        </w:drawing>
      </w:r>
    </w:p>
    <w:p w14:paraId="2C9560A8" w14:textId="77777777" w:rsidR="00612D3C" w:rsidRDefault="007047D9">
      <w:pPr>
        <w:jc w:val="center"/>
        <w:rPr>
          <w:rFonts w:ascii="Calibri" w:hAnsi="Calibri" w:cs="Calibri"/>
          <w:b/>
          <w:bCs/>
        </w:rPr>
      </w:pPr>
      <w:r>
        <w:rPr>
          <w:rFonts w:ascii="Calibri" w:hAnsi="Calibri" w:cs="Calibri"/>
          <w:b/>
          <w:bCs/>
        </w:rPr>
        <w:t>Figure 3: Tesco reward vs market share for club card</w:t>
      </w:r>
    </w:p>
    <w:p w14:paraId="79A9D662" w14:textId="77777777" w:rsidR="00612D3C" w:rsidRDefault="007047D9">
      <w:pPr>
        <w:jc w:val="center"/>
        <w:rPr>
          <w:rFonts w:ascii="Calibri" w:hAnsi="Calibri" w:cs="Calibri"/>
        </w:rPr>
      </w:pPr>
      <w:r>
        <w:rPr>
          <w:rFonts w:ascii="Calibri" w:hAnsi="Calibri" w:cs="Calibri"/>
        </w:rPr>
        <w:t>(Source: Sage, 2012)</w:t>
      </w:r>
    </w:p>
    <w:p w14:paraId="03926724" w14:textId="77777777" w:rsidR="00612D3C" w:rsidRDefault="007047D9">
      <w:pPr>
        <w:rPr>
          <w:rFonts w:ascii="Calibri" w:hAnsi="Calibri" w:cs="Calibri"/>
        </w:rPr>
      </w:pPr>
      <w:r>
        <w:rPr>
          <w:rFonts w:ascii="Calibri" w:hAnsi="Calibri" w:cs="Calibri"/>
        </w:rPr>
        <w:t>The comparison demonstrates that during 2007-2011, as the value of the Tesco reward Clubcard grew, the market share of the company reduced, which shows that more significant investments in loyalty did not always guarantee equal returns on the retention (Sage, 2012). This trend indicates that other than financial rewards, loyalty effectiveness is based on the perceived relevance and experience of the programme. Hughes (2021) provided a more socio-economic explanation that the impact of Clubcard was not just on retail sales but on the activity in other related sectors like the local housing markets. According to his findings, Tesco loyalty ecosystem is a macro-economic tool, which influences the household spending and the behaviour of the community. Taken together, those lessons suggest that brand embeddedness is deeper than transactional loyalty in Tesco - it represents a complex system in which marketing, data, and socio-economic trust interrelate to create a sustained engagement between customers.</w:t>
      </w:r>
    </w:p>
    <w:p w14:paraId="228B7505" w14:textId="77777777" w:rsidR="00612D3C" w:rsidRDefault="007047D9">
      <w:pPr>
        <w:pStyle w:val="Heading3"/>
        <w:rPr>
          <w:rFonts w:ascii="Calibri" w:hAnsi="Calibri" w:cs="Calibri"/>
          <w:color w:val="auto"/>
        </w:rPr>
      </w:pPr>
      <w:r>
        <w:t>2.6.2 Crisis Management and Operation Resilience.</w:t>
      </w:r>
    </w:p>
    <w:p w14:paraId="5B150958" w14:textId="77777777" w:rsidR="00612D3C" w:rsidRDefault="007047D9">
      <w:pPr>
        <w:rPr>
          <w:rFonts w:ascii="Calibri" w:hAnsi="Calibri" w:cs="Calibri"/>
        </w:rPr>
      </w:pPr>
      <w:r>
        <w:rPr>
          <w:rFonts w:ascii="Calibri" w:hAnsi="Calibri" w:cs="Calibri"/>
        </w:rPr>
        <w:t>Digital infrastructure and data agility are becoming critical in terms of crisis resilience in retail operations. Winter et al. (2024) depicted that clearly, in their case study of Tesco performance during national crises, the company used its Loyalty database infrastructure to communicate effectively with customers, distribute food products and food stock sustainably. Throughout these times, the Clubcard system of Tesco stopped being a marketing tool and became an adaptability tool of strategy that maintained customer satisfaction and loyalty during high levels of uncertainty. These results support the thesis that digital loyalty programmes serve as marketing and logistical instruments and trust-building mechanisms.</w:t>
      </w:r>
    </w:p>
    <w:p w14:paraId="51146E94" w14:textId="77777777" w:rsidR="00612D3C" w:rsidRDefault="007047D9">
      <w:pPr>
        <w:rPr>
          <w:rFonts w:ascii="Calibri" w:hAnsi="Calibri" w:cs="Calibri"/>
        </w:rPr>
      </w:pPr>
      <w:r>
        <w:rPr>
          <w:rFonts w:ascii="Calibri" w:hAnsi="Calibri" w:cs="Calibri"/>
        </w:rPr>
        <w:t>Hartfield (2024), in his turn, has also noted that one of the primary entry obstacles in the UK food retail has become data-driven differentiation. According to the case study, the Tesco and other incumbent companies have proprietary data systems, which generate significant strategic value by generating unique information about consumer behaviour. This proves correct the idea that loyalty analytics are not a supportive marketing deliverable but a competitive resource foundation in the long run market place. Making use of predictive modelling and supply-chain synchronisation, Tesco uses its Clubcard data to guarantee inventory efficiency and strengthen the consistency of engagement. Analytics combined with the ability to operate therefore transforms loyalty into strategic capability with quantifiable resilience advantages.</w:t>
      </w:r>
    </w:p>
    <w:p w14:paraId="17E2F60A" w14:textId="77777777" w:rsidR="00612D3C" w:rsidRDefault="007047D9">
      <w:pPr>
        <w:pStyle w:val="Heading3"/>
        <w:rPr>
          <w:rFonts w:ascii="Calibri" w:hAnsi="Calibri" w:cs="Calibri"/>
          <w:color w:val="auto"/>
        </w:rPr>
      </w:pPr>
      <w:r>
        <w:t>2.6.3 Service and Digital Experience Incorporation.</w:t>
      </w:r>
    </w:p>
    <w:p w14:paraId="7905A20A" w14:textId="77777777" w:rsidR="00612D3C" w:rsidRDefault="007047D9">
      <w:pPr>
        <w:rPr>
          <w:rFonts w:ascii="Calibri" w:hAnsi="Calibri" w:cs="Calibri"/>
        </w:rPr>
      </w:pPr>
      <w:r>
        <w:rPr>
          <w:rFonts w:ascii="Calibri" w:hAnsi="Calibri" w:cs="Calibri"/>
        </w:rPr>
        <w:t>The merging of the physical and digital service space is one of the characteristic elements of the hybrid operations in Tesco. The boundaries between the convenience of online and in-store retailer interaction have been erased by the introduction of self-service checkouts and mobile payment interfaces by the retailer. Singh et al. (2021) emphasised that assurance and reliability are the most common motivators of satisfaction in the traditional retail setting, and Wolniak et al. (2024) discovered that in the digital setting, user-friendliness and trialability take the first place. The omnichannel strategy of Tesco thus has to undertake a delicate balance between the two dimensions so that trust and comfort are always passed over touchpoints.</w:t>
      </w:r>
    </w:p>
    <w:p w14:paraId="6826539D" w14:textId="77777777" w:rsidR="00612D3C" w:rsidRDefault="007047D9">
      <w:pPr>
        <w:rPr>
          <w:rFonts w:ascii="Calibri" w:hAnsi="Calibri" w:cs="Calibri"/>
        </w:rPr>
      </w:pPr>
      <w:r>
        <w:rPr>
          <w:rFonts w:ascii="Calibri" w:hAnsi="Calibri" w:cs="Calibri"/>
        </w:rPr>
        <w:t>This composition is also a manifestation of the Expectation-Confirmation rationale: the perceived credibility of the channel delivery of services as the customer evolves by gaining more digital experience turns into the basis of satisfaction. The consistency of the interaction quality, be it through the app or the in-store interface, is what makes the perceived usefulness and reliability of the brand to be the same and, therefore, strengthens the behavioural loyalty.</w:t>
      </w:r>
    </w:p>
    <w:p w14:paraId="2162A326" w14:textId="77777777" w:rsidR="00612D3C" w:rsidRDefault="007047D9">
      <w:pPr>
        <w:pStyle w:val="Heading2"/>
        <w:rPr>
          <w:rFonts w:ascii="Calibri" w:hAnsi="Calibri" w:cs="Calibri"/>
        </w:rPr>
      </w:pPr>
      <w:r>
        <w:t>2.7 Theoretical Framework</w:t>
      </w:r>
    </w:p>
    <w:p w14:paraId="6019BEF8" w14:textId="77777777" w:rsidR="00612D3C" w:rsidRDefault="007047D9">
      <w:pPr>
        <w:rPr>
          <w:rFonts w:ascii="Calibri" w:hAnsi="Calibri" w:cs="Calibri"/>
        </w:rPr>
      </w:pPr>
      <w:r>
        <w:rPr>
          <w:rFonts w:ascii="Calibri" w:hAnsi="Calibri" w:cs="Calibri"/>
        </w:rPr>
        <w:t>The theoretical model developed based on the literature review is a synthesis of the Expectation-Confirmation Model (ECM) developed along with the variables of trust, perceived usefulness, satisfaction, and continuance intention.</w:t>
      </w:r>
    </w:p>
    <w:p w14:paraId="56C02BF3" w14:textId="77777777" w:rsidR="00612D3C" w:rsidRDefault="007047D9">
      <w:pPr>
        <w:rPr>
          <w:rFonts w:ascii="Calibri" w:hAnsi="Calibri" w:cs="Calibri"/>
        </w:rPr>
      </w:pPr>
      <w:r>
        <w:rPr>
          <w:rFonts w:ascii="Calibri" w:hAnsi="Calibri" w:cs="Calibri"/>
        </w:rPr>
        <w:t>Expectation Confirmation is based on the relationship between the expected performance and actual performance. Satisfaction is improved by positive confirmation, where the personalisation of apps and reward delivery are above the expectations (Tam et al., 2020).</w:t>
      </w:r>
    </w:p>
    <w:p w14:paraId="2562ECC9" w14:textId="77777777" w:rsidR="00612D3C" w:rsidRDefault="007047D9">
      <w:pPr>
        <w:rPr>
          <w:rFonts w:ascii="Calibri" w:hAnsi="Calibri" w:cs="Calibri"/>
        </w:rPr>
      </w:pPr>
      <w:r>
        <w:rPr>
          <w:rFonts w:ascii="Calibri" w:hAnsi="Calibri" w:cs="Calibri"/>
        </w:rPr>
        <w:t>Perceived Usefulness is a measure that includes how the consumer perceives the capability of the app to enhance the convenience of shopping and financial efficiency (Ngubelanga and Duffett, 2021).</w:t>
      </w:r>
    </w:p>
    <w:p w14:paraId="5F2296E3" w14:textId="77777777" w:rsidR="00612D3C" w:rsidRDefault="007047D9">
      <w:pPr>
        <w:rPr>
          <w:rFonts w:ascii="Calibri" w:hAnsi="Calibri" w:cs="Calibri"/>
        </w:rPr>
      </w:pPr>
      <w:r>
        <w:rPr>
          <w:rFonts w:ascii="Calibri" w:hAnsi="Calibri" w:cs="Calibri"/>
        </w:rPr>
        <w:t>Trust serves as an antecedent and a moderator, which increases satisfaction and directly directly affects the continuance intention (Nguyen and Dao, 2024; Talwar et al., 2020).</w:t>
      </w:r>
    </w:p>
    <w:p w14:paraId="4D036153" w14:textId="77777777" w:rsidR="00612D3C" w:rsidRDefault="007047D9">
      <w:pPr>
        <w:rPr>
          <w:rFonts w:ascii="Calibri" w:hAnsi="Calibri" w:cs="Calibri"/>
        </w:rPr>
      </w:pPr>
      <w:r>
        <w:rPr>
          <w:rFonts w:ascii="Calibri" w:hAnsi="Calibri" w:cs="Calibri"/>
        </w:rPr>
        <w:t>Satisfaction is a cognitive appraisal that is transformed into behavioural loyalty but in an emotional state (Chiu et al., 2021).</w:t>
      </w:r>
    </w:p>
    <w:p w14:paraId="15B98559" w14:textId="77777777" w:rsidR="00612D3C" w:rsidRDefault="007047D9">
      <w:pPr>
        <w:rPr>
          <w:rFonts w:ascii="Calibri" w:hAnsi="Calibri" w:cs="Calibri"/>
        </w:rPr>
      </w:pPr>
      <w:r>
        <w:rPr>
          <w:rFonts w:ascii="Calibri" w:hAnsi="Calibri" w:cs="Calibri"/>
        </w:rPr>
        <w:t>Continuance Intention is the probability of the user to continue with the usage, which is reinforced with the presence of habitual behaviour and immersive interaction (Nguyen and Thi Dao, 2024).</w:t>
      </w:r>
    </w:p>
    <w:p w14:paraId="093D52CB" w14:textId="77777777" w:rsidR="00612D3C" w:rsidRDefault="007047D9">
      <w:pPr>
        <w:rPr>
          <w:rFonts w:ascii="Calibri" w:hAnsi="Calibri" w:cs="Calibri"/>
          <w:color w:val="000000"/>
        </w:rPr>
      </w:pPr>
      <w:r>
        <w:t>The theoretical framework explicitly incorporates gamification, community belonging and push notifications as digital engagement constructs within the Tesco Clubcard app. Section 2.3.2 explains that gamified experiences, competitive features and a sense of community can strengthen emotional attachment and habitual app use. Gamification represents the use of interactive and reward-based features that encourage customers to engage with the app, while community belonging reflects the extent to which users feel connected to the wider Tesco loyalty environment.</w:t>
      </w:r>
    </w:p>
    <w:p w14:paraId="109DF6B6" w14:textId="77777777" w:rsidR="00612D3C" w:rsidRDefault="007047D9">
      <w:pPr>
        <w:rPr>
          <w:rFonts w:ascii="Calibri" w:hAnsi="Calibri" w:cs="Calibri"/>
        </w:rPr>
      </w:pPr>
      <w:r>
        <w:rPr>
          <w:rFonts w:ascii="Calibri" w:hAnsi="Calibri" w:cs="Calibri"/>
        </w:rPr>
        <w:t>The model can be supplemented with the price sensitivity (Susanto et al., 2023) and service reliability (Singh et al., 2021) as secondary moderators to consider the context and operational factors. Together, all these constructs present post-adoption loyalty as a multidimensional process whereby satisfaction is driven by confirmation, relationship stabilised through the trusting relationship and usage maintained through perceived value.</w:t>
      </w:r>
    </w:p>
    <w:p w14:paraId="170E6A1A" w14:textId="77777777" w:rsidR="00612D3C" w:rsidRDefault="007047D9">
      <w:pPr>
        <w:rPr>
          <w:rFonts w:ascii="Calibri" w:hAnsi="Calibri" w:cs="Calibri"/>
        </w:rPr>
      </w:pPr>
      <w:r>
        <w:rPr>
          <w:rFonts w:ascii="Calibri" w:hAnsi="Calibri" w:cs="Calibri"/>
        </w:rPr>
        <w:t>The framework places the confirmation of expectations in the middle of a network between the cognitive, affective, and behavioural parts. The perception and intention are mediated by satisfaction and the strength of the relationships is moderated by trust. The continuance behaviour is influenced by contextual moderators, such as price fairness, reliability, and digital ethics, and satisfaction, which are perceived usefulness, ease of use, and value. This combined framework is used in the case of the Tesco Clubcard; it can be seen that reliability of the technology, ethical data processing and perceived reciprocity are intertwined to maintain customer loyalty in an established digital retail channel.</w:t>
      </w:r>
    </w:p>
    <w:p w14:paraId="1F0933F3" w14:textId="77777777" w:rsidR="00612D3C" w:rsidRDefault="007047D9">
      <w:pPr>
        <w:spacing w:before="120" w:after="120"/>
        <w:rPr>
          <w:rFonts w:ascii="Calibri" w:hAnsi="Calibri" w:cs="Calibri"/>
        </w:rPr>
      </w:pPr>
      <w:r>
        <w:rPr>
          <w:rFonts w:ascii="Calibri" w:hAnsi="Calibri" w:cs="Calibri"/>
        </w:rPr>
        <w:t>The framework distinguishes between theoretical and empirical components. Expectation confirmation, trust and price sensitivity are included as literature-based contextual factors, but the questionnaire does not measure them as separate variables and this study does not estimate formal mediation or moderation models. The empirical analysis tests the seven measured app features as predictors of customer satisfaction and examines the associations between satisfaction and the self-reported loyalty outcomes.</w:t>
      </w:r>
    </w:p>
    <w:p w14:paraId="3F1AB636" w14:textId="77777777" w:rsidR="00612D3C" w:rsidRDefault="007047D9">
      <w:pPr>
        <w:spacing w:before="120" w:after="60"/>
        <w:jc w:val="center"/>
        <w:rPr>
          <w:rFonts w:ascii="Calibri" w:hAnsi="Calibri" w:cs="Calibri"/>
        </w:rPr>
      </w:pPr>
      <w:r>
        <w:rPr>
          <w:noProof/>
        </w:rPr>
        <w:drawing>
          <wp:inline distT="0" distB="0" distL="0" distR="0" wp14:anchorId="58C5B180" wp14:editId="3337715D">
            <wp:extent cx="5806440" cy="2927985"/>
            <wp:effectExtent l="0" t="0" r="0" b="0"/>
            <wp:docPr id="4" name="Picture 2139690737" descr="Conceptual framework showing measured app features, customer satisfaction, loyalty outcomes, expectation confirmation, trust and price sensitivity, with solid arrows for analysed relationships and dashed arrows for theoretical relationsh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139690737" descr="Conceptual framework showing measured app features, customer satisfaction, loyalty outcomes, expectation confirmation, trust and price sensitivity, with solid arrows for analysed relationships and dashed arrows for theoretical relationships."/>
                    <pic:cNvPicPr>
                      <a:picLocks noChangeAspect="1" noChangeArrowheads="1"/>
                    </pic:cNvPicPr>
                  </pic:nvPicPr>
                  <pic:blipFill>
                    <a:blip r:embed="rId11"/>
                    <a:stretch>
                      <a:fillRect/>
                    </a:stretch>
                  </pic:blipFill>
                  <pic:spPr bwMode="auto">
                    <a:xfrm>
                      <a:off x="0" y="0"/>
                      <a:ext cx="5806440" cy="2927985"/>
                    </a:xfrm>
                    <a:prstGeom prst="rect">
                      <a:avLst/>
                    </a:prstGeom>
                    <a:noFill/>
                  </pic:spPr>
                </pic:pic>
              </a:graphicData>
            </a:graphic>
          </wp:inline>
        </w:drawing>
      </w:r>
    </w:p>
    <w:p w14:paraId="7ECD13A6" w14:textId="77777777" w:rsidR="00612D3C" w:rsidRDefault="007047D9">
      <w:pPr>
        <w:spacing w:after="120"/>
        <w:jc w:val="center"/>
        <w:rPr>
          <w:rFonts w:ascii="Calibri" w:hAnsi="Calibri" w:cs="Calibri"/>
        </w:rPr>
      </w:pPr>
      <w:r>
        <w:rPr>
          <w:rFonts w:ascii="Calibri" w:hAnsi="Calibri" w:cs="Calibri"/>
          <w:i/>
        </w:rPr>
        <w:t>Figure 4: Conceptual framework for the Tesco Clubcard app study</w:t>
      </w:r>
    </w:p>
    <w:p w14:paraId="1C77C5F0" w14:textId="77777777" w:rsidR="00612D3C" w:rsidRDefault="007047D9">
      <w:pPr>
        <w:pStyle w:val="Heading2"/>
        <w:rPr>
          <w:rFonts w:ascii="Calibri" w:hAnsi="Calibri" w:cs="Calibri"/>
        </w:rPr>
      </w:pPr>
      <w:r>
        <w:t>2.8 Gaps in Literature</w:t>
      </w:r>
    </w:p>
    <w:p w14:paraId="39F13A9D" w14:textId="77777777" w:rsidR="00612D3C" w:rsidRDefault="007047D9">
      <w:pPr>
        <w:rPr>
          <w:rFonts w:ascii="Calibri" w:hAnsi="Calibri" w:cs="Calibri"/>
        </w:rPr>
      </w:pPr>
      <w:r>
        <w:rPr>
          <w:rFonts w:ascii="Calibri" w:hAnsi="Calibri" w:cs="Calibri"/>
        </w:rPr>
        <w:t>The current body of literature is overloaded with the continuance of mobile applications based on Expectation-Confirmation and Technology Acceptance theories, but there are gaps in the context of retail usage. There are very limited researches that measure the loyalty apps within the grocery markets with a specific focus on the influence of trust, data morals, and AI-based personalisation on satisfaction and retention. There is a lack of empirical studies on Tesco digital loyalty environment. The empirical evidence affirms the three pillars of digital loyalty, including trust, confirmation and habitual satisfaction across fields. Nevertheless, methodological diversity shows contextual peculiarities. Risk perception and data security are one of the primaries focuses of banking and payment studies (Talwar et al., 2020; Nguyen and Dao, 2024), and hedonic and utilitarian balance is one of the major areas of retail applications (Jain et al., 2022). The variability of the results indicates that the continuance intention is multi-causal where cognitive, affective and contextual fulfilment have to occur simultaneously.</w:t>
      </w:r>
    </w:p>
    <w:p w14:paraId="76627C3D" w14:textId="77777777" w:rsidR="00612D3C" w:rsidRDefault="007047D9">
      <w:pPr>
        <w:rPr>
          <w:rFonts w:ascii="Calibri" w:hAnsi="Calibri" w:cs="Calibri"/>
        </w:rPr>
      </w:pPr>
      <w:r>
        <w:rPr>
          <w:rFonts w:ascii="Calibri" w:hAnsi="Calibri" w:cs="Calibri"/>
        </w:rPr>
        <w:t>More importantly, in the literature, there is a gap to be filled in terms of tension between technological innovation and expectation management. Digital transformation is constantly raising consumer standards in line with Wolniak et al. (2024) and it is therefore impossible to achieve perpetual satisfaction. This means that loyalty plans which only rely on the novelty of technology face the threat of becoming obsolete when innovations begin to spread. The long-term retention is therefore based on the stability of the trust and the sense of the fairness and not upon the cycles of innovation.</w:t>
      </w:r>
    </w:p>
    <w:p w14:paraId="3B451CE2" w14:textId="77777777" w:rsidR="00612D3C" w:rsidRDefault="007047D9">
      <w:pPr>
        <w:rPr>
          <w:rFonts w:ascii="Calibri" w:hAnsi="Calibri" w:cs="Calibri"/>
        </w:rPr>
      </w:pPr>
      <w:r>
        <w:rPr>
          <w:rFonts w:ascii="Calibri" w:hAnsi="Calibri" w:cs="Calibri"/>
        </w:rPr>
        <w:t>These theoretical insights are united in the ecosystem of Tesco. The corporate reports and empirical research on retail show that consumer satisfaction is supported by data analytics and automation and service reliability (Tesco PLC, 2024; Singh et al., 2021). However, with the decline of differentiation via discount, sustenance of loyalty depends upon emotional trust, ethical information utilisation, and personalised return-to, exactly the variables highlighted in protracted ECM models.</w:t>
      </w:r>
    </w:p>
    <w:p w14:paraId="6571D328" w14:textId="77777777" w:rsidR="00612D3C" w:rsidRDefault="007047D9">
      <w:pPr>
        <w:rPr>
          <w:rFonts w:ascii="Calibri" w:hAnsi="Calibri" w:cs="Calibri"/>
        </w:rPr>
      </w:pPr>
      <w:r>
        <w:rPr>
          <w:rFonts w:ascii="Calibri" w:hAnsi="Calibri" w:cs="Calibri"/>
        </w:rPr>
        <w:t>Lastly, the literature cautions as a whole on how adoption measures are being compared to loyalty outputs. The high enrolment rates can mask the poor levels of engagement when the level of satisfaction or trust reduces. This cannot be better explained by the argument that the psychological and experiential processes of post-adoption behaviour are better explicative in the sense of digital loyalty retention in adult retail markets.</w:t>
      </w:r>
    </w:p>
    <w:p w14:paraId="5ABE8331" w14:textId="77777777" w:rsidR="00612D3C" w:rsidRDefault="007047D9">
      <w:pPr>
        <w:pStyle w:val="Heading2"/>
        <w:rPr>
          <w:rFonts w:ascii="Calibri" w:hAnsi="Calibri" w:cs="Calibri"/>
        </w:rPr>
      </w:pPr>
      <w:r>
        <w:t>2.9 Summary</w:t>
      </w:r>
    </w:p>
    <w:p w14:paraId="59BBCA96" w14:textId="77777777" w:rsidR="00612D3C" w:rsidRDefault="007047D9">
      <w:pPr>
        <w:rPr>
          <w:rFonts w:ascii="Calibri" w:hAnsi="Calibri" w:cs="Calibri"/>
        </w:rPr>
      </w:pPr>
      <w:r>
        <w:rPr>
          <w:rFonts w:ascii="Calibri" w:hAnsi="Calibri" w:cs="Calibri"/>
        </w:rPr>
        <w:t>The current literature body reviewed creates a consistent and dynamic concept of post-adoption loyalty in online retailing. The theoretical base is still based on expectation-confirmation, but when combined with the trust, motivation, and experiential constructs, the explanatory ability of this theory rises. When these models are considered in the context of the Clubcard app developed by Tesco, it is important to focus on the interactions between confirmation, perceived usefulness, and satisfaction in a highly digitised data-rich retail setting. The subsequent level of analysis thus sits in the empirical testing of those constructs in the consumer base of Tesco to ascertain which ones are most predictive of sustained loyalty behaviour.</w:t>
      </w:r>
    </w:p>
    <w:p w14:paraId="1457C9E4" w14:textId="77777777" w:rsidR="00612D3C" w:rsidRDefault="007047D9">
      <w:pPr>
        <w:rPr>
          <w:rFonts w:ascii="Calibri" w:hAnsi="Calibri" w:cs="Calibri"/>
        </w:rPr>
      </w:pPr>
      <w:r>
        <w:br w:type="page"/>
      </w:r>
    </w:p>
    <w:p w14:paraId="06E8EACD" w14:textId="77777777" w:rsidR="00612D3C" w:rsidRDefault="007047D9">
      <w:pPr>
        <w:pStyle w:val="Heading1"/>
        <w:spacing w:before="0"/>
        <w:rPr>
          <w:rFonts w:ascii="Calibri" w:hAnsi="Calibri" w:cs="Calibri"/>
        </w:rPr>
      </w:pPr>
      <w:bookmarkStart w:id="17" w:name="_Toc240835791"/>
      <w:r>
        <w:rPr>
          <w:rFonts w:ascii="Calibri" w:hAnsi="Calibri" w:cs="Calibri"/>
        </w:rPr>
        <w:t>3. RESEARCH METHODOLOGY</w:t>
      </w:r>
      <w:bookmarkEnd w:id="17"/>
    </w:p>
    <w:p w14:paraId="30846C14" w14:textId="77777777" w:rsidR="00612D3C" w:rsidRDefault="007047D9">
      <w:pPr>
        <w:pStyle w:val="Heading2"/>
        <w:rPr>
          <w:rFonts w:ascii="Calibri" w:hAnsi="Calibri" w:cs="Calibri"/>
        </w:rPr>
      </w:pPr>
      <w:bookmarkStart w:id="18" w:name="_Toc240835792"/>
      <w:r>
        <w:rPr>
          <w:rFonts w:ascii="Calibri" w:hAnsi="Calibri" w:cs="Calibri"/>
        </w:rPr>
        <w:t>3.1 Introduction</w:t>
      </w:r>
      <w:bookmarkEnd w:id="18"/>
    </w:p>
    <w:p w14:paraId="6332F82E" w14:textId="77777777" w:rsidR="00612D3C" w:rsidRDefault="007047D9">
      <w:pPr>
        <w:rPr>
          <w:rFonts w:ascii="Calibri" w:hAnsi="Calibri" w:cs="Calibri"/>
        </w:rPr>
      </w:pPr>
      <w:r>
        <w:rPr>
          <w:rFonts w:ascii="Calibri" w:hAnsi="Calibri" w:cs="Calibri"/>
        </w:rPr>
        <w:t>This chapter is meant to discuss and justify the methodological decisions that were made in this study to investigate how Tesco Clubcard mobile app is influencing customer retention in the UK grocery market. The design is based on a systematic methodological reasoning, which conforms philosophical placement, research design, research strategies, sampling, data-collection processes, data-analytical methods, and ethical guidelines. All decisions would be based on literature on methodological rigour to be rigorous, transparent, and in line with the overall objectives of the study.</w:t>
      </w:r>
    </w:p>
    <w:p w14:paraId="3567F067" w14:textId="77777777" w:rsidR="00612D3C" w:rsidRDefault="007047D9">
      <w:pPr>
        <w:pStyle w:val="Heading2"/>
        <w:rPr>
          <w:rFonts w:ascii="Calibri" w:hAnsi="Calibri" w:cs="Calibri"/>
        </w:rPr>
      </w:pPr>
      <w:bookmarkStart w:id="19" w:name="_Toc240835793"/>
      <w:r>
        <w:rPr>
          <w:rFonts w:ascii="Calibri" w:hAnsi="Calibri" w:cs="Calibri"/>
        </w:rPr>
        <w:t>3.2 Research Onion</w:t>
      </w:r>
      <w:bookmarkEnd w:id="19"/>
    </w:p>
    <w:p w14:paraId="6F7E6446" w14:textId="77777777" w:rsidR="00612D3C" w:rsidRDefault="007047D9">
      <w:pPr>
        <w:jc w:val="center"/>
        <w:rPr>
          <w:rFonts w:ascii="Calibri" w:hAnsi="Calibri" w:cs="Calibri"/>
        </w:rPr>
      </w:pPr>
      <w:r>
        <w:rPr>
          <w:noProof/>
        </w:rPr>
        <w:drawing>
          <wp:inline distT="0" distB="0" distL="0" distR="0" wp14:anchorId="7104CBE8" wp14:editId="600F7C4A">
            <wp:extent cx="3634740" cy="2598420"/>
            <wp:effectExtent l="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pic:cNvPicPr>
                      <a:picLocks noChangeAspect="1" noChangeArrowheads="1"/>
                    </pic:cNvPicPr>
                  </pic:nvPicPr>
                  <pic:blipFill>
                    <a:blip r:embed="rId12"/>
                    <a:stretch>
                      <a:fillRect/>
                    </a:stretch>
                  </pic:blipFill>
                  <pic:spPr bwMode="auto">
                    <a:xfrm>
                      <a:off x="0" y="0"/>
                      <a:ext cx="3634740" cy="2598420"/>
                    </a:xfrm>
                    <a:prstGeom prst="rect">
                      <a:avLst/>
                    </a:prstGeom>
                    <a:noFill/>
                  </pic:spPr>
                </pic:pic>
              </a:graphicData>
            </a:graphic>
          </wp:inline>
        </w:drawing>
      </w:r>
    </w:p>
    <w:p w14:paraId="5ED9CEDC" w14:textId="77777777" w:rsidR="00612D3C" w:rsidRDefault="007047D9">
      <w:pPr>
        <w:jc w:val="center"/>
        <w:rPr>
          <w:rFonts w:ascii="Calibri" w:hAnsi="Calibri" w:cs="Calibri"/>
          <w:b/>
          <w:bCs/>
        </w:rPr>
      </w:pPr>
      <w:r>
        <w:t>Figure 5: Research onion</w:t>
      </w:r>
    </w:p>
    <w:p w14:paraId="64E1AA4E" w14:textId="77777777" w:rsidR="00612D3C" w:rsidRDefault="007047D9">
      <w:pPr>
        <w:jc w:val="center"/>
        <w:rPr>
          <w:rFonts w:ascii="Calibri" w:hAnsi="Calibri" w:cs="Calibri"/>
        </w:rPr>
      </w:pPr>
      <w:r>
        <w:rPr>
          <w:rFonts w:ascii="Calibri" w:hAnsi="Calibri" w:cs="Calibri"/>
        </w:rPr>
        <w:t>(Source: Saunders et al. 2007)</w:t>
      </w:r>
    </w:p>
    <w:p w14:paraId="404F711D" w14:textId="77777777" w:rsidR="00612D3C" w:rsidRDefault="007047D9">
      <w:pPr>
        <w:rPr>
          <w:rFonts w:ascii="Calibri" w:hAnsi="Calibri" w:cs="Calibri"/>
        </w:rPr>
      </w:pPr>
      <w:r>
        <w:rPr>
          <w:rFonts w:ascii="Calibri" w:hAnsi="Calibri" w:cs="Calibri"/>
        </w:rPr>
        <w:t>Saunders et al. interpreted the research onion as a model of methodically making decisions during methodology and the approach starts with philosophical underpinnings and becomes increasingly small to data-collection instruments and techniques of data analysis (Saunders et al., 2007). This stratified model facilitates consistency among epistemology, methodological design and execution. Adhering to this framework enhances the consistency within it as well as makes certain that the methodological decisions are logically tied down between ontology and the analytical output.</w:t>
      </w:r>
    </w:p>
    <w:p w14:paraId="42B34C43" w14:textId="77777777" w:rsidR="00612D3C" w:rsidRDefault="007047D9">
      <w:pPr>
        <w:pStyle w:val="Heading2"/>
        <w:rPr>
          <w:rFonts w:ascii="Calibri" w:hAnsi="Calibri" w:cs="Calibri"/>
        </w:rPr>
      </w:pPr>
      <w:bookmarkStart w:id="20" w:name="_Toc240835794"/>
      <w:r>
        <w:rPr>
          <w:rFonts w:ascii="Calibri" w:hAnsi="Calibri" w:cs="Calibri"/>
        </w:rPr>
        <w:t>3.3 Philosophy of Research</w:t>
      </w:r>
      <w:bookmarkEnd w:id="20"/>
    </w:p>
    <w:p w14:paraId="7381814D" w14:textId="77777777" w:rsidR="00612D3C" w:rsidRDefault="007047D9">
      <w:pPr>
        <w:rPr>
          <w:rFonts w:ascii="Calibri" w:hAnsi="Calibri" w:cs="Calibri"/>
        </w:rPr>
      </w:pPr>
      <w:r>
        <w:rPr>
          <w:rFonts w:ascii="Calibri" w:hAnsi="Calibri" w:cs="Calibri"/>
        </w:rPr>
        <w:t>This research philosophy assumes the positivism research philosophy that the reality can be measured, quantified and analysed based on empirical indicators. Positivism concomitant with the studies that are based on observable and measurable phenomena, which are usually operationalised by means of numerical data and structured tools. Positivism is based on the assumption that systematic measurement and statistical relationships allow the generalisability of knowledge, the argument that is strengthened by methodological conversations about the objective and replicability (Alharahsheh and Pius, 2020).</w:t>
      </w:r>
    </w:p>
    <w:p w14:paraId="4A4A5471" w14:textId="77777777" w:rsidR="00612D3C" w:rsidRDefault="007047D9">
      <w:pPr>
        <w:rPr>
          <w:rFonts w:ascii="Calibri" w:hAnsi="Calibri" w:cs="Calibri"/>
        </w:rPr>
      </w:pPr>
      <w:r>
        <w:t>This philosophical position supports the measurement of relationships among the app features included in the questionnaire, customer satisfaction and self-reported loyalty outcomes. Expectation confirmation, trust and price sensitivity guide the theoretical interpretation but were not measured as separate variables in the survey. According to Žukauskas et al. (2018), positivism supports empirical measurement, probability and structured data. It therefore provides a suitable basis for this quantitative study.</w:t>
      </w:r>
    </w:p>
    <w:p w14:paraId="20965B6E" w14:textId="77777777" w:rsidR="00612D3C" w:rsidRDefault="007047D9">
      <w:pPr>
        <w:pStyle w:val="Heading2"/>
        <w:rPr>
          <w:rFonts w:ascii="Calibri" w:hAnsi="Calibri" w:cs="Calibri"/>
        </w:rPr>
      </w:pPr>
      <w:bookmarkStart w:id="21" w:name="_Toc240835795"/>
      <w:r>
        <w:rPr>
          <w:rFonts w:ascii="Calibri" w:hAnsi="Calibri" w:cs="Calibri"/>
        </w:rPr>
        <w:t>3.4 Research approach</w:t>
      </w:r>
      <w:bookmarkEnd w:id="21"/>
    </w:p>
    <w:p w14:paraId="433E3F69" w14:textId="77777777" w:rsidR="00612D3C" w:rsidRDefault="007047D9">
      <w:pPr>
        <w:rPr>
          <w:rFonts w:ascii="Calibri" w:hAnsi="Calibri" w:cs="Calibri"/>
        </w:rPr>
      </w:pPr>
      <w:r>
        <w:rPr>
          <w:rFonts w:ascii="Calibri" w:hAnsi="Calibri" w:cs="Calibri"/>
        </w:rPr>
        <w:t>The reason why the deductive method is taken is that it starts with the theory, develops theories and then tests these by use of empirical observations. Deduction is appropriate in studies that are based on pre-existing theoretical models, especially when one wants to understand the applicability of previously existing theory in a new setting (Woiceshyn and Daellenbach, 2018).</w:t>
      </w:r>
    </w:p>
    <w:p w14:paraId="46137EAE" w14:textId="77777777" w:rsidR="00612D3C" w:rsidRDefault="007047D9">
      <w:pPr>
        <w:rPr>
          <w:rFonts w:ascii="Calibri" w:hAnsi="Calibri" w:cs="Calibri"/>
        </w:rPr>
      </w:pPr>
      <w:r>
        <w:t>Deductive strategies are appropriate when a study uses existing theory to specify relationships that can be examined with structured data. This study draws on the Expectation-Confirmation Model and related technology-continuance research to examine associations among measured Clubcard app features, satisfaction and loyalty outcomes.</w:t>
      </w:r>
    </w:p>
    <w:p w14:paraId="74EFA363" w14:textId="77777777" w:rsidR="00612D3C" w:rsidRDefault="007047D9">
      <w:pPr>
        <w:rPr>
          <w:rFonts w:ascii="Calibri" w:hAnsi="Calibri" w:cs="Calibri"/>
        </w:rPr>
      </w:pPr>
      <w:r>
        <w:rPr>
          <w:rFonts w:ascii="Calibri" w:hAnsi="Calibri" w:cs="Calibri"/>
        </w:rPr>
        <w:t>Even though some of the researchers emphasize the difficulty of inductive and deductive reasoning separation in practice (Armat et al., 2018), Pearse depicted that deductive analysis is especially applicable when priori constructs are used to define the coding and measurement process (Pearse, 2019). The survey research method is therefore quite congruent with a deductive mode of inquiry due to the structured nature of the research.</w:t>
      </w:r>
    </w:p>
    <w:p w14:paraId="285C066D" w14:textId="77777777" w:rsidR="00612D3C" w:rsidRDefault="007047D9">
      <w:pPr>
        <w:pStyle w:val="Heading2"/>
        <w:rPr>
          <w:rFonts w:ascii="Calibri" w:hAnsi="Calibri" w:cs="Calibri"/>
        </w:rPr>
      </w:pPr>
      <w:bookmarkStart w:id="22" w:name="_Toc240835796"/>
      <w:r>
        <w:rPr>
          <w:rFonts w:ascii="Calibri" w:hAnsi="Calibri" w:cs="Calibri"/>
        </w:rPr>
        <w:t>3.5 Research Strategy: Quantitative Survey Strategy.</w:t>
      </w:r>
      <w:bookmarkEnd w:id="22"/>
    </w:p>
    <w:p w14:paraId="6D6F4801" w14:textId="77777777" w:rsidR="00612D3C" w:rsidRDefault="007047D9">
      <w:pPr>
        <w:rPr>
          <w:rFonts w:ascii="Calibri" w:hAnsi="Calibri" w:cs="Calibri"/>
        </w:rPr>
      </w:pPr>
      <w:r>
        <w:rPr>
          <w:rFonts w:ascii="Calibri" w:hAnsi="Calibri" w:cs="Calibri"/>
        </w:rPr>
        <w:t>The quantitative survey strategy is selected due to the possibility of obtaining standardised data by a large sample and statistically analysing the relationship of the variables. Consumer research Surveys are a common tool in analysing attitudes, satisfaction, patterns associated with behaviour and retention. According to Ponto, surveys prove to be efficient in terms of self-reported perceptions and correlational tests across demographics (Ponto, 2015).</w:t>
      </w:r>
    </w:p>
    <w:p w14:paraId="612A4858" w14:textId="77777777" w:rsidR="00612D3C" w:rsidRDefault="007047D9">
      <w:pPr>
        <w:rPr>
          <w:rFonts w:ascii="Calibri" w:hAnsi="Calibri" w:cs="Calibri"/>
        </w:rPr>
      </w:pPr>
      <w:r>
        <w:rPr>
          <w:rFonts w:ascii="Calibri" w:hAnsi="Calibri" w:cs="Calibri"/>
        </w:rPr>
        <w:t>The plan is highly consistent with the positivism and deduction approaches, as it provides a numerical value of the relationship between Clubcard app features and customer retention results. The generalisability is also supported through the use of survey design but through proper sampling of the instrument and validity and reliability of the instrument used.</w:t>
      </w:r>
    </w:p>
    <w:p w14:paraId="2E264D15" w14:textId="77777777" w:rsidR="00612D3C" w:rsidRDefault="007047D9">
      <w:pPr>
        <w:pStyle w:val="Heading2"/>
        <w:rPr>
          <w:rFonts w:ascii="Calibri" w:hAnsi="Calibri" w:cs="Calibri"/>
        </w:rPr>
      </w:pPr>
      <w:bookmarkStart w:id="23" w:name="_Toc240835797"/>
      <w:r>
        <w:rPr>
          <w:rFonts w:ascii="Calibri" w:hAnsi="Calibri" w:cs="Calibri"/>
        </w:rPr>
        <w:t>3.6 Data Collection Method</w:t>
      </w:r>
      <w:bookmarkEnd w:id="23"/>
    </w:p>
    <w:p w14:paraId="0E67F4CD" w14:textId="77777777" w:rsidR="00612D3C" w:rsidRDefault="007047D9">
      <w:pPr>
        <w:rPr>
          <w:rFonts w:ascii="Calibri" w:hAnsi="Calibri" w:cs="Calibri"/>
          <w:b/>
          <w:bCs/>
        </w:rPr>
      </w:pPr>
      <w:r>
        <w:rPr>
          <w:rFonts w:ascii="Calibri" w:hAnsi="Calibri" w:cs="Calibri"/>
          <w:b/>
          <w:bCs/>
        </w:rPr>
        <w:t>Survey Instrument</w:t>
      </w:r>
    </w:p>
    <w:p w14:paraId="45270B9A" w14:textId="77777777" w:rsidR="00612D3C" w:rsidRDefault="007047D9">
      <w:pPr>
        <w:rPr>
          <w:rFonts w:ascii="Calibri" w:hAnsi="Calibri" w:cs="Calibri"/>
        </w:rPr>
      </w:pPr>
      <w:r>
        <w:t>The study used a structured online questionnaire with closed-ended demographic, usage and five-point Likert-scale items. The measured app features were ease of use, perceived usefulness, personalisation, reward value, gamification, push notifications and app performance. The questionnaire also measured overall satisfaction, greater likelihood of shopping at Tesco and intention to continue using the app.</w:t>
      </w:r>
    </w:p>
    <w:p w14:paraId="05F4F674" w14:textId="77777777" w:rsidR="00612D3C" w:rsidRDefault="007047D9">
      <w:pPr>
        <w:rPr>
          <w:rFonts w:ascii="Calibri" w:hAnsi="Calibri" w:cs="Calibri"/>
        </w:rPr>
      </w:pPr>
      <w:r>
        <w:rPr>
          <w:rFonts w:ascii="Calibri" w:hAnsi="Calibri" w:cs="Calibri"/>
        </w:rPr>
        <w:t>Online distribution, which involves LinkedIn, Facebook groups, and online forums of consumers, assisted in quick access to active Clubcard users. Through online surveys, geographical limits are minimized and the participants have the time to fill questionnaires at their own convenience. Taherdoost (2016) described that the validity of the survey was based on its clarity, structure, and measurement of the constructs that were in accordance with theoretical definitions. This is why all questions are based on the constructs that have been proved in researches about ECM.</w:t>
      </w:r>
    </w:p>
    <w:p w14:paraId="219F7C03" w14:textId="77777777" w:rsidR="00612D3C" w:rsidRDefault="007047D9">
      <w:pPr>
        <w:rPr>
          <w:rFonts w:ascii="Calibri" w:hAnsi="Calibri" w:cs="Calibri"/>
          <w:b/>
          <w:bCs/>
        </w:rPr>
      </w:pPr>
      <w:r>
        <w:rPr>
          <w:rFonts w:ascii="Calibri" w:hAnsi="Calibri" w:cs="Calibri"/>
          <w:b/>
          <w:bCs/>
        </w:rPr>
        <w:t>Sampling Strategy</w:t>
      </w:r>
    </w:p>
    <w:p w14:paraId="7E653795" w14:textId="77777777" w:rsidR="00612D3C" w:rsidRDefault="007047D9">
      <w:pPr>
        <w:rPr>
          <w:rFonts w:ascii="Calibri" w:hAnsi="Calibri" w:cs="Calibri"/>
          <w:color w:val="000000"/>
        </w:rPr>
      </w:pPr>
      <w:r>
        <w:t>The study used non-probability purposive sampling because participants had to be relevant to the research topic. The survey link was distributed through social-media networks, UK-based customer forums and online consumer groups. This approach does not produce a statistically representative sample of the wider UK Clubcard population because participants were not selected through probability sampling. The final dataset contained 150 respondents who were aged 18 or over, were Tesco customers in the UK and had used the Clubcard app at least once in the previous 12 months. The sample is therefore assessed for its suitability for the research objectives rather than treated as representative of all Clubcard users (Rahi, 2017).</w:t>
      </w:r>
    </w:p>
    <w:p w14:paraId="0C124DB0" w14:textId="77777777" w:rsidR="00612D3C" w:rsidRDefault="007047D9">
      <w:pPr>
        <w:rPr>
          <w:rFonts w:ascii="Calibri" w:hAnsi="Calibri" w:cs="Calibri"/>
          <w:b/>
          <w:bCs/>
        </w:rPr>
      </w:pPr>
      <w:r>
        <w:rPr>
          <w:rFonts w:ascii="Calibri" w:hAnsi="Calibri" w:cs="Calibri"/>
          <w:b/>
          <w:bCs/>
        </w:rPr>
        <w:t>Recruitment and Inclusion Criteria.</w:t>
      </w:r>
    </w:p>
    <w:p w14:paraId="353B0479" w14:textId="77777777" w:rsidR="00612D3C" w:rsidRDefault="007047D9">
      <w:pPr>
        <w:rPr>
          <w:rFonts w:ascii="Calibri" w:hAnsi="Calibri" w:cs="Calibri"/>
        </w:rPr>
      </w:pPr>
      <w:r>
        <w:t>Participants were recruited through LinkedIn networks, UK-based customer forums and online consumer groups. Eligible participants had to:</w:t>
      </w:r>
    </w:p>
    <w:p w14:paraId="34275DE4" w14:textId="77777777" w:rsidR="00612D3C" w:rsidRDefault="007047D9">
      <w:pPr>
        <w:pStyle w:val="ListParagraph"/>
        <w:numPr>
          <w:ilvl w:val="0"/>
          <w:numId w:val="1"/>
        </w:numPr>
        <w:rPr>
          <w:rFonts w:ascii="Calibri" w:hAnsi="Calibri" w:cs="Calibri"/>
        </w:rPr>
      </w:pPr>
      <w:r>
        <w:rPr>
          <w:rFonts w:ascii="Calibri" w:hAnsi="Calibri" w:cs="Calibri"/>
        </w:rPr>
        <w:t>Be 18 years or older.</w:t>
      </w:r>
    </w:p>
    <w:p w14:paraId="6549B5B0" w14:textId="77777777" w:rsidR="00612D3C" w:rsidRDefault="007047D9">
      <w:pPr>
        <w:pStyle w:val="ListParagraph"/>
        <w:numPr>
          <w:ilvl w:val="0"/>
          <w:numId w:val="1"/>
        </w:numPr>
        <w:rPr>
          <w:rFonts w:ascii="Calibri" w:hAnsi="Calibri" w:cs="Calibri"/>
        </w:rPr>
      </w:pPr>
      <w:r>
        <w:rPr>
          <w:rFonts w:ascii="Calibri" w:hAnsi="Calibri" w:cs="Calibri"/>
        </w:rPr>
        <w:t>Live in the United Kingdom.</w:t>
      </w:r>
    </w:p>
    <w:p w14:paraId="57CC142D" w14:textId="77777777" w:rsidR="00612D3C" w:rsidRDefault="007047D9">
      <w:pPr>
        <w:pStyle w:val="ListParagraph"/>
        <w:numPr>
          <w:ilvl w:val="0"/>
          <w:numId w:val="1"/>
        </w:numPr>
        <w:rPr>
          <w:rFonts w:ascii="Calibri" w:hAnsi="Calibri" w:cs="Calibri"/>
        </w:rPr>
      </w:pPr>
      <w:r>
        <w:t>Have used the Tesco Clubcard app at least once in the previous 12 months.</w:t>
      </w:r>
    </w:p>
    <w:p w14:paraId="4B2EEA1F" w14:textId="77777777" w:rsidR="00612D3C" w:rsidRDefault="007047D9">
      <w:pPr>
        <w:pStyle w:val="ListParagraph"/>
        <w:numPr>
          <w:ilvl w:val="0"/>
          <w:numId w:val="1"/>
        </w:numPr>
        <w:rPr>
          <w:rFonts w:ascii="Calibri" w:hAnsi="Calibri" w:cs="Calibri"/>
        </w:rPr>
      </w:pPr>
      <w:r>
        <w:t>Non-users, people under 18 and people outside the UK were excluded.</w:t>
      </w:r>
    </w:p>
    <w:p w14:paraId="61D8970E" w14:textId="77777777" w:rsidR="00612D3C" w:rsidRDefault="007047D9">
      <w:pPr>
        <w:pStyle w:val="Heading2"/>
        <w:rPr>
          <w:rFonts w:ascii="Calibri" w:hAnsi="Calibri" w:cs="Calibri"/>
        </w:rPr>
      </w:pPr>
      <w:bookmarkStart w:id="24" w:name="_Toc240835798"/>
      <w:r>
        <w:rPr>
          <w:rFonts w:ascii="Calibri" w:hAnsi="Calibri" w:cs="Calibri"/>
        </w:rPr>
        <w:t>3.7 Data Analysis Methods</w:t>
      </w:r>
      <w:bookmarkEnd w:id="24"/>
    </w:p>
    <w:p w14:paraId="4D27CE39" w14:textId="77777777" w:rsidR="00612D3C" w:rsidRDefault="007047D9">
      <w:pPr>
        <w:rPr>
          <w:rFonts w:ascii="Calibri" w:hAnsi="Calibri" w:cs="Calibri"/>
        </w:rPr>
      </w:pPr>
      <w:r>
        <w:t>The quantitative analysis used descriptive statistics, Pearson correlations and multiple linear regression. The spreadsheet contained 150 responses. Eight malformed item responses across two records contained the full list of answer options instead of one selected option. These cells were treated as missing rather than assigned an invented score. Descriptive and pairwise correlation sample sizes therefore range from 148 to 150, and the regression uses 149 complete cases.</w:t>
      </w:r>
    </w:p>
    <w:p w14:paraId="0B1F4E41" w14:textId="77777777" w:rsidR="00612D3C" w:rsidRDefault="007047D9">
      <w:pPr>
        <w:rPr>
          <w:rFonts w:ascii="Calibri" w:hAnsi="Calibri" w:cs="Calibri"/>
        </w:rPr>
      </w:pPr>
      <w:r>
        <w:t>Descriptive statistics are used to summarise demographic distributions and overall patterns in app use, satisfaction and retention. Correlation analysis examines the relationships among the seven measured app-feature variables, customer satisfaction and the two self-reported loyalty outcomes. These analyses assess patterns that are relevant to TAM and ECT, but trust, expectation confirmation and price sensitivity are not treated as separately measured survey variables.</w:t>
      </w:r>
    </w:p>
    <w:p w14:paraId="4B09DC85" w14:textId="77777777" w:rsidR="00612D3C" w:rsidRDefault="007047D9">
      <w:pPr>
        <w:rPr>
          <w:rFonts w:ascii="Calibri" w:hAnsi="Calibri" w:cs="Calibri"/>
          <w:color w:val="000000"/>
        </w:rPr>
      </w:pPr>
      <w:r>
        <w:t>Multiple linear regression examined whether ease of use, perceived usefulness, personalisation, rewards, gamification, push notifications and app performance predicted customer satisfaction. Coefficients, significance levels and model fit were used to identify unique contributions. Pearson correlations then examined the associations between satisfaction and the two self-reported loyalty outcomes.</w:t>
      </w:r>
    </w:p>
    <w:p w14:paraId="545DAA0A" w14:textId="77777777" w:rsidR="00612D3C" w:rsidRDefault="007047D9">
      <w:pPr>
        <w:pStyle w:val="Heading2"/>
        <w:rPr>
          <w:rFonts w:ascii="Calibri" w:hAnsi="Calibri" w:cs="Calibri"/>
        </w:rPr>
      </w:pPr>
      <w:bookmarkStart w:id="25" w:name="_Toc240835799"/>
      <w:r>
        <w:rPr>
          <w:rFonts w:ascii="Calibri" w:hAnsi="Calibri" w:cs="Calibri"/>
        </w:rPr>
        <w:t>3.8 Ethical Considerations</w:t>
      </w:r>
      <w:bookmarkEnd w:id="25"/>
    </w:p>
    <w:p w14:paraId="285125AA" w14:textId="77777777" w:rsidR="00612D3C" w:rsidRDefault="007047D9">
      <w:pPr>
        <w:rPr>
          <w:rFonts w:ascii="Calibri" w:hAnsi="Calibri" w:cs="Calibri"/>
        </w:rPr>
      </w:pPr>
      <w:r>
        <w:rPr>
          <w:rFonts w:ascii="Calibri" w:hAnsi="Calibri" w:cs="Calibri"/>
        </w:rPr>
        <w:t>The upholding of ethical integrity is achieved by adhering to institutional research governance. Every participant will get an information sheet on the purpose of the study, voluntary involvement, and the possibility to quit any time with no penalty. No personal identifiers are going to be gathered; anonymity and confidentiality are ensured.</w:t>
      </w:r>
    </w:p>
    <w:p w14:paraId="4C1EB10A" w14:textId="77777777" w:rsidR="00612D3C" w:rsidRDefault="007047D9">
      <w:pPr>
        <w:rPr>
          <w:rFonts w:ascii="Calibri" w:hAnsi="Calibri" w:cs="Calibri"/>
        </w:rPr>
      </w:pPr>
      <w:r>
        <w:rPr>
          <w:rFonts w:ascii="Calibri" w:hAnsi="Calibri" w:cs="Calibri"/>
        </w:rPr>
        <w:t xml:space="preserve">Consumers involved in the surveys must make informed consent before they have access to the survey. Data will be stored and encrypted using passwords. This is not a deceptive study and there is minimum exposure to risk to the participants. </w:t>
      </w:r>
      <w:r>
        <w:rPr>
          <w:rFonts w:ascii="Calibri" w:hAnsi="Calibri" w:cs="Calibri"/>
          <w:color w:val="000000"/>
        </w:rPr>
        <w:t>The data are stored on university cloud drives; it is deleted after degree</w:t>
      </w:r>
      <w:r>
        <w:t>.</w:t>
      </w:r>
      <w:r>
        <w:rPr>
          <w:rFonts w:ascii="Calibri" w:hAnsi="Calibri" w:cs="Calibri"/>
        </w:rPr>
        <w:t xml:space="preserve"> The procedures are consistent with the general ethical standards in survey research and respect, autonomy, and data protection.</w:t>
      </w:r>
    </w:p>
    <w:p w14:paraId="507AB502" w14:textId="77777777" w:rsidR="00612D3C" w:rsidRDefault="007047D9">
      <w:pPr>
        <w:pStyle w:val="Heading2"/>
        <w:rPr>
          <w:rFonts w:ascii="Calibri" w:hAnsi="Calibri" w:cs="Calibri"/>
        </w:rPr>
      </w:pPr>
      <w:bookmarkStart w:id="26" w:name="_Toc240835800"/>
      <w:r>
        <w:rPr>
          <w:rFonts w:ascii="Calibri" w:hAnsi="Calibri" w:cs="Calibri"/>
        </w:rPr>
        <w:t>3.9 Constraints of the Research</w:t>
      </w:r>
      <w:bookmarkEnd w:id="26"/>
    </w:p>
    <w:p w14:paraId="0E7EE88B" w14:textId="77777777" w:rsidR="00612D3C" w:rsidRDefault="007047D9">
      <w:pPr>
        <w:rPr>
          <w:rFonts w:ascii="Calibri" w:hAnsi="Calibri" w:cs="Calibri"/>
        </w:rPr>
      </w:pPr>
      <w:r>
        <w:rPr>
          <w:rFonts w:ascii="Calibri" w:hAnsi="Calibri" w:cs="Calibri"/>
        </w:rPr>
        <w:t>There are a number of limitations on the generalisability of findings. To begin with, the external generalisability is limited by purposive sampling as the sample might not accurately represent the demographics of the UK Clubcard users on the whole. Second, online surveys are prone to self-selection bias because more opinionated people or those more inclined towards digitization might be willing to take part. Third, the cross-sectional design also restricts the possibility of examining the changes over time, i.e. it is impossible to draw causation.</w:t>
      </w:r>
    </w:p>
    <w:p w14:paraId="35ABD5AB" w14:textId="77777777" w:rsidR="00612D3C" w:rsidRDefault="007047D9">
      <w:pPr>
        <w:rPr>
          <w:rFonts w:ascii="Calibri" w:hAnsi="Calibri" w:cs="Calibri"/>
        </w:rPr>
      </w:pPr>
      <w:r>
        <w:rPr>
          <w:rFonts w:ascii="Calibri" w:hAnsi="Calibri" w:cs="Calibri"/>
        </w:rPr>
        <w:t>Moreover, self-reported perceptions can be biased due to a recall bias or the social desirability bias. Lastly, even though the theoretical framework is used to direct the analysis, the lack of longitudinal data limits the level of understanding behaviour change.</w:t>
      </w:r>
    </w:p>
    <w:p w14:paraId="1C30CB4D" w14:textId="77777777" w:rsidR="00612D3C" w:rsidRDefault="007047D9">
      <w:pPr>
        <w:pStyle w:val="Heading2"/>
        <w:rPr>
          <w:rFonts w:ascii="Calibri" w:hAnsi="Calibri" w:cs="Calibri"/>
        </w:rPr>
      </w:pPr>
      <w:bookmarkStart w:id="27" w:name="_Toc240835801"/>
      <w:r>
        <w:rPr>
          <w:rFonts w:ascii="Calibri" w:hAnsi="Calibri" w:cs="Calibri"/>
        </w:rPr>
        <w:t>3.10 Summary</w:t>
      </w:r>
      <w:bookmarkEnd w:id="27"/>
    </w:p>
    <w:p w14:paraId="16F41C12" w14:textId="77777777" w:rsidR="00612D3C" w:rsidRDefault="007047D9">
      <w:pPr>
        <w:rPr>
          <w:rFonts w:ascii="Calibri" w:hAnsi="Calibri" w:cs="Calibri"/>
        </w:rPr>
      </w:pPr>
      <w:r>
        <w:t>This chapter has explained the methodological decisions used to examine the relationship between Tesco Clubcard app use, satisfaction and self-reported loyalty. The study followed a positivist, deductive and quantitative survey design. A purposive online sample produced 150 responses, which were analysed using descriptive statistics, Pearson correlations and multiple regression. The ethical safeguards and limits of the design were also recognised.</w:t>
      </w:r>
    </w:p>
    <w:p w14:paraId="2DE5A2E0" w14:textId="77777777" w:rsidR="00612D3C" w:rsidRDefault="007047D9">
      <w:pPr>
        <w:rPr>
          <w:rFonts w:ascii="Calibri" w:hAnsi="Calibri" w:cs="Calibri"/>
        </w:rPr>
      </w:pPr>
      <w:r>
        <w:br w:type="page"/>
      </w:r>
    </w:p>
    <w:p w14:paraId="5DA63806" w14:textId="77777777" w:rsidR="00612D3C" w:rsidRDefault="007047D9">
      <w:pPr>
        <w:pStyle w:val="Heading1"/>
        <w:spacing w:before="0"/>
        <w:rPr>
          <w:rFonts w:ascii="Calibri" w:hAnsi="Calibri" w:cs="Calibri"/>
        </w:rPr>
      </w:pPr>
      <w:bookmarkStart w:id="28" w:name="_Toc240835802"/>
      <w:r>
        <w:rPr>
          <w:rFonts w:ascii="Calibri" w:hAnsi="Calibri" w:cs="Calibri"/>
        </w:rPr>
        <w:t>4.  DATA ANALYSIS</w:t>
      </w:r>
      <w:bookmarkEnd w:id="28"/>
    </w:p>
    <w:p w14:paraId="4CC0376A" w14:textId="77777777" w:rsidR="00612D3C" w:rsidRDefault="007047D9">
      <w:pPr>
        <w:pStyle w:val="Heading2"/>
        <w:rPr>
          <w:rFonts w:ascii="Calibri" w:hAnsi="Calibri" w:cs="Calibri"/>
        </w:rPr>
      </w:pPr>
      <w:bookmarkStart w:id="29" w:name="_Toc240835803"/>
      <w:r>
        <w:rPr>
          <w:rFonts w:ascii="Calibri" w:hAnsi="Calibri" w:cs="Calibri"/>
        </w:rPr>
        <w:t>4.1 Introduction</w:t>
      </w:r>
      <w:bookmarkEnd w:id="29"/>
    </w:p>
    <w:p w14:paraId="051AB34E" w14:textId="77777777" w:rsidR="00612D3C" w:rsidRDefault="007047D9">
      <w:pPr>
        <w:rPr>
          <w:rFonts w:ascii="Calibri" w:hAnsi="Calibri" w:cs="Calibri"/>
        </w:rPr>
      </w:pPr>
      <w:r>
        <w:t>This chapter reports the survey results for Tesco Clubcard app users in the United Kingdom. It describes the respondent profile and app-use patterns, then examines relationships among the seven measured app features, overall satisfaction and two self-reported loyalty outcomes.</w:t>
      </w:r>
    </w:p>
    <w:p w14:paraId="6C5D69FC" w14:textId="77777777" w:rsidR="00612D3C" w:rsidRDefault="007047D9">
      <w:pPr>
        <w:rPr>
          <w:rFonts w:ascii="Calibri" w:hAnsi="Calibri" w:cs="Calibri"/>
        </w:rPr>
      </w:pPr>
      <w:r>
        <w:t>The chapter first presents the demographic and usage profile of the sample, followed by descriptive results for the Likert-scale items. It then reports Pearson correlations and a multiple regression model before interpreting the findings in relation to the theoretical and empirical literature.</w:t>
      </w:r>
    </w:p>
    <w:p w14:paraId="56B7E0A8" w14:textId="77777777" w:rsidR="00612D3C" w:rsidRDefault="007047D9">
      <w:pPr>
        <w:pStyle w:val="Heading2"/>
        <w:rPr>
          <w:rFonts w:ascii="Calibri" w:hAnsi="Calibri" w:cs="Calibri"/>
        </w:rPr>
      </w:pPr>
      <w:bookmarkStart w:id="30" w:name="_Toc240835804"/>
      <w:r>
        <w:rPr>
          <w:rFonts w:ascii="Calibri" w:hAnsi="Calibri" w:cs="Calibri"/>
        </w:rPr>
        <w:t>4.2 Graphical Analysis: Demographic Statistics</w:t>
      </w:r>
      <w:bookmarkEnd w:id="30"/>
    </w:p>
    <w:p w14:paraId="67326D76" w14:textId="77777777" w:rsidR="00612D3C" w:rsidRDefault="007047D9">
      <w:pPr>
        <w:rPr>
          <w:rFonts w:ascii="Calibri" w:hAnsi="Calibri" w:cs="Calibri"/>
        </w:rPr>
      </w:pPr>
      <w:r>
        <w:rPr>
          <w:noProof/>
        </w:rPr>
        <w:drawing>
          <wp:inline distT="0" distB="0" distL="0" distR="0" wp14:anchorId="4D200A35" wp14:editId="61347F99">
            <wp:extent cx="5731510" cy="2413000"/>
            <wp:effectExtent l="0" t="0" r="0" b="0"/>
            <wp:docPr id="6" name="Image2" descr="Forms response chart. Question title: 1. What is your age group?. Number of responses: 1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 descr="Forms response chart. Question title: 1. What is your age group?. Number of responses: 150 responses."/>
                    <pic:cNvPicPr>
                      <a:picLocks noChangeAspect="1" noChangeArrowheads="1"/>
                    </pic:cNvPicPr>
                  </pic:nvPicPr>
                  <pic:blipFill>
                    <a:blip r:embed="rId13"/>
                    <a:stretch>
                      <a:fillRect/>
                    </a:stretch>
                  </pic:blipFill>
                  <pic:spPr bwMode="auto">
                    <a:xfrm>
                      <a:off x="0" y="0"/>
                      <a:ext cx="5731510" cy="2413000"/>
                    </a:xfrm>
                    <a:prstGeom prst="rect">
                      <a:avLst/>
                    </a:prstGeom>
                    <a:noFill/>
                  </pic:spPr>
                </pic:pic>
              </a:graphicData>
            </a:graphic>
          </wp:inline>
        </w:drawing>
      </w:r>
    </w:p>
    <w:p w14:paraId="149E3F4E" w14:textId="77777777" w:rsidR="00612D3C" w:rsidRDefault="007047D9">
      <w:pPr>
        <w:rPr>
          <w:rFonts w:ascii="Calibri" w:hAnsi="Calibri" w:cs="Calibri"/>
          <w:b/>
          <w:bCs/>
        </w:rPr>
      </w:pPr>
      <w:r>
        <w:rPr>
          <w:rFonts w:ascii="Calibri" w:hAnsi="Calibri" w:cs="Calibri"/>
          <w:b/>
          <w:bCs/>
        </w:rPr>
        <w:t>Age Distribution of the Respondents.</w:t>
      </w:r>
    </w:p>
    <w:p w14:paraId="15EF5B58" w14:textId="77777777" w:rsidR="00612D3C" w:rsidRDefault="007047D9">
      <w:pPr>
        <w:rPr>
          <w:rFonts w:ascii="Calibri" w:hAnsi="Calibri" w:cs="Calibri"/>
        </w:rPr>
      </w:pPr>
      <w:r>
        <w:t>Of the 150 respondents, 56 (37.3%) were aged 35–44, 41 (27.3%) were aged 25–34 and 31 (20.7%) were aged 18–24. The smaller groups were aged 45–54 (13 respondents; 8.7%) and 55 or over (9 respondents; 6.0%). The sample is therefore concentrated in younger and middle-aged groups. Research on mobile financial and loyalty apps suggests that these groups often show greater familiarity with digital services (Malik et al., 2025). The small number of older respondents limits how confidently the findings can be applied across Tesco's full customer age range (Huma et al., 2024).</w:t>
      </w:r>
    </w:p>
    <w:p w14:paraId="1A9007CD" w14:textId="77777777" w:rsidR="00612D3C" w:rsidRDefault="00612D3C">
      <w:pPr>
        <w:rPr>
          <w:rFonts w:ascii="Calibri" w:hAnsi="Calibri" w:cs="Calibri"/>
        </w:rPr>
      </w:pPr>
    </w:p>
    <w:p w14:paraId="22880C3B" w14:textId="77777777" w:rsidR="00612D3C" w:rsidRDefault="007047D9">
      <w:pPr>
        <w:rPr>
          <w:rFonts w:ascii="Calibri" w:hAnsi="Calibri" w:cs="Calibri"/>
        </w:rPr>
      </w:pPr>
      <w:r>
        <w:rPr>
          <w:noProof/>
        </w:rPr>
        <w:drawing>
          <wp:inline distT="0" distB="0" distL="0" distR="0" wp14:anchorId="36100373" wp14:editId="1F6117B7">
            <wp:extent cx="5731510" cy="2413000"/>
            <wp:effectExtent l="0" t="0" r="0" b="0"/>
            <wp:docPr id="7" name="Picture 2" descr="Forms response chart. Question title: 2. What is your gender?. Number of responses: 1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descr="Forms response chart. Question title: 2. What is your gender?. Number of responses: 150 responses."/>
                    <pic:cNvPicPr>
                      <a:picLocks noChangeAspect="1" noChangeArrowheads="1"/>
                    </pic:cNvPicPr>
                  </pic:nvPicPr>
                  <pic:blipFill>
                    <a:blip r:embed="rId14"/>
                    <a:stretch>
                      <a:fillRect/>
                    </a:stretch>
                  </pic:blipFill>
                  <pic:spPr bwMode="auto">
                    <a:xfrm>
                      <a:off x="0" y="0"/>
                      <a:ext cx="5731510" cy="2413000"/>
                    </a:xfrm>
                    <a:prstGeom prst="rect">
                      <a:avLst/>
                    </a:prstGeom>
                    <a:noFill/>
                  </pic:spPr>
                </pic:pic>
              </a:graphicData>
            </a:graphic>
          </wp:inline>
        </w:drawing>
      </w:r>
    </w:p>
    <w:p w14:paraId="5849F538" w14:textId="77777777" w:rsidR="00612D3C" w:rsidRDefault="007047D9">
      <w:pPr>
        <w:rPr>
          <w:rFonts w:ascii="Calibri" w:hAnsi="Calibri" w:cs="Calibri"/>
          <w:b/>
          <w:bCs/>
        </w:rPr>
      </w:pPr>
      <w:r>
        <w:rPr>
          <w:rFonts w:ascii="Calibri" w:hAnsi="Calibri" w:cs="Calibri"/>
          <w:b/>
          <w:bCs/>
        </w:rPr>
        <w:t>Gender Distribution</w:t>
      </w:r>
    </w:p>
    <w:p w14:paraId="2851519E" w14:textId="77777777" w:rsidR="00612D3C" w:rsidRDefault="007047D9">
      <w:pPr>
        <w:rPr>
          <w:rFonts w:ascii="Calibri" w:hAnsi="Calibri" w:cs="Calibri"/>
        </w:rPr>
      </w:pPr>
      <w:r>
        <w:t>The sample included 74 women (49.3%), 56 men (37.3%), 12 non-binary respondents (8.0%) and 8 respondents who preferred not to state their gender (5.3%). Research on mobile services suggests that differences in satisfaction and continued use may reflect involvement, perceived control and perceived value rather than gender alone (Hussain et al., 2025).</w:t>
      </w:r>
    </w:p>
    <w:p w14:paraId="52B4DFEE" w14:textId="77777777" w:rsidR="00612D3C" w:rsidRDefault="007047D9">
      <w:pPr>
        <w:rPr>
          <w:rFonts w:ascii="Calibri" w:hAnsi="Calibri" w:cs="Calibri"/>
        </w:rPr>
      </w:pPr>
      <w:r>
        <w:rPr>
          <w:noProof/>
        </w:rPr>
        <w:drawing>
          <wp:inline distT="0" distB="0" distL="0" distR="0" wp14:anchorId="6AD77F26" wp14:editId="6835D36E">
            <wp:extent cx="5731510" cy="2413000"/>
            <wp:effectExtent l="0" t="0" r="0" b="0"/>
            <wp:docPr id="8" name="Image3" descr="Forms response chart. Question title: 3. How frequently do you shop at Tesco compared with other grocery retailers?. Number of responses: 1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3" descr="Forms response chart. Question title: 3. How frequently do you shop at Tesco compared with other grocery retailers?. Number of responses: 150 responses."/>
                    <pic:cNvPicPr>
                      <a:picLocks noChangeAspect="1" noChangeArrowheads="1"/>
                    </pic:cNvPicPr>
                  </pic:nvPicPr>
                  <pic:blipFill>
                    <a:blip r:embed="rId15"/>
                    <a:stretch>
                      <a:fillRect/>
                    </a:stretch>
                  </pic:blipFill>
                  <pic:spPr bwMode="auto">
                    <a:xfrm>
                      <a:off x="0" y="0"/>
                      <a:ext cx="5731510" cy="2413000"/>
                    </a:xfrm>
                    <a:prstGeom prst="rect">
                      <a:avLst/>
                    </a:prstGeom>
                    <a:noFill/>
                  </pic:spPr>
                </pic:pic>
              </a:graphicData>
            </a:graphic>
          </wp:inline>
        </w:drawing>
      </w:r>
    </w:p>
    <w:p w14:paraId="7FFF9CE0" w14:textId="77777777" w:rsidR="00612D3C" w:rsidRDefault="007047D9">
      <w:pPr>
        <w:rPr>
          <w:rFonts w:ascii="Calibri" w:hAnsi="Calibri" w:cs="Calibri"/>
          <w:b/>
          <w:bCs/>
        </w:rPr>
      </w:pPr>
      <w:r>
        <w:rPr>
          <w:rFonts w:ascii="Calibri" w:hAnsi="Calibri" w:cs="Calibri"/>
          <w:b/>
          <w:bCs/>
        </w:rPr>
        <w:t>Tesco Frequency of Shopping.</w:t>
      </w:r>
    </w:p>
    <w:p w14:paraId="0C324167" w14:textId="77777777" w:rsidR="00612D3C" w:rsidRDefault="007047D9">
      <w:pPr>
        <w:rPr>
          <w:rFonts w:ascii="Calibri" w:hAnsi="Calibri" w:cs="Calibri"/>
        </w:rPr>
      </w:pPr>
      <w:r>
        <w:t>Shopping-frequency responses show that 53 participants (35.3%) shopped at Tesco 6–10 times per month, 39 (26.0%) shopped 1–5 times, and 24 (16.0%) shopped 11–15 times. A further 33 (22.0%) shopped less than once per month and one respondent (0.7%) shopped 16–20 times. Overall, 78.0% reported shopping at Tesco at least once per month. This provides a relevant setting for examining repeated interaction with a loyalty app (Santosa and Ruslim, 2024).</w:t>
      </w:r>
    </w:p>
    <w:p w14:paraId="7F03C1D7" w14:textId="77777777" w:rsidR="00612D3C" w:rsidRDefault="007047D9">
      <w:pPr>
        <w:rPr>
          <w:rFonts w:ascii="Calibri" w:hAnsi="Calibri" w:cs="Calibri"/>
        </w:rPr>
      </w:pPr>
      <w:r>
        <w:rPr>
          <w:noProof/>
        </w:rPr>
        <w:drawing>
          <wp:inline distT="0" distB="0" distL="0" distR="0" wp14:anchorId="73FD221D" wp14:editId="511295BD">
            <wp:extent cx="5731510" cy="2413000"/>
            <wp:effectExtent l="0" t="0" r="0" b="0"/>
            <wp:docPr id="9" name="Picture 4" descr="Forms response chart. Question title: 4. How likely are you to use the Tesco Clubcard app for purchasing from Tesco?. Number of responses: 1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4" descr="Forms response chart. Question title: 4. How likely are you to use the Tesco Clubcard app for purchasing from Tesco?. Number of responses: 150 responses."/>
                    <pic:cNvPicPr>
                      <a:picLocks noChangeAspect="1" noChangeArrowheads="1"/>
                    </pic:cNvPicPr>
                  </pic:nvPicPr>
                  <pic:blipFill>
                    <a:blip r:embed="rId16"/>
                    <a:stretch>
                      <a:fillRect/>
                    </a:stretch>
                  </pic:blipFill>
                  <pic:spPr bwMode="auto">
                    <a:xfrm>
                      <a:off x="0" y="0"/>
                      <a:ext cx="5731510" cy="2413000"/>
                    </a:xfrm>
                    <a:prstGeom prst="rect">
                      <a:avLst/>
                    </a:prstGeom>
                    <a:noFill/>
                  </pic:spPr>
                </pic:pic>
              </a:graphicData>
            </a:graphic>
          </wp:inline>
        </w:drawing>
      </w:r>
    </w:p>
    <w:p w14:paraId="4E304280" w14:textId="77777777" w:rsidR="00612D3C" w:rsidRDefault="007047D9">
      <w:pPr>
        <w:rPr>
          <w:rFonts w:ascii="Calibri" w:hAnsi="Calibri" w:cs="Calibri"/>
          <w:b/>
          <w:bCs/>
        </w:rPr>
      </w:pPr>
      <w:r>
        <w:rPr>
          <w:rFonts w:ascii="Calibri" w:hAnsi="Calibri" w:cs="Calibri"/>
          <w:b/>
          <w:bCs/>
        </w:rPr>
        <w:t>Tesco Clubcard App frequency of Use.</w:t>
      </w:r>
    </w:p>
    <w:p w14:paraId="2C7409D5" w14:textId="77777777" w:rsidR="00612D3C" w:rsidRDefault="007047D9">
      <w:pPr>
        <w:rPr>
          <w:rFonts w:ascii="Calibri" w:hAnsi="Calibri" w:cs="Calibri"/>
        </w:rPr>
      </w:pPr>
      <w:r>
        <w:t>Clubcard app use was frequent for many respondents. Forty-four participants (29.3%) used it on every shopping trip and 47 (31.3%) used it on most trips. Another 32 (21.3%) used it occasionally, 17 (11.3%) rarely used it and 10 (6.7%) never used it. Thus, 60.7% were frequent or every-trip users, while a sizeable minority used the app selectively.</w:t>
      </w:r>
    </w:p>
    <w:p w14:paraId="7AAA0857" w14:textId="77777777" w:rsidR="00612D3C" w:rsidRDefault="00612D3C">
      <w:pPr>
        <w:rPr>
          <w:rFonts w:ascii="Calibri" w:hAnsi="Calibri" w:cs="Calibri"/>
        </w:rPr>
      </w:pPr>
    </w:p>
    <w:p w14:paraId="680EFB3F" w14:textId="77777777" w:rsidR="00612D3C" w:rsidRDefault="007047D9">
      <w:pPr>
        <w:rPr>
          <w:rFonts w:ascii="Calibri" w:hAnsi="Calibri" w:cs="Calibri"/>
        </w:rPr>
      </w:pPr>
      <w:r>
        <w:rPr>
          <w:noProof/>
        </w:rPr>
        <w:drawing>
          <wp:inline distT="0" distB="0" distL="0" distR="0" wp14:anchorId="51076061" wp14:editId="23095895">
            <wp:extent cx="5731510" cy="2413000"/>
            <wp:effectExtent l="0" t="0" r="0" b="0"/>
            <wp:docPr id="10" name="Image4" descr="Forms response chart. Question title: 5. The Tesco Clubcard app is easy to use and navigate.. Number of responses: 1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4" descr="Forms response chart. Question title: 5. The Tesco Clubcard app is easy to use and navigate.. Number of responses: 150 responses."/>
                    <pic:cNvPicPr>
                      <a:picLocks noChangeAspect="1" noChangeArrowheads="1"/>
                    </pic:cNvPicPr>
                  </pic:nvPicPr>
                  <pic:blipFill>
                    <a:blip r:embed="rId17"/>
                    <a:stretch>
                      <a:fillRect/>
                    </a:stretch>
                  </pic:blipFill>
                  <pic:spPr bwMode="auto">
                    <a:xfrm>
                      <a:off x="0" y="0"/>
                      <a:ext cx="5731510" cy="2413000"/>
                    </a:xfrm>
                    <a:prstGeom prst="rect">
                      <a:avLst/>
                    </a:prstGeom>
                    <a:noFill/>
                  </pic:spPr>
                </pic:pic>
              </a:graphicData>
            </a:graphic>
          </wp:inline>
        </w:drawing>
      </w:r>
    </w:p>
    <w:p w14:paraId="21C993A7" w14:textId="77777777" w:rsidR="00612D3C" w:rsidRDefault="007047D9">
      <w:pPr>
        <w:rPr>
          <w:rFonts w:ascii="Calibri" w:hAnsi="Calibri" w:cs="Calibri"/>
          <w:b/>
          <w:bCs/>
        </w:rPr>
      </w:pPr>
      <w:r>
        <w:rPr>
          <w:rFonts w:ascii="Calibri" w:hAnsi="Calibri" w:cs="Calibri"/>
          <w:b/>
          <w:bCs/>
        </w:rPr>
        <w:t>Perceived Ease of Use and Navigation.</w:t>
      </w:r>
    </w:p>
    <w:p w14:paraId="4D32397F" w14:textId="77777777" w:rsidR="00612D3C" w:rsidRDefault="007047D9">
      <w:pPr>
        <w:rPr>
          <w:rFonts w:ascii="Calibri" w:hAnsi="Calibri" w:cs="Calibri"/>
        </w:rPr>
      </w:pPr>
      <w:r>
        <w:t>For ease of use, 55 of 149 valid respondents (36.9%) agreed and 23 (15.4%) strongly agreed. Fifty-two (34.9%) were neutral, 18 (12.1%) disagreed and one (0.7%) strongly disagreed. The positive share was therefore 52.3%, although the large neutral group suggests that ease of use was not equally clear to all respondents. Mobile-service research identifies ease of use and system quality as important correlates of satisfaction and continued use (Honglin et al., 2024; Huma et al., 2024).</w:t>
      </w:r>
    </w:p>
    <w:p w14:paraId="1AD49016" w14:textId="77777777" w:rsidR="00612D3C" w:rsidRDefault="00612D3C">
      <w:pPr>
        <w:rPr>
          <w:rFonts w:ascii="Calibri" w:hAnsi="Calibri" w:cs="Calibri"/>
        </w:rPr>
      </w:pPr>
    </w:p>
    <w:p w14:paraId="67A85263" w14:textId="77777777" w:rsidR="00612D3C" w:rsidRDefault="007047D9">
      <w:pPr>
        <w:rPr>
          <w:rFonts w:ascii="Calibri" w:hAnsi="Calibri" w:cs="Calibri"/>
        </w:rPr>
      </w:pPr>
      <w:r>
        <w:rPr>
          <w:noProof/>
        </w:rPr>
        <w:drawing>
          <wp:inline distT="0" distB="0" distL="0" distR="0" wp14:anchorId="389822D2" wp14:editId="3F7CB233">
            <wp:extent cx="5731510" cy="2413000"/>
            <wp:effectExtent l="0" t="0" r="0" b="0"/>
            <wp:docPr id="11" name="Image5" descr="Forms response chart. Question title: 6. I find the Tesco Clubcard app useful in managing my&#10;grocery shopping.. Number of responses: 1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5" descr="Forms response chart. Question title: 6. I find the Tesco Clubcard app useful in managing my&#10;grocery shopping.. Number of responses: 150 responses."/>
                    <pic:cNvPicPr>
                      <a:picLocks noChangeAspect="1" noChangeArrowheads="1"/>
                    </pic:cNvPicPr>
                  </pic:nvPicPr>
                  <pic:blipFill>
                    <a:blip r:embed="rId18"/>
                    <a:stretch>
                      <a:fillRect/>
                    </a:stretch>
                  </pic:blipFill>
                  <pic:spPr bwMode="auto">
                    <a:xfrm>
                      <a:off x="0" y="0"/>
                      <a:ext cx="5731510" cy="2413000"/>
                    </a:xfrm>
                    <a:prstGeom prst="rect">
                      <a:avLst/>
                    </a:prstGeom>
                    <a:noFill/>
                  </pic:spPr>
                </pic:pic>
              </a:graphicData>
            </a:graphic>
          </wp:inline>
        </w:drawing>
      </w:r>
    </w:p>
    <w:p w14:paraId="3F6D9B39" w14:textId="77777777" w:rsidR="00612D3C" w:rsidRDefault="007047D9">
      <w:pPr>
        <w:rPr>
          <w:rFonts w:ascii="Calibri" w:hAnsi="Calibri" w:cs="Calibri"/>
          <w:b/>
          <w:bCs/>
        </w:rPr>
      </w:pPr>
      <w:r>
        <w:rPr>
          <w:rFonts w:ascii="Calibri" w:hAnsi="Calibri" w:cs="Calibri"/>
          <w:b/>
          <w:bCs/>
        </w:rPr>
        <w:t>Perceived Usefulness in the Management of Groceries Shopping.</w:t>
      </w:r>
    </w:p>
    <w:p w14:paraId="6AE8ABD3" w14:textId="77777777" w:rsidR="00612D3C" w:rsidRDefault="007047D9">
      <w:pPr>
        <w:rPr>
          <w:rFonts w:ascii="Calibri" w:hAnsi="Calibri" w:cs="Calibri"/>
        </w:rPr>
      </w:pPr>
      <w:r>
        <w:t>For perceived usefulness, 48 of 149 valid respondents (32.2%) agreed and 38 (25.5%) strongly agreed. Forty-seven (31.5%) were neutral, 11 (7.4%) disagreed and 5 (3.4%) strongly disagreed. The positive share was 57.7%. This supports the practical importance of the app for many users, while the neutral group shows that its value was not equally strong for everyone (Huma et al., 2024; Santosa and Ruslim, 2024).</w:t>
      </w:r>
    </w:p>
    <w:p w14:paraId="7B14C0D9" w14:textId="77777777" w:rsidR="00612D3C" w:rsidRDefault="00612D3C">
      <w:pPr>
        <w:rPr>
          <w:rFonts w:ascii="Calibri" w:hAnsi="Calibri" w:cs="Calibri"/>
        </w:rPr>
      </w:pPr>
    </w:p>
    <w:p w14:paraId="66374721" w14:textId="77777777" w:rsidR="00612D3C" w:rsidRDefault="007047D9">
      <w:pPr>
        <w:rPr>
          <w:rFonts w:ascii="Calibri" w:hAnsi="Calibri" w:cs="Calibri"/>
        </w:rPr>
      </w:pPr>
      <w:r>
        <w:rPr>
          <w:noProof/>
        </w:rPr>
        <w:drawing>
          <wp:inline distT="0" distB="0" distL="0" distR="0" wp14:anchorId="2DCD1530" wp14:editId="2FB290EE">
            <wp:extent cx="5731510" cy="2413000"/>
            <wp:effectExtent l="0" t="0" r="0" b="0"/>
            <wp:docPr id="12" name="Picture 7" descr="Forms response chart. Question title: 7. The app provides relevant and personalised offers&#10;based on my shopping behaviour.. Number of responses: 1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7" descr="Forms response chart. Question title: 7. The app provides relevant and personalised offers&#10;based on my shopping behaviour.. Number of responses: 150 responses."/>
                    <pic:cNvPicPr>
                      <a:picLocks noChangeAspect="1" noChangeArrowheads="1"/>
                    </pic:cNvPicPr>
                  </pic:nvPicPr>
                  <pic:blipFill>
                    <a:blip r:embed="rId19"/>
                    <a:stretch>
                      <a:fillRect/>
                    </a:stretch>
                  </pic:blipFill>
                  <pic:spPr bwMode="auto">
                    <a:xfrm>
                      <a:off x="0" y="0"/>
                      <a:ext cx="5731510" cy="2413000"/>
                    </a:xfrm>
                    <a:prstGeom prst="rect">
                      <a:avLst/>
                    </a:prstGeom>
                    <a:noFill/>
                  </pic:spPr>
                </pic:pic>
              </a:graphicData>
            </a:graphic>
          </wp:inline>
        </w:drawing>
      </w:r>
    </w:p>
    <w:p w14:paraId="71B0B864" w14:textId="77777777" w:rsidR="00612D3C" w:rsidRDefault="007047D9">
      <w:pPr>
        <w:rPr>
          <w:rFonts w:ascii="Calibri" w:hAnsi="Calibri" w:cs="Calibri"/>
          <w:b/>
          <w:bCs/>
        </w:rPr>
      </w:pPr>
      <w:r>
        <w:rPr>
          <w:rFonts w:ascii="Calibri" w:hAnsi="Calibri" w:cs="Calibri"/>
          <w:b/>
          <w:bCs/>
        </w:rPr>
        <w:t>Inferred Personalisation and Relevance of Offers.</w:t>
      </w:r>
    </w:p>
    <w:p w14:paraId="239EDAC0" w14:textId="77777777" w:rsidR="00612D3C" w:rsidRDefault="007047D9">
      <w:pPr>
        <w:rPr>
          <w:rFonts w:ascii="Calibri" w:hAnsi="Calibri" w:cs="Calibri"/>
        </w:rPr>
      </w:pPr>
      <w:r>
        <w:t>For personalised offers, 58 of 149 valid respondents (38.9%) agreed and 25 (16.8%) strongly agreed. Fifty-one (34.2%) were neutral, 14 (9.4%) disagreed and one (0.7%) strongly disagreed. In total, 55.7% gave a positive response. The sizeable neutral group suggests that many users did not consistently recognise strong relevance in the offers they received (Si et al., 2025; Khalufi et al., 2025).</w:t>
      </w:r>
    </w:p>
    <w:p w14:paraId="203ACC59" w14:textId="77777777" w:rsidR="00612D3C" w:rsidRDefault="007047D9">
      <w:pPr>
        <w:rPr>
          <w:rFonts w:ascii="Calibri" w:hAnsi="Calibri" w:cs="Calibri"/>
        </w:rPr>
      </w:pPr>
      <w:r>
        <w:rPr>
          <w:noProof/>
        </w:rPr>
        <w:drawing>
          <wp:inline distT="0" distB="0" distL="0" distR="0" wp14:anchorId="706EC0AB" wp14:editId="63E24187">
            <wp:extent cx="5731510" cy="2413000"/>
            <wp:effectExtent l="0" t="0" r="0" b="0"/>
            <wp:docPr id="13" name="Picture 8" descr="Forms response chart. Question title: 8. The rewards and discounts offered through the&#10;Clubcard app are attractive and valuable.. Number of responses: 1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8" descr="Forms response chart. Question title: 8. The rewards and discounts offered through the&#10;Clubcard app are attractive and valuable.. Number of responses: 150 responses."/>
                    <pic:cNvPicPr>
                      <a:picLocks noChangeAspect="1" noChangeArrowheads="1"/>
                    </pic:cNvPicPr>
                  </pic:nvPicPr>
                  <pic:blipFill>
                    <a:blip r:embed="rId20"/>
                    <a:stretch>
                      <a:fillRect/>
                    </a:stretch>
                  </pic:blipFill>
                  <pic:spPr bwMode="auto">
                    <a:xfrm>
                      <a:off x="0" y="0"/>
                      <a:ext cx="5731510" cy="2413000"/>
                    </a:xfrm>
                    <a:prstGeom prst="rect">
                      <a:avLst/>
                    </a:prstGeom>
                    <a:noFill/>
                  </pic:spPr>
                </pic:pic>
              </a:graphicData>
            </a:graphic>
          </wp:inline>
        </w:drawing>
      </w:r>
    </w:p>
    <w:p w14:paraId="0ABE2895" w14:textId="77777777" w:rsidR="00612D3C" w:rsidRDefault="007047D9">
      <w:pPr>
        <w:rPr>
          <w:rFonts w:ascii="Calibri" w:hAnsi="Calibri" w:cs="Calibri"/>
          <w:b/>
          <w:bCs/>
        </w:rPr>
      </w:pPr>
      <w:r>
        <w:rPr>
          <w:rFonts w:ascii="Calibri" w:hAnsi="Calibri" w:cs="Calibri"/>
          <w:b/>
          <w:bCs/>
        </w:rPr>
        <w:t>Value of Rewards and Perceived Attractiveness.</w:t>
      </w:r>
    </w:p>
    <w:p w14:paraId="3C27A316" w14:textId="77777777" w:rsidR="00612D3C" w:rsidRDefault="007047D9">
      <w:pPr>
        <w:rPr>
          <w:rFonts w:ascii="Calibri" w:hAnsi="Calibri" w:cs="Calibri"/>
        </w:rPr>
      </w:pPr>
      <w:r>
        <w:t>Rewards and discounts received 58 agree responses (38.7%) and 31 strongly agree responses (20.7%), giving a positive share of 59.3%. Thirty-seven respondents (24.7%) were neutral, 22 (14.7%) disagreed and 2 (1.3%) strongly disagreed. Rewards therefore received a generally favourable descriptive rating, although descriptive support does not by itself show that rewards make a statistically significant unique contribution in the regression model.</w:t>
      </w:r>
    </w:p>
    <w:p w14:paraId="57A85D5B" w14:textId="77777777" w:rsidR="00612D3C" w:rsidRDefault="00612D3C">
      <w:pPr>
        <w:rPr>
          <w:rFonts w:ascii="Calibri" w:hAnsi="Calibri" w:cs="Calibri"/>
        </w:rPr>
      </w:pPr>
    </w:p>
    <w:p w14:paraId="71124825" w14:textId="77777777" w:rsidR="00612D3C" w:rsidRDefault="007047D9">
      <w:pPr>
        <w:rPr>
          <w:rFonts w:ascii="Calibri" w:hAnsi="Calibri" w:cs="Calibri"/>
        </w:rPr>
      </w:pPr>
      <w:r>
        <w:rPr>
          <w:noProof/>
        </w:rPr>
        <w:drawing>
          <wp:inline distT="0" distB="0" distL="0" distR="0" wp14:anchorId="79F8B6F9" wp14:editId="559073FA">
            <wp:extent cx="5731510" cy="2600960"/>
            <wp:effectExtent l="0" t="0" r="0" b="0"/>
            <wp:docPr id="14" name="Picture 9" descr="Forms response chart. Question title: 9. The gamified or interactive features (e.g. points&#10;tracking, badges, challenges) make the app more&#10;engaging.. Number of responses: 1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9" descr="Forms response chart. Question title: 9. The gamified or interactive features (e.g. points&#10;tracking, badges, challenges) make the app more&#10;engaging.. Number of responses: 150 responses."/>
                    <pic:cNvPicPr>
                      <a:picLocks noChangeAspect="1" noChangeArrowheads="1"/>
                    </pic:cNvPicPr>
                  </pic:nvPicPr>
                  <pic:blipFill>
                    <a:blip r:embed="rId21"/>
                    <a:stretch>
                      <a:fillRect/>
                    </a:stretch>
                  </pic:blipFill>
                  <pic:spPr bwMode="auto">
                    <a:xfrm>
                      <a:off x="0" y="0"/>
                      <a:ext cx="5731510" cy="2600960"/>
                    </a:xfrm>
                    <a:prstGeom prst="rect">
                      <a:avLst/>
                    </a:prstGeom>
                    <a:noFill/>
                  </pic:spPr>
                </pic:pic>
              </a:graphicData>
            </a:graphic>
          </wp:inline>
        </w:drawing>
      </w:r>
    </w:p>
    <w:p w14:paraId="65669658" w14:textId="77777777" w:rsidR="00612D3C" w:rsidRDefault="007047D9">
      <w:pPr>
        <w:rPr>
          <w:rFonts w:ascii="Calibri" w:hAnsi="Calibri" w:cs="Calibri"/>
          <w:b/>
          <w:bCs/>
        </w:rPr>
      </w:pPr>
      <w:r>
        <w:rPr>
          <w:rFonts w:ascii="Calibri" w:hAnsi="Calibri" w:cs="Calibri"/>
          <w:b/>
          <w:bCs/>
        </w:rPr>
        <w:t>Perceived involvement through Gamified Functions.</w:t>
      </w:r>
    </w:p>
    <w:p w14:paraId="2BA2A52E" w14:textId="77777777" w:rsidR="00612D3C" w:rsidRDefault="007047D9">
      <w:pPr>
        <w:rPr>
          <w:rFonts w:ascii="Calibri" w:hAnsi="Calibri" w:cs="Calibri"/>
        </w:rPr>
      </w:pPr>
      <w:r>
        <w:t>Responses to gamified or interactive features were mixed. Forty-six respondents (30.7%) agreed and 13 (8.7%) strongly agreed that these features made the app more engaging. Fifty-two (34.7%) were neutral, while 29 (19.3%) disagreed and 10 (6.7%) strongly disagreed. The positive share of 39.3% was lower than for usefulness, rewards and performance, suggesting that gamification was not a central benefit for much of the sample.</w:t>
      </w:r>
    </w:p>
    <w:p w14:paraId="19A7AF2E" w14:textId="77777777" w:rsidR="00612D3C" w:rsidRDefault="00612D3C">
      <w:pPr>
        <w:rPr>
          <w:rFonts w:ascii="Calibri" w:hAnsi="Calibri" w:cs="Calibri"/>
        </w:rPr>
      </w:pPr>
    </w:p>
    <w:p w14:paraId="50F8268A" w14:textId="77777777" w:rsidR="00612D3C" w:rsidRDefault="007047D9">
      <w:pPr>
        <w:rPr>
          <w:rFonts w:ascii="Calibri" w:hAnsi="Calibri" w:cs="Calibri"/>
        </w:rPr>
      </w:pPr>
      <w:r>
        <w:rPr>
          <w:noProof/>
        </w:rPr>
        <w:drawing>
          <wp:inline distT="0" distB="0" distL="0" distR="0" wp14:anchorId="21BE31E3" wp14:editId="188C92CE">
            <wp:extent cx="5731510" cy="2413000"/>
            <wp:effectExtent l="0" t="0" r="0" b="0"/>
            <wp:docPr id="15" name="Picture 10" descr="Forms response chart. Question title: 10. Push notifications from the Tesco app are timely&#10;and encourage me to revisit the store or app.. Number of responses: 1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0" descr="Forms response chart. Question title: 10. Push notifications from the Tesco app are timely&#10;and encourage me to revisit the store or app.. Number of responses: 150 responses."/>
                    <pic:cNvPicPr>
                      <a:picLocks noChangeAspect="1" noChangeArrowheads="1"/>
                    </pic:cNvPicPr>
                  </pic:nvPicPr>
                  <pic:blipFill>
                    <a:blip r:embed="rId22"/>
                    <a:stretch>
                      <a:fillRect/>
                    </a:stretch>
                  </pic:blipFill>
                  <pic:spPr bwMode="auto">
                    <a:xfrm>
                      <a:off x="0" y="0"/>
                      <a:ext cx="5731510" cy="2413000"/>
                    </a:xfrm>
                    <a:prstGeom prst="rect">
                      <a:avLst/>
                    </a:prstGeom>
                    <a:noFill/>
                  </pic:spPr>
                </pic:pic>
              </a:graphicData>
            </a:graphic>
          </wp:inline>
        </w:drawing>
      </w:r>
    </w:p>
    <w:p w14:paraId="5AEB6A20" w14:textId="77777777" w:rsidR="00612D3C" w:rsidRDefault="007047D9">
      <w:pPr>
        <w:rPr>
          <w:rFonts w:ascii="Calibri" w:hAnsi="Calibri" w:cs="Calibri"/>
          <w:b/>
          <w:bCs/>
        </w:rPr>
      </w:pPr>
      <w:r>
        <w:rPr>
          <w:rFonts w:ascii="Calibri" w:hAnsi="Calibri" w:cs="Calibri"/>
          <w:b/>
          <w:bCs/>
        </w:rPr>
        <w:t>Perceptions of Push Notifications</w:t>
      </w:r>
    </w:p>
    <w:p w14:paraId="14534058" w14:textId="77777777" w:rsidR="00612D3C" w:rsidRDefault="007047D9">
      <w:pPr>
        <w:rPr>
          <w:rFonts w:ascii="Calibri" w:hAnsi="Calibri" w:cs="Calibri"/>
        </w:rPr>
      </w:pPr>
      <w:r>
        <w:t>Push notifications received 149 valid responses. Thirty-three respondents (22.1%) agreed and 2 (1.3%) strongly agreed that notifications were timely and encouraged return visits. Fifty-five (36.9%) were neutral, 35 (23.5%) disagreed and 24 (16.1%) strongly disagreed. Negative responses (39.6%) therefore exceeded positive responses (23.5%), which is consistent with concerns that poorly timed or frequent notifications may feel intrusive (Huma et al., 2024).</w:t>
      </w:r>
    </w:p>
    <w:p w14:paraId="58D826F7" w14:textId="77777777" w:rsidR="00612D3C" w:rsidRDefault="007047D9">
      <w:pPr>
        <w:rPr>
          <w:rFonts w:ascii="Calibri" w:hAnsi="Calibri" w:cs="Calibri"/>
        </w:rPr>
      </w:pPr>
      <w:r>
        <w:rPr>
          <w:noProof/>
        </w:rPr>
        <w:drawing>
          <wp:inline distT="0" distB="0" distL="0" distR="0" wp14:anchorId="63E8AB4C" wp14:editId="700060DE">
            <wp:extent cx="5731510" cy="2413000"/>
            <wp:effectExtent l="0" t="0" r="0" b="0"/>
            <wp:docPr id="16" name="Picture 11" descr="Forms response chart. Question title: 11. The app’s performance meets my expectations in&#10;terms of speed, functionality, and reliability.. Number of responses: 1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1" descr="Forms response chart. Question title: 11. The app’s performance meets my expectations in&#10;terms of speed, functionality, and reliability.. Number of responses: 150 responses."/>
                    <pic:cNvPicPr>
                      <a:picLocks noChangeAspect="1" noChangeArrowheads="1"/>
                    </pic:cNvPicPr>
                  </pic:nvPicPr>
                  <pic:blipFill>
                    <a:blip r:embed="rId23"/>
                    <a:stretch>
                      <a:fillRect/>
                    </a:stretch>
                  </pic:blipFill>
                  <pic:spPr bwMode="auto">
                    <a:xfrm>
                      <a:off x="0" y="0"/>
                      <a:ext cx="5731510" cy="2413000"/>
                    </a:xfrm>
                    <a:prstGeom prst="rect">
                      <a:avLst/>
                    </a:prstGeom>
                    <a:noFill/>
                  </pic:spPr>
                </pic:pic>
              </a:graphicData>
            </a:graphic>
          </wp:inline>
        </w:drawing>
      </w:r>
    </w:p>
    <w:p w14:paraId="775BB801" w14:textId="77777777" w:rsidR="00612D3C" w:rsidRDefault="007047D9">
      <w:pPr>
        <w:rPr>
          <w:rFonts w:ascii="Calibri" w:hAnsi="Calibri" w:cs="Calibri"/>
          <w:b/>
          <w:bCs/>
        </w:rPr>
      </w:pPr>
      <w:r>
        <w:rPr>
          <w:rFonts w:ascii="Calibri" w:hAnsi="Calibri" w:cs="Calibri"/>
          <w:b/>
          <w:bCs/>
        </w:rPr>
        <w:t>Perceived Performance: Speed, Functionality and Reliability</w:t>
      </w:r>
    </w:p>
    <w:p w14:paraId="14AEFC3F" w14:textId="77777777" w:rsidR="00612D3C" w:rsidRDefault="007047D9">
      <w:pPr>
        <w:rPr>
          <w:rFonts w:ascii="Calibri" w:hAnsi="Calibri" w:cs="Calibri"/>
        </w:rPr>
      </w:pPr>
      <w:r>
        <w:t>App performance was rated positively by 98 respondents: 69 (46.0%) agreed and 29 (19.3%) strongly agreed. Forty (26.7%) were neutral, 11 (7.3%) disagreed and one (0.7%) strongly disagreed. The combined positive share was 65.3%, indicating broad support for the app's speed, functionality and reliability.</w:t>
      </w:r>
    </w:p>
    <w:p w14:paraId="180FB65C" w14:textId="77777777" w:rsidR="00612D3C" w:rsidRDefault="007047D9">
      <w:pPr>
        <w:rPr>
          <w:rFonts w:ascii="Calibri" w:hAnsi="Calibri" w:cs="Calibri"/>
        </w:rPr>
      </w:pPr>
      <w:r>
        <w:rPr>
          <w:noProof/>
        </w:rPr>
        <w:drawing>
          <wp:inline distT="0" distB="0" distL="0" distR="0" wp14:anchorId="599111D1" wp14:editId="2D6571CB">
            <wp:extent cx="5731510" cy="2413000"/>
            <wp:effectExtent l="0" t="0" r="0" b="0"/>
            <wp:docPr id="17" name="Picture 12" descr="Forms response chart. Question title: 12. My overall experience with the Tesco Clubcard app&#10;has been satisfactory.. Number of responses: 1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2" descr="Forms response chart. Question title: 12. My overall experience with the Tesco Clubcard app&#10;has been satisfactory.. Number of responses: 150 responses."/>
                    <pic:cNvPicPr>
                      <a:picLocks noChangeAspect="1" noChangeArrowheads="1"/>
                    </pic:cNvPicPr>
                  </pic:nvPicPr>
                  <pic:blipFill>
                    <a:blip r:embed="rId24"/>
                    <a:stretch>
                      <a:fillRect/>
                    </a:stretch>
                  </pic:blipFill>
                  <pic:spPr bwMode="auto">
                    <a:xfrm>
                      <a:off x="0" y="0"/>
                      <a:ext cx="5731510" cy="2413000"/>
                    </a:xfrm>
                    <a:prstGeom prst="rect">
                      <a:avLst/>
                    </a:prstGeom>
                    <a:noFill/>
                  </pic:spPr>
                </pic:pic>
              </a:graphicData>
            </a:graphic>
          </wp:inline>
        </w:drawing>
      </w:r>
    </w:p>
    <w:p w14:paraId="2DD3A71D" w14:textId="77777777" w:rsidR="00612D3C" w:rsidRDefault="007047D9">
      <w:pPr>
        <w:rPr>
          <w:rFonts w:ascii="Calibri" w:hAnsi="Calibri" w:cs="Calibri"/>
          <w:b/>
          <w:bCs/>
        </w:rPr>
      </w:pPr>
      <w:r>
        <w:rPr>
          <w:rFonts w:ascii="Calibri" w:hAnsi="Calibri" w:cs="Calibri"/>
          <w:b/>
          <w:bCs/>
        </w:rPr>
        <w:t>Overall Satisfaction with the Tesco Clubcard App</w:t>
      </w:r>
    </w:p>
    <w:p w14:paraId="2BBEC626" w14:textId="77777777" w:rsidR="00612D3C" w:rsidRDefault="007047D9">
      <w:pPr>
        <w:rPr>
          <w:rFonts w:ascii="Calibri" w:hAnsi="Calibri" w:cs="Calibri"/>
        </w:rPr>
      </w:pPr>
      <w:r>
        <w:t>Overall satisfaction was positive for 105 respondents: 55 (36.7%) agreed and 50 (33.3%) strongly agreed. Thirty-four (22.7%) were neutral and 11 (7.3%) disagreed; no respondent selected strongly disagree. The combined positive share was 70.0%.</w:t>
      </w:r>
    </w:p>
    <w:p w14:paraId="50C465A3" w14:textId="77777777" w:rsidR="00612D3C" w:rsidRDefault="00612D3C">
      <w:pPr>
        <w:rPr>
          <w:rFonts w:ascii="Calibri" w:hAnsi="Calibri" w:cs="Calibri"/>
        </w:rPr>
      </w:pPr>
    </w:p>
    <w:p w14:paraId="197C0325" w14:textId="77777777" w:rsidR="00612D3C" w:rsidRDefault="007047D9">
      <w:pPr>
        <w:rPr>
          <w:rFonts w:ascii="Calibri" w:hAnsi="Calibri" w:cs="Calibri"/>
        </w:rPr>
      </w:pPr>
      <w:r>
        <w:rPr>
          <w:noProof/>
        </w:rPr>
        <w:drawing>
          <wp:inline distT="0" distB="0" distL="0" distR="0" wp14:anchorId="27CB3DAF" wp14:editId="3B0A1A3F">
            <wp:extent cx="5731510" cy="2413000"/>
            <wp:effectExtent l="0" t="0" r="0" b="0"/>
            <wp:docPr id="18" name="Picture 13" descr="Forms response chart. Question title: 13. I am more likely to shop at Tesco because of the&#10;benefits I receive from the Clubcard app.. Number of responses: 1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3" descr="Forms response chart. Question title: 13. I am more likely to shop at Tesco because of the&#10;benefits I receive from the Clubcard app.. Number of responses: 150 responses."/>
                    <pic:cNvPicPr>
                      <a:picLocks noChangeAspect="1" noChangeArrowheads="1"/>
                    </pic:cNvPicPr>
                  </pic:nvPicPr>
                  <pic:blipFill>
                    <a:blip r:embed="rId25"/>
                    <a:stretch>
                      <a:fillRect/>
                    </a:stretch>
                  </pic:blipFill>
                  <pic:spPr bwMode="auto">
                    <a:xfrm>
                      <a:off x="0" y="0"/>
                      <a:ext cx="5731510" cy="2413000"/>
                    </a:xfrm>
                    <a:prstGeom prst="rect">
                      <a:avLst/>
                    </a:prstGeom>
                    <a:noFill/>
                  </pic:spPr>
                </pic:pic>
              </a:graphicData>
            </a:graphic>
          </wp:inline>
        </w:drawing>
      </w:r>
    </w:p>
    <w:p w14:paraId="45916F9E" w14:textId="77777777" w:rsidR="00612D3C" w:rsidRDefault="007047D9">
      <w:pPr>
        <w:rPr>
          <w:rFonts w:ascii="Calibri" w:hAnsi="Calibri" w:cs="Calibri"/>
          <w:b/>
          <w:bCs/>
        </w:rPr>
      </w:pPr>
      <w:r>
        <w:rPr>
          <w:rFonts w:ascii="Calibri" w:hAnsi="Calibri" w:cs="Calibri"/>
          <w:b/>
          <w:bCs/>
        </w:rPr>
        <w:t>Impact of Perceived Loyalty: More Shopping at Tesco.</w:t>
      </w:r>
    </w:p>
    <w:p w14:paraId="7773DDAE" w14:textId="77777777" w:rsidR="00612D3C" w:rsidRDefault="007047D9">
      <w:pPr>
        <w:rPr>
          <w:rFonts w:ascii="Calibri" w:hAnsi="Calibri" w:cs="Calibri"/>
        </w:rPr>
      </w:pPr>
      <w:r>
        <w:t>For the likelihood of shopping more at Tesco because of Clubcard benefits, 60 of 148 valid respondents (40.5%) agreed and 38 (25.7%) strongly agreed. Thirty-eight (25.7%) were neutral, 11 (7.4%) disagreed and one (0.7%) strongly disagreed. The positive share was 66.2%, although the item records self-reported preference rather than observed purchasing behaviour.</w:t>
      </w:r>
    </w:p>
    <w:p w14:paraId="330C61E2" w14:textId="77777777" w:rsidR="00612D3C" w:rsidRDefault="007047D9">
      <w:pPr>
        <w:rPr>
          <w:rFonts w:ascii="Calibri" w:hAnsi="Calibri" w:cs="Calibri"/>
        </w:rPr>
      </w:pPr>
      <w:r>
        <w:rPr>
          <w:noProof/>
        </w:rPr>
        <w:drawing>
          <wp:inline distT="0" distB="0" distL="0" distR="0" wp14:anchorId="0D9DBB28" wp14:editId="77219FF4">
            <wp:extent cx="5731510" cy="2413000"/>
            <wp:effectExtent l="0" t="0" r="0" b="0"/>
            <wp:docPr id="19" name="Picture 14" descr="Forms response chart. Question title: 14. I intend to continue using the Tesco Clubcard app&#10;in the future.. Number of responses: 1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4" descr="Forms response chart. Question title: 14. I intend to continue using the Tesco Clubcard app&#10;in the future.. Number of responses: 150 responses."/>
                    <pic:cNvPicPr>
                      <a:picLocks noChangeAspect="1" noChangeArrowheads="1"/>
                    </pic:cNvPicPr>
                  </pic:nvPicPr>
                  <pic:blipFill>
                    <a:blip r:embed="rId26"/>
                    <a:stretch>
                      <a:fillRect/>
                    </a:stretch>
                  </pic:blipFill>
                  <pic:spPr bwMode="auto">
                    <a:xfrm>
                      <a:off x="0" y="0"/>
                      <a:ext cx="5731510" cy="2413000"/>
                    </a:xfrm>
                    <a:prstGeom prst="rect">
                      <a:avLst/>
                    </a:prstGeom>
                    <a:noFill/>
                  </pic:spPr>
                </pic:pic>
              </a:graphicData>
            </a:graphic>
          </wp:inline>
        </w:drawing>
      </w:r>
    </w:p>
    <w:p w14:paraId="7D13F6BC" w14:textId="77777777" w:rsidR="00612D3C" w:rsidRDefault="007047D9">
      <w:pPr>
        <w:rPr>
          <w:rFonts w:ascii="Calibri" w:hAnsi="Calibri" w:cs="Calibri"/>
          <w:b/>
          <w:bCs/>
        </w:rPr>
      </w:pPr>
      <w:r>
        <w:rPr>
          <w:rFonts w:ascii="Calibri" w:hAnsi="Calibri" w:cs="Calibri"/>
          <w:b/>
          <w:bCs/>
        </w:rPr>
        <w:t>Continuance Intention</w:t>
      </w:r>
    </w:p>
    <w:p w14:paraId="01ED901F" w14:textId="77777777" w:rsidR="00612D3C" w:rsidRDefault="007047D9">
      <w:pPr>
        <w:rPr>
          <w:rFonts w:ascii="Calibri" w:hAnsi="Calibri" w:cs="Calibri"/>
        </w:rPr>
      </w:pPr>
      <w:r>
        <w:t>For intention to continue using the app, 57 of 148 valid respondents (38.5%) strongly agreed and 53 (35.8%) agreed. Twenty-seven (18.2%) were neutral, 6 (4.1%) disagreed and 5 (3.4%) strongly disagreed. The combined positive share was 74.3%, indicating strong stated continuance intention in this sample.</w:t>
      </w:r>
    </w:p>
    <w:p w14:paraId="11BEB87A" w14:textId="77777777" w:rsidR="00612D3C" w:rsidRDefault="007047D9">
      <w:pPr>
        <w:pStyle w:val="Heading2"/>
        <w:pageBreakBefore/>
        <w:rPr>
          <w:rFonts w:ascii="Calibri" w:hAnsi="Calibri" w:cs="Calibri"/>
        </w:rPr>
      </w:pPr>
      <w:r>
        <w:t>4.3 Statistical analysis</w:t>
      </w:r>
    </w:p>
    <w:p w14:paraId="5CB7D12D" w14:textId="77777777" w:rsidR="00612D3C" w:rsidRDefault="007047D9">
      <w:pPr>
        <w:keepNext/>
        <w:rPr>
          <w:rFonts w:ascii="Calibri" w:hAnsi="Calibri" w:cs="Calibri"/>
          <w:b/>
          <w:bCs/>
        </w:rPr>
      </w:pPr>
      <w:r>
        <w:rPr>
          <w:rFonts w:ascii="Calibri" w:hAnsi="Calibri" w:cs="Calibri"/>
          <w:b/>
          <w:bCs/>
        </w:rPr>
        <w:t>Frequency Table</w:t>
      </w:r>
    </w:p>
    <w:tbl>
      <w:tblPr>
        <w:tblStyle w:val="TableGrid"/>
        <w:tblW w:w="0" w:type="auto"/>
        <w:jc w:val="center"/>
        <w:tblLayout w:type="fixed"/>
        <w:tblLook w:val="04A0" w:firstRow="1" w:lastRow="0" w:firstColumn="1" w:lastColumn="0" w:noHBand="0" w:noVBand="1"/>
      </w:tblPr>
      <w:tblGrid>
        <w:gridCol w:w="3816"/>
        <w:gridCol w:w="1180"/>
        <w:gridCol w:w="1152"/>
        <w:gridCol w:w="1180"/>
        <w:gridCol w:w="1368"/>
      </w:tblGrid>
      <w:tr w:rsidR="00612D3C" w14:paraId="4A8D722B" w14:textId="77777777">
        <w:trPr>
          <w:cantSplit/>
          <w:tblHeader/>
          <w:jc w:val="center"/>
        </w:trPr>
        <w:tc>
          <w:tcPr>
            <w:tcW w:w="1368" w:type="dxa"/>
            <w:gridSpan w:val="5"/>
            <w:shd w:val="clear" w:color="auto" w:fill="D9E2F3"/>
            <w:tcMar>
              <w:top w:w="40" w:type="dxa"/>
              <w:left w:w="45" w:type="dxa"/>
              <w:bottom w:w="40" w:type="dxa"/>
              <w:right w:w="45" w:type="dxa"/>
            </w:tcMar>
            <w:vAlign w:val="center"/>
          </w:tcPr>
          <w:p w14:paraId="12E08650" w14:textId="77777777" w:rsidR="00612D3C" w:rsidRDefault="007047D9">
            <w:pPr>
              <w:spacing w:after="0"/>
              <w:jc w:val="left"/>
            </w:pPr>
            <w:r>
              <w:rPr>
                <w:rFonts w:ascii="Arial" w:hAnsi="Arial"/>
                <w:b/>
                <w:color w:val="000000"/>
                <w:sz w:val="17"/>
              </w:rPr>
              <w:t>Table 1: Age group</w:t>
            </w:r>
          </w:p>
        </w:tc>
      </w:tr>
      <w:tr w:rsidR="00612D3C" w14:paraId="5D6017B1" w14:textId="77777777">
        <w:trPr>
          <w:cantSplit/>
          <w:tblHeader/>
          <w:jc w:val="center"/>
        </w:trPr>
        <w:tc>
          <w:tcPr>
            <w:tcW w:w="3816" w:type="dxa"/>
            <w:shd w:val="clear" w:color="auto" w:fill="E9EEF5"/>
            <w:tcMar>
              <w:top w:w="40" w:type="dxa"/>
              <w:left w:w="45" w:type="dxa"/>
              <w:bottom w:w="40" w:type="dxa"/>
              <w:right w:w="45" w:type="dxa"/>
            </w:tcMar>
            <w:vAlign w:val="center"/>
          </w:tcPr>
          <w:p w14:paraId="2F61C3EC" w14:textId="77777777" w:rsidR="00612D3C" w:rsidRDefault="007047D9">
            <w:pPr>
              <w:spacing w:after="0"/>
              <w:jc w:val="center"/>
            </w:pPr>
            <w:r>
              <w:rPr>
                <w:rFonts w:ascii="Arial" w:hAnsi="Arial"/>
                <w:b/>
                <w:color w:val="000000"/>
                <w:sz w:val="15"/>
              </w:rPr>
              <w:t>Category</w:t>
            </w:r>
          </w:p>
        </w:tc>
        <w:tc>
          <w:tcPr>
            <w:tcW w:w="1180" w:type="dxa"/>
            <w:shd w:val="clear" w:color="auto" w:fill="E9EEF5"/>
            <w:tcMar>
              <w:top w:w="40" w:type="dxa"/>
              <w:left w:w="45" w:type="dxa"/>
              <w:bottom w:w="40" w:type="dxa"/>
              <w:right w:w="45" w:type="dxa"/>
            </w:tcMar>
            <w:vAlign w:val="center"/>
          </w:tcPr>
          <w:p w14:paraId="54A60894" w14:textId="77777777" w:rsidR="00612D3C" w:rsidRDefault="007047D9">
            <w:pPr>
              <w:spacing w:after="0"/>
              <w:jc w:val="center"/>
            </w:pPr>
            <w:r>
              <w:rPr>
                <w:rFonts w:ascii="Arial" w:hAnsi="Arial"/>
                <w:b/>
                <w:color w:val="000000"/>
                <w:sz w:val="15"/>
              </w:rPr>
              <w:t>Frequency</w:t>
            </w:r>
          </w:p>
        </w:tc>
        <w:tc>
          <w:tcPr>
            <w:tcW w:w="1152" w:type="dxa"/>
            <w:shd w:val="clear" w:color="auto" w:fill="E9EEF5"/>
            <w:tcMar>
              <w:top w:w="40" w:type="dxa"/>
              <w:left w:w="45" w:type="dxa"/>
              <w:bottom w:w="40" w:type="dxa"/>
              <w:right w:w="45" w:type="dxa"/>
            </w:tcMar>
            <w:vAlign w:val="center"/>
          </w:tcPr>
          <w:p w14:paraId="00A3F96D" w14:textId="77777777" w:rsidR="00612D3C" w:rsidRDefault="007047D9">
            <w:pPr>
              <w:spacing w:after="0"/>
              <w:jc w:val="center"/>
            </w:pPr>
            <w:r>
              <w:rPr>
                <w:rFonts w:ascii="Arial" w:hAnsi="Arial"/>
                <w:b/>
                <w:color w:val="000000"/>
                <w:sz w:val="15"/>
              </w:rPr>
              <w:t>Percent</w:t>
            </w:r>
          </w:p>
        </w:tc>
        <w:tc>
          <w:tcPr>
            <w:tcW w:w="1180" w:type="dxa"/>
            <w:shd w:val="clear" w:color="auto" w:fill="E9EEF5"/>
            <w:tcMar>
              <w:top w:w="40" w:type="dxa"/>
              <w:left w:w="45" w:type="dxa"/>
              <w:bottom w:w="40" w:type="dxa"/>
              <w:right w:w="45" w:type="dxa"/>
            </w:tcMar>
            <w:vAlign w:val="center"/>
          </w:tcPr>
          <w:p w14:paraId="2DA46E0A" w14:textId="77777777" w:rsidR="00612D3C" w:rsidRDefault="007047D9">
            <w:pPr>
              <w:spacing w:after="0"/>
              <w:jc w:val="center"/>
            </w:pPr>
            <w:r>
              <w:rPr>
                <w:rFonts w:ascii="Arial" w:hAnsi="Arial"/>
                <w:b/>
                <w:color w:val="000000"/>
                <w:sz w:val="15"/>
              </w:rPr>
              <w:t>Valid %</w:t>
            </w:r>
          </w:p>
        </w:tc>
        <w:tc>
          <w:tcPr>
            <w:tcW w:w="1368" w:type="dxa"/>
            <w:shd w:val="clear" w:color="auto" w:fill="E9EEF5"/>
            <w:tcMar>
              <w:top w:w="40" w:type="dxa"/>
              <w:left w:w="45" w:type="dxa"/>
              <w:bottom w:w="40" w:type="dxa"/>
              <w:right w:w="45" w:type="dxa"/>
            </w:tcMar>
            <w:vAlign w:val="center"/>
          </w:tcPr>
          <w:p w14:paraId="181E4C41" w14:textId="77777777" w:rsidR="00612D3C" w:rsidRDefault="007047D9">
            <w:pPr>
              <w:spacing w:after="0"/>
              <w:jc w:val="center"/>
            </w:pPr>
            <w:r>
              <w:rPr>
                <w:rFonts w:ascii="Arial" w:hAnsi="Arial"/>
                <w:b/>
                <w:color w:val="000000"/>
                <w:sz w:val="15"/>
              </w:rPr>
              <w:t>Cumulative %</w:t>
            </w:r>
          </w:p>
        </w:tc>
      </w:tr>
      <w:tr w:rsidR="00612D3C" w14:paraId="0112A109" w14:textId="77777777">
        <w:trPr>
          <w:cantSplit/>
          <w:jc w:val="center"/>
        </w:trPr>
        <w:tc>
          <w:tcPr>
            <w:tcW w:w="3816" w:type="dxa"/>
            <w:tcMar>
              <w:top w:w="40" w:type="dxa"/>
              <w:left w:w="45" w:type="dxa"/>
              <w:bottom w:w="40" w:type="dxa"/>
              <w:right w:w="45" w:type="dxa"/>
            </w:tcMar>
            <w:vAlign w:val="center"/>
          </w:tcPr>
          <w:p w14:paraId="4A79BABA" w14:textId="77777777" w:rsidR="00612D3C" w:rsidRDefault="007047D9">
            <w:pPr>
              <w:spacing w:after="0"/>
              <w:jc w:val="left"/>
            </w:pPr>
            <w:r>
              <w:rPr>
                <w:rFonts w:ascii="Arial" w:hAnsi="Arial"/>
                <w:color w:val="000000"/>
                <w:sz w:val="15"/>
              </w:rPr>
              <w:t>18–24</w:t>
            </w:r>
          </w:p>
        </w:tc>
        <w:tc>
          <w:tcPr>
            <w:tcW w:w="1180" w:type="dxa"/>
            <w:tcMar>
              <w:top w:w="40" w:type="dxa"/>
              <w:left w:w="45" w:type="dxa"/>
              <w:bottom w:w="40" w:type="dxa"/>
              <w:right w:w="45" w:type="dxa"/>
            </w:tcMar>
            <w:vAlign w:val="center"/>
          </w:tcPr>
          <w:p w14:paraId="3AFD5680" w14:textId="77777777" w:rsidR="00612D3C" w:rsidRDefault="007047D9">
            <w:pPr>
              <w:spacing w:after="0"/>
              <w:jc w:val="center"/>
            </w:pPr>
            <w:r>
              <w:rPr>
                <w:rFonts w:ascii="Arial" w:hAnsi="Arial"/>
                <w:color w:val="000000"/>
                <w:sz w:val="15"/>
              </w:rPr>
              <w:t>31</w:t>
            </w:r>
          </w:p>
        </w:tc>
        <w:tc>
          <w:tcPr>
            <w:tcW w:w="1152" w:type="dxa"/>
            <w:tcMar>
              <w:top w:w="40" w:type="dxa"/>
              <w:left w:w="45" w:type="dxa"/>
              <w:bottom w:w="40" w:type="dxa"/>
              <w:right w:w="45" w:type="dxa"/>
            </w:tcMar>
            <w:vAlign w:val="center"/>
          </w:tcPr>
          <w:p w14:paraId="23EC39AE" w14:textId="77777777" w:rsidR="00612D3C" w:rsidRDefault="007047D9">
            <w:pPr>
              <w:spacing w:after="0"/>
              <w:jc w:val="center"/>
            </w:pPr>
            <w:r>
              <w:rPr>
                <w:rFonts w:ascii="Arial" w:hAnsi="Arial"/>
                <w:color w:val="000000"/>
                <w:sz w:val="15"/>
              </w:rPr>
              <w:t>20.7</w:t>
            </w:r>
          </w:p>
        </w:tc>
        <w:tc>
          <w:tcPr>
            <w:tcW w:w="1180" w:type="dxa"/>
            <w:tcMar>
              <w:top w:w="40" w:type="dxa"/>
              <w:left w:w="45" w:type="dxa"/>
              <w:bottom w:w="40" w:type="dxa"/>
              <w:right w:w="45" w:type="dxa"/>
            </w:tcMar>
            <w:vAlign w:val="center"/>
          </w:tcPr>
          <w:p w14:paraId="386D7F22" w14:textId="77777777" w:rsidR="00612D3C" w:rsidRDefault="007047D9">
            <w:pPr>
              <w:spacing w:after="0"/>
              <w:jc w:val="center"/>
            </w:pPr>
            <w:r>
              <w:rPr>
                <w:rFonts w:ascii="Arial" w:hAnsi="Arial"/>
                <w:color w:val="000000"/>
                <w:sz w:val="15"/>
              </w:rPr>
              <w:t>20.7</w:t>
            </w:r>
          </w:p>
        </w:tc>
        <w:tc>
          <w:tcPr>
            <w:tcW w:w="1368" w:type="dxa"/>
            <w:tcMar>
              <w:top w:w="40" w:type="dxa"/>
              <w:left w:w="45" w:type="dxa"/>
              <w:bottom w:w="40" w:type="dxa"/>
              <w:right w:w="45" w:type="dxa"/>
            </w:tcMar>
            <w:vAlign w:val="center"/>
          </w:tcPr>
          <w:p w14:paraId="5BB31AA9" w14:textId="77777777" w:rsidR="00612D3C" w:rsidRDefault="007047D9">
            <w:pPr>
              <w:spacing w:after="0"/>
              <w:jc w:val="center"/>
            </w:pPr>
            <w:r>
              <w:rPr>
                <w:rFonts w:ascii="Arial" w:hAnsi="Arial"/>
                <w:color w:val="000000"/>
                <w:sz w:val="15"/>
              </w:rPr>
              <w:t>20.7</w:t>
            </w:r>
          </w:p>
        </w:tc>
      </w:tr>
      <w:tr w:rsidR="00612D3C" w14:paraId="74BF47D5" w14:textId="77777777">
        <w:trPr>
          <w:cantSplit/>
          <w:jc w:val="center"/>
        </w:trPr>
        <w:tc>
          <w:tcPr>
            <w:tcW w:w="3816" w:type="dxa"/>
            <w:tcMar>
              <w:top w:w="40" w:type="dxa"/>
              <w:left w:w="45" w:type="dxa"/>
              <w:bottom w:w="40" w:type="dxa"/>
              <w:right w:w="45" w:type="dxa"/>
            </w:tcMar>
            <w:vAlign w:val="center"/>
          </w:tcPr>
          <w:p w14:paraId="42B88F5D" w14:textId="77777777" w:rsidR="00612D3C" w:rsidRDefault="007047D9">
            <w:pPr>
              <w:spacing w:after="0"/>
              <w:jc w:val="left"/>
            </w:pPr>
            <w:r>
              <w:rPr>
                <w:rFonts w:ascii="Arial" w:hAnsi="Arial"/>
                <w:color w:val="000000"/>
                <w:sz w:val="15"/>
              </w:rPr>
              <w:t>25–34</w:t>
            </w:r>
          </w:p>
        </w:tc>
        <w:tc>
          <w:tcPr>
            <w:tcW w:w="1180" w:type="dxa"/>
            <w:tcMar>
              <w:top w:w="40" w:type="dxa"/>
              <w:left w:w="45" w:type="dxa"/>
              <w:bottom w:w="40" w:type="dxa"/>
              <w:right w:w="45" w:type="dxa"/>
            </w:tcMar>
            <w:vAlign w:val="center"/>
          </w:tcPr>
          <w:p w14:paraId="3D60CC5C" w14:textId="77777777" w:rsidR="00612D3C" w:rsidRDefault="007047D9">
            <w:pPr>
              <w:spacing w:after="0"/>
              <w:jc w:val="center"/>
            </w:pPr>
            <w:r>
              <w:rPr>
                <w:rFonts w:ascii="Arial" w:hAnsi="Arial"/>
                <w:color w:val="000000"/>
                <w:sz w:val="15"/>
              </w:rPr>
              <w:t>41</w:t>
            </w:r>
          </w:p>
        </w:tc>
        <w:tc>
          <w:tcPr>
            <w:tcW w:w="1152" w:type="dxa"/>
            <w:tcMar>
              <w:top w:w="40" w:type="dxa"/>
              <w:left w:w="45" w:type="dxa"/>
              <w:bottom w:w="40" w:type="dxa"/>
              <w:right w:w="45" w:type="dxa"/>
            </w:tcMar>
            <w:vAlign w:val="center"/>
          </w:tcPr>
          <w:p w14:paraId="458CC81A" w14:textId="77777777" w:rsidR="00612D3C" w:rsidRDefault="007047D9">
            <w:pPr>
              <w:spacing w:after="0"/>
              <w:jc w:val="center"/>
            </w:pPr>
            <w:r>
              <w:rPr>
                <w:rFonts w:ascii="Arial" w:hAnsi="Arial"/>
                <w:color w:val="000000"/>
                <w:sz w:val="15"/>
              </w:rPr>
              <w:t>27.3</w:t>
            </w:r>
          </w:p>
        </w:tc>
        <w:tc>
          <w:tcPr>
            <w:tcW w:w="1180" w:type="dxa"/>
            <w:tcMar>
              <w:top w:w="40" w:type="dxa"/>
              <w:left w:w="45" w:type="dxa"/>
              <w:bottom w:w="40" w:type="dxa"/>
              <w:right w:w="45" w:type="dxa"/>
            </w:tcMar>
            <w:vAlign w:val="center"/>
          </w:tcPr>
          <w:p w14:paraId="44E56FC0" w14:textId="77777777" w:rsidR="00612D3C" w:rsidRDefault="007047D9">
            <w:pPr>
              <w:spacing w:after="0"/>
              <w:jc w:val="center"/>
            </w:pPr>
            <w:r>
              <w:rPr>
                <w:rFonts w:ascii="Arial" w:hAnsi="Arial"/>
                <w:color w:val="000000"/>
                <w:sz w:val="15"/>
              </w:rPr>
              <w:t>27.3</w:t>
            </w:r>
          </w:p>
        </w:tc>
        <w:tc>
          <w:tcPr>
            <w:tcW w:w="1368" w:type="dxa"/>
            <w:tcMar>
              <w:top w:w="40" w:type="dxa"/>
              <w:left w:w="45" w:type="dxa"/>
              <w:bottom w:w="40" w:type="dxa"/>
              <w:right w:w="45" w:type="dxa"/>
            </w:tcMar>
            <w:vAlign w:val="center"/>
          </w:tcPr>
          <w:p w14:paraId="30FCFE94" w14:textId="77777777" w:rsidR="00612D3C" w:rsidRDefault="007047D9">
            <w:pPr>
              <w:spacing w:after="0"/>
              <w:jc w:val="center"/>
            </w:pPr>
            <w:r>
              <w:rPr>
                <w:rFonts w:ascii="Arial" w:hAnsi="Arial"/>
                <w:color w:val="000000"/>
                <w:sz w:val="15"/>
              </w:rPr>
              <w:t>48.0</w:t>
            </w:r>
          </w:p>
        </w:tc>
      </w:tr>
      <w:tr w:rsidR="00612D3C" w14:paraId="587997DB" w14:textId="77777777">
        <w:trPr>
          <w:cantSplit/>
          <w:jc w:val="center"/>
        </w:trPr>
        <w:tc>
          <w:tcPr>
            <w:tcW w:w="3816" w:type="dxa"/>
            <w:tcMar>
              <w:top w:w="40" w:type="dxa"/>
              <w:left w:w="45" w:type="dxa"/>
              <w:bottom w:w="40" w:type="dxa"/>
              <w:right w:w="45" w:type="dxa"/>
            </w:tcMar>
            <w:vAlign w:val="center"/>
          </w:tcPr>
          <w:p w14:paraId="6933AEF0" w14:textId="77777777" w:rsidR="00612D3C" w:rsidRDefault="007047D9">
            <w:pPr>
              <w:spacing w:after="0"/>
              <w:jc w:val="left"/>
            </w:pPr>
            <w:r>
              <w:rPr>
                <w:rFonts w:ascii="Arial" w:hAnsi="Arial"/>
                <w:color w:val="000000"/>
                <w:sz w:val="15"/>
              </w:rPr>
              <w:t>35–44</w:t>
            </w:r>
          </w:p>
        </w:tc>
        <w:tc>
          <w:tcPr>
            <w:tcW w:w="1180" w:type="dxa"/>
            <w:tcMar>
              <w:top w:w="40" w:type="dxa"/>
              <w:left w:w="45" w:type="dxa"/>
              <w:bottom w:w="40" w:type="dxa"/>
              <w:right w:w="45" w:type="dxa"/>
            </w:tcMar>
            <w:vAlign w:val="center"/>
          </w:tcPr>
          <w:p w14:paraId="7ECB1110" w14:textId="77777777" w:rsidR="00612D3C" w:rsidRDefault="007047D9">
            <w:pPr>
              <w:spacing w:after="0"/>
              <w:jc w:val="center"/>
            </w:pPr>
            <w:r>
              <w:rPr>
                <w:rFonts w:ascii="Arial" w:hAnsi="Arial"/>
                <w:color w:val="000000"/>
                <w:sz w:val="15"/>
              </w:rPr>
              <w:t>56</w:t>
            </w:r>
          </w:p>
        </w:tc>
        <w:tc>
          <w:tcPr>
            <w:tcW w:w="1152" w:type="dxa"/>
            <w:tcMar>
              <w:top w:w="40" w:type="dxa"/>
              <w:left w:w="45" w:type="dxa"/>
              <w:bottom w:w="40" w:type="dxa"/>
              <w:right w:w="45" w:type="dxa"/>
            </w:tcMar>
            <w:vAlign w:val="center"/>
          </w:tcPr>
          <w:p w14:paraId="4F5A97E2" w14:textId="77777777" w:rsidR="00612D3C" w:rsidRDefault="007047D9">
            <w:pPr>
              <w:spacing w:after="0"/>
              <w:jc w:val="center"/>
            </w:pPr>
            <w:r>
              <w:rPr>
                <w:rFonts w:ascii="Arial" w:hAnsi="Arial"/>
                <w:color w:val="000000"/>
                <w:sz w:val="15"/>
              </w:rPr>
              <w:t>37.3</w:t>
            </w:r>
          </w:p>
        </w:tc>
        <w:tc>
          <w:tcPr>
            <w:tcW w:w="1180" w:type="dxa"/>
            <w:tcMar>
              <w:top w:w="40" w:type="dxa"/>
              <w:left w:w="45" w:type="dxa"/>
              <w:bottom w:w="40" w:type="dxa"/>
              <w:right w:w="45" w:type="dxa"/>
            </w:tcMar>
            <w:vAlign w:val="center"/>
          </w:tcPr>
          <w:p w14:paraId="6181A9B8" w14:textId="77777777" w:rsidR="00612D3C" w:rsidRDefault="007047D9">
            <w:pPr>
              <w:spacing w:after="0"/>
              <w:jc w:val="center"/>
            </w:pPr>
            <w:r>
              <w:rPr>
                <w:rFonts w:ascii="Arial" w:hAnsi="Arial"/>
                <w:color w:val="000000"/>
                <w:sz w:val="15"/>
              </w:rPr>
              <w:t>37.3</w:t>
            </w:r>
          </w:p>
        </w:tc>
        <w:tc>
          <w:tcPr>
            <w:tcW w:w="1368" w:type="dxa"/>
            <w:tcMar>
              <w:top w:w="40" w:type="dxa"/>
              <w:left w:w="45" w:type="dxa"/>
              <w:bottom w:w="40" w:type="dxa"/>
              <w:right w:w="45" w:type="dxa"/>
            </w:tcMar>
            <w:vAlign w:val="center"/>
          </w:tcPr>
          <w:p w14:paraId="4658D1E8" w14:textId="77777777" w:rsidR="00612D3C" w:rsidRDefault="007047D9">
            <w:pPr>
              <w:spacing w:after="0"/>
              <w:jc w:val="center"/>
            </w:pPr>
            <w:r>
              <w:rPr>
                <w:rFonts w:ascii="Arial" w:hAnsi="Arial"/>
                <w:color w:val="000000"/>
                <w:sz w:val="15"/>
              </w:rPr>
              <w:t>85.3</w:t>
            </w:r>
          </w:p>
        </w:tc>
      </w:tr>
      <w:tr w:rsidR="00612D3C" w14:paraId="479D6888" w14:textId="77777777">
        <w:trPr>
          <w:cantSplit/>
          <w:jc w:val="center"/>
        </w:trPr>
        <w:tc>
          <w:tcPr>
            <w:tcW w:w="3816" w:type="dxa"/>
            <w:tcMar>
              <w:top w:w="40" w:type="dxa"/>
              <w:left w:w="45" w:type="dxa"/>
              <w:bottom w:w="40" w:type="dxa"/>
              <w:right w:w="45" w:type="dxa"/>
            </w:tcMar>
            <w:vAlign w:val="center"/>
          </w:tcPr>
          <w:p w14:paraId="4BC39FF3" w14:textId="77777777" w:rsidR="00612D3C" w:rsidRDefault="007047D9">
            <w:pPr>
              <w:spacing w:after="0"/>
              <w:jc w:val="left"/>
            </w:pPr>
            <w:r>
              <w:rPr>
                <w:rFonts w:ascii="Arial" w:hAnsi="Arial"/>
                <w:color w:val="000000"/>
                <w:sz w:val="15"/>
              </w:rPr>
              <w:t>45–54</w:t>
            </w:r>
          </w:p>
        </w:tc>
        <w:tc>
          <w:tcPr>
            <w:tcW w:w="1180" w:type="dxa"/>
            <w:tcMar>
              <w:top w:w="40" w:type="dxa"/>
              <w:left w:w="45" w:type="dxa"/>
              <w:bottom w:w="40" w:type="dxa"/>
              <w:right w:w="45" w:type="dxa"/>
            </w:tcMar>
            <w:vAlign w:val="center"/>
          </w:tcPr>
          <w:p w14:paraId="2ADBFCA1" w14:textId="77777777" w:rsidR="00612D3C" w:rsidRDefault="007047D9">
            <w:pPr>
              <w:spacing w:after="0"/>
              <w:jc w:val="center"/>
            </w:pPr>
            <w:r>
              <w:rPr>
                <w:rFonts w:ascii="Arial" w:hAnsi="Arial"/>
                <w:color w:val="000000"/>
                <w:sz w:val="15"/>
              </w:rPr>
              <w:t>13</w:t>
            </w:r>
          </w:p>
        </w:tc>
        <w:tc>
          <w:tcPr>
            <w:tcW w:w="1152" w:type="dxa"/>
            <w:tcMar>
              <w:top w:w="40" w:type="dxa"/>
              <w:left w:w="45" w:type="dxa"/>
              <w:bottom w:w="40" w:type="dxa"/>
              <w:right w:w="45" w:type="dxa"/>
            </w:tcMar>
            <w:vAlign w:val="center"/>
          </w:tcPr>
          <w:p w14:paraId="54776DAD" w14:textId="77777777" w:rsidR="00612D3C" w:rsidRDefault="007047D9">
            <w:pPr>
              <w:spacing w:after="0"/>
              <w:jc w:val="center"/>
            </w:pPr>
            <w:r>
              <w:rPr>
                <w:rFonts w:ascii="Arial" w:hAnsi="Arial"/>
                <w:color w:val="000000"/>
                <w:sz w:val="15"/>
              </w:rPr>
              <w:t>8.7</w:t>
            </w:r>
          </w:p>
        </w:tc>
        <w:tc>
          <w:tcPr>
            <w:tcW w:w="1180" w:type="dxa"/>
            <w:tcMar>
              <w:top w:w="40" w:type="dxa"/>
              <w:left w:w="45" w:type="dxa"/>
              <w:bottom w:w="40" w:type="dxa"/>
              <w:right w:w="45" w:type="dxa"/>
            </w:tcMar>
            <w:vAlign w:val="center"/>
          </w:tcPr>
          <w:p w14:paraId="04B760BD" w14:textId="77777777" w:rsidR="00612D3C" w:rsidRDefault="007047D9">
            <w:pPr>
              <w:spacing w:after="0"/>
              <w:jc w:val="center"/>
            </w:pPr>
            <w:r>
              <w:rPr>
                <w:rFonts w:ascii="Arial" w:hAnsi="Arial"/>
                <w:color w:val="000000"/>
                <w:sz w:val="15"/>
              </w:rPr>
              <w:t>8.7</w:t>
            </w:r>
          </w:p>
        </w:tc>
        <w:tc>
          <w:tcPr>
            <w:tcW w:w="1368" w:type="dxa"/>
            <w:tcMar>
              <w:top w:w="40" w:type="dxa"/>
              <w:left w:w="45" w:type="dxa"/>
              <w:bottom w:w="40" w:type="dxa"/>
              <w:right w:w="45" w:type="dxa"/>
            </w:tcMar>
            <w:vAlign w:val="center"/>
          </w:tcPr>
          <w:p w14:paraId="0A06F2CD" w14:textId="77777777" w:rsidR="00612D3C" w:rsidRDefault="007047D9">
            <w:pPr>
              <w:spacing w:after="0"/>
              <w:jc w:val="center"/>
            </w:pPr>
            <w:r>
              <w:rPr>
                <w:rFonts w:ascii="Arial" w:hAnsi="Arial"/>
                <w:color w:val="000000"/>
                <w:sz w:val="15"/>
              </w:rPr>
              <w:t>94.0</w:t>
            </w:r>
          </w:p>
        </w:tc>
      </w:tr>
      <w:tr w:rsidR="00612D3C" w14:paraId="78F1BD5F" w14:textId="77777777">
        <w:trPr>
          <w:cantSplit/>
          <w:jc w:val="center"/>
        </w:trPr>
        <w:tc>
          <w:tcPr>
            <w:tcW w:w="3816" w:type="dxa"/>
            <w:tcMar>
              <w:top w:w="40" w:type="dxa"/>
              <w:left w:w="45" w:type="dxa"/>
              <w:bottom w:w="40" w:type="dxa"/>
              <w:right w:w="45" w:type="dxa"/>
            </w:tcMar>
            <w:vAlign w:val="center"/>
          </w:tcPr>
          <w:p w14:paraId="7CBFFCDF" w14:textId="77777777" w:rsidR="00612D3C" w:rsidRDefault="007047D9">
            <w:pPr>
              <w:spacing w:after="0"/>
              <w:jc w:val="left"/>
            </w:pPr>
            <w:r>
              <w:rPr>
                <w:rFonts w:ascii="Arial" w:hAnsi="Arial"/>
                <w:color w:val="000000"/>
                <w:sz w:val="15"/>
              </w:rPr>
              <w:t>55+</w:t>
            </w:r>
          </w:p>
        </w:tc>
        <w:tc>
          <w:tcPr>
            <w:tcW w:w="1180" w:type="dxa"/>
            <w:tcMar>
              <w:top w:w="40" w:type="dxa"/>
              <w:left w:w="45" w:type="dxa"/>
              <w:bottom w:w="40" w:type="dxa"/>
              <w:right w:w="45" w:type="dxa"/>
            </w:tcMar>
            <w:vAlign w:val="center"/>
          </w:tcPr>
          <w:p w14:paraId="6C55048D" w14:textId="77777777" w:rsidR="00612D3C" w:rsidRDefault="007047D9">
            <w:pPr>
              <w:spacing w:after="0"/>
              <w:jc w:val="center"/>
            </w:pPr>
            <w:r>
              <w:rPr>
                <w:rFonts w:ascii="Arial" w:hAnsi="Arial"/>
                <w:color w:val="000000"/>
                <w:sz w:val="15"/>
              </w:rPr>
              <w:t>9</w:t>
            </w:r>
          </w:p>
        </w:tc>
        <w:tc>
          <w:tcPr>
            <w:tcW w:w="1152" w:type="dxa"/>
            <w:tcMar>
              <w:top w:w="40" w:type="dxa"/>
              <w:left w:w="45" w:type="dxa"/>
              <w:bottom w:w="40" w:type="dxa"/>
              <w:right w:w="45" w:type="dxa"/>
            </w:tcMar>
            <w:vAlign w:val="center"/>
          </w:tcPr>
          <w:p w14:paraId="149C73B6" w14:textId="77777777" w:rsidR="00612D3C" w:rsidRDefault="007047D9">
            <w:pPr>
              <w:spacing w:after="0"/>
              <w:jc w:val="center"/>
            </w:pPr>
            <w:r>
              <w:rPr>
                <w:rFonts w:ascii="Arial" w:hAnsi="Arial"/>
                <w:color w:val="000000"/>
                <w:sz w:val="15"/>
              </w:rPr>
              <w:t>6.0</w:t>
            </w:r>
          </w:p>
        </w:tc>
        <w:tc>
          <w:tcPr>
            <w:tcW w:w="1180" w:type="dxa"/>
            <w:tcMar>
              <w:top w:w="40" w:type="dxa"/>
              <w:left w:w="45" w:type="dxa"/>
              <w:bottom w:w="40" w:type="dxa"/>
              <w:right w:w="45" w:type="dxa"/>
            </w:tcMar>
            <w:vAlign w:val="center"/>
          </w:tcPr>
          <w:p w14:paraId="510FC28A" w14:textId="77777777" w:rsidR="00612D3C" w:rsidRDefault="007047D9">
            <w:pPr>
              <w:spacing w:after="0"/>
              <w:jc w:val="center"/>
            </w:pPr>
            <w:r>
              <w:rPr>
                <w:rFonts w:ascii="Arial" w:hAnsi="Arial"/>
                <w:color w:val="000000"/>
                <w:sz w:val="15"/>
              </w:rPr>
              <w:t>6.0</w:t>
            </w:r>
          </w:p>
        </w:tc>
        <w:tc>
          <w:tcPr>
            <w:tcW w:w="1368" w:type="dxa"/>
            <w:tcMar>
              <w:top w:w="40" w:type="dxa"/>
              <w:left w:w="45" w:type="dxa"/>
              <w:bottom w:w="40" w:type="dxa"/>
              <w:right w:w="45" w:type="dxa"/>
            </w:tcMar>
            <w:vAlign w:val="center"/>
          </w:tcPr>
          <w:p w14:paraId="64A71587" w14:textId="77777777" w:rsidR="00612D3C" w:rsidRDefault="007047D9">
            <w:pPr>
              <w:spacing w:after="0"/>
              <w:jc w:val="center"/>
            </w:pPr>
            <w:r>
              <w:rPr>
                <w:rFonts w:ascii="Arial" w:hAnsi="Arial"/>
                <w:color w:val="000000"/>
                <w:sz w:val="15"/>
              </w:rPr>
              <w:t>100.0</w:t>
            </w:r>
          </w:p>
        </w:tc>
      </w:tr>
      <w:tr w:rsidR="00612D3C" w14:paraId="7B4D34DA" w14:textId="77777777">
        <w:trPr>
          <w:cantSplit/>
          <w:jc w:val="center"/>
        </w:trPr>
        <w:tc>
          <w:tcPr>
            <w:tcW w:w="3816" w:type="dxa"/>
            <w:shd w:val="clear" w:color="auto" w:fill="F1F3F6"/>
            <w:tcMar>
              <w:top w:w="40" w:type="dxa"/>
              <w:left w:w="45" w:type="dxa"/>
              <w:bottom w:w="40" w:type="dxa"/>
              <w:right w:w="45" w:type="dxa"/>
            </w:tcMar>
            <w:vAlign w:val="center"/>
          </w:tcPr>
          <w:p w14:paraId="6CFAE3D7" w14:textId="77777777" w:rsidR="00612D3C" w:rsidRDefault="007047D9">
            <w:pPr>
              <w:spacing w:after="0"/>
              <w:jc w:val="left"/>
            </w:pPr>
            <w:r>
              <w:rPr>
                <w:rFonts w:ascii="Arial" w:hAnsi="Arial"/>
                <w:b/>
                <w:color w:val="000000"/>
                <w:sz w:val="15"/>
              </w:rPr>
              <w:t>Total</w:t>
            </w:r>
          </w:p>
        </w:tc>
        <w:tc>
          <w:tcPr>
            <w:tcW w:w="1180" w:type="dxa"/>
            <w:shd w:val="clear" w:color="auto" w:fill="F1F3F6"/>
            <w:tcMar>
              <w:top w:w="40" w:type="dxa"/>
              <w:left w:w="45" w:type="dxa"/>
              <w:bottom w:w="40" w:type="dxa"/>
              <w:right w:w="45" w:type="dxa"/>
            </w:tcMar>
            <w:vAlign w:val="center"/>
          </w:tcPr>
          <w:p w14:paraId="70039262" w14:textId="77777777" w:rsidR="00612D3C" w:rsidRDefault="007047D9">
            <w:pPr>
              <w:spacing w:after="0"/>
              <w:jc w:val="center"/>
            </w:pPr>
            <w:r>
              <w:rPr>
                <w:rFonts w:ascii="Arial" w:hAnsi="Arial"/>
                <w:b/>
                <w:color w:val="000000"/>
                <w:sz w:val="15"/>
              </w:rPr>
              <w:t>150</w:t>
            </w:r>
          </w:p>
        </w:tc>
        <w:tc>
          <w:tcPr>
            <w:tcW w:w="1152" w:type="dxa"/>
            <w:shd w:val="clear" w:color="auto" w:fill="F1F3F6"/>
            <w:tcMar>
              <w:top w:w="40" w:type="dxa"/>
              <w:left w:w="45" w:type="dxa"/>
              <w:bottom w:w="40" w:type="dxa"/>
              <w:right w:w="45" w:type="dxa"/>
            </w:tcMar>
            <w:vAlign w:val="center"/>
          </w:tcPr>
          <w:p w14:paraId="5413AD5D" w14:textId="77777777" w:rsidR="00612D3C" w:rsidRDefault="007047D9">
            <w:pPr>
              <w:spacing w:after="0"/>
              <w:jc w:val="center"/>
            </w:pPr>
            <w:r>
              <w:rPr>
                <w:rFonts w:ascii="Arial" w:hAnsi="Arial"/>
                <w:b/>
                <w:color w:val="000000"/>
                <w:sz w:val="15"/>
              </w:rPr>
              <w:t>100.0</w:t>
            </w:r>
          </w:p>
        </w:tc>
        <w:tc>
          <w:tcPr>
            <w:tcW w:w="1180" w:type="dxa"/>
            <w:shd w:val="clear" w:color="auto" w:fill="F1F3F6"/>
            <w:tcMar>
              <w:top w:w="40" w:type="dxa"/>
              <w:left w:w="45" w:type="dxa"/>
              <w:bottom w:w="40" w:type="dxa"/>
              <w:right w:w="45" w:type="dxa"/>
            </w:tcMar>
            <w:vAlign w:val="center"/>
          </w:tcPr>
          <w:p w14:paraId="11EEBB0E" w14:textId="77777777" w:rsidR="00612D3C" w:rsidRDefault="007047D9">
            <w:pPr>
              <w:spacing w:after="0"/>
              <w:jc w:val="center"/>
            </w:pPr>
            <w:r>
              <w:rPr>
                <w:rFonts w:ascii="Arial" w:hAnsi="Arial"/>
                <w:b/>
                <w:color w:val="000000"/>
                <w:sz w:val="15"/>
              </w:rPr>
              <w:t>100.0</w:t>
            </w:r>
          </w:p>
        </w:tc>
        <w:tc>
          <w:tcPr>
            <w:tcW w:w="1368" w:type="dxa"/>
            <w:shd w:val="clear" w:color="auto" w:fill="F1F3F6"/>
            <w:tcMar>
              <w:top w:w="40" w:type="dxa"/>
              <w:left w:w="45" w:type="dxa"/>
              <w:bottom w:w="40" w:type="dxa"/>
              <w:right w:w="45" w:type="dxa"/>
            </w:tcMar>
            <w:vAlign w:val="center"/>
          </w:tcPr>
          <w:p w14:paraId="0E8ABBA4" w14:textId="77777777" w:rsidR="00612D3C" w:rsidRDefault="00612D3C">
            <w:pPr>
              <w:spacing w:after="0"/>
              <w:jc w:val="center"/>
            </w:pPr>
          </w:p>
        </w:tc>
      </w:tr>
    </w:tbl>
    <w:p w14:paraId="5BF18AD3" w14:textId="77777777" w:rsidR="00612D3C" w:rsidRDefault="00612D3C">
      <w:pPr>
        <w:rPr>
          <w:rFonts w:ascii="Calibri" w:hAnsi="Calibri" w:cs="Calibri"/>
        </w:rPr>
      </w:pPr>
    </w:p>
    <w:tbl>
      <w:tblPr>
        <w:tblStyle w:val="TableGrid"/>
        <w:tblW w:w="0" w:type="auto"/>
        <w:jc w:val="center"/>
        <w:tblLayout w:type="fixed"/>
        <w:tblLook w:val="04A0" w:firstRow="1" w:lastRow="0" w:firstColumn="1" w:lastColumn="0" w:noHBand="0" w:noVBand="1"/>
      </w:tblPr>
      <w:tblGrid>
        <w:gridCol w:w="3816"/>
        <w:gridCol w:w="1180"/>
        <w:gridCol w:w="1152"/>
        <w:gridCol w:w="1180"/>
        <w:gridCol w:w="1368"/>
      </w:tblGrid>
      <w:tr w:rsidR="00612D3C" w14:paraId="11AF36A2" w14:textId="77777777">
        <w:trPr>
          <w:cantSplit/>
          <w:tblHeader/>
          <w:jc w:val="center"/>
        </w:trPr>
        <w:tc>
          <w:tcPr>
            <w:tcW w:w="1368" w:type="dxa"/>
            <w:gridSpan w:val="5"/>
            <w:shd w:val="clear" w:color="auto" w:fill="D9E2F3"/>
            <w:tcMar>
              <w:top w:w="40" w:type="dxa"/>
              <w:left w:w="45" w:type="dxa"/>
              <w:bottom w:w="40" w:type="dxa"/>
              <w:right w:w="45" w:type="dxa"/>
            </w:tcMar>
            <w:vAlign w:val="center"/>
          </w:tcPr>
          <w:p w14:paraId="5C67B59D" w14:textId="77777777" w:rsidR="00612D3C" w:rsidRDefault="007047D9">
            <w:pPr>
              <w:spacing w:after="0"/>
              <w:jc w:val="left"/>
            </w:pPr>
            <w:r>
              <w:rPr>
                <w:rFonts w:ascii="Arial" w:hAnsi="Arial"/>
                <w:b/>
                <w:color w:val="000000"/>
                <w:sz w:val="17"/>
              </w:rPr>
              <w:t>Table 2: Gender</w:t>
            </w:r>
          </w:p>
        </w:tc>
      </w:tr>
      <w:tr w:rsidR="00612D3C" w14:paraId="66908BAA" w14:textId="77777777">
        <w:trPr>
          <w:cantSplit/>
          <w:tblHeader/>
          <w:jc w:val="center"/>
        </w:trPr>
        <w:tc>
          <w:tcPr>
            <w:tcW w:w="3816" w:type="dxa"/>
            <w:shd w:val="clear" w:color="auto" w:fill="E9EEF5"/>
            <w:tcMar>
              <w:top w:w="40" w:type="dxa"/>
              <w:left w:w="45" w:type="dxa"/>
              <w:bottom w:w="40" w:type="dxa"/>
              <w:right w:w="45" w:type="dxa"/>
            </w:tcMar>
            <w:vAlign w:val="center"/>
          </w:tcPr>
          <w:p w14:paraId="09CF9C3A" w14:textId="77777777" w:rsidR="00612D3C" w:rsidRDefault="007047D9">
            <w:pPr>
              <w:spacing w:after="0"/>
              <w:jc w:val="center"/>
            </w:pPr>
            <w:r>
              <w:rPr>
                <w:rFonts w:ascii="Arial" w:hAnsi="Arial"/>
                <w:b/>
                <w:color w:val="000000"/>
                <w:sz w:val="15"/>
              </w:rPr>
              <w:t>Category</w:t>
            </w:r>
          </w:p>
        </w:tc>
        <w:tc>
          <w:tcPr>
            <w:tcW w:w="1180" w:type="dxa"/>
            <w:shd w:val="clear" w:color="auto" w:fill="E9EEF5"/>
            <w:tcMar>
              <w:top w:w="40" w:type="dxa"/>
              <w:left w:w="45" w:type="dxa"/>
              <w:bottom w:w="40" w:type="dxa"/>
              <w:right w:w="45" w:type="dxa"/>
            </w:tcMar>
            <w:vAlign w:val="center"/>
          </w:tcPr>
          <w:p w14:paraId="7CA91976" w14:textId="77777777" w:rsidR="00612D3C" w:rsidRDefault="007047D9">
            <w:pPr>
              <w:spacing w:after="0"/>
              <w:jc w:val="center"/>
            </w:pPr>
            <w:r>
              <w:rPr>
                <w:rFonts w:ascii="Arial" w:hAnsi="Arial"/>
                <w:b/>
                <w:color w:val="000000"/>
                <w:sz w:val="15"/>
              </w:rPr>
              <w:t>Frequency</w:t>
            </w:r>
          </w:p>
        </w:tc>
        <w:tc>
          <w:tcPr>
            <w:tcW w:w="1152" w:type="dxa"/>
            <w:shd w:val="clear" w:color="auto" w:fill="E9EEF5"/>
            <w:tcMar>
              <w:top w:w="40" w:type="dxa"/>
              <w:left w:w="45" w:type="dxa"/>
              <w:bottom w:w="40" w:type="dxa"/>
              <w:right w:w="45" w:type="dxa"/>
            </w:tcMar>
            <w:vAlign w:val="center"/>
          </w:tcPr>
          <w:p w14:paraId="7E42AD23" w14:textId="77777777" w:rsidR="00612D3C" w:rsidRDefault="007047D9">
            <w:pPr>
              <w:spacing w:after="0"/>
              <w:jc w:val="center"/>
            </w:pPr>
            <w:r>
              <w:rPr>
                <w:rFonts w:ascii="Arial" w:hAnsi="Arial"/>
                <w:b/>
                <w:color w:val="000000"/>
                <w:sz w:val="15"/>
              </w:rPr>
              <w:t>Percent</w:t>
            </w:r>
          </w:p>
        </w:tc>
        <w:tc>
          <w:tcPr>
            <w:tcW w:w="1180" w:type="dxa"/>
            <w:shd w:val="clear" w:color="auto" w:fill="E9EEF5"/>
            <w:tcMar>
              <w:top w:w="40" w:type="dxa"/>
              <w:left w:w="45" w:type="dxa"/>
              <w:bottom w:w="40" w:type="dxa"/>
              <w:right w:w="45" w:type="dxa"/>
            </w:tcMar>
            <w:vAlign w:val="center"/>
          </w:tcPr>
          <w:p w14:paraId="5EF91FDC" w14:textId="77777777" w:rsidR="00612D3C" w:rsidRDefault="007047D9">
            <w:pPr>
              <w:spacing w:after="0"/>
              <w:jc w:val="center"/>
            </w:pPr>
            <w:r>
              <w:rPr>
                <w:rFonts w:ascii="Arial" w:hAnsi="Arial"/>
                <w:b/>
                <w:color w:val="000000"/>
                <w:sz w:val="15"/>
              </w:rPr>
              <w:t>Valid %</w:t>
            </w:r>
          </w:p>
        </w:tc>
        <w:tc>
          <w:tcPr>
            <w:tcW w:w="1368" w:type="dxa"/>
            <w:shd w:val="clear" w:color="auto" w:fill="E9EEF5"/>
            <w:tcMar>
              <w:top w:w="40" w:type="dxa"/>
              <w:left w:w="45" w:type="dxa"/>
              <w:bottom w:w="40" w:type="dxa"/>
              <w:right w:w="45" w:type="dxa"/>
            </w:tcMar>
            <w:vAlign w:val="center"/>
          </w:tcPr>
          <w:p w14:paraId="1648166A" w14:textId="77777777" w:rsidR="00612D3C" w:rsidRDefault="007047D9">
            <w:pPr>
              <w:spacing w:after="0"/>
              <w:jc w:val="center"/>
            </w:pPr>
            <w:r>
              <w:rPr>
                <w:rFonts w:ascii="Arial" w:hAnsi="Arial"/>
                <w:b/>
                <w:color w:val="000000"/>
                <w:sz w:val="15"/>
              </w:rPr>
              <w:t>Cumulative %</w:t>
            </w:r>
          </w:p>
        </w:tc>
      </w:tr>
      <w:tr w:rsidR="00612D3C" w14:paraId="7C1AEAB5" w14:textId="77777777">
        <w:trPr>
          <w:cantSplit/>
          <w:jc w:val="center"/>
        </w:trPr>
        <w:tc>
          <w:tcPr>
            <w:tcW w:w="3816" w:type="dxa"/>
            <w:tcMar>
              <w:top w:w="40" w:type="dxa"/>
              <w:left w:w="45" w:type="dxa"/>
              <w:bottom w:w="40" w:type="dxa"/>
              <w:right w:w="45" w:type="dxa"/>
            </w:tcMar>
            <w:vAlign w:val="center"/>
          </w:tcPr>
          <w:p w14:paraId="524AEA93" w14:textId="77777777" w:rsidR="00612D3C" w:rsidRDefault="007047D9">
            <w:pPr>
              <w:spacing w:after="0"/>
              <w:jc w:val="left"/>
            </w:pPr>
            <w:r>
              <w:rPr>
                <w:rFonts w:ascii="Arial" w:hAnsi="Arial"/>
                <w:color w:val="000000"/>
                <w:sz w:val="15"/>
              </w:rPr>
              <w:t>Female</w:t>
            </w:r>
          </w:p>
        </w:tc>
        <w:tc>
          <w:tcPr>
            <w:tcW w:w="1180" w:type="dxa"/>
            <w:tcMar>
              <w:top w:w="40" w:type="dxa"/>
              <w:left w:w="45" w:type="dxa"/>
              <w:bottom w:w="40" w:type="dxa"/>
              <w:right w:w="45" w:type="dxa"/>
            </w:tcMar>
            <w:vAlign w:val="center"/>
          </w:tcPr>
          <w:p w14:paraId="1F15DFDF" w14:textId="77777777" w:rsidR="00612D3C" w:rsidRDefault="007047D9">
            <w:pPr>
              <w:spacing w:after="0"/>
              <w:jc w:val="center"/>
            </w:pPr>
            <w:r>
              <w:rPr>
                <w:rFonts w:ascii="Arial" w:hAnsi="Arial"/>
                <w:color w:val="000000"/>
                <w:sz w:val="15"/>
              </w:rPr>
              <w:t>74</w:t>
            </w:r>
          </w:p>
        </w:tc>
        <w:tc>
          <w:tcPr>
            <w:tcW w:w="1152" w:type="dxa"/>
            <w:tcMar>
              <w:top w:w="40" w:type="dxa"/>
              <w:left w:w="45" w:type="dxa"/>
              <w:bottom w:w="40" w:type="dxa"/>
              <w:right w:w="45" w:type="dxa"/>
            </w:tcMar>
            <w:vAlign w:val="center"/>
          </w:tcPr>
          <w:p w14:paraId="253A3904" w14:textId="77777777" w:rsidR="00612D3C" w:rsidRDefault="007047D9">
            <w:pPr>
              <w:spacing w:after="0"/>
              <w:jc w:val="center"/>
            </w:pPr>
            <w:r>
              <w:rPr>
                <w:rFonts w:ascii="Arial" w:hAnsi="Arial"/>
                <w:color w:val="000000"/>
                <w:sz w:val="15"/>
              </w:rPr>
              <w:t>49.3</w:t>
            </w:r>
          </w:p>
        </w:tc>
        <w:tc>
          <w:tcPr>
            <w:tcW w:w="1180" w:type="dxa"/>
            <w:tcMar>
              <w:top w:w="40" w:type="dxa"/>
              <w:left w:w="45" w:type="dxa"/>
              <w:bottom w:w="40" w:type="dxa"/>
              <w:right w:w="45" w:type="dxa"/>
            </w:tcMar>
            <w:vAlign w:val="center"/>
          </w:tcPr>
          <w:p w14:paraId="45AA2179" w14:textId="77777777" w:rsidR="00612D3C" w:rsidRDefault="007047D9">
            <w:pPr>
              <w:spacing w:after="0"/>
              <w:jc w:val="center"/>
            </w:pPr>
            <w:r>
              <w:rPr>
                <w:rFonts w:ascii="Arial" w:hAnsi="Arial"/>
                <w:color w:val="000000"/>
                <w:sz w:val="15"/>
              </w:rPr>
              <w:t>49.3</w:t>
            </w:r>
          </w:p>
        </w:tc>
        <w:tc>
          <w:tcPr>
            <w:tcW w:w="1368" w:type="dxa"/>
            <w:tcMar>
              <w:top w:w="40" w:type="dxa"/>
              <w:left w:w="45" w:type="dxa"/>
              <w:bottom w:w="40" w:type="dxa"/>
              <w:right w:w="45" w:type="dxa"/>
            </w:tcMar>
            <w:vAlign w:val="center"/>
          </w:tcPr>
          <w:p w14:paraId="2AD302B0" w14:textId="77777777" w:rsidR="00612D3C" w:rsidRDefault="007047D9">
            <w:pPr>
              <w:spacing w:after="0"/>
              <w:jc w:val="center"/>
            </w:pPr>
            <w:r>
              <w:rPr>
                <w:rFonts w:ascii="Arial" w:hAnsi="Arial"/>
                <w:color w:val="000000"/>
                <w:sz w:val="15"/>
              </w:rPr>
              <w:t>49.3</w:t>
            </w:r>
          </w:p>
        </w:tc>
      </w:tr>
      <w:tr w:rsidR="00612D3C" w14:paraId="44BBA25D" w14:textId="77777777">
        <w:trPr>
          <w:cantSplit/>
          <w:jc w:val="center"/>
        </w:trPr>
        <w:tc>
          <w:tcPr>
            <w:tcW w:w="3816" w:type="dxa"/>
            <w:tcMar>
              <w:top w:w="40" w:type="dxa"/>
              <w:left w:w="45" w:type="dxa"/>
              <w:bottom w:w="40" w:type="dxa"/>
              <w:right w:w="45" w:type="dxa"/>
            </w:tcMar>
            <w:vAlign w:val="center"/>
          </w:tcPr>
          <w:p w14:paraId="2FAB1A9D" w14:textId="77777777" w:rsidR="00612D3C" w:rsidRDefault="007047D9">
            <w:pPr>
              <w:spacing w:after="0"/>
              <w:jc w:val="left"/>
            </w:pPr>
            <w:r>
              <w:rPr>
                <w:rFonts w:ascii="Arial" w:hAnsi="Arial"/>
                <w:color w:val="000000"/>
                <w:sz w:val="15"/>
              </w:rPr>
              <w:t>Male</w:t>
            </w:r>
          </w:p>
        </w:tc>
        <w:tc>
          <w:tcPr>
            <w:tcW w:w="1180" w:type="dxa"/>
            <w:tcMar>
              <w:top w:w="40" w:type="dxa"/>
              <w:left w:w="45" w:type="dxa"/>
              <w:bottom w:w="40" w:type="dxa"/>
              <w:right w:w="45" w:type="dxa"/>
            </w:tcMar>
            <w:vAlign w:val="center"/>
          </w:tcPr>
          <w:p w14:paraId="5228D26C" w14:textId="77777777" w:rsidR="00612D3C" w:rsidRDefault="007047D9">
            <w:pPr>
              <w:spacing w:after="0"/>
              <w:jc w:val="center"/>
            </w:pPr>
            <w:r>
              <w:rPr>
                <w:rFonts w:ascii="Arial" w:hAnsi="Arial"/>
                <w:color w:val="000000"/>
                <w:sz w:val="15"/>
              </w:rPr>
              <w:t>56</w:t>
            </w:r>
          </w:p>
        </w:tc>
        <w:tc>
          <w:tcPr>
            <w:tcW w:w="1152" w:type="dxa"/>
            <w:tcMar>
              <w:top w:w="40" w:type="dxa"/>
              <w:left w:w="45" w:type="dxa"/>
              <w:bottom w:w="40" w:type="dxa"/>
              <w:right w:w="45" w:type="dxa"/>
            </w:tcMar>
            <w:vAlign w:val="center"/>
          </w:tcPr>
          <w:p w14:paraId="031D6DD4" w14:textId="77777777" w:rsidR="00612D3C" w:rsidRDefault="007047D9">
            <w:pPr>
              <w:spacing w:after="0"/>
              <w:jc w:val="center"/>
            </w:pPr>
            <w:r>
              <w:rPr>
                <w:rFonts w:ascii="Arial" w:hAnsi="Arial"/>
                <w:color w:val="000000"/>
                <w:sz w:val="15"/>
              </w:rPr>
              <w:t>37.3</w:t>
            </w:r>
          </w:p>
        </w:tc>
        <w:tc>
          <w:tcPr>
            <w:tcW w:w="1180" w:type="dxa"/>
            <w:tcMar>
              <w:top w:w="40" w:type="dxa"/>
              <w:left w:w="45" w:type="dxa"/>
              <w:bottom w:w="40" w:type="dxa"/>
              <w:right w:w="45" w:type="dxa"/>
            </w:tcMar>
            <w:vAlign w:val="center"/>
          </w:tcPr>
          <w:p w14:paraId="1B0B0368" w14:textId="77777777" w:rsidR="00612D3C" w:rsidRDefault="007047D9">
            <w:pPr>
              <w:spacing w:after="0"/>
              <w:jc w:val="center"/>
            </w:pPr>
            <w:r>
              <w:rPr>
                <w:rFonts w:ascii="Arial" w:hAnsi="Arial"/>
                <w:color w:val="000000"/>
                <w:sz w:val="15"/>
              </w:rPr>
              <w:t>37.3</w:t>
            </w:r>
          </w:p>
        </w:tc>
        <w:tc>
          <w:tcPr>
            <w:tcW w:w="1368" w:type="dxa"/>
            <w:tcMar>
              <w:top w:w="40" w:type="dxa"/>
              <w:left w:w="45" w:type="dxa"/>
              <w:bottom w:w="40" w:type="dxa"/>
              <w:right w:w="45" w:type="dxa"/>
            </w:tcMar>
            <w:vAlign w:val="center"/>
          </w:tcPr>
          <w:p w14:paraId="108E78C4" w14:textId="77777777" w:rsidR="00612D3C" w:rsidRDefault="007047D9">
            <w:pPr>
              <w:spacing w:after="0"/>
              <w:jc w:val="center"/>
            </w:pPr>
            <w:r>
              <w:rPr>
                <w:rFonts w:ascii="Arial" w:hAnsi="Arial"/>
                <w:color w:val="000000"/>
                <w:sz w:val="15"/>
              </w:rPr>
              <w:t>86.7</w:t>
            </w:r>
          </w:p>
        </w:tc>
      </w:tr>
      <w:tr w:rsidR="00612D3C" w14:paraId="533AC218" w14:textId="77777777">
        <w:trPr>
          <w:cantSplit/>
          <w:jc w:val="center"/>
        </w:trPr>
        <w:tc>
          <w:tcPr>
            <w:tcW w:w="3816" w:type="dxa"/>
            <w:tcMar>
              <w:top w:w="40" w:type="dxa"/>
              <w:left w:w="45" w:type="dxa"/>
              <w:bottom w:w="40" w:type="dxa"/>
              <w:right w:w="45" w:type="dxa"/>
            </w:tcMar>
            <w:vAlign w:val="center"/>
          </w:tcPr>
          <w:p w14:paraId="6D50953C" w14:textId="77777777" w:rsidR="00612D3C" w:rsidRDefault="007047D9">
            <w:pPr>
              <w:spacing w:after="0"/>
              <w:jc w:val="left"/>
            </w:pPr>
            <w:r>
              <w:rPr>
                <w:rFonts w:ascii="Arial" w:hAnsi="Arial"/>
                <w:color w:val="000000"/>
                <w:sz w:val="15"/>
              </w:rPr>
              <w:t>Non-binary</w:t>
            </w:r>
          </w:p>
        </w:tc>
        <w:tc>
          <w:tcPr>
            <w:tcW w:w="1180" w:type="dxa"/>
            <w:tcMar>
              <w:top w:w="40" w:type="dxa"/>
              <w:left w:w="45" w:type="dxa"/>
              <w:bottom w:w="40" w:type="dxa"/>
              <w:right w:w="45" w:type="dxa"/>
            </w:tcMar>
            <w:vAlign w:val="center"/>
          </w:tcPr>
          <w:p w14:paraId="477A1BA1" w14:textId="77777777" w:rsidR="00612D3C" w:rsidRDefault="007047D9">
            <w:pPr>
              <w:spacing w:after="0"/>
              <w:jc w:val="center"/>
            </w:pPr>
            <w:r>
              <w:rPr>
                <w:rFonts w:ascii="Arial" w:hAnsi="Arial"/>
                <w:color w:val="000000"/>
                <w:sz w:val="15"/>
              </w:rPr>
              <w:t>12</w:t>
            </w:r>
          </w:p>
        </w:tc>
        <w:tc>
          <w:tcPr>
            <w:tcW w:w="1152" w:type="dxa"/>
            <w:tcMar>
              <w:top w:w="40" w:type="dxa"/>
              <w:left w:w="45" w:type="dxa"/>
              <w:bottom w:w="40" w:type="dxa"/>
              <w:right w:w="45" w:type="dxa"/>
            </w:tcMar>
            <w:vAlign w:val="center"/>
          </w:tcPr>
          <w:p w14:paraId="3282BA7E" w14:textId="77777777" w:rsidR="00612D3C" w:rsidRDefault="007047D9">
            <w:pPr>
              <w:spacing w:after="0"/>
              <w:jc w:val="center"/>
            </w:pPr>
            <w:r>
              <w:rPr>
                <w:rFonts w:ascii="Arial" w:hAnsi="Arial"/>
                <w:color w:val="000000"/>
                <w:sz w:val="15"/>
              </w:rPr>
              <w:t>8.0</w:t>
            </w:r>
          </w:p>
        </w:tc>
        <w:tc>
          <w:tcPr>
            <w:tcW w:w="1180" w:type="dxa"/>
            <w:tcMar>
              <w:top w:w="40" w:type="dxa"/>
              <w:left w:w="45" w:type="dxa"/>
              <w:bottom w:w="40" w:type="dxa"/>
              <w:right w:w="45" w:type="dxa"/>
            </w:tcMar>
            <w:vAlign w:val="center"/>
          </w:tcPr>
          <w:p w14:paraId="5C3946CB" w14:textId="77777777" w:rsidR="00612D3C" w:rsidRDefault="007047D9">
            <w:pPr>
              <w:spacing w:after="0"/>
              <w:jc w:val="center"/>
            </w:pPr>
            <w:r>
              <w:rPr>
                <w:rFonts w:ascii="Arial" w:hAnsi="Arial"/>
                <w:color w:val="000000"/>
                <w:sz w:val="15"/>
              </w:rPr>
              <w:t>8.0</w:t>
            </w:r>
          </w:p>
        </w:tc>
        <w:tc>
          <w:tcPr>
            <w:tcW w:w="1368" w:type="dxa"/>
            <w:tcMar>
              <w:top w:w="40" w:type="dxa"/>
              <w:left w:w="45" w:type="dxa"/>
              <w:bottom w:w="40" w:type="dxa"/>
              <w:right w:w="45" w:type="dxa"/>
            </w:tcMar>
            <w:vAlign w:val="center"/>
          </w:tcPr>
          <w:p w14:paraId="1C5DBD7A" w14:textId="77777777" w:rsidR="00612D3C" w:rsidRDefault="007047D9">
            <w:pPr>
              <w:spacing w:after="0"/>
              <w:jc w:val="center"/>
            </w:pPr>
            <w:r>
              <w:rPr>
                <w:rFonts w:ascii="Arial" w:hAnsi="Arial"/>
                <w:color w:val="000000"/>
                <w:sz w:val="15"/>
              </w:rPr>
              <w:t>94.7</w:t>
            </w:r>
          </w:p>
        </w:tc>
      </w:tr>
      <w:tr w:rsidR="00612D3C" w14:paraId="1D205C90" w14:textId="77777777">
        <w:trPr>
          <w:cantSplit/>
          <w:jc w:val="center"/>
        </w:trPr>
        <w:tc>
          <w:tcPr>
            <w:tcW w:w="3816" w:type="dxa"/>
            <w:tcMar>
              <w:top w:w="40" w:type="dxa"/>
              <w:left w:w="45" w:type="dxa"/>
              <w:bottom w:w="40" w:type="dxa"/>
              <w:right w:w="45" w:type="dxa"/>
            </w:tcMar>
            <w:vAlign w:val="center"/>
          </w:tcPr>
          <w:p w14:paraId="1034E538" w14:textId="77777777" w:rsidR="00612D3C" w:rsidRDefault="007047D9">
            <w:pPr>
              <w:spacing w:after="0"/>
              <w:jc w:val="left"/>
            </w:pPr>
            <w:r>
              <w:rPr>
                <w:rFonts w:ascii="Arial" w:hAnsi="Arial"/>
                <w:color w:val="000000"/>
                <w:sz w:val="15"/>
              </w:rPr>
              <w:t>Prefer not to say</w:t>
            </w:r>
          </w:p>
        </w:tc>
        <w:tc>
          <w:tcPr>
            <w:tcW w:w="1180" w:type="dxa"/>
            <w:tcMar>
              <w:top w:w="40" w:type="dxa"/>
              <w:left w:w="45" w:type="dxa"/>
              <w:bottom w:w="40" w:type="dxa"/>
              <w:right w:w="45" w:type="dxa"/>
            </w:tcMar>
            <w:vAlign w:val="center"/>
          </w:tcPr>
          <w:p w14:paraId="584A484B" w14:textId="77777777" w:rsidR="00612D3C" w:rsidRDefault="007047D9">
            <w:pPr>
              <w:spacing w:after="0"/>
              <w:jc w:val="center"/>
            </w:pPr>
            <w:r>
              <w:rPr>
                <w:rFonts w:ascii="Arial" w:hAnsi="Arial"/>
                <w:color w:val="000000"/>
                <w:sz w:val="15"/>
              </w:rPr>
              <w:t>8</w:t>
            </w:r>
          </w:p>
        </w:tc>
        <w:tc>
          <w:tcPr>
            <w:tcW w:w="1152" w:type="dxa"/>
            <w:tcMar>
              <w:top w:w="40" w:type="dxa"/>
              <w:left w:w="45" w:type="dxa"/>
              <w:bottom w:w="40" w:type="dxa"/>
              <w:right w:w="45" w:type="dxa"/>
            </w:tcMar>
            <w:vAlign w:val="center"/>
          </w:tcPr>
          <w:p w14:paraId="34C452DE" w14:textId="77777777" w:rsidR="00612D3C" w:rsidRDefault="007047D9">
            <w:pPr>
              <w:spacing w:after="0"/>
              <w:jc w:val="center"/>
            </w:pPr>
            <w:r>
              <w:rPr>
                <w:rFonts w:ascii="Arial" w:hAnsi="Arial"/>
                <w:color w:val="000000"/>
                <w:sz w:val="15"/>
              </w:rPr>
              <w:t>5.3</w:t>
            </w:r>
          </w:p>
        </w:tc>
        <w:tc>
          <w:tcPr>
            <w:tcW w:w="1180" w:type="dxa"/>
            <w:tcMar>
              <w:top w:w="40" w:type="dxa"/>
              <w:left w:w="45" w:type="dxa"/>
              <w:bottom w:w="40" w:type="dxa"/>
              <w:right w:w="45" w:type="dxa"/>
            </w:tcMar>
            <w:vAlign w:val="center"/>
          </w:tcPr>
          <w:p w14:paraId="6AABDE85" w14:textId="77777777" w:rsidR="00612D3C" w:rsidRDefault="007047D9">
            <w:pPr>
              <w:spacing w:after="0"/>
              <w:jc w:val="center"/>
            </w:pPr>
            <w:r>
              <w:rPr>
                <w:rFonts w:ascii="Arial" w:hAnsi="Arial"/>
                <w:color w:val="000000"/>
                <w:sz w:val="15"/>
              </w:rPr>
              <w:t>5.3</w:t>
            </w:r>
          </w:p>
        </w:tc>
        <w:tc>
          <w:tcPr>
            <w:tcW w:w="1368" w:type="dxa"/>
            <w:tcMar>
              <w:top w:w="40" w:type="dxa"/>
              <w:left w:w="45" w:type="dxa"/>
              <w:bottom w:w="40" w:type="dxa"/>
              <w:right w:w="45" w:type="dxa"/>
            </w:tcMar>
            <w:vAlign w:val="center"/>
          </w:tcPr>
          <w:p w14:paraId="5E848648" w14:textId="77777777" w:rsidR="00612D3C" w:rsidRDefault="007047D9">
            <w:pPr>
              <w:spacing w:after="0"/>
              <w:jc w:val="center"/>
            </w:pPr>
            <w:r>
              <w:rPr>
                <w:rFonts w:ascii="Arial" w:hAnsi="Arial"/>
                <w:color w:val="000000"/>
                <w:sz w:val="15"/>
              </w:rPr>
              <w:t>100.0</w:t>
            </w:r>
          </w:p>
        </w:tc>
      </w:tr>
      <w:tr w:rsidR="00612D3C" w14:paraId="4CC990D2" w14:textId="77777777">
        <w:trPr>
          <w:cantSplit/>
          <w:jc w:val="center"/>
        </w:trPr>
        <w:tc>
          <w:tcPr>
            <w:tcW w:w="3816" w:type="dxa"/>
            <w:shd w:val="clear" w:color="auto" w:fill="F1F3F6"/>
            <w:tcMar>
              <w:top w:w="40" w:type="dxa"/>
              <w:left w:w="45" w:type="dxa"/>
              <w:bottom w:w="40" w:type="dxa"/>
              <w:right w:w="45" w:type="dxa"/>
            </w:tcMar>
            <w:vAlign w:val="center"/>
          </w:tcPr>
          <w:p w14:paraId="7D8BC312" w14:textId="77777777" w:rsidR="00612D3C" w:rsidRDefault="007047D9">
            <w:pPr>
              <w:spacing w:after="0"/>
              <w:jc w:val="left"/>
            </w:pPr>
            <w:r>
              <w:rPr>
                <w:rFonts w:ascii="Arial" w:hAnsi="Arial"/>
                <w:b/>
                <w:color w:val="000000"/>
                <w:sz w:val="15"/>
              </w:rPr>
              <w:t>Total</w:t>
            </w:r>
          </w:p>
        </w:tc>
        <w:tc>
          <w:tcPr>
            <w:tcW w:w="1180" w:type="dxa"/>
            <w:shd w:val="clear" w:color="auto" w:fill="F1F3F6"/>
            <w:tcMar>
              <w:top w:w="40" w:type="dxa"/>
              <w:left w:w="45" w:type="dxa"/>
              <w:bottom w:w="40" w:type="dxa"/>
              <w:right w:w="45" w:type="dxa"/>
            </w:tcMar>
            <w:vAlign w:val="center"/>
          </w:tcPr>
          <w:p w14:paraId="75C783AB" w14:textId="77777777" w:rsidR="00612D3C" w:rsidRDefault="007047D9">
            <w:pPr>
              <w:spacing w:after="0"/>
              <w:jc w:val="center"/>
            </w:pPr>
            <w:r>
              <w:rPr>
                <w:rFonts w:ascii="Arial" w:hAnsi="Arial"/>
                <w:b/>
                <w:color w:val="000000"/>
                <w:sz w:val="15"/>
              </w:rPr>
              <w:t>150</w:t>
            </w:r>
          </w:p>
        </w:tc>
        <w:tc>
          <w:tcPr>
            <w:tcW w:w="1152" w:type="dxa"/>
            <w:shd w:val="clear" w:color="auto" w:fill="F1F3F6"/>
            <w:tcMar>
              <w:top w:w="40" w:type="dxa"/>
              <w:left w:w="45" w:type="dxa"/>
              <w:bottom w:w="40" w:type="dxa"/>
              <w:right w:w="45" w:type="dxa"/>
            </w:tcMar>
            <w:vAlign w:val="center"/>
          </w:tcPr>
          <w:p w14:paraId="02133A2D" w14:textId="77777777" w:rsidR="00612D3C" w:rsidRDefault="007047D9">
            <w:pPr>
              <w:spacing w:after="0"/>
              <w:jc w:val="center"/>
            </w:pPr>
            <w:r>
              <w:rPr>
                <w:rFonts w:ascii="Arial" w:hAnsi="Arial"/>
                <w:b/>
                <w:color w:val="000000"/>
                <w:sz w:val="15"/>
              </w:rPr>
              <w:t>100.0</w:t>
            </w:r>
          </w:p>
        </w:tc>
        <w:tc>
          <w:tcPr>
            <w:tcW w:w="1180" w:type="dxa"/>
            <w:shd w:val="clear" w:color="auto" w:fill="F1F3F6"/>
            <w:tcMar>
              <w:top w:w="40" w:type="dxa"/>
              <w:left w:w="45" w:type="dxa"/>
              <w:bottom w:w="40" w:type="dxa"/>
              <w:right w:w="45" w:type="dxa"/>
            </w:tcMar>
            <w:vAlign w:val="center"/>
          </w:tcPr>
          <w:p w14:paraId="36AB77FC" w14:textId="77777777" w:rsidR="00612D3C" w:rsidRDefault="007047D9">
            <w:pPr>
              <w:spacing w:after="0"/>
              <w:jc w:val="center"/>
            </w:pPr>
            <w:r>
              <w:rPr>
                <w:rFonts w:ascii="Arial" w:hAnsi="Arial"/>
                <w:b/>
                <w:color w:val="000000"/>
                <w:sz w:val="15"/>
              </w:rPr>
              <w:t>100.0</w:t>
            </w:r>
          </w:p>
        </w:tc>
        <w:tc>
          <w:tcPr>
            <w:tcW w:w="1368" w:type="dxa"/>
            <w:shd w:val="clear" w:color="auto" w:fill="F1F3F6"/>
            <w:tcMar>
              <w:top w:w="40" w:type="dxa"/>
              <w:left w:w="45" w:type="dxa"/>
              <w:bottom w:w="40" w:type="dxa"/>
              <w:right w:w="45" w:type="dxa"/>
            </w:tcMar>
            <w:vAlign w:val="center"/>
          </w:tcPr>
          <w:p w14:paraId="6B26DBC2" w14:textId="77777777" w:rsidR="00612D3C" w:rsidRDefault="00612D3C">
            <w:pPr>
              <w:spacing w:after="0"/>
              <w:jc w:val="center"/>
            </w:pPr>
          </w:p>
        </w:tc>
      </w:tr>
    </w:tbl>
    <w:p w14:paraId="6BC59EFB" w14:textId="77777777" w:rsidR="00612D3C" w:rsidRDefault="00612D3C">
      <w:pPr>
        <w:rPr>
          <w:rFonts w:ascii="Calibri" w:hAnsi="Calibri" w:cs="Calibri"/>
        </w:rPr>
      </w:pPr>
    </w:p>
    <w:tbl>
      <w:tblPr>
        <w:tblStyle w:val="TableGrid"/>
        <w:tblW w:w="0" w:type="auto"/>
        <w:jc w:val="center"/>
        <w:tblLayout w:type="fixed"/>
        <w:tblLook w:val="04A0" w:firstRow="1" w:lastRow="0" w:firstColumn="1" w:lastColumn="0" w:noHBand="0" w:noVBand="1"/>
      </w:tblPr>
      <w:tblGrid>
        <w:gridCol w:w="3816"/>
        <w:gridCol w:w="1180"/>
        <w:gridCol w:w="1152"/>
        <w:gridCol w:w="1180"/>
        <w:gridCol w:w="1368"/>
      </w:tblGrid>
      <w:tr w:rsidR="00612D3C" w14:paraId="60C4D660" w14:textId="77777777">
        <w:trPr>
          <w:cantSplit/>
          <w:tblHeader/>
          <w:jc w:val="center"/>
        </w:trPr>
        <w:tc>
          <w:tcPr>
            <w:tcW w:w="1368" w:type="dxa"/>
            <w:gridSpan w:val="5"/>
            <w:shd w:val="clear" w:color="auto" w:fill="D9E2F3"/>
            <w:tcMar>
              <w:top w:w="40" w:type="dxa"/>
              <w:left w:w="45" w:type="dxa"/>
              <w:bottom w:w="40" w:type="dxa"/>
              <w:right w:w="45" w:type="dxa"/>
            </w:tcMar>
            <w:vAlign w:val="center"/>
          </w:tcPr>
          <w:p w14:paraId="1770E318" w14:textId="77777777" w:rsidR="00612D3C" w:rsidRDefault="007047D9">
            <w:pPr>
              <w:spacing w:after="0"/>
              <w:jc w:val="left"/>
            </w:pPr>
            <w:r>
              <w:rPr>
                <w:rFonts w:ascii="Arial" w:hAnsi="Arial"/>
                <w:b/>
                <w:color w:val="000000"/>
                <w:sz w:val="17"/>
              </w:rPr>
              <w:t>Table 3: Tesco shopping frequency</w:t>
            </w:r>
          </w:p>
        </w:tc>
      </w:tr>
      <w:tr w:rsidR="00612D3C" w14:paraId="44F279A2" w14:textId="77777777">
        <w:trPr>
          <w:cantSplit/>
          <w:tblHeader/>
          <w:jc w:val="center"/>
        </w:trPr>
        <w:tc>
          <w:tcPr>
            <w:tcW w:w="3816" w:type="dxa"/>
            <w:shd w:val="clear" w:color="auto" w:fill="E9EEF5"/>
            <w:tcMar>
              <w:top w:w="40" w:type="dxa"/>
              <w:left w:w="45" w:type="dxa"/>
              <w:bottom w:w="40" w:type="dxa"/>
              <w:right w:w="45" w:type="dxa"/>
            </w:tcMar>
            <w:vAlign w:val="center"/>
          </w:tcPr>
          <w:p w14:paraId="7A6105BA" w14:textId="77777777" w:rsidR="00612D3C" w:rsidRDefault="007047D9">
            <w:pPr>
              <w:spacing w:after="0"/>
              <w:jc w:val="center"/>
            </w:pPr>
            <w:r>
              <w:rPr>
                <w:rFonts w:ascii="Arial" w:hAnsi="Arial"/>
                <w:b/>
                <w:color w:val="000000"/>
                <w:sz w:val="15"/>
              </w:rPr>
              <w:t>Category</w:t>
            </w:r>
          </w:p>
        </w:tc>
        <w:tc>
          <w:tcPr>
            <w:tcW w:w="1180" w:type="dxa"/>
            <w:shd w:val="clear" w:color="auto" w:fill="E9EEF5"/>
            <w:tcMar>
              <w:top w:w="40" w:type="dxa"/>
              <w:left w:w="45" w:type="dxa"/>
              <w:bottom w:w="40" w:type="dxa"/>
              <w:right w:w="45" w:type="dxa"/>
            </w:tcMar>
            <w:vAlign w:val="center"/>
          </w:tcPr>
          <w:p w14:paraId="77259D23" w14:textId="77777777" w:rsidR="00612D3C" w:rsidRDefault="007047D9">
            <w:pPr>
              <w:spacing w:after="0"/>
              <w:jc w:val="center"/>
            </w:pPr>
            <w:r>
              <w:rPr>
                <w:rFonts w:ascii="Arial" w:hAnsi="Arial"/>
                <w:b/>
                <w:color w:val="000000"/>
                <w:sz w:val="15"/>
              </w:rPr>
              <w:t>Frequency</w:t>
            </w:r>
          </w:p>
        </w:tc>
        <w:tc>
          <w:tcPr>
            <w:tcW w:w="1152" w:type="dxa"/>
            <w:shd w:val="clear" w:color="auto" w:fill="E9EEF5"/>
            <w:tcMar>
              <w:top w:w="40" w:type="dxa"/>
              <w:left w:w="45" w:type="dxa"/>
              <w:bottom w:w="40" w:type="dxa"/>
              <w:right w:w="45" w:type="dxa"/>
            </w:tcMar>
            <w:vAlign w:val="center"/>
          </w:tcPr>
          <w:p w14:paraId="790A4F8F" w14:textId="77777777" w:rsidR="00612D3C" w:rsidRDefault="007047D9">
            <w:pPr>
              <w:spacing w:after="0"/>
              <w:jc w:val="center"/>
            </w:pPr>
            <w:r>
              <w:rPr>
                <w:rFonts w:ascii="Arial" w:hAnsi="Arial"/>
                <w:b/>
                <w:color w:val="000000"/>
                <w:sz w:val="15"/>
              </w:rPr>
              <w:t>Percent</w:t>
            </w:r>
          </w:p>
        </w:tc>
        <w:tc>
          <w:tcPr>
            <w:tcW w:w="1180" w:type="dxa"/>
            <w:shd w:val="clear" w:color="auto" w:fill="E9EEF5"/>
            <w:tcMar>
              <w:top w:w="40" w:type="dxa"/>
              <w:left w:w="45" w:type="dxa"/>
              <w:bottom w:w="40" w:type="dxa"/>
              <w:right w:w="45" w:type="dxa"/>
            </w:tcMar>
            <w:vAlign w:val="center"/>
          </w:tcPr>
          <w:p w14:paraId="1B9B06EE" w14:textId="77777777" w:rsidR="00612D3C" w:rsidRDefault="007047D9">
            <w:pPr>
              <w:spacing w:after="0"/>
              <w:jc w:val="center"/>
            </w:pPr>
            <w:r>
              <w:rPr>
                <w:rFonts w:ascii="Arial" w:hAnsi="Arial"/>
                <w:b/>
                <w:color w:val="000000"/>
                <w:sz w:val="15"/>
              </w:rPr>
              <w:t>Valid %</w:t>
            </w:r>
          </w:p>
        </w:tc>
        <w:tc>
          <w:tcPr>
            <w:tcW w:w="1368" w:type="dxa"/>
            <w:shd w:val="clear" w:color="auto" w:fill="E9EEF5"/>
            <w:tcMar>
              <w:top w:w="40" w:type="dxa"/>
              <w:left w:w="45" w:type="dxa"/>
              <w:bottom w:w="40" w:type="dxa"/>
              <w:right w:w="45" w:type="dxa"/>
            </w:tcMar>
            <w:vAlign w:val="center"/>
          </w:tcPr>
          <w:p w14:paraId="2565942E" w14:textId="77777777" w:rsidR="00612D3C" w:rsidRDefault="007047D9">
            <w:pPr>
              <w:spacing w:after="0"/>
              <w:jc w:val="center"/>
            </w:pPr>
            <w:r>
              <w:rPr>
                <w:rFonts w:ascii="Arial" w:hAnsi="Arial"/>
                <w:b/>
                <w:color w:val="000000"/>
                <w:sz w:val="15"/>
              </w:rPr>
              <w:t>Cumulative %</w:t>
            </w:r>
          </w:p>
        </w:tc>
      </w:tr>
      <w:tr w:rsidR="00612D3C" w14:paraId="6A3005A2" w14:textId="77777777">
        <w:trPr>
          <w:cantSplit/>
          <w:jc w:val="center"/>
        </w:trPr>
        <w:tc>
          <w:tcPr>
            <w:tcW w:w="3816" w:type="dxa"/>
            <w:tcMar>
              <w:top w:w="40" w:type="dxa"/>
              <w:left w:w="45" w:type="dxa"/>
              <w:bottom w:w="40" w:type="dxa"/>
              <w:right w:w="45" w:type="dxa"/>
            </w:tcMar>
            <w:vAlign w:val="center"/>
          </w:tcPr>
          <w:p w14:paraId="25311C49" w14:textId="77777777" w:rsidR="00612D3C" w:rsidRDefault="007047D9">
            <w:pPr>
              <w:spacing w:after="0"/>
              <w:jc w:val="left"/>
            </w:pPr>
            <w:r>
              <w:rPr>
                <w:rFonts w:ascii="Arial" w:hAnsi="Arial"/>
                <w:color w:val="000000"/>
                <w:sz w:val="15"/>
              </w:rPr>
              <w:t>Less than once per month</w:t>
            </w:r>
          </w:p>
        </w:tc>
        <w:tc>
          <w:tcPr>
            <w:tcW w:w="1180" w:type="dxa"/>
            <w:tcMar>
              <w:top w:w="40" w:type="dxa"/>
              <w:left w:w="45" w:type="dxa"/>
              <w:bottom w:w="40" w:type="dxa"/>
              <w:right w:w="45" w:type="dxa"/>
            </w:tcMar>
            <w:vAlign w:val="center"/>
          </w:tcPr>
          <w:p w14:paraId="6816ED97" w14:textId="77777777" w:rsidR="00612D3C" w:rsidRDefault="007047D9">
            <w:pPr>
              <w:spacing w:after="0"/>
              <w:jc w:val="center"/>
            </w:pPr>
            <w:r>
              <w:rPr>
                <w:rFonts w:ascii="Arial" w:hAnsi="Arial"/>
                <w:color w:val="000000"/>
                <w:sz w:val="15"/>
              </w:rPr>
              <w:t>33</w:t>
            </w:r>
          </w:p>
        </w:tc>
        <w:tc>
          <w:tcPr>
            <w:tcW w:w="1152" w:type="dxa"/>
            <w:tcMar>
              <w:top w:w="40" w:type="dxa"/>
              <w:left w:w="45" w:type="dxa"/>
              <w:bottom w:w="40" w:type="dxa"/>
              <w:right w:w="45" w:type="dxa"/>
            </w:tcMar>
            <w:vAlign w:val="center"/>
          </w:tcPr>
          <w:p w14:paraId="52A5A839" w14:textId="77777777" w:rsidR="00612D3C" w:rsidRDefault="007047D9">
            <w:pPr>
              <w:spacing w:after="0"/>
              <w:jc w:val="center"/>
            </w:pPr>
            <w:r>
              <w:rPr>
                <w:rFonts w:ascii="Arial" w:hAnsi="Arial"/>
                <w:color w:val="000000"/>
                <w:sz w:val="15"/>
              </w:rPr>
              <w:t>22.0</w:t>
            </w:r>
          </w:p>
        </w:tc>
        <w:tc>
          <w:tcPr>
            <w:tcW w:w="1180" w:type="dxa"/>
            <w:tcMar>
              <w:top w:w="40" w:type="dxa"/>
              <w:left w:w="45" w:type="dxa"/>
              <w:bottom w:w="40" w:type="dxa"/>
              <w:right w:w="45" w:type="dxa"/>
            </w:tcMar>
            <w:vAlign w:val="center"/>
          </w:tcPr>
          <w:p w14:paraId="383381E7" w14:textId="77777777" w:rsidR="00612D3C" w:rsidRDefault="007047D9">
            <w:pPr>
              <w:spacing w:after="0"/>
              <w:jc w:val="center"/>
            </w:pPr>
            <w:r>
              <w:rPr>
                <w:rFonts w:ascii="Arial" w:hAnsi="Arial"/>
                <w:color w:val="000000"/>
                <w:sz w:val="15"/>
              </w:rPr>
              <w:t>22.0</w:t>
            </w:r>
          </w:p>
        </w:tc>
        <w:tc>
          <w:tcPr>
            <w:tcW w:w="1368" w:type="dxa"/>
            <w:tcMar>
              <w:top w:w="40" w:type="dxa"/>
              <w:left w:w="45" w:type="dxa"/>
              <w:bottom w:w="40" w:type="dxa"/>
              <w:right w:w="45" w:type="dxa"/>
            </w:tcMar>
            <w:vAlign w:val="center"/>
          </w:tcPr>
          <w:p w14:paraId="2B0B43AD" w14:textId="77777777" w:rsidR="00612D3C" w:rsidRDefault="007047D9">
            <w:pPr>
              <w:spacing w:after="0"/>
              <w:jc w:val="center"/>
            </w:pPr>
            <w:r>
              <w:rPr>
                <w:rFonts w:ascii="Arial" w:hAnsi="Arial"/>
                <w:color w:val="000000"/>
                <w:sz w:val="15"/>
              </w:rPr>
              <w:t>22.0</w:t>
            </w:r>
          </w:p>
        </w:tc>
      </w:tr>
      <w:tr w:rsidR="00612D3C" w14:paraId="7A0FFCED" w14:textId="77777777">
        <w:trPr>
          <w:cantSplit/>
          <w:jc w:val="center"/>
        </w:trPr>
        <w:tc>
          <w:tcPr>
            <w:tcW w:w="3816" w:type="dxa"/>
            <w:tcMar>
              <w:top w:w="40" w:type="dxa"/>
              <w:left w:w="45" w:type="dxa"/>
              <w:bottom w:w="40" w:type="dxa"/>
              <w:right w:w="45" w:type="dxa"/>
            </w:tcMar>
            <w:vAlign w:val="center"/>
          </w:tcPr>
          <w:p w14:paraId="4F55041F" w14:textId="77777777" w:rsidR="00612D3C" w:rsidRDefault="007047D9">
            <w:pPr>
              <w:spacing w:after="0"/>
              <w:jc w:val="left"/>
            </w:pPr>
            <w:r>
              <w:rPr>
                <w:rFonts w:ascii="Arial" w:hAnsi="Arial"/>
                <w:color w:val="000000"/>
                <w:sz w:val="15"/>
              </w:rPr>
              <w:t>1–5 times per month</w:t>
            </w:r>
          </w:p>
        </w:tc>
        <w:tc>
          <w:tcPr>
            <w:tcW w:w="1180" w:type="dxa"/>
            <w:tcMar>
              <w:top w:w="40" w:type="dxa"/>
              <w:left w:w="45" w:type="dxa"/>
              <w:bottom w:w="40" w:type="dxa"/>
              <w:right w:w="45" w:type="dxa"/>
            </w:tcMar>
            <w:vAlign w:val="center"/>
          </w:tcPr>
          <w:p w14:paraId="0B8C0529" w14:textId="77777777" w:rsidR="00612D3C" w:rsidRDefault="007047D9">
            <w:pPr>
              <w:spacing w:after="0"/>
              <w:jc w:val="center"/>
            </w:pPr>
            <w:r>
              <w:rPr>
                <w:rFonts w:ascii="Arial" w:hAnsi="Arial"/>
                <w:color w:val="000000"/>
                <w:sz w:val="15"/>
              </w:rPr>
              <w:t>39</w:t>
            </w:r>
          </w:p>
        </w:tc>
        <w:tc>
          <w:tcPr>
            <w:tcW w:w="1152" w:type="dxa"/>
            <w:tcMar>
              <w:top w:w="40" w:type="dxa"/>
              <w:left w:w="45" w:type="dxa"/>
              <w:bottom w:w="40" w:type="dxa"/>
              <w:right w:w="45" w:type="dxa"/>
            </w:tcMar>
            <w:vAlign w:val="center"/>
          </w:tcPr>
          <w:p w14:paraId="15AEBEF4" w14:textId="77777777" w:rsidR="00612D3C" w:rsidRDefault="007047D9">
            <w:pPr>
              <w:spacing w:after="0"/>
              <w:jc w:val="center"/>
            </w:pPr>
            <w:r>
              <w:rPr>
                <w:rFonts w:ascii="Arial" w:hAnsi="Arial"/>
                <w:color w:val="000000"/>
                <w:sz w:val="15"/>
              </w:rPr>
              <w:t>26.0</w:t>
            </w:r>
          </w:p>
        </w:tc>
        <w:tc>
          <w:tcPr>
            <w:tcW w:w="1180" w:type="dxa"/>
            <w:tcMar>
              <w:top w:w="40" w:type="dxa"/>
              <w:left w:w="45" w:type="dxa"/>
              <w:bottom w:w="40" w:type="dxa"/>
              <w:right w:w="45" w:type="dxa"/>
            </w:tcMar>
            <w:vAlign w:val="center"/>
          </w:tcPr>
          <w:p w14:paraId="6BE04DEF" w14:textId="77777777" w:rsidR="00612D3C" w:rsidRDefault="007047D9">
            <w:pPr>
              <w:spacing w:after="0"/>
              <w:jc w:val="center"/>
            </w:pPr>
            <w:r>
              <w:rPr>
                <w:rFonts w:ascii="Arial" w:hAnsi="Arial"/>
                <w:color w:val="000000"/>
                <w:sz w:val="15"/>
              </w:rPr>
              <w:t>26.0</w:t>
            </w:r>
          </w:p>
        </w:tc>
        <w:tc>
          <w:tcPr>
            <w:tcW w:w="1368" w:type="dxa"/>
            <w:tcMar>
              <w:top w:w="40" w:type="dxa"/>
              <w:left w:w="45" w:type="dxa"/>
              <w:bottom w:w="40" w:type="dxa"/>
              <w:right w:w="45" w:type="dxa"/>
            </w:tcMar>
            <w:vAlign w:val="center"/>
          </w:tcPr>
          <w:p w14:paraId="171ACBFA" w14:textId="77777777" w:rsidR="00612D3C" w:rsidRDefault="007047D9">
            <w:pPr>
              <w:spacing w:after="0"/>
              <w:jc w:val="center"/>
            </w:pPr>
            <w:r>
              <w:rPr>
                <w:rFonts w:ascii="Arial" w:hAnsi="Arial"/>
                <w:color w:val="000000"/>
                <w:sz w:val="15"/>
              </w:rPr>
              <w:t>48.0</w:t>
            </w:r>
          </w:p>
        </w:tc>
      </w:tr>
      <w:tr w:rsidR="00612D3C" w14:paraId="40A73923" w14:textId="77777777">
        <w:trPr>
          <w:cantSplit/>
          <w:jc w:val="center"/>
        </w:trPr>
        <w:tc>
          <w:tcPr>
            <w:tcW w:w="3816" w:type="dxa"/>
            <w:tcMar>
              <w:top w:w="40" w:type="dxa"/>
              <w:left w:w="45" w:type="dxa"/>
              <w:bottom w:w="40" w:type="dxa"/>
              <w:right w:w="45" w:type="dxa"/>
            </w:tcMar>
            <w:vAlign w:val="center"/>
          </w:tcPr>
          <w:p w14:paraId="5266F866" w14:textId="77777777" w:rsidR="00612D3C" w:rsidRDefault="007047D9">
            <w:pPr>
              <w:spacing w:after="0"/>
              <w:jc w:val="left"/>
            </w:pPr>
            <w:r>
              <w:rPr>
                <w:rFonts w:ascii="Arial" w:hAnsi="Arial"/>
                <w:color w:val="000000"/>
                <w:sz w:val="15"/>
              </w:rPr>
              <w:t>6–10 times per month</w:t>
            </w:r>
          </w:p>
        </w:tc>
        <w:tc>
          <w:tcPr>
            <w:tcW w:w="1180" w:type="dxa"/>
            <w:tcMar>
              <w:top w:w="40" w:type="dxa"/>
              <w:left w:w="45" w:type="dxa"/>
              <w:bottom w:w="40" w:type="dxa"/>
              <w:right w:w="45" w:type="dxa"/>
            </w:tcMar>
            <w:vAlign w:val="center"/>
          </w:tcPr>
          <w:p w14:paraId="535434E6" w14:textId="77777777" w:rsidR="00612D3C" w:rsidRDefault="007047D9">
            <w:pPr>
              <w:spacing w:after="0"/>
              <w:jc w:val="center"/>
            </w:pPr>
            <w:r>
              <w:rPr>
                <w:rFonts w:ascii="Arial" w:hAnsi="Arial"/>
                <w:color w:val="000000"/>
                <w:sz w:val="15"/>
              </w:rPr>
              <w:t>53</w:t>
            </w:r>
          </w:p>
        </w:tc>
        <w:tc>
          <w:tcPr>
            <w:tcW w:w="1152" w:type="dxa"/>
            <w:tcMar>
              <w:top w:w="40" w:type="dxa"/>
              <w:left w:w="45" w:type="dxa"/>
              <w:bottom w:w="40" w:type="dxa"/>
              <w:right w:w="45" w:type="dxa"/>
            </w:tcMar>
            <w:vAlign w:val="center"/>
          </w:tcPr>
          <w:p w14:paraId="607E3F35" w14:textId="77777777" w:rsidR="00612D3C" w:rsidRDefault="007047D9">
            <w:pPr>
              <w:spacing w:after="0"/>
              <w:jc w:val="center"/>
            </w:pPr>
            <w:r>
              <w:rPr>
                <w:rFonts w:ascii="Arial" w:hAnsi="Arial"/>
                <w:color w:val="000000"/>
                <w:sz w:val="15"/>
              </w:rPr>
              <w:t>35.3</w:t>
            </w:r>
          </w:p>
        </w:tc>
        <w:tc>
          <w:tcPr>
            <w:tcW w:w="1180" w:type="dxa"/>
            <w:tcMar>
              <w:top w:w="40" w:type="dxa"/>
              <w:left w:w="45" w:type="dxa"/>
              <w:bottom w:w="40" w:type="dxa"/>
              <w:right w:w="45" w:type="dxa"/>
            </w:tcMar>
            <w:vAlign w:val="center"/>
          </w:tcPr>
          <w:p w14:paraId="664BC46B" w14:textId="77777777" w:rsidR="00612D3C" w:rsidRDefault="007047D9">
            <w:pPr>
              <w:spacing w:after="0"/>
              <w:jc w:val="center"/>
            </w:pPr>
            <w:r>
              <w:rPr>
                <w:rFonts w:ascii="Arial" w:hAnsi="Arial"/>
                <w:color w:val="000000"/>
                <w:sz w:val="15"/>
              </w:rPr>
              <w:t>35.3</w:t>
            </w:r>
          </w:p>
        </w:tc>
        <w:tc>
          <w:tcPr>
            <w:tcW w:w="1368" w:type="dxa"/>
            <w:tcMar>
              <w:top w:w="40" w:type="dxa"/>
              <w:left w:w="45" w:type="dxa"/>
              <w:bottom w:w="40" w:type="dxa"/>
              <w:right w:w="45" w:type="dxa"/>
            </w:tcMar>
            <w:vAlign w:val="center"/>
          </w:tcPr>
          <w:p w14:paraId="03BB39DB" w14:textId="77777777" w:rsidR="00612D3C" w:rsidRDefault="007047D9">
            <w:pPr>
              <w:spacing w:after="0"/>
              <w:jc w:val="center"/>
            </w:pPr>
            <w:r>
              <w:rPr>
                <w:rFonts w:ascii="Arial" w:hAnsi="Arial"/>
                <w:color w:val="000000"/>
                <w:sz w:val="15"/>
              </w:rPr>
              <w:t>83.3</w:t>
            </w:r>
          </w:p>
        </w:tc>
      </w:tr>
      <w:tr w:rsidR="00612D3C" w14:paraId="69030145" w14:textId="77777777">
        <w:trPr>
          <w:cantSplit/>
          <w:jc w:val="center"/>
        </w:trPr>
        <w:tc>
          <w:tcPr>
            <w:tcW w:w="3816" w:type="dxa"/>
            <w:tcMar>
              <w:top w:w="40" w:type="dxa"/>
              <w:left w:w="45" w:type="dxa"/>
              <w:bottom w:w="40" w:type="dxa"/>
              <w:right w:w="45" w:type="dxa"/>
            </w:tcMar>
            <w:vAlign w:val="center"/>
          </w:tcPr>
          <w:p w14:paraId="6A47BE7E" w14:textId="77777777" w:rsidR="00612D3C" w:rsidRDefault="007047D9">
            <w:pPr>
              <w:spacing w:after="0"/>
              <w:jc w:val="left"/>
            </w:pPr>
            <w:r>
              <w:rPr>
                <w:rFonts w:ascii="Arial" w:hAnsi="Arial"/>
                <w:color w:val="000000"/>
                <w:sz w:val="15"/>
              </w:rPr>
              <w:t>11–15 times per month</w:t>
            </w:r>
          </w:p>
        </w:tc>
        <w:tc>
          <w:tcPr>
            <w:tcW w:w="1180" w:type="dxa"/>
            <w:tcMar>
              <w:top w:w="40" w:type="dxa"/>
              <w:left w:w="45" w:type="dxa"/>
              <w:bottom w:w="40" w:type="dxa"/>
              <w:right w:w="45" w:type="dxa"/>
            </w:tcMar>
            <w:vAlign w:val="center"/>
          </w:tcPr>
          <w:p w14:paraId="5D63CC40" w14:textId="77777777" w:rsidR="00612D3C" w:rsidRDefault="007047D9">
            <w:pPr>
              <w:spacing w:after="0"/>
              <w:jc w:val="center"/>
            </w:pPr>
            <w:r>
              <w:rPr>
                <w:rFonts w:ascii="Arial" w:hAnsi="Arial"/>
                <w:color w:val="000000"/>
                <w:sz w:val="15"/>
              </w:rPr>
              <w:t>24</w:t>
            </w:r>
          </w:p>
        </w:tc>
        <w:tc>
          <w:tcPr>
            <w:tcW w:w="1152" w:type="dxa"/>
            <w:tcMar>
              <w:top w:w="40" w:type="dxa"/>
              <w:left w:w="45" w:type="dxa"/>
              <w:bottom w:w="40" w:type="dxa"/>
              <w:right w:w="45" w:type="dxa"/>
            </w:tcMar>
            <w:vAlign w:val="center"/>
          </w:tcPr>
          <w:p w14:paraId="589FA357" w14:textId="77777777" w:rsidR="00612D3C" w:rsidRDefault="007047D9">
            <w:pPr>
              <w:spacing w:after="0"/>
              <w:jc w:val="center"/>
            </w:pPr>
            <w:r>
              <w:rPr>
                <w:rFonts w:ascii="Arial" w:hAnsi="Arial"/>
                <w:color w:val="000000"/>
                <w:sz w:val="15"/>
              </w:rPr>
              <w:t>16.0</w:t>
            </w:r>
          </w:p>
        </w:tc>
        <w:tc>
          <w:tcPr>
            <w:tcW w:w="1180" w:type="dxa"/>
            <w:tcMar>
              <w:top w:w="40" w:type="dxa"/>
              <w:left w:w="45" w:type="dxa"/>
              <w:bottom w:w="40" w:type="dxa"/>
              <w:right w:w="45" w:type="dxa"/>
            </w:tcMar>
            <w:vAlign w:val="center"/>
          </w:tcPr>
          <w:p w14:paraId="7F4A369D" w14:textId="77777777" w:rsidR="00612D3C" w:rsidRDefault="007047D9">
            <w:pPr>
              <w:spacing w:after="0"/>
              <w:jc w:val="center"/>
            </w:pPr>
            <w:r>
              <w:rPr>
                <w:rFonts w:ascii="Arial" w:hAnsi="Arial"/>
                <w:color w:val="000000"/>
                <w:sz w:val="15"/>
              </w:rPr>
              <w:t>16.0</w:t>
            </w:r>
          </w:p>
        </w:tc>
        <w:tc>
          <w:tcPr>
            <w:tcW w:w="1368" w:type="dxa"/>
            <w:tcMar>
              <w:top w:w="40" w:type="dxa"/>
              <w:left w:w="45" w:type="dxa"/>
              <w:bottom w:w="40" w:type="dxa"/>
              <w:right w:w="45" w:type="dxa"/>
            </w:tcMar>
            <w:vAlign w:val="center"/>
          </w:tcPr>
          <w:p w14:paraId="5D1E2875" w14:textId="77777777" w:rsidR="00612D3C" w:rsidRDefault="007047D9">
            <w:pPr>
              <w:spacing w:after="0"/>
              <w:jc w:val="center"/>
            </w:pPr>
            <w:r>
              <w:rPr>
                <w:rFonts w:ascii="Arial" w:hAnsi="Arial"/>
                <w:color w:val="000000"/>
                <w:sz w:val="15"/>
              </w:rPr>
              <w:t>99.3</w:t>
            </w:r>
          </w:p>
        </w:tc>
      </w:tr>
      <w:tr w:rsidR="00612D3C" w14:paraId="4A091A1A" w14:textId="77777777">
        <w:trPr>
          <w:cantSplit/>
          <w:jc w:val="center"/>
        </w:trPr>
        <w:tc>
          <w:tcPr>
            <w:tcW w:w="3816" w:type="dxa"/>
            <w:tcMar>
              <w:top w:w="40" w:type="dxa"/>
              <w:left w:w="45" w:type="dxa"/>
              <w:bottom w:w="40" w:type="dxa"/>
              <w:right w:w="45" w:type="dxa"/>
            </w:tcMar>
            <w:vAlign w:val="center"/>
          </w:tcPr>
          <w:p w14:paraId="33549C11" w14:textId="77777777" w:rsidR="00612D3C" w:rsidRDefault="007047D9">
            <w:pPr>
              <w:spacing w:after="0"/>
              <w:jc w:val="left"/>
            </w:pPr>
            <w:r>
              <w:rPr>
                <w:rFonts w:ascii="Arial" w:hAnsi="Arial"/>
                <w:color w:val="000000"/>
                <w:sz w:val="15"/>
              </w:rPr>
              <w:t>16–20 times per month</w:t>
            </w:r>
          </w:p>
        </w:tc>
        <w:tc>
          <w:tcPr>
            <w:tcW w:w="1180" w:type="dxa"/>
            <w:tcMar>
              <w:top w:w="40" w:type="dxa"/>
              <w:left w:w="45" w:type="dxa"/>
              <w:bottom w:w="40" w:type="dxa"/>
              <w:right w:w="45" w:type="dxa"/>
            </w:tcMar>
            <w:vAlign w:val="center"/>
          </w:tcPr>
          <w:p w14:paraId="4FF41683" w14:textId="77777777" w:rsidR="00612D3C" w:rsidRDefault="007047D9">
            <w:pPr>
              <w:spacing w:after="0"/>
              <w:jc w:val="center"/>
            </w:pPr>
            <w:r>
              <w:rPr>
                <w:rFonts w:ascii="Arial" w:hAnsi="Arial"/>
                <w:color w:val="000000"/>
                <w:sz w:val="15"/>
              </w:rPr>
              <w:t>1</w:t>
            </w:r>
          </w:p>
        </w:tc>
        <w:tc>
          <w:tcPr>
            <w:tcW w:w="1152" w:type="dxa"/>
            <w:tcMar>
              <w:top w:w="40" w:type="dxa"/>
              <w:left w:w="45" w:type="dxa"/>
              <w:bottom w:w="40" w:type="dxa"/>
              <w:right w:w="45" w:type="dxa"/>
            </w:tcMar>
            <w:vAlign w:val="center"/>
          </w:tcPr>
          <w:p w14:paraId="62106D5D" w14:textId="77777777" w:rsidR="00612D3C" w:rsidRDefault="007047D9">
            <w:pPr>
              <w:spacing w:after="0"/>
              <w:jc w:val="center"/>
            </w:pPr>
            <w:r>
              <w:rPr>
                <w:rFonts w:ascii="Arial" w:hAnsi="Arial"/>
                <w:color w:val="000000"/>
                <w:sz w:val="15"/>
              </w:rPr>
              <w:t>0.7</w:t>
            </w:r>
          </w:p>
        </w:tc>
        <w:tc>
          <w:tcPr>
            <w:tcW w:w="1180" w:type="dxa"/>
            <w:tcMar>
              <w:top w:w="40" w:type="dxa"/>
              <w:left w:w="45" w:type="dxa"/>
              <w:bottom w:w="40" w:type="dxa"/>
              <w:right w:w="45" w:type="dxa"/>
            </w:tcMar>
            <w:vAlign w:val="center"/>
          </w:tcPr>
          <w:p w14:paraId="2B407775" w14:textId="77777777" w:rsidR="00612D3C" w:rsidRDefault="007047D9">
            <w:pPr>
              <w:spacing w:after="0"/>
              <w:jc w:val="center"/>
            </w:pPr>
            <w:r>
              <w:rPr>
                <w:rFonts w:ascii="Arial" w:hAnsi="Arial"/>
                <w:color w:val="000000"/>
                <w:sz w:val="15"/>
              </w:rPr>
              <w:t>0.7</w:t>
            </w:r>
          </w:p>
        </w:tc>
        <w:tc>
          <w:tcPr>
            <w:tcW w:w="1368" w:type="dxa"/>
            <w:tcMar>
              <w:top w:w="40" w:type="dxa"/>
              <w:left w:w="45" w:type="dxa"/>
              <w:bottom w:w="40" w:type="dxa"/>
              <w:right w:w="45" w:type="dxa"/>
            </w:tcMar>
            <w:vAlign w:val="center"/>
          </w:tcPr>
          <w:p w14:paraId="633381D8" w14:textId="77777777" w:rsidR="00612D3C" w:rsidRDefault="007047D9">
            <w:pPr>
              <w:spacing w:after="0"/>
              <w:jc w:val="center"/>
            </w:pPr>
            <w:r>
              <w:rPr>
                <w:rFonts w:ascii="Arial" w:hAnsi="Arial"/>
                <w:color w:val="000000"/>
                <w:sz w:val="15"/>
              </w:rPr>
              <w:t>100.0</w:t>
            </w:r>
          </w:p>
        </w:tc>
      </w:tr>
      <w:tr w:rsidR="00612D3C" w14:paraId="134436B8" w14:textId="77777777">
        <w:trPr>
          <w:cantSplit/>
          <w:jc w:val="center"/>
        </w:trPr>
        <w:tc>
          <w:tcPr>
            <w:tcW w:w="3816" w:type="dxa"/>
            <w:shd w:val="clear" w:color="auto" w:fill="F1F3F6"/>
            <w:tcMar>
              <w:top w:w="40" w:type="dxa"/>
              <w:left w:w="45" w:type="dxa"/>
              <w:bottom w:w="40" w:type="dxa"/>
              <w:right w:w="45" w:type="dxa"/>
            </w:tcMar>
            <w:vAlign w:val="center"/>
          </w:tcPr>
          <w:p w14:paraId="5A3B4118" w14:textId="77777777" w:rsidR="00612D3C" w:rsidRDefault="007047D9">
            <w:pPr>
              <w:spacing w:after="0"/>
              <w:jc w:val="left"/>
            </w:pPr>
            <w:r>
              <w:rPr>
                <w:rFonts w:ascii="Arial" w:hAnsi="Arial"/>
                <w:b/>
                <w:color w:val="000000"/>
                <w:sz w:val="15"/>
              </w:rPr>
              <w:t>Total</w:t>
            </w:r>
          </w:p>
        </w:tc>
        <w:tc>
          <w:tcPr>
            <w:tcW w:w="1180" w:type="dxa"/>
            <w:shd w:val="clear" w:color="auto" w:fill="F1F3F6"/>
            <w:tcMar>
              <w:top w:w="40" w:type="dxa"/>
              <w:left w:w="45" w:type="dxa"/>
              <w:bottom w:w="40" w:type="dxa"/>
              <w:right w:w="45" w:type="dxa"/>
            </w:tcMar>
            <w:vAlign w:val="center"/>
          </w:tcPr>
          <w:p w14:paraId="2E3D13E8" w14:textId="77777777" w:rsidR="00612D3C" w:rsidRDefault="007047D9">
            <w:pPr>
              <w:spacing w:after="0"/>
              <w:jc w:val="center"/>
            </w:pPr>
            <w:r>
              <w:rPr>
                <w:rFonts w:ascii="Arial" w:hAnsi="Arial"/>
                <w:b/>
                <w:color w:val="000000"/>
                <w:sz w:val="15"/>
              </w:rPr>
              <w:t>150</w:t>
            </w:r>
          </w:p>
        </w:tc>
        <w:tc>
          <w:tcPr>
            <w:tcW w:w="1152" w:type="dxa"/>
            <w:shd w:val="clear" w:color="auto" w:fill="F1F3F6"/>
            <w:tcMar>
              <w:top w:w="40" w:type="dxa"/>
              <w:left w:w="45" w:type="dxa"/>
              <w:bottom w:w="40" w:type="dxa"/>
              <w:right w:w="45" w:type="dxa"/>
            </w:tcMar>
            <w:vAlign w:val="center"/>
          </w:tcPr>
          <w:p w14:paraId="78316B1E" w14:textId="77777777" w:rsidR="00612D3C" w:rsidRDefault="007047D9">
            <w:pPr>
              <w:spacing w:after="0"/>
              <w:jc w:val="center"/>
            </w:pPr>
            <w:r>
              <w:rPr>
                <w:rFonts w:ascii="Arial" w:hAnsi="Arial"/>
                <w:b/>
                <w:color w:val="000000"/>
                <w:sz w:val="15"/>
              </w:rPr>
              <w:t>100.0</w:t>
            </w:r>
          </w:p>
        </w:tc>
        <w:tc>
          <w:tcPr>
            <w:tcW w:w="1180" w:type="dxa"/>
            <w:shd w:val="clear" w:color="auto" w:fill="F1F3F6"/>
            <w:tcMar>
              <w:top w:w="40" w:type="dxa"/>
              <w:left w:w="45" w:type="dxa"/>
              <w:bottom w:w="40" w:type="dxa"/>
              <w:right w:w="45" w:type="dxa"/>
            </w:tcMar>
            <w:vAlign w:val="center"/>
          </w:tcPr>
          <w:p w14:paraId="1AE754D0" w14:textId="77777777" w:rsidR="00612D3C" w:rsidRDefault="007047D9">
            <w:pPr>
              <w:spacing w:after="0"/>
              <w:jc w:val="center"/>
            </w:pPr>
            <w:r>
              <w:rPr>
                <w:rFonts w:ascii="Arial" w:hAnsi="Arial"/>
                <w:b/>
                <w:color w:val="000000"/>
                <w:sz w:val="15"/>
              </w:rPr>
              <w:t>100.0</w:t>
            </w:r>
          </w:p>
        </w:tc>
        <w:tc>
          <w:tcPr>
            <w:tcW w:w="1368" w:type="dxa"/>
            <w:shd w:val="clear" w:color="auto" w:fill="F1F3F6"/>
            <w:tcMar>
              <w:top w:w="40" w:type="dxa"/>
              <w:left w:w="45" w:type="dxa"/>
              <w:bottom w:w="40" w:type="dxa"/>
              <w:right w:w="45" w:type="dxa"/>
            </w:tcMar>
            <w:vAlign w:val="center"/>
          </w:tcPr>
          <w:p w14:paraId="37AD6D3B" w14:textId="77777777" w:rsidR="00612D3C" w:rsidRDefault="00612D3C">
            <w:pPr>
              <w:spacing w:after="0"/>
              <w:jc w:val="center"/>
            </w:pPr>
          </w:p>
        </w:tc>
      </w:tr>
    </w:tbl>
    <w:p w14:paraId="3AF3F2DB" w14:textId="77777777" w:rsidR="00612D3C" w:rsidRDefault="00612D3C">
      <w:pPr>
        <w:rPr>
          <w:rFonts w:ascii="Calibri" w:hAnsi="Calibri" w:cs="Calibri"/>
        </w:rPr>
      </w:pPr>
    </w:p>
    <w:p w14:paraId="3BB8965F" w14:textId="77777777" w:rsidR="00612D3C" w:rsidRDefault="007047D9">
      <w:r>
        <w:br w:type="page"/>
      </w:r>
    </w:p>
    <w:tbl>
      <w:tblPr>
        <w:tblStyle w:val="TableGrid"/>
        <w:tblW w:w="0" w:type="auto"/>
        <w:jc w:val="center"/>
        <w:tblLayout w:type="fixed"/>
        <w:tblLook w:val="04A0" w:firstRow="1" w:lastRow="0" w:firstColumn="1" w:lastColumn="0" w:noHBand="0" w:noVBand="1"/>
      </w:tblPr>
      <w:tblGrid>
        <w:gridCol w:w="3816"/>
        <w:gridCol w:w="1180"/>
        <w:gridCol w:w="1152"/>
        <w:gridCol w:w="1180"/>
        <w:gridCol w:w="1368"/>
      </w:tblGrid>
      <w:tr w:rsidR="00612D3C" w14:paraId="0EBB888B" w14:textId="77777777">
        <w:trPr>
          <w:cantSplit/>
          <w:tblHeader/>
          <w:jc w:val="center"/>
        </w:trPr>
        <w:tc>
          <w:tcPr>
            <w:tcW w:w="1368" w:type="dxa"/>
            <w:gridSpan w:val="5"/>
            <w:shd w:val="clear" w:color="auto" w:fill="D9E2F3"/>
            <w:tcMar>
              <w:top w:w="40" w:type="dxa"/>
              <w:left w:w="45" w:type="dxa"/>
              <w:bottom w:w="40" w:type="dxa"/>
              <w:right w:w="45" w:type="dxa"/>
            </w:tcMar>
            <w:vAlign w:val="center"/>
          </w:tcPr>
          <w:p w14:paraId="336D9A0C" w14:textId="77777777" w:rsidR="00612D3C" w:rsidRDefault="007047D9">
            <w:pPr>
              <w:spacing w:after="0"/>
              <w:jc w:val="left"/>
            </w:pPr>
            <w:r>
              <w:rPr>
                <w:rFonts w:ascii="Arial" w:hAnsi="Arial"/>
                <w:b/>
                <w:color w:val="000000"/>
                <w:sz w:val="17"/>
              </w:rPr>
              <w:t>Table 4: Clubcard app use</w:t>
            </w:r>
          </w:p>
        </w:tc>
      </w:tr>
      <w:tr w:rsidR="00612D3C" w14:paraId="30A2DED6" w14:textId="77777777">
        <w:trPr>
          <w:cantSplit/>
          <w:tblHeader/>
          <w:jc w:val="center"/>
        </w:trPr>
        <w:tc>
          <w:tcPr>
            <w:tcW w:w="3816" w:type="dxa"/>
            <w:shd w:val="clear" w:color="auto" w:fill="E9EEF5"/>
            <w:tcMar>
              <w:top w:w="40" w:type="dxa"/>
              <w:left w:w="45" w:type="dxa"/>
              <w:bottom w:w="40" w:type="dxa"/>
              <w:right w:w="45" w:type="dxa"/>
            </w:tcMar>
            <w:vAlign w:val="center"/>
          </w:tcPr>
          <w:p w14:paraId="4B71E93A" w14:textId="77777777" w:rsidR="00612D3C" w:rsidRDefault="007047D9">
            <w:pPr>
              <w:spacing w:after="0"/>
              <w:jc w:val="center"/>
            </w:pPr>
            <w:r>
              <w:rPr>
                <w:rFonts w:ascii="Arial" w:hAnsi="Arial"/>
                <w:b/>
                <w:color w:val="000000"/>
                <w:sz w:val="15"/>
              </w:rPr>
              <w:t>Category</w:t>
            </w:r>
          </w:p>
        </w:tc>
        <w:tc>
          <w:tcPr>
            <w:tcW w:w="1180" w:type="dxa"/>
            <w:shd w:val="clear" w:color="auto" w:fill="E9EEF5"/>
            <w:tcMar>
              <w:top w:w="40" w:type="dxa"/>
              <w:left w:w="45" w:type="dxa"/>
              <w:bottom w:w="40" w:type="dxa"/>
              <w:right w:w="45" w:type="dxa"/>
            </w:tcMar>
            <w:vAlign w:val="center"/>
          </w:tcPr>
          <w:p w14:paraId="6C0D40C4" w14:textId="77777777" w:rsidR="00612D3C" w:rsidRDefault="007047D9">
            <w:pPr>
              <w:spacing w:after="0"/>
              <w:jc w:val="center"/>
            </w:pPr>
            <w:r>
              <w:rPr>
                <w:rFonts w:ascii="Arial" w:hAnsi="Arial"/>
                <w:b/>
                <w:color w:val="000000"/>
                <w:sz w:val="15"/>
              </w:rPr>
              <w:t>Frequency</w:t>
            </w:r>
          </w:p>
        </w:tc>
        <w:tc>
          <w:tcPr>
            <w:tcW w:w="1152" w:type="dxa"/>
            <w:shd w:val="clear" w:color="auto" w:fill="E9EEF5"/>
            <w:tcMar>
              <w:top w:w="40" w:type="dxa"/>
              <w:left w:w="45" w:type="dxa"/>
              <w:bottom w:w="40" w:type="dxa"/>
              <w:right w:w="45" w:type="dxa"/>
            </w:tcMar>
            <w:vAlign w:val="center"/>
          </w:tcPr>
          <w:p w14:paraId="537A9238" w14:textId="77777777" w:rsidR="00612D3C" w:rsidRDefault="007047D9">
            <w:pPr>
              <w:spacing w:after="0"/>
              <w:jc w:val="center"/>
            </w:pPr>
            <w:r>
              <w:rPr>
                <w:rFonts w:ascii="Arial" w:hAnsi="Arial"/>
                <w:b/>
                <w:color w:val="000000"/>
                <w:sz w:val="15"/>
              </w:rPr>
              <w:t>Percent</w:t>
            </w:r>
          </w:p>
        </w:tc>
        <w:tc>
          <w:tcPr>
            <w:tcW w:w="1180" w:type="dxa"/>
            <w:shd w:val="clear" w:color="auto" w:fill="E9EEF5"/>
            <w:tcMar>
              <w:top w:w="40" w:type="dxa"/>
              <w:left w:w="45" w:type="dxa"/>
              <w:bottom w:w="40" w:type="dxa"/>
              <w:right w:w="45" w:type="dxa"/>
            </w:tcMar>
            <w:vAlign w:val="center"/>
          </w:tcPr>
          <w:p w14:paraId="2048414B" w14:textId="77777777" w:rsidR="00612D3C" w:rsidRDefault="007047D9">
            <w:pPr>
              <w:spacing w:after="0"/>
              <w:jc w:val="center"/>
            </w:pPr>
            <w:r>
              <w:rPr>
                <w:rFonts w:ascii="Arial" w:hAnsi="Arial"/>
                <w:b/>
                <w:color w:val="000000"/>
                <w:sz w:val="15"/>
              </w:rPr>
              <w:t>Valid %</w:t>
            </w:r>
          </w:p>
        </w:tc>
        <w:tc>
          <w:tcPr>
            <w:tcW w:w="1368" w:type="dxa"/>
            <w:shd w:val="clear" w:color="auto" w:fill="E9EEF5"/>
            <w:tcMar>
              <w:top w:w="40" w:type="dxa"/>
              <w:left w:w="45" w:type="dxa"/>
              <w:bottom w:w="40" w:type="dxa"/>
              <w:right w:w="45" w:type="dxa"/>
            </w:tcMar>
            <w:vAlign w:val="center"/>
          </w:tcPr>
          <w:p w14:paraId="0EFD90A6" w14:textId="77777777" w:rsidR="00612D3C" w:rsidRDefault="007047D9">
            <w:pPr>
              <w:spacing w:after="0"/>
              <w:jc w:val="center"/>
            </w:pPr>
            <w:r>
              <w:rPr>
                <w:rFonts w:ascii="Arial" w:hAnsi="Arial"/>
                <w:b/>
                <w:color w:val="000000"/>
                <w:sz w:val="15"/>
              </w:rPr>
              <w:t>Cumulative %</w:t>
            </w:r>
          </w:p>
        </w:tc>
      </w:tr>
      <w:tr w:rsidR="00612D3C" w14:paraId="43A88CC9" w14:textId="77777777">
        <w:trPr>
          <w:cantSplit/>
          <w:jc w:val="center"/>
        </w:trPr>
        <w:tc>
          <w:tcPr>
            <w:tcW w:w="3816" w:type="dxa"/>
            <w:tcMar>
              <w:top w:w="40" w:type="dxa"/>
              <w:left w:w="45" w:type="dxa"/>
              <w:bottom w:w="40" w:type="dxa"/>
              <w:right w:w="45" w:type="dxa"/>
            </w:tcMar>
            <w:vAlign w:val="center"/>
          </w:tcPr>
          <w:p w14:paraId="734B89DC" w14:textId="77777777" w:rsidR="00612D3C" w:rsidRDefault="007047D9">
            <w:pPr>
              <w:spacing w:after="0"/>
              <w:jc w:val="left"/>
            </w:pPr>
            <w:r>
              <w:rPr>
                <w:rFonts w:ascii="Arial" w:hAnsi="Arial"/>
                <w:color w:val="000000"/>
                <w:sz w:val="15"/>
              </w:rPr>
              <w:t>Never</w:t>
            </w:r>
          </w:p>
        </w:tc>
        <w:tc>
          <w:tcPr>
            <w:tcW w:w="1180" w:type="dxa"/>
            <w:tcMar>
              <w:top w:w="40" w:type="dxa"/>
              <w:left w:w="45" w:type="dxa"/>
              <w:bottom w:w="40" w:type="dxa"/>
              <w:right w:w="45" w:type="dxa"/>
            </w:tcMar>
            <w:vAlign w:val="center"/>
          </w:tcPr>
          <w:p w14:paraId="33F4C01F" w14:textId="77777777" w:rsidR="00612D3C" w:rsidRDefault="007047D9">
            <w:pPr>
              <w:spacing w:after="0"/>
              <w:jc w:val="center"/>
            </w:pPr>
            <w:r>
              <w:rPr>
                <w:rFonts w:ascii="Arial" w:hAnsi="Arial"/>
                <w:color w:val="000000"/>
                <w:sz w:val="15"/>
              </w:rPr>
              <w:t>10</w:t>
            </w:r>
          </w:p>
        </w:tc>
        <w:tc>
          <w:tcPr>
            <w:tcW w:w="1152" w:type="dxa"/>
            <w:tcMar>
              <w:top w:w="40" w:type="dxa"/>
              <w:left w:w="45" w:type="dxa"/>
              <w:bottom w:w="40" w:type="dxa"/>
              <w:right w:w="45" w:type="dxa"/>
            </w:tcMar>
            <w:vAlign w:val="center"/>
          </w:tcPr>
          <w:p w14:paraId="4F7B4133" w14:textId="77777777" w:rsidR="00612D3C" w:rsidRDefault="007047D9">
            <w:pPr>
              <w:spacing w:after="0"/>
              <w:jc w:val="center"/>
            </w:pPr>
            <w:r>
              <w:rPr>
                <w:rFonts w:ascii="Arial" w:hAnsi="Arial"/>
                <w:color w:val="000000"/>
                <w:sz w:val="15"/>
              </w:rPr>
              <w:t>6.7</w:t>
            </w:r>
          </w:p>
        </w:tc>
        <w:tc>
          <w:tcPr>
            <w:tcW w:w="1180" w:type="dxa"/>
            <w:tcMar>
              <w:top w:w="40" w:type="dxa"/>
              <w:left w:w="45" w:type="dxa"/>
              <w:bottom w:w="40" w:type="dxa"/>
              <w:right w:w="45" w:type="dxa"/>
            </w:tcMar>
            <w:vAlign w:val="center"/>
          </w:tcPr>
          <w:p w14:paraId="4681167F" w14:textId="77777777" w:rsidR="00612D3C" w:rsidRDefault="007047D9">
            <w:pPr>
              <w:spacing w:after="0"/>
              <w:jc w:val="center"/>
            </w:pPr>
            <w:r>
              <w:rPr>
                <w:rFonts w:ascii="Arial" w:hAnsi="Arial"/>
                <w:color w:val="000000"/>
                <w:sz w:val="15"/>
              </w:rPr>
              <w:t>6.7</w:t>
            </w:r>
          </w:p>
        </w:tc>
        <w:tc>
          <w:tcPr>
            <w:tcW w:w="1368" w:type="dxa"/>
            <w:tcMar>
              <w:top w:w="40" w:type="dxa"/>
              <w:left w:w="45" w:type="dxa"/>
              <w:bottom w:w="40" w:type="dxa"/>
              <w:right w:w="45" w:type="dxa"/>
            </w:tcMar>
            <w:vAlign w:val="center"/>
          </w:tcPr>
          <w:p w14:paraId="6148DF3A" w14:textId="77777777" w:rsidR="00612D3C" w:rsidRDefault="007047D9">
            <w:pPr>
              <w:spacing w:after="0"/>
              <w:jc w:val="center"/>
            </w:pPr>
            <w:r>
              <w:rPr>
                <w:rFonts w:ascii="Arial" w:hAnsi="Arial"/>
                <w:color w:val="000000"/>
                <w:sz w:val="15"/>
              </w:rPr>
              <w:t>6.7</w:t>
            </w:r>
          </w:p>
        </w:tc>
      </w:tr>
      <w:tr w:rsidR="00612D3C" w14:paraId="6A6BF1AE" w14:textId="77777777">
        <w:trPr>
          <w:cantSplit/>
          <w:jc w:val="center"/>
        </w:trPr>
        <w:tc>
          <w:tcPr>
            <w:tcW w:w="3816" w:type="dxa"/>
            <w:tcMar>
              <w:top w:w="40" w:type="dxa"/>
              <w:left w:w="45" w:type="dxa"/>
              <w:bottom w:w="40" w:type="dxa"/>
              <w:right w:w="45" w:type="dxa"/>
            </w:tcMar>
            <w:vAlign w:val="center"/>
          </w:tcPr>
          <w:p w14:paraId="342DD742" w14:textId="77777777" w:rsidR="00612D3C" w:rsidRDefault="007047D9">
            <w:pPr>
              <w:spacing w:after="0"/>
              <w:jc w:val="left"/>
            </w:pPr>
            <w:r>
              <w:rPr>
                <w:rFonts w:ascii="Arial" w:hAnsi="Arial"/>
                <w:color w:val="000000"/>
                <w:sz w:val="15"/>
              </w:rPr>
              <w:t>Rarely</w:t>
            </w:r>
          </w:p>
        </w:tc>
        <w:tc>
          <w:tcPr>
            <w:tcW w:w="1180" w:type="dxa"/>
            <w:tcMar>
              <w:top w:w="40" w:type="dxa"/>
              <w:left w:w="45" w:type="dxa"/>
              <w:bottom w:w="40" w:type="dxa"/>
              <w:right w:w="45" w:type="dxa"/>
            </w:tcMar>
            <w:vAlign w:val="center"/>
          </w:tcPr>
          <w:p w14:paraId="5DA7C974" w14:textId="77777777" w:rsidR="00612D3C" w:rsidRDefault="007047D9">
            <w:pPr>
              <w:spacing w:after="0"/>
              <w:jc w:val="center"/>
            </w:pPr>
            <w:r>
              <w:rPr>
                <w:rFonts w:ascii="Arial" w:hAnsi="Arial"/>
                <w:color w:val="000000"/>
                <w:sz w:val="15"/>
              </w:rPr>
              <w:t>17</w:t>
            </w:r>
          </w:p>
        </w:tc>
        <w:tc>
          <w:tcPr>
            <w:tcW w:w="1152" w:type="dxa"/>
            <w:tcMar>
              <w:top w:w="40" w:type="dxa"/>
              <w:left w:w="45" w:type="dxa"/>
              <w:bottom w:w="40" w:type="dxa"/>
              <w:right w:w="45" w:type="dxa"/>
            </w:tcMar>
            <w:vAlign w:val="center"/>
          </w:tcPr>
          <w:p w14:paraId="08E8561D" w14:textId="77777777" w:rsidR="00612D3C" w:rsidRDefault="007047D9">
            <w:pPr>
              <w:spacing w:after="0"/>
              <w:jc w:val="center"/>
            </w:pPr>
            <w:r>
              <w:rPr>
                <w:rFonts w:ascii="Arial" w:hAnsi="Arial"/>
                <w:color w:val="000000"/>
                <w:sz w:val="15"/>
              </w:rPr>
              <w:t>11.3</w:t>
            </w:r>
          </w:p>
        </w:tc>
        <w:tc>
          <w:tcPr>
            <w:tcW w:w="1180" w:type="dxa"/>
            <w:tcMar>
              <w:top w:w="40" w:type="dxa"/>
              <w:left w:w="45" w:type="dxa"/>
              <w:bottom w:w="40" w:type="dxa"/>
              <w:right w:w="45" w:type="dxa"/>
            </w:tcMar>
            <w:vAlign w:val="center"/>
          </w:tcPr>
          <w:p w14:paraId="543C4A62" w14:textId="77777777" w:rsidR="00612D3C" w:rsidRDefault="007047D9">
            <w:pPr>
              <w:spacing w:after="0"/>
              <w:jc w:val="center"/>
            </w:pPr>
            <w:r>
              <w:rPr>
                <w:rFonts w:ascii="Arial" w:hAnsi="Arial"/>
                <w:color w:val="000000"/>
                <w:sz w:val="15"/>
              </w:rPr>
              <w:t>11.3</w:t>
            </w:r>
          </w:p>
        </w:tc>
        <w:tc>
          <w:tcPr>
            <w:tcW w:w="1368" w:type="dxa"/>
            <w:tcMar>
              <w:top w:w="40" w:type="dxa"/>
              <w:left w:w="45" w:type="dxa"/>
              <w:bottom w:w="40" w:type="dxa"/>
              <w:right w:w="45" w:type="dxa"/>
            </w:tcMar>
            <w:vAlign w:val="center"/>
          </w:tcPr>
          <w:p w14:paraId="27FE861E" w14:textId="77777777" w:rsidR="00612D3C" w:rsidRDefault="007047D9">
            <w:pPr>
              <w:spacing w:after="0"/>
              <w:jc w:val="center"/>
            </w:pPr>
            <w:r>
              <w:rPr>
                <w:rFonts w:ascii="Arial" w:hAnsi="Arial"/>
                <w:color w:val="000000"/>
                <w:sz w:val="15"/>
              </w:rPr>
              <w:t>18.0</w:t>
            </w:r>
          </w:p>
        </w:tc>
      </w:tr>
      <w:tr w:rsidR="00612D3C" w14:paraId="5843554D" w14:textId="77777777">
        <w:trPr>
          <w:cantSplit/>
          <w:jc w:val="center"/>
        </w:trPr>
        <w:tc>
          <w:tcPr>
            <w:tcW w:w="3816" w:type="dxa"/>
            <w:tcMar>
              <w:top w:w="40" w:type="dxa"/>
              <w:left w:w="45" w:type="dxa"/>
              <w:bottom w:w="40" w:type="dxa"/>
              <w:right w:w="45" w:type="dxa"/>
            </w:tcMar>
            <w:vAlign w:val="center"/>
          </w:tcPr>
          <w:p w14:paraId="4A2396AC" w14:textId="77777777" w:rsidR="00612D3C" w:rsidRDefault="007047D9">
            <w:pPr>
              <w:spacing w:after="0"/>
              <w:jc w:val="left"/>
            </w:pPr>
            <w:r>
              <w:rPr>
                <w:rFonts w:ascii="Arial" w:hAnsi="Arial"/>
                <w:color w:val="000000"/>
                <w:sz w:val="15"/>
              </w:rPr>
              <w:t>Occasionally</w:t>
            </w:r>
          </w:p>
        </w:tc>
        <w:tc>
          <w:tcPr>
            <w:tcW w:w="1180" w:type="dxa"/>
            <w:tcMar>
              <w:top w:w="40" w:type="dxa"/>
              <w:left w:w="45" w:type="dxa"/>
              <w:bottom w:w="40" w:type="dxa"/>
              <w:right w:w="45" w:type="dxa"/>
            </w:tcMar>
            <w:vAlign w:val="center"/>
          </w:tcPr>
          <w:p w14:paraId="525824FE" w14:textId="77777777" w:rsidR="00612D3C" w:rsidRDefault="007047D9">
            <w:pPr>
              <w:spacing w:after="0"/>
              <w:jc w:val="center"/>
            </w:pPr>
            <w:r>
              <w:rPr>
                <w:rFonts w:ascii="Arial" w:hAnsi="Arial"/>
                <w:color w:val="000000"/>
                <w:sz w:val="15"/>
              </w:rPr>
              <w:t>32</w:t>
            </w:r>
          </w:p>
        </w:tc>
        <w:tc>
          <w:tcPr>
            <w:tcW w:w="1152" w:type="dxa"/>
            <w:tcMar>
              <w:top w:w="40" w:type="dxa"/>
              <w:left w:w="45" w:type="dxa"/>
              <w:bottom w:w="40" w:type="dxa"/>
              <w:right w:w="45" w:type="dxa"/>
            </w:tcMar>
            <w:vAlign w:val="center"/>
          </w:tcPr>
          <w:p w14:paraId="1A8FFC51" w14:textId="77777777" w:rsidR="00612D3C" w:rsidRDefault="007047D9">
            <w:pPr>
              <w:spacing w:after="0"/>
              <w:jc w:val="center"/>
            </w:pPr>
            <w:r>
              <w:rPr>
                <w:rFonts w:ascii="Arial" w:hAnsi="Arial"/>
                <w:color w:val="000000"/>
                <w:sz w:val="15"/>
              </w:rPr>
              <w:t>21.3</w:t>
            </w:r>
          </w:p>
        </w:tc>
        <w:tc>
          <w:tcPr>
            <w:tcW w:w="1180" w:type="dxa"/>
            <w:tcMar>
              <w:top w:w="40" w:type="dxa"/>
              <w:left w:w="45" w:type="dxa"/>
              <w:bottom w:w="40" w:type="dxa"/>
              <w:right w:w="45" w:type="dxa"/>
            </w:tcMar>
            <w:vAlign w:val="center"/>
          </w:tcPr>
          <w:p w14:paraId="20CF7350" w14:textId="77777777" w:rsidR="00612D3C" w:rsidRDefault="007047D9">
            <w:pPr>
              <w:spacing w:after="0"/>
              <w:jc w:val="center"/>
            </w:pPr>
            <w:r>
              <w:rPr>
                <w:rFonts w:ascii="Arial" w:hAnsi="Arial"/>
                <w:color w:val="000000"/>
                <w:sz w:val="15"/>
              </w:rPr>
              <w:t>21.3</w:t>
            </w:r>
          </w:p>
        </w:tc>
        <w:tc>
          <w:tcPr>
            <w:tcW w:w="1368" w:type="dxa"/>
            <w:tcMar>
              <w:top w:w="40" w:type="dxa"/>
              <w:left w:w="45" w:type="dxa"/>
              <w:bottom w:w="40" w:type="dxa"/>
              <w:right w:w="45" w:type="dxa"/>
            </w:tcMar>
            <w:vAlign w:val="center"/>
          </w:tcPr>
          <w:p w14:paraId="51878D44" w14:textId="77777777" w:rsidR="00612D3C" w:rsidRDefault="007047D9">
            <w:pPr>
              <w:spacing w:after="0"/>
              <w:jc w:val="center"/>
            </w:pPr>
            <w:r>
              <w:rPr>
                <w:rFonts w:ascii="Arial" w:hAnsi="Arial"/>
                <w:color w:val="000000"/>
                <w:sz w:val="15"/>
              </w:rPr>
              <w:t>39.3</w:t>
            </w:r>
          </w:p>
        </w:tc>
      </w:tr>
      <w:tr w:rsidR="00612D3C" w14:paraId="2CF8DF51" w14:textId="77777777">
        <w:trPr>
          <w:cantSplit/>
          <w:jc w:val="center"/>
        </w:trPr>
        <w:tc>
          <w:tcPr>
            <w:tcW w:w="3816" w:type="dxa"/>
            <w:tcMar>
              <w:top w:w="40" w:type="dxa"/>
              <w:left w:w="45" w:type="dxa"/>
              <w:bottom w:w="40" w:type="dxa"/>
              <w:right w:w="45" w:type="dxa"/>
            </w:tcMar>
            <w:vAlign w:val="center"/>
          </w:tcPr>
          <w:p w14:paraId="2A2C3E85" w14:textId="77777777" w:rsidR="00612D3C" w:rsidRDefault="007047D9">
            <w:pPr>
              <w:spacing w:after="0"/>
              <w:jc w:val="left"/>
            </w:pPr>
            <w:r>
              <w:rPr>
                <w:rFonts w:ascii="Arial" w:hAnsi="Arial"/>
                <w:color w:val="000000"/>
                <w:sz w:val="15"/>
              </w:rPr>
              <w:t>Frequently</w:t>
            </w:r>
          </w:p>
        </w:tc>
        <w:tc>
          <w:tcPr>
            <w:tcW w:w="1180" w:type="dxa"/>
            <w:tcMar>
              <w:top w:w="40" w:type="dxa"/>
              <w:left w:w="45" w:type="dxa"/>
              <w:bottom w:w="40" w:type="dxa"/>
              <w:right w:w="45" w:type="dxa"/>
            </w:tcMar>
            <w:vAlign w:val="center"/>
          </w:tcPr>
          <w:p w14:paraId="7E673C18" w14:textId="77777777" w:rsidR="00612D3C" w:rsidRDefault="007047D9">
            <w:pPr>
              <w:spacing w:after="0"/>
              <w:jc w:val="center"/>
            </w:pPr>
            <w:r>
              <w:rPr>
                <w:rFonts w:ascii="Arial" w:hAnsi="Arial"/>
                <w:color w:val="000000"/>
                <w:sz w:val="15"/>
              </w:rPr>
              <w:t>47</w:t>
            </w:r>
          </w:p>
        </w:tc>
        <w:tc>
          <w:tcPr>
            <w:tcW w:w="1152" w:type="dxa"/>
            <w:tcMar>
              <w:top w:w="40" w:type="dxa"/>
              <w:left w:w="45" w:type="dxa"/>
              <w:bottom w:w="40" w:type="dxa"/>
              <w:right w:w="45" w:type="dxa"/>
            </w:tcMar>
            <w:vAlign w:val="center"/>
          </w:tcPr>
          <w:p w14:paraId="5979655F" w14:textId="77777777" w:rsidR="00612D3C" w:rsidRDefault="007047D9">
            <w:pPr>
              <w:spacing w:after="0"/>
              <w:jc w:val="center"/>
            </w:pPr>
            <w:r>
              <w:rPr>
                <w:rFonts w:ascii="Arial" w:hAnsi="Arial"/>
                <w:color w:val="000000"/>
                <w:sz w:val="15"/>
              </w:rPr>
              <w:t>31.3</w:t>
            </w:r>
          </w:p>
        </w:tc>
        <w:tc>
          <w:tcPr>
            <w:tcW w:w="1180" w:type="dxa"/>
            <w:tcMar>
              <w:top w:w="40" w:type="dxa"/>
              <w:left w:w="45" w:type="dxa"/>
              <w:bottom w:w="40" w:type="dxa"/>
              <w:right w:w="45" w:type="dxa"/>
            </w:tcMar>
            <w:vAlign w:val="center"/>
          </w:tcPr>
          <w:p w14:paraId="2132C2B5" w14:textId="77777777" w:rsidR="00612D3C" w:rsidRDefault="007047D9">
            <w:pPr>
              <w:spacing w:after="0"/>
              <w:jc w:val="center"/>
            </w:pPr>
            <w:r>
              <w:rPr>
                <w:rFonts w:ascii="Arial" w:hAnsi="Arial"/>
                <w:color w:val="000000"/>
                <w:sz w:val="15"/>
              </w:rPr>
              <w:t>31.3</w:t>
            </w:r>
          </w:p>
        </w:tc>
        <w:tc>
          <w:tcPr>
            <w:tcW w:w="1368" w:type="dxa"/>
            <w:tcMar>
              <w:top w:w="40" w:type="dxa"/>
              <w:left w:w="45" w:type="dxa"/>
              <w:bottom w:w="40" w:type="dxa"/>
              <w:right w:w="45" w:type="dxa"/>
            </w:tcMar>
            <w:vAlign w:val="center"/>
          </w:tcPr>
          <w:p w14:paraId="33646163" w14:textId="77777777" w:rsidR="00612D3C" w:rsidRDefault="007047D9">
            <w:pPr>
              <w:spacing w:after="0"/>
              <w:jc w:val="center"/>
            </w:pPr>
            <w:r>
              <w:rPr>
                <w:rFonts w:ascii="Arial" w:hAnsi="Arial"/>
                <w:color w:val="000000"/>
                <w:sz w:val="15"/>
              </w:rPr>
              <w:t>70.7</w:t>
            </w:r>
          </w:p>
        </w:tc>
      </w:tr>
      <w:tr w:rsidR="00612D3C" w14:paraId="74F86C8F" w14:textId="77777777">
        <w:trPr>
          <w:cantSplit/>
          <w:jc w:val="center"/>
        </w:trPr>
        <w:tc>
          <w:tcPr>
            <w:tcW w:w="3816" w:type="dxa"/>
            <w:tcMar>
              <w:top w:w="40" w:type="dxa"/>
              <w:left w:w="45" w:type="dxa"/>
              <w:bottom w:w="40" w:type="dxa"/>
              <w:right w:w="45" w:type="dxa"/>
            </w:tcMar>
            <w:vAlign w:val="center"/>
          </w:tcPr>
          <w:p w14:paraId="629C03C9" w14:textId="77777777" w:rsidR="00612D3C" w:rsidRDefault="007047D9">
            <w:pPr>
              <w:spacing w:after="0"/>
              <w:jc w:val="left"/>
            </w:pPr>
            <w:r>
              <w:rPr>
                <w:rFonts w:ascii="Arial" w:hAnsi="Arial"/>
                <w:color w:val="000000"/>
                <w:sz w:val="15"/>
              </w:rPr>
              <w:t>Always</w:t>
            </w:r>
          </w:p>
        </w:tc>
        <w:tc>
          <w:tcPr>
            <w:tcW w:w="1180" w:type="dxa"/>
            <w:tcMar>
              <w:top w:w="40" w:type="dxa"/>
              <w:left w:w="45" w:type="dxa"/>
              <w:bottom w:w="40" w:type="dxa"/>
              <w:right w:w="45" w:type="dxa"/>
            </w:tcMar>
            <w:vAlign w:val="center"/>
          </w:tcPr>
          <w:p w14:paraId="164A1C4D" w14:textId="77777777" w:rsidR="00612D3C" w:rsidRDefault="007047D9">
            <w:pPr>
              <w:spacing w:after="0"/>
              <w:jc w:val="center"/>
            </w:pPr>
            <w:r>
              <w:rPr>
                <w:rFonts w:ascii="Arial" w:hAnsi="Arial"/>
                <w:color w:val="000000"/>
                <w:sz w:val="15"/>
              </w:rPr>
              <w:t>44</w:t>
            </w:r>
          </w:p>
        </w:tc>
        <w:tc>
          <w:tcPr>
            <w:tcW w:w="1152" w:type="dxa"/>
            <w:tcMar>
              <w:top w:w="40" w:type="dxa"/>
              <w:left w:w="45" w:type="dxa"/>
              <w:bottom w:w="40" w:type="dxa"/>
              <w:right w:w="45" w:type="dxa"/>
            </w:tcMar>
            <w:vAlign w:val="center"/>
          </w:tcPr>
          <w:p w14:paraId="342C6720" w14:textId="77777777" w:rsidR="00612D3C" w:rsidRDefault="007047D9">
            <w:pPr>
              <w:spacing w:after="0"/>
              <w:jc w:val="center"/>
            </w:pPr>
            <w:r>
              <w:rPr>
                <w:rFonts w:ascii="Arial" w:hAnsi="Arial"/>
                <w:color w:val="000000"/>
                <w:sz w:val="15"/>
              </w:rPr>
              <w:t>29.3</w:t>
            </w:r>
          </w:p>
        </w:tc>
        <w:tc>
          <w:tcPr>
            <w:tcW w:w="1180" w:type="dxa"/>
            <w:tcMar>
              <w:top w:w="40" w:type="dxa"/>
              <w:left w:w="45" w:type="dxa"/>
              <w:bottom w:w="40" w:type="dxa"/>
              <w:right w:w="45" w:type="dxa"/>
            </w:tcMar>
            <w:vAlign w:val="center"/>
          </w:tcPr>
          <w:p w14:paraId="267D1676" w14:textId="77777777" w:rsidR="00612D3C" w:rsidRDefault="007047D9">
            <w:pPr>
              <w:spacing w:after="0"/>
              <w:jc w:val="center"/>
            </w:pPr>
            <w:r>
              <w:rPr>
                <w:rFonts w:ascii="Arial" w:hAnsi="Arial"/>
                <w:color w:val="000000"/>
                <w:sz w:val="15"/>
              </w:rPr>
              <w:t>29.3</w:t>
            </w:r>
          </w:p>
        </w:tc>
        <w:tc>
          <w:tcPr>
            <w:tcW w:w="1368" w:type="dxa"/>
            <w:tcMar>
              <w:top w:w="40" w:type="dxa"/>
              <w:left w:w="45" w:type="dxa"/>
              <w:bottom w:w="40" w:type="dxa"/>
              <w:right w:w="45" w:type="dxa"/>
            </w:tcMar>
            <w:vAlign w:val="center"/>
          </w:tcPr>
          <w:p w14:paraId="27D36C8F" w14:textId="77777777" w:rsidR="00612D3C" w:rsidRDefault="007047D9">
            <w:pPr>
              <w:spacing w:after="0"/>
              <w:jc w:val="center"/>
            </w:pPr>
            <w:r>
              <w:rPr>
                <w:rFonts w:ascii="Arial" w:hAnsi="Arial"/>
                <w:color w:val="000000"/>
                <w:sz w:val="15"/>
              </w:rPr>
              <w:t>100.0</w:t>
            </w:r>
          </w:p>
        </w:tc>
      </w:tr>
      <w:tr w:rsidR="00612D3C" w14:paraId="6B49A74A" w14:textId="77777777">
        <w:trPr>
          <w:cantSplit/>
          <w:jc w:val="center"/>
        </w:trPr>
        <w:tc>
          <w:tcPr>
            <w:tcW w:w="3816" w:type="dxa"/>
            <w:shd w:val="clear" w:color="auto" w:fill="F1F3F6"/>
            <w:tcMar>
              <w:top w:w="40" w:type="dxa"/>
              <w:left w:w="45" w:type="dxa"/>
              <w:bottom w:w="40" w:type="dxa"/>
              <w:right w:w="45" w:type="dxa"/>
            </w:tcMar>
            <w:vAlign w:val="center"/>
          </w:tcPr>
          <w:p w14:paraId="79699624" w14:textId="77777777" w:rsidR="00612D3C" w:rsidRDefault="007047D9">
            <w:pPr>
              <w:spacing w:after="0"/>
              <w:jc w:val="left"/>
            </w:pPr>
            <w:r>
              <w:rPr>
                <w:rFonts w:ascii="Arial" w:hAnsi="Arial"/>
                <w:b/>
                <w:color w:val="000000"/>
                <w:sz w:val="15"/>
              </w:rPr>
              <w:t>Total</w:t>
            </w:r>
          </w:p>
        </w:tc>
        <w:tc>
          <w:tcPr>
            <w:tcW w:w="1180" w:type="dxa"/>
            <w:shd w:val="clear" w:color="auto" w:fill="F1F3F6"/>
            <w:tcMar>
              <w:top w:w="40" w:type="dxa"/>
              <w:left w:w="45" w:type="dxa"/>
              <w:bottom w:w="40" w:type="dxa"/>
              <w:right w:w="45" w:type="dxa"/>
            </w:tcMar>
            <w:vAlign w:val="center"/>
          </w:tcPr>
          <w:p w14:paraId="62B1EE5E" w14:textId="77777777" w:rsidR="00612D3C" w:rsidRDefault="007047D9">
            <w:pPr>
              <w:spacing w:after="0"/>
              <w:jc w:val="center"/>
            </w:pPr>
            <w:r>
              <w:rPr>
                <w:rFonts w:ascii="Arial" w:hAnsi="Arial"/>
                <w:b/>
                <w:color w:val="000000"/>
                <w:sz w:val="15"/>
              </w:rPr>
              <w:t>150</w:t>
            </w:r>
          </w:p>
        </w:tc>
        <w:tc>
          <w:tcPr>
            <w:tcW w:w="1152" w:type="dxa"/>
            <w:shd w:val="clear" w:color="auto" w:fill="F1F3F6"/>
            <w:tcMar>
              <w:top w:w="40" w:type="dxa"/>
              <w:left w:w="45" w:type="dxa"/>
              <w:bottom w:w="40" w:type="dxa"/>
              <w:right w:w="45" w:type="dxa"/>
            </w:tcMar>
            <w:vAlign w:val="center"/>
          </w:tcPr>
          <w:p w14:paraId="5F127FC3" w14:textId="77777777" w:rsidR="00612D3C" w:rsidRDefault="007047D9">
            <w:pPr>
              <w:spacing w:after="0"/>
              <w:jc w:val="center"/>
            </w:pPr>
            <w:r>
              <w:rPr>
                <w:rFonts w:ascii="Arial" w:hAnsi="Arial"/>
                <w:b/>
                <w:color w:val="000000"/>
                <w:sz w:val="15"/>
              </w:rPr>
              <w:t>100.0</w:t>
            </w:r>
          </w:p>
        </w:tc>
        <w:tc>
          <w:tcPr>
            <w:tcW w:w="1180" w:type="dxa"/>
            <w:shd w:val="clear" w:color="auto" w:fill="F1F3F6"/>
            <w:tcMar>
              <w:top w:w="40" w:type="dxa"/>
              <w:left w:w="45" w:type="dxa"/>
              <w:bottom w:w="40" w:type="dxa"/>
              <w:right w:w="45" w:type="dxa"/>
            </w:tcMar>
            <w:vAlign w:val="center"/>
          </w:tcPr>
          <w:p w14:paraId="63BC4018" w14:textId="77777777" w:rsidR="00612D3C" w:rsidRDefault="007047D9">
            <w:pPr>
              <w:spacing w:after="0"/>
              <w:jc w:val="center"/>
            </w:pPr>
            <w:r>
              <w:rPr>
                <w:rFonts w:ascii="Arial" w:hAnsi="Arial"/>
                <w:b/>
                <w:color w:val="000000"/>
                <w:sz w:val="15"/>
              </w:rPr>
              <w:t>100.0</w:t>
            </w:r>
          </w:p>
        </w:tc>
        <w:tc>
          <w:tcPr>
            <w:tcW w:w="1368" w:type="dxa"/>
            <w:shd w:val="clear" w:color="auto" w:fill="F1F3F6"/>
            <w:tcMar>
              <w:top w:w="40" w:type="dxa"/>
              <w:left w:w="45" w:type="dxa"/>
              <w:bottom w:w="40" w:type="dxa"/>
              <w:right w:w="45" w:type="dxa"/>
            </w:tcMar>
            <w:vAlign w:val="center"/>
          </w:tcPr>
          <w:p w14:paraId="47F3B3E8" w14:textId="77777777" w:rsidR="00612D3C" w:rsidRDefault="00612D3C">
            <w:pPr>
              <w:spacing w:after="0"/>
              <w:jc w:val="center"/>
            </w:pPr>
          </w:p>
        </w:tc>
      </w:tr>
    </w:tbl>
    <w:p w14:paraId="03A3C430" w14:textId="77777777" w:rsidR="00612D3C" w:rsidRDefault="00612D3C">
      <w:pPr>
        <w:rPr>
          <w:rFonts w:ascii="Calibri" w:hAnsi="Calibri" w:cs="Calibri"/>
          <w:b/>
          <w:bCs/>
        </w:rPr>
      </w:pPr>
    </w:p>
    <w:p w14:paraId="3CAA141E" w14:textId="77777777" w:rsidR="00612D3C" w:rsidRDefault="007047D9">
      <w:pPr>
        <w:keepNext/>
        <w:rPr>
          <w:rFonts w:ascii="Calibri" w:hAnsi="Calibri" w:cs="Calibri"/>
          <w:b/>
          <w:bCs/>
        </w:rPr>
      </w:pPr>
      <w:r>
        <w:rPr>
          <w:rFonts w:ascii="Calibri" w:hAnsi="Calibri" w:cs="Calibri"/>
          <w:b/>
          <w:bCs/>
        </w:rPr>
        <w:t>Correlations</w:t>
      </w:r>
    </w:p>
    <w:tbl>
      <w:tblPr>
        <w:tblStyle w:val="TableGrid"/>
        <w:tblW w:w="0" w:type="auto"/>
        <w:jc w:val="center"/>
        <w:tblLayout w:type="fixed"/>
        <w:tblLook w:val="04A0" w:firstRow="1" w:lastRow="0" w:firstColumn="1" w:lastColumn="0" w:noHBand="0" w:noVBand="1"/>
      </w:tblPr>
      <w:tblGrid>
        <w:gridCol w:w="2131"/>
        <w:gridCol w:w="691"/>
        <w:gridCol w:w="691"/>
        <w:gridCol w:w="691"/>
        <w:gridCol w:w="691"/>
        <w:gridCol w:w="691"/>
        <w:gridCol w:w="691"/>
        <w:gridCol w:w="691"/>
        <w:gridCol w:w="691"/>
        <w:gridCol w:w="691"/>
        <w:gridCol w:w="691"/>
      </w:tblGrid>
      <w:tr w:rsidR="00612D3C" w14:paraId="22C2659A" w14:textId="77777777">
        <w:trPr>
          <w:cantSplit/>
          <w:tblHeader/>
          <w:jc w:val="center"/>
        </w:trPr>
        <w:tc>
          <w:tcPr>
            <w:tcW w:w="691" w:type="dxa"/>
            <w:gridSpan w:val="11"/>
            <w:shd w:val="clear" w:color="auto" w:fill="D9E2F3"/>
            <w:tcMar>
              <w:top w:w="40" w:type="dxa"/>
              <w:left w:w="45" w:type="dxa"/>
              <w:bottom w:w="40" w:type="dxa"/>
              <w:right w:w="45" w:type="dxa"/>
            </w:tcMar>
            <w:vAlign w:val="center"/>
          </w:tcPr>
          <w:p w14:paraId="63D2A2F4" w14:textId="77777777" w:rsidR="00612D3C" w:rsidRDefault="007047D9">
            <w:pPr>
              <w:spacing w:after="0"/>
              <w:jc w:val="left"/>
            </w:pPr>
            <w:r>
              <w:rPr>
                <w:rFonts w:ascii="Arial" w:hAnsi="Arial"/>
                <w:b/>
                <w:color w:val="000000"/>
                <w:sz w:val="17"/>
              </w:rPr>
              <w:t>Table 5: Pearson correlation matrix</w:t>
            </w:r>
          </w:p>
        </w:tc>
      </w:tr>
      <w:tr w:rsidR="00612D3C" w14:paraId="76BDF0DA" w14:textId="77777777">
        <w:trPr>
          <w:cantSplit/>
          <w:tblHeader/>
          <w:jc w:val="center"/>
        </w:trPr>
        <w:tc>
          <w:tcPr>
            <w:tcW w:w="2131" w:type="dxa"/>
            <w:shd w:val="clear" w:color="auto" w:fill="E9EEF5"/>
            <w:tcMar>
              <w:top w:w="40" w:type="dxa"/>
              <w:left w:w="45" w:type="dxa"/>
              <w:bottom w:w="40" w:type="dxa"/>
              <w:right w:w="45" w:type="dxa"/>
            </w:tcMar>
            <w:vAlign w:val="center"/>
          </w:tcPr>
          <w:p w14:paraId="16C07B32" w14:textId="77777777" w:rsidR="00612D3C" w:rsidRDefault="007047D9">
            <w:pPr>
              <w:spacing w:after="0"/>
              <w:jc w:val="center"/>
            </w:pPr>
            <w:r>
              <w:rPr>
                <w:rFonts w:ascii="Arial" w:hAnsi="Arial"/>
                <w:b/>
                <w:color w:val="000000"/>
                <w:sz w:val="14"/>
              </w:rPr>
              <w:t>Variable</w:t>
            </w:r>
          </w:p>
        </w:tc>
        <w:tc>
          <w:tcPr>
            <w:tcW w:w="691" w:type="dxa"/>
            <w:shd w:val="clear" w:color="auto" w:fill="E9EEF5"/>
            <w:tcMar>
              <w:top w:w="40" w:type="dxa"/>
              <w:left w:w="45" w:type="dxa"/>
              <w:bottom w:w="40" w:type="dxa"/>
              <w:right w:w="45" w:type="dxa"/>
            </w:tcMar>
            <w:vAlign w:val="center"/>
          </w:tcPr>
          <w:p w14:paraId="7142F41E" w14:textId="77777777" w:rsidR="00612D3C" w:rsidRDefault="007047D9">
            <w:pPr>
              <w:spacing w:after="0"/>
              <w:jc w:val="center"/>
            </w:pPr>
            <w:r>
              <w:rPr>
                <w:rFonts w:ascii="Arial" w:hAnsi="Arial"/>
                <w:b/>
                <w:color w:val="000000"/>
                <w:sz w:val="14"/>
              </w:rPr>
              <w:t>1</w:t>
            </w:r>
          </w:p>
        </w:tc>
        <w:tc>
          <w:tcPr>
            <w:tcW w:w="691" w:type="dxa"/>
            <w:shd w:val="clear" w:color="auto" w:fill="E9EEF5"/>
            <w:tcMar>
              <w:top w:w="40" w:type="dxa"/>
              <w:left w:w="45" w:type="dxa"/>
              <w:bottom w:w="40" w:type="dxa"/>
              <w:right w:w="45" w:type="dxa"/>
            </w:tcMar>
            <w:vAlign w:val="center"/>
          </w:tcPr>
          <w:p w14:paraId="309C23A0" w14:textId="77777777" w:rsidR="00612D3C" w:rsidRDefault="007047D9">
            <w:pPr>
              <w:spacing w:after="0"/>
              <w:jc w:val="center"/>
            </w:pPr>
            <w:r>
              <w:rPr>
                <w:rFonts w:ascii="Arial" w:hAnsi="Arial"/>
                <w:b/>
                <w:color w:val="000000"/>
                <w:sz w:val="14"/>
              </w:rPr>
              <w:t>2</w:t>
            </w:r>
          </w:p>
        </w:tc>
        <w:tc>
          <w:tcPr>
            <w:tcW w:w="691" w:type="dxa"/>
            <w:shd w:val="clear" w:color="auto" w:fill="E9EEF5"/>
            <w:tcMar>
              <w:top w:w="40" w:type="dxa"/>
              <w:left w:w="45" w:type="dxa"/>
              <w:bottom w:w="40" w:type="dxa"/>
              <w:right w:w="45" w:type="dxa"/>
            </w:tcMar>
            <w:vAlign w:val="center"/>
          </w:tcPr>
          <w:p w14:paraId="710F8D36" w14:textId="77777777" w:rsidR="00612D3C" w:rsidRDefault="007047D9">
            <w:pPr>
              <w:spacing w:after="0"/>
              <w:jc w:val="center"/>
            </w:pPr>
            <w:r>
              <w:rPr>
                <w:rFonts w:ascii="Arial" w:hAnsi="Arial"/>
                <w:b/>
                <w:color w:val="000000"/>
                <w:sz w:val="14"/>
              </w:rPr>
              <w:t>3</w:t>
            </w:r>
          </w:p>
        </w:tc>
        <w:tc>
          <w:tcPr>
            <w:tcW w:w="691" w:type="dxa"/>
            <w:shd w:val="clear" w:color="auto" w:fill="E9EEF5"/>
            <w:tcMar>
              <w:top w:w="40" w:type="dxa"/>
              <w:left w:w="45" w:type="dxa"/>
              <w:bottom w:w="40" w:type="dxa"/>
              <w:right w:w="45" w:type="dxa"/>
            </w:tcMar>
            <w:vAlign w:val="center"/>
          </w:tcPr>
          <w:p w14:paraId="7CA93385" w14:textId="77777777" w:rsidR="00612D3C" w:rsidRDefault="007047D9">
            <w:pPr>
              <w:spacing w:after="0"/>
              <w:jc w:val="center"/>
            </w:pPr>
            <w:r>
              <w:rPr>
                <w:rFonts w:ascii="Arial" w:hAnsi="Arial"/>
                <w:b/>
                <w:color w:val="000000"/>
                <w:sz w:val="14"/>
              </w:rPr>
              <w:t>4</w:t>
            </w:r>
          </w:p>
        </w:tc>
        <w:tc>
          <w:tcPr>
            <w:tcW w:w="691" w:type="dxa"/>
            <w:shd w:val="clear" w:color="auto" w:fill="E9EEF5"/>
            <w:tcMar>
              <w:top w:w="40" w:type="dxa"/>
              <w:left w:w="45" w:type="dxa"/>
              <w:bottom w:w="40" w:type="dxa"/>
              <w:right w:w="45" w:type="dxa"/>
            </w:tcMar>
            <w:vAlign w:val="center"/>
          </w:tcPr>
          <w:p w14:paraId="022A6C88" w14:textId="77777777" w:rsidR="00612D3C" w:rsidRDefault="007047D9">
            <w:pPr>
              <w:spacing w:after="0"/>
              <w:jc w:val="center"/>
            </w:pPr>
            <w:r>
              <w:rPr>
                <w:rFonts w:ascii="Arial" w:hAnsi="Arial"/>
                <w:b/>
                <w:color w:val="000000"/>
                <w:sz w:val="14"/>
              </w:rPr>
              <w:t>5</w:t>
            </w:r>
          </w:p>
        </w:tc>
        <w:tc>
          <w:tcPr>
            <w:tcW w:w="691" w:type="dxa"/>
            <w:shd w:val="clear" w:color="auto" w:fill="E9EEF5"/>
            <w:tcMar>
              <w:top w:w="40" w:type="dxa"/>
              <w:left w:w="45" w:type="dxa"/>
              <w:bottom w:w="40" w:type="dxa"/>
              <w:right w:w="45" w:type="dxa"/>
            </w:tcMar>
            <w:vAlign w:val="center"/>
          </w:tcPr>
          <w:p w14:paraId="30925095" w14:textId="77777777" w:rsidR="00612D3C" w:rsidRDefault="007047D9">
            <w:pPr>
              <w:spacing w:after="0"/>
              <w:jc w:val="center"/>
            </w:pPr>
            <w:r>
              <w:rPr>
                <w:rFonts w:ascii="Arial" w:hAnsi="Arial"/>
                <w:b/>
                <w:color w:val="000000"/>
                <w:sz w:val="14"/>
              </w:rPr>
              <w:t>6</w:t>
            </w:r>
          </w:p>
        </w:tc>
        <w:tc>
          <w:tcPr>
            <w:tcW w:w="691" w:type="dxa"/>
            <w:shd w:val="clear" w:color="auto" w:fill="E9EEF5"/>
            <w:tcMar>
              <w:top w:w="40" w:type="dxa"/>
              <w:left w:w="45" w:type="dxa"/>
              <w:bottom w:w="40" w:type="dxa"/>
              <w:right w:w="45" w:type="dxa"/>
            </w:tcMar>
            <w:vAlign w:val="center"/>
          </w:tcPr>
          <w:p w14:paraId="782A404A" w14:textId="77777777" w:rsidR="00612D3C" w:rsidRDefault="007047D9">
            <w:pPr>
              <w:spacing w:after="0"/>
              <w:jc w:val="center"/>
            </w:pPr>
            <w:r>
              <w:rPr>
                <w:rFonts w:ascii="Arial" w:hAnsi="Arial"/>
                <w:b/>
                <w:color w:val="000000"/>
                <w:sz w:val="14"/>
              </w:rPr>
              <w:t>7</w:t>
            </w:r>
          </w:p>
        </w:tc>
        <w:tc>
          <w:tcPr>
            <w:tcW w:w="691" w:type="dxa"/>
            <w:shd w:val="clear" w:color="auto" w:fill="E9EEF5"/>
            <w:tcMar>
              <w:top w:w="40" w:type="dxa"/>
              <w:left w:w="45" w:type="dxa"/>
              <w:bottom w:w="40" w:type="dxa"/>
              <w:right w:w="45" w:type="dxa"/>
            </w:tcMar>
            <w:vAlign w:val="center"/>
          </w:tcPr>
          <w:p w14:paraId="07F157C3" w14:textId="77777777" w:rsidR="00612D3C" w:rsidRDefault="007047D9">
            <w:pPr>
              <w:spacing w:after="0"/>
              <w:jc w:val="center"/>
            </w:pPr>
            <w:r>
              <w:rPr>
                <w:rFonts w:ascii="Arial" w:hAnsi="Arial"/>
                <w:b/>
                <w:color w:val="000000"/>
                <w:sz w:val="14"/>
              </w:rPr>
              <w:t>8</w:t>
            </w:r>
          </w:p>
        </w:tc>
        <w:tc>
          <w:tcPr>
            <w:tcW w:w="691" w:type="dxa"/>
            <w:shd w:val="clear" w:color="auto" w:fill="E9EEF5"/>
            <w:tcMar>
              <w:top w:w="40" w:type="dxa"/>
              <w:left w:w="45" w:type="dxa"/>
              <w:bottom w:w="40" w:type="dxa"/>
              <w:right w:w="45" w:type="dxa"/>
            </w:tcMar>
            <w:vAlign w:val="center"/>
          </w:tcPr>
          <w:p w14:paraId="50C09780" w14:textId="77777777" w:rsidR="00612D3C" w:rsidRDefault="007047D9">
            <w:pPr>
              <w:spacing w:after="0"/>
              <w:jc w:val="center"/>
            </w:pPr>
            <w:r>
              <w:rPr>
                <w:rFonts w:ascii="Arial" w:hAnsi="Arial"/>
                <w:b/>
                <w:color w:val="000000"/>
                <w:sz w:val="14"/>
              </w:rPr>
              <w:t>9</w:t>
            </w:r>
          </w:p>
        </w:tc>
        <w:tc>
          <w:tcPr>
            <w:tcW w:w="691" w:type="dxa"/>
            <w:shd w:val="clear" w:color="auto" w:fill="E9EEF5"/>
            <w:tcMar>
              <w:top w:w="40" w:type="dxa"/>
              <w:left w:w="45" w:type="dxa"/>
              <w:bottom w:w="40" w:type="dxa"/>
              <w:right w:w="45" w:type="dxa"/>
            </w:tcMar>
            <w:vAlign w:val="center"/>
          </w:tcPr>
          <w:p w14:paraId="0780E42B" w14:textId="77777777" w:rsidR="00612D3C" w:rsidRDefault="007047D9">
            <w:pPr>
              <w:spacing w:after="0"/>
              <w:jc w:val="center"/>
            </w:pPr>
            <w:r>
              <w:rPr>
                <w:rFonts w:ascii="Arial" w:hAnsi="Arial"/>
                <w:b/>
                <w:color w:val="000000"/>
                <w:sz w:val="14"/>
              </w:rPr>
              <w:t>10</w:t>
            </w:r>
          </w:p>
        </w:tc>
      </w:tr>
      <w:tr w:rsidR="00612D3C" w14:paraId="7CE65528" w14:textId="77777777">
        <w:trPr>
          <w:cantSplit/>
          <w:jc w:val="center"/>
        </w:trPr>
        <w:tc>
          <w:tcPr>
            <w:tcW w:w="2131" w:type="dxa"/>
            <w:shd w:val="clear" w:color="auto" w:fill="F1F3F6"/>
            <w:tcMar>
              <w:top w:w="40" w:type="dxa"/>
              <w:left w:w="45" w:type="dxa"/>
              <w:bottom w:w="40" w:type="dxa"/>
              <w:right w:w="45" w:type="dxa"/>
            </w:tcMar>
            <w:vAlign w:val="center"/>
          </w:tcPr>
          <w:p w14:paraId="6FCDD3FA" w14:textId="77777777" w:rsidR="00612D3C" w:rsidRDefault="007047D9">
            <w:pPr>
              <w:spacing w:after="0"/>
              <w:jc w:val="left"/>
            </w:pPr>
            <w:r>
              <w:rPr>
                <w:rFonts w:ascii="Arial" w:hAnsi="Arial"/>
                <w:color w:val="000000"/>
                <w:sz w:val="14"/>
              </w:rPr>
              <w:t>1 Ease of use</w:t>
            </w:r>
          </w:p>
        </w:tc>
        <w:tc>
          <w:tcPr>
            <w:tcW w:w="691" w:type="dxa"/>
            <w:tcMar>
              <w:top w:w="40" w:type="dxa"/>
              <w:left w:w="45" w:type="dxa"/>
              <w:bottom w:w="40" w:type="dxa"/>
              <w:right w:w="45" w:type="dxa"/>
            </w:tcMar>
            <w:vAlign w:val="center"/>
          </w:tcPr>
          <w:p w14:paraId="464A1688" w14:textId="77777777" w:rsidR="00612D3C" w:rsidRDefault="007047D9">
            <w:pPr>
              <w:spacing w:after="0"/>
              <w:jc w:val="center"/>
            </w:pPr>
            <w:r>
              <w:rPr>
                <w:rFonts w:ascii="Arial" w:hAnsi="Arial"/>
                <w:color w:val="000000"/>
                <w:sz w:val="14"/>
              </w:rPr>
              <w:t>—</w:t>
            </w:r>
          </w:p>
        </w:tc>
        <w:tc>
          <w:tcPr>
            <w:tcW w:w="691" w:type="dxa"/>
            <w:tcMar>
              <w:top w:w="40" w:type="dxa"/>
              <w:left w:w="45" w:type="dxa"/>
              <w:bottom w:w="40" w:type="dxa"/>
              <w:right w:w="45" w:type="dxa"/>
            </w:tcMar>
            <w:vAlign w:val="center"/>
          </w:tcPr>
          <w:p w14:paraId="234F2ADC" w14:textId="77777777" w:rsidR="00612D3C" w:rsidRDefault="00612D3C">
            <w:pPr>
              <w:spacing w:after="0"/>
              <w:jc w:val="center"/>
            </w:pPr>
          </w:p>
        </w:tc>
        <w:tc>
          <w:tcPr>
            <w:tcW w:w="691" w:type="dxa"/>
            <w:tcMar>
              <w:top w:w="40" w:type="dxa"/>
              <w:left w:w="45" w:type="dxa"/>
              <w:bottom w:w="40" w:type="dxa"/>
              <w:right w:w="45" w:type="dxa"/>
            </w:tcMar>
            <w:vAlign w:val="center"/>
          </w:tcPr>
          <w:p w14:paraId="2F2C1064" w14:textId="77777777" w:rsidR="00612D3C" w:rsidRDefault="00612D3C">
            <w:pPr>
              <w:spacing w:after="0"/>
              <w:jc w:val="center"/>
            </w:pPr>
          </w:p>
        </w:tc>
        <w:tc>
          <w:tcPr>
            <w:tcW w:w="691" w:type="dxa"/>
            <w:tcMar>
              <w:top w:w="40" w:type="dxa"/>
              <w:left w:w="45" w:type="dxa"/>
              <w:bottom w:w="40" w:type="dxa"/>
              <w:right w:w="45" w:type="dxa"/>
            </w:tcMar>
            <w:vAlign w:val="center"/>
          </w:tcPr>
          <w:p w14:paraId="487D9755" w14:textId="77777777" w:rsidR="00612D3C" w:rsidRDefault="00612D3C">
            <w:pPr>
              <w:spacing w:after="0"/>
              <w:jc w:val="center"/>
            </w:pPr>
          </w:p>
        </w:tc>
        <w:tc>
          <w:tcPr>
            <w:tcW w:w="691" w:type="dxa"/>
            <w:tcMar>
              <w:top w:w="40" w:type="dxa"/>
              <w:left w:w="45" w:type="dxa"/>
              <w:bottom w:w="40" w:type="dxa"/>
              <w:right w:w="45" w:type="dxa"/>
            </w:tcMar>
            <w:vAlign w:val="center"/>
          </w:tcPr>
          <w:p w14:paraId="15236AE7" w14:textId="77777777" w:rsidR="00612D3C" w:rsidRDefault="00612D3C">
            <w:pPr>
              <w:spacing w:after="0"/>
              <w:jc w:val="center"/>
            </w:pPr>
          </w:p>
        </w:tc>
        <w:tc>
          <w:tcPr>
            <w:tcW w:w="691" w:type="dxa"/>
            <w:tcMar>
              <w:top w:w="40" w:type="dxa"/>
              <w:left w:w="45" w:type="dxa"/>
              <w:bottom w:w="40" w:type="dxa"/>
              <w:right w:w="45" w:type="dxa"/>
            </w:tcMar>
            <w:vAlign w:val="center"/>
          </w:tcPr>
          <w:p w14:paraId="0AC8DD4A" w14:textId="77777777" w:rsidR="00612D3C" w:rsidRDefault="00612D3C">
            <w:pPr>
              <w:spacing w:after="0"/>
              <w:jc w:val="center"/>
            </w:pPr>
          </w:p>
        </w:tc>
        <w:tc>
          <w:tcPr>
            <w:tcW w:w="691" w:type="dxa"/>
            <w:tcMar>
              <w:top w:w="40" w:type="dxa"/>
              <w:left w:w="45" w:type="dxa"/>
              <w:bottom w:w="40" w:type="dxa"/>
              <w:right w:w="45" w:type="dxa"/>
            </w:tcMar>
            <w:vAlign w:val="center"/>
          </w:tcPr>
          <w:p w14:paraId="56DE0A4B" w14:textId="77777777" w:rsidR="00612D3C" w:rsidRDefault="00612D3C">
            <w:pPr>
              <w:spacing w:after="0"/>
              <w:jc w:val="center"/>
            </w:pPr>
          </w:p>
        </w:tc>
        <w:tc>
          <w:tcPr>
            <w:tcW w:w="691" w:type="dxa"/>
            <w:tcMar>
              <w:top w:w="40" w:type="dxa"/>
              <w:left w:w="45" w:type="dxa"/>
              <w:bottom w:w="40" w:type="dxa"/>
              <w:right w:w="45" w:type="dxa"/>
            </w:tcMar>
            <w:vAlign w:val="center"/>
          </w:tcPr>
          <w:p w14:paraId="1F3DB1BF" w14:textId="77777777" w:rsidR="00612D3C" w:rsidRDefault="00612D3C">
            <w:pPr>
              <w:spacing w:after="0"/>
              <w:jc w:val="center"/>
            </w:pPr>
          </w:p>
        </w:tc>
        <w:tc>
          <w:tcPr>
            <w:tcW w:w="691" w:type="dxa"/>
            <w:tcMar>
              <w:top w:w="40" w:type="dxa"/>
              <w:left w:w="45" w:type="dxa"/>
              <w:bottom w:w="40" w:type="dxa"/>
              <w:right w:w="45" w:type="dxa"/>
            </w:tcMar>
            <w:vAlign w:val="center"/>
          </w:tcPr>
          <w:p w14:paraId="1CD89F57" w14:textId="77777777" w:rsidR="00612D3C" w:rsidRDefault="00612D3C">
            <w:pPr>
              <w:spacing w:after="0"/>
              <w:jc w:val="center"/>
            </w:pPr>
          </w:p>
        </w:tc>
        <w:tc>
          <w:tcPr>
            <w:tcW w:w="691" w:type="dxa"/>
            <w:tcMar>
              <w:top w:w="40" w:type="dxa"/>
              <w:left w:w="45" w:type="dxa"/>
              <w:bottom w:w="40" w:type="dxa"/>
              <w:right w:w="45" w:type="dxa"/>
            </w:tcMar>
            <w:vAlign w:val="center"/>
          </w:tcPr>
          <w:p w14:paraId="3D6593DD" w14:textId="77777777" w:rsidR="00612D3C" w:rsidRDefault="00612D3C">
            <w:pPr>
              <w:spacing w:after="0"/>
              <w:jc w:val="center"/>
            </w:pPr>
          </w:p>
        </w:tc>
      </w:tr>
      <w:tr w:rsidR="00612D3C" w14:paraId="5C34892B" w14:textId="77777777">
        <w:trPr>
          <w:cantSplit/>
          <w:jc w:val="center"/>
        </w:trPr>
        <w:tc>
          <w:tcPr>
            <w:tcW w:w="2131" w:type="dxa"/>
            <w:shd w:val="clear" w:color="auto" w:fill="F1F3F6"/>
            <w:tcMar>
              <w:top w:w="40" w:type="dxa"/>
              <w:left w:w="45" w:type="dxa"/>
              <w:bottom w:w="40" w:type="dxa"/>
              <w:right w:w="45" w:type="dxa"/>
            </w:tcMar>
            <w:vAlign w:val="center"/>
          </w:tcPr>
          <w:p w14:paraId="2B5DD180" w14:textId="77777777" w:rsidR="00612D3C" w:rsidRDefault="007047D9">
            <w:pPr>
              <w:spacing w:after="0"/>
              <w:jc w:val="left"/>
            </w:pPr>
            <w:r>
              <w:rPr>
                <w:rFonts w:ascii="Arial" w:hAnsi="Arial"/>
                <w:color w:val="000000"/>
                <w:sz w:val="14"/>
              </w:rPr>
              <w:t>2 Usefulness</w:t>
            </w:r>
          </w:p>
        </w:tc>
        <w:tc>
          <w:tcPr>
            <w:tcW w:w="691" w:type="dxa"/>
            <w:tcMar>
              <w:top w:w="40" w:type="dxa"/>
              <w:left w:w="45" w:type="dxa"/>
              <w:bottom w:w="40" w:type="dxa"/>
              <w:right w:w="45" w:type="dxa"/>
            </w:tcMar>
            <w:vAlign w:val="center"/>
          </w:tcPr>
          <w:p w14:paraId="493AD99E" w14:textId="77777777" w:rsidR="00612D3C" w:rsidRDefault="007047D9">
            <w:pPr>
              <w:spacing w:after="0"/>
              <w:jc w:val="center"/>
            </w:pPr>
            <w:r>
              <w:rPr>
                <w:rFonts w:ascii="Arial" w:hAnsi="Arial"/>
                <w:color w:val="000000"/>
                <w:sz w:val="14"/>
              </w:rPr>
              <w:t>.580**</w:t>
            </w:r>
          </w:p>
        </w:tc>
        <w:tc>
          <w:tcPr>
            <w:tcW w:w="691" w:type="dxa"/>
            <w:tcMar>
              <w:top w:w="40" w:type="dxa"/>
              <w:left w:w="45" w:type="dxa"/>
              <w:bottom w:w="40" w:type="dxa"/>
              <w:right w:w="45" w:type="dxa"/>
            </w:tcMar>
            <w:vAlign w:val="center"/>
          </w:tcPr>
          <w:p w14:paraId="71BB4C20" w14:textId="77777777" w:rsidR="00612D3C" w:rsidRDefault="007047D9">
            <w:pPr>
              <w:spacing w:after="0"/>
              <w:jc w:val="center"/>
            </w:pPr>
            <w:r>
              <w:rPr>
                <w:rFonts w:ascii="Arial" w:hAnsi="Arial"/>
                <w:color w:val="000000"/>
                <w:sz w:val="14"/>
              </w:rPr>
              <w:t>—</w:t>
            </w:r>
          </w:p>
        </w:tc>
        <w:tc>
          <w:tcPr>
            <w:tcW w:w="691" w:type="dxa"/>
            <w:tcMar>
              <w:top w:w="40" w:type="dxa"/>
              <w:left w:w="45" w:type="dxa"/>
              <w:bottom w:w="40" w:type="dxa"/>
              <w:right w:w="45" w:type="dxa"/>
            </w:tcMar>
            <w:vAlign w:val="center"/>
          </w:tcPr>
          <w:p w14:paraId="39645DA3" w14:textId="77777777" w:rsidR="00612D3C" w:rsidRDefault="00612D3C">
            <w:pPr>
              <w:spacing w:after="0"/>
              <w:jc w:val="center"/>
            </w:pPr>
          </w:p>
        </w:tc>
        <w:tc>
          <w:tcPr>
            <w:tcW w:w="691" w:type="dxa"/>
            <w:tcMar>
              <w:top w:w="40" w:type="dxa"/>
              <w:left w:w="45" w:type="dxa"/>
              <w:bottom w:w="40" w:type="dxa"/>
              <w:right w:w="45" w:type="dxa"/>
            </w:tcMar>
            <w:vAlign w:val="center"/>
          </w:tcPr>
          <w:p w14:paraId="5A691359" w14:textId="77777777" w:rsidR="00612D3C" w:rsidRDefault="00612D3C">
            <w:pPr>
              <w:spacing w:after="0"/>
              <w:jc w:val="center"/>
            </w:pPr>
          </w:p>
        </w:tc>
        <w:tc>
          <w:tcPr>
            <w:tcW w:w="691" w:type="dxa"/>
            <w:tcMar>
              <w:top w:w="40" w:type="dxa"/>
              <w:left w:w="45" w:type="dxa"/>
              <w:bottom w:w="40" w:type="dxa"/>
              <w:right w:w="45" w:type="dxa"/>
            </w:tcMar>
            <w:vAlign w:val="center"/>
          </w:tcPr>
          <w:p w14:paraId="0C183512" w14:textId="77777777" w:rsidR="00612D3C" w:rsidRDefault="00612D3C">
            <w:pPr>
              <w:spacing w:after="0"/>
              <w:jc w:val="center"/>
            </w:pPr>
          </w:p>
        </w:tc>
        <w:tc>
          <w:tcPr>
            <w:tcW w:w="691" w:type="dxa"/>
            <w:tcMar>
              <w:top w:w="40" w:type="dxa"/>
              <w:left w:w="45" w:type="dxa"/>
              <w:bottom w:w="40" w:type="dxa"/>
              <w:right w:w="45" w:type="dxa"/>
            </w:tcMar>
            <w:vAlign w:val="center"/>
          </w:tcPr>
          <w:p w14:paraId="17B8B10F" w14:textId="77777777" w:rsidR="00612D3C" w:rsidRDefault="00612D3C">
            <w:pPr>
              <w:spacing w:after="0"/>
              <w:jc w:val="center"/>
            </w:pPr>
          </w:p>
        </w:tc>
        <w:tc>
          <w:tcPr>
            <w:tcW w:w="691" w:type="dxa"/>
            <w:tcMar>
              <w:top w:w="40" w:type="dxa"/>
              <w:left w:w="45" w:type="dxa"/>
              <w:bottom w:w="40" w:type="dxa"/>
              <w:right w:w="45" w:type="dxa"/>
            </w:tcMar>
            <w:vAlign w:val="center"/>
          </w:tcPr>
          <w:p w14:paraId="236D44CC" w14:textId="77777777" w:rsidR="00612D3C" w:rsidRDefault="00612D3C">
            <w:pPr>
              <w:spacing w:after="0"/>
              <w:jc w:val="center"/>
            </w:pPr>
          </w:p>
        </w:tc>
        <w:tc>
          <w:tcPr>
            <w:tcW w:w="691" w:type="dxa"/>
            <w:tcMar>
              <w:top w:w="40" w:type="dxa"/>
              <w:left w:w="45" w:type="dxa"/>
              <w:bottom w:w="40" w:type="dxa"/>
              <w:right w:w="45" w:type="dxa"/>
            </w:tcMar>
            <w:vAlign w:val="center"/>
          </w:tcPr>
          <w:p w14:paraId="31F5105D" w14:textId="77777777" w:rsidR="00612D3C" w:rsidRDefault="00612D3C">
            <w:pPr>
              <w:spacing w:after="0"/>
              <w:jc w:val="center"/>
            </w:pPr>
          </w:p>
        </w:tc>
        <w:tc>
          <w:tcPr>
            <w:tcW w:w="691" w:type="dxa"/>
            <w:tcMar>
              <w:top w:w="40" w:type="dxa"/>
              <w:left w:w="45" w:type="dxa"/>
              <w:bottom w:w="40" w:type="dxa"/>
              <w:right w:w="45" w:type="dxa"/>
            </w:tcMar>
            <w:vAlign w:val="center"/>
          </w:tcPr>
          <w:p w14:paraId="218199DA" w14:textId="77777777" w:rsidR="00612D3C" w:rsidRDefault="00612D3C">
            <w:pPr>
              <w:spacing w:after="0"/>
              <w:jc w:val="center"/>
            </w:pPr>
          </w:p>
        </w:tc>
        <w:tc>
          <w:tcPr>
            <w:tcW w:w="691" w:type="dxa"/>
            <w:tcMar>
              <w:top w:w="40" w:type="dxa"/>
              <w:left w:w="45" w:type="dxa"/>
              <w:bottom w:w="40" w:type="dxa"/>
              <w:right w:w="45" w:type="dxa"/>
            </w:tcMar>
            <w:vAlign w:val="center"/>
          </w:tcPr>
          <w:p w14:paraId="03F8006A" w14:textId="77777777" w:rsidR="00612D3C" w:rsidRDefault="00612D3C">
            <w:pPr>
              <w:spacing w:after="0"/>
              <w:jc w:val="center"/>
            </w:pPr>
          </w:p>
        </w:tc>
      </w:tr>
      <w:tr w:rsidR="00612D3C" w14:paraId="30218096" w14:textId="77777777">
        <w:trPr>
          <w:cantSplit/>
          <w:jc w:val="center"/>
        </w:trPr>
        <w:tc>
          <w:tcPr>
            <w:tcW w:w="2131" w:type="dxa"/>
            <w:shd w:val="clear" w:color="auto" w:fill="F1F3F6"/>
            <w:tcMar>
              <w:top w:w="40" w:type="dxa"/>
              <w:left w:w="45" w:type="dxa"/>
              <w:bottom w:w="40" w:type="dxa"/>
              <w:right w:w="45" w:type="dxa"/>
            </w:tcMar>
            <w:vAlign w:val="center"/>
          </w:tcPr>
          <w:p w14:paraId="667F2C55" w14:textId="77777777" w:rsidR="00612D3C" w:rsidRDefault="007047D9">
            <w:pPr>
              <w:spacing w:after="0"/>
              <w:jc w:val="left"/>
            </w:pPr>
            <w:r>
              <w:rPr>
                <w:rFonts w:ascii="Arial" w:hAnsi="Arial"/>
                <w:color w:val="000000"/>
                <w:sz w:val="14"/>
              </w:rPr>
              <w:t>3 Personalisation</w:t>
            </w:r>
          </w:p>
        </w:tc>
        <w:tc>
          <w:tcPr>
            <w:tcW w:w="691" w:type="dxa"/>
            <w:tcMar>
              <w:top w:w="40" w:type="dxa"/>
              <w:left w:w="45" w:type="dxa"/>
              <w:bottom w:w="40" w:type="dxa"/>
              <w:right w:w="45" w:type="dxa"/>
            </w:tcMar>
            <w:vAlign w:val="center"/>
          </w:tcPr>
          <w:p w14:paraId="37D4A06E" w14:textId="77777777" w:rsidR="00612D3C" w:rsidRDefault="007047D9">
            <w:pPr>
              <w:spacing w:after="0"/>
              <w:jc w:val="center"/>
            </w:pPr>
            <w:r>
              <w:rPr>
                <w:rFonts w:ascii="Arial" w:hAnsi="Arial"/>
                <w:color w:val="000000"/>
                <w:sz w:val="14"/>
              </w:rPr>
              <w:t>.483**</w:t>
            </w:r>
          </w:p>
        </w:tc>
        <w:tc>
          <w:tcPr>
            <w:tcW w:w="691" w:type="dxa"/>
            <w:tcMar>
              <w:top w:w="40" w:type="dxa"/>
              <w:left w:w="45" w:type="dxa"/>
              <w:bottom w:w="40" w:type="dxa"/>
              <w:right w:w="45" w:type="dxa"/>
            </w:tcMar>
            <w:vAlign w:val="center"/>
          </w:tcPr>
          <w:p w14:paraId="731B76D9" w14:textId="77777777" w:rsidR="00612D3C" w:rsidRDefault="007047D9">
            <w:pPr>
              <w:spacing w:after="0"/>
              <w:jc w:val="center"/>
            </w:pPr>
            <w:r>
              <w:rPr>
                <w:rFonts w:ascii="Arial" w:hAnsi="Arial"/>
                <w:color w:val="000000"/>
                <w:sz w:val="14"/>
              </w:rPr>
              <w:t>.561**</w:t>
            </w:r>
          </w:p>
        </w:tc>
        <w:tc>
          <w:tcPr>
            <w:tcW w:w="691" w:type="dxa"/>
            <w:tcMar>
              <w:top w:w="40" w:type="dxa"/>
              <w:left w:w="45" w:type="dxa"/>
              <w:bottom w:w="40" w:type="dxa"/>
              <w:right w:w="45" w:type="dxa"/>
            </w:tcMar>
            <w:vAlign w:val="center"/>
          </w:tcPr>
          <w:p w14:paraId="7FAB4955" w14:textId="77777777" w:rsidR="00612D3C" w:rsidRDefault="007047D9">
            <w:pPr>
              <w:spacing w:after="0"/>
              <w:jc w:val="center"/>
            </w:pPr>
            <w:r>
              <w:rPr>
                <w:rFonts w:ascii="Arial" w:hAnsi="Arial"/>
                <w:color w:val="000000"/>
                <w:sz w:val="14"/>
              </w:rPr>
              <w:t>—</w:t>
            </w:r>
          </w:p>
        </w:tc>
        <w:tc>
          <w:tcPr>
            <w:tcW w:w="691" w:type="dxa"/>
            <w:tcMar>
              <w:top w:w="40" w:type="dxa"/>
              <w:left w:w="45" w:type="dxa"/>
              <w:bottom w:w="40" w:type="dxa"/>
              <w:right w:w="45" w:type="dxa"/>
            </w:tcMar>
            <w:vAlign w:val="center"/>
          </w:tcPr>
          <w:p w14:paraId="69292E4C" w14:textId="77777777" w:rsidR="00612D3C" w:rsidRDefault="00612D3C">
            <w:pPr>
              <w:spacing w:after="0"/>
              <w:jc w:val="center"/>
            </w:pPr>
          </w:p>
        </w:tc>
        <w:tc>
          <w:tcPr>
            <w:tcW w:w="691" w:type="dxa"/>
            <w:tcMar>
              <w:top w:w="40" w:type="dxa"/>
              <w:left w:w="45" w:type="dxa"/>
              <w:bottom w:w="40" w:type="dxa"/>
              <w:right w:w="45" w:type="dxa"/>
            </w:tcMar>
            <w:vAlign w:val="center"/>
          </w:tcPr>
          <w:p w14:paraId="6BE21384" w14:textId="77777777" w:rsidR="00612D3C" w:rsidRDefault="00612D3C">
            <w:pPr>
              <w:spacing w:after="0"/>
              <w:jc w:val="center"/>
            </w:pPr>
          </w:p>
        </w:tc>
        <w:tc>
          <w:tcPr>
            <w:tcW w:w="691" w:type="dxa"/>
            <w:tcMar>
              <w:top w:w="40" w:type="dxa"/>
              <w:left w:w="45" w:type="dxa"/>
              <w:bottom w:w="40" w:type="dxa"/>
              <w:right w:w="45" w:type="dxa"/>
            </w:tcMar>
            <w:vAlign w:val="center"/>
          </w:tcPr>
          <w:p w14:paraId="5B139D19" w14:textId="77777777" w:rsidR="00612D3C" w:rsidRDefault="00612D3C">
            <w:pPr>
              <w:spacing w:after="0"/>
              <w:jc w:val="center"/>
            </w:pPr>
          </w:p>
        </w:tc>
        <w:tc>
          <w:tcPr>
            <w:tcW w:w="691" w:type="dxa"/>
            <w:tcMar>
              <w:top w:w="40" w:type="dxa"/>
              <w:left w:w="45" w:type="dxa"/>
              <w:bottom w:w="40" w:type="dxa"/>
              <w:right w:w="45" w:type="dxa"/>
            </w:tcMar>
            <w:vAlign w:val="center"/>
          </w:tcPr>
          <w:p w14:paraId="1A7EA260" w14:textId="77777777" w:rsidR="00612D3C" w:rsidRDefault="00612D3C">
            <w:pPr>
              <w:spacing w:after="0"/>
              <w:jc w:val="center"/>
            </w:pPr>
          </w:p>
        </w:tc>
        <w:tc>
          <w:tcPr>
            <w:tcW w:w="691" w:type="dxa"/>
            <w:tcMar>
              <w:top w:w="40" w:type="dxa"/>
              <w:left w:w="45" w:type="dxa"/>
              <w:bottom w:w="40" w:type="dxa"/>
              <w:right w:w="45" w:type="dxa"/>
            </w:tcMar>
            <w:vAlign w:val="center"/>
          </w:tcPr>
          <w:p w14:paraId="0727EBA2" w14:textId="77777777" w:rsidR="00612D3C" w:rsidRDefault="00612D3C">
            <w:pPr>
              <w:spacing w:after="0"/>
              <w:jc w:val="center"/>
            </w:pPr>
          </w:p>
        </w:tc>
        <w:tc>
          <w:tcPr>
            <w:tcW w:w="691" w:type="dxa"/>
            <w:tcMar>
              <w:top w:w="40" w:type="dxa"/>
              <w:left w:w="45" w:type="dxa"/>
              <w:bottom w:w="40" w:type="dxa"/>
              <w:right w:w="45" w:type="dxa"/>
            </w:tcMar>
            <w:vAlign w:val="center"/>
          </w:tcPr>
          <w:p w14:paraId="21876684" w14:textId="77777777" w:rsidR="00612D3C" w:rsidRDefault="00612D3C">
            <w:pPr>
              <w:spacing w:after="0"/>
              <w:jc w:val="center"/>
            </w:pPr>
          </w:p>
        </w:tc>
        <w:tc>
          <w:tcPr>
            <w:tcW w:w="691" w:type="dxa"/>
            <w:tcMar>
              <w:top w:w="40" w:type="dxa"/>
              <w:left w:w="45" w:type="dxa"/>
              <w:bottom w:w="40" w:type="dxa"/>
              <w:right w:w="45" w:type="dxa"/>
            </w:tcMar>
            <w:vAlign w:val="center"/>
          </w:tcPr>
          <w:p w14:paraId="6274A66D" w14:textId="77777777" w:rsidR="00612D3C" w:rsidRDefault="00612D3C">
            <w:pPr>
              <w:spacing w:after="0"/>
              <w:jc w:val="center"/>
            </w:pPr>
          </w:p>
        </w:tc>
      </w:tr>
      <w:tr w:rsidR="00612D3C" w14:paraId="51ADC8C6" w14:textId="77777777">
        <w:trPr>
          <w:cantSplit/>
          <w:jc w:val="center"/>
        </w:trPr>
        <w:tc>
          <w:tcPr>
            <w:tcW w:w="2131" w:type="dxa"/>
            <w:shd w:val="clear" w:color="auto" w:fill="F1F3F6"/>
            <w:tcMar>
              <w:top w:w="40" w:type="dxa"/>
              <w:left w:w="45" w:type="dxa"/>
              <w:bottom w:w="40" w:type="dxa"/>
              <w:right w:w="45" w:type="dxa"/>
            </w:tcMar>
            <w:vAlign w:val="center"/>
          </w:tcPr>
          <w:p w14:paraId="104EBDEE" w14:textId="77777777" w:rsidR="00612D3C" w:rsidRDefault="007047D9">
            <w:pPr>
              <w:spacing w:after="0"/>
              <w:jc w:val="left"/>
            </w:pPr>
            <w:r>
              <w:rPr>
                <w:rFonts w:ascii="Arial" w:hAnsi="Arial"/>
                <w:color w:val="000000"/>
                <w:sz w:val="14"/>
              </w:rPr>
              <w:t>4 Rewards</w:t>
            </w:r>
          </w:p>
        </w:tc>
        <w:tc>
          <w:tcPr>
            <w:tcW w:w="691" w:type="dxa"/>
            <w:tcMar>
              <w:top w:w="40" w:type="dxa"/>
              <w:left w:w="45" w:type="dxa"/>
              <w:bottom w:w="40" w:type="dxa"/>
              <w:right w:w="45" w:type="dxa"/>
            </w:tcMar>
            <w:vAlign w:val="center"/>
          </w:tcPr>
          <w:p w14:paraId="37D91938" w14:textId="77777777" w:rsidR="00612D3C" w:rsidRDefault="007047D9">
            <w:pPr>
              <w:spacing w:after="0"/>
              <w:jc w:val="center"/>
            </w:pPr>
            <w:r>
              <w:rPr>
                <w:rFonts w:ascii="Arial" w:hAnsi="Arial"/>
                <w:color w:val="000000"/>
                <w:sz w:val="14"/>
              </w:rPr>
              <w:t>.233**</w:t>
            </w:r>
          </w:p>
        </w:tc>
        <w:tc>
          <w:tcPr>
            <w:tcW w:w="691" w:type="dxa"/>
            <w:tcMar>
              <w:top w:w="40" w:type="dxa"/>
              <w:left w:w="45" w:type="dxa"/>
              <w:bottom w:w="40" w:type="dxa"/>
              <w:right w:w="45" w:type="dxa"/>
            </w:tcMar>
            <w:vAlign w:val="center"/>
          </w:tcPr>
          <w:p w14:paraId="1EA9574E" w14:textId="77777777" w:rsidR="00612D3C" w:rsidRDefault="007047D9">
            <w:pPr>
              <w:spacing w:after="0"/>
              <w:jc w:val="center"/>
            </w:pPr>
            <w:r>
              <w:rPr>
                <w:rFonts w:ascii="Arial" w:hAnsi="Arial"/>
                <w:color w:val="000000"/>
                <w:sz w:val="14"/>
              </w:rPr>
              <w:t>.279**</w:t>
            </w:r>
          </w:p>
        </w:tc>
        <w:tc>
          <w:tcPr>
            <w:tcW w:w="691" w:type="dxa"/>
            <w:tcMar>
              <w:top w:w="40" w:type="dxa"/>
              <w:left w:w="45" w:type="dxa"/>
              <w:bottom w:w="40" w:type="dxa"/>
              <w:right w:w="45" w:type="dxa"/>
            </w:tcMar>
            <w:vAlign w:val="center"/>
          </w:tcPr>
          <w:p w14:paraId="61871CA2" w14:textId="77777777" w:rsidR="00612D3C" w:rsidRDefault="007047D9">
            <w:pPr>
              <w:spacing w:after="0"/>
              <w:jc w:val="center"/>
            </w:pPr>
            <w:r>
              <w:rPr>
                <w:rFonts w:ascii="Arial" w:hAnsi="Arial"/>
                <w:color w:val="000000"/>
                <w:sz w:val="14"/>
              </w:rPr>
              <w:t>.456**</w:t>
            </w:r>
          </w:p>
        </w:tc>
        <w:tc>
          <w:tcPr>
            <w:tcW w:w="691" w:type="dxa"/>
            <w:tcMar>
              <w:top w:w="40" w:type="dxa"/>
              <w:left w:w="45" w:type="dxa"/>
              <w:bottom w:w="40" w:type="dxa"/>
              <w:right w:w="45" w:type="dxa"/>
            </w:tcMar>
            <w:vAlign w:val="center"/>
          </w:tcPr>
          <w:p w14:paraId="17624FC4" w14:textId="77777777" w:rsidR="00612D3C" w:rsidRDefault="007047D9">
            <w:pPr>
              <w:spacing w:after="0"/>
              <w:jc w:val="center"/>
            </w:pPr>
            <w:r>
              <w:rPr>
                <w:rFonts w:ascii="Arial" w:hAnsi="Arial"/>
                <w:color w:val="000000"/>
                <w:sz w:val="14"/>
              </w:rPr>
              <w:t>—</w:t>
            </w:r>
          </w:p>
        </w:tc>
        <w:tc>
          <w:tcPr>
            <w:tcW w:w="691" w:type="dxa"/>
            <w:tcMar>
              <w:top w:w="40" w:type="dxa"/>
              <w:left w:w="45" w:type="dxa"/>
              <w:bottom w:w="40" w:type="dxa"/>
              <w:right w:w="45" w:type="dxa"/>
            </w:tcMar>
            <w:vAlign w:val="center"/>
          </w:tcPr>
          <w:p w14:paraId="319ACEAC" w14:textId="77777777" w:rsidR="00612D3C" w:rsidRDefault="00612D3C">
            <w:pPr>
              <w:spacing w:after="0"/>
              <w:jc w:val="center"/>
            </w:pPr>
          </w:p>
        </w:tc>
        <w:tc>
          <w:tcPr>
            <w:tcW w:w="691" w:type="dxa"/>
            <w:tcMar>
              <w:top w:w="40" w:type="dxa"/>
              <w:left w:w="45" w:type="dxa"/>
              <w:bottom w:w="40" w:type="dxa"/>
              <w:right w:w="45" w:type="dxa"/>
            </w:tcMar>
            <w:vAlign w:val="center"/>
          </w:tcPr>
          <w:p w14:paraId="1AF7665E" w14:textId="77777777" w:rsidR="00612D3C" w:rsidRDefault="00612D3C">
            <w:pPr>
              <w:spacing w:after="0"/>
              <w:jc w:val="center"/>
            </w:pPr>
          </w:p>
        </w:tc>
        <w:tc>
          <w:tcPr>
            <w:tcW w:w="691" w:type="dxa"/>
            <w:tcMar>
              <w:top w:w="40" w:type="dxa"/>
              <w:left w:w="45" w:type="dxa"/>
              <w:bottom w:w="40" w:type="dxa"/>
              <w:right w:w="45" w:type="dxa"/>
            </w:tcMar>
            <w:vAlign w:val="center"/>
          </w:tcPr>
          <w:p w14:paraId="201EDB5F" w14:textId="77777777" w:rsidR="00612D3C" w:rsidRDefault="00612D3C">
            <w:pPr>
              <w:spacing w:after="0"/>
              <w:jc w:val="center"/>
            </w:pPr>
          </w:p>
        </w:tc>
        <w:tc>
          <w:tcPr>
            <w:tcW w:w="691" w:type="dxa"/>
            <w:tcMar>
              <w:top w:w="40" w:type="dxa"/>
              <w:left w:w="45" w:type="dxa"/>
              <w:bottom w:w="40" w:type="dxa"/>
              <w:right w:w="45" w:type="dxa"/>
            </w:tcMar>
            <w:vAlign w:val="center"/>
          </w:tcPr>
          <w:p w14:paraId="5AD2A054" w14:textId="77777777" w:rsidR="00612D3C" w:rsidRDefault="00612D3C">
            <w:pPr>
              <w:spacing w:after="0"/>
              <w:jc w:val="center"/>
            </w:pPr>
          </w:p>
        </w:tc>
        <w:tc>
          <w:tcPr>
            <w:tcW w:w="691" w:type="dxa"/>
            <w:tcMar>
              <w:top w:w="40" w:type="dxa"/>
              <w:left w:w="45" w:type="dxa"/>
              <w:bottom w:w="40" w:type="dxa"/>
              <w:right w:w="45" w:type="dxa"/>
            </w:tcMar>
            <w:vAlign w:val="center"/>
          </w:tcPr>
          <w:p w14:paraId="5D5DA808" w14:textId="77777777" w:rsidR="00612D3C" w:rsidRDefault="00612D3C">
            <w:pPr>
              <w:spacing w:after="0"/>
              <w:jc w:val="center"/>
            </w:pPr>
          </w:p>
        </w:tc>
        <w:tc>
          <w:tcPr>
            <w:tcW w:w="691" w:type="dxa"/>
            <w:tcMar>
              <w:top w:w="40" w:type="dxa"/>
              <w:left w:w="45" w:type="dxa"/>
              <w:bottom w:w="40" w:type="dxa"/>
              <w:right w:w="45" w:type="dxa"/>
            </w:tcMar>
            <w:vAlign w:val="center"/>
          </w:tcPr>
          <w:p w14:paraId="6D041BDC" w14:textId="77777777" w:rsidR="00612D3C" w:rsidRDefault="00612D3C">
            <w:pPr>
              <w:spacing w:after="0"/>
              <w:jc w:val="center"/>
            </w:pPr>
          </w:p>
        </w:tc>
      </w:tr>
      <w:tr w:rsidR="00612D3C" w14:paraId="349934B9" w14:textId="77777777">
        <w:trPr>
          <w:cantSplit/>
          <w:jc w:val="center"/>
        </w:trPr>
        <w:tc>
          <w:tcPr>
            <w:tcW w:w="2131" w:type="dxa"/>
            <w:shd w:val="clear" w:color="auto" w:fill="F1F3F6"/>
            <w:tcMar>
              <w:top w:w="40" w:type="dxa"/>
              <w:left w:w="45" w:type="dxa"/>
              <w:bottom w:w="40" w:type="dxa"/>
              <w:right w:w="45" w:type="dxa"/>
            </w:tcMar>
            <w:vAlign w:val="center"/>
          </w:tcPr>
          <w:p w14:paraId="12FC2588" w14:textId="77777777" w:rsidR="00612D3C" w:rsidRDefault="007047D9">
            <w:pPr>
              <w:spacing w:after="0"/>
              <w:jc w:val="left"/>
            </w:pPr>
            <w:r>
              <w:rPr>
                <w:rFonts w:ascii="Arial" w:hAnsi="Arial"/>
                <w:color w:val="000000"/>
                <w:sz w:val="14"/>
              </w:rPr>
              <w:t>5 Gamification</w:t>
            </w:r>
          </w:p>
        </w:tc>
        <w:tc>
          <w:tcPr>
            <w:tcW w:w="691" w:type="dxa"/>
            <w:tcMar>
              <w:top w:w="40" w:type="dxa"/>
              <w:left w:w="45" w:type="dxa"/>
              <w:bottom w:w="40" w:type="dxa"/>
              <w:right w:w="45" w:type="dxa"/>
            </w:tcMar>
            <w:vAlign w:val="center"/>
          </w:tcPr>
          <w:p w14:paraId="6E387E76" w14:textId="77777777" w:rsidR="00612D3C" w:rsidRDefault="007047D9">
            <w:pPr>
              <w:spacing w:after="0"/>
              <w:jc w:val="center"/>
            </w:pPr>
            <w:r>
              <w:rPr>
                <w:rFonts w:ascii="Arial" w:hAnsi="Arial"/>
                <w:color w:val="000000"/>
                <w:sz w:val="14"/>
              </w:rPr>
              <w:t>.414**</w:t>
            </w:r>
          </w:p>
        </w:tc>
        <w:tc>
          <w:tcPr>
            <w:tcW w:w="691" w:type="dxa"/>
            <w:tcMar>
              <w:top w:w="40" w:type="dxa"/>
              <w:left w:w="45" w:type="dxa"/>
              <w:bottom w:w="40" w:type="dxa"/>
              <w:right w:w="45" w:type="dxa"/>
            </w:tcMar>
            <w:vAlign w:val="center"/>
          </w:tcPr>
          <w:p w14:paraId="08586D95" w14:textId="77777777" w:rsidR="00612D3C" w:rsidRDefault="007047D9">
            <w:pPr>
              <w:spacing w:after="0"/>
              <w:jc w:val="center"/>
            </w:pPr>
            <w:r>
              <w:rPr>
                <w:rFonts w:ascii="Arial" w:hAnsi="Arial"/>
                <w:color w:val="000000"/>
                <w:sz w:val="14"/>
              </w:rPr>
              <w:t>.303**</w:t>
            </w:r>
          </w:p>
        </w:tc>
        <w:tc>
          <w:tcPr>
            <w:tcW w:w="691" w:type="dxa"/>
            <w:tcMar>
              <w:top w:w="40" w:type="dxa"/>
              <w:left w:w="45" w:type="dxa"/>
              <w:bottom w:w="40" w:type="dxa"/>
              <w:right w:w="45" w:type="dxa"/>
            </w:tcMar>
            <w:vAlign w:val="center"/>
          </w:tcPr>
          <w:p w14:paraId="43709238" w14:textId="77777777" w:rsidR="00612D3C" w:rsidRDefault="007047D9">
            <w:pPr>
              <w:spacing w:after="0"/>
              <w:jc w:val="center"/>
            </w:pPr>
            <w:r>
              <w:rPr>
                <w:rFonts w:ascii="Arial" w:hAnsi="Arial"/>
                <w:color w:val="000000"/>
                <w:sz w:val="14"/>
              </w:rPr>
              <w:t>.326**</w:t>
            </w:r>
          </w:p>
        </w:tc>
        <w:tc>
          <w:tcPr>
            <w:tcW w:w="691" w:type="dxa"/>
            <w:tcMar>
              <w:top w:w="40" w:type="dxa"/>
              <w:left w:w="45" w:type="dxa"/>
              <w:bottom w:w="40" w:type="dxa"/>
              <w:right w:w="45" w:type="dxa"/>
            </w:tcMar>
            <w:vAlign w:val="center"/>
          </w:tcPr>
          <w:p w14:paraId="50A644CF" w14:textId="77777777" w:rsidR="00612D3C" w:rsidRDefault="007047D9">
            <w:pPr>
              <w:spacing w:after="0"/>
              <w:jc w:val="center"/>
            </w:pPr>
            <w:r>
              <w:rPr>
                <w:rFonts w:ascii="Arial" w:hAnsi="Arial"/>
                <w:color w:val="000000"/>
                <w:sz w:val="14"/>
              </w:rPr>
              <w:t>.415**</w:t>
            </w:r>
          </w:p>
        </w:tc>
        <w:tc>
          <w:tcPr>
            <w:tcW w:w="691" w:type="dxa"/>
            <w:tcMar>
              <w:top w:w="40" w:type="dxa"/>
              <w:left w:w="45" w:type="dxa"/>
              <w:bottom w:w="40" w:type="dxa"/>
              <w:right w:w="45" w:type="dxa"/>
            </w:tcMar>
            <w:vAlign w:val="center"/>
          </w:tcPr>
          <w:p w14:paraId="15AAAA92" w14:textId="77777777" w:rsidR="00612D3C" w:rsidRDefault="007047D9">
            <w:pPr>
              <w:spacing w:after="0"/>
              <w:jc w:val="center"/>
            </w:pPr>
            <w:r>
              <w:rPr>
                <w:rFonts w:ascii="Arial" w:hAnsi="Arial"/>
                <w:color w:val="000000"/>
                <w:sz w:val="14"/>
              </w:rPr>
              <w:t>—</w:t>
            </w:r>
          </w:p>
        </w:tc>
        <w:tc>
          <w:tcPr>
            <w:tcW w:w="691" w:type="dxa"/>
            <w:tcMar>
              <w:top w:w="40" w:type="dxa"/>
              <w:left w:w="45" w:type="dxa"/>
              <w:bottom w:w="40" w:type="dxa"/>
              <w:right w:w="45" w:type="dxa"/>
            </w:tcMar>
            <w:vAlign w:val="center"/>
          </w:tcPr>
          <w:p w14:paraId="4F5E4FB2" w14:textId="77777777" w:rsidR="00612D3C" w:rsidRDefault="00612D3C">
            <w:pPr>
              <w:spacing w:after="0"/>
              <w:jc w:val="center"/>
            </w:pPr>
          </w:p>
        </w:tc>
        <w:tc>
          <w:tcPr>
            <w:tcW w:w="691" w:type="dxa"/>
            <w:tcMar>
              <w:top w:w="40" w:type="dxa"/>
              <w:left w:w="45" w:type="dxa"/>
              <w:bottom w:w="40" w:type="dxa"/>
              <w:right w:w="45" w:type="dxa"/>
            </w:tcMar>
            <w:vAlign w:val="center"/>
          </w:tcPr>
          <w:p w14:paraId="70244364" w14:textId="77777777" w:rsidR="00612D3C" w:rsidRDefault="00612D3C">
            <w:pPr>
              <w:spacing w:after="0"/>
              <w:jc w:val="center"/>
            </w:pPr>
          </w:p>
        </w:tc>
        <w:tc>
          <w:tcPr>
            <w:tcW w:w="691" w:type="dxa"/>
            <w:tcMar>
              <w:top w:w="40" w:type="dxa"/>
              <w:left w:w="45" w:type="dxa"/>
              <w:bottom w:w="40" w:type="dxa"/>
              <w:right w:w="45" w:type="dxa"/>
            </w:tcMar>
            <w:vAlign w:val="center"/>
          </w:tcPr>
          <w:p w14:paraId="3A3A4A77" w14:textId="77777777" w:rsidR="00612D3C" w:rsidRDefault="00612D3C">
            <w:pPr>
              <w:spacing w:after="0"/>
              <w:jc w:val="center"/>
            </w:pPr>
          </w:p>
        </w:tc>
        <w:tc>
          <w:tcPr>
            <w:tcW w:w="691" w:type="dxa"/>
            <w:tcMar>
              <w:top w:w="40" w:type="dxa"/>
              <w:left w:w="45" w:type="dxa"/>
              <w:bottom w:w="40" w:type="dxa"/>
              <w:right w:w="45" w:type="dxa"/>
            </w:tcMar>
            <w:vAlign w:val="center"/>
          </w:tcPr>
          <w:p w14:paraId="694789B9" w14:textId="77777777" w:rsidR="00612D3C" w:rsidRDefault="00612D3C">
            <w:pPr>
              <w:spacing w:after="0"/>
              <w:jc w:val="center"/>
            </w:pPr>
          </w:p>
        </w:tc>
        <w:tc>
          <w:tcPr>
            <w:tcW w:w="691" w:type="dxa"/>
            <w:tcMar>
              <w:top w:w="40" w:type="dxa"/>
              <w:left w:w="45" w:type="dxa"/>
              <w:bottom w:w="40" w:type="dxa"/>
              <w:right w:w="45" w:type="dxa"/>
            </w:tcMar>
            <w:vAlign w:val="center"/>
          </w:tcPr>
          <w:p w14:paraId="787B7DE2" w14:textId="77777777" w:rsidR="00612D3C" w:rsidRDefault="00612D3C">
            <w:pPr>
              <w:spacing w:after="0"/>
              <w:jc w:val="center"/>
            </w:pPr>
          </w:p>
        </w:tc>
      </w:tr>
      <w:tr w:rsidR="00612D3C" w14:paraId="1CB23E35" w14:textId="77777777">
        <w:trPr>
          <w:cantSplit/>
          <w:jc w:val="center"/>
        </w:trPr>
        <w:tc>
          <w:tcPr>
            <w:tcW w:w="2131" w:type="dxa"/>
            <w:shd w:val="clear" w:color="auto" w:fill="F1F3F6"/>
            <w:tcMar>
              <w:top w:w="40" w:type="dxa"/>
              <w:left w:w="45" w:type="dxa"/>
              <w:bottom w:w="40" w:type="dxa"/>
              <w:right w:w="45" w:type="dxa"/>
            </w:tcMar>
            <w:vAlign w:val="center"/>
          </w:tcPr>
          <w:p w14:paraId="74886D27" w14:textId="77777777" w:rsidR="00612D3C" w:rsidRDefault="007047D9">
            <w:pPr>
              <w:spacing w:after="0"/>
              <w:jc w:val="left"/>
            </w:pPr>
            <w:r>
              <w:rPr>
                <w:rFonts w:ascii="Arial" w:hAnsi="Arial"/>
                <w:color w:val="000000"/>
                <w:sz w:val="14"/>
              </w:rPr>
              <w:t>6 Notifications</w:t>
            </w:r>
          </w:p>
        </w:tc>
        <w:tc>
          <w:tcPr>
            <w:tcW w:w="691" w:type="dxa"/>
            <w:tcMar>
              <w:top w:w="40" w:type="dxa"/>
              <w:left w:w="45" w:type="dxa"/>
              <w:bottom w:w="40" w:type="dxa"/>
              <w:right w:w="45" w:type="dxa"/>
            </w:tcMar>
            <w:vAlign w:val="center"/>
          </w:tcPr>
          <w:p w14:paraId="30D06A1A" w14:textId="77777777" w:rsidR="00612D3C" w:rsidRDefault="007047D9">
            <w:pPr>
              <w:spacing w:after="0"/>
              <w:jc w:val="center"/>
            </w:pPr>
            <w:r>
              <w:rPr>
                <w:rFonts w:ascii="Arial" w:hAnsi="Arial"/>
                <w:color w:val="000000"/>
                <w:sz w:val="14"/>
              </w:rPr>
              <w:t>.370**</w:t>
            </w:r>
          </w:p>
        </w:tc>
        <w:tc>
          <w:tcPr>
            <w:tcW w:w="691" w:type="dxa"/>
            <w:tcMar>
              <w:top w:w="40" w:type="dxa"/>
              <w:left w:w="45" w:type="dxa"/>
              <w:bottom w:w="40" w:type="dxa"/>
              <w:right w:w="45" w:type="dxa"/>
            </w:tcMar>
            <w:vAlign w:val="center"/>
          </w:tcPr>
          <w:p w14:paraId="468347BA" w14:textId="77777777" w:rsidR="00612D3C" w:rsidRDefault="007047D9">
            <w:pPr>
              <w:spacing w:after="0"/>
              <w:jc w:val="center"/>
            </w:pPr>
            <w:r>
              <w:rPr>
                <w:rFonts w:ascii="Arial" w:hAnsi="Arial"/>
                <w:color w:val="000000"/>
                <w:sz w:val="14"/>
              </w:rPr>
              <w:t>.326**</w:t>
            </w:r>
          </w:p>
        </w:tc>
        <w:tc>
          <w:tcPr>
            <w:tcW w:w="691" w:type="dxa"/>
            <w:tcMar>
              <w:top w:w="40" w:type="dxa"/>
              <w:left w:w="45" w:type="dxa"/>
              <w:bottom w:w="40" w:type="dxa"/>
              <w:right w:w="45" w:type="dxa"/>
            </w:tcMar>
            <w:vAlign w:val="center"/>
          </w:tcPr>
          <w:p w14:paraId="35639412" w14:textId="77777777" w:rsidR="00612D3C" w:rsidRDefault="007047D9">
            <w:pPr>
              <w:spacing w:after="0"/>
              <w:jc w:val="center"/>
            </w:pPr>
            <w:r>
              <w:rPr>
                <w:rFonts w:ascii="Arial" w:hAnsi="Arial"/>
                <w:color w:val="000000"/>
                <w:sz w:val="14"/>
              </w:rPr>
              <w:t>.462**</w:t>
            </w:r>
          </w:p>
        </w:tc>
        <w:tc>
          <w:tcPr>
            <w:tcW w:w="691" w:type="dxa"/>
            <w:tcMar>
              <w:top w:w="40" w:type="dxa"/>
              <w:left w:w="45" w:type="dxa"/>
              <w:bottom w:w="40" w:type="dxa"/>
              <w:right w:w="45" w:type="dxa"/>
            </w:tcMar>
            <w:vAlign w:val="center"/>
          </w:tcPr>
          <w:p w14:paraId="483446C9" w14:textId="77777777" w:rsidR="00612D3C" w:rsidRDefault="007047D9">
            <w:pPr>
              <w:spacing w:after="0"/>
              <w:jc w:val="center"/>
            </w:pPr>
            <w:r>
              <w:rPr>
                <w:rFonts w:ascii="Arial" w:hAnsi="Arial"/>
                <w:color w:val="000000"/>
                <w:sz w:val="14"/>
              </w:rPr>
              <w:t>.398**</w:t>
            </w:r>
          </w:p>
        </w:tc>
        <w:tc>
          <w:tcPr>
            <w:tcW w:w="691" w:type="dxa"/>
            <w:tcMar>
              <w:top w:w="40" w:type="dxa"/>
              <w:left w:w="45" w:type="dxa"/>
              <w:bottom w:w="40" w:type="dxa"/>
              <w:right w:w="45" w:type="dxa"/>
            </w:tcMar>
            <w:vAlign w:val="center"/>
          </w:tcPr>
          <w:p w14:paraId="188C7B77" w14:textId="77777777" w:rsidR="00612D3C" w:rsidRDefault="007047D9">
            <w:pPr>
              <w:spacing w:after="0"/>
              <w:jc w:val="center"/>
            </w:pPr>
            <w:r>
              <w:rPr>
                <w:rFonts w:ascii="Arial" w:hAnsi="Arial"/>
                <w:color w:val="000000"/>
                <w:sz w:val="14"/>
              </w:rPr>
              <w:t>.654**</w:t>
            </w:r>
          </w:p>
        </w:tc>
        <w:tc>
          <w:tcPr>
            <w:tcW w:w="691" w:type="dxa"/>
            <w:tcMar>
              <w:top w:w="40" w:type="dxa"/>
              <w:left w:w="45" w:type="dxa"/>
              <w:bottom w:w="40" w:type="dxa"/>
              <w:right w:w="45" w:type="dxa"/>
            </w:tcMar>
            <w:vAlign w:val="center"/>
          </w:tcPr>
          <w:p w14:paraId="60695407" w14:textId="77777777" w:rsidR="00612D3C" w:rsidRDefault="007047D9">
            <w:pPr>
              <w:spacing w:after="0"/>
              <w:jc w:val="center"/>
            </w:pPr>
            <w:r>
              <w:rPr>
                <w:rFonts w:ascii="Arial" w:hAnsi="Arial"/>
                <w:color w:val="000000"/>
                <w:sz w:val="14"/>
              </w:rPr>
              <w:t>—</w:t>
            </w:r>
          </w:p>
        </w:tc>
        <w:tc>
          <w:tcPr>
            <w:tcW w:w="691" w:type="dxa"/>
            <w:tcMar>
              <w:top w:w="40" w:type="dxa"/>
              <w:left w:w="45" w:type="dxa"/>
              <w:bottom w:w="40" w:type="dxa"/>
              <w:right w:w="45" w:type="dxa"/>
            </w:tcMar>
            <w:vAlign w:val="center"/>
          </w:tcPr>
          <w:p w14:paraId="43C97B8A" w14:textId="77777777" w:rsidR="00612D3C" w:rsidRDefault="00612D3C">
            <w:pPr>
              <w:spacing w:after="0"/>
              <w:jc w:val="center"/>
            </w:pPr>
          </w:p>
        </w:tc>
        <w:tc>
          <w:tcPr>
            <w:tcW w:w="691" w:type="dxa"/>
            <w:tcMar>
              <w:top w:w="40" w:type="dxa"/>
              <w:left w:w="45" w:type="dxa"/>
              <w:bottom w:w="40" w:type="dxa"/>
              <w:right w:w="45" w:type="dxa"/>
            </w:tcMar>
            <w:vAlign w:val="center"/>
          </w:tcPr>
          <w:p w14:paraId="239545A9" w14:textId="77777777" w:rsidR="00612D3C" w:rsidRDefault="00612D3C">
            <w:pPr>
              <w:spacing w:after="0"/>
              <w:jc w:val="center"/>
            </w:pPr>
          </w:p>
        </w:tc>
        <w:tc>
          <w:tcPr>
            <w:tcW w:w="691" w:type="dxa"/>
            <w:tcMar>
              <w:top w:w="40" w:type="dxa"/>
              <w:left w:w="45" w:type="dxa"/>
              <w:bottom w:w="40" w:type="dxa"/>
              <w:right w:w="45" w:type="dxa"/>
            </w:tcMar>
            <w:vAlign w:val="center"/>
          </w:tcPr>
          <w:p w14:paraId="309E26C8" w14:textId="77777777" w:rsidR="00612D3C" w:rsidRDefault="00612D3C">
            <w:pPr>
              <w:spacing w:after="0"/>
              <w:jc w:val="center"/>
            </w:pPr>
          </w:p>
        </w:tc>
        <w:tc>
          <w:tcPr>
            <w:tcW w:w="691" w:type="dxa"/>
            <w:tcMar>
              <w:top w:w="40" w:type="dxa"/>
              <w:left w:w="45" w:type="dxa"/>
              <w:bottom w:w="40" w:type="dxa"/>
              <w:right w:w="45" w:type="dxa"/>
            </w:tcMar>
            <w:vAlign w:val="center"/>
          </w:tcPr>
          <w:p w14:paraId="3E429DF3" w14:textId="77777777" w:rsidR="00612D3C" w:rsidRDefault="00612D3C">
            <w:pPr>
              <w:spacing w:after="0"/>
              <w:jc w:val="center"/>
            </w:pPr>
          </w:p>
        </w:tc>
      </w:tr>
      <w:tr w:rsidR="00612D3C" w14:paraId="4F7CCB55" w14:textId="77777777">
        <w:trPr>
          <w:cantSplit/>
          <w:jc w:val="center"/>
        </w:trPr>
        <w:tc>
          <w:tcPr>
            <w:tcW w:w="2131" w:type="dxa"/>
            <w:shd w:val="clear" w:color="auto" w:fill="F1F3F6"/>
            <w:tcMar>
              <w:top w:w="40" w:type="dxa"/>
              <w:left w:w="45" w:type="dxa"/>
              <w:bottom w:w="40" w:type="dxa"/>
              <w:right w:w="45" w:type="dxa"/>
            </w:tcMar>
            <w:vAlign w:val="center"/>
          </w:tcPr>
          <w:p w14:paraId="7D09434D" w14:textId="77777777" w:rsidR="00612D3C" w:rsidRDefault="007047D9">
            <w:pPr>
              <w:spacing w:after="0"/>
              <w:jc w:val="left"/>
            </w:pPr>
            <w:r>
              <w:rPr>
                <w:rFonts w:ascii="Arial" w:hAnsi="Arial"/>
                <w:color w:val="000000"/>
                <w:sz w:val="14"/>
              </w:rPr>
              <w:t>7 Performance</w:t>
            </w:r>
          </w:p>
        </w:tc>
        <w:tc>
          <w:tcPr>
            <w:tcW w:w="691" w:type="dxa"/>
            <w:tcMar>
              <w:top w:w="40" w:type="dxa"/>
              <w:left w:w="45" w:type="dxa"/>
              <w:bottom w:w="40" w:type="dxa"/>
              <w:right w:w="45" w:type="dxa"/>
            </w:tcMar>
            <w:vAlign w:val="center"/>
          </w:tcPr>
          <w:p w14:paraId="6767EF2F" w14:textId="77777777" w:rsidR="00612D3C" w:rsidRDefault="007047D9">
            <w:pPr>
              <w:spacing w:after="0"/>
              <w:jc w:val="center"/>
            </w:pPr>
            <w:r>
              <w:rPr>
                <w:rFonts w:ascii="Arial" w:hAnsi="Arial"/>
                <w:color w:val="000000"/>
                <w:sz w:val="14"/>
              </w:rPr>
              <w:t>.509**</w:t>
            </w:r>
          </w:p>
        </w:tc>
        <w:tc>
          <w:tcPr>
            <w:tcW w:w="691" w:type="dxa"/>
            <w:tcMar>
              <w:top w:w="40" w:type="dxa"/>
              <w:left w:w="45" w:type="dxa"/>
              <w:bottom w:w="40" w:type="dxa"/>
              <w:right w:w="45" w:type="dxa"/>
            </w:tcMar>
            <w:vAlign w:val="center"/>
          </w:tcPr>
          <w:p w14:paraId="194FD4D7" w14:textId="77777777" w:rsidR="00612D3C" w:rsidRDefault="007047D9">
            <w:pPr>
              <w:spacing w:after="0"/>
              <w:jc w:val="center"/>
            </w:pPr>
            <w:r>
              <w:rPr>
                <w:rFonts w:ascii="Arial" w:hAnsi="Arial"/>
                <w:color w:val="000000"/>
                <w:sz w:val="14"/>
              </w:rPr>
              <w:t>.400**</w:t>
            </w:r>
          </w:p>
        </w:tc>
        <w:tc>
          <w:tcPr>
            <w:tcW w:w="691" w:type="dxa"/>
            <w:tcMar>
              <w:top w:w="40" w:type="dxa"/>
              <w:left w:w="45" w:type="dxa"/>
              <w:bottom w:w="40" w:type="dxa"/>
              <w:right w:w="45" w:type="dxa"/>
            </w:tcMar>
            <w:vAlign w:val="center"/>
          </w:tcPr>
          <w:p w14:paraId="26A4EBC3" w14:textId="77777777" w:rsidR="00612D3C" w:rsidRDefault="007047D9">
            <w:pPr>
              <w:spacing w:after="0"/>
              <w:jc w:val="center"/>
            </w:pPr>
            <w:r>
              <w:rPr>
                <w:rFonts w:ascii="Arial" w:hAnsi="Arial"/>
                <w:color w:val="000000"/>
                <w:sz w:val="14"/>
              </w:rPr>
              <w:t>.363**</w:t>
            </w:r>
          </w:p>
        </w:tc>
        <w:tc>
          <w:tcPr>
            <w:tcW w:w="691" w:type="dxa"/>
            <w:tcMar>
              <w:top w:w="40" w:type="dxa"/>
              <w:left w:w="45" w:type="dxa"/>
              <w:bottom w:w="40" w:type="dxa"/>
              <w:right w:w="45" w:type="dxa"/>
            </w:tcMar>
            <w:vAlign w:val="center"/>
          </w:tcPr>
          <w:p w14:paraId="1FF55F66" w14:textId="77777777" w:rsidR="00612D3C" w:rsidRDefault="007047D9">
            <w:pPr>
              <w:spacing w:after="0"/>
              <w:jc w:val="center"/>
            </w:pPr>
            <w:r>
              <w:rPr>
                <w:rFonts w:ascii="Arial" w:hAnsi="Arial"/>
                <w:color w:val="000000"/>
                <w:sz w:val="14"/>
              </w:rPr>
              <w:t>.467**</w:t>
            </w:r>
          </w:p>
        </w:tc>
        <w:tc>
          <w:tcPr>
            <w:tcW w:w="691" w:type="dxa"/>
            <w:tcMar>
              <w:top w:w="40" w:type="dxa"/>
              <w:left w:w="45" w:type="dxa"/>
              <w:bottom w:w="40" w:type="dxa"/>
              <w:right w:w="45" w:type="dxa"/>
            </w:tcMar>
            <w:vAlign w:val="center"/>
          </w:tcPr>
          <w:p w14:paraId="23599171" w14:textId="77777777" w:rsidR="00612D3C" w:rsidRDefault="007047D9">
            <w:pPr>
              <w:spacing w:after="0"/>
              <w:jc w:val="center"/>
            </w:pPr>
            <w:r>
              <w:rPr>
                <w:rFonts w:ascii="Arial" w:hAnsi="Arial"/>
                <w:color w:val="000000"/>
                <w:sz w:val="14"/>
              </w:rPr>
              <w:t>.400**</w:t>
            </w:r>
          </w:p>
        </w:tc>
        <w:tc>
          <w:tcPr>
            <w:tcW w:w="691" w:type="dxa"/>
            <w:tcMar>
              <w:top w:w="40" w:type="dxa"/>
              <w:left w:w="45" w:type="dxa"/>
              <w:bottom w:w="40" w:type="dxa"/>
              <w:right w:w="45" w:type="dxa"/>
            </w:tcMar>
            <w:vAlign w:val="center"/>
          </w:tcPr>
          <w:p w14:paraId="3E2D572B" w14:textId="77777777" w:rsidR="00612D3C" w:rsidRDefault="007047D9">
            <w:pPr>
              <w:spacing w:after="0"/>
              <w:jc w:val="center"/>
            </w:pPr>
            <w:r>
              <w:rPr>
                <w:rFonts w:ascii="Arial" w:hAnsi="Arial"/>
                <w:color w:val="000000"/>
                <w:sz w:val="14"/>
              </w:rPr>
              <w:t>.306**</w:t>
            </w:r>
          </w:p>
        </w:tc>
        <w:tc>
          <w:tcPr>
            <w:tcW w:w="691" w:type="dxa"/>
            <w:tcMar>
              <w:top w:w="40" w:type="dxa"/>
              <w:left w:w="45" w:type="dxa"/>
              <w:bottom w:w="40" w:type="dxa"/>
              <w:right w:w="45" w:type="dxa"/>
            </w:tcMar>
            <w:vAlign w:val="center"/>
          </w:tcPr>
          <w:p w14:paraId="6C75F285" w14:textId="77777777" w:rsidR="00612D3C" w:rsidRDefault="007047D9">
            <w:pPr>
              <w:spacing w:after="0"/>
              <w:jc w:val="center"/>
            </w:pPr>
            <w:r>
              <w:rPr>
                <w:rFonts w:ascii="Arial" w:hAnsi="Arial"/>
                <w:color w:val="000000"/>
                <w:sz w:val="14"/>
              </w:rPr>
              <w:t>—</w:t>
            </w:r>
          </w:p>
        </w:tc>
        <w:tc>
          <w:tcPr>
            <w:tcW w:w="691" w:type="dxa"/>
            <w:tcMar>
              <w:top w:w="40" w:type="dxa"/>
              <w:left w:w="45" w:type="dxa"/>
              <w:bottom w:w="40" w:type="dxa"/>
              <w:right w:w="45" w:type="dxa"/>
            </w:tcMar>
            <w:vAlign w:val="center"/>
          </w:tcPr>
          <w:p w14:paraId="03E5D9B9" w14:textId="77777777" w:rsidR="00612D3C" w:rsidRDefault="00612D3C">
            <w:pPr>
              <w:spacing w:after="0"/>
              <w:jc w:val="center"/>
            </w:pPr>
          </w:p>
        </w:tc>
        <w:tc>
          <w:tcPr>
            <w:tcW w:w="691" w:type="dxa"/>
            <w:tcMar>
              <w:top w:w="40" w:type="dxa"/>
              <w:left w:w="45" w:type="dxa"/>
              <w:bottom w:w="40" w:type="dxa"/>
              <w:right w:w="45" w:type="dxa"/>
            </w:tcMar>
            <w:vAlign w:val="center"/>
          </w:tcPr>
          <w:p w14:paraId="23DE35FF" w14:textId="77777777" w:rsidR="00612D3C" w:rsidRDefault="00612D3C">
            <w:pPr>
              <w:spacing w:after="0"/>
              <w:jc w:val="center"/>
            </w:pPr>
          </w:p>
        </w:tc>
        <w:tc>
          <w:tcPr>
            <w:tcW w:w="691" w:type="dxa"/>
            <w:tcMar>
              <w:top w:w="40" w:type="dxa"/>
              <w:left w:w="45" w:type="dxa"/>
              <w:bottom w:w="40" w:type="dxa"/>
              <w:right w:w="45" w:type="dxa"/>
            </w:tcMar>
            <w:vAlign w:val="center"/>
          </w:tcPr>
          <w:p w14:paraId="1ECA3C6C" w14:textId="77777777" w:rsidR="00612D3C" w:rsidRDefault="00612D3C">
            <w:pPr>
              <w:spacing w:after="0"/>
              <w:jc w:val="center"/>
            </w:pPr>
          </w:p>
        </w:tc>
      </w:tr>
      <w:tr w:rsidR="00612D3C" w14:paraId="2FFA3B40" w14:textId="77777777">
        <w:trPr>
          <w:cantSplit/>
          <w:jc w:val="center"/>
        </w:trPr>
        <w:tc>
          <w:tcPr>
            <w:tcW w:w="2131" w:type="dxa"/>
            <w:shd w:val="clear" w:color="auto" w:fill="F1F3F6"/>
            <w:tcMar>
              <w:top w:w="40" w:type="dxa"/>
              <w:left w:w="45" w:type="dxa"/>
              <w:bottom w:w="40" w:type="dxa"/>
              <w:right w:w="45" w:type="dxa"/>
            </w:tcMar>
            <w:vAlign w:val="center"/>
          </w:tcPr>
          <w:p w14:paraId="01915C64" w14:textId="77777777" w:rsidR="00612D3C" w:rsidRDefault="007047D9">
            <w:pPr>
              <w:spacing w:after="0"/>
              <w:jc w:val="left"/>
            </w:pPr>
            <w:r>
              <w:rPr>
                <w:rFonts w:ascii="Arial" w:hAnsi="Arial"/>
                <w:color w:val="000000"/>
                <w:sz w:val="14"/>
              </w:rPr>
              <w:t>8 Satisfaction</w:t>
            </w:r>
          </w:p>
        </w:tc>
        <w:tc>
          <w:tcPr>
            <w:tcW w:w="691" w:type="dxa"/>
            <w:tcMar>
              <w:top w:w="40" w:type="dxa"/>
              <w:left w:w="45" w:type="dxa"/>
              <w:bottom w:w="40" w:type="dxa"/>
              <w:right w:w="45" w:type="dxa"/>
            </w:tcMar>
            <w:vAlign w:val="center"/>
          </w:tcPr>
          <w:p w14:paraId="40921A02" w14:textId="77777777" w:rsidR="00612D3C" w:rsidRDefault="007047D9">
            <w:pPr>
              <w:spacing w:after="0"/>
              <w:jc w:val="center"/>
            </w:pPr>
            <w:r>
              <w:rPr>
                <w:rFonts w:ascii="Arial" w:hAnsi="Arial"/>
                <w:color w:val="000000"/>
                <w:sz w:val="14"/>
              </w:rPr>
              <w:t>.516**</w:t>
            </w:r>
          </w:p>
        </w:tc>
        <w:tc>
          <w:tcPr>
            <w:tcW w:w="691" w:type="dxa"/>
            <w:tcMar>
              <w:top w:w="40" w:type="dxa"/>
              <w:left w:w="45" w:type="dxa"/>
              <w:bottom w:w="40" w:type="dxa"/>
              <w:right w:w="45" w:type="dxa"/>
            </w:tcMar>
            <w:vAlign w:val="center"/>
          </w:tcPr>
          <w:p w14:paraId="3FFC829D" w14:textId="77777777" w:rsidR="00612D3C" w:rsidRDefault="007047D9">
            <w:pPr>
              <w:spacing w:after="0"/>
              <w:jc w:val="center"/>
            </w:pPr>
            <w:r>
              <w:rPr>
                <w:rFonts w:ascii="Arial" w:hAnsi="Arial"/>
                <w:color w:val="000000"/>
                <w:sz w:val="14"/>
              </w:rPr>
              <w:t>.554**</w:t>
            </w:r>
          </w:p>
        </w:tc>
        <w:tc>
          <w:tcPr>
            <w:tcW w:w="691" w:type="dxa"/>
            <w:tcMar>
              <w:top w:w="40" w:type="dxa"/>
              <w:left w:w="45" w:type="dxa"/>
              <w:bottom w:w="40" w:type="dxa"/>
              <w:right w:w="45" w:type="dxa"/>
            </w:tcMar>
            <w:vAlign w:val="center"/>
          </w:tcPr>
          <w:p w14:paraId="552B95B4" w14:textId="77777777" w:rsidR="00612D3C" w:rsidRDefault="007047D9">
            <w:pPr>
              <w:spacing w:after="0"/>
              <w:jc w:val="center"/>
            </w:pPr>
            <w:r>
              <w:rPr>
                <w:rFonts w:ascii="Arial" w:hAnsi="Arial"/>
                <w:color w:val="000000"/>
                <w:sz w:val="14"/>
              </w:rPr>
              <w:t>.468**</w:t>
            </w:r>
          </w:p>
        </w:tc>
        <w:tc>
          <w:tcPr>
            <w:tcW w:w="691" w:type="dxa"/>
            <w:tcMar>
              <w:top w:w="40" w:type="dxa"/>
              <w:left w:w="45" w:type="dxa"/>
              <w:bottom w:w="40" w:type="dxa"/>
              <w:right w:w="45" w:type="dxa"/>
            </w:tcMar>
            <w:vAlign w:val="center"/>
          </w:tcPr>
          <w:p w14:paraId="041AFDF9" w14:textId="77777777" w:rsidR="00612D3C" w:rsidRDefault="007047D9">
            <w:pPr>
              <w:spacing w:after="0"/>
              <w:jc w:val="center"/>
            </w:pPr>
            <w:r>
              <w:rPr>
                <w:rFonts w:ascii="Arial" w:hAnsi="Arial"/>
                <w:color w:val="000000"/>
                <w:sz w:val="14"/>
              </w:rPr>
              <w:t>.399**</w:t>
            </w:r>
          </w:p>
        </w:tc>
        <w:tc>
          <w:tcPr>
            <w:tcW w:w="691" w:type="dxa"/>
            <w:tcMar>
              <w:top w:w="40" w:type="dxa"/>
              <w:left w:w="45" w:type="dxa"/>
              <w:bottom w:w="40" w:type="dxa"/>
              <w:right w:w="45" w:type="dxa"/>
            </w:tcMar>
            <w:vAlign w:val="center"/>
          </w:tcPr>
          <w:p w14:paraId="1A8DFC4C" w14:textId="77777777" w:rsidR="00612D3C" w:rsidRDefault="007047D9">
            <w:pPr>
              <w:spacing w:after="0"/>
              <w:jc w:val="center"/>
            </w:pPr>
            <w:r>
              <w:rPr>
                <w:rFonts w:ascii="Arial" w:hAnsi="Arial"/>
                <w:color w:val="000000"/>
                <w:sz w:val="14"/>
              </w:rPr>
              <w:t>.359**</w:t>
            </w:r>
          </w:p>
        </w:tc>
        <w:tc>
          <w:tcPr>
            <w:tcW w:w="691" w:type="dxa"/>
            <w:tcMar>
              <w:top w:w="40" w:type="dxa"/>
              <w:left w:w="45" w:type="dxa"/>
              <w:bottom w:w="40" w:type="dxa"/>
              <w:right w:w="45" w:type="dxa"/>
            </w:tcMar>
            <w:vAlign w:val="center"/>
          </w:tcPr>
          <w:p w14:paraId="5414A3FC" w14:textId="77777777" w:rsidR="00612D3C" w:rsidRDefault="007047D9">
            <w:pPr>
              <w:spacing w:after="0"/>
              <w:jc w:val="center"/>
            </w:pPr>
            <w:r>
              <w:rPr>
                <w:rFonts w:ascii="Arial" w:hAnsi="Arial"/>
                <w:color w:val="000000"/>
                <w:sz w:val="14"/>
              </w:rPr>
              <w:t>.332**</w:t>
            </w:r>
          </w:p>
        </w:tc>
        <w:tc>
          <w:tcPr>
            <w:tcW w:w="691" w:type="dxa"/>
            <w:tcMar>
              <w:top w:w="40" w:type="dxa"/>
              <w:left w:w="45" w:type="dxa"/>
              <w:bottom w:w="40" w:type="dxa"/>
              <w:right w:w="45" w:type="dxa"/>
            </w:tcMar>
            <w:vAlign w:val="center"/>
          </w:tcPr>
          <w:p w14:paraId="36E3D31D" w14:textId="77777777" w:rsidR="00612D3C" w:rsidRDefault="007047D9">
            <w:pPr>
              <w:spacing w:after="0"/>
              <w:jc w:val="center"/>
            </w:pPr>
            <w:r>
              <w:rPr>
                <w:rFonts w:ascii="Arial" w:hAnsi="Arial"/>
                <w:color w:val="000000"/>
                <w:sz w:val="14"/>
              </w:rPr>
              <w:t>.636**</w:t>
            </w:r>
          </w:p>
        </w:tc>
        <w:tc>
          <w:tcPr>
            <w:tcW w:w="691" w:type="dxa"/>
            <w:tcMar>
              <w:top w:w="40" w:type="dxa"/>
              <w:left w:w="45" w:type="dxa"/>
              <w:bottom w:w="40" w:type="dxa"/>
              <w:right w:w="45" w:type="dxa"/>
            </w:tcMar>
            <w:vAlign w:val="center"/>
          </w:tcPr>
          <w:p w14:paraId="5D26CDD5" w14:textId="77777777" w:rsidR="00612D3C" w:rsidRDefault="007047D9">
            <w:pPr>
              <w:spacing w:after="0"/>
              <w:jc w:val="center"/>
            </w:pPr>
            <w:r>
              <w:rPr>
                <w:rFonts w:ascii="Arial" w:hAnsi="Arial"/>
                <w:color w:val="000000"/>
                <w:sz w:val="14"/>
              </w:rPr>
              <w:t>—</w:t>
            </w:r>
          </w:p>
        </w:tc>
        <w:tc>
          <w:tcPr>
            <w:tcW w:w="691" w:type="dxa"/>
            <w:tcMar>
              <w:top w:w="40" w:type="dxa"/>
              <w:left w:w="45" w:type="dxa"/>
              <w:bottom w:w="40" w:type="dxa"/>
              <w:right w:w="45" w:type="dxa"/>
            </w:tcMar>
            <w:vAlign w:val="center"/>
          </w:tcPr>
          <w:p w14:paraId="34B35D77" w14:textId="77777777" w:rsidR="00612D3C" w:rsidRDefault="00612D3C">
            <w:pPr>
              <w:spacing w:after="0"/>
              <w:jc w:val="center"/>
            </w:pPr>
          </w:p>
        </w:tc>
        <w:tc>
          <w:tcPr>
            <w:tcW w:w="691" w:type="dxa"/>
            <w:tcMar>
              <w:top w:w="40" w:type="dxa"/>
              <w:left w:w="45" w:type="dxa"/>
              <w:bottom w:w="40" w:type="dxa"/>
              <w:right w:w="45" w:type="dxa"/>
            </w:tcMar>
            <w:vAlign w:val="center"/>
          </w:tcPr>
          <w:p w14:paraId="60156616" w14:textId="77777777" w:rsidR="00612D3C" w:rsidRDefault="00612D3C">
            <w:pPr>
              <w:spacing w:after="0"/>
              <w:jc w:val="center"/>
            </w:pPr>
          </w:p>
        </w:tc>
      </w:tr>
      <w:tr w:rsidR="00612D3C" w14:paraId="75F9EA20" w14:textId="77777777">
        <w:trPr>
          <w:cantSplit/>
          <w:jc w:val="center"/>
        </w:trPr>
        <w:tc>
          <w:tcPr>
            <w:tcW w:w="2131" w:type="dxa"/>
            <w:shd w:val="clear" w:color="auto" w:fill="F1F3F6"/>
            <w:tcMar>
              <w:top w:w="40" w:type="dxa"/>
              <w:left w:w="45" w:type="dxa"/>
              <w:bottom w:w="40" w:type="dxa"/>
              <w:right w:w="45" w:type="dxa"/>
            </w:tcMar>
            <w:vAlign w:val="center"/>
          </w:tcPr>
          <w:p w14:paraId="2DBFD740" w14:textId="77777777" w:rsidR="00612D3C" w:rsidRDefault="007047D9">
            <w:pPr>
              <w:spacing w:after="0"/>
              <w:jc w:val="left"/>
            </w:pPr>
            <w:r>
              <w:rPr>
                <w:rFonts w:ascii="Arial" w:hAnsi="Arial"/>
                <w:color w:val="000000"/>
                <w:sz w:val="14"/>
              </w:rPr>
              <w:t>9 Shop more</w:t>
            </w:r>
          </w:p>
        </w:tc>
        <w:tc>
          <w:tcPr>
            <w:tcW w:w="691" w:type="dxa"/>
            <w:tcMar>
              <w:top w:w="40" w:type="dxa"/>
              <w:left w:w="45" w:type="dxa"/>
              <w:bottom w:w="40" w:type="dxa"/>
              <w:right w:w="45" w:type="dxa"/>
            </w:tcMar>
            <w:vAlign w:val="center"/>
          </w:tcPr>
          <w:p w14:paraId="33B1734A" w14:textId="77777777" w:rsidR="00612D3C" w:rsidRDefault="007047D9">
            <w:pPr>
              <w:spacing w:after="0"/>
              <w:jc w:val="center"/>
            </w:pPr>
            <w:r>
              <w:rPr>
                <w:rFonts w:ascii="Arial" w:hAnsi="Arial"/>
                <w:color w:val="000000"/>
                <w:sz w:val="14"/>
              </w:rPr>
              <w:t>.421**</w:t>
            </w:r>
          </w:p>
        </w:tc>
        <w:tc>
          <w:tcPr>
            <w:tcW w:w="691" w:type="dxa"/>
            <w:tcMar>
              <w:top w:w="40" w:type="dxa"/>
              <w:left w:w="45" w:type="dxa"/>
              <w:bottom w:w="40" w:type="dxa"/>
              <w:right w:w="45" w:type="dxa"/>
            </w:tcMar>
            <w:vAlign w:val="center"/>
          </w:tcPr>
          <w:p w14:paraId="39A0AAD6" w14:textId="77777777" w:rsidR="00612D3C" w:rsidRDefault="007047D9">
            <w:pPr>
              <w:spacing w:after="0"/>
              <w:jc w:val="center"/>
            </w:pPr>
            <w:r>
              <w:rPr>
                <w:rFonts w:ascii="Arial" w:hAnsi="Arial"/>
                <w:color w:val="000000"/>
                <w:sz w:val="14"/>
              </w:rPr>
              <w:t>.469**</w:t>
            </w:r>
          </w:p>
        </w:tc>
        <w:tc>
          <w:tcPr>
            <w:tcW w:w="691" w:type="dxa"/>
            <w:tcMar>
              <w:top w:w="40" w:type="dxa"/>
              <w:left w:w="45" w:type="dxa"/>
              <w:bottom w:w="40" w:type="dxa"/>
              <w:right w:w="45" w:type="dxa"/>
            </w:tcMar>
            <w:vAlign w:val="center"/>
          </w:tcPr>
          <w:p w14:paraId="63C69C1F" w14:textId="77777777" w:rsidR="00612D3C" w:rsidRDefault="007047D9">
            <w:pPr>
              <w:spacing w:after="0"/>
              <w:jc w:val="center"/>
            </w:pPr>
            <w:r>
              <w:rPr>
                <w:rFonts w:ascii="Arial" w:hAnsi="Arial"/>
                <w:color w:val="000000"/>
                <w:sz w:val="14"/>
              </w:rPr>
              <w:t>.421**</w:t>
            </w:r>
          </w:p>
        </w:tc>
        <w:tc>
          <w:tcPr>
            <w:tcW w:w="691" w:type="dxa"/>
            <w:tcMar>
              <w:top w:w="40" w:type="dxa"/>
              <w:left w:w="45" w:type="dxa"/>
              <w:bottom w:w="40" w:type="dxa"/>
              <w:right w:w="45" w:type="dxa"/>
            </w:tcMar>
            <w:vAlign w:val="center"/>
          </w:tcPr>
          <w:p w14:paraId="55603CEF" w14:textId="77777777" w:rsidR="00612D3C" w:rsidRDefault="007047D9">
            <w:pPr>
              <w:spacing w:after="0"/>
              <w:jc w:val="center"/>
            </w:pPr>
            <w:r>
              <w:rPr>
                <w:rFonts w:ascii="Arial" w:hAnsi="Arial"/>
                <w:color w:val="000000"/>
                <w:sz w:val="14"/>
              </w:rPr>
              <w:t>.381**</w:t>
            </w:r>
          </w:p>
        </w:tc>
        <w:tc>
          <w:tcPr>
            <w:tcW w:w="691" w:type="dxa"/>
            <w:tcMar>
              <w:top w:w="40" w:type="dxa"/>
              <w:left w:w="45" w:type="dxa"/>
              <w:bottom w:w="40" w:type="dxa"/>
              <w:right w:w="45" w:type="dxa"/>
            </w:tcMar>
            <w:vAlign w:val="center"/>
          </w:tcPr>
          <w:p w14:paraId="680E7756" w14:textId="77777777" w:rsidR="00612D3C" w:rsidRDefault="007047D9">
            <w:pPr>
              <w:spacing w:after="0"/>
              <w:jc w:val="center"/>
            </w:pPr>
            <w:r>
              <w:rPr>
                <w:rFonts w:ascii="Arial" w:hAnsi="Arial"/>
                <w:color w:val="000000"/>
                <w:sz w:val="14"/>
              </w:rPr>
              <w:t>.377**</w:t>
            </w:r>
          </w:p>
        </w:tc>
        <w:tc>
          <w:tcPr>
            <w:tcW w:w="691" w:type="dxa"/>
            <w:tcMar>
              <w:top w:w="40" w:type="dxa"/>
              <w:left w:w="45" w:type="dxa"/>
              <w:bottom w:w="40" w:type="dxa"/>
              <w:right w:w="45" w:type="dxa"/>
            </w:tcMar>
            <w:vAlign w:val="center"/>
          </w:tcPr>
          <w:p w14:paraId="0E050845" w14:textId="77777777" w:rsidR="00612D3C" w:rsidRDefault="007047D9">
            <w:pPr>
              <w:spacing w:after="0"/>
              <w:jc w:val="center"/>
            </w:pPr>
            <w:r>
              <w:rPr>
                <w:rFonts w:ascii="Arial" w:hAnsi="Arial"/>
                <w:color w:val="000000"/>
                <w:sz w:val="14"/>
              </w:rPr>
              <w:t>.352**</w:t>
            </w:r>
          </w:p>
        </w:tc>
        <w:tc>
          <w:tcPr>
            <w:tcW w:w="691" w:type="dxa"/>
            <w:tcMar>
              <w:top w:w="40" w:type="dxa"/>
              <w:left w:w="45" w:type="dxa"/>
              <w:bottom w:w="40" w:type="dxa"/>
              <w:right w:w="45" w:type="dxa"/>
            </w:tcMar>
            <w:vAlign w:val="center"/>
          </w:tcPr>
          <w:p w14:paraId="721AF35D" w14:textId="77777777" w:rsidR="00612D3C" w:rsidRDefault="007047D9">
            <w:pPr>
              <w:spacing w:after="0"/>
              <w:jc w:val="center"/>
            </w:pPr>
            <w:r>
              <w:rPr>
                <w:rFonts w:ascii="Arial" w:hAnsi="Arial"/>
                <w:color w:val="000000"/>
                <w:sz w:val="14"/>
              </w:rPr>
              <w:t>.437**</w:t>
            </w:r>
          </w:p>
        </w:tc>
        <w:tc>
          <w:tcPr>
            <w:tcW w:w="691" w:type="dxa"/>
            <w:tcMar>
              <w:top w:w="40" w:type="dxa"/>
              <w:left w:w="45" w:type="dxa"/>
              <w:bottom w:w="40" w:type="dxa"/>
              <w:right w:w="45" w:type="dxa"/>
            </w:tcMar>
            <w:vAlign w:val="center"/>
          </w:tcPr>
          <w:p w14:paraId="0EF72EC0" w14:textId="77777777" w:rsidR="00612D3C" w:rsidRDefault="007047D9">
            <w:pPr>
              <w:spacing w:after="0"/>
              <w:jc w:val="center"/>
            </w:pPr>
            <w:r>
              <w:rPr>
                <w:rFonts w:ascii="Arial" w:hAnsi="Arial"/>
                <w:color w:val="000000"/>
                <w:sz w:val="14"/>
              </w:rPr>
              <w:t>.649**</w:t>
            </w:r>
          </w:p>
        </w:tc>
        <w:tc>
          <w:tcPr>
            <w:tcW w:w="691" w:type="dxa"/>
            <w:tcMar>
              <w:top w:w="40" w:type="dxa"/>
              <w:left w:w="45" w:type="dxa"/>
              <w:bottom w:w="40" w:type="dxa"/>
              <w:right w:w="45" w:type="dxa"/>
            </w:tcMar>
            <w:vAlign w:val="center"/>
          </w:tcPr>
          <w:p w14:paraId="3BC927E2" w14:textId="77777777" w:rsidR="00612D3C" w:rsidRDefault="007047D9">
            <w:pPr>
              <w:spacing w:after="0"/>
              <w:jc w:val="center"/>
            </w:pPr>
            <w:r>
              <w:rPr>
                <w:rFonts w:ascii="Arial" w:hAnsi="Arial"/>
                <w:color w:val="000000"/>
                <w:sz w:val="14"/>
              </w:rPr>
              <w:t>—</w:t>
            </w:r>
          </w:p>
        </w:tc>
        <w:tc>
          <w:tcPr>
            <w:tcW w:w="691" w:type="dxa"/>
            <w:tcMar>
              <w:top w:w="40" w:type="dxa"/>
              <w:left w:w="45" w:type="dxa"/>
              <w:bottom w:w="40" w:type="dxa"/>
              <w:right w:w="45" w:type="dxa"/>
            </w:tcMar>
            <w:vAlign w:val="center"/>
          </w:tcPr>
          <w:p w14:paraId="2F0BE26B" w14:textId="77777777" w:rsidR="00612D3C" w:rsidRDefault="00612D3C">
            <w:pPr>
              <w:spacing w:after="0"/>
              <w:jc w:val="center"/>
            </w:pPr>
          </w:p>
        </w:tc>
      </w:tr>
      <w:tr w:rsidR="00612D3C" w14:paraId="5102D627" w14:textId="77777777">
        <w:trPr>
          <w:cantSplit/>
          <w:jc w:val="center"/>
        </w:trPr>
        <w:tc>
          <w:tcPr>
            <w:tcW w:w="2131" w:type="dxa"/>
            <w:shd w:val="clear" w:color="auto" w:fill="F1F3F6"/>
            <w:tcMar>
              <w:top w:w="40" w:type="dxa"/>
              <w:left w:w="45" w:type="dxa"/>
              <w:bottom w:w="40" w:type="dxa"/>
              <w:right w:w="45" w:type="dxa"/>
            </w:tcMar>
            <w:vAlign w:val="center"/>
          </w:tcPr>
          <w:p w14:paraId="0F97C3DD" w14:textId="77777777" w:rsidR="00612D3C" w:rsidRDefault="007047D9">
            <w:pPr>
              <w:spacing w:after="0"/>
              <w:jc w:val="left"/>
            </w:pPr>
            <w:r>
              <w:rPr>
                <w:rFonts w:ascii="Arial" w:hAnsi="Arial"/>
                <w:color w:val="000000"/>
                <w:sz w:val="14"/>
              </w:rPr>
              <w:t>10 Continue use</w:t>
            </w:r>
          </w:p>
        </w:tc>
        <w:tc>
          <w:tcPr>
            <w:tcW w:w="691" w:type="dxa"/>
            <w:tcMar>
              <w:top w:w="40" w:type="dxa"/>
              <w:left w:w="45" w:type="dxa"/>
              <w:bottom w:w="40" w:type="dxa"/>
              <w:right w:w="45" w:type="dxa"/>
            </w:tcMar>
            <w:vAlign w:val="center"/>
          </w:tcPr>
          <w:p w14:paraId="4C41C0E3" w14:textId="77777777" w:rsidR="00612D3C" w:rsidRDefault="007047D9">
            <w:pPr>
              <w:spacing w:after="0"/>
              <w:jc w:val="center"/>
            </w:pPr>
            <w:r>
              <w:rPr>
                <w:rFonts w:ascii="Arial" w:hAnsi="Arial"/>
                <w:color w:val="000000"/>
                <w:sz w:val="14"/>
              </w:rPr>
              <w:t>.459**</w:t>
            </w:r>
          </w:p>
        </w:tc>
        <w:tc>
          <w:tcPr>
            <w:tcW w:w="691" w:type="dxa"/>
            <w:tcMar>
              <w:top w:w="40" w:type="dxa"/>
              <w:left w:w="45" w:type="dxa"/>
              <w:bottom w:w="40" w:type="dxa"/>
              <w:right w:w="45" w:type="dxa"/>
            </w:tcMar>
            <w:vAlign w:val="center"/>
          </w:tcPr>
          <w:p w14:paraId="1191A8DF" w14:textId="77777777" w:rsidR="00612D3C" w:rsidRDefault="007047D9">
            <w:pPr>
              <w:spacing w:after="0"/>
              <w:jc w:val="center"/>
            </w:pPr>
            <w:r>
              <w:rPr>
                <w:rFonts w:ascii="Arial" w:hAnsi="Arial"/>
                <w:color w:val="000000"/>
                <w:sz w:val="14"/>
              </w:rPr>
              <w:t>.543**</w:t>
            </w:r>
          </w:p>
        </w:tc>
        <w:tc>
          <w:tcPr>
            <w:tcW w:w="691" w:type="dxa"/>
            <w:tcMar>
              <w:top w:w="40" w:type="dxa"/>
              <w:left w:w="45" w:type="dxa"/>
              <w:bottom w:w="40" w:type="dxa"/>
              <w:right w:w="45" w:type="dxa"/>
            </w:tcMar>
            <w:vAlign w:val="center"/>
          </w:tcPr>
          <w:p w14:paraId="1C0835C6" w14:textId="77777777" w:rsidR="00612D3C" w:rsidRDefault="007047D9">
            <w:pPr>
              <w:spacing w:after="0"/>
              <w:jc w:val="center"/>
            </w:pPr>
            <w:r>
              <w:rPr>
                <w:rFonts w:ascii="Arial" w:hAnsi="Arial"/>
                <w:color w:val="000000"/>
                <w:sz w:val="14"/>
              </w:rPr>
              <w:t>.475**</w:t>
            </w:r>
          </w:p>
        </w:tc>
        <w:tc>
          <w:tcPr>
            <w:tcW w:w="691" w:type="dxa"/>
            <w:tcMar>
              <w:top w:w="40" w:type="dxa"/>
              <w:left w:w="45" w:type="dxa"/>
              <w:bottom w:w="40" w:type="dxa"/>
              <w:right w:w="45" w:type="dxa"/>
            </w:tcMar>
            <w:vAlign w:val="center"/>
          </w:tcPr>
          <w:p w14:paraId="0203C0B4" w14:textId="77777777" w:rsidR="00612D3C" w:rsidRDefault="007047D9">
            <w:pPr>
              <w:spacing w:after="0"/>
              <w:jc w:val="center"/>
            </w:pPr>
            <w:r>
              <w:rPr>
                <w:rFonts w:ascii="Arial" w:hAnsi="Arial"/>
                <w:color w:val="000000"/>
                <w:sz w:val="14"/>
              </w:rPr>
              <w:t>.389**</w:t>
            </w:r>
          </w:p>
        </w:tc>
        <w:tc>
          <w:tcPr>
            <w:tcW w:w="691" w:type="dxa"/>
            <w:tcMar>
              <w:top w:w="40" w:type="dxa"/>
              <w:left w:w="45" w:type="dxa"/>
              <w:bottom w:w="40" w:type="dxa"/>
              <w:right w:w="45" w:type="dxa"/>
            </w:tcMar>
            <w:vAlign w:val="center"/>
          </w:tcPr>
          <w:p w14:paraId="65046FB6" w14:textId="77777777" w:rsidR="00612D3C" w:rsidRDefault="007047D9">
            <w:pPr>
              <w:spacing w:after="0"/>
              <w:jc w:val="center"/>
            </w:pPr>
            <w:r>
              <w:rPr>
                <w:rFonts w:ascii="Arial" w:hAnsi="Arial"/>
                <w:color w:val="000000"/>
                <w:sz w:val="14"/>
              </w:rPr>
              <w:t>.340**</w:t>
            </w:r>
          </w:p>
        </w:tc>
        <w:tc>
          <w:tcPr>
            <w:tcW w:w="691" w:type="dxa"/>
            <w:tcMar>
              <w:top w:w="40" w:type="dxa"/>
              <w:left w:w="45" w:type="dxa"/>
              <w:bottom w:w="40" w:type="dxa"/>
              <w:right w:w="45" w:type="dxa"/>
            </w:tcMar>
            <w:vAlign w:val="center"/>
          </w:tcPr>
          <w:p w14:paraId="763E8D68" w14:textId="77777777" w:rsidR="00612D3C" w:rsidRDefault="007047D9">
            <w:pPr>
              <w:spacing w:after="0"/>
              <w:jc w:val="center"/>
            </w:pPr>
            <w:r>
              <w:rPr>
                <w:rFonts w:ascii="Arial" w:hAnsi="Arial"/>
                <w:color w:val="000000"/>
                <w:sz w:val="14"/>
              </w:rPr>
              <w:t>.349**</w:t>
            </w:r>
          </w:p>
        </w:tc>
        <w:tc>
          <w:tcPr>
            <w:tcW w:w="691" w:type="dxa"/>
            <w:tcMar>
              <w:top w:w="40" w:type="dxa"/>
              <w:left w:w="45" w:type="dxa"/>
              <w:bottom w:w="40" w:type="dxa"/>
              <w:right w:w="45" w:type="dxa"/>
            </w:tcMar>
            <w:vAlign w:val="center"/>
          </w:tcPr>
          <w:p w14:paraId="58C3BC07" w14:textId="77777777" w:rsidR="00612D3C" w:rsidRDefault="007047D9">
            <w:pPr>
              <w:spacing w:after="0"/>
              <w:jc w:val="center"/>
            </w:pPr>
            <w:r>
              <w:rPr>
                <w:rFonts w:ascii="Arial" w:hAnsi="Arial"/>
                <w:color w:val="000000"/>
                <w:sz w:val="14"/>
              </w:rPr>
              <w:t>.469**</w:t>
            </w:r>
          </w:p>
        </w:tc>
        <w:tc>
          <w:tcPr>
            <w:tcW w:w="691" w:type="dxa"/>
            <w:tcMar>
              <w:top w:w="40" w:type="dxa"/>
              <w:left w:w="45" w:type="dxa"/>
              <w:bottom w:w="40" w:type="dxa"/>
              <w:right w:w="45" w:type="dxa"/>
            </w:tcMar>
            <w:vAlign w:val="center"/>
          </w:tcPr>
          <w:p w14:paraId="68112BF0" w14:textId="77777777" w:rsidR="00612D3C" w:rsidRDefault="007047D9">
            <w:pPr>
              <w:spacing w:after="0"/>
              <w:jc w:val="center"/>
            </w:pPr>
            <w:r>
              <w:rPr>
                <w:rFonts w:ascii="Arial" w:hAnsi="Arial"/>
                <w:color w:val="000000"/>
                <w:sz w:val="14"/>
              </w:rPr>
              <w:t>.616**</w:t>
            </w:r>
          </w:p>
        </w:tc>
        <w:tc>
          <w:tcPr>
            <w:tcW w:w="691" w:type="dxa"/>
            <w:tcMar>
              <w:top w:w="40" w:type="dxa"/>
              <w:left w:w="45" w:type="dxa"/>
              <w:bottom w:w="40" w:type="dxa"/>
              <w:right w:w="45" w:type="dxa"/>
            </w:tcMar>
            <w:vAlign w:val="center"/>
          </w:tcPr>
          <w:p w14:paraId="75CF7664" w14:textId="77777777" w:rsidR="00612D3C" w:rsidRDefault="007047D9">
            <w:pPr>
              <w:spacing w:after="0"/>
              <w:jc w:val="center"/>
            </w:pPr>
            <w:r>
              <w:rPr>
                <w:rFonts w:ascii="Arial" w:hAnsi="Arial"/>
                <w:color w:val="000000"/>
                <w:sz w:val="14"/>
              </w:rPr>
              <w:t>.691**</w:t>
            </w:r>
          </w:p>
        </w:tc>
        <w:tc>
          <w:tcPr>
            <w:tcW w:w="691" w:type="dxa"/>
            <w:tcMar>
              <w:top w:w="40" w:type="dxa"/>
              <w:left w:w="45" w:type="dxa"/>
              <w:bottom w:w="40" w:type="dxa"/>
              <w:right w:w="45" w:type="dxa"/>
            </w:tcMar>
            <w:vAlign w:val="center"/>
          </w:tcPr>
          <w:p w14:paraId="32FDE339" w14:textId="77777777" w:rsidR="00612D3C" w:rsidRDefault="007047D9">
            <w:pPr>
              <w:spacing w:after="0"/>
              <w:jc w:val="center"/>
            </w:pPr>
            <w:r>
              <w:rPr>
                <w:rFonts w:ascii="Arial" w:hAnsi="Arial"/>
                <w:color w:val="000000"/>
                <w:sz w:val="14"/>
              </w:rPr>
              <w:t>—</w:t>
            </w:r>
          </w:p>
        </w:tc>
      </w:tr>
      <w:tr w:rsidR="00612D3C" w14:paraId="12CF81AC" w14:textId="77777777">
        <w:trPr>
          <w:cantSplit/>
          <w:jc w:val="center"/>
        </w:trPr>
        <w:tc>
          <w:tcPr>
            <w:tcW w:w="691" w:type="dxa"/>
            <w:gridSpan w:val="11"/>
            <w:tcMar>
              <w:top w:w="40" w:type="dxa"/>
              <w:left w:w="45" w:type="dxa"/>
              <w:bottom w:w="40" w:type="dxa"/>
              <w:right w:w="45" w:type="dxa"/>
            </w:tcMar>
            <w:vAlign w:val="center"/>
          </w:tcPr>
          <w:p w14:paraId="74DE64D7" w14:textId="77777777" w:rsidR="00612D3C" w:rsidRDefault="007047D9">
            <w:pPr>
              <w:spacing w:after="0"/>
              <w:jc w:val="left"/>
            </w:pPr>
            <w:r>
              <w:rPr>
                <w:rFonts w:ascii="Arial" w:hAnsi="Arial"/>
                <w:color w:val="000000"/>
                <w:sz w:val="14"/>
              </w:rPr>
              <w:t>Note. Pairwise N = 148–150. ** p &lt; .01 (two-tailed). Malformed item responses were treated as missing.</w:t>
            </w:r>
          </w:p>
        </w:tc>
      </w:tr>
    </w:tbl>
    <w:p w14:paraId="3DAE56D0" w14:textId="77777777" w:rsidR="00612D3C" w:rsidRDefault="00612D3C">
      <w:pPr>
        <w:rPr>
          <w:rFonts w:ascii="Calibri" w:hAnsi="Calibri" w:cs="Calibri"/>
          <w:b/>
          <w:bCs/>
        </w:rPr>
      </w:pPr>
    </w:p>
    <w:p w14:paraId="64452D4C" w14:textId="77777777" w:rsidR="00612D3C" w:rsidRDefault="007047D9">
      <w:pPr>
        <w:keepNext/>
        <w:pageBreakBefore/>
        <w:rPr>
          <w:rFonts w:ascii="Calibri" w:hAnsi="Calibri" w:cs="Calibri"/>
          <w:b/>
          <w:bCs/>
        </w:rPr>
      </w:pPr>
      <w:r>
        <w:rPr>
          <w:rFonts w:ascii="Calibri" w:hAnsi="Calibri" w:cs="Calibri"/>
          <w:b/>
          <w:bCs/>
        </w:rPr>
        <w:t>Regression</w:t>
      </w:r>
    </w:p>
    <w:tbl>
      <w:tblPr>
        <w:tblStyle w:val="TableGrid"/>
        <w:tblW w:w="0" w:type="auto"/>
        <w:jc w:val="center"/>
        <w:tblLayout w:type="fixed"/>
        <w:tblLook w:val="04A0" w:firstRow="1" w:lastRow="0" w:firstColumn="1" w:lastColumn="0" w:noHBand="0" w:noVBand="1"/>
      </w:tblPr>
      <w:tblGrid>
        <w:gridCol w:w="792"/>
        <w:gridCol w:w="5976"/>
        <w:gridCol w:w="936"/>
        <w:gridCol w:w="1080"/>
      </w:tblGrid>
      <w:tr w:rsidR="00612D3C" w14:paraId="6CAE7DFF" w14:textId="77777777">
        <w:trPr>
          <w:cantSplit/>
          <w:tblHeader/>
          <w:jc w:val="center"/>
        </w:trPr>
        <w:tc>
          <w:tcPr>
            <w:tcW w:w="1080" w:type="dxa"/>
            <w:gridSpan w:val="4"/>
            <w:shd w:val="clear" w:color="auto" w:fill="D9E2F3"/>
            <w:tcMar>
              <w:top w:w="40" w:type="dxa"/>
              <w:left w:w="45" w:type="dxa"/>
              <w:bottom w:w="40" w:type="dxa"/>
              <w:right w:w="45" w:type="dxa"/>
            </w:tcMar>
            <w:vAlign w:val="center"/>
          </w:tcPr>
          <w:p w14:paraId="4CE79E3E" w14:textId="77777777" w:rsidR="00612D3C" w:rsidRDefault="007047D9">
            <w:pPr>
              <w:spacing w:after="0"/>
              <w:jc w:val="left"/>
            </w:pPr>
            <w:r>
              <w:rPr>
                <w:rFonts w:ascii="Arial" w:hAnsi="Arial"/>
                <w:b/>
                <w:color w:val="000000"/>
                <w:sz w:val="17"/>
              </w:rPr>
              <w:t>Table 6: Variables entered</w:t>
            </w:r>
          </w:p>
        </w:tc>
      </w:tr>
      <w:tr w:rsidR="00612D3C" w14:paraId="186E014B" w14:textId="77777777">
        <w:trPr>
          <w:cantSplit/>
          <w:tblHeader/>
          <w:jc w:val="center"/>
        </w:trPr>
        <w:tc>
          <w:tcPr>
            <w:tcW w:w="792" w:type="dxa"/>
            <w:shd w:val="clear" w:color="auto" w:fill="E9EEF5"/>
            <w:tcMar>
              <w:top w:w="40" w:type="dxa"/>
              <w:left w:w="45" w:type="dxa"/>
              <w:bottom w:w="40" w:type="dxa"/>
              <w:right w:w="45" w:type="dxa"/>
            </w:tcMar>
            <w:vAlign w:val="center"/>
          </w:tcPr>
          <w:p w14:paraId="7D2498CB" w14:textId="77777777" w:rsidR="00612D3C" w:rsidRDefault="007047D9">
            <w:pPr>
              <w:spacing w:after="0"/>
              <w:jc w:val="center"/>
            </w:pPr>
            <w:r>
              <w:rPr>
                <w:rFonts w:ascii="Arial" w:hAnsi="Arial"/>
                <w:b/>
                <w:color w:val="000000"/>
                <w:sz w:val="15"/>
              </w:rPr>
              <w:t>Model</w:t>
            </w:r>
          </w:p>
        </w:tc>
        <w:tc>
          <w:tcPr>
            <w:tcW w:w="5976" w:type="dxa"/>
            <w:shd w:val="clear" w:color="auto" w:fill="E9EEF5"/>
            <w:tcMar>
              <w:top w:w="40" w:type="dxa"/>
              <w:left w:w="45" w:type="dxa"/>
              <w:bottom w:w="40" w:type="dxa"/>
              <w:right w:w="45" w:type="dxa"/>
            </w:tcMar>
            <w:vAlign w:val="center"/>
          </w:tcPr>
          <w:p w14:paraId="00069903" w14:textId="77777777" w:rsidR="00612D3C" w:rsidRDefault="007047D9">
            <w:pPr>
              <w:spacing w:after="0"/>
              <w:jc w:val="center"/>
            </w:pPr>
            <w:r>
              <w:rPr>
                <w:rFonts w:ascii="Arial" w:hAnsi="Arial"/>
                <w:b/>
                <w:color w:val="000000"/>
                <w:sz w:val="15"/>
              </w:rPr>
              <w:t>Variables entered</w:t>
            </w:r>
          </w:p>
        </w:tc>
        <w:tc>
          <w:tcPr>
            <w:tcW w:w="936" w:type="dxa"/>
            <w:shd w:val="clear" w:color="auto" w:fill="E9EEF5"/>
            <w:tcMar>
              <w:top w:w="40" w:type="dxa"/>
              <w:left w:w="45" w:type="dxa"/>
              <w:bottom w:w="40" w:type="dxa"/>
              <w:right w:w="45" w:type="dxa"/>
            </w:tcMar>
            <w:vAlign w:val="center"/>
          </w:tcPr>
          <w:p w14:paraId="1828C5E9" w14:textId="77777777" w:rsidR="00612D3C" w:rsidRDefault="007047D9">
            <w:pPr>
              <w:spacing w:after="0"/>
              <w:jc w:val="center"/>
            </w:pPr>
            <w:r>
              <w:rPr>
                <w:rFonts w:ascii="Arial" w:hAnsi="Arial"/>
                <w:b/>
                <w:color w:val="000000"/>
                <w:sz w:val="15"/>
              </w:rPr>
              <w:t>Removed</w:t>
            </w:r>
          </w:p>
        </w:tc>
        <w:tc>
          <w:tcPr>
            <w:tcW w:w="1080" w:type="dxa"/>
            <w:shd w:val="clear" w:color="auto" w:fill="E9EEF5"/>
            <w:tcMar>
              <w:top w:w="40" w:type="dxa"/>
              <w:left w:w="45" w:type="dxa"/>
              <w:bottom w:w="40" w:type="dxa"/>
              <w:right w:w="45" w:type="dxa"/>
            </w:tcMar>
            <w:vAlign w:val="center"/>
          </w:tcPr>
          <w:p w14:paraId="6F3D2980" w14:textId="77777777" w:rsidR="00612D3C" w:rsidRDefault="007047D9">
            <w:pPr>
              <w:spacing w:after="0"/>
              <w:jc w:val="center"/>
            </w:pPr>
            <w:r>
              <w:rPr>
                <w:rFonts w:ascii="Arial" w:hAnsi="Arial"/>
                <w:b/>
                <w:color w:val="000000"/>
                <w:sz w:val="15"/>
              </w:rPr>
              <w:t>Method</w:t>
            </w:r>
          </w:p>
        </w:tc>
      </w:tr>
      <w:tr w:rsidR="00612D3C" w14:paraId="6841728B" w14:textId="77777777">
        <w:trPr>
          <w:cantSplit/>
          <w:jc w:val="center"/>
        </w:trPr>
        <w:tc>
          <w:tcPr>
            <w:tcW w:w="792" w:type="dxa"/>
            <w:tcMar>
              <w:top w:w="40" w:type="dxa"/>
              <w:left w:w="45" w:type="dxa"/>
              <w:bottom w:w="40" w:type="dxa"/>
              <w:right w:w="45" w:type="dxa"/>
            </w:tcMar>
            <w:vAlign w:val="center"/>
          </w:tcPr>
          <w:p w14:paraId="4F3449D3" w14:textId="77777777" w:rsidR="00612D3C" w:rsidRDefault="007047D9">
            <w:pPr>
              <w:spacing w:after="0"/>
              <w:jc w:val="center"/>
            </w:pPr>
            <w:r>
              <w:rPr>
                <w:rFonts w:ascii="Arial" w:hAnsi="Arial"/>
                <w:color w:val="000000"/>
                <w:sz w:val="14"/>
              </w:rPr>
              <w:t>1</w:t>
            </w:r>
          </w:p>
        </w:tc>
        <w:tc>
          <w:tcPr>
            <w:tcW w:w="5976" w:type="dxa"/>
            <w:tcMar>
              <w:top w:w="40" w:type="dxa"/>
              <w:left w:w="45" w:type="dxa"/>
              <w:bottom w:w="40" w:type="dxa"/>
              <w:right w:w="45" w:type="dxa"/>
            </w:tcMar>
            <w:vAlign w:val="center"/>
          </w:tcPr>
          <w:p w14:paraId="24010A9B" w14:textId="77777777" w:rsidR="00612D3C" w:rsidRDefault="007047D9">
            <w:pPr>
              <w:spacing w:after="0"/>
              <w:jc w:val="left"/>
            </w:pPr>
            <w:r>
              <w:rPr>
                <w:rFonts w:ascii="Arial" w:hAnsi="Arial"/>
                <w:color w:val="000000"/>
                <w:sz w:val="14"/>
              </w:rPr>
              <w:t>Ease, usefulness, personalisation, rewards, gamification, notifications and performance</w:t>
            </w:r>
          </w:p>
        </w:tc>
        <w:tc>
          <w:tcPr>
            <w:tcW w:w="936" w:type="dxa"/>
            <w:tcMar>
              <w:top w:w="40" w:type="dxa"/>
              <w:left w:w="45" w:type="dxa"/>
              <w:bottom w:w="40" w:type="dxa"/>
              <w:right w:w="45" w:type="dxa"/>
            </w:tcMar>
            <w:vAlign w:val="center"/>
          </w:tcPr>
          <w:p w14:paraId="5700A5D0" w14:textId="77777777" w:rsidR="00612D3C" w:rsidRDefault="007047D9">
            <w:pPr>
              <w:spacing w:after="0"/>
              <w:jc w:val="center"/>
            </w:pPr>
            <w:r>
              <w:rPr>
                <w:rFonts w:ascii="Arial" w:hAnsi="Arial"/>
                <w:color w:val="000000"/>
                <w:sz w:val="14"/>
              </w:rPr>
              <w:t>None</w:t>
            </w:r>
          </w:p>
        </w:tc>
        <w:tc>
          <w:tcPr>
            <w:tcW w:w="1080" w:type="dxa"/>
            <w:tcMar>
              <w:top w:w="40" w:type="dxa"/>
              <w:left w:w="45" w:type="dxa"/>
              <w:bottom w:w="40" w:type="dxa"/>
              <w:right w:w="45" w:type="dxa"/>
            </w:tcMar>
            <w:vAlign w:val="center"/>
          </w:tcPr>
          <w:p w14:paraId="4EE5FDAB" w14:textId="77777777" w:rsidR="00612D3C" w:rsidRDefault="007047D9">
            <w:pPr>
              <w:spacing w:after="0"/>
              <w:jc w:val="center"/>
            </w:pPr>
            <w:r>
              <w:rPr>
                <w:rFonts w:ascii="Arial" w:hAnsi="Arial"/>
                <w:color w:val="000000"/>
                <w:sz w:val="14"/>
              </w:rPr>
              <w:t>Enter</w:t>
            </w:r>
          </w:p>
        </w:tc>
      </w:tr>
      <w:tr w:rsidR="00612D3C" w14:paraId="33FAE748" w14:textId="77777777">
        <w:trPr>
          <w:cantSplit/>
          <w:jc w:val="center"/>
        </w:trPr>
        <w:tc>
          <w:tcPr>
            <w:tcW w:w="1080" w:type="dxa"/>
            <w:gridSpan w:val="4"/>
            <w:tcMar>
              <w:top w:w="40" w:type="dxa"/>
              <w:left w:w="45" w:type="dxa"/>
              <w:bottom w:w="40" w:type="dxa"/>
              <w:right w:w="45" w:type="dxa"/>
            </w:tcMar>
            <w:vAlign w:val="center"/>
          </w:tcPr>
          <w:p w14:paraId="31D42E24" w14:textId="77777777" w:rsidR="00612D3C" w:rsidRDefault="007047D9">
            <w:pPr>
              <w:spacing w:after="0"/>
              <w:jc w:val="left"/>
            </w:pPr>
            <w:r>
              <w:rPr>
                <w:rFonts w:ascii="Arial" w:hAnsi="Arial"/>
                <w:color w:val="000000"/>
                <w:sz w:val="14"/>
              </w:rPr>
              <w:t>Dependent variable: customer satisfaction.</w:t>
            </w:r>
          </w:p>
        </w:tc>
      </w:tr>
    </w:tbl>
    <w:p w14:paraId="3B878495" w14:textId="77777777" w:rsidR="00612D3C" w:rsidRDefault="00612D3C">
      <w:pPr>
        <w:rPr>
          <w:rFonts w:ascii="Calibri" w:hAnsi="Calibri" w:cs="Calibri"/>
        </w:rPr>
      </w:pPr>
    </w:p>
    <w:tbl>
      <w:tblPr>
        <w:tblStyle w:val="TableGrid"/>
        <w:tblW w:w="0" w:type="auto"/>
        <w:jc w:val="center"/>
        <w:tblLayout w:type="fixed"/>
        <w:tblLook w:val="04A0" w:firstRow="1" w:lastRow="0" w:firstColumn="1" w:lastColumn="0" w:noHBand="0" w:noVBand="1"/>
      </w:tblPr>
      <w:tblGrid>
        <w:gridCol w:w="1036"/>
        <w:gridCol w:w="1036"/>
        <w:gridCol w:w="1440"/>
        <w:gridCol w:w="1036"/>
        <w:gridCol w:w="1180"/>
        <w:gridCol w:w="1224"/>
        <w:gridCol w:w="1180"/>
      </w:tblGrid>
      <w:tr w:rsidR="00612D3C" w14:paraId="72DB9749" w14:textId="77777777">
        <w:trPr>
          <w:cantSplit/>
          <w:tblHeader/>
          <w:jc w:val="center"/>
        </w:trPr>
        <w:tc>
          <w:tcPr>
            <w:tcW w:w="1180" w:type="dxa"/>
            <w:gridSpan w:val="7"/>
            <w:shd w:val="clear" w:color="auto" w:fill="D9E2F3"/>
            <w:tcMar>
              <w:top w:w="40" w:type="dxa"/>
              <w:left w:w="45" w:type="dxa"/>
              <w:bottom w:w="40" w:type="dxa"/>
              <w:right w:w="45" w:type="dxa"/>
            </w:tcMar>
            <w:vAlign w:val="center"/>
          </w:tcPr>
          <w:p w14:paraId="58F61049" w14:textId="77777777" w:rsidR="00612D3C" w:rsidRDefault="007047D9">
            <w:pPr>
              <w:spacing w:after="0"/>
              <w:jc w:val="left"/>
            </w:pPr>
            <w:r>
              <w:rPr>
                <w:rFonts w:ascii="Arial" w:hAnsi="Arial"/>
                <w:b/>
                <w:color w:val="000000"/>
                <w:sz w:val="17"/>
              </w:rPr>
              <w:t>Table 7: Regression model summary</w:t>
            </w:r>
          </w:p>
        </w:tc>
      </w:tr>
      <w:tr w:rsidR="00612D3C" w14:paraId="259B8501" w14:textId="77777777">
        <w:trPr>
          <w:cantSplit/>
          <w:tblHeader/>
          <w:jc w:val="center"/>
        </w:trPr>
        <w:tc>
          <w:tcPr>
            <w:tcW w:w="1036" w:type="dxa"/>
            <w:shd w:val="clear" w:color="auto" w:fill="E9EEF5"/>
            <w:tcMar>
              <w:top w:w="40" w:type="dxa"/>
              <w:left w:w="45" w:type="dxa"/>
              <w:bottom w:w="40" w:type="dxa"/>
              <w:right w:w="45" w:type="dxa"/>
            </w:tcMar>
            <w:vAlign w:val="center"/>
          </w:tcPr>
          <w:p w14:paraId="6D47B265" w14:textId="77777777" w:rsidR="00612D3C" w:rsidRDefault="007047D9">
            <w:pPr>
              <w:spacing w:after="0"/>
              <w:jc w:val="center"/>
            </w:pPr>
            <w:r>
              <w:rPr>
                <w:rFonts w:ascii="Arial" w:hAnsi="Arial"/>
                <w:b/>
                <w:color w:val="000000"/>
                <w:sz w:val="15"/>
              </w:rPr>
              <w:t>R</w:t>
            </w:r>
          </w:p>
        </w:tc>
        <w:tc>
          <w:tcPr>
            <w:tcW w:w="1036" w:type="dxa"/>
            <w:shd w:val="clear" w:color="auto" w:fill="E9EEF5"/>
            <w:tcMar>
              <w:top w:w="40" w:type="dxa"/>
              <w:left w:w="45" w:type="dxa"/>
              <w:bottom w:w="40" w:type="dxa"/>
              <w:right w:w="45" w:type="dxa"/>
            </w:tcMar>
            <w:vAlign w:val="center"/>
          </w:tcPr>
          <w:p w14:paraId="7293B5AA" w14:textId="77777777" w:rsidR="00612D3C" w:rsidRDefault="007047D9">
            <w:pPr>
              <w:spacing w:after="0"/>
              <w:jc w:val="center"/>
            </w:pPr>
            <w:r>
              <w:rPr>
                <w:rFonts w:ascii="Arial" w:hAnsi="Arial"/>
                <w:b/>
                <w:color w:val="000000"/>
                <w:sz w:val="15"/>
              </w:rPr>
              <w:t>R²</w:t>
            </w:r>
          </w:p>
        </w:tc>
        <w:tc>
          <w:tcPr>
            <w:tcW w:w="1440" w:type="dxa"/>
            <w:shd w:val="clear" w:color="auto" w:fill="E9EEF5"/>
            <w:tcMar>
              <w:top w:w="40" w:type="dxa"/>
              <w:left w:w="45" w:type="dxa"/>
              <w:bottom w:w="40" w:type="dxa"/>
              <w:right w:w="45" w:type="dxa"/>
            </w:tcMar>
            <w:vAlign w:val="center"/>
          </w:tcPr>
          <w:p w14:paraId="27AD2708" w14:textId="77777777" w:rsidR="00612D3C" w:rsidRDefault="007047D9">
            <w:pPr>
              <w:spacing w:after="0"/>
              <w:jc w:val="center"/>
            </w:pPr>
            <w:r>
              <w:rPr>
                <w:rFonts w:ascii="Arial" w:hAnsi="Arial"/>
                <w:b/>
                <w:color w:val="000000"/>
                <w:sz w:val="15"/>
              </w:rPr>
              <w:t>Adjusted R²</w:t>
            </w:r>
          </w:p>
        </w:tc>
        <w:tc>
          <w:tcPr>
            <w:tcW w:w="1036" w:type="dxa"/>
            <w:shd w:val="clear" w:color="auto" w:fill="E9EEF5"/>
            <w:tcMar>
              <w:top w:w="40" w:type="dxa"/>
              <w:left w:w="45" w:type="dxa"/>
              <w:bottom w:w="40" w:type="dxa"/>
              <w:right w:w="45" w:type="dxa"/>
            </w:tcMar>
            <w:vAlign w:val="center"/>
          </w:tcPr>
          <w:p w14:paraId="38BF2384" w14:textId="77777777" w:rsidR="00612D3C" w:rsidRDefault="007047D9">
            <w:pPr>
              <w:spacing w:after="0"/>
              <w:jc w:val="center"/>
            </w:pPr>
            <w:r>
              <w:rPr>
                <w:rFonts w:ascii="Arial" w:hAnsi="Arial"/>
                <w:b/>
                <w:color w:val="000000"/>
                <w:sz w:val="15"/>
              </w:rPr>
              <w:t>SEE</w:t>
            </w:r>
          </w:p>
        </w:tc>
        <w:tc>
          <w:tcPr>
            <w:tcW w:w="1180" w:type="dxa"/>
            <w:shd w:val="clear" w:color="auto" w:fill="E9EEF5"/>
            <w:tcMar>
              <w:top w:w="40" w:type="dxa"/>
              <w:left w:w="45" w:type="dxa"/>
              <w:bottom w:w="40" w:type="dxa"/>
              <w:right w:w="45" w:type="dxa"/>
            </w:tcMar>
            <w:vAlign w:val="center"/>
          </w:tcPr>
          <w:p w14:paraId="17C24EFB" w14:textId="77777777" w:rsidR="00612D3C" w:rsidRDefault="007047D9">
            <w:pPr>
              <w:spacing w:after="0"/>
              <w:jc w:val="center"/>
            </w:pPr>
            <w:r>
              <w:rPr>
                <w:rFonts w:ascii="Arial" w:hAnsi="Arial"/>
                <w:b/>
                <w:color w:val="000000"/>
                <w:sz w:val="15"/>
              </w:rPr>
              <w:t>F</w:t>
            </w:r>
          </w:p>
        </w:tc>
        <w:tc>
          <w:tcPr>
            <w:tcW w:w="1224" w:type="dxa"/>
            <w:shd w:val="clear" w:color="auto" w:fill="E9EEF5"/>
            <w:tcMar>
              <w:top w:w="40" w:type="dxa"/>
              <w:left w:w="45" w:type="dxa"/>
              <w:bottom w:w="40" w:type="dxa"/>
              <w:right w:w="45" w:type="dxa"/>
            </w:tcMar>
            <w:vAlign w:val="center"/>
          </w:tcPr>
          <w:p w14:paraId="145CA65D" w14:textId="77777777" w:rsidR="00612D3C" w:rsidRDefault="007047D9">
            <w:pPr>
              <w:spacing w:after="0"/>
              <w:jc w:val="center"/>
            </w:pPr>
            <w:r>
              <w:rPr>
                <w:rFonts w:ascii="Arial" w:hAnsi="Arial"/>
                <w:b/>
                <w:color w:val="000000"/>
                <w:sz w:val="15"/>
              </w:rPr>
              <w:t>df</w:t>
            </w:r>
          </w:p>
        </w:tc>
        <w:tc>
          <w:tcPr>
            <w:tcW w:w="1180" w:type="dxa"/>
            <w:shd w:val="clear" w:color="auto" w:fill="E9EEF5"/>
            <w:tcMar>
              <w:top w:w="40" w:type="dxa"/>
              <w:left w:w="45" w:type="dxa"/>
              <w:bottom w:w="40" w:type="dxa"/>
              <w:right w:w="45" w:type="dxa"/>
            </w:tcMar>
            <w:vAlign w:val="center"/>
          </w:tcPr>
          <w:p w14:paraId="4166F395" w14:textId="77777777" w:rsidR="00612D3C" w:rsidRDefault="007047D9">
            <w:pPr>
              <w:spacing w:after="0"/>
              <w:jc w:val="center"/>
            </w:pPr>
            <w:r>
              <w:rPr>
                <w:rFonts w:ascii="Arial" w:hAnsi="Arial"/>
                <w:b/>
                <w:color w:val="000000"/>
                <w:sz w:val="15"/>
              </w:rPr>
              <w:t>p</w:t>
            </w:r>
          </w:p>
        </w:tc>
      </w:tr>
      <w:tr w:rsidR="00612D3C" w14:paraId="4F60AD21" w14:textId="77777777">
        <w:trPr>
          <w:cantSplit/>
          <w:jc w:val="center"/>
        </w:trPr>
        <w:tc>
          <w:tcPr>
            <w:tcW w:w="1036" w:type="dxa"/>
            <w:tcMar>
              <w:top w:w="40" w:type="dxa"/>
              <w:left w:w="45" w:type="dxa"/>
              <w:bottom w:w="40" w:type="dxa"/>
              <w:right w:w="45" w:type="dxa"/>
            </w:tcMar>
            <w:vAlign w:val="center"/>
          </w:tcPr>
          <w:p w14:paraId="5A4A4417" w14:textId="77777777" w:rsidR="00612D3C" w:rsidRDefault="007047D9">
            <w:pPr>
              <w:spacing w:after="0"/>
              <w:jc w:val="center"/>
            </w:pPr>
            <w:r>
              <w:rPr>
                <w:rFonts w:ascii="Arial" w:hAnsi="Arial"/>
                <w:color w:val="000000"/>
                <w:sz w:val="15"/>
              </w:rPr>
              <w:t>0.728</w:t>
            </w:r>
          </w:p>
        </w:tc>
        <w:tc>
          <w:tcPr>
            <w:tcW w:w="1036" w:type="dxa"/>
            <w:tcMar>
              <w:top w:w="40" w:type="dxa"/>
              <w:left w:w="45" w:type="dxa"/>
              <w:bottom w:w="40" w:type="dxa"/>
              <w:right w:w="45" w:type="dxa"/>
            </w:tcMar>
            <w:vAlign w:val="center"/>
          </w:tcPr>
          <w:p w14:paraId="6E230031" w14:textId="77777777" w:rsidR="00612D3C" w:rsidRDefault="007047D9">
            <w:pPr>
              <w:spacing w:after="0"/>
              <w:jc w:val="center"/>
            </w:pPr>
            <w:r>
              <w:rPr>
                <w:rFonts w:ascii="Arial" w:hAnsi="Arial"/>
                <w:color w:val="000000"/>
                <w:sz w:val="15"/>
              </w:rPr>
              <w:t>0.530</w:t>
            </w:r>
          </w:p>
        </w:tc>
        <w:tc>
          <w:tcPr>
            <w:tcW w:w="1440" w:type="dxa"/>
            <w:tcMar>
              <w:top w:w="40" w:type="dxa"/>
              <w:left w:w="45" w:type="dxa"/>
              <w:bottom w:w="40" w:type="dxa"/>
              <w:right w:w="45" w:type="dxa"/>
            </w:tcMar>
            <w:vAlign w:val="center"/>
          </w:tcPr>
          <w:p w14:paraId="4FCB4FD6" w14:textId="77777777" w:rsidR="00612D3C" w:rsidRDefault="007047D9">
            <w:pPr>
              <w:spacing w:after="0"/>
              <w:jc w:val="center"/>
            </w:pPr>
            <w:r>
              <w:rPr>
                <w:rFonts w:ascii="Arial" w:hAnsi="Arial"/>
                <w:color w:val="000000"/>
                <w:sz w:val="15"/>
              </w:rPr>
              <w:t>0.507</w:t>
            </w:r>
          </w:p>
        </w:tc>
        <w:tc>
          <w:tcPr>
            <w:tcW w:w="1036" w:type="dxa"/>
            <w:tcMar>
              <w:top w:w="40" w:type="dxa"/>
              <w:left w:w="45" w:type="dxa"/>
              <w:bottom w:w="40" w:type="dxa"/>
              <w:right w:w="45" w:type="dxa"/>
            </w:tcMar>
            <w:vAlign w:val="center"/>
          </w:tcPr>
          <w:p w14:paraId="45C29E22" w14:textId="77777777" w:rsidR="00612D3C" w:rsidRDefault="007047D9">
            <w:pPr>
              <w:spacing w:after="0"/>
              <w:jc w:val="center"/>
            </w:pPr>
            <w:r>
              <w:rPr>
                <w:rFonts w:ascii="Arial" w:hAnsi="Arial"/>
                <w:color w:val="000000"/>
                <w:sz w:val="15"/>
              </w:rPr>
              <w:t>0.652</w:t>
            </w:r>
          </w:p>
        </w:tc>
        <w:tc>
          <w:tcPr>
            <w:tcW w:w="1180" w:type="dxa"/>
            <w:tcMar>
              <w:top w:w="40" w:type="dxa"/>
              <w:left w:w="45" w:type="dxa"/>
              <w:bottom w:w="40" w:type="dxa"/>
              <w:right w:w="45" w:type="dxa"/>
            </w:tcMar>
            <w:vAlign w:val="center"/>
          </w:tcPr>
          <w:p w14:paraId="56394C93" w14:textId="77777777" w:rsidR="00612D3C" w:rsidRDefault="007047D9">
            <w:pPr>
              <w:spacing w:after="0"/>
              <w:jc w:val="center"/>
            </w:pPr>
            <w:r>
              <w:rPr>
                <w:rFonts w:ascii="Arial" w:hAnsi="Arial"/>
                <w:color w:val="000000"/>
                <w:sz w:val="15"/>
              </w:rPr>
              <w:t>22.727</w:t>
            </w:r>
          </w:p>
        </w:tc>
        <w:tc>
          <w:tcPr>
            <w:tcW w:w="1224" w:type="dxa"/>
            <w:tcMar>
              <w:top w:w="40" w:type="dxa"/>
              <w:left w:w="45" w:type="dxa"/>
              <w:bottom w:w="40" w:type="dxa"/>
              <w:right w:w="45" w:type="dxa"/>
            </w:tcMar>
            <w:vAlign w:val="center"/>
          </w:tcPr>
          <w:p w14:paraId="6F3B9584" w14:textId="77777777" w:rsidR="00612D3C" w:rsidRDefault="007047D9">
            <w:pPr>
              <w:spacing w:after="0"/>
              <w:jc w:val="center"/>
            </w:pPr>
            <w:r>
              <w:rPr>
                <w:rFonts w:ascii="Arial" w:hAnsi="Arial"/>
                <w:color w:val="000000"/>
                <w:sz w:val="15"/>
              </w:rPr>
              <w:t>7, 141</w:t>
            </w:r>
          </w:p>
        </w:tc>
        <w:tc>
          <w:tcPr>
            <w:tcW w:w="1180" w:type="dxa"/>
            <w:tcMar>
              <w:top w:w="40" w:type="dxa"/>
              <w:left w:w="45" w:type="dxa"/>
              <w:bottom w:w="40" w:type="dxa"/>
              <w:right w:w="45" w:type="dxa"/>
            </w:tcMar>
            <w:vAlign w:val="center"/>
          </w:tcPr>
          <w:p w14:paraId="5BE3DB4B" w14:textId="77777777" w:rsidR="00612D3C" w:rsidRDefault="007047D9">
            <w:pPr>
              <w:spacing w:after="0"/>
              <w:jc w:val="center"/>
            </w:pPr>
            <w:r>
              <w:rPr>
                <w:rFonts w:ascii="Arial" w:hAnsi="Arial"/>
                <w:color w:val="000000"/>
                <w:sz w:val="15"/>
              </w:rPr>
              <w:t>&lt; .001</w:t>
            </w:r>
          </w:p>
        </w:tc>
      </w:tr>
    </w:tbl>
    <w:p w14:paraId="4ADE9F82" w14:textId="77777777" w:rsidR="00612D3C" w:rsidRDefault="00612D3C">
      <w:pPr>
        <w:rPr>
          <w:rFonts w:ascii="Calibri" w:hAnsi="Calibri" w:cs="Calibri"/>
          <w:lang w:val="pt-PT"/>
        </w:rPr>
      </w:pPr>
    </w:p>
    <w:tbl>
      <w:tblPr>
        <w:tblStyle w:val="TableGrid"/>
        <w:tblW w:w="0" w:type="auto"/>
        <w:jc w:val="center"/>
        <w:tblLayout w:type="fixed"/>
        <w:tblLook w:val="04A0" w:firstRow="1" w:lastRow="0" w:firstColumn="1" w:lastColumn="0" w:noHBand="0" w:noVBand="1"/>
      </w:tblPr>
      <w:tblGrid>
        <w:gridCol w:w="1944"/>
        <w:gridCol w:w="1440"/>
        <w:gridCol w:w="936"/>
        <w:gridCol w:w="1440"/>
        <w:gridCol w:w="1296"/>
        <w:gridCol w:w="1152"/>
      </w:tblGrid>
      <w:tr w:rsidR="00612D3C" w14:paraId="06F91D18" w14:textId="77777777">
        <w:trPr>
          <w:cantSplit/>
          <w:tblHeader/>
          <w:jc w:val="center"/>
        </w:trPr>
        <w:tc>
          <w:tcPr>
            <w:tcW w:w="1152" w:type="dxa"/>
            <w:gridSpan w:val="6"/>
            <w:shd w:val="clear" w:color="auto" w:fill="D9E2F3"/>
            <w:tcMar>
              <w:top w:w="40" w:type="dxa"/>
              <w:left w:w="45" w:type="dxa"/>
              <w:bottom w:w="40" w:type="dxa"/>
              <w:right w:w="45" w:type="dxa"/>
            </w:tcMar>
            <w:vAlign w:val="center"/>
          </w:tcPr>
          <w:p w14:paraId="599A13DE" w14:textId="77777777" w:rsidR="00612D3C" w:rsidRDefault="007047D9">
            <w:pPr>
              <w:spacing w:after="0"/>
              <w:jc w:val="left"/>
            </w:pPr>
            <w:r>
              <w:rPr>
                <w:rFonts w:ascii="Arial" w:hAnsi="Arial"/>
                <w:b/>
                <w:color w:val="000000"/>
                <w:sz w:val="17"/>
              </w:rPr>
              <w:t>Table 8: ANOVA</w:t>
            </w:r>
          </w:p>
        </w:tc>
      </w:tr>
      <w:tr w:rsidR="00612D3C" w14:paraId="64D8FA6F" w14:textId="77777777">
        <w:trPr>
          <w:cantSplit/>
          <w:tblHeader/>
          <w:jc w:val="center"/>
        </w:trPr>
        <w:tc>
          <w:tcPr>
            <w:tcW w:w="1944" w:type="dxa"/>
            <w:shd w:val="clear" w:color="auto" w:fill="E9EEF5"/>
            <w:tcMar>
              <w:top w:w="40" w:type="dxa"/>
              <w:left w:w="45" w:type="dxa"/>
              <w:bottom w:w="40" w:type="dxa"/>
              <w:right w:w="45" w:type="dxa"/>
            </w:tcMar>
            <w:vAlign w:val="center"/>
          </w:tcPr>
          <w:p w14:paraId="1DDDD559" w14:textId="77777777" w:rsidR="00612D3C" w:rsidRDefault="007047D9">
            <w:pPr>
              <w:spacing w:after="0"/>
              <w:jc w:val="center"/>
            </w:pPr>
            <w:r>
              <w:rPr>
                <w:rFonts w:ascii="Arial" w:hAnsi="Arial"/>
                <w:b/>
                <w:color w:val="000000"/>
                <w:sz w:val="15"/>
              </w:rPr>
              <w:t>Source</w:t>
            </w:r>
          </w:p>
        </w:tc>
        <w:tc>
          <w:tcPr>
            <w:tcW w:w="1440" w:type="dxa"/>
            <w:shd w:val="clear" w:color="auto" w:fill="E9EEF5"/>
            <w:tcMar>
              <w:top w:w="40" w:type="dxa"/>
              <w:left w:w="45" w:type="dxa"/>
              <w:bottom w:w="40" w:type="dxa"/>
              <w:right w:w="45" w:type="dxa"/>
            </w:tcMar>
            <w:vAlign w:val="center"/>
          </w:tcPr>
          <w:p w14:paraId="624E7093" w14:textId="77777777" w:rsidR="00612D3C" w:rsidRDefault="007047D9">
            <w:pPr>
              <w:spacing w:after="0"/>
              <w:jc w:val="center"/>
            </w:pPr>
            <w:r>
              <w:rPr>
                <w:rFonts w:ascii="Arial" w:hAnsi="Arial"/>
                <w:b/>
                <w:color w:val="000000"/>
                <w:sz w:val="15"/>
              </w:rPr>
              <w:t>SS</w:t>
            </w:r>
          </w:p>
        </w:tc>
        <w:tc>
          <w:tcPr>
            <w:tcW w:w="936" w:type="dxa"/>
            <w:shd w:val="clear" w:color="auto" w:fill="E9EEF5"/>
            <w:tcMar>
              <w:top w:w="40" w:type="dxa"/>
              <w:left w:w="45" w:type="dxa"/>
              <w:bottom w:w="40" w:type="dxa"/>
              <w:right w:w="45" w:type="dxa"/>
            </w:tcMar>
            <w:vAlign w:val="center"/>
          </w:tcPr>
          <w:p w14:paraId="7641AEE9" w14:textId="77777777" w:rsidR="00612D3C" w:rsidRDefault="007047D9">
            <w:pPr>
              <w:spacing w:after="0"/>
              <w:jc w:val="center"/>
            </w:pPr>
            <w:r>
              <w:rPr>
                <w:rFonts w:ascii="Arial" w:hAnsi="Arial"/>
                <w:b/>
                <w:color w:val="000000"/>
                <w:sz w:val="15"/>
              </w:rPr>
              <w:t>df</w:t>
            </w:r>
          </w:p>
        </w:tc>
        <w:tc>
          <w:tcPr>
            <w:tcW w:w="1440" w:type="dxa"/>
            <w:shd w:val="clear" w:color="auto" w:fill="E9EEF5"/>
            <w:tcMar>
              <w:top w:w="40" w:type="dxa"/>
              <w:left w:w="45" w:type="dxa"/>
              <w:bottom w:w="40" w:type="dxa"/>
              <w:right w:w="45" w:type="dxa"/>
            </w:tcMar>
            <w:vAlign w:val="center"/>
          </w:tcPr>
          <w:p w14:paraId="50E015FB" w14:textId="77777777" w:rsidR="00612D3C" w:rsidRDefault="007047D9">
            <w:pPr>
              <w:spacing w:after="0"/>
              <w:jc w:val="center"/>
            </w:pPr>
            <w:r>
              <w:rPr>
                <w:rFonts w:ascii="Arial" w:hAnsi="Arial"/>
                <w:b/>
                <w:color w:val="000000"/>
                <w:sz w:val="15"/>
              </w:rPr>
              <w:t>MS</w:t>
            </w:r>
          </w:p>
        </w:tc>
        <w:tc>
          <w:tcPr>
            <w:tcW w:w="1296" w:type="dxa"/>
            <w:shd w:val="clear" w:color="auto" w:fill="E9EEF5"/>
            <w:tcMar>
              <w:top w:w="40" w:type="dxa"/>
              <w:left w:w="45" w:type="dxa"/>
              <w:bottom w:w="40" w:type="dxa"/>
              <w:right w:w="45" w:type="dxa"/>
            </w:tcMar>
            <w:vAlign w:val="center"/>
          </w:tcPr>
          <w:p w14:paraId="3FB82942" w14:textId="77777777" w:rsidR="00612D3C" w:rsidRDefault="007047D9">
            <w:pPr>
              <w:spacing w:after="0"/>
              <w:jc w:val="center"/>
            </w:pPr>
            <w:r>
              <w:rPr>
                <w:rFonts w:ascii="Arial" w:hAnsi="Arial"/>
                <w:b/>
                <w:color w:val="000000"/>
                <w:sz w:val="15"/>
              </w:rPr>
              <w:t>F</w:t>
            </w:r>
          </w:p>
        </w:tc>
        <w:tc>
          <w:tcPr>
            <w:tcW w:w="1152" w:type="dxa"/>
            <w:shd w:val="clear" w:color="auto" w:fill="E9EEF5"/>
            <w:tcMar>
              <w:top w:w="40" w:type="dxa"/>
              <w:left w:w="45" w:type="dxa"/>
              <w:bottom w:w="40" w:type="dxa"/>
              <w:right w:w="45" w:type="dxa"/>
            </w:tcMar>
            <w:vAlign w:val="center"/>
          </w:tcPr>
          <w:p w14:paraId="1713921C" w14:textId="77777777" w:rsidR="00612D3C" w:rsidRDefault="007047D9">
            <w:pPr>
              <w:spacing w:after="0"/>
              <w:jc w:val="center"/>
            </w:pPr>
            <w:r>
              <w:rPr>
                <w:rFonts w:ascii="Arial" w:hAnsi="Arial"/>
                <w:b/>
                <w:color w:val="000000"/>
                <w:sz w:val="15"/>
              </w:rPr>
              <w:t>p</w:t>
            </w:r>
          </w:p>
        </w:tc>
      </w:tr>
      <w:tr w:rsidR="00612D3C" w14:paraId="3A222C52" w14:textId="77777777">
        <w:trPr>
          <w:cantSplit/>
          <w:jc w:val="center"/>
        </w:trPr>
        <w:tc>
          <w:tcPr>
            <w:tcW w:w="1944" w:type="dxa"/>
            <w:tcMar>
              <w:top w:w="40" w:type="dxa"/>
              <w:left w:w="45" w:type="dxa"/>
              <w:bottom w:w="40" w:type="dxa"/>
              <w:right w:w="45" w:type="dxa"/>
            </w:tcMar>
            <w:vAlign w:val="center"/>
          </w:tcPr>
          <w:p w14:paraId="730C725A" w14:textId="77777777" w:rsidR="00612D3C" w:rsidRDefault="007047D9">
            <w:pPr>
              <w:spacing w:after="0"/>
              <w:jc w:val="left"/>
            </w:pPr>
            <w:r>
              <w:rPr>
                <w:rFonts w:ascii="Arial" w:hAnsi="Arial"/>
                <w:color w:val="000000"/>
                <w:sz w:val="15"/>
              </w:rPr>
              <w:t>Regression</w:t>
            </w:r>
          </w:p>
        </w:tc>
        <w:tc>
          <w:tcPr>
            <w:tcW w:w="1440" w:type="dxa"/>
            <w:tcMar>
              <w:top w:w="40" w:type="dxa"/>
              <w:left w:w="45" w:type="dxa"/>
              <w:bottom w:w="40" w:type="dxa"/>
              <w:right w:w="45" w:type="dxa"/>
            </w:tcMar>
            <w:vAlign w:val="center"/>
          </w:tcPr>
          <w:p w14:paraId="3F8BD477" w14:textId="77777777" w:rsidR="00612D3C" w:rsidRDefault="007047D9">
            <w:pPr>
              <w:spacing w:after="0"/>
              <w:jc w:val="center"/>
            </w:pPr>
            <w:r>
              <w:rPr>
                <w:rFonts w:ascii="Arial" w:hAnsi="Arial"/>
                <w:color w:val="000000"/>
                <w:sz w:val="15"/>
              </w:rPr>
              <w:t>67.730</w:t>
            </w:r>
          </w:p>
        </w:tc>
        <w:tc>
          <w:tcPr>
            <w:tcW w:w="936" w:type="dxa"/>
            <w:tcMar>
              <w:top w:w="40" w:type="dxa"/>
              <w:left w:w="45" w:type="dxa"/>
              <w:bottom w:w="40" w:type="dxa"/>
              <w:right w:w="45" w:type="dxa"/>
            </w:tcMar>
            <w:vAlign w:val="center"/>
          </w:tcPr>
          <w:p w14:paraId="7262B71D" w14:textId="77777777" w:rsidR="00612D3C" w:rsidRDefault="007047D9">
            <w:pPr>
              <w:spacing w:after="0"/>
              <w:jc w:val="center"/>
            </w:pPr>
            <w:r>
              <w:rPr>
                <w:rFonts w:ascii="Arial" w:hAnsi="Arial"/>
                <w:color w:val="000000"/>
                <w:sz w:val="15"/>
              </w:rPr>
              <w:t>7</w:t>
            </w:r>
          </w:p>
        </w:tc>
        <w:tc>
          <w:tcPr>
            <w:tcW w:w="1440" w:type="dxa"/>
            <w:tcMar>
              <w:top w:w="40" w:type="dxa"/>
              <w:left w:w="45" w:type="dxa"/>
              <w:bottom w:w="40" w:type="dxa"/>
              <w:right w:w="45" w:type="dxa"/>
            </w:tcMar>
            <w:vAlign w:val="center"/>
          </w:tcPr>
          <w:p w14:paraId="5017C43A" w14:textId="77777777" w:rsidR="00612D3C" w:rsidRDefault="007047D9">
            <w:pPr>
              <w:spacing w:after="0"/>
              <w:jc w:val="center"/>
            </w:pPr>
            <w:r>
              <w:rPr>
                <w:rFonts w:ascii="Arial" w:hAnsi="Arial"/>
                <w:color w:val="000000"/>
                <w:sz w:val="15"/>
              </w:rPr>
              <w:t>9.676</w:t>
            </w:r>
          </w:p>
        </w:tc>
        <w:tc>
          <w:tcPr>
            <w:tcW w:w="1296" w:type="dxa"/>
            <w:tcMar>
              <w:top w:w="40" w:type="dxa"/>
              <w:left w:w="45" w:type="dxa"/>
              <w:bottom w:w="40" w:type="dxa"/>
              <w:right w:w="45" w:type="dxa"/>
            </w:tcMar>
            <w:vAlign w:val="center"/>
          </w:tcPr>
          <w:p w14:paraId="3ACFC61A" w14:textId="77777777" w:rsidR="00612D3C" w:rsidRDefault="007047D9">
            <w:pPr>
              <w:spacing w:after="0"/>
              <w:jc w:val="center"/>
            </w:pPr>
            <w:r>
              <w:rPr>
                <w:rFonts w:ascii="Arial" w:hAnsi="Arial"/>
                <w:color w:val="000000"/>
                <w:sz w:val="15"/>
              </w:rPr>
              <w:t>22.727</w:t>
            </w:r>
          </w:p>
        </w:tc>
        <w:tc>
          <w:tcPr>
            <w:tcW w:w="1152" w:type="dxa"/>
            <w:tcMar>
              <w:top w:w="40" w:type="dxa"/>
              <w:left w:w="45" w:type="dxa"/>
              <w:bottom w:w="40" w:type="dxa"/>
              <w:right w:w="45" w:type="dxa"/>
            </w:tcMar>
            <w:vAlign w:val="center"/>
          </w:tcPr>
          <w:p w14:paraId="4FEFB5E7" w14:textId="77777777" w:rsidR="00612D3C" w:rsidRDefault="007047D9">
            <w:pPr>
              <w:spacing w:after="0"/>
              <w:jc w:val="center"/>
            </w:pPr>
            <w:r>
              <w:rPr>
                <w:rFonts w:ascii="Arial" w:hAnsi="Arial"/>
                <w:color w:val="000000"/>
                <w:sz w:val="15"/>
              </w:rPr>
              <w:t>&lt; .001</w:t>
            </w:r>
          </w:p>
        </w:tc>
      </w:tr>
      <w:tr w:rsidR="00612D3C" w14:paraId="635EFBF9" w14:textId="77777777">
        <w:trPr>
          <w:cantSplit/>
          <w:jc w:val="center"/>
        </w:trPr>
        <w:tc>
          <w:tcPr>
            <w:tcW w:w="1944" w:type="dxa"/>
            <w:tcMar>
              <w:top w:w="40" w:type="dxa"/>
              <w:left w:w="45" w:type="dxa"/>
              <w:bottom w:w="40" w:type="dxa"/>
              <w:right w:w="45" w:type="dxa"/>
            </w:tcMar>
            <w:vAlign w:val="center"/>
          </w:tcPr>
          <w:p w14:paraId="4C0B119E" w14:textId="77777777" w:rsidR="00612D3C" w:rsidRDefault="007047D9">
            <w:pPr>
              <w:spacing w:after="0"/>
              <w:jc w:val="left"/>
            </w:pPr>
            <w:r>
              <w:rPr>
                <w:rFonts w:ascii="Arial" w:hAnsi="Arial"/>
                <w:color w:val="000000"/>
                <w:sz w:val="15"/>
              </w:rPr>
              <w:t>Residual</w:t>
            </w:r>
          </w:p>
        </w:tc>
        <w:tc>
          <w:tcPr>
            <w:tcW w:w="1440" w:type="dxa"/>
            <w:tcMar>
              <w:top w:w="40" w:type="dxa"/>
              <w:left w:w="45" w:type="dxa"/>
              <w:bottom w:w="40" w:type="dxa"/>
              <w:right w:w="45" w:type="dxa"/>
            </w:tcMar>
            <w:vAlign w:val="center"/>
          </w:tcPr>
          <w:p w14:paraId="5FAFAD58" w14:textId="77777777" w:rsidR="00612D3C" w:rsidRDefault="007047D9">
            <w:pPr>
              <w:spacing w:after="0"/>
              <w:jc w:val="center"/>
            </w:pPr>
            <w:r>
              <w:rPr>
                <w:rFonts w:ascii="Arial" w:hAnsi="Arial"/>
                <w:color w:val="000000"/>
                <w:sz w:val="15"/>
              </w:rPr>
              <w:t>60.028</w:t>
            </w:r>
          </w:p>
        </w:tc>
        <w:tc>
          <w:tcPr>
            <w:tcW w:w="936" w:type="dxa"/>
            <w:tcMar>
              <w:top w:w="40" w:type="dxa"/>
              <w:left w:w="45" w:type="dxa"/>
              <w:bottom w:w="40" w:type="dxa"/>
              <w:right w:w="45" w:type="dxa"/>
            </w:tcMar>
            <w:vAlign w:val="center"/>
          </w:tcPr>
          <w:p w14:paraId="7199E5BA" w14:textId="77777777" w:rsidR="00612D3C" w:rsidRDefault="007047D9">
            <w:pPr>
              <w:spacing w:after="0"/>
              <w:jc w:val="center"/>
            </w:pPr>
            <w:r>
              <w:rPr>
                <w:rFonts w:ascii="Arial" w:hAnsi="Arial"/>
                <w:color w:val="000000"/>
                <w:sz w:val="15"/>
              </w:rPr>
              <w:t>141</w:t>
            </w:r>
          </w:p>
        </w:tc>
        <w:tc>
          <w:tcPr>
            <w:tcW w:w="1440" w:type="dxa"/>
            <w:tcMar>
              <w:top w:w="40" w:type="dxa"/>
              <w:left w:w="45" w:type="dxa"/>
              <w:bottom w:w="40" w:type="dxa"/>
              <w:right w:w="45" w:type="dxa"/>
            </w:tcMar>
            <w:vAlign w:val="center"/>
          </w:tcPr>
          <w:p w14:paraId="380F0BD4" w14:textId="77777777" w:rsidR="00612D3C" w:rsidRDefault="007047D9">
            <w:pPr>
              <w:spacing w:after="0"/>
              <w:jc w:val="center"/>
            </w:pPr>
            <w:r>
              <w:rPr>
                <w:rFonts w:ascii="Arial" w:hAnsi="Arial"/>
                <w:color w:val="000000"/>
                <w:sz w:val="15"/>
              </w:rPr>
              <w:t>0.426</w:t>
            </w:r>
          </w:p>
        </w:tc>
        <w:tc>
          <w:tcPr>
            <w:tcW w:w="1296" w:type="dxa"/>
            <w:tcMar>
              <w:top w:w="40" w:type="dxa"/>
              <w:left w:w="45" w:type="dxa"/>
              <w:bottom w:w="40" w:type="dxa"/>
              <w:right w:w="45" w:type="dxa"/>
            </w:tcMar>
            <w:vAlign w:val="center"/>
          </w:tcPr>
          <w:p w14:paraId="34459637" w14:textId="77777777" w:rsidR="00612D3C" w:rsidRDefault="00612D3C">
            <w:pPr>
              <w:spacing w:after="0"/>
              <w:jc w:val="center"/>
            </w:pPr>
          </w:p>
        </w:tc>
        <w:tc>
          <w:tcPr>
            <w:tcW w:w="1152" w:type="dxa"/>
            <w:tcMar>
              <w:top w:w="40" w:type="dxa"/>
              <w:left w:w="45" w:type="dxa"/>
              <w:bottom w:w="40" w:type="dxa"/>
              <w:right w:w="45" w:type="dxa"/>
            </w:tcMar>
            <w:vAlign w:val="center"/>
          </w:tcPr>
          <w:p w14:paraId="6CA0796B" w14:textId="77777777" w:rsidR="00612D3C" w:rsidRDefault="00612D3C">
            <w:pPr>
              <w:spacing w:after="0"/>
              <w:jc w:val="center"/>
            </w:pPr>
          </w:p>
        </w:tc>
      </w:tr>
      <w:tr w:rsidR="00612D3C" w14:paraId="2B00B846" w14:textId="77777777">
        <w:trPr>
          <w:cantSplit/>
          <w:jc w:val="center"/>
        </w:trPr>
        <w:tc>
          <w:tcPr>
            <w:tcW w:w="1944" w:type="dxa"/>
            <w:tcMar>
              <w:top w:w="40" w:type="dxa"/>
              <w:left w:w="45" w:type="dxa"/>
              <w:bottom w:w="40" w:type="dxa"/>
              <w:right w:w="45" w:type="dxa"/>
            </w:tcMar>
            <w:vAlign w:val="center"/>
          </w:tcPr>
          <w:p w14:paraId="4DF57445" w14:textId="77777777" w:rsidR="00612D3C" w:rsidRDefault="007047D9">
            <w:pPr>
              <w:spacing w:after="0"/>
              <w:jc w:val="left"/>
            </w:pPr>
            <w:r>
              <w:rPr>
                <w:rFonts w:ascii="Arial" w:hAnsi="Arial"/>
                <w:color w:val="000000"/>
                <w:sz w:val="15"/>
              </w:rPr>
              <w:t>Total</w:t>
            </w:r>
          </w:p>
        </w:tc>
        <w:tc>
          <w:tcPr>
            <w:tcW w:w="1440" w:type="dxa"/>
            <w:tcMar>
              <w:top w:w="40" w:type="dxa"/>
              <w:left w:w="45" w:type="dxa"/>
              <w:bottom w:w="40" w:type="dxa"/>
              <w:right w:w="45" w:type="dxa"/>
            </w:tcMar>
            <w:vAlign w:val="center"/>
          </w:tcPr>
          <w:p w14:paraId="5C7A5BB9" w14:textId="77777777" w:rsidR="00612D3C" w:rsidRDefault="007047D9">
            <w:pPr>
              <w:spacing w:after="0"/>
              <w:jc w:val="center"/>
            </w:pPr>
            <w:r>
              <w:rPr>
                <w:rFonts w:ascii="Arial" w:hAnsi="Arial"/>
                <w:color w:val="000000"/>
                <w:sz w:val="15"/>
              </w:rPr>
              <w:t>127.758</w:t>
            </w:r>
          </w:p>
        </w:tc>
        <w:tc>
          <w:tcPr>
            <w:tcW w:w="936" w:type="dxa"/>
            <w:tcMar>
              <w:top w:w="40" w:type="dxa"/>
              <w:left w:w="45" w:type="dxa"/>
              <w:bottom w:w="40" w:type="dxa"/>
              <w:right w:w="45" w:type="dxa"/>
            </w:tcMar>
            <w:vAlign w:val="center"/>
          </w:tcPr>
          <w:p w14:paraId="5D1DAE2F" w14:textId="77777777" w:rsidR="00612D3C" w:rsidRDefault="007047D9">
            <w:pPr>
              <w:spacing w:after="0"/>
              <w:jc w:val="center"/>
            </w:pPr>
            <w:r>
              <w:rPr>
                <w:rFonts w:ascii="Arial" w:hAnsi="Arial"/>
                <w:color w:val="000000"/>
                <w:sz w:val="15"/>
              </w:rPr>
              <w:t>148</w:t>
            </w:r>
          </w:p>
        </w:tc>
        <w:tc>
          <w:tcPr>
            <w:tcW w:w="1440" w:type="dxa"/>
            <w:tcMar>
              <w:top w:w="40" w:type="dxa"/>
              <w:left w:w="45" w:type="dxa"/>
              <w:bottom w:w="40" w:type="dxa"/>
              <w:right w:w="45" w:type="dxa"/>
            </w:tcMar>
            <w:vAlign w:val="center"/>
          </w:tcPr>
          <w:p w14:paraId="56B02314" w14:textId="77777777" w:rsidR="00612D3C" w:rsidRDefault="00612D3C">
            <w:pPr>
              <w:spacing w:after="0"/>
              <w:jc w:val="center"/>
            </w:pPr>
          </w:p>
        </w:tc>
        <w:tc>
          <w:tcPr>
            <w:tcW w:w="1296" w:type="dxa"/>
            <w:tcMar>
              <w:top w:w="40" w:type="dxa"/>
              <w:left w:w="45" w:type="dxa"/>
              <w:bottom w:w="40" w:type="dxa"/>
              <w:right w:w="45" w:type="dxa"/>
            </w:tcMar>
            <w:vAlign w:val="center"/>
          </w:tcPr>
          <w:p w14:paraId="3E3EA695" w14:textId="77777777" w:rsidR="00612D3C" w:rsidRDefault="00612D3C">
            <w:pPr>
              <w:spacing w:after="0"/>
              <w:jc w:val="center"/>
            </w:pPr>
          </w:p>
        </w:tc>
        <w:tc>
          <w:tcPr>
            <w:tcW w:w="1152" w:type="dxa"/>
            <w:tcMar>
              <w:top w:w="40" w:type="dxa"/>
              <w:left w:w="45" w:type="dxa"/>
              <w:bottom w:w="40" w:type="dxa"/>
              <w:right w:w="45" w:type="dxa"/>
            </w:tcMar>
            <w:vAlign w:val="center"/>
          </w:tcPr>
          <w:p w14:paraId="048986B0" w14:textId="77777777" w:rsidR="00612D3C" w:rsidRDefault="00612D3C">
            <w:pPr>
              <w:spacing w:after="0"/>
              <w:jc w:val="center"/>
            </w:pPr>
          </w:p>
        </w:tc>
      </w:tr>
      <w:tr w:rsidR="00612D3C" w14:paraId="7ABF3470" w14:textId="77777777">
        <w:trPr>
          <w:cantSplit/>
          <w:jc w:val="center"/>
        </w:trPr>
        <w:tc>
          <w:tcPr>
            <w:tcW w:w="1152" w:type="dxa"/>
            <w:gridSpan w:val="6"/>
            <w:tcMar>
              <w:top w:w="40" w:type="dxa"/>
              <w:left w:w="45" w:type="dxa"/>
              <w:bottom w:w="40" w:type="dxa"/>
              <w:right w:w="45" w:type="dxa"/>
            </w:tcMar>
            <w:vAlign w:val="center"/>
          </w:tcPr>
          <w:p w14:paraId="55AA20F5" w14:textId="77777777" w:rsidR="00612D3C" w:rsidRDefault="007047D9">
            <w:pPr>
              <w:spacing w:after="0"/>
              <w:jc w:val="left"/>
            </w:pPr>
            <w:r>
              <w:rPr>
                <w:rFonts w:ascii="Arial" w:hAnsi="Arial"/>
                <w:color w:val="000000"/>
                <w:sz w:val="14"/>
              </w:rPr>
              <w:t>Dependent variable: customer satisfaction.</w:t>
            </w:r>
          </w:p>
        </w:tc>
      </w:tr>
    </w:tbl>
    <w:p w14:paraId="144B99F0" w14:textId="77777777" w:rsidR="00612D3C" w:rsidRDefault="00612D3C">
      <w:pPr>
        <w:rPr>
          <w:rFonts w:ascii="Calibri" w:hAnsi="Calibri" w:cs="Calibri"/>
          <w:lang w:val="pt-PT"/>
        </w:rPr>
      </w:pPr>
    </w:p>
    <w:p w14:paraId="335D3938" w14:textId="77777777" w:rsidR="00612D3C" w:rsidRDefault="00612D3C">
      <w:pPr>
        <w:rPr>
          <w:rFonts w:ascii="Calibri" w:hAnsi="Calibri" w:cs="Calibri"/>
          <w:lang w:val="pt-PT"/>
        </w:rPr>
      </w:pPr>
    </w:p>
    <w:tbl>
      <w:tblPr>
        <w:tblStyle w:val="TableGrid"/>
        <w:tblW w:w="0" w:type="auto"/>
        <w:jc w:val="center"/>
        <w:tblLayout w:type="fixed"/>
        <w:tblLook w:val="04A0" w:firstRow="1" w:lastRow="0" w:firstColumn="1" w:lastColumn="0" w:noHBand="0" w:noVBand="1"/>
      </w:tblPr>
      <w:tblGrid>
        <w:gridCol w:w="2160"/>
        <w:gridCol w:w="864"/>
        <w:gridCol w:w="936"/>
        <w:gridCol w:w="864"/>
        <w:gridCol w:w="936"/>
        <w:gridCol w:w="1007"/>
        <w:gridCol w:w="1267"/>
        <w:gridCol w:w="1007"/>
      </w:tblGrid>
      <w:tr w:rsidR="00612D3C" w14:paraId="483A78C1" w14:textId="77777777">
        <w:trPr>
          <w:cantSplit/>
          <w:tblHeader/>
          <w:jc w:val="center"/>
        </w:trPr>
        <w:tc>
          <w:tcPr>
            <w:tcW w:w="1007" w:type="dxa"/>
            <w:gridSpan w:val="8"/>
            <w:shd w:val="clear" w:color="auto" w:fill="D9E2F3"/>
            <w:tcMar>
              <w:top w:w="40" w:type="dxa"/>
              <w:left w:w="45" w:type="dxa"/>
              <w:bottom w:w="40" w:type="dxa"/>
              <w:right w:w="45" w:type="dxa"/>
            </w:tcMar>
            <w:vAlign w:val="center"/>
          </w:tcPr>
          <w:p w14:paraId="1A68F98E" w14:textId="77777777" w:rsidR="00612D3C" w:rsidRDefault="007047D9">
            <w:pPr>
              <w:spacing w:after="0"/>
              <w:jc w:val="left"/>
            </w:pPr>
            <w:r>
              <w:rPr>
                <w:rFonts w:ascii="Arial" w:hAnsi="Arial"/>
                <w:b/>
                <w:color w:val="000000"/>
                <w:sz w:val="17"/>
              </w:rPr>
              <w:t>Table 9: Regression coefficients</w:t>
            </w:r>
          </w:p>
        </w:tc>
      </w:tr>
      <w:tr w:rsidR="00612D3C" w14:paraId="460041D5" w14:textId="77777777">
        <w:trPr>
          <w:cantSplit/>
          <w:tblHeader/>
          <w:jc w:val="center"/>
        </w:trPr>
        <w:tc>
          <w:tcPr>
            <w:tcW w:w="2160" w:type="dxa"/>
            <w:shd w:val="clear" w:color="auto" w:fill="E9EEF5"/>
            <w:tcMar>
              <w:top w:w="40" w:type="dxa"/>
              <w:left w:w="45" w:type="dxa"/>
              <w:bottom w:w="40" w:type="dxa"/>
              <w:right w:w="45" w:type="dxa"/>
            </w:tcMar>
            <w:vAlign w:val="center"/>
          </w:tcPr>
          <w:p w14:paraId="0637587D" w14:textId="77777777" w:rsidR="00612D3C" w:rsidRDefault="007047D9">
            <w:pPr>
              <w:spacing w:after="0"/>
              <w:jc w:val="center"/>
            </w:pPr>
            <w:r>
              <w:rPr>
                <w:rFonts w:ascii="Arial" w:hAnsi="Arial"/>
                <w:b/>
                <w:color w:val="000000"/>
                <w:sz w:val="14"/>
              </w:rPr>
              <w:t>Predictor</w:t>
            </w:r>
          </w:p>
        </w:tc>
        <w:tc>
          <w:tcPr>
            <w:tcW w:w="864" w:type="dxa"/>
            <w:shd w:val="clear" w:color="auto" w:fill="E9EEF5"/>
            <w:tcMar>
              <w:top w:w="40" w:type="dxa"/>
              <w:left w:w="45" w:type="dxa"/>
              <w:bottom w:w="40" w:type="dxa"/>
              <w:right w:w="45" w:type="dxa"/>
            </w:tcMar>
            <w:vAlign w:val="center"/>
          </w:tcPr>
          <w:p w14:paraId="144A54C2" w14:textId="77777777" w:rsidR="00612D3C" w:rsidRDefault="007047D9">
            <w:pPr>
              <w:spacing w:after="0"/>
              <w:jc w:val="center"/>
            </w:pPr>
            <w:r>
              <w:rPr>
                <w:rFonts w:ascii="Arial" w:hAnsi="Arial"/>
                <w:b/>
                <w:color w:val="000000"/>
                <w:sz w:val="14"/>
              </w:rPr>
              <w:t>B</w:t>
            </w:r>
          </w:p>
        </w:tc>
        <w:tc>
          <w:tcPr>
            <w:tcW w:w="936" w:type="dxa"/>
            <w:shd w:val="clear" w:color="auto" w:fill="E9EEF5"/>
            <w:tcMar>
              <w:top w:w="40" w:type="dxa"/>
              <w:left w:w="45" w:type="dxa"/>
              <w:bottom w:w="40" w:type="dxa"/>
              <w:right w:w="45" w:type="dxa"/>
            </w:tcMar>
            <w:vAlign w:val="center"/>
          </w:tcPr>
          <w:p w14:paraId="02A24370" w14:textId="77777777" w:rsidR="00612D3C" w:rsidRDefault="007047D9">
            <w:pPr>
              <w:spacing w:after="0"/>
              <w:jc w:val="center"/>
            </w:pPr>
            <w:r>
              <w:rPr>
                <w:rFonts w:ascii="Arial" w:hAnsi="Arial"/>
                <w:b/>
                <w:color w:val="000000"/>
                <w:sz w:val="14"/>
              </w:rPr>
              <w:t>SE</w:t>
            </w:r>
          </w:p>
        </w:tc>
        <w:tc>
          <w:tcPr>
            <w:tcW w:w="864" w:type="dxa"/>
            <w:shd w:val="clear" w:color="auto" w:fill="E9EEF5"/>
            <w:tcMar>
              <w:top w:w="40" w:type="dxa"/>
              <w:left w:w="45" w:type="dxa"/>
              <w:bottom w:w="40" w:type="dxa"/>
              <w:right w:w="45" w:type="dxa"/>
            </w:tcMar>
            <w:vAlign w:val="center"/>
          </w:tcPr>
          <w:p w14:paraId="2601D291" w14:textId="77777777" w:rsidR="00612D3C" w:rsidRDefault="007047D9">
            <w:pPr>
              <w:spacing w:after="0"/>
              <w:jc w:val="center"/>
            </w:pPr>
            <w:r>
              <w:rPr>
                <w:rFonts w:ascii="Arial" w:hAnsi="Arial"/>
                <w:b/>
                <w:color w:val="000000"/>
                <w:sz w:val="14"/>
              </w:rPr>
              <w:t>β</w:t>
            </w:r>
          </w:p>
        </w:tc>
        <w:tc>
          <w:tcPr>
            <w:tcW w:w="936" w:type="dxa"/>
            <w:shd w:val="clear" w:color="auto" w:fill="E9EEF5"/>
            <w:tcMar>
              <w:top w:w="40" w:type="dxa"/>
              <w:left w:w="45" w:type="dxa"/>
              <w:bottom w:w="40" w:type="dxa"/>
              <w:right w:w="45" w:type="dxa"/>
            </w:tcMar>
            <w:vAlign w:val="center"/>
          </w:tcPr>
          <w:p w14:paraId="2EF7C4F8" w14:textId="77777777" w:rsidR="00612D3C" w:rsidRDefault="007047D9">
            <w:pPr>
              <w:spacing w:after="0"/>
              <w:jc w:val="center"/>
            </w:pPr>
            <w:r>
              <w:rPr>
                <w:rFonts w:ascii="Arial" w:hAnsi="Arial"/>
                <w:b/>
                <w:color w:val="000000"/>
                <w:sz w:val="14"/>
              </w:rPr>
              <w:t>t</w:t>
            </w:r>
          </w:p>
        </w:tc>
        <w:tc>
          <w:tcPr>
            <w:tcW w:w="1007" w:type="dxa"/>
            <w:shd w:val="clear" w:color="auto" w:fill="E9EEF5"/>
            <w:tcMar>
              <w:top w:w="40" w:type="dxa"/>
              <w:left w:w="45" w:type="dxa"/>
              <w:bottom w:w="40" w:type="dxa"/>
              <w:right w:w="45" w:type="dxa"/>
            </w:tcMar>
            <w:vAlign w:val="center"/>
          </w:tcPr>
          <w:p w14:paraId="724C22BA" w14:textId="77777777" w:rsidR="00612D3C" w:rsidRDefault="007047D9">
            <w:pPr>
              <w:spacing w:after="0"/>
              <w:jc w:val="center"/>
            </w:pPr>
            <w:r>
              <w:rPr>
                <w:rFonts w:ascii="Arial" w:hAnsi="Arial"/>
                <w:b/>
                <w:color w:val="000000"/>
                <w:sz w:val="14"/>
              </w:rPr>
              <w:t>p</w:t>
            </w:r>
          </w:p>
        </w:tc>
        <w:tc>
          <w:tcPr>
            <w:tcW w:w="1267" w:type="dxa"/>
            <w:shd w:val="clear" w:color="auto" w:fill="E9EEF5"/>
            <w:tcMar>
              <w:top w:w="40" w:type="dxa"/>
              <w:left w:w="45" w:type="dxa"/>
              <w:bottom w:w="40" w:type="dxa"/>
              <w:right w:w="45" w:type="dxa"/>
            </w:tcMar>
            <w:vAlign w:val="center"/>
          </w:tcPr>
          <w:p w14:paraId="6DDD2218" w14:textId="77777777" w:rsidR="00612D3C" w:rsidRDefault="007047D9">
            <w:pPr>
              <w:spacing w:after="0"/>
              <w:jc w:val="center"/>
            </w:pPr>
            <w:r>
              <w:rPr>
                <w:rFonts w:ascii="Arial" w:hAnsi="Arial"/>
                <w:b/>
                <w:color w:val="000000"/>
                <w:sz w:val="14"/>
              </w:rPr>
              <w:t>Tolerance</w:t>
            </w:r>
          </w:p>
        </w:tc>
        <w:tc>
          <w:tcPr>
            <w:tcW w:w="1007" w:type="dxa"/>
            <w:shd w:val="clear" w:color="auto" w:fill="E9EEF5"/>
            <w:tcMar>
              <w:top w:w="40" w:type="dxa"/>
              <w:left w:w="45" w:type="dxa"/>
              <w:bottom w:w="40" w:type="dxa"/>
              <w:right w:w="45" w:type="dxa"/>
            </w:tcMar>
            <w:vAlign w:val="center"/>
          </w:tcPr>
          <w:p w14:paraId="5771DB8B" w14:textId="77777777" w:rsidR="00612D3C" w:rsidRDefault="007047D9">
            <w:pPr>
              <w:spacing w:after="0"/>
              <w:jc w:val="center"/>
            </w:pPr>
            <w:r>
              <w:rPr>
                <w:rFonts w:ascii="Arial" w:hAnsi="Arial"/>
                <w:b/>
                <w:color w:val="000000"/>
                <w:sz w:val="14"/>
              </w:rPr>
              <w:t>VIF</w:t>
            </w:r>
          </w:p>
        </w:tc>
      </w:tr>
      <w:tr w:rsidR="00612D3C" w14:paraId="315D4432" w14:textId="77777777">
        <w:trPr>
          <w:cantSplit/>
          <w:jc w:val="center"/>
        </w:trPr>
        <w:tc>
          <w:tcPr>
            <w:tcW w:w="2160" w:type="dxa"/>
            <w:tcMar>
              <w:top w:w="40" w:type="dxa"/>
              <w:left w:w="45" w:type="dxa"/>
              <w:bottom w:w="40" w:type="dxa"/>
              <w:right w:w="45" w:type="dxa"/>
            </w:tcMar>
            <w:vAlign w:val="center"/>
          </w:tcPr>
          <w:p w14:paraId="12EA5628" w14:textId="77777777" w:rsidR="00612D3C" w:rsidRDefault="007047D9">
            <w:pPr>
              <w:spacing w:after="0"/>
              <w:jc w:val="left"/>
            </w:pPr>
            <w:r>
              <w:rPr>
                <w:rFonts w:ascii="Arial" w:hAnsi="Arial"/>
                <w:color w:val="000000"/>
                <w:sz w:val="14"/>
              </w:rPr>
              <w:t>Constant</w:t>
            </w:r>
          </w:p>
        </w:tc>
        <w:tc>
          <w:tcPr>
            <w:tcW w:w="864" w:type="dxa"/>
            <w:tcMar>
              <w:top w:w="40" w:type="dxa"/>
              <w:left w:w="45" w:type="dxa"/>
              <w:bottom w:w="40" w:type="dxa"/>
              <w:right w:w="45" w:type="dxa"/>
            </w:tcMar>
            <w:vAlign w:val="center"/>
          </w:tcPr>
          <w:p w14:paraId="42F804D6" w14:textId="77777777" w:rsidR="00612D3C" w:rsidRDefault="007047D9">
            <w:pPr>
              <w:spacing w:after="0"/>
              <w:jc w:val="center"/>
            </w:pPr>
            <w:r>
              <w:rPr>
                <w:rFonts w:ascii="Arial" w:hAnsi="Arial"/>
                <w:color w:val="000000"/>
                <w:sz w:val="14"/>
              </w:rPr>
              <w:t>.516</w:t>
            </w:r>
          </w:p>
        </w:tc>
        <w:tc>
          <w:tcPr>
            <w:tcW w:w="936" w:type="dxa"/>
            <w:tcMar>
              <w:top w:w="40" w:type="dxa"/>
              <w:left w:w="45" w:type="dxa"/>
              <w:bottom w:w="40" w:type="dxa"/>
              <w:right w:w="45" w:type="dxa"/>
            </w:tcMar>
            <w:vAlign w:val="center"/>
          </w:tcPr>
          <w:p w14:paraId="3FDE6A72" w14:textId="77777777" w:rsidR="00612D3C" w:rsidRDefault="007047D9">
            <w:pPr>
              <w:spacing w:after="0"/>
              <w:jc w:val="center"/>
            </w:pPr>
            <w:r>
              <w:rPr>
                <w:rFonts w:ascii="Arial" w:hAnsi="Arial"/>
                <w:color w:val="000000"/>
                <w:sz w:val="14"/>
              </w:rPr>
              <w:t>.290</w:t>
            </w:r>
          </w:p>
        </w:tc>
        <w:tc>
          <w:tcPr>
            <w:tcW w:w="864" w:type="dxa"/>
            <w:tcMar>
              <w:top w:w="40" w:type="dxa"/>
              <w:left w:w="45" w:type="dxa"/>
              <w:bottom w:w="40" w:type="dxa"/>
              <w:right w:w="45" w:type="dxa"/>
            </w:tcMar>
            <w:vAlign w:val="center"/>
          </w:tcPr>
          <w:p w14:paraId="52A6760C" w14:textId="77777777" w:rsidR="00612D3C" w:rsidRDefault="00612D3C">
            <w:pPr>
              <w:spacing w:after="0"/>
              <w:jc w:val="center"/>
            </w:pPr>
          </w:p>
        </w:tc>
        <w:tc>
          <w:tcPr>
            <w:tcW w:w="936" w:type="dxa"/>
            <w:tcMar>
              <w:top w:w="40" w:type="dxa"/>
              <w:left w:w="45" w:type="dxa"/>
              <w:bottom w:w="40" w:type="dxa"/>
              <w:right w:w="45" w:type="dxa"/>
            </w:tcMar>
            <w:vAlign w:val="center"/>
          </w:tcPr>
          <w:p w14:paraId="570B9402" w14:textId="77777777" w:rsidR="00612D3C" w:rsidRDefault="007047D9">
            <w:pPr>
              <w:spacing w:after="0"/>
              <w:jc w:val="center"/>
            </w:pPr>
            <w:r>
              <w:rPr>
                <w:rFonts w:ascii="Arial" w:hAnsi="Arial"/>
                <w:color w:val="000000"/>
                <w:sz w:val="14"/>
              </w:rPr>
              <w:t>1.782</w:t>
            </w:r>
          </w:p>
        </w:tc>
        <w:tc>
          <w:tcPr>
            <w:tcW w:w="1007" w:type="dxa"/>
            <w:tcMar>
              <w:top w:w="40" w:type="dxa"/>
              <w:left w:w="45" w:type="dxa"/>
              <w:bottom w:w="40" w:type="dxa"/>
              <w:right w:w="45" w:type="dxa"/>
            </w:tcMar>
            <w:vAlign w:val="center"/>
          </w:tcPr>
          <w:p w14:paraId="7239EEE9" w14:textId="77777777" w:rsidR="00612D3C" w:rsidRDefault="007047D9">
            <w:pPr>
              <w:spacing w:after="0"/>
              <w:jc w:val="center"/>
            </w:pPr>
            <w:r>
              <w:rPr>
                <w:rFonts w:ascii="Arial" w:hAnsi="Arial"/>
                <w:color w:val="000000"/>
                <w:sz w:val="14"/>
              </w:rPr>
              <w:t>.077</w:t>
            </w:r>
          </w:p>
        </w:tc>
        <w:tc>
          <w:tcPr>
            <w:tcW w:w="1267" w:type="dxa"/>
            <w:tcMar>
              <w:top w:w="40" w:type="dxa"/>
              <w:left w:w="45" w:type="dxa"/>
              <w:bottom w:w="40" w:type="dxa"/>
              <w:right w:w="45" w:type="dxa"/>
            </w:tcMar>
            <w:vAlign w:val="center"/>
          </w:tcPr>
          <w:p w14:paraId="338F46D9" w14:textId="77777777" w:rsidR="00612D3C" w:rsidRDefault="00612D3C">
            <w:pPr>
              <w:spacing w:after="0"/>
              <w:jc w:val="center"/>
            </w:pPr>
          </w:p>
        </w:tc>
        <w:tc>
          <w:tcPr>
            <w:tcW w:w="1007" w:type="dxa"/>
            <w:tcMar>
              <w:top w:w="40" w:type="dxa"/>
              <w:left w:w="45" w:type="dxa"/>
              <w:bottom w:w="40" w:type="dxa"/>
              <w:right w:w="45" w:type="dxa"/>
            </w:tcMar>
            <w:vAlign w:val="center"/>
          </w:tcPr>
          <w:p w14:paraId="1A9DC362" w14:textId="77777777" w:rsidR="00612D3C" w:rsidRDefault="00612D3C">
            <w:pPr>
              <w:spacing w:after="0"/>
              <w:jc w:val="center"/>
            </w:pPr>
          </w:p>
        </w:tc>
      </w:tr>
      <w:tr w:rsidR="00612D3C" w14:paraId="0DE464A0" w14:textId="77777777">
        <w:trPr>
          <w:cantSplit/>
          <w:jc w:val="center"/>
        </w:trPr>
        <w:tc>
          <w:tcPr>
            <w:tcW w:w="2160" w:type="dxa"/>
            <w:tcMar>
              <w:top w:w="40" w:type="dxa"/>
              <w:left w:w="45" w:type="dxa"/>
              <w:bottom w:w="40" w:type="dxa"/>
              <w:right w:w="45" w:type="dxa"/>
            </w:tcMar>
            <w:vAlign w:val="center"/>
          </w:tcPr>
          <w:p w14:paraId="620DF17A" w14:textId="77777777" w:rsidR="00612D3C" w:rsidRDefault="007047D9">
            <w:pPr>
              <w:spacing w:after="0"/>
              <w:jc w:val="left"/>
            </w:pPr>
            <w:r>
              <w:rPr>
                <w:rFonts w:ascii="Arial" w:hAnsi="Arial"/>
                <w:color w:val="000000"/>
                <w:sz w:val="14"/>
              </w:rPr>
              <w:t>Ease of use</w:t>
            </w:r>
          </w:p>
        </w:tc>
        <w:tc>
          <w:tcPr>
            <w:tcW w:w="864" w:type="dxa"/>
            <w:tcMar>
              <w:top w:w="40" w:type="dxa"/>
              <w:left w:w="45" w:type="dxa"/>
              <w:bottom w:w="40" w:type="dxa"/>
              <w:right w:w="45" w:type="dxa"/>
            </w:tcMar>
            <w:vAlign w:val="center"/>
          </w:tcPr>
          <w:p w14:paraId="4BF5C1D1" w14:textId="77777777" w:rsidR="00612D3C" w:rsidRDefault="007047D9">
            <w:pPr>
              <w:spacing w:after="0"/>
              <w:jc w:val="center"/>
            </w:pPr>
            <w:r>
              <w:rPr>
                <w:rFonts w:ascii="Arial" w:hAnsi="Arial"/>
                <w:color w:val="000000"/>
                <w:sz w:val="14"/>
              </w:rPr>
              <w:t>.083</w:t>
            </w:r>
          </w:p>
        </w:tc>
        <w:tc>
          <w:tcPr>
            <w:tcW w:w="936" w:type="dxa"/>
            <w:tcMar>
              <w:top w:w="40" w:type="dxa"/>
              <w:left w:w="45" w:type="dxa"/>
              <w:bottom w:w="40" w:type="dxa"/>
              <w:right w:w="45" w:type="dxa"/>
            </w:tcMar>
            <w:vAlign w:val="center"/>
          </w:tcPr>
          <w:p w14:paraId="2E19495E" w14:textId="77777777" w:rsidR="00612D3C" w:rsidRDefault="007047D9">
            <w:pPr>
              <w:spacing w:after="0"/>
              <w:jc w:val="center"/>
            </w:pPr>
            <w:r>
              <w:rPr>
                <w:rFonts w:ascii="Arial" w:hAnsi="Arial"/>
                <w:color w:val="000000"/>
                <w:sz w:val="14"/>
              </w:rPr>
              <w:t>.082</w:t>
            </w:r>
          </w:p>
        </w:tc>
        <w:tc>
          <w:tcPr>
            <w:tcW w:w="864" w:type="dxa"/>
            <w:tcMar>
              <w:top w:w="40" w:type="dxa"/>
              <w:left w:w="45" w:type="dxa"/>
              <w:bottom w:w="40" w:type="dxa"/>
              <w:right w:w="45" w:type="dxa"/>
            </w:tcMar>
            <w:vAlign w:val="center"/>
          </w:tcPr>
          <w:p w14:paraId="1B2057D8" w14:textId="77777777" w:rsidR="00612D3C" w:rsidRDefault="007047D9">
            <w:pPr>
              <w:spacing w:after="0"/>
              <w:jc w:val="center"/>
            </w:pPr>
            <w:r>
              <w:rPr>
                <w:rFonts w:ascii="Arial" w:hAnsi="Arial"/>
                <w:color w:val="000000"/>
                <w:sz w:val="14"/>
              </w:rPr>
              <w:t>.082</w:t>
            </w:r>
          </w:p>
        </w:tc>
        <w:tc>
          <w:tcPr>
            <w:tcW w:w="936" w:type="dxa"/>
            <w:tcMar>
              <w:top w:w="40" w:type="dxa"/>
              <w:left w:w="45" w:type="dxa"/>
              <w:bottom w:w="40" w:type="dxa"/>
              <w:right w:w="45" w:type="dxa"/>
            </w:tcMar>
            <w:vAlign w:val="center"/>
          </w:tcPr>
          <w:p w14:paraId="42D6B1E4" w14:textId="77777777" w:rsidR="00612D3C" w:rsidRDefault="007047D9">
            <w:pPr>
              <w:spacing w:after="0"/>
              <w:jc w:val="center"/>
            </w:pPr>
            <w:r>
              <w:rPr>
                <w:rFonts w:ascii="Arial" w:hAnsi="Arial"/>
                <w:color w:val="000000"/>
                <w:sz w:val="14"/>
              </w:rPr>
              <w:t>1.022</w:t>
            </w:r>
          </w:p>
        </w:tc>
        <w:tc>
          <w:tcPr>
            <w:tcW w:w="1007" w:type="dxa"/>
            <w:tcMar>
              <w:top w:w="40" w:type="dxa"/>
              <w:left w:w="45" w:type="dxa"/>
              <w:bottom w:w="40" w:type="dxa"/>
              <w:right w:w="45" w:type="dxa"/>
            </w:tcMar>
            <w:vAlign w:val="center"/>
          </w:tcPr>
          <w:p w14:paraId="4173490D" w14:textId="77777777" w:rsidR="00612D3C" w:rsidRDefault="007047D9">
            <w:pPr>
              <w:spacing w:after="0"/>
              <w:jc w:val="center"/>
            </w:pPr>
            <w:r>
              <w:rPr>
                <w:rFonts w:ascii="Arial" w:hAnsi="Arial"/>
                <w:color w:val="000000"/>
                <w:sz w:val="14"/>
              </w:rPr>
              <w:t>.309</w:t>
            </w:r>
          </w:p>
        </w:tc>
        <w:tc>
          <w:tcPr>
            <w:tcW w:w="1267" w:type="dxa"/>
            <w:tcMar>
              <w:top w:w="40" w:type="dxa"/>
              <w:left w:w="45" w:type="dxa"/>
              <w:bottom w:w="40" w:type="dxa"/>
              <w:right w:w="45" w:type="dxa"/>
            </w:tcMar>
            <w:vAlign w:val="center"/>
          </w:tcPr>
          <w:p w14:paraId="7EC64DA9" w14:textId="77777777" w:rsidR="00612D3C" w:rsidRDefault="007047D9">
            <w:pPr>
              <w:spacing w:after="0"/>
              <w:jc w:val="center"/>
            </w:pPr>
            <w:r>
              <w:rPr>
                <w:rFonts w:ascii="Arial" w:hAnsi="Arial"/>
                <w:color w:val="000000"/>
                <w:sz w:val="14"/>
              </w:rPr>
              <w:t>.512</w:t>
            </w:r>
          </w:p>
        </w:tc>
        <w:tc>
          <w:tcPr>
            <w:tcW w:w="1007" w:type="dxa"/>
            <w:tcMar>
              <w:top w:w="40" w:type="dxa"/>
              <w:left w:w="45" w:type="dxa"/>
              <w:bottom w:w="40" w:type="dxa"/>
              <w:right w:w="45" w:type="dxa"/>
            </w:tcMar>
            <w:vAlign w:val="center"/>
          </w:tcPr>
          <w:p w14:paraId="189E59B6" w14:textId="77777777" w:rsidR="00612D3C" w:rsidRDefault="007047D9">
            <w:pPr>
              <w:spacing w:after="0"/>
              <w:jc w:val="center"/>
            </w:pPr>
            <w:r>
              <w:rPr>
                <w:rFonts w:ascii="Arial" w:hAnsi="Arial"/>
                <w:color w:val="000000"/>
                <w:sz w:val="14"/>
              </w:rPr>
              <w:t>1.953</w:t>
            </w:r>
          </w:p>
        </w:tc>
      </w:tr>
      <w:tr w:rsidR="00612D3C" w14:paraId="5E37C8AA" w14:textId="77777777">
        <w:trPr>
          <w:cantSplit/>
          <w:jc w:val="center"/>
        </w:trPr>
        <w:tc>
          <w:tcPr>
            <w:tcW w:w="2160" w:type="dxa"/>
            <w:shd w:val="clear" w:color="auto" w:fill="EEF5EA"/>
            <w:tcMar>
              <w:top w:w="40" w:type="dxa"/>
              <w:left w:w="45" w:type="dxa"/>
              <w:bottom w:w="40" w:type="dxa"/>
              <w:right w:w="45" w:type="dxa"/>
            </w:tcMar>
            <w:vAlign w:val="center"/>
          </w:tcPr>
          <w:p w14:paraId="0DF508DF" w14:textId="77777777" w:rsidR="00612D3C" w:rsidRDefault="007047D9">
            <w:pPr>
              <w:spacing w:after="0"/>
              <w:jc w:val="left"/>
            </w:pPr>
            <w:r>
              <w:rPr>
                <w:rFonts w:ascii="Arial" w:hAnsi="Arial"/>
                <w:color w:val="000000"/>
                <w:sz w:val="14"/>
              </w:rPr>
              <w:t>Usefulness</w:t>
            </w:r>
          </w:p>
        </w:tc>
        <w:tc>
          <w:tcPr>
            <w:tcW w:w="864" w:type="dxa"/>
            <w:shd w:val="clear" w:color="auto" w:fill="EEF5EA"/>
            <w:tcMar>
              <w:top w:w="40" w:type="dxa"/>
              <w:left w:w="45" w:type="dxa"/>
              <w:bottom w:w="40" w:type="dxa"/>
              <w:right w:w="45" w:type="dxa"/>
            </w:tcMar>
            <w:vAlign w:val="center"/>
          </w:tcPr>
          <w:p w14:paraId="0C621613" w14:textId="77777777" w:rsidR="00612D3C" w:rsidRDefault="007047D9">
            <w:pPr>
              <w:spacing w:after="0"/>
              <w:jc w:val="center"/>
            </w:pPr>
            <w:r>
              <w:rPr>
                <w:rFonts w:ascii="Arial" w:hAnsi="Arial"/>
                <w:color w:val="000000"/>
                <w:sz w:val="14"/>
              </w:rPr>
              <w:t>.234</w:t>
            </w:r>
          </w:p>
        </w:tc>
        <w:tc>
          <w:tcPr>
            <w:tcW w:w="936" w:type="dxa"/>
            <w:shd w:val="clear" w:color="auto" w:fill="EEF5EA"/>
            <w:tcMar>
              <w:top w:w="40" w:type="dxa"/>
              <w:left w:w="45" w:type="dxa"/>
              <w:bottom w:w="40" w:type="dxa"/>
              <w:right w:w="45" w:type="dxa"/>
            </w:tcMar>
            <w:vAlign w:val="center"/>
          </w:tcPr>
          <w:p w14:paraId="29F5A02F" w14:textId="77777777" w:rsidR="00612D3C" w:rsidRDefault="007047D9">
            <w:pPr>
              <w:spacing w:after="0"/>
              <w:jc w:val="center"/>
            </w:pPr>
            <w:r>
              <w:rPr>
                <w:rFonts w:ascii="Arial" w:hAnsi="Arial"/>
                <w:color w:val="000000"/>
                <w:sz w:val="14"/>
              </w:rPr>
              <w:t>.069</w:t>
            </w:r>
          </w:p>
        </w:tc>
        <w:tc>
          <w:tcPr>
            <w:tcW w:w="864" w:type="dxa"/>
            <w:shd w:val="clear" w:color="auto" w:fill="EEF5EA"/>
            <w:tcMar>
              <w:top w:w="40" w:type="dxa"/>
              <w:left w:w="45" w:type="dxa"/>
              <w:bottom w:w="40" w:type="dxa"/>
              <w:right w:w="45" w:type="dxa"/>
            </w:tcMar>
            <w:vAlign w:val="center"/>
          </w:tcPr>
          <w:p w14:paraId="4F0EF747" w14:textId="77777777" w:rsidR="00612D3C" w:rsidRDefault="007047D9">
            <w:pPr>
              <w:spacing w:after="0"/>
              <w:jc w:val="center"/>
            </w:pPr>
            <w:r>
              <w:rPr>
                <w:rFonts w:ascii="Arial" w:hAnsi="Arial"/>
                <w:color w:val="000000"/>
                <w:sz w:val="14"/>
              </w:rPr>
              <w:t>.262</w:t>
            </w:r>
          </w:p>
        </w:tc>
        <w:tc>
          <w:tcPr>
            <w:tcW w:w="936" w:type="dxa"/>
            <w:shd w:val="clear" w:color="auto" w:fill="EEF5EA"/>
            <w:tcMar>
              <w:top w:w="40" w:type="dxa"/>
              <w:left w:w="45" w:type="dxa"/>
              <w:bottom w:w="40" w:type="dxa"/>
              <w:right w:w="45" w:type="dxa"/>
            </w:tcMar>
            <w:vAlign w:val="center"/>
          </w:tcPr>
          <w:p w14:paraId="0C312E38" w14:textId="77777777" w:rsidR="00612D3C" w:rsidRDefault="007047D9">
            <w:pPr>
              <w:spacing w:after="0"/>
              <w:jc w:val="center"/>
            </w:pPr>
            <w:r>
              <w:rPr>
                <w:rFonts w:ascii="Arial" w:hAnsi="Arial"/>
                <w:color w:val="000000"/>
                <w:sz w:val="14"/>
              </w:rPr>
              <w:t>3.385</w:t>
            </w:r>
          </w:p>
        </w:tc>
        <w:tc>
          <w:tcPr>
            <w:tcW w:w="1007" w:type="dxa"/>
            <w:shd w:val="clear" w:color="auto" w:fill="EEF5EA"/>
            <w:tcMar>
              <w:top w:w="40" w:type="dxa"/>
              <w:left w:w="45" w:type="dxa"/>
              <w:bottom w:w="40" w:type="dxa"/>
              <w:right w:w="45" w:type="dxa"/>
            </w:tcMar>
            <w:vAlign w:val="center"/>
          </w:tcPr>
          <w:p w14:paraId="55C6E280" w14:textId="77777777" w:rsidR="00612D3C" w:rsidRDefault="007047D9">
            <w:pPr>
              <w:spacing w:after="0"/>
              <w:jc w:val="center"/>
            </w:pPr>
            <w:r>
              <w:rPr>
                <w:rFonts w:ascii="Arial" w:hAnsi="Arial"/>
                <w:color w:val="000000"/>
                <w:sz w:val="14"/>
              </w:rPr>
              <w:t>.001</w:t>
            </w:r>
          </w:p>
        </w:tc>
        <w:tc>
          <w:tcPr>
            <w:tcW w:w="1267" w:type="dxa"/>
            <w:shd w:val="clear" w:color="auto" w:fill="EEF5EA"/>
            <w:tcMar>
              <w:top w:w="40" w:type="dxa"/>
              <w:left w:w="45" w:type="dxa"/>
              <w:bottom w:w="40" w:type="dxa"/>
              <w:right w:w="45" w:type="dxa"/>
            </w:tcMar>
            <w:vAlign w:val="center"/>
          </w:tcPr>
          <w:p w14:paraId="49EC1F44" w14:textId="77777777" w:rsidR="00612D3C" w:rsidRDefault="007047D9">
            <w:pPr>
              <w:spacing w:after="0"/>
              <w:jc w:val="center"/>
            </w:pPr>
            <w:r>
              <w:rPr>
                <w:rFonts w:ascii="Arial" w:hAnsi="Arial"/>
                <w:color w:val="000000"/>
                <w:sz w:val="14"/>
              </w:rPr>
              <w:t>.555</w:t>
            </w:r>
          </w:p>
        </w:tc>
        <w:tc>
          <w:tcPr>
            <w:tcW w:w="1007" w:type="dxa"/>
            <w:shd w:val="clear" w:color="auto" w:fill="EEF5EA"/>
            <w:tcMar>
              <w:top w:w="40" w:type="dxa"/>
              <w:left w:w="45" w:type="dxa"/>
              <w:bottom w:w="40" w:type="dxa"/>
              <w:right w:w="45" w:type="dxa"/>
            </w:tcMar>
            <w:vAlign w:val="center"/>
          </w:tcPr>
          <w:p w14:paraId="02785A95" w14:textId="77777777" w:rsidR="00612D3C" w:rsidRDefault="007047D9">
            <w:pPr>
              <w:spacing w:after="0"/>
              <w:jc w:val="center"/>
            </w:pPr>
            <w:r>
              <w:rPr>
                <w:rFonts w:ascii="Arial" w:hAnsi="Arial"/>
                <w:color w:val="000000"/>
                <w:sz w:val="14"/>
              </w:rPr>
              <w:t>1.801</w:t>
            </w:r>
          </w:p>
        </w:tc>
      </w:tr>
      <w:tr w:rsidR="00612D3C" w14:paraId="21D0E850" w14:textId="77777777">
        <w:trPr>
          <w:cantSplit/>
          <w:jc w:val="center"/>
        </w:trPr>
        <w:tc>
          <w:tcPr>
            <w:tcW w:w="2160" w:type="dxa"/>
            <w:tcMar>
              <w:top w:w="40" w:type="dxa"/>
              <w:left w:w="45" w:type="dxa"/>
              <w:bottom w:w="40" w:type="dxa"/>
              <w:right w:w="45" w:type="dxa"/>
            </w:tcMar>
            <w:vAlign w:val="center"/>
          </w:tcPr>
          <w:p w14:paraId="1D1A06FE" w14:textId="77777777" w:rsidR="00612D3C" w:rsidRDefault="007047D9">
            <w:pPr>
              <w:spacing w:after="0"/>
              <w:jc w:val="left"/>
            </w:pPr>
            <w:r>
              <w:rPr>
                <w:rFonts w:ascii="Arial" w:hAnsi="Arial"/>
                <w:color w:val="000000"/>
                <w:sz w:val="14"/>
              </w:rPr>
              <w:t>Personalisation</w:t>
            </w:r>
          </w:p>
        </w:tc>
        <w:tc>
          <w:tcPr>
            <w:tcW w:w="864" w:type="dxa"/>
            <w:tcMar>
              <w:top w:w="40" w:type="dxa"/>
              <w:left w:w="45" w:type="dxa"/>
              <w:bottom w:w="40" w:type="dxa"/>
              <w:right w:w="45" w:type="dxa"/>
            </w:tcMar>
            <w:vAlign w:val="center"/>
          </w:tcPr>
          <w:p w14:paraId="0A8AF19A" w14:textId="77777777" w:rsidR="00612D3C" w:rsidRDefault="007047D9">
            <w:pPr>
              <w:spacing w:after="0"/>
              <w:jc w:val="center"/>
            </w:pPr>
            <w:r>
              <w:rPr>
                <w:rFonts w:ascii="Arial" w:hAnsi="Arial"/>
                <w:color w:val="000000"/>
                <w:sz w:val="14"/>
              </w:rPr>
              <w:t>.094</w:t>
            </w:r>
          </w:p>
        </w:tc>
        <w:tc>
          <w:tcPr>
            <w:tcW w:w="936" w:type="dxa"/>
            <w:tcMar>
              <w:top w:w="40" w:type="dxa"/>
              <w:left w:w="45" w:type="dxa"/>
              <w:bottom w:w="40" w:type="dxa"/>
              <w:right w:w="45" w:type="dxa"/>
            </w:tcMar>
            <w:vAlign w:val="center"/>
          </w:tcPr>
          <w:p w14:paraId="0F6364AF" w14:textId="77777777" w:rsidR="00612D3C" w:rsidRDefault="007047D9">
            <w:pPr>
              <w:spacing w:after="0"/>
              <w:jc w:val="center"/>
            </w:pPr>
            <w:r>
              <w:rPr>
                <w:rFonts w:ascii="Arial" w:hAnsi="Arial"/>
                <w:color w:val="000000"/>
                <w:sz w:val="14"/>
              </w:rPr>
              <w:t>.083</w:t>
            </w:r>
          </w:p>
        </w:tc>
        <w:tc>
          <w:tcPr>
            <w:tcW w:w="864" w:type="dxa"/>
            <w:tcMar>
              <w:top w:w="40" w:type="dxa"/>
              <w:left w:w="45" w:type="dxa"/>
              <w:bottom w:w="40" w:type="dxa"/>
              <w:right w:w="45" w:type="dxa"/>
            </w:tcMar>
            <w:vAlign w:val="center"/>
          </w:tcPr>
          <w:p w14:paraId="731A48D7" w14:textId="77777777" w:rsidR="00612D3C" w:rsidRDefault="007047D9">
            <w:pPr>
              <w:spacing w:after="0"/>
              <w:jc w:val="center"/>
            </w:pPr>
            <w:r>
              <w:rPr>
                <w:rFonts w:ascii="Arial" w:hAnsi="Arial"/>
                <w:color w:val="000000"/>
                <w:sz w:val="14"/>
              </w:rPr>
              <w:t>.091</w:t>
            </w:r>
          </w:p>
        </w:tc>
        <w:tc>
          <w:tcPr>
            <w:tcW w:w="936" w:type="dxa"/>
            <w:tcMar>
              <w:top w:w="40" w:type="dxa"/>
              <w:left w:w="45" w:type="dxa"/>
              <w:bottom w:w="40" w:type="dxa"/>
              <w:right w:w="45" w:type="dxa"/>
            </w:tcMar>
            <w:vAlign w:val="center"/>
          </w:tcPr>
          <w:p w14:paraId="526953F2" w14:textId="77777777" w:rsidR="00612D3C" w:rsidRDefault="007047D9">
            <w:pPr>
              <w:spacing w:after="0"/>
              <w:jc w:val="center"/>
            </w:pPr>
            <w:r>
              <w:rPr>
                <w:rFonts w:ascii="Arial" w:hAnsi="Arial"/>
                <w:color w:val="000000"/>
                <w:sz w:val="14"/>
              </w:rPr>
              <w:t>1.136</w:t>
            </w:r>
          </w:p>
        </w:tc>
        <w:tc>
          <w:tcPr>
            <w:tcW w:w="1007" w:type="dxa"/>
            <w:tcMar>
              <w:top w:w="40" w:type="dxa"/>
              <w:left w:w="45" w:type="dxa"/>
              <w:bottom w:w="40" w:type="dxa"/>
              <w:right w:w="45" w:type="dxa"/>
            </w:tcMar>
            <w:vAlign w:val="center"/>
          </w:tcPr>
          <w:p w14:paraId="2DC63DB6" w14:textId="77777777" w:rsidR="00612D3C" w:rsidRDefault="007047D9">
            <w:pPr>
              <w:spacing w:after="0"/>
              <w:jc w:val="center"/>
            </w:pPr>
            <w:r>
              <w:rPr>
                <w:rFonts w:ascii="Arial" w:hAnsi="Arial"/>
                <w:color w:val="000000"/>
                <w:sz w:val="14"/>
              </w:rPr>
              <w:t>.258</w:t>
            </w:r>
          </w:p>
        </w:tc>
        <w:tc>
          <w:tcPr>
            <w:tcW w:w="1267" w:type="dxa"/>
            <w:tcMar>
              <w:top w:w="40" w:type="dxa"/>
              <w:left w:w="45" w:type="dxa"/>
              <w:bottom w:w="40" w:type="dxa"/>
              <w:right w:w="45" w:type="dxa"/>
            </w:tcMar>
            <w:vAlign w:val="center"/>
          </w:tcPr>
          <w:p w14:paraId="293A3DF2" w14:textId="77777777" w:rsidR="00612D3C" w:rsidRDefault="007047D9">
            <w:pPr>
              <w:spacing w:after="0"/>
              <w:jc w:val="center"/>
            </w:pPr>
            <w:r>
              <w:rPr>
                <w:rFonts w:ascii="Arial" w:hAnsi="Arial"/>
                <w:color w:val="000000"/>
                <w:sz w:val="14"/>
              </w:rPr>
              <w:t>.522</w:t>
            </w:r>
          </w:p>
        </w:tc>
        <w:tc>
          <w:tcPr>
            <w:tcW w:w="1007" w:type="dxa"/>
            <w:tcMar>
              <w:top w:w="40" w:type="dxa"/>
              <w:left w:w="45" w:type="dxa"/>
              <w:bottom w:w="40" w:type="dxa"/>
              <w:right w:w="45" w:type="dxa"/>
            </w:tcMar>
            <w:vAlign w:val="center"/>
          </w:tcPr>
          <w:p w14:paraId="3A6723B0" w14:textId="77777777" w:rsidR="00612D3C" w:rsidRDefault="007047D9">
            <w:pPr>
              <w:spacing w:after="0"/>
              <w:jc w:val="center"/>
            </w:pPr>
            <w:r>
              <w:rPr>
                <w:rFonts w:ascii="Arial" w:hAnsi="Arial"/>
                <w:color w:val="000000"/>
                <w:sz w:val="14"/>
              </w:rPr>
              <w:t>1.917</w:t>
            </w:r>
          </w:p>
        </w:tc>
      </w:tr>
      <w:tr w:rsidR="00612D3C" w14:paraId="71482607" w14:textId="77777777">
        <w:trPr>
          <w:cantSplit/>
          <w:jc w:val="center"/>
        </w:trPr>
        <w:tc>
          <w:tcPr>
            <w:tcW w:w="2160" w:type="dxa"/>
            <w:tcMar>
              <w:top w:w="40" w:type="dxa"/>
              <w:left w:w="45" w:type="dxa"/>
              <w:bottom w:w="40" w:type="dxa"/>
              <w:right w:w="45" w:type="dxa"/>
            </w:tcMar>
            <w:vAlign w:val="center"/>
          </w:tcPr>
          <w:p w14:paraId="666D0294" w14:textId="77777777" w:rsidR="00612D3C" w:rsidRDefault="007047D9">
            <w:pPr>
              <w:spacing w:after="0"/>
              <w:jc w:val="left"/>
            </w:pPr>
            <w:r>
              <w:rPr>
                <w:rFonts w:ascii="Arial" w:hAnsi="Arial"/>
                <w:color w:val="000000"/>
                <w:sz w:val="14"/>
              </w:rPr>
              <w:t>Rewards</w:t>
            </w:r>
          </w:p>
        </w:tc>
        <w:tc>
          <w:tcPr>
            <w:tcW w:w="864" w:type="dxa"/>
            <w:tcMar>
              <w:top w:w="40" w:type="dxa"/>
              <w:left w:w="45" w:type="dxa"/>
              <w:bottom w:w="40" w:type="dxa"/>
              <w:right w:w="45" w:type="dxa"/>
            </w:tcMar>
            <w:vAlign w:val="center"/>
          </w:tcPr>
          <w:p w14:paraId="7F08C679" w14:textId="77777777" w:rsidR="00612D3C" w:rsidRDefault="007047D9">
            <w:pPr>
              <w:spacing w:after="0"/>
              <w:jc w:val="center"/>
            </w:pPr>
            <w:r>
              <w:rPr>
                <w:rFonts w:ascii="Arial" w:hAnsi="Arial"/>
                <w:color w:val="000000"/>
                <w:sz w:val="14"/>
              </w:rPr>
              <w:t>.055</w:t>
            </w:r>
          </w:p>
        </w:tc>
        <w:tc>
          <w:tcPr>
            <w:tcW w:w="936" w:type="dxa"/>
            <w:tcMar>
              <w:top w:w="40" w:type="dxa"/>
              <w:left w:w="45" w:type="dxa"/>
              <w:bottom w:w="40" w:type="dxa"/>
              <w:right w:w="45" w:type="dxa"/>
            </w:tcMar>
            <w:vAlign w:val="center"/>
          </w:tcPr>
          <w:p w14:paraId="0EB30094" w14:textId="77777777" w:rsidR="00612D3C" w:rsidRDefault="007047D9">
            <w:pPr>
              <w:spacing w:after="0"/>
              <w:jc w:val="center"/>
            </w:pPr>
            <w:r>
              <w:rPr>
                <w:rFonts w:ascii="Arial" w:hAnsi="Arial"/>
                <w:color w:val="000000"/>
                <w:sz w:val="14"/>
              </w:rPr>
              <w:t>.067</w:t>
            </w:r>
          </w:p>
        </w:tc>
        <w:tc>
          <w:tcPr>
            <w:tcW w:w="864" w:type="dxa"/>
            <w:tcMar>
              <w:top w:w="40" w:type="dxa"/>
              <w:left w:w="45" w:type="dxa"/>
              <w:bottom w:w="40" w:type="dxa"/>
              <w:right w:w="45" w:type="dxa"/>
            </w:tcMar>
            <w:vAlign w:val="center"/>
          </w:tcPr>
          <w:p w14:paraId="0429E18C" w14:textId="77777777" w:rsidR="00612D3C" w:rsidRDefault="007047D9">
            <w:pPr>
              <w:spacing w:after="0"/>
              <w:jc w:val="center"/>
            </w:pPr>
            <w:r>
              <w:rPr>
                <w:rFonts w:ascii="Arial" w:hAnsi="Arial"/>
                <w:color w:val="000000"/>
                <w:sz w:val="14"/>
              </w:rPr>
              <w:t>.060</w:t>
            </w:r>
          </w:p>
        </w:tc>
        <w:tc>
          <w:tcPr>
            <w:tcW w:w="936" w:type="dxa"/>
            <w:tcMar>
              <w:top w:w="40" w:type="dxa"/>
              <w:left w:w="45" w:type="dxa"/>
              <w:bottom w:w="40" w:type="dxa"/>
              <w:right w:w="45" w:type="dxa"/>
            </w:tcMar>
            <w:vAlign w:val="center"/>
          </w:tcPr>
          <w:p w14:paraId="55BE58AD" w14:textId="77777777" w:rsidR="00612D3C" w:rsidRDefault="007047D9">
            <w:pPr>
              <w:spacing w:after="0"/>
              <w:jc w:val="center"/>
            </w:pPr>
            <w:r>
              <w:rPr>
                <w:rFonts w:ascii="Arial" w:hAnsi="Arial"/>
                <w:color w:val="000000"/>
                <w:sz w:val="14"/>
              </w:rPr>
              <w:t>.817</w:t>
            </w:r>
          </w:p>
        </w:tc>
        <w:tc>
          <w:tcPr>
            <w:tcW w:w="1007" w:type="dxa"/>
            <w:tcMar>
              <w:top w:w="40" w:type="dxa"/>
              <w:left w:w="45" w:type="dxa"/>
              <w:bottom w:w="40" w:type="dxa"/>
              <w:right w:w="45" w:type="dxa"/>
            </w:tcMar>
            <w:vAlign w:val="center"/>
          </w:tcPr>
          <w:p w14:paraId="025CD41F" w14:textId="77777777" w:rsidR="00612D3C" w:rsidRDefault="007047D9">
            <w:pPr>
              <w:spacing w:after="0"/>
              <w:jc w:val="center"/>
            </w:pPr>
            <w:r>
              <w:rPr>
                <w:rFonts w:ascii="Arial" w:hAnsi="Arial"/>
                <w:color w:val="000000"/>
                <w:sz w:val="14"/>
              </w:rPr>
              <w:t>.415</w:t>
            </w:r>
          </w:p>
        </w:tc>
        <w:tc>
          <w:tcPr>
            <w:tcW w:w="1267" w:type="dxa"/>
            <w:tcMar>
              <w:top w:w="40" w:type="dxa"/>
              <w:left w:w="45" w:type="dxa"/>
              <w:bottom w:w="40" w:type="dxa"/>
              <w:right w:w="45" w:type="dxa"/>
            </w:tcMar>
            <w:vAlign w:val="center"/>
          </w:tcPr>
          <w:p w14:paraId="3E42529F" w14:textId="77777777" w:rsidR="00612D3C" w:rsidRDefault="007047D9">
            <w:pPr>
              <w:spacing w:after="0"/>
              <w:jc w:val="center"/>
            </w:pPr>
            <w:r>
              <w:rPr>
                <w:rFonts w:ascii="Arial" w:hAnsi="Arial"/>
                <w:color w:val="000000"/>
                <w:sz w:val="14"/>
              </w:rPr>
              <w:t>.620</w:t>
            </w:r>
          </w:p>
        </w:tc>
        <w:tc>
          <w:tcPr>
            <w:tcW w:w="1007" w:type="dxa"/>
            <w:tcMar>
              <w:top w:w="40" w:type="dxa"/>
              <w:left w:w="45" w:type="dxa"/>
              <w:bottom w:w="40" w:type="dxa"/>
              <w:right w:w="45" w:type="dxa"/>
            </w:tcMar>
            <w:vAlign w:val="center"/>
          </w:tcPr>
          <w:p w14:paraId="116881CC" w14:textId="77777777" w:rsidR="00612D3C" w:rsidRDefault="007047D9">
            <w:pPr>
              <w:spacing w:after="0"/>
              <w:jc w:val="center"/>
            </w:pPr>
            <w:r>
              <w:rPr>
                <w:rFonts w:ascii="Arial" w:hAnsi="Arial"/>
                <w:color w:val="000000"/>
                <w:sz w:val="14"/>
              </w:rPr>
              <w:t>1.614</w:t>
            </w:r>
          </w:p>
        </w:tc>
      </w:tr>
      <w:tr w:rsidR="00612D3C" w14:paraId="7A7B0F36" w14:textId="77777777">
        <w:trPr>
          <w:cantSplit/>
          <w:jc w:val="center"/>
        </w:trPr>
        <w:tc>
          <w:tcPr>
            <w:tcW w:w="2160" w:type="dxa"/>
            <w:tcMar>
              <w:top w:w="40" w:type="dxa"/>
              <w:left w:w="45" w:type="dxa"/>
              <w:bottom w:w="40" w:type="dxa"/>
              <w:right w:w="45" w:type="dxa"/>
            </w:tcMar>
            <w:vAlign w:val="center"/>
          </w:tcPr>
          <w:p w14:paraId="77E7E036" w14:textId="77777777" w:rsidR="00612D3C" w:rsidRDefault="007047D9">
            <w:pPr>
              <w:spacing w:after="0"/>
              <w:jc w:val="left"/>
            </w:pPr>
            <w:r>
              <w:rPr>
                <w:rFonts w:ascii="Arial" w:hAnsi="Arial"/>
                <w:color w:val="000000"/>
                <w:sz w:val="14"/>
              </w:rPr>
              <w:t>Gamification</w:t>
            </w:r>
          </w:p>
        </w:tc>
        <w:tc>
          <w:tcPr>
            <w:tcW w:w="864" w:type="dxa"/>
            <w:tcMar>
              <w:top w:w="40" w:type="dxa"/>
              <w:left w:w="45" w:type="dxa"/>
              <w:bottom w:w="40" w:type="dxa"/>
              <w:right w:w="45" w:type="dxa"/>
            </w:tcMar>
            <w:vAlign w:val="center"/>
          </w:tcPr>
          <w:p w14:paraId="1591799F" w14:textId="77777777" w:rsidR="00612D3C" w:rsidRDefault="007047D9">
            <w:pPr>
              <w:spacing w:after="0"/>
              <w:jc w:val="center"/>
            </w:pPr>
            <w:r>
              <w:rPr>
                <w:rFonts w:ascii="Arial" w:hAnsi="Arial"/>
                <w:color w:val="000000"/>
                <w:sz w:val="14"/>
              </w:rPr>
              <w:t>.016</w:t>
            </w:r>
          </w:p>
        </w:tc>
        <w:tc>
          <w:tcPr>
            <w:tcW w:w="936" w:type="dxa"/>
            <w:tcMar>
              <w:top w:w="40" w:type="dxa"/>
              <w:left w:w="45" w:type="dxa"/>
              <w:bottom w:w="40" w:type="dxa"/>
              <w:right w:w="45" w:type="dxa"/>
            </w:tcMar>
            <w:vAlign w:val="center"/>
          </w:tcPr>
          <w:p w14:paraId="08F381F0" w14:textId="77777777" w:rsidR="00612D3C" w:rsidRDefault="007047D9">
            <w:pPr>
              <w:spacing w:after="0"/>
              <w:jc w:val="center"/>
            </w:pPr>
            <w:r>
              <w:rPr>
                <w:rFonts w:ascii="Arial" w:hAnsi="Arial"/>
                <w:color w:val="000000"/>
                <w:sz w:val="14"/>
              </w:rPr>
              <w:t>.072</w:t>
            </w:r>
          </w:p>
        </w:tc>
        <w:tc>
          <w:tcPr>
            <w:tcW w:w="864" w:type="dxa"/>
            <w:tcMar>
              <w:top w:w="40" w:type="dxa"/>
              <w:left w:w="45" w:type="dxa"/>
              <w:bottom w:w="40" w:type="dxa"/>
              <w:right w:w="45" w:type="dxa"/>
            </w:tcMar>
            <w:vAlign w:val="center"/>
          </w:tcPr>
          <w:p w14:paraId="00CC7802" w14:textId="77777777" w:rsidR="00612D3C" w:rsidRDefault="007047D9">
            <w:pPr>
              <w:spacing w:after="0"/>
              <w:jc w:val="center"/>
            </w:pPr>
            <w:r>
              <w:rPr>
                <w:rFonts w:ascii="Arial" w:hAnsi="Arial"/>
                <w:color w:val="000000"/>
                <w:sz w:val="14"/>
              </w:rPr>
              <w:t>.018</w:t>
            </w:r>
          </w:p>
        </w:tc>
        <w:tc>
          <w:tcPr>
            <w:tcW w:w="936" w:type="dxa"/>
            <w:tcMar>
              <w:top w:w="40" w:type="dxa"/>
              <w:left w:w="45" w:type="dxa"/>
              <w:bottom w:w="40" w:type="dxa"/>
              <w:right w:w="45" w:type="dxa"/>
            </w:tcMar>
            <w:vAlign w:val="center"/>
          </w:tcPr>
          <w:p w14:paraId="3F249176" w14:textId="77777777" w:rsidR="00612D3C" w:rsidRDefault="007047D9">
            <w:pPr>
              <w:spacing w:after="0"/>
              <w:jc w:val="center"/>
            </w:pPr>
            <w:r>
              <w:rPr>
                <w:rFonts w:ascii="Arial" w:hAnsi="Arial"/>
                <w:color w:val="000000"/>
                <w:sz w:val="14"/>
              </w:rPr>
              <w:t>.222</w:t>
            </w:r>
          </w:p>
        </w:tc>
        <w:tc>
          <w:tcPr>
            <w:tcW w:w="1007" w:type="dxa"/>
            <w:tcMar>
              <w:top w:w="40" w:type="dxa"/>
              <w:left w:w="45" w:type="dxa"/>
              <w:bottom w:w="40" w:type="dxa"/>
              <w:right w:w="45" w:type="dxa"/>
            </w:tcMar>
            <w:vAlign w:val="center"/>
          </w:tcPr>
          <w:p w14:paraId="78ED2033" w14:textId="77777777" w:rsidR="00612D3C" w:rsidRDefault="007047D9">
            <w:pPr>
              <w:spacing w:after="0"/>
              <w:jc w:val="center"/>
            </w:pPr>
            <w:r>
              <w:rPr>
                <w:rFonts w:ascii="Arial" w:hAnsi="Arial"/>
                <w:color w:val="000000"/>
                <w:sz w:val="14"/>
              </w:rPr>
              <w:t>.825</w:t>
            </w:r>
          </w:p>
        </w:tc>
        <w:tc>
          <w:tcPr>
            <w:tcW w:w="1267" w:type="dxa"/>
            <w:tcMar>
              <w:top w:w="40" w:type="dxa"/>
              <w:left w:w="45" w:type="dxa"/>
              <w:bottom w:w="40" w:type="dxa"/>
              <w:right w:w="45" w:type="dxa"/>
            </w:tcMar>
            <w:vAlign w:val="center"/>
          </w:tcPr>
          <w:p w14:paraId="3BF94302" w14:textId="77777777" w:rsidR="00612D3C" w:rsidRDefault="007047D9">
            <w:pPr>
              <w:spacing w:after="0"/>
              <w:jc w:val="center"/>
            </w:pPr>
            <w:r>
              <w:rPr>
                <w:rFonts w:ascii="Arial" w:hAnsi="Arial"/>
                <w:color w:val="000000"/>
                <w:sz w:val="14"/>
              </w:rPr>
              <w:t>.499</w:t>
            </w:r>
          </w:p>
        </w:tc>
        <w:tc>
          <w:tcPr>
            <w:tcW w:w="1007" w:type="dxa"/>
            <w:tcMar>
              <w:top w:w="40" w:type="dxa"/>
              <w:left w:w="45" w:type="dxa"/>
              <w:bottom w:w="40" w:type="dxa"/>
              <w:right w:w="45" w:type="dxa"/>
            </w:tcMar>
            <w:vAlign w:val="center"/>
          </w:tcPr>
          <w:p w14:paraId="648C6E94" w14:textId="77777777" w:rsidR="00612D3C" w:rsidRDefault="007047D9">
            <w:pPr>
              <w:spacing w:after="0"/>
              <w:jc w:val="center"/>
            </w:pPr>
            <w:r>
              <w:rPr>
                <w:rFonts w:ascii="Arial" w:hAnsi="Arial"/>
                <w:color w:val="000000"/>
                <w:sz w:val="14"/>
              </w:rPr>
              <w:t>2.005</w:t>
            </w:r>
          </w:p>
        </w:tc>
      </w:tr>
      <w:tr w:rsidR="00612D3C" w14:paraId="557D9201" w14:textId="77777777">
        <w:trPr>
          <w:cantSplit/>
          <w:jc w:val="center"/>
        </w:trPr>
        <w:tc>
          <w:tcPr>
            <w:tcW w:w="2160" w:type="dxa"/>
            <w:tcMar>
              <w:top w:w="40" w:type="dxa"/>
              <w:left w:w="45" w:type="dxa"/>
              <w:bottom w:w="40" w:type="dxa"/>
              <w:right w:w="45" w:type="dxa"/>
            </w:tcMar>
            <w:vAlign w:val="center"/>
          </w:tcPr>
          <w:p w14:paraId="5E037696" w14:textId="77777777" w:rsidR="00612D3C" w:rsidRDefault="007047D9">
            <w:pPr>
              <w:spacing w:after="0"/>
              <w:jc w:val="left"/>
            </w:pPr>
            <w:r>
              <w:rPr>
                <w:rFonts w:ascii="Arial" w:hAnsi="Arial"/>
                <w:color w:val="000000"/>
                <w:sz w:val="14"/>
              </w:rPr>
              <w:t>Notifications</w:t>
            </w:r>
          </w:p>
        </w:tc>
        <w:tc>
          <w:tcPr>
            <w:tcW w:w="864" w:type="dxa"/>
            <w:tcMar>
              <w:top w:w="40" w:type="dxa"/>
              <w:left w:w="45" w:type="dxa"/>
              <w:bottom w:w="40" w:type="dxa"/>
              <w:right w:w="45" w:type="dxa"/>
            </w:tcMar>
            <w:vAlign w:val="center"/>
          </w:tcPr>
          <w:p w14:paraId="45E94EF4" w14:textId="77777777" w:rsidR="00612D3C" w:rsidRDefault="007047D9">
            <w:pPr>
              <w:spacing w:after="0"/>
              <w:jc w:val="center"/>
            </w:pPr>
            <w:r>
              <w:rPr>
                <w:rFonts w:ascii="Arial" w:hAnsi="Arial"/>
                <w:color w:val="000000"/>
                <w:sz w:val="14"/>
              </w:rPr>
              <w:t>.010</w:t>
            </w:r>
          </w:p>
        </w:tc>
        <w:tc>
          <w:tcPr>
            <w:tcW w:w="936" w:type="dxa"/>
            <w:tcMar>
              <w:top w:w="40" w:type="dxa"/>
              <w:left w:w="45" w:type="dxa"/>
              <w:bottom w:w="40" w:type="dxa"/>
              <w:right w:w="45" w:type="dxa"/>
            </w:tcMar>
            <w:vAlign w:val="center"/>
          </w:tcPr>
          <w:p w14:paraId="2286C726" w14:textId="77777777" w:rsidR="00612D3C" w:rsidRDefault="007047D9">
            <w:pPr>
              <w:spacing w:after="0"/>
              <w:jc w:val="center"/>
            </w:pPr>
            <w:r>
              <w:rPr>
                <w:rFonts w:ascii="Arial" w:hAnsi="Arial"/>
                <w:color w:val="000000"/>
                <w:sz w:val="14"/>
              </w:rPr>
              <w:t>.074</w:t>
            </w:r>
          </w:p>
        </w:tc>
        <w:tc>
          <w:tcPr>
            <w:tcW w:w="864" w:type="dxa"/>
            <w:tcMar>
              <w:top w:w="40" w:type="dxa"/>
              <w:left w:w="45" w:type="dxa"/>
              <w:bottom w:w="40" w:type="dxa"/>
              <w:right w:w="45" w:type="dxa"/>
            </w:tcMar>
            <w:vAlign w:val="center"/>
          </w:tcPr>
          <w:p w14:paraId="2792D4D9" w14:textId="77777777" w:rsidR="00612D3C" w:rsidRDefault="007047D9">
            <w:pPr>
              <w:spacing w:after="0"/>
              <w:jc w:val="center"/>
            </w:pPr>
            <w:r>
              <w:rPr>
                <w:rFonts w:ascii="Arial" w:hAnsi="Arial"/>
                <w:color w:val="000000"/>
                <w:sz w:val="14"/>
              </w:rPr>
              <w:t>.011</w:t>
            </w:r>
          </w:p>
        </w:tc>
        <w:tc>
          <w:tcPr>
            <w:tcW w:w="936" w:type="dxa"/>
            <w:tcMar>
              <w:top w:w="40" w:type="dxa"/>
              <w:left w:w="45" w:type="dxa"/>
              <w:bottom w:w="40" w:type="dxa"/>
              <w:right w:w="45" w:type="dxa"/>
            </w:tcMar>
            <w:vAlign w:val="center"/>
          </w:tcPr>
          <w:p w14:paraId="46FC4CB8" w14:textId="77777777" w:rsidR="00612D3C" w:rsidRDefault="007047D9">
            <w:pPr>
              <w:spacing w:after="0"/>
              <w:jc w:val="center"/>
            </w:pPr>
            <w:r>
              <w:rPr>
                <w:rFonts w:ascii="Arial" w:hAnsi="Arial"/>
                <w:color w:val="000000"/>
                <w:sz w:val="14"/>
              </w:rPr>
              <w:t>.130</w:t>
            </w:r>
          </w:p>
        </w:tc>
        <w:tc>
          <w:tcPr>
            <w:tcW w:w="1007" w:type="dxa"/>
            <w:tcMar>
              <w:top w:w="40" w:type="dxa"/>
              <w:left w:w="45" w:type="dxa"/>
              <w:bottom w:w="40" w:type="dxa"/>
              <w:right w:w="45" w:type="dxa"/>
            </w:tcMar>
            <w:vAlign w:val="center"/>
          </w:tcPr>
          <w:p w14:paraId="5817F80C" w14:textId="77777777" w:rsidR="00612D3C" w:rsidRDefault="007047D9">
            <w:pPr>
              <w:spacing w:after="0"/>
              <w:jc w:val="center"/>
            </w:pPr>
            <w:r>
              <w:rPr>
                <w:rFonts w:ascii="Arial" w:hAnsi="Arial"/>
                <w:color w:val="000000"/>
                <w:sz w:val="14"/>
              </w:rPr>
              <w:t>.897</w:t>
            </w:r>
          </w:p>
        </w:tc>
        <w:tc>
          <w:tcPr>
            <w:tcW w:w="1267" w:type="dxa"/>
            <w:tcMar>
              <w:top w:w="40" w:type="dxa"/>
              <w:left w:w="45" w:type="dxa"/>
              <w:bottom w:w="40" w:type="dxa"/>
              <w:right w:w="45" w:type="dxa"/>
            </w:tcMar>
            <w:vAlign w:val="center"/>
          </w:tcPr>
          <w:p w14:paraId="2A93CFF5" w14:textId="77777777" w:rsidR="00612D3C" w:rsidRDefault="007047D9">
            <w:pPr>
              <w:spacing w:after="0"/>
              <w:jc w:val="center"/>
            </w:pPr>
            <w:r>
              <w:rPr>
                <w:rFonts w:ascii="Arial" w:hAnsi="Arial"/>
                <w:color w:val="000000"/>
                <w:sz w:val="14"/>
              </w:rPr>
              <w:t>.499</w:t>
            </w:r>
          </w:p>
        </w:tc>
        <w:tc>
          <w:tcPr>
            <w:tcW w:w="1007" w:type="dxa"/>
            <w:tcMar>
              <w:top w:w="40" w:type="dxa"/>
              <w:left w:w="45" w:type="dxa"/>
              <w:bottom w:w="40" w:type="dxa"/>
              <w:right w:w="45" w:type="dxa"/>
            </w:tcMar>
            <w:vAlign w:val="center"/>
          </w:tcPr>
          <w:p w14:paraId="039DBD8E" w14:textId="77777777" w:rsidR="00612D3C" w:rsidRDefault="007047D9">
            <w:pPr>
              <w:spacing w:after="0"/>
              <w:jc w:val="center"/>
            </w:pPr>
            <w:r>
              <w:rPr>
                <w:rFonts w:ascii="Arial" w:hAnsi="Arial"/>
                <w:color w:val="000000"/>
                <w:sz w:val="14"/>
              </w:rPr>
              <w:t>2.005</w:t>
            </w:r>
          </w:p>
        </w:tc>
      </w:tr>
      <w:tr w:rsidR="00612D3C" w14:paraId="6CA571E9" w14:textId="77777777">
        <w:trPr>
          <w:cantSplit/>
          <w:jc w:val="center"/>
        </w:trPr>
        <w:tc>
          <w:tcPr>
            <w:tcW w:w="2160" w:type="dxa"/>
            <w:shd w:val="clear" w:color="auto" w:fill="EEF5EA"/>
            <w:tcMar>
              <w:top w:w="40" w:type="dxa"/>
              <w:left w:w="45" w:type="dxa"/>
              <w:bottom w:w="40" w:type="dxa"/>
              <w:right w:w="45" w:type="dxa"/>
            </w:tcMar>
            <w:vAlign w:val="center"/>
          </w:tcPr>
          <w:p w14:paraId="4D570AA7" w14:textId="77777777" w:rsidR="00612D3C" w:rsidRDefault="007047D9">
            <w:pPr>
              <w:spacing w:after="0"/>
              <w:jc w:val="left"/>
            </w:pPr>
            <w:r>
              <w:rPr>
                <w:rFonts w:ascii="Arial" w:hAnsi="Arial"/>
                <w:color w:val="000000"/>
                <w:sz w:val="14"/>
              </w:rPr>
              <w:t>Performance</w:t>
            </w:r>
          </w:p>
        </w:tc>
        <w:tc>
          <w:tcPr>
            <w:tcW w:w="864" w:type="dxa"/>
            <w:shd w:val="clear" w:color="auto" w:fill="EEF5EA"/>
            <w:tcMar>
              <w:top w:w="40" w:type="dxa"/>
              <w:left w:w="45" w:type="dxa"/>
              <w:bottom w:w="40" w:type="dxa"/>
              <w:right w:w="45" w:type="dxa"/>
            </w:tcMar>
            <w:vAlign w:val="center"/>
          </w:tcPr>
          <w:p w14:paraId="1F407DCA" w14:textId="77777777" w:rsidR="00612D3C" w:rsidRDefault="007047D9">
            <w:pPr>
              <w:spacing w:after="0"/>
              <w:jc w:val="center"/>
            </w:pPr>
            <w:r>
              <w:rPr>
                <w:rFonts w:ascii="Arial" w:hAnsi="Arial"/>
                <w:color w:val="000000"/>
                <w:sz w:val="14"/>
              </w:rPr>
              <w:t>.444</w:t>
            </w:r>
          </w:p>
        </w:tc>
        <w:tc>
          <w:tcPr>
            <w:tcW w:w="936" w:type="dxa"/>
            <w:shd w:val="clear" w:color="auto" w:fill="EEF5EA"/>
            <w:tcMar>
              <w:top w:w="40" w:type="dxa"/>
              <w:left w:w="45" w:type="dxa"/>
              <w:bottom w:w="40" w:type="dxa"/>
              <w:right w:w="45" w:type="dxa"/>
            </w:tcMar>
            <w:vAlign w:val="center"/>
          </w:tcPr>
          <w:p w14:paraId="08266F0D" w14:textId="77777777" w:rsidR="00612D3C" w:rsidRDefault="007047D9">
            <w:pPr>
              <w:spacing w:after="0"/>
              <w:jc w:val="center"/>
            </w:pPr>
            <w:r>
              <w:rPr>
                <w:rFonts w:ascii="Arial" w:hAnsi="Arial"/>
                <w:color w:val="000000"/>
                <w:sz w:val="14"/>
              </w:rPr>
              <w:t>.079</w:t>
            </w:r>
          </w:p>
        </w:tc>
        <w:tc>
          <w:tcPr>
            <w:tcW w:w="864" w:type="dxa"/>
            <w:shd w:val="clear" w:color="auto" w:fill="EEF5EA"/>
            <w:tcMar>
              <w:top w:w="40" w:type="dxa"/>
              <w:left w:w="45" w:type="dxa"/>
              <w:bottom w:w="40" w:type="dxa"/>
              <w:right w:w="45" w:type="dxa"/>
            </w:tcMar>
            <w:vAlign w:val="center"/>
          </w:tcPr>
          <w:p w14:paraId="457EEFD5" w14:textId="77777777" w:rsidR="00612D3C" w:rsidRDefault="007047D9">
            <w:pPr>
              <w:spacing w:after="0"/>
              <w:jc w:val="center"/>
            </w:pPr>
            <w:r>
              <w:rPr>
                <w:rFonts w:ascii="Arial" w:hAnsi="Arial"/>
                <w:color w:val="000000"/>
                <w:sz w:val="14"/>
              </w:rPr>
              <w:t>.418</w:t>
            </w:r>
          </w:p>
        </w:tc>
        <w:tc>
          <w:tcPr>
            <w:tcW w:w="936" w:type="dxa"/>
            <w:shd w:val="clear" w:color="auto" w:fill="EEF5EA"/>
            <w:tcMar>
              <w:top w:w="40" w:type="dxa"/>
              <w:left w:w="45" w:type="dxa"/>
              <w:bottom w:w="40" w:type="dxa"/>
              <w:right w:w="45" w:type="dxa"/>
            </w:tcMar>
            <w:vAlign w:val="center"/>
          </w:tcPr>
          <w:p w14:paraId="31C39B5E" w14:textId="77777777" w:rsidR="00612D3C" w:rsidRDefault="007047D9">
            <w:pPr>
              <w:spacing w:after="0"/>
              <w:jc w:val="center"/>
            </w:pPr>
            <w:r>
              <w:rPr>
                <w:rFonts w:ascii="Arial" w:hAnsi="Arial"/>
                <w:color w:val="000000"/>
                <w:sz w:val="14"/>
              </w:rPr>
              <w:t>5.590</w:t>
            </w:r>
          </w:p>
        </w:tc>
        <w:tc>
          <w:tcPr>
            <w:tcW w:w="1007" w:type="dxa"/>
            <w:shd w:val="clear" w:color="auto" w:fill="EEF5EA"/>
            <w:tcMar>
              <w:top w:w="40" w:type="dxa"/>
              <w:left w:w="45" w:type="dxa"/>
              <w:bottom w:w="40" w:type="dxa"/>
              <w:right w:w="45" w:type="dxa"/>
            </w:tcMar>
            <w:vAlign w:val="center"/>
          </w:tcPr>
          <w:p w14:paraId="382C2896" w14:textId="77777777" w:rsidR="00612D3C" w:rsidRDefault="007047D9">
            <w:pPr>
              <w:spacing w:after="0"/>
              <w:jc w:val="center"/>
            </w:pPr>
            <w:r>
              <w:rPr>
                <w:rFonts w:ascii="Arial" w:hAnsi="Arial"/>
                <w:color w:val="000000"/>
                <w:sz w:val="14"/>
              </w:rPr>
              <w:t>&lt; .001</w:t>
            </w:r>
          </w:p>
        </w:tc>
        <w:tc>
          <w:tcPr>
            <w:tcW w:w="1267" w:type="dxa"/>
            <w:shd w:val="clear" w:color="auto" w:fill="EEF5EA"/>
            <w:tcMar>
              <w:top w:w="40" w:type="dxa"/>
              <w:left w:w="45" w:type="dxa"/>
              <w:bottom w:w="40" w:type="dxa"/>
              <w:right w:w="45" w:type="dxa"/>
            </w:tcMar>
            <w:vAlign w:val="center"/>
          </w:tcPr>
          <w:p w14:paraId="111DC841" w14:textId="77777777" w:rsidR="00612D3C" w:rsidRDefault="007047D9">
            <w:pPr>
              <w:spacing w:after="0"/>
              <w:jc w:val="center"/>
            </w:pPr>
            <w:r>
              <w:rPr>
                <w:rFonts w:ascii="Arial" w:hAnsi="Arial"/>
                <w:color w:val="000000"/>
                <w:sz w:val="14"/>
              </w:rPr>
              <w:t>.597</w:t>
            </w:r>
          </w:p>
        </w:tc>
        <w:tc>
          <w:tcPr>
            <w:tcW w:w="1007" w:type="dxa"/>
            <w:shd w:val="clear" w:color="auto" w:fill="EEF5EA"/>
            <w:tcMar>
              <w:top w:w="40" w:type="dxa"/>
              <w:left w:w="45" w:type="dxa"/>
              <w:bottom w:w="40" w:type="dxa"/>
              <w:right w:w="45" w:type="dxa"/>
            </w:tcMar>
            <w:vAlign w:val="center"/>
          </w:tcPr>
          <w:p w14:paraId="3E981D36" w14:textId="77777777" w:rsidR="00612D3C" w:rsidRDefault="007047D9">
            <w:pPr>
              <w:spacing w:after="0"/>
              <w:jc w:val="center"/>
            </w:pPr>
            <w:r>
              <w:rPr>
                <w:rFonts w:ascii="Arial" w:hAnsi="Arial"/>
                <w:color w:val="000000"/>
                <w:sz w:val="14"/>
              </w:rPr>
              <w:t>1.676</w:t>
            </w:r>
          </w:p>
        </w:tc>
      </w:tr>
      <w:tr w:rsidR="00612D3C" w14:paraId="5A19EC33" w14:textId="77777777">
        <w:trPr>
          <w:cantSplit/>
          <w:jc w:val="center"/>
        </w:trPr>
        <w:tc>
          <w:tcPr>
            <w:tcW w:w="1007" w:type="dxa"/>
            <w:gridSpan w:val="8"/>
            <w:tcMar>
              <w:top w:w="40" w:type="dxa"/>
              <w:left w:w="45" w:type="dxa"/>
              <w:bottom w:w="40" w:type="dxa"/>
              <w:right w:w="45" w:type="dxa"/>
            </w:tcMar>
            <w:vAlign w:val="center"/>
          </w:tcPr>
          <w:p w14:paraId="220FFAEC" w14:textId="77777777" w:rsidR="00612D3C" w:rsidRDefault="007047D9">
            <w:pPr>
              <w:spacing w:after="0"/>
              <w:jc w:val="left"/>
            </w:pPr>
            <w:r>
              <w:rPr>
                <w:rFonts w:ascii="Arial" w:hAnsi="Arial"/>
                <w:color w:val="000000"/>
                <w:sz w:val="14"/>
              </w:rPr>
              <w:t>Dependent variable: customer satisfaction. Significant predictors are shaded.</w:t>
            </w:r>
          </w:p>
        </w:tc>
      </w:tr>
    </w:tbl>
    <w:p w14:paraId="2F8750C5" w14:textId="77777777" w:rsidR="00612D3C" w:rsidRDefault="007047D9">
      <w:pPr>
        <w:rPr>
          <w:rFonts w:ascii="Calibri" w:hAnsi="Calibri" w:cs="Calibri"/>
        </w:rPr>
      </w:pPr>
      <w:r>
        <w:t>The uploaded spreadsheet contains 150 responses. The largest age group was 35–44 (37.3%), followed by 25–34 (27.3%) and 18–24 (20.7%). Women made up 49.3% of the sample and men 37.3%, with 8.0% identifying as non-binary and 5.3% preferring not to say. Most respondents shopped at Tesco at least monthly (78.0%), and 60.7% used the Clubcard app on every or most shopping trips.</w:t>
      </w:r>
    </w:p>
    <w:p w14:paraId="75327326" w14:textId="77777777" w:rsidR="00612D3C" w:rsidRDefault="007047D9">
      <w:pPr>
        <w:rPr>
          <w:rFonts w:ascii="Calibri" w:hAnsi="Calibri" w:cs="Calibri"/>
        </w:rPr>
      </w:pPr>
      <w:r>
        <w:t>Pearson correlations were calculated using pairwise valid responses. All seven app-feature variables were positively and statistically significantly associated with satisfaction. The strongest relationships with satisfaction were app performance (r = .636), perceived usefulness (r = .554) and ease of use (r = .516), followed by personalisation (r = .468), rewards (r = .399), gamification (r = .359) and push notifications (r = .332); all p &lt; .001. Satisfaction was also associated with greater likelihood of shopping at Tesco (r = .649, p &lt; .001) and continuance intention (r = .616, p &lt; .001). The two loyalty outcomes were strongly related (r = .691, p &lt; .001). Pairwise sample sizes ranged from 148 to 150 because malformed item responses were treated as missing.</w:t>
      </w:r>
    </w:p>
    <w:p w14:paraId="2B7873FD" w14:textId="77777777" w:rsidR="00612D3C" w:rsidRDefault="007047D9">
      <w:pPr>
        <w:rPr>
          <w:rFonts w:ascii="Calibri" w:hAnsi="Calibri" w:cs="Calibri"/>
          <w:color w:val="000000"/>
        </w:rPr>
      </w:pPr>
      <w:r>
        <w:t>A standard multiple regression examined the seven app features as simultaneous predictors of satisfaction using 149 complete cases. The model was statistically significant, F(7, 141) = 22.727, p &lt; .001, and explained 53.0% of the variance in satisfaction (R² = .530; adjusted R² = .507). Collinearity was not severe (tolerance = .499–.620; VIF = 1.614–2.005). Perceived usefulness (β = .262, p = .001) and app performance (β = .418, p &lt; .001) were the only statistically significant unique predictors. Ease of use, personalisation, rewards, gamification and push notifications were not significant after overlap among predictors was controlled.</w:t>
      </w:r>
    </w:p>
    <w:p w14:paraId="47067C10" w14:textId="77777777" w:rsidR="00612D3C" w:rsidRDefault="007047D9">
      <w:pPr>
        <w:rPr>
          <w:rFonts w:ascii="Calibri" w:hAnsi="Calibri" w:cs="Calibri"/>
          <w:b/>
          <w:bCs/>
        </w:rPr>
      </w:pPr>
      <w:r>
        <w:rPr>
          <w:rFonts w:ascii="Calibri" w:hAnsi="Calibri" w:cs="Calibri"/>
          <w:b/>
          <w:bCs/>
        </w:rPr>
        <w:t>Reliability and validity</w:t>
      </w:r>
    </w:p>
    <w:p w14:paraId="5ED252C5" w14:textId="77777777" w:rsidR="00612D3C" w:rsidRDefault="007047D9">
      <w:pPr>
        <w:rPr>
          <w:rFonts w:ascii="Calibri" w:hAnsi="Calibri" w:cs="Calibri"/>
        </w:rPr>
      </w:pPr>
      <w:r>
        <w:t>Each app feature and outcome was measured by a single questionnaire item, so internal-consistency statistics such as Cronbach's alpha were not appropriate for these individual measures. Face and content validity were supported by aligning the item wording with the research objectives and commonly used dimensions in branded-app and digital-loyalty research. The single-item design remains a limitation because measurement error cannot be assessed through internal consistency.</w:t>
      </w:r>
    </w:p>
    <w:p w14:paraId="45BE2B0E" w14:textId="77777777" w:rsidR="00612D3C" w:rsidRDefault="007047D9">
      <w:pPr>
        <w:pStyle w:val="Heading2"/>
        <w:rPr>
          <w:rFonts w:ascii="Calibri" w:hAnsi="Calibri" w:cs="Calibri"/>
        </w:rPr>
      </w:pPr>
      <w:bookmarkStart w:id="31" w:name="_Toc240835806"/>
      <w:r>
        <w:rPr>
          <w:rFonts w:ascii="Calibri" w:hAnsi="Calibri" w:cs="Calibri"/>
        </w:rPr>
        <w:t>4.4 Interpretation of findings</w:t>
      </w:r>
      <w:bookmarkEnd w:id="31"/>
    </w:p>
    <w:p w14:paraId="2B86899C" w14:textId="77777777" w:rsidR="00612D3C" w:rsidRDefault="007047D9">
      <w:pPr>
        <w:rPr>
          <w:rFonts w:ascii="Calibri" w:hAnsi="Calibri" w:cs="Calibri"/>
        </w:rPr>
      </w:pPr>
      <w:r>
        <w:t>The descriptive profile shows that the sample was concentrated among younger and middle-aged adults and included many frequent app users. This makes the data relevant to post-adoption experience, although purposive sampling and the small older age groups limit wider generalisation (Santoso and Ruslim, 2024).</w:t>
      </w:r>
    </w:p>
    <w:p w14:paraId="6359F11F" w14:textId="77777777" w:rsidR="00612D3C" w:rsidRDefault="007047D9">
      <w:pPr>
        <w:rPr>
          <w:rFonts w:ascii="Calibri" w:hAnsi="Calibri" w:cs="Calibri"/>
        </w:rPr>
      </w:pPr>
      <w:r>
        <w:t>The correlation pattern is consistent with the expectation-confirmation literature: more favourable ratings of usefulness, performance and the other measured features were associated with higher satisfaction. Satisfaction was also strongly associated with both self-reported loyalty outcomes. These findings are compatible with a satisfaction pathway, but the cross-sectional correlations do not test mediation or establish causal direction (Santoso and Ruslim, 2024; Dyatmika et al., 2025).</w:t>
      </w:r>
    </w:p>
    <w:p w14:paraId="0C842F19" w14:textId="77777777" w:rsidR="00612D3C" w:rsidRDefault="007047D9">
      <w:pPr>
        <w:rPr>
          <w:rFonts w:ascii="Calibri" w:hAnsi="Calibri" w:cs="Calibri"/>
        </w:rPr>
      </w:pPr>
      <w:r>
        <w:t>The regression provides a stricter comparison because it estimates each feature's unique contribution while holding the others constant. App performance and perceived usefulness remained significant, while ease of use, personalisation, rewards, gamification and notifications did not. The result suggests that dependable operation and practical usefulness were the clearest independent correlates of satisfaction in this sample.</w:t>
      </w:r>
    </w:p>
    <w:p w14:paraId="460F76B9" w14:textId="77777777" w:rsidR="00612D3C" w:rsidRDefault="007047D9">
      <w:pPr>
        <w:rPr>
          <w:rFonts w:ascii="Calibri" w:hAnsi="Calibri" w:cs="Calibri"/>
        </w:rPr>
      </w:pPr>
      <w:r>
        <w:t>Gamification and push notifications were positively related to satisfaction at the bivariate level, but neither made a statistically significant unique contribution in the regression. One interpretation is that grocery shoppers treat these features as secondary to an app that works reliably and provides practical help. Another is that engagement tools must be relevant and well timed before users see them as adding distinct value (Khattak et al., 2024).</w:t>
      </w:r>
    </w:p>
    <w:p w14:paraId="5A4A6A3A" w14:textId="77777777" w:rsidR="00612D3C" w:rsidRDefault="007047D9">
      <w:pPr>
        <w:rPr>
          <w:rFonts w:ascii="Calibri" w:hAnsi="Calibri" w:cs="Calibri"/>
        </w:rPr>
      </w:pPr>
      <w:r>
        <w:t>The positive associations between satisfaction and both loyalty outcomes resemble mediated relationships reported in the app-loyalty literature. However, this study did not estimate a mediation model. The results therefore show association only: respondents with more favourable app experiences tended to report stronger Tesco shopping preference and continuance intention (Santoso and Ruslim, 2024; Dyatmika et al., 2025).</w:t>
      </w:r>
    </w:p>
    <w:p w14:paraId="73DA16CC" w14:textId="77777777" w:rsidR="00612D3C" w:rsidRDefault="007047D9">
      <w:pPr>
        <w:rPr>
          <w:rFonts w:ascii="Calibri" w:hAnsi="Calibri" w:cs="Calibri"/>
        </w:rPr>
      </w:pPr>
      <w:r>
        <w:t>Strategically, customer data creates value only when it supports a useful and reliable customer experience (Coyle and Gamberi, 2024). Tesco's use of Clubcard data may strengthen its competitive position when personalised offers are relevant and the app works consistently. The significant contribution of app performance is also consistent with evidence that reliable digital infrastructure matters in high-frequency services such as payment and shopping apps (Alamsyah et al., 2025).</w:t>
      </w:r>
    </w:p>
    <w:p w14:paraId="10A98740" w14:textId="77777777" w:rsidR="00612D3C" w:rsidRDefault="007047D9">
      <w:pPr>
        <w:rPr>
          <w:rFonts w:ascii="Calibri" w:hAnsi="Calibri" w:cs="Calibri"/>
        </w:rPr>
      </w:pPr>
      <w:r>
        <w:rPr>
          <w:rFonts w:ascii="Calibri" w:hAnsi="Calibri" w:cs="Calibri"/>
        </w:rPr>
        <w:t>Lastly, the high behavioural loyalty indications resonate with wider literature that indicates that grocery store transaction data can indicate greater depths of household behaviour and even food access inequalities by space (Broadbridge et al., 2025). Even though the current analysis is on the level of individual level satisfaction and loyalty, the stability of associations between digital features, satisfaction and shopping intensities alludes to the societal level of the impact of large-scale retail data infrastructures.</w:t>
      </w:r>
    </w:p>
    <w:p w14:paraId="52B64E62" w14:textId="77777777" w:rsidR="00612D3C" w:rsidRDefault="007047D9">
      <w:pPr>
        <w:pStyle w:val="Heading2"/>
        <w:rPr>
          <w:rFonts w:ascii="Calibri" w:hAnsi="Calibri" w:cs="Calibri"/>
        </w:rPr>
      </w:pPr>
      <w:bookmarkStart w:id="32" w:name="_Toc240835807"/>
      <w:r>
        <w:rPr>
          <w:rFonts w:ascii="Calibri" w:hAnsi="Calibri" w:cs="Calibri"/>
        </w:rPr>
        <w:t>4.5 Summary</w:t>
      </w:r>
      <w:bookmarkEnd w:id="32"/>
    </w:p>
    <w:p w14:paraId="36E9DEEB" w14:textId="77777777" w:rsidR="00612D3C" w:rsidRDefault="007047D9">
      <w:pPr>
        <w:rPr>
          <w:rFonts w:ascii="Calibri" w:hAnsi="Calibri" w:cs="Calibri"/>
        </w:rPr>
      </w:pPr>
      <w:r>
        <w:t>Overall, the analysis describes a relatively young, digitally active sample in which many respondents used the Clubcard app on most shopping trips. All measured app features were positively associated with satisfaction, and satisfaction was strongly associated with shopping preference and continuance intention.</w:t>
      </w:r>
    </w:p>
    <w:p w14:paraId="4519A4A1" w14:textId="77777777" w:rsidR="00612D3C" w:rsidRDefault="007047D9">
      <w:pPr>
        <w:rPr>
          <w:rFonts w:ascii="Calibri" w:hAnsi="Calibri" w:cs="Calibri"/>
        </w:rPr>
      </w:pPr>
      <w:r>
        <w:t>The multiple regression shows that app performance and perceived usefulness made statistically significant unique contributions to satisfaction. Rewards were rated favourably and correlated with satisfaction, but they were not a significant unique predictor once the other app features were included. Gamification and push notifications were also not significant unique predictors.</w:t>
      </w:r>
    </w:p>
    <w:p w14:paraId="03CD845E" w14:textId="77777777" w:rsidR="00612D3C" w:rsidRDefault="007047D9">
      <w:pPr>
        <w:rPr>
          <w:rFonts w:ascii="Calibri" w:hAnsi="Calibri" w:cs="Calibri"/>
        </w:rPr>
      </w:pPr>
      <w:r>
        <w:t>The results therefore describe Clubcard as a loyalty programme whose customer satisfaction is most clearly linked to dependable performance and practical usefulness. Engagement features may complement the experience, but the model does not show that they independently determine satisfaction or loyalty.</w:t>
      </w:r>
    </w:p>
    <w:p w14:paraId="7E5BAF62" w14:textId="77777777" w:rsidR="00612D3C" w:rsidRDefault="007047D9">
      <w:pPr>
        <w:rPr>
          <w:rFonts w:ascii="Calibri" w:hAnsi="Calibri" w:cs="Calibri"/>
        </w:rPr>
      </w:pPr>
      <w:r>
        <w:br w:type="page"/>
      </w:r>
    </w:p>
    <w:p w14:paraId="1E644D5F" w14:textId="77777777" w:rsidR="00612D3C" w:rsidRDefault="007047D9">
      <w:pPr>
        <w:pStyle w:val="Heading1"/>
        <w:spacing w:before="0"/>
        <w:rPr>
          <w:rFonts w:ascii="Calibri" w:hAnsi="Calibri" w:cs="Calibri"/>
        </w:rPr>
      </w:pPr>
      <w:bookmarkStart w:id="33" w:name="_Toc240835808"/>
      <w:r>
        <w:rPr>
          <w:rFonts w:ascii="Calibri" w:hAnsi="Calibri" w:cs="Calibri"/>
        </w:rPr>
        <w:t>5. DISCUSSION</w:t>
      </w:r>
      <w:bookmarkEnd w:id="33"/>
    </w:p>
    <w:p w14:paraId="08F8F847" w14:textId="77777777" w:rsidR="00612D3C" w:rsidRDefault="007047D9">
      <w:pPr>
        <w:pStyle w:val="Heading2"/>
        <w:rPr>
          <w:rFonts w:ascii="Calibri" w:hAnsi="Calibri" w:cs="Calibri"/>
        </w:rPr>
      </w:pPr>
      <w:bookmarkStart w:id="34" w:name="_Toc240835809"/>
      <w:r>
        <w:rPr>
          <w:rFonts w:ascii="Calibri" w:hAnsi="Calibri" w:cs="Calibri"/>
        </w:rPr>
        <w:t>5.1 Introduction</w:t>
      </w:r>
      <w:bookmarkEnd w:id="34"/>
    </w:p>
    <w:p w14:paraId="52596933" w14:textId="77777777" w:rsidR="00612D3C" w:rsidRDefault="007047D9">
      <w:pPr>
        <w:rPr>
          <w:rFonts w:ascii="Calibri" w:hAnsi="Calibri" w:cs="Calibri"/>
        </w:rPr>
      </w:pPr>
      <w:r>
        <w:rPr>
          <w:rFonts w:ascii="Calibri" w:hAnsi="Calibri" w:cs="Calibri"/>
        </w:rPr>
        <w:t>In this discussion chapter, the findings of this study will be critically understood with regard to the four objectives mentioned. It bases it on the quantitative findings and locates them in the broader academic literature in the area of continuance intention, satisfaction, loyalty and gamification in mobile app ecosystems.</w:t>
      </w:r>
    </w:p>
    <w:p w14:paraId="4B25A637" w14:textId="77777777" w:rsidR="00612D3C" w:rsidRDefault="007047D9">
      <w:pPr>
        <w:pStyle w:val="Heading2"/>
        <w:rPr>
          <w:rFonts w:ascii="Calibri" w:hAnsi="Calibri" w:cs="Calibri"/>
        </w:rPr>
      </w:pPr>
      <w:bookmarkStart w:id="35" w:name="_Toc240835810"/>
      <w:r>
        <w:rPr>
          <w:rFonts w:ascii="Calibri" w:hAnsi="Calibri" w:cs="Calibri"/>
        </w:rPr>
        <w:t>5.2 Findings of the discussion</w:t>
      </w:r>
      <w:bookmarkEnd w:id="35"/>
    </w:p>
    <w:p w14:paraId="7E6659E7" w14:textId="77777777" w:rsidR="00612D3C" w:rsidRDefault="007047D9">
      <w:pPr>
        <w:pStyle w:val="Heading3"/>
        <w:rPr>
          <w:rFonts w:ascii="Calibri" w:hAnsi="Calibri" w:cs="Calibri"/>
        </w:rPr>
      </w:pPr>
      <w:r>
        <w:t>5.2.1 Relationship between Tesco Clubcard app features and customer satisfaction RO 1</w:t>
      </w:r>
    </w:p>
    <w:p w14:paraId="3793EF86" w14:textId="77777777" w:rsidR="00612D3C" w:rsidRDefault="007047D9">
      <w:pPr>
        <w:rPr>
          <w:rFonts w:ascii="Calibri" w:hAnsi="Calibri" w:cs="Calibri"/>
        </w:rPr>
      </w:pPr>
      <w:r>
        <w:t>Customer satisfaction was positively correlated with every measured Clubcard app feature. The strongest bivariate relationships were with app performance, perceived usefulness and ease of use, followed by personalisation, rewards, gamification and push notifications. This is consistent with branded-app research in which functional quality and perceived value support post-adoption satisfaction (Seridaran et al., 2024).</w:t>
      </w:r>
    </w:p>
    <w:p w14:paraId="4158C437" w14:textId="77777777" w:rsidR="00612D3C" w:rsidRDefault="007047D9">
      <w:pPr>
        <w:rPr>
          <w:rFonts w:ascii="Calibri" w:hAnsi="Calibri" w:cs="Calibri"/>
        </w:rPr>
      </w:pPr>
      <w:r>
        <w:rPr>
          <w:rFonts w:ascii="Calibri" w:hAnsi="Calibri" w:cs="Calibri"/>
        </w:rPr>
        <w:t>The Tesco findings also support the studies of digital payments where perceived usefulness and enjoyment increases satisfaction and continuation interest (Amelia et al., 2024). Applied to a grocery situation, this would imply that satisfaction is also reinforced when the app makes the shopping experience easier, assists users to manage the savings, and provide distinctively personalised value other than generic promotions.</w:t>
      </w:r>
    </w:p>
    <w:p w14:paraId="056C5856" w14:textId="77777777" w:rsidR="00612D3C" w:rsidRDefault="007047D9">
      <w:pPr>
        <w:rPr>
          <w:rFonts w:ascii="Calibri" w:hAnsi="Calibri" w:cs="Calibri"/>
        </w:rPr>
      </w:pPr>
      <w:r>
        <w:rPr>
          <w:rFonts w:ascii="Calibri" w:hAnsi="Calibri" w:cs="Calibri"/>
        </w:rPr>
        <w:t>Gamification seems to be a factor that leads to satisfaction in cases where it promotes recognisable utility. Travel application studies reveal that gamified features can affect continuance intention because of the perceived enjoyment and usefulness, which suggests that fun is most effective in fostering loyalty when it co-exists with functional value (Kaur et al., 2025). The evidence of the Clubcard indicates the same rationale: interactive tools like the visibility of the points or progress-type incentives are valued when they can be converted to tangible discounts and do not interfere with the effectiveness of the shopping process.</w:t>
      </w:r>
    </w:p>
    <w:p w14:paraId="2885935E" w14:textId="77777777" w:rsidR="00612D3C" w:rsidRDefault="007047D9">
      <w:pPr>
        <w:rPr>
          <w:rFonts w:ascii="Calibri" w:hAnsi="Calibri" w:cs="Calibri"/>
        </w:rPr>
      </w:pPr>
      <w:r>
        <w:rPr>
          <w:rFonts w:ascii="Calibri" w:hAnsi="Calibri" w:cs="Calibri"/>
        </w:rPr>
        <w:t>The other probable enhancer of satisfaction is personalisation. The studies on AI-powered service quality indicate that there is a multidimensional relationship between trust, convenience, and customized experiences that enhance consumer satisfaction and engagement among Malaysian e-commerce consumers (Kanapathipillai et al., 2024). This justifies the conclusion that data-driven relevance of the offer related to the Clubcard can enhance the satisfaction in case the customers consider the value exchange as reasonable and worthwhile.</w:t>
      </w:r>
    </w:p>
    <w:p w14:paraId="27733280" w14:textId="77777777" w:rsidR="00612D3C" w:rsidRDefault="007047D9">
      <w:pPr>
        <w:pStyle w:val="Heading3"/>
        <w:rPr>
          <w:rFonts w:ascii="Calibri" w:hAnsi="Calibri" w:cs="Calibri"/>
        </w:rPr>
      </w:pPr>
      <w:r>
        <w:t>5.2.2 Associations among app use, satisfaction and loyalty RO 2</w:t>
      </w:r>
    </w:p>
    <w:p w14:paraId="09651891" w14:textId="77777777" w:rsidR="00612D3C" w:rsidRDefault="007047D9">
      <w:pPr>
        <w:rPr>
          <w:rFonts w:ascii="Calibri" w:hAnsi="Calibri" w:cs="Calibri"/>
        </w:rPr>
      </w:pPr>
      <w:r>
        <w:t>The results are consistent with a possible mediating role for customer satisfaction between app experience and loyalty outcomes, but mediation was not formally tested. More frequent app use is associated with higher satisfaction, and satisfaction is associated with both intention to continue using the app and preference for Tesco. The pattern is therefore compatible with continuance literature in which satisfaction helps translate experience into loyalty intentions, while remaining correlational in this study.</w:t>
      </w:r>
    </w:p>
    <w:p w14:paraId="066C31C5" w14:textId="77777777" w:rsidR="00612D3C" w:rsidRDefault="007047D9">
      <w:pPr>
        <w:rPr>
          <w:rFonts w:ascii="Calibri" w:hAnsi="Calibri" w:cs="Calibri"/>
        </w:rPr>
      </w:pPr>
      <w:r>
        <w:rPr>
          <w:rFonts w:ascii="Calibri" w:hAnsi="Calibri" w:cs="Calibri"/>
        </w:rPr>
        <w:t>The researches on brand commitment indicate that emotional involvement may be intensified with repeated contact and positive experiences in the apps, enhancing the satisfaction and prolonged loyalty (Amoroso and Ackaradejruangsri, 2024). This is supported by the evidence of hybrid models in payment apps, where satisfaction and trust have been shown to be the most potent outcomes of continuance intention, outdoing the impact of habit and performance expectancy (Kunja et al., 2024).</w:t>
      </w:r>
    </w:p>
    <w:p w14:paraId="7FBE03CA" w14:textId="77777777" w:rsidR="00612D3C" w:rsidRDefault="007047D9">
      <w:pPr>
        <w:rPr>
          <w:rFonts w:ascii="Calibri" w:hAnsi="Calibri" w:cs="Calibri"/>
        </w:rPr>
      </w:pPr>
      <w:r>
        <w:rPr>
          <w:rFonts w:ascii="Calibri" w:hAnsi="Calibri" w:cs="Calibri"/>
        </w:rPr>
        <w:t>The mediating logic is also aligned with the long-term ECM studies in mobile banking, where the satisfaction is very much connected with the continuance intention in the presence of confirmation of expectations with AI features and security concerns influencing the post adoption appraisal (Rokhimah and Suhermin, 2024). In the case of Tesco, it suggests that loyalty should be developed as the customers use it again and again, with the feeling that application performance and rewards are genuinely working to live up to their expectation of quality and fairness.</w:t>
      </w:r>
    </w:p>
    <w:p w14:paraId="37A4698C" w14:textId="77777777" w:rsidR="00612D3C" w:rsidRDefault="007047D9">
      <w:pPr>
        <w:rPr>
          <w:rFonts w:ascii="Calibri" w:hAnsi="Calibri" w:cs="Calibri"/>
        </w:rPr>
      </w:pPr>
      <w:r>
        <w:rPr>
          <w:rFonts w:ascii="Calibri" w:hAnsi="Calibri" w:cs="Calibri"/>
        </w:rPr>
        <w:t>The attitudinal effects of satisfaction can also be broader. According to the online music stream evidence, the wellbeing of users and their intentions to recommend the app may be improved with the help of satisfaction and continuance intention, meaning that social diffusion of loyalty may occur due to the positive post-adoption experience (Soaloon and Handayani, 2025). This helps prove the point that happy users of Clubcard will tend to recommend the app to others, which increases retention advantages.</w:t>
      </w:r>
    </w:p>
    <w:p w14:paraId="397201CB" w14:textId="77777777" w:rsidR="00612D3C" w:rsidRDefault="007047D9">
      <w:pPr>
        <w:pStyle w:val="Heading3"/>
        <w:rPr>
          <w:rFonts w:ascii="Calibri" w:hAnsi="Calibri" w:cs="Calibri"/>
        </w:rPr>
      </w:pPr>
      <w:r>
        <w:t>5.2.3 Why Gamification and Push Notifications Failed to Achieve Statistical Significance in Tesco's Ecosystem RO 3</w:t>
      </w:r>
    </w:p>
    <w:p w14:paraId="65BB8BBB" w14:textId="77777777" w:rsidR="00612D3C" w:rsidRDefault="007047D9">
      <w:pPr>
        <w:rPr>
          <w:rFonts w:ascii="Calibri" w:hAnsi="Calibri" w:cs="Calibri"/>
        </w:rPr>
      </w:pPr>
      <w:r>
        <w:t>Gamification and push notifications were positively associated with satisfaction in the pairwise correlations, but neither variable achieved statistical significance in the multiple regression. Once usefulness, reward value, ease of use, personalisation and app performance were considered together, these engagement features did not explain a unique share of satisfaction. Customers may therefore notice or enjoy them without treating them as essential parts of the grocery-shopping experience.</w:t>
      </w:r>
    </w:p>
    <w:p w14:paraId="66EC6D9B" w14:textId="77777777" w:rsidR="00612D3C" w:rsidRDefault="007047D9">
      <w:pPr>
        <w:rPr>
          <w:rFonts w:ascii="Calibri" w:hAnsi="Calibri" w:cs="Calibri"/>
        </w:rPr>
      </w:pPr>
      <w:r>
        <w:t>In a grocery setting, functional value is likely to dominate because shoppers mainly use the app to obtain discounts, complete purchases quickly and manage routine spending. Game-like features can feel secondary or gimmicky when they are not connected to a clear saving or shopping goal. The finding therefore supports using gamification only when it helps users reach practical goals, such as tracking savings or unlocking a relevant reward (Nugroho, 2024; Kaur et al., 2025).</w:t>
      </w:r>
    </w:p>
    <w:p w14:paraId="1735C9FF" w14:textId="77777777" w:rsidR="00612D3C" w:rsidRDefault="007047D9">
      <w:pPr>
        <w:rPr>
          <w:rFonts w:ascii="Calibri" w:hAnsi="Calibri" w:cs="Calibri"/>
        </w:rPr>
      </w:pPr>
      <w:r>
        <w:t>Push notifications show a similar limitation. Relevant reminders may support interaction, but frequent or poorly timed prompts can interrupt the customer experience. Tesco should therefore use personalisation and frequency controls so that notifications provide timely value rather than pressure. This interpretation is consistent with research showing that contextual relevance supports app satisfaction, while disruptive messages can reduce perceived value (Chong et al., 2024).</w:t>
      </w:r>
    </w:p>
    <w:p w14:paraId="05930AB1" w14:textId="77777777" w:rsidR="00612D3C" w:rsidRDefault="007047D9">
      <w:pPr>
        <w:pStyle w:val="Heading3"/>
        <w:rPr>
          <w:rFonts w:ascii="Calibri" w:hAnsi="Calibri" w:cs="Calibri"/>
        </w:rPr>
      </w:pPr>
      <w:r>
        <w:t>5.2.4 Statistically significant predictors of customer satisfaction RO 4</w:t>
      </w:r>
    </w:p>
    <w:p w14:paraId="750DCD9D" w14:textId="77777777" w:rsidR="00612D3C" w:rsidRDefault="007047D9">
      <w:pPr>
        <w:rPr>
          <w:rFonts w:ascii="Calibri" w:hAnsi="Calibri" w:cs="Calibri"/>
        </w:rPr>
      </w:pPr>
      <w:r>
        <w:t>The regression model assessed the seven measured app features as predictors of customer satisfaction. App performance (β = .418, p &lt; .001) and perceived usefulness (β = .262, p = .001) were the only statistically significant unique predictors. Ease of use, personalisation, rewards, gamification and push notifications did not make significant unique contributions once overlap among predictors was controlled.</w:t>
      </w:r>
    </w:p>
    <w:p w14:paraId="2D95EB69" w14:textId="77777777" w:rsidR="00612D3C" w:rsidRDefault="007047D9">
      <w:pPr>
        <w:rPr>
          <w:rFonts w:ascii="Calibri" w:hAnsi="Calibri" w:cs="Calibri"/>
        </w:rPr>
      </w:pPr>
      <w:r>
        <w:t>This pattern indicates that reliable operation and practical utility carried the clearest independent weight in satisfaction. Rewards received favourable descriptive ratings and had a positive bivariate correlation with satisfaction, but their regression coefficient was not significant. Gamification and notifications may still complement the experience, but this analysis does not show that they independently predict satisfaction.</w:t>
      </w:r>
    </w:p>
    <w:p w14:paraId="6B74D9DB" w14:textId="77777777" w:rsidR="00612D3C" w:rsidRDefault="007047D9">
      <w:pPr>
        <w:rPr>
          <w:rFonts w:ascii="Calibri" w:hAnsi="Calibri" w:cs="Calibri"/>
        </w:rPr>
      </w:pPr>
      <w:r>
        <w:t>The positive ratings for usefulness, rewards and convenience suggest a mainly calculative or transactional form of loyalty: customers may continue using Clubcard because it helps with routine shopping and savings rather than because of purely emotional attachment to Tesco. The survey did not measure calculative and affective loyalty as separate constructs, so this is an interpretation of the observed pattern rather than a tested distinction.</w:t>
      </w:r>
    </w:p>
    <w:p w14:paraId="7CD6A808" w14:textId="77777777" w:rsidR="00612D3C" w:rsidRDefault="007047D9">
      <w:pPr>
        <w:pStyle w:val="Heading2"/>
        <w:rPr>
          <w:rFonts w:ascii="Calibri" w:hAnsi="Calibri" w:cs="Calibri"/>
        </w:rPr>
      </w:pPr>
      <w:bookmarkStart w:id="36" w:name="_Toc240835815"/>
      <w:r>
        <w:rPr>
          <w:rFonts w:ascii="Calibri" w:hAnsi="Calibri" w:cs="Calibri"/>
        </w:rPr>
        <w:t>5.3 Integration and critical interpretation (theoretical).</w:t>
      </w:r>
      <w:bookmarkEnd w:id="36"/>
    </w:p>
    <w:p w14:paraId="51F93650" w14:textId="77777777" w:rsidR="00612D3C" w:rsidRDefault="007047D9">
      <w:pPr>
        <w:rPr>
          <w:rFonts w:ascii="Calibri" w:hAnsi="Calibri" w:cs="Calibri"/>
        </w:rPr>
      </w:pPr>
      <w:r>
        <w:t>The results are consistent with the broad logic of the Expectation-Confirmation Model and technology-continuance research, particularly the importance of satisfaction after adoption. However, expectation confirmation, trust and price sensitivity were not measured as separate variables, so the study cannot claim to have tested the full theoretical model.</w:t>
      </w:r>
    </w:p>
    <w:p w14:paraId="60A57B32" w14:textId="77777777" w:rsidR="00612D3C" w:rsidRDefault="007047D9">
      <w:pPr>
        <w:rPr>
          <w:rFonts w:ascii="Calibri" w:hAnsi="Calibri" w:cs="Calibri"/>
        </w:rPr>
      </w:pPr>
      <w:r>
        <w:t>The findings place functional performance at the centre of satisfaction in this sample. Other experiential features may still matter, but the regression did not show unique effects for gamification, push notifications, personalisation or rewards once the measured predictors were considered together.</w:t>
      </w:r>
    </w:p>
    <w:p w14:paraId="477408BA" w14:textId="77777777" w:rsidR="00612D3C" w:rsidRDefault="007047D9">
      <w:pPr>
        <w:rPr>
          <w:rFonts w:ascii="Calibri" w:hAnsi="Calibri" w:cs="Calibri"/>
        </w:rPr>
      </w:pPr>
      <w:r>
        <w:t>The pattern does not demonstrate that transactional loyalty has been replaced by relational loyalty. Instead, it suggests that practical usefulness, reliable performance and savings-related value remain important in routine grocery shopping. Any stronger relational attachment would need to be measured directly in future research.</w:t>
      </w:r>
    </w:p>
    <w:p w14:paraId="497FA00F" w14:textId="77777777" w:rsidR="00612D3C" w:rsidRDefault="007047D9">
      <w:pPr>
        <w:rPr>
          <w:rFonts w:ascii="Calibri" w:hAnsi="Calibri" w:cs="Calibri"/>
        </w:rPr>
      </w:pPr>
      <w:r>
        <w:t>The cross-sectional design limits causal interpretation. Longitudinal research would be needed to examine how satisfaction and loyalty change over time, especially as app features and customer expectations develop (Seridaran et al., 2024). The present results identify associations and regression-based predictors, but they do not prove mediation or long-term retention.</w:t>
      </w:r>
    </w:p>
    <w:p w14:paraId="402C4D25" w14:textId="77777777" w:rsidR="00612D3C" w:rsidRDefault="007047D9">
      <w:pPr>
        <w:pStyle w:val="Heading2"/>
        <w:rPr>
          <w:rFonts w:ascii="Calibri" w:hAnsi="Calibri" w:cs="Calibri"/>
        </w:rPr>
      </w:pPr>
      <w:bookmarkStart w:id="37" w:name="_Toc240835816"/>
      <w:r>
        <w:rPr>
          <w:rFonts w:ascii="Calibri" w:hAnsi="Calibri" w:cs="Calibri"/>
        </w:rPr>
        <w:t>5.4 Summary of discussion</w:t>
      </w:r>
      <w:bookmarkEnd w:id="37"/>
    </w:p>
    <w:p w14:paraId="7E985B48" w14:textId="77777777" w:rsidR="00612D3C" w:rsidRDefault="007047D9">
      <w:pPr>
        <w:rPr>
          <w:rFonts w:ascii="Calibri" w:hAnsi="Calibri" w:cs="Calibri"/>
        </w:rPr>
      </w:pPr>
      <w:r>
        <w:t>The discussion shows that all seven measured app features were positively associated with satisfaction. App performance and perceived usefulness made statistically significant unique contributions in the regression, while rewards, ease of use, personalisation, gamification and push notifications did not. Satisfaction was also positively associated with both self-reported loyalty outcomes, although the cross-sectional analysis does not establish mediation or causation. Overall, practical usefulness and dependable performance mattered more than novelty-led engagement in this sample.</w:t>
      </w:r>
    </w:p>
    <w:p w14:paraId="35F2C701" w14:textId="77777777" w:rsidR="00612D3C" w:rsidRDefault="007047D9">
      <w:pPr>
        <w:rPr>
          <w:rFonts w:ascii="Calibri" w:hAnsi="Calibri" w:cs="Calibri"/>
        </w:rPr>
      </w:pPr>
      <w:r>
        <w:br w:type="page"/>
      </w:r>
    </w:p>
    <w:p w14:paraId="3DC92FC7" w14:textId="77777777" w:rsidR="00612D3C" w:rsidRDefault="007047D9">
      <w:pPr>
        <w:pStyle w:val="Heading1"/>
        <w:spacing w:before="0"/>
        <w:rPr>
          <w:rFonts w:ascii="Calibri" w:hAnsi="Calibri" w:cs="Calibri"/>
        </w:rPr>
      </w:pPr>
      <w:bookmarkStart w:id="38" w:name="_Toc240835817"/>
      <w:r>
        <w:rPr>
          <w:rFonts w:ascii="Calibri" w:hAnsi="Calibri" w:cs="Calibri"/>
        </w:rPr>
        <w:t>6. CONCLUSION AND RECOMMENDATIONS</w:t>
      </w:r>
      <w:bookmarkEnd w:id="38"/>
    </w:p>
    <w:p w14:paraId="6A3ACAE5" w14:textId="77777777" w:rsidR="00612D3C" w:rsidRDefault="007047D9">
      <w:pPr>
        <w:pStyle w:val="Heading2"/>
        <w:rPr>
          <w:rFonts w:ascii="Calibri" w:hAnsi="Calibri" w:cs="Calibri"/>
        </w:rPr>
      </w:pPr>
      <w:bookmarkStart w:id="39" w:name="_Toc240835818"/>
      <w:r>
        <w:rPr>
          <w:rFonts w:ascii="Calibri" w:hAnsi="Calibri" w:cs="Calibri"/>
        </w:rPr>
        <w:t>6.1 Conclusion</w:t>
      </w:r>
      <w:bookmarkEnd w:id="39"/>
    </w:p>
    <w:p w14:paraId="6C8698B8" w14:textId="77777777" w:rsidR="00612D3C" w:rsidRDefault="007047D9">
      <w:pPr>
        <w:rPr>
          <w:rFonts w:ascii="Calibri" w:hAnsi="Calibri" w:cs="Calibri"/>
        </w:rPr>
      </w:pPr>
      <w:r>
        <w:t>This study examined the relationships among Tesco Clubcard app features, customer satisfaction and self-reported loyalty in the UK grocery market. It also considered engagement features such as rewards, gamification and push notifications. The findings address the research objectives by showing which measured features were associated with satisfaction and which made unique contributions in the regression model.</w:t>
      </w:r>
    </w:p>
    <w:p w14:paraId="029DA968" w14:textId="77777777" w:rsidR="00612D3C" w:rsidRDefault="007047D9">
      <w:pPr>
        <w:rPr>
          <w:rFonts w:ascii="Calibri" w:hAnsi="Calibri" w:cs="Calibri"/>
        </w:rPr>
      </w:pPr>
      <w:r>
        <w:t>The evidence shows that app performance and perceived usefulness were the clearest unique predictors of satisfaction. Rewards were viewed positively and correlated with satisfaction, but they were not significant after the other features were controlled. The results therefore favour reliable and useful app performance over novelty-led engagement as the stronger basis for satisfaction in this sample.</w:t>
      </w:r>
    </w:p>
    <w:p w14:paraId="7578B718" w14:textId="77777777" w:rsidR="00612D3C" w:rsidRDefault="007047D9">
      <w:pPr>
        <w:rPr>
          <w:rFonts w:ascii="Calibri" w:hAnsi="Calibri" w:cs="Calibri"/>
        </w:rPr>
      </w:pPr>
      <w:r>
        <w:t>The findings also indicate that gamification is not necessarily a driver of loyalty unless it is tied to relevant shopping outcomes. Evidence from grocery and broader digital settings suggests that gamified elements are most useful when they connect to clear behavioural goals, such as location-based relevance or measurable savings. However, if gamification feels superficial, overly persuasive or excessively competitive, it may create resistance and weaken trust among some consumers.</w:t>
      </w:r>
    </w:p>
    <w:p w14:paraId="33151C64" w14:textId="77777777" w:rsidR="00612D3C" w:rsidRDefault="007047D9">
      <w:pPr>
        <w:rPr>
          <w:rFonts w:ascii="Calibri" w:hAnsi="Calibri" w:cs="Calibri"/>
        </w:rPr>
      </w:pPr>
      <w:r>
        <w:t>Satisfaction was strongly associated with shopping preference and continuance intention. This pattern is compatible with a pathway from app experience to loyalty, but mediation was not tested. The broader literature likewise suggests that engagement tools support long-term loyalty when they contribute to a positive overall experience rather than functioning as an independent strategy (Parapanos and Michopoulou, 2025).</w:t>
      </w:r>
    </w:p>
    <w:p w14:paraId="4BEEFEB8" w14:textId="77777777" w:rsidR="00612D3C" w:rsidRDefault="007047D9">
      <w:pPr>
        <w:rPr>
          <w:rFonts w:ascii="Calibri" w:hAnsi="Calibri" w:cs="Calibri"/>
        </w:rPr>
      </w:pPr>
      <w:r>
        <w:t>Relative to the research gap, the study contributes to knowledge about grocery-app loyalty by showing that clear value and service-like reliability remain important in a highly digital, incentive-rich market. It places gamification and nudging within a grocery context in which convenience, price salience and trust in benefit structures may influence everyday behaviour more strongly than entertainment alone.</w:t>
      </w:r>
    </w:p>
    <w:p w14:paraId="2AAEC33E" w14:textId="77777777" w:rsidR="00612D3C" w:rsidRDefault="007047D9">
      <w:pPr>
        <w:rPr>
          <w:rFonts w:ascii="Calibri" w:hAnsi="Calibri" w:cs="Calibri"/>
        </w:rPr>
      </w:pPr>
      <w:r>
        <w:rPr>
          <w:rFonts w:ascii="Calibri" w:hAnsi="Calibri" w:cs="Calibri"/>
        </w:rPr>
        <w:t>The chapter on the methodology presented limitations that were discussed again in the interpretation of results, such as cross-sectional characteristic of the survey, relying on self-reported perceptions, and limited focus on one retailer. These limits suggest that the relationships are to be interpreted as suggestive associations, but not as causal ones, and that longitudinal design and comparative multi-retailer samples should be used in future studies.</w:t>
      </w:r>
    </w:p>
    <w:p w14:paraId="0D84F8AB" w14:textId="77777777" w:rsidR="00612D3C" w:rsidRDefault="007047D9">
      <w:pPr>
        <w:pStyle w:val="Heading2"/>
        <w:rPr>
          <w:rFonts w:ascii="Calibri" w:hAnsi="Calibri" w:cs="Calibri"/>
        </w:rPr>
      </w:pPr>
      <w:bookmarkStart w:id="40" w:name="_Toc240835819"/>
      <w:r>
        <w:rPr>
          <w:rFonts w:ascii="Calibri" w:hAnsi="Calibri" w:cs="Calibri"/>
        </w:rPr>
        <w:t>6.2 Recommendations</w:t>
      </w:r>
      <w:bookmarkEnd w:id="40"/>
    </w:p>
    <w:p w14:paraId="4144751D" w14:textId="77777777" w:rsidR="00612D3C" w:rsidRDefault="007047D9">
      <w:pPr>
        <w:rPr>
          <w:rFonts w:ascii="Calibri" w:hAnsi="Calibri" w:cs="Calibri"/>
        </w:rPr>
      </w:pPr>
      <w:r>
        <w:rPr>
          <w:rFonts w:ascii="Calibri" w:hAnsi="Calibri" w:cs="Calibri"/>
        </w:rPr>
        <w:t>Judging by the trends provided by the empirical research and considering the literature supporting gamification, digital nudging, and satisfaction, a number of issues can be suggested to enhance the satisfaction-based loyalty in the Clubcard app-based ecosystem.</w:t>
      </w:r>
    </w:p>
    <w:p w14:paraId="7A4DADD4" w14:textId="77777777" w:rsidR="00612D3C" w:rsidRDefault="007047D9">
      <w:pPr>
        <w:rPr>
          <w:rFonts w:ascii="Calibri" w:hAnsi="Calibri" w:cs="Calibri"/>
          <w:i/>
          <w:iCs/>
        </w:rPr>
      </w:pPr>
      <w:r>
        <w:rPr>
          <w:rFonts w:ascii="Calibri" w:hAnsi="Calibri" w:cs="Calibri"/>
          <w:i/>
          <w:iCs/>
        </w:rPr>
        <w:t>1. Value clarity is more important than feature volume.</w:t>
      </w:r>
    </w:p>
    <w:p w14:paraId="1112851F" w14:textId="77777777" w:rsidR="00612D3C" w:rsidRDefault="007047D9">
      <w:pPr>
        <w:rPr>
          <w:rFonts w:ascii="Calibri" w:hAnsi="Calibri" w:cs="Calibri"/>
        </w:rPr>
      </w:pPr>
      <w:r>
        <w:rPr>
          <w:rFonts w:ascii="Calibri" w:hAnsi="Calibri" w:cs="Calibri"/>
        </w:rPr>
        <w:t>Tesco should also make the process of explaining and visualising savings, points, and member benefits simpler. Perceptions of fairness would be enhanced with clear and category-based savings summaries and regular communications that differentiate between normal pricing and member pricing that would reduce confusion. When the benefits can be easily interpreted and made to seem proportional to the effort and expenditure of the user, then it is likely that rewards systems will increase commitment. (Hossain and Magar, 2025; Oliveira et al., 2024).</w:t>
      </w:r>
    </w:p>
    <w:p w14:paraId="0E89A758" w14:textId="77777777" w:rsidR="00612D3C" w:rsidRDefault="007047D9">
      <w:pPr>
        <w:rPr>
          <w:rFonts w:ascii="Calibri" w:hAnsi="Calibri" w:cs="Calibri"/>
          <w:i/>
          <w:iCs/>
        </w:rPr>
      </w:pPr>
      <w:r>
        <w:rPr>
          <w:rFonts w:ascii="Calibri" w:hAnsi="Calibri" w:cs="Calibri"/>
          <w:i/>
          <w:iCs/>
        </w:rPr>
        <w:t>2. Rebrand gamification as encouraging goal-based nudging.</w:t>
      </w:r>
    </w:p>
    <w:p w14:paraId="51E58D78" w14:textId="77777777" w:rsidR="00612D3C" w:rsidRDefault="007047D9">
      <w:pPr>
        <w:rPr>
          <w:rFonts w:ascii="Calibri" w:hAnsi="Calibri" w:cs="Calibri"/>
        </w:rPr>
      </w:pPr>
      <w:r>
        <w:rPr>
          <w:rFonts w:ascii="Calibri" w:hAnsi="Calibri" w:cs="Calibri"/>
        </w:rPr>
        <w:t>Instead of using gamification as a broadly applicable engagement surface, Tesco might embrace light, consensual missions associated with realistic grocery objectives like healthier baskets, seasonal budgeting, or sustainable purchasing. Specific to grocery evidence indicates that context-based gamification, like location-based or goal-congruent, is more acceptable and is seen as having greater value. (Zandi and Sekhavat, 2024; Grant et al., 2025).</w:t>
      </w:r>
    </w:p>
    <w:p w14:paraId="6E711EC4" w14:textId="77777777" w:rsidR="00612D3C" w:rsidRDefault="007047D9">
      <w:pPr>
        <w:rPr>
          <w:rFonts w:ascii="Calibri" w:hAnsi="Calibri" w:cs="Calibri"/>
          <w:i/>
          <w:iCs/>
        </w:rPr>
      </w:pPr>
      <w:r>
        <w:rPr>
          <w:rFonts w:ascii="Calibri" w:hAnsi="Calibri" w:cs="Calibri"/>
          <w:i/>
          <w:iCs/>
        </w:rPr>
        <w:t>3. To prevent fatigue with novelty, use time-bound micro-rewards.</w:t>
      </w:r>
    </w:p>
    <w:p w14:paraId="04B62DCF" w14:textId="77777777" w:rsidR="00612D3C" w:rsidRDefault="007047D9">
      <w:pPr>
        <w:rPr>
          <w:rFonts w:ascii="Calibri" w:hAnsi="Calibri" w:cs="Calibri"/>
        </w:rPr>
      </w:pPr>
      <w:r>
        <w:rPr>
          <w:rFonts w:ascii="Calibri" w:hAnsi="Calibri" w:cs="Calibri"/>
        </w:rPr>
        <w:t>Timed deals can be planned according to the shopping habits, which can be observed due to more or less constant shopping events like family shopping during the weekend or first-day shopping. Studies indicate that the schedule of rewards can influence the perception of attractiveness and the outcome of engagement, i.e., that rhythmic-based incentives can maintain interest without generating too much stimulation. (Mehrotra and Roy, 2025).</w:t>
      </w:r>
    </w:p>
    <w:p w14:paraId="5C080130" w14:textId="77777777" w:rsidR="00612D3C" w:rsidRDefault="007047D9">
      <w:pPr>
        <w:rPr>
          <w:rFonts w:ascii="Calibri" w:hAnsi="Calibri" w:cs="Calibri"/>
          <w:i/>
          <w:iCs/>
        </w:rPr>
      </w:pPr>
      <w:r>
        <w:rPr>
          <w:rFonts w:ascii="Calibri" w:hAnsi="Calibri" w:cs="Calibri"/>
          <w:i/>
          <w:iCs/>
        </w:rPr>
        <w:t>4. Do not use pressure or excessively competitive mechanisms.</w:t>
      </w:r>
    </w:p>
    <w:p w14:paraId="3A2287F9" w14:textId="77777777" w:rsidR="00612D3C" w:rsidRDefault="007047D9">
      <w:pPr>
        <w:rPr>
          <w:rFonts w:ascii="Calibri" w:hAnsi="Calibri" w:cs="Calibri"/>
        </w:rPr>
      </w:pPr>
      <w:r>
        <w:t>The app should keep streaks, leaderboards or competitive challenges optional and low pressure. Emerging research suggests that gamification can have unwanted effects when it feels addictive, performance-intensive or socially pressuring, especially for younger users.</w:t>
      </w:r>
    </w:p>
    <w:p w14:paraId="59C726C2" w14:textId="77777777" w:rsidR="00612D3C" w:rsidRDefault="007047D9">
      <w:pPr>
        <w:rPr>
          <w:rFonts w:ascii="Calibri" w:hAnsi="Calibri" w:cs="Calibri"/>
          <w:i/>
          <w:iCs/>
        </w:rPr>
      </w:pPr>
      <w:r>
        <w:rPr>
          <w:rFonts w:ascii="Calibri" w:hAnsi="Calibri" w:cs="Calibri"/>
          <w:i/>
          <w:iCs/>
        </w:rPr>
        <w:t>5. Trial healthy-basket moral incentives.</w:t>
      </w:r>
    </w:p>
    <w:p w14:paraId="4826CF5F" w14:textId="77777777" w:rsidR="00612D3C" w:rsidRDefault="007047D9">
      <w:pPr>
        <w:rPr>
          <w:rFonts w:ascii="Calibri" w:hAnsi="Calibri" w:cs="Calibri"/>
        </w:rPr>
      </w:pPr>
      <w:r>
        <w:rPr>
          <w:rFonts w:ascii="Calibri" w:hAnsi="Calibri" w:cs="Calibri"/>
        </w:rPr>
        <w:t>Clubcard might also have small voluntary, game-based discounts on fruits and vegetables, which are not based on social comparison but on individual goals. The goal and benefit are immediate and well communicated game-based incentives have been demonstrated to boost purchase intention towards healthier items. (Stolk, 2025).</w:t>
      </w:r>
    </w:p>
    <w:p w14:paraId="13EE42C3" w14:textId="77777777" w:rsidR="00612D3C" w:rsidRDefault="007047D9">
      <w:pPr>
        <w:rPr>
          <w:rFonts w:ascii="Calibri" w:hAnsi="Calibri" w:cs="Calibri"/>
          <w:i/>
          <w:iCs/>
        </w:rPr>
      </w:pPr>
      <w:r>
        <w:rPr>
          <w:rFonts w:ascii="Calibri" w:hAnsi="Calibri" w:cs="Calibri"/>
          <w:i/>
          <w:iCs/>
        </w:rPr>
        <w:t>6. Tactics to engage the segment based on age and motivation.</w:t>
      </w:r>
    </w:p>
    <w:p w14:paraId="3683DEC0" w14:textId="77777777" w:rsidR="00612D3C" w:rsidRDefault="007047D9">
      <w:pPr>
        <w:rPr>
          <w:rFonts w:ascii="Calibri" w:hAnsi="Calibri" w:cs="Calibri"/>
        </w:rPr>
      </w:pPr>
      <w:r>
        <w:rPr>
          <w:rFonts w:ascii="Calibri" w:hAnsi="Calibri" w:cs="Calibri"/>
        </w:rPr>
        <w:t>Younger users might react more to optional challenges of interest whereas older or value-oriented groups might need simplified navigation and transparency of savings. Engagement frameworks postulate that gamification must be calculated based on differentiated motivational drivers as opposed to application-wide logic. (Marisa et al., 2025).</w:t>
      </w:r>
    </w:p>
    <w:p w14:paraId="7C053028" w14:textId="77777777" w:rsidR="00612D3C" w:rsidRDefault="007047D9">
      <w:pPr>
        <w:pStyle w:val="Heading2"/>
        <w:rPr>
          <w:rFonts w:ascii="Calibri" w:hAnsi="Calibri" w:cs="Calibri"/>
        </w:rPr>
      </w:pPr>
      <w:bookmarkStart w:id="41" w:name="_Toc240835820"/>
      <w:r>
        <w:rPr>
          <w:rFonts w:ascii="Calibri" w:hAnsi="Calibri" w:cs="Calibri"/>
        </w:rPr>
        <w:t>6.3 Practical implications</w:t>
      </w:r>
      <w:bookmarkEnd w:id="41"/>
    </w:p>
    <w:p w14:paraId="6E156883" w14:textId="77777777" w:rsidR="00612D3C" w:rsidRDefault="007047D9">
      <w:pPr>
        <w:rPr>
          <w:rFonts w:ascii="Calibri" w:hAnsi="Calibri" w:cs="Calibri"/>
        </w:rPr>
      </w:pPr>
      <w:r>
        <w:rPr>
          <w:rFonts w:ascii="Calibri" w:hAnsi="Calibri" w:cs="Calibri"/>
        </w:rPr>
        <w:t>These suggestions underline the fact that the best path to the digital loyalty of Tesco is the balance between the functional excellence and ethical and selective engagement design. The Clubcard application can stay a long-lasting strategic resource provided that it goes on delivering data-driven personalisation into an experience that can look trustworthy, just and assistance in the real life of shopping behaviour. (Grant et al., 2025; Oliveira et al., 2024).</w:t>
      </w:r>
    </w:p>
    <w:p w14:paraId="46575EB4" w14:textId="77777777" w:rsidR="00612D3C" w:rsidRDefault="007047D9">
      <w:pPr>
        <w:pStyle w:val="Heading2"/>
        <w:rPr>
          <w:rFonts w:ascii="Calibri" w:hAnsi="Calibri" w:cs="Calibri"/>
        </w:rPr>
      </w:pPr>
      <w:bookmarkStart w:id="42" w:name="_Toc240835821"/>
      <w:r>
        <w:rPr>
          <w:rFonts w:ascii="Calibri" w:hAnsi="Calibri" w:cs="Calibri"/>
        </w:rPr>
        <w:t>6.4 Concluding statement</w:t>
      </w:r>
      <w:bookmarkEnd w:id="42"/>
    </w:p>
    <w:p w14:paraId="20D8F5A3" w14:textId="77777777" w:rsidR="00612D3C" w:rsidRDefault="007047D9">
      <w:pPr>
        <w:rPr>
          <w:rFonts w:ascii="Calibri" w:eastAsiaTheme="majorEastAsia" w:hAnsi="Calibri" w:cs="Calibri"/>
          <w:b/>
          <w:sz w:val="28"/>
          <w:szCs w:val="40"/>
        </w:rPr>
      </w:pPr>
      <w:r>
        <w:t>To conclude, this study found that app performance and perceived usefulness were the strongest unique predictors of customer satisfaction. Gamification and push notifications were not significant unique predictors, and rewards did not remain significant after the other measured features were controlled. Long-term loyalty may be better supported when engagement tools help customers complete real shopping tasks rather than adding entertainment without clear practical value.</w:t>
      </w:r>
    </w:p>
    <w:p w14:paraId="3E542450" w14:textId="77777777" w:rsidR="00612D3C" w:rsidRDefault="007047D9">
      <w:pPr>
        <w:pStyle w:val="Heading1"/>
        <w:rPr>
          <w:rFonts w:ascii="Calibri" w:hAnsi="Calibri" w:cs="Calibri"/>
        </w:rPr>
      </w:pPr>
      <w:bookmarkStart w:id="43" w:name="_Toc240835822"/>
      <w:r>
        <w:rPr>
          <w:rFonts w:ascii="Calibri" w:hAnsi="Calibri" w:cs="Calibri"/>
        </w:rPr>
        <w:t>References</w:t>
      </w:r>
      <w:bookmarkEnd w:id="43"/>
    </w:p>
    <w:p w14:paraId="3D01F072" w14:textId="77777777" w:rsidR="00612D3C" w:rsidRDefault="007047D9">
      <w:pPr>
        <w:rPr>
          <w:rFonts w:ascii="Calibri" w:hAnsi="Calibri" w:cs="Calibri"/>
        </w:rPr>
      </w:pPr>
      <w:r>
        <w:rPr>
          <w:rFonts w:ascii="Calibri" w:hAnsi="Calibri" w:cs="Calibri"/>
        </w:rPr>
        <w:t>Alamsyah, F., Usman, I. and Lestari, Y.D., 2025. The influence of infrastructure quality on usage smart mobile applications and digital payments. </w:t>
      </w:r>
      <w:r>
        <w:rPr>
          <w:rFonts w:ascii="Calibri" w:hAnsi="Calibri" w:cs="Calibri"/>
          <w:i/>
          <w:iCs/>
        </w:rPr>
        <w:t>Sustainable Futures</w:t>
      </w:r>
      <w:r>
        <w:rPr>
          <w:rFonts w:ascii="Calibri" w:hAnsi="Calibri" w:cs="Calibri"/>
        </w:rPr>
        <w:t>, </w:t>
      </w:r>
      <w:r>
        <w:rPr>
          <w:rFonts w:ascii="Calibri" w:hAnsi="Calibri" w:cs="Calibri"/>
          <w:i/>
          <w:iCs/>
        </w:rPr>
        <w:t>10</w:t>
      </w:r>
      <w:r>
        <w:rPr>
          <w:rFonts w:ascii="Calibri" w:hAnsi="Calibri" w:cs="Calibri"/>
        </w:rPr>
        <w:t>, p.100983.</w:t>
      </w:r>
    </w:p>
    <w:p w14:paraId="0E722806" w14:textId="77777777" w:rsidR="00612D3C" w:rsidRDefault="007047D9">
      <w:pPr>
        <w:rPr>
          <w:rFonts w:ascii="Calibri" w:hAnsi="Calibri" w:cs="Calibri"/>
        </w:rPr>
      </w:pPr>
      <w:r>
        <w:rPr>
          <w:rFonts w:ascii="Calibri" w:hAnsi="Calibri" w:cs="Calibri"/>
        </w:rPr>
        <w:t>Alharahsheh, H.H. and Pius, A., 2020. A review of key paradigms: Positivism VS interpretivism. </w:t>
      </w:r>
      <w:r>
        <w:rPr>
          <w:rFonts w:ascii="Calibri" w:hAnsi="Calibri" w:cs="Calibri"/>
          <w:i/>
          <w:iCs/>
        </w:rPr>
        <w:t>Global Academic Journal of Humanities and Social Sciences</w:t>
      </w:r>
      <w:r>
        <w:rPr>
          <w:rFonts w:ascii="Calibri" w:hAnsi="Calibri" w:cs="Calibri"/>
        </w:rPr>
        <w:t>, </w:t>
      </w:r>
      <w:r>
        <w:rPr>
          <w:rFonts w:ascii="Calibri" w:hAnsi="Calibri" w:cs="Calibri"/>
          <w:i/>
          <w:iCs/>
        </w:rPr>
        <w:t>2</w:t>
      </w:r>
      <w:r>
        <w:rPr>
          <w:rFonts w:ascii="Calibri" w:hAnsi="Calibri" w:cs="Calibri"/>
        </w:rPr>
        <w:t xml:space="preserve">(3), pp.39-43. </w:t>
      </w:r>
      <w:hyperlink r:id="rId27">
        <w:r>
          <w:rPr>
            <w:rStyle w:val="Hyperlink"/>
            <w:rFonts w:ascii="Calibri" w:hAnsi="Calibri" w:cs="Calibri"/>
          </w:rPr>
          <w:t>https://gajrc.com/media/articles/GAJHSS_23_39-43_VMGJbOK.pdf</w:t>
        </w:r>
      </w:hyperlink>
      <w:r>
        <w:rPr>
          <w:rFonts w:ascii="Calibri" w:hAnsi="Calibri" w:cs="Calibri"/>
        </w:rPr>
        <w:t> </w:t>
      </w:r>
    </w:p>
    <w:p w14:paraId="4C762327" w14:textId="77777777" w:rsidR="00612D3C" w:rsidRDefault="007047D9">
      <w:pPr>
        <w:rPr>
          <w:rFonts w:ascii="Calibri" w:hAnsi="Calibri" w:cs="Calibri"/>
        </w:rPr>
      </w:pPr>
      <w:r>
        <w:rPr>
          <w:rFonts w:ascii="Calibri" w:hAnsi="Calibri" w:cs="Calibri"/>
        </w:rPr>
        <w:t>Al-Khalfa, S. and Hameed, P.A., 2025. Cheap, fast and addictive? A Study of How Gamification Shapes Young Consumers’. In </w:t>
      </w:r>
      <w:r>
        <w:rPr>
          <w:rFonts w:ascii="Calibri" w:hAnsi="Calibri" w:cs="Calibri"/>
          <w:i/>
          <w:iCs/>
        </w:rPr>
        <w:t>Proceedings of the International Conference on Software Business</w:t>
      </w:r>
      <w:r>
        <w:rPr>
          <w:rFonts w:ascii="Calibri" w:hAnsi="Calibri" w:cs="Calibri"/>
        </w:rPr>
        <w:t> (Vol. 51, p. 66).</w:t>
      </w:r>
    </w:p>
    <w:p w14:paraId="6B2F791D" w14:textId="77777777" w:rsidR="00612D3C" w:rsidRDefault="007047D9">
      <w:pPr>
        <w:rPr>
          <w:rFonts w:ascii="Calibri" w:hAnsi="Calibri" w:cs="Calibri"/>
        </w:rPr>
      </w:pPr>
      <w:r>
        <w:rPr>
          <w:rFonts w:ascii="Calibri" w:hAnsi="Calibri" w:cs="Calibri"/>
        </w:rPr>
        <w:t>Amelia, E., Hurriyati, R., Rahayu, A., Wibowo, L.A., Widjajanta, B. and Christianingrum, C., 2024, June. Perceived enjoyment and perceived usefulness to mobile payment users continuance intention. In </w:t>
      </w:r>
      <w:r>
        <w:rPr>
          <w:rFonts w:ascii="Calibri" w:hAnsi="Calibri" w:cs="Calibri"/>
          <w:i/>
          <w:iCs/>
        </w:rPr>
        <w:t>8th global conference on business, management, and entrepreneurship (GCBME 2023)</w:t>
      </w:r>
      <w:r>
        <w:rPr>
          <w:rFonts w:ascii="Calibri" w:hAnsi="Calibri" w:cs="Calibri"/>
        </w:rPr>
        <w:t> (pp. 522-530). Atlantis Press.</w:t>
      </w:r>
    </w:p>
    <w:p w14:paraId="17464799" w14:textId="77777777" w:rsidR="00612D3C" w:rsidRDefault="007047D9">
      <w:pPr>
        <w:rPr>
          <w:rFonts w:ascii="Calibri" w:hAnsi="Calibri" w:cs="Calibri"/>
        </w:rPr>
      </w:pPr>
      <w:r>
        <w:rPr>
          <w:rFonts w:ascii="Calibri" w:hAnsi="Calibri" w:cs="Calibri"/>
        </w:rPr>
        <w:t>Amoroso, D.L. and Ackaradejruangsri, P., 2024. Brand commitment as predecessor to the factors of continuance intention. </w:t>
      </w:r>
      <w:r>
        <w:rPr>
          <w:rFonts w:ascii="Calibri" w:hAnsi="Calibri" w:cs="Calibri"/>
          <w:i/>
          <w:iCs/>
        </w:rPr>
        <w:t>Journal of Marketing Analytics</w:t>
      </w:r>
      <w:r>
        <w:rPr>
          <w:rFonts w:ascii="Calibri" w:hAnsi="Calibri" w:cs="Calibri"/>
        </w:rPr>
        <w:t>, pp.1-15.</w:t>
      </w:r>
    </w:p>
    <w:p w14:paraId="7E356802" w14:textId="77777777" w:rsidR="00612D3C" w:rsidRDefault="007047D9">
      <w:pPr>
        <w:rPr>
          <w:rFonts w:ascii="Calibri" w:hAnsi="Calibri" w:cs="Calibri"/>
        </w:rPr>
      </w:pPr>
      <w:r>
        <w:rPr>
          <w:rFonts w:ascii="Calibri" w:hAnsi="Calibri" w:cs="Calibri"/>
        </w:rPr>
        <w:t>Armat, M.R., Assarroudi, A., Rad, M., Sharifi, H. and Heydari, A., 2018. Inductive and deductive: Ambiguous labels in qualitative content analysis. </w:t>
      </w:r>
      <w:r>
        <w:rPr>
          <w:rFonts w:ascii="Calibri" w:hAnsi="Calibri" w:cs="Calibri"/>
          <w:i/>
          <w:iCs/>
        </w:rPr>
        <w:t>The Qualitative Report</w:t>
      </w:r>
      <w:r>
        <w:rPr>
          <w:rFonts w:ascii="Calibri" w:hAnsi="Calibri" w:cs="Calibri"/>
        </w:rPr>
        <w:t>, </w:t>
      </w:r>
      <w:r>
        <w:rPr>
          <w:rFonts w:ascii="Calibri" w:hAnsi="Calibri" w:cs="Calibri"/>
          <w:i/>
          <w:iCs/>
        </w:rPr>
        <w:t>23</w:t>
      </w:r>
      <w:r>
        <w:rPr>
          <w:rFonts w:ascii="Calibri" w:hAnsi="Calibri" w:cs="Calibri"/>
        </w:rPr>
        <w:t>(1), pp.219-221. </w:t>
      </w:r>
    </w:p>
    <w:p w14:paraId="61E4141A" w14:textId="77777777" w:rsidR="00612D3C" w:rsidRDefault="007047D9">
      <w:pPr>
        <w:rPr>
          <w:rFonts w:ascii="Calibri" w:hAnsi="Calibri" w:cs="Calibri"/>
        </w:rPr>
      </w:pPr>
      <w:r>
        <w:rPr>
          <w:rFonts w:ascii="Calibri" w:hAnsi="Calibri" w:cs="Calibri"/>
        </w:rPr>
        <w:t>Azan, M.E.M. and Karimah, W.N., 2022. The Relationship between Customer Loyalty Program and Customer Retention at Tesco. </w:t>
      </w:r>
      <w:r>
        <w:rPr>
          <w:rFonts w:ascii="Calibri" w:hAnsi="Calibri" w:cs="Calibri"/>
          <w:i/>
          <w:iCs/>
        </w:rPr>
        <w:t>Research in Management of Technology and Business</w:t>
      </w:r>
      <w:r>
        <w:rPr>
          <w:rFonts w:ascii="Calibri" w:hAnsi="Calibri" w:cs="Calibri"/>
        </w:rPr>
        <w:t>, </w:t>
      </w:r>
      <w:r>
        <w:rPr>
          <w:rFonts w:ascii="Calibri" w:hAnsi="Calibri" w:cs="Calibri"/>
          <w:i/>
          <w:iCs/>
        </w:rPr>
        <w:t>3</w:t>
      </w:r>
      <w:r>
        <w:rPr>
          <w:rFonts w:ascii="Calibri" w:hAnsi="Calibri" w:cs="Calibri"/>
        </w:rPr>
        <w:t>(2), pp.174-184.</w:t>
      </w:r>
    </w:p>
    <w:p w14:paraId="05E4218F" w14:textId="77777777" w:rsidR="00612D3C" w:rsidRDefault="007047D9">
      <w:pPr>
        <w:rPr>
          <w:rFonts w:ascii="Calibri" w:hAnsi="Calibri" w:cs="Calibri"/>
        </w:rPr>
      </w:pPr>
      <w:r>
        <w:rPr>
          <w:rFonts w:ascii="Calibri" w:hAnsi="Calibri" w:cs="Calibri"/>
        </w:rPr>
        <w:t>Azungah, T., 2018. Qualitative research: deductive and inductive approaches to data analysis. </w:t>
      </w:r>
      <w:r>
        <w:rPr>
          <w:rFonts w:ascii="Calibri" w:hAnsi="Calibri" w:cs="Calibri"/>
          <w:i/>
          <w:iCs/>
        </w:rPr>
        <w:t>Qualitative research journal</w:t>
      </w:r>
      <w:r>
        <w:rPr>
          <w:rFonts w:ascii="Calibri" w:hAnsi="Calibri" w:cs="Calibri"/>
        </w:rPr>
        <w:t xml:space="preserve">. </w:t>
      </w:r>
      <w:hyperlink r:id="rId28">
        <w:r>
          <w:rPr>
            <w:rStyle w:val="Hyperlink"/>
            <w:rFonts w:ascii="Calibri" w:hAnsi="Calibri" w:cs="Calibri"/>
          </w:rPr>
          <w:t>https://doi.org/10.1108/QRJ-D-18-00035</w:t>
        </w:r>
      </w:hyperlink>
      <w:r>
        <w:rPr>
          <w:rFonts w:ascii="Calibri" w:hAnsi="Calibri" w:cs="Calibri"/>
        </w:rPr>
        <w:t> </w:t>
      </w:r>
    </w:p>
    <w:p w14:paraId="1BE824F2" w14:textId="77777777" w:rsidR="00612D3C" w:rsidRDefault="007047D9">
      <w:pPr>
        <w:rPr>
          <w:rFonts w:ascii="Calibri" w:hAnsi="Calibri" w:cs="Calibri"/>
        </w:rPr>
      </w:pPr>
      <w:r>
        <w:rPr>
          <w:rFonts w:ascii="Calibri" w:hAnsi="Calibri" w:cs="Calibri"/>
        </w:rPr>
        <w:t>Broadbridge, T.P., Green, J.E.F., Preston, S.P., Fadai, N.T. and Maclean, J., 2025. Food purchase data reveals the locations of London’s ‘food deserts’. </w:t>
      </w:r>
      <w:r>
        <w:rPr>
          <w:rFonts w:ascii="Calibri" w:hAnsi="Calibri" w:cs="Calibri"/>
          <w:i/>
          <w:iCs/>
        </w:rPr>
        <w:t>PLOS Complex Systems</w:t>
      </w:r>
      <w:r>
        <w:rPr>
          <w:rFonts w:ascii="Calibri" w:hAnsi="Calibri" w:cs="Calibri"/>
        </w:rPr>
        <w:t>, </w:t>
      </w:r>
      <w:r>
        <w:rPr>
          <w:rFonts w:ascii="Calibri" w:hAnsi="Calibri" w:cs="Calibri"/>
          <w:i/>
          <w:iCs/>
        </w:rPr>
        <w:t>2</w:t>
      </w:r>
      <w:r>
        <w:rPr>
          <w:rFonts w:ascii="Calibri" w:hAnsi="Calibri" w:cs="Calibri"/>
        </w:rPr>
        <w:t>(11), p.e0000072.</w:t>
      </w:r>
    </w:p>
    <w:p w14:paraId="33DE2205" w14:textId="77777777" w:rsidR="00612D3C" w:rsidRDefault="007047D9">
      <w:pPr>
        <w:rPr>
          <w:rFonts w:ascii="Calibri" w:hAnsi="Calibri" w:cs="Calibri"/>
        </w:rPr>
      </w:pPr>
      <w:r>
        <w:rPr>
          <w:rFonts w:ascii="Calibri" w:hAnsi="Calibri" w:cs="Calibri"/>
        </w:rPr>
        <w:t>Chiu, W., Cho, H. and Chi, C.G., 2021. Consumers' continuance intention to use fitness and health apps: an integration of the expectation–confirmation model and investment model. </w:t>
      </w:r>
      <w:r>
        <w:rPr>
          <w:rFonts w:ascii="Calibri" w:hAnsi="Calibri" w:cs="Calibri"/>
          <w:i/>
          <w:iCs/>
        </w:rPr>
        <w:t>Information Technology &amp; People</w:t>
      </w:r>
      <w:r>
        <w:rPr>
          <w:rFonts w:ascii="Calibri" w:hAnsi="Calibri" w:cs="Calibri"/>
        </w:rPr>
        <w:t>, </w:t>
      </w:r>
      <w:r>
        <w:rPr>
          <w:rFonts w:ascii="Calibri" w:hAnsi="Calibri" w:cs="Calibri"/>
          <w:i/>
          <w:iCs/>
        </w:rPr>
        <w:t>34</w:t>
      </w:r>
      <w:r>
        <w:rPr>
          <w:rFonts w:ascii="Calibri" w:hAnsi="Calibri" w:cs="Calibri"/>
        </w:rPr>
        <w:t>(3), pp.978-998.</w:t>
      </w:r>
    </w:p>
    <w:p w14:paraId="6BCBE5F1" w14:textId="77777777" w:rsidR="00612D3C" w:rsidRDefault="007047D9">
      <w:pPr>
        <w:rPr>
          <w:rFonts w:ascii="Calibri" w:hAnsi="Calibri" w:cs="Calibri"/>
        </w:rPr>
      </w:pPr>
      <w:r>
        <w:rPr>
          <w:rFonts w:ascii="Calibri" w:hAnsi="Calibri" w:cs="Calibri"/>
        </w:rPr>
        <w:t>Chong, S.E., Ng, S.I., Basha, N.K. and Lim, X.J., 2024. Social commerce in the social media age: understanding how interactive commerce enhancements navigate app continuance intention. </w:t>
      </w:r>
      <w:r>
        <w:rPr>
          <w:rFonts w:ascii="Calibri" w:hAnsi="Calibri" w:cs="Calibri"/>
          <w:i/>
          <w:iCs/>
        </w:rPr>
        <w:t>Journal of Research in Interactive Marketing</w:t>
      </w:r>
      <w:r>
        <w:rPr>
          <w:rFonts w:ascii="Calibri" w:hAnsi="Calibri" w:cs="Calibri"/>
        </w:rPr>
        <w:t>, </w:t>
      </w:r>
      <w:r>
        <w:rPr>
          <w:rFonts w:ascii="Calibri" w:hAnsi="Calibri" w:cs="Calibri"/>
          <w:i/>
          <w:iCs/>
        </w:rPr>
        <w:t>18</w:t>
      </w:r>
      <w:r>
        <w:rPr>
          <w:rFonts w:ascii="Calibri" w:hAnsi="Calibri" w:cs="Calibri"/>
        </w:rPr>
        <w:t>(5), pp.865-899.</w:t>
      </w:r>
    </w:p>
    <w:p w14:paraId="08413D60" w14:textId="77777777" w:rsidR="00612D3C" w:rsidRDefault="007047D9">
      <w:pPr>
        <w:rPr>
          <w:rFonts w:ascii="Calibri" w:hAnsi="Calibri" w:cs="Calibri"/>
        </w:rPr>
      </w:pPr>
      <w:r>
        <w:rPr>
          <w:rFonts w:ascii="Calibri" w:hAnsi="Calibri" w:cs="Calibri"/>
        </w:rPr>
        <w:t>Coyle, D. and Gamberi, L., 2024. A real options approach to data valuation. </w:t>
      </w:r>
      <w:r>
        <w:rPr>
          <w:rFonts w:ascii="Calibri" w:hAnsi="Calibri" w:cs="Calibri"/>
          <w:i/>
          <w:iCs/>
        </w:rPr>
        <w:t>Business Economics</w:t>
      </w:r>
      <w:r>
        <w:rPr>
          <w:rFonts w:ascii="Calibri" w:hAnsi="Calibri" w:cs="Calibri"/>
        </w:rPr>
        <w:t>, </w:t>
      </w:r>
      <w:r>
        <w:rPr>
          <w:rFonts w:ascii="Calibri" w:hAnsi="Calibri" w:cs="Calibri"/>
          <w:i/>
          <w:iCs/>
        </w:rPr>
        <w:t>59</w:t>
      </w:r>
      <w:r>
        <w:rPr>
          <w:rFonts w:ascii="Calibri" w:hAnsi="Calibri" w:cs="Calibri"/>
        </w:rPr>
        <w:t>(4), pp.227-234.</w:t>
      </w:r>
    </w:p>
    <w:p w14:paraId="49DC31DD" w14:textId="77777777" w:rsidR="00612D3C" w:rsidRDefault="007047D9">
      <w:pPr>
        <w:rPr>
          <w:rFonts w:ascii="Calibri" w:hAnsi="Calibri" w:cs="Calibri"/>
        </w:rPr>
      </w:pPr>
      <w:r>
        <w:rPr>
          <w:rFonts w:ascii="Calibri" w:hAnsi="Calibri" w:cs="Calibri"/>
        </w:rPr>
        <w:t>Dyatmika, S.W., Suyanto, B., Setijaningrum, E., Rizky, A. and Mkhize, T., 2025. Enhancing brand loyalty through customer satisfaction strategies in digital business. </w:t>
      </w:r>
      <w:r>
        <w:rPr>
          <w:rFonts w:ascii="Calibri" w:hAnsi="Calibri" w:cs="Calibri"/>
          <w:i/>
          <w:iCs/>
        </w:rPr>
        <w:t>Aptisi Transactions on Technopreneurship (ATT)</w:t>
      </w:r>
      <w:r>
        <w:rPr>
          <w:rFonts w:ascii="Calibri" w:hAnsi="Calibri" w:cs="Calibri"/>
        </w:rPr>
        <w:t>, </w:t>
      </w:r>
      <w:r>
        <w:rPr>
          <w:rFonts w:ascii="Calibri" w:hAnsi="Calibri" w:cs="Calibri"/>
          <w:i/>
          <w:iCs/>
        </w:rPr>
        <w:t>7</w:t>
      </w:r>
      <w:r>
        <w:rPr>
          <w:rFonts w:ascii="Calibri" w:hAnsi="Calibri" w:cs="Calibri"/>
        </w:rPr>
        <w:t>(2), pp.556-566.</w:t>
      </w:r>
    </w:p>
    <w:p w14:paraId="1F71C8A6" w14:textId="77777777" w:rsidR="00612D3C" w:rsidRDefault="007047D9">
      <w:pPr>
        <w:rPr>
          <w:rFonts w:ascii="Calibri" w:hAnsi="Calibri" w:cs="Calibri"/>
        </w:rPr>
      </w:pPr>
      <w:r>
        <w:rPr>
          <w:rFonts w:ascii="Calibri" w:hAnsi="Calibri" w:cs="Calibri"/>
        </w:rPr>
        <w:t>Grant, K., Hollywood, L., Simmons, G., Bucher, T. and Burns, A., 2025. Nudging and food shopping: A review of technological interventions within the grocery environment. </w:t>
      </w:r>
      <w:r>
        <w:rPr>
          <w:rFonts w:ascii="Calibri" w:hAnsi="Calibri" w:cs="Calibri"/>
          <w:i/>
          <w:iCs/>
        </w:rPr>
        <w:t>Critical Reviews in Food Science and Nutrition</w:t>
      </w:r>
      <w:r>
        <w:rPr>
          <w:rFonts w:ascii="Calibri" w:hAnsi="Calibri" w:cs="Calibri"/>
        </w:rPr>
        <w:t>, pp.1-18.</w:t>
      </w:r>
    </w:p>
    <w:p w14:paraId="6B2B4837" w14:textId="77777777" w:rsidR="00612D3C" w:rsidRDefault="007047D9">
      <w:pPr>
        <w:rPr>
          <w:rFonts w:ascii="Calibri" w:hAnsi="Calibri" w:cs="Calibri"/>
        </w:rPr>
      </w:pPr>
      <w:r>
        <w:rPr>
          <w:rFonts w:ascii="Calibri" w:hAnsi="Calibri" w:cs="Calibri"/>
        </w:rPr>
        <w:t>Gupta, A., Dhiman, N., Yousaf, A. and Arora, N., 2021. Social comparison and continuance intention of smart fitness wearables: An extended expectation confirmation theory perspective. </w:t>
      </w:r>
      <w:r>
        <w:rPr>
          <w:rFonts w:ascii="Calibri" w:hAnsi="Calibri" w:cs="Calibri"/>
          <w:i/>
          <w:iCs/>
        </w:rPr>
        <w:t>Behaviour &amp; Information Technology</w:t>
      </w:r>
      <w:r>
        <w:rPr>
          <w:rFonts w:ascii="Calibri" w:hAnsi="Calibri" w:cs="Calibri"/>
        </w:rPr>
        <w:t>, </w:t>
      </w:r>
      <w:r>
        <w:rPr>
          <w:rFonts w:ascii="Calibri" w:hAnsi="Calibri" w:cs="Calibri"/>
          <w:i/>
          <w:iCs/>
        </w:rPr>
        <w:t>40</w:t>
      </w:r>
      <w:r>
        <w:rPr>
          <w:rFonts w:ascii="Calibri" w:hAnsi="Calibri" w:cs="Calibri"/>
        </w:rPr>
        <w:t>(13), pp.1341-1354.</w:t>
      </w:r>
    </w:p>
    <w:p w14:paraId="767E63DB" w14:textId="77777777" w:rsidR="00612D3C" w:rsidRDefault="007047D9">
      <w:pPr>
        <w:rPr>
          <w:rFonts w:ascii="Calibri" w:hAnsi="Calibri" w:cs="Calibri"/>
        </w:rPr>
      </w:pPr>
      <w:r>
        <w:rPr>
          <w:rFonts w:ascii="Calibri" w:hAnsi="Calibri" w:cs="Calibri"/>
        </w:rPr>
        <w:t>Hartfield, T.R., 2024. Overcoming Data Barriers: Strategies for New Entrants to Achieve Differentiation in the UK Food Retail Market. </w:t>
      </w:r>
      <w:r>
        <w:rPr>
          <w:rFonts w:ascii="Calibri" w:hAnsi="Calibri" w:cs="Calibri"/>
          <w:i/>
          <w:iCs/>
        </w:rPr>
        <w:t>Journal of World Economy</w:t>
      </w:r>
      <w:r>
        <w:rPr>
          <w:rFonts w:ascii="Calibri" w:hAnsi="Calibri" w:cs="Calibri"/>
        </w:rPr>
        <w:t>, </w:t>
      </w:r>
      <w:r>
        <w:rPr>
          <w:rFonts w:ascii="Calibri" w:hAnsi="Calibri" w:cs="Calibri"/>
          <w:i/>
          <w:iCs/>
        </w:rPr>
        <w:t>3</w:t>
      </w:r>
      <w:r>
        <w:rPr>
          <w:rFonts w:ascii="Calibri" w:hAnsi="Calibri" w:cs="Calibri"/>
        </w:rPr>
        <w:t>(3), pp.68-83.</w:t>
      </w:r>
    </w:p>
    <w:p w14:paraId="69C9CEC1" w14:textId="77777777" w:rsidR="00612D3C" w:rsidRDefault="007047D9">
      <w:pPr>
        <w:rPr>
          <w:rFonts w:ascii="Calibri" w:hAnsi="Calibri" w:cs="Calibri"/>
        </w:rPr>
      </w:pPr>
      <w:r>
        <w:rPr>
          <w:rFonts w:ascii="Calibri" w:hAnsi="Calibri" w:cs="Calibri"/>
        </w:rPr>
        <w:t>Honglin, D., Jianghua, Z. and Hui, C., 2024. Quality factors affecting the continued use of mobile health apps in ethnic minority regions of Southwest China using PLS-SEM and ANN. </w:t>
      </w:r>
      <w:r>
        <w:rPr>
          <w:rFonts w:ascii="Calibri" w:hAnsi="Calibri" w:cs="Calibri"/>
          <w:i/>
          <w:iCs/>
        </w:rPr>
        <w:t>Scientific Reports</w:t>
      </w:r>
      <w:r>
        <w:rPr>
          <w:rFonts w:ascii="Calibri" w:hAnsi="Calibri" w:cs="Calibri"/>
        </w:rPr>
        <w:t>, </w:t>
      </w:r>
      <w:r>
        <w:rPr>
          <w:rFonts w:ascii="Calibri" w:hAnsi="Calibri" w:cs="Calibri"/>
          <w:i/>
          <w:iCs/>
        </w:rPr>
        <w:t>14</w:t>
      </w:r>
      <w:r>
        <w:rPr>
          <w:rFonts w:ascii="Calibri" w:hAnsi="Calibri" w:cs="Calibri"/>
        </w:rPr>
        <w:t>(1), p.25469.</w:t>
      </w:r>
    </w:p>
    <w:p w14:paraId="7E0DA83D" w14:textId="77777777" w:rsidR="00612D3C" w:rsidRDefault="007047D9">
      <w:pPr>
        <w:rPr>
          <w:rFonts w:ascii="Calibri" w:hAnsi="Calibri" w:cs="Calibri"/>
        </w:rPr>
      </w:pPr>
      <w:r>
        <w:rPr>
          <w:rFonts w:ascii="Calibri" w:hAnsi="Calibri" w:cs="Calibri"/>
        </w:rPr>
        <w:t>Hossain, M.A. and Magar, S.T., 2025. Using Rewards to Increase Consumer Engagement and Build Brand Loyalty On-Demand Service Platforms.</w:t>
      </w:r>
    </w:p>
    <w:p w14:paraId="6CFC1C1A" w14:textId="77777777" w:rsidR="00612D3C" w:rsidRDefault="007047D9">
      <w:pPr>
        <w:rPr>
          <w:rFonts w:ascii="Calibri" w:hAnsi="Calibri" w:cs="Calibri"/>
        </w:rPr>
      </w:pPr>
      <w:r>
        <w:rPr>
          <w:rFonts w:ascii="Calibri" w:hAnsi="Calibri" w:cs="Calibri"/>
        </w:rPr>
        <w:t>Hughes, D., 2021. Supermarket Sweep: How House Prices Respond to Changes in Credit Supply–and Clubcard Points. </w:t>
      </w:r>
      <w:r>
        <w:rPr>
          <w:rFonts w:ascii="Calibri" w:hAnsi="Calibri" w:cs="Calibri"/>
          <w:i/>
          <w:iCs/>
        </w:rPr>
        <w:t>Available at SSRN 3965500</w:t>
      </w:r>
      <w:r>
        <w:rPr>
          <w:rFonts w:ascii="Calibri" w:hAnsi="Calibri" w:cs="Calibri"/>
        </w:rPr>
        <w:t>.</w:t>
      </w:r>
    </w:p>
    <w:p w14:paraId="1ECEF986" w14:textId="77777777" w:rsidR="00612D3C" w:rsidRDefault="007047D9">
      <w:pPr>
        <w:rPr>
          <w:rFonts w:ascii="Calibri" w:hAnsi="Calibri" w:cs="Calibri"/>
        </w:rPr>
      </w:pPr>
      <w:r>
        <w:rPr>
          <w:rFonts w:ascii="Calibri" w:hAnsi="Calibri" w:cs="Calibri"/>
        </w:rPr>
        <w:t>Huma, S., Ahmed, W., Ikram, M. and Najmi, A., 2024. Influence of mobile application service quality and convenience on young customer retention. </w:t>
      </w:r>
      <w:r>
        <w:rPr>
          <w:rFonts w:ascii="Calibri" w:hAnsi="Calibri" w:cs="Calibri"/>
          <w:i/>
          <w:iCs/>
        </w:rPr>
        <w:t>Spanish Journal of Marketing-ESIC</w:t>
      </w:r>
      <w:r>
        <w:rPr>
          <w:rFonts w:ascii="Calibri" w:hAnsi="Calibri" w:cs="Calibri"/>
        </w:rPr>
        <w:t>.</w:t>
      </w:r>
    </w:p>
    <w:p w14:paraId="054748B3" w14:textId="77777777" w:rsidR="00612D3C" w:rsidRDefault="007047D9">
      <w:pPr>
        <w:rPr>
          <w:rFonts w:ascii="Calibri" w:hAnsi="Calibri" w:cs="Calibri"/>
        </w:rPr>
      </w:pPr>
      <w:r>
        <w:rPr>
          <w:rFonts w:ascii="Calibri" w:hAnsi="Calibri" w:cs="Calibri"/>
        </w:rPr>
        <w:t>Hussain, K., Abbasi, A.Z., Tsiotsou, R.H. and Ting, D.H., 2025. Antecedences and consequences of customer satisfaction in mobile telecom services using PLS-SEM and NCA: the moderating role of involvement with ICTs. </w:t>
      </w:r>
      <w:r>
        <w:rPr>
          <w:rFonts w:ascii="Calibri" w:hAnsi="Calibri" w:cs="Calibri"/>
          <w:i/>
          <w:iCs/>
        </w:rPr>
        <w:t>Journal of Systems and Information Technology</w:t>
      </w:r>
      <w:r>
        <w:rPr>
          <w:rFonts w:ascii="Calibri" w:hAnsi="Calibri" w:cs="Calibri"/>
        </w:rPr>
        <w:t>.</w:t>
      </w:r>
    </w:p>
    <w:p w14:paraId="1ABCA54A" w14:textId="77777777" w:rsidR="00612D3C" w:rsidRDefault="007047D9">
      <w:pPr>
        <w:rPr>
          <w:rFonts w:ascii="Calibri" w:hAnsi="Calibri" w:cs="Calibri"/>
        </w:rPr>
      </w:pPr>
      <w:r>
        <w:rPr>
          <w:rFonts w:ascii="Calibri" w:hAnsi="Calibri" w:cs="Calibri"/>
        </w:rPr>
        <w:t>Jain, N.K., Kaul, D. and Sanyal, P., 2022. What drives customers towards mobile shopping? An integrative technology continuance theory perspective. </w:t>
      </w:r>
      <w:r>
        <w:rPr>
          <w:rFonts w:ascii="Calibri" w:hAnsi="Calibri" w:cs="Calibri"/>
          <w:i/>
          <w:iCs/>
        </w:rPr>
        <w:t>Asia Pacific Journal of Marketing and Logistics</w:t>
      </w:r>
      <w:r>
        <w:rPr>
          <w:rFonts w:ascii="Calibri" w:hAnsi="Calibri" w:cs="Calibri"/>
        </w:rPr>
        <w:t>, </w:t>
      </w:r>
      <w:r>
        <w:rPr>
          <w:rFonts w:ascii="Calibri" w:hAnsi="Calibri" w:cs="Calibri"/>
          <w:i/>
          <w:iCs/>
        </w:rPr>
        <w:t>34</w:t>
      </w:r>
      <w:r>
        <w:rPr>
          <w:rFonts w:ascii="Calibri" w:hAnsi="Calibri" w:cs="Calibri"/>
        </w:rPr>
        <w:t>(5), pp.922-943.</w:t>
      </w:r>
    </w:p>
    <w:p w14:paraId="521DCC71" w14:textId="77777777" w:rsidR="00612D3C" w:rsidRDefault="007047D9">
      <w:pPr>
        <w:rPr>
          <w:rFonts w:ascii="Calibri" w:hAnsi="Calibri" w:cs="Calibri"/>
        </w:rPr>
      </w:pPr>
      <w:r>
        <w:rPr>
          <w:rFonts w:ascii="Calibri" w:hAnsi="Calibri" w:cs="Calibri"/>
        </w:rPr>
        <w:t>Kanapathipillai, K., Singkaravalah, L.M., Balam, M.S. and Nararajan, S., 2024. The future of personalised customer experience in e-commerce: decoding the power of ai in building trust, enhancing convenience, and elevating service quality for malaysian consumers. </w:t>
      </w:r>
      <w:r>
        <w:rPr>
          <w:rFonts w:ascii="Calibri" w:hAnsi="Calibri" w:cs="Calibri"/>
          <w:i/>
          <w:iCs/>
        </w:rPr>
        <w:t>European Journal of Social Sciences Studies</w:t>
      </w:r>
      <w:r>
        <w:rPr>
          <w:rFonts w:ascii="Calibri" w:hAnsi="Calibri" w:cs="Calibri"/>
        </w:rPr>
        <w:t>, </w:t>
      </w:r>
      <w:r>
        <w:rPr>
          <w:rFonts w:ascii="Calibri" w:hAnsi="Calibri" w:cs="Calibri"/>
          <w:i/>
          <w:iCs/>
        </w:rPr>
        <w:t>10</w:t>
      </w:r>
      <w:r>
        <w:rPr>
          <w:rFonts w:ascii="Calibri" w:hAnsi="Calibri" w:cs="Calibri"/>
        </w:rPr>
        <w:t>(5).</w:t>
      </w:r>
    </w:p>
    <w:p w14:paraId="5C38EC9B" w14:textId="77777777" w:rsidR="00612D3C" w:rsidRDefault="007047D9">
      <w:pPr>
        <w:rPr>
          <w:rFonts w:ascii="Calibri" w:hAnsi="Calibri" w:cs="Calibri"/>
        </w:rPr>
      </w:pPr>
      <w:r>
        <w:rPr>
          <w:rFonts w:ascii="Calibri" w:hAnsi="Calibri" w:cs="Calibri"/>
        </w:rPr>
        <w:t>Kaur, N., Jamwal, M., Singh, P. and Rana, A., 2025. Game on: Exploring the impact of gamified features on travel app continuance intention. </w:t>
      </w:r>
      <w:r>
        <w:rPr>
          <w:rFonts w:ascii="Calibri" w:hAnsi="Calibri" w:cs="Calibri"/>
          <w:i/>
          <w:iCs/>
        </w:rPr>
        <w:t>Multidisciplinary Science Journal</w:t>
      </w:r>
      <w:r>
        <w:rPr>
          <w:rFonts w:ascii="Calibri" w:hAnsi="Calibri" w:cs="Calibri"/>
        </w:rPr>
        <w:t>, </w:t>
      </w:r>
      <w:r>
        <w:rPr>
          <w:rFonts w:ascii="Calibri" w:hAnsi="Calibri" w:cs="Calibri"/>
          <w:i/>
          <w:iCs/>
        </w:rPr>
        <w:t>7</w:t>
      </w:r>
      <w:r>
        <w:rPr>
          <w:rFonts w:ascii="Calibri" w:hAnsi="Calibri" w:cs="Calibri"/>
        </w:rPr>
        <w:t>(1), pp.2025056-2025056.</w:t>
      </w:r>
    </w:p>
    <w:p w14:paraId="0ED9E32F" w14:textId="77777777" w:rsidR="00612D3C" w:rsidRDefault="007047D9">
      <w:pPr>
        <w:rPr>
          <w:rFonts w:ascii="Calibri" w:hAnsi="Calibri" w:cs="Calibri"/>
        </w:rPr>
      </w:pPr>
      <w:r>
        <w:rPr>
          <w:rFonts w:ascii="Calibri" w:hAnsi="Calibri" w:cs="Calibri"/>
        </w:rPr>
        <w:t>Khalufi, N.A.M., Sheikh, R.A., Khan, S.M.F.A. and Onn, C.W., 2025. Evaluating the Impact of Sustainability Practices on Customer Relationship Quality: An SEM-PLS Approach to Align with SDG. </w:t>
      </w:r>
      <w:r>
        <w:rPr>
          <w:rFonts w:ascii="Calibri" w:hAnsi="Calibri" w:cs="Calibri"/>
          <w:i/>
          <w:iCs/>
        </w:rPr>
        <w:t>Sustainability (2071-1050)</w:t>
      </w:r>
      <w:r>
        <w:rPr>
          <w:rFonts w:ascii="Calibri" w:hAnsi="Calibri" w:cs="Calibri"/>
        </w:rPr>
        <w:t>, </w:t>
      </w:r>
      <w:r>
        <w:rPr>
          <w:rFonts w:ascii="Calibri" w:hAnsi="Calibri" w:cs="Calibri"/>
          <w:i/>
          <w:iCs/>
        </w:rPr>
        <w:t>17</w:t>
      </w:r>
      <w:r>
        <w:rPr>
          <w:rFonts w:ascii="Calibri" w:hAnsi="Calibri" w:cs="Calibri"/>
        </w:rPr>
        <w:t>(2).</w:t>
      </w:r>
    </w:p>
    <w:p w14:paraId="57ED32A0" w14:textId="77777777" w:rsidR="00612D3C" w:rsidRDefault="007047D9">
      <w:pPr>
        <w:rPr>
          <w:rFonts w:ascii="Calibri" w:hAnsi="Calibri" w:cs="Calibri"/>
        </w:rPr>
      </w:pPr>
      <w:r>
        <w:rPr>
          <w:rFonts w:ascii="Calibri" w:hAnsi="Calibri" w:cs="Calibri"/>
        </w:rPr>
        <w:t>Khattak, K.N., Hassan, Z., Shehryar Ali Naqvi, S., Khan, M.A., Qayyum, F. and Ullah, I., 2024. A Conceptual Framework Based on PLS-SEM Approach for Sustainable Customer Relationship Management in Enterprise Software Development: Insights from Developers. </w:t>
      </w:r>
      <w:r>
        <w:rPr>
          <w:rFonts w:ascii="Calibri" w:hAnsi="Calibri" w:cs="Calibri"/>
          <w:i/>
          <w:iCs/>
        </w:rPr>
        <w:t>Sustainability</w:t>
      </w:r>
      <w:r>
        <w:rPr>
          <w:rFonts w:ascii="Calibri" w:hAnsi="Calibri" w:cs="Calibri"/>
        </w:rPr>
        <w:t>, </w:t>
      </w:r>
      <w:r>
        <w:rPr>
          <w:rFonts w:ascii="Calibri" w:hAnsi="Calibri" w:cs="Calibri"/>
          <w:i/>
          <w:iCs/>
        </w:rPr>
        <w:t>16</w:t>
      </w:r>
      <w:r>
        <w:rPr>
          <w:rFonts w:ascii="Calibri" w:hAnsi="Calibri" w:cs="Calibri"/>
        </w:rPr>
        <w:t>(6), p.2507.</w:t>
      </w:r>
    </w:p>
    <w:p w14:paraId="41BC18F0" w14:textId="77777777" w:rsidR="00612D3C" w:rsidRDefault="007047D9">
      <w:pPr>
        <w:rPr>
          <w:rFonts w:ascii="Calibri" w:hAnsi="Calibri" w:cs="Calibri"/>
        </w:rPr>
      </w:pPr>
      <w:r>
        <w:rPr>
          <w:rFonts w:ascii="Calibri" w:hAnsi="Calibri" w:cs="Calibri"/>
        </w:rPr>
        <w:t>Kunja, A., VARADARAJAN, D.S., Kranthi, A.K., Muschert, G. and Subramaniam, K.P., Determinants of Mobile App Payment Continuance Intentions: A Hybrid Sem-Ann Investigation. </w:t>
      </w:r>
      <w:r>
        <w:rPr>
          <w:rFonts w:ascii="Calibri" w:hAnsi="Calibri" w:cs="Calibri"/>
          <w:i/>
          <w:iCs/>
        </w:rPr>
        <w:t>Available at SSRN 5295870</w:t>
      </w:r>
      <w:r>
        <w:rPr>
          <w:rFonts w:ascii="Calibri" w:hAnsi="Calibri" w:cs="Calibri"/>
        </w:rPr>
        <w:t>.</w:t>
      </w:r>
    </w:p>
    <w:p w14:paraId="68158FD8" w14:textId="77777777" w:rsidR="00612D3C" w:rsidRDefault="007047D9">
      <w:pPr>
        <w:rPr>
          <w:rFonts w:ascii="Calibri" w:hAnsi="Calibri" w:cs="Calibri"/>
        </w:rPr>
      </w:pPr>
      <w:r>
        <w:rPr>
          <w:rFonts w:ascii="Calibri" w:hAnsi="Calibri" w:cs="Calibri"/>
        </w:rPr>
        <w:t>Lee, J.C., Tang, Y. and Jiang, S., 2023. Understanding continuance intention of artificial intelligence (AI)-enabled mobile banking applications: an extension of AI characteristics to an expectation confirmation model. </w:t>
      </w:r>
      <w:r>
        <w:rPr>
          <w:rFonts w:ascii="Calibri" w:hAnsi="Calibri" w:cs="Calibri"/>
          <w:i/>
          <w:iCs/>
        </w:rPr>
        <w:t>Humanities and Social Sciences Communications</w:t>
      </w:r>
      <w:r>
        <w:rPr>
          <w:rFonts w:ascii="Calibri" w:hAnsi="Calibri" w:cs="Calibri"/>
        </w:rPr>
        <w:t>, </w:t>
      </w:r>
      <w:r>
        <w:rPr>
          <w:rFonts w:ascii="Calibri" w:hAnsi="Calibri" w:cs="Calibri"/>
          <w:i/>
          <w:iCs/>
        </w:rPr>
        <w:t>10</w:t>
      </w:r>
      <w:r>
        <w:rPr>
          <w:rFonts w:ascii="Calibri" w:hAnsi="Calibri" w:cs="Calibri"/>
        </w:rPr>
        <w:t>(1), pp.1-12.</w:t>
      </w:r>
    </w:p>
    <w:p w14:paraId="1E3C3773" w14:textId="77777777" w:rsidR="00612D3C" w:rsidRDefault="007047D9">
      <w:pPr>
        <w:rPr>
          <w:rFonts w:ascii="Calibri" w:hAnsi="Calibri" w:cs="Calibri"/>
        </w:rPr>
      </w:pPr>
      <w:r>
        <w:rPr>
          <w:rFonts w:ascii="Calibri" w:hAnsi="Calibri" w:cs="Calibri"/>
        </w:rPr>
        <w:t>Lidl GB (n.d.) 'Lidl Plus App'. Available at: https://www.lidl.co.uk/c/lidl-plus/s10023095 (Accessed: 25 September 2026).</w:t>
      </w:r>
    </w:p>
    <w:p w14:paraId="0727F26D" w14:textId="77777777" w:rsidR="00612D3C" w:rsidRDefault="007047D9">
      <w:pPr>
        <w:rPr>
          <w:rFonts w:ascii="Calibri" w:hAnsi="Calibri" w:cs="Calibri"/>
        </w:rPr>
      </w:pPr>
      <w:r>
        <w:rPr>
          <w:rFonts w:ascii="Calibri" w:hAnsi="Calibri" w:cs="Calibri"/>
        </w:rPr>
        <w:t>Malik, H.A.S., Abdullah, N.A.H.N. and Fakhrorazi, A., 2025. Understanding customer loyalty in mobile wallet apps: A post-pandemic analysis with customer involvement as moderator. </w:t>
      </w:r>
      <w:r>
        <w:rPr>
          <w:rFonts w:ascii="Calibri" w:hAnsi="Calibri" w:cs="Calibri"/>
          <w:i/>
          <w:iCs/>
        </w:rPr>
        <w:t>Innovative Marketing</w:t>
      </w:r>
      <w:r>
        <w:rPr>
          <w:rFonts w:ascii="Calibri" w:hAnsi="Calibri" w:cs="Calibri"/>
        </w:rPr>
        <w:t>, </w:t>
      </w:r>
      <w:r>
        <w:rPr>
          <w:rFonts w:ascii="Calibri" w:hAnsi="Calibri" w:cs="Calibri"/>
          <w:i/>
          <w:iCs/>
        </w:rPr>
        <w:t>21</w:t>
      </w:r>
      <w:r>
        <w:rPr>
          <w:rFonts w:ascii="Calibri" w:hAnsi="Calibri" w:cs="Calibri"/>
        </w:rPr>
        <w:t>(1), p.338.</w:t>
      </w:r>
    </w:p>
    <w:p w14:paraId="228BE331" w14:textId="77777777" w:rsidR="00612D3C" w:rsidRDefault="007047D9">
      <w:pPr>
        <w:rPr>
          <w:rFonts w:ascii="Calibri" w:hAnsi="Calibri" w:cs="Calibri"/>
        </w:rPr>
      </w:pPr>
      <w:r>
        <w:rPr>
          <w:rFonts w:ascii="Calibri" w:hAnsi="Calibri" w:cs="Calibri"/>
        </w:rPr>
        <w:t>Marisa, F., Istiadi, I., Ahmad, S.S.S., Handajani, E.T.E., NoerTjahyana, A. and Maukar, A.L., 2025. Strategic Recommendations in Increasing Gen Z User Engagement towards Gamification Elements with Fuzzy AHP and Octalysis Approaches. </w:t>
      </w:r>
      <w:r>
        <w:rPr>
          <w:rFonts w:ascii="Calibri" w:hAnsi="Calibri" w:cs="Calibri"/>
          <w:i/>
          <w:iCs/>
        </w:rPr>
        <w:t>JOIV: International Journal on Informatics Visualization</w:t>
      </w:r>
      <w:r>
        <w:rPr>
          <w:rFonts w:ascii="Calibri" w:hAnsi="Calibri" w:cs="Calibri"/>
        </w:rPr>
        <w:t>, </w:t>
      </w:r>
      <w:r>
        <w:rPr>
          <w:rFonts w:ascii="Calibri" w:hAnsi="Calibri" w:cs="Calibri"/>
          <w:i/>
          <w:iCs/>
        </w:rPr>
        <w:t>9</w:t>
      </w:r>
      <w:r>
        <w:rPr>
          <w:rFonts w:ascii="Calibri" w:hAnsi="Calibri" w:cs="Calibri"/>
        </w:rPr>
        <w:t>(6).</w:t>
      </w:r>
    </w:p>
    <w:p w14:paraId="6B978CFD" w14:textId="77777777" w:rsidR="00612D3C" w:rsidRDefault="007047D9">
      <w:pPr>
        <w:rPr>
          <w:rFonts w:ascii="Calibri" w:hAnsi="Calibri" w:cs="Calibri"/>
        </w:rPr>
      </w:pPr>
      <w:r>
        <w:rPr>
          <w:rFonts w:ascii="Calibri" w:hAnsi="Calibri" w:cs="Calibri"/>
        </w:rPr>
        <w:t>Mehrotra, V. and Roy, R., 2025. Rhythm of the game: how time-of-day and gamification rewards influence pay-what-you-want payments. </w:t>
      </w:r>
      <w:r>
        <w:rPr>
          <w:rFonts w:ascii="Calibri" w:hAnsi="Calibri" w:cs="Calibri"/>
          <w:i/>
          <w:iCs/>
        </w:rPr>
        <w:t>European Journal of Marketing</w:t>
      </w:r>
      <w:r>
        <w:rPr>
          <w:rFonts w:ascii="Calibri" w:hAnsi="Calibri" w:cs="Calibri"/>
        </w:rPr>
        <w:t>, </w:t>
      </w:r>
      <w:r>
        <w:rPr>
          <w:rFonts w:ascii="Calibri" w:hAnsi="Calibri" w:cs="Calibri"/>
          <w:i/>
          <w:iCs/>
        </w:rPr>
        <w:t>59</w:t>
      </w:r>
      <w:r>
        <w:rPr>
          <w:rFonts w:ascii="Calibri" w:hAnsi="Calibri" w:cs="Calibri"/>
        </w:rPr>
        <w:t>(13), pp.146-174.</w:t>
      </w:r>
    </w:p>
    <w:p w14:paraId="3008BCF9" w14:textId="77777777" w:rsidR="00612D3C" w:rsidRDefault="007047D9">
      <w:pPr>
        <w:rPr>
          <w:rFonts w:ascii="Calibri" w:hAnsi="Calibri" w:cs="Calibri"/>
        </w:rPr>
      </w:pPr>
      <w:r>
        <w:rPr>
          <w:rFonts w:ascii="Calibri" w:hAnsi="Calibri" w:cs="Calibri"/>
        </w:rPr>
        <w:t>Meng, S., 2024. Operation Management of Grocery Retailer in the UK: A Case of Tesco. </w:t>
      </w:r>
      <w:r>
        <w:rPr>
          <w:rFonts w:ascii="Calibri" w:hAnsi="Calibri" w:cs="Calibri"/>
          <w:i/>
          <w:iCs/>
        </w:rPr>
        <w:t>Pacific International Journal</w:t>
      </w:r>
      <w:r>
        <w:rPr>
          <w:rFonts w:ascii="Calibri" w:hAnsi="Calibri" w:cs="Calibri"/>
        </w:rPr>
        <w:t>, </w:t>
      </w:r>
      <w:r>
        <w:rPr>
          <w:rFonts w:ascii="Calibri" w:hAnsi="Calibri" w:cs="Calibri"/>
          <w:i/>
          <w:iCs/>
        </w:rPr>
        <w:t>7</w:t>
      </w:r>
      <w:r>
        <w:rPr>
          <w:rFonts w:ascii="Calibri" w:hAnsi="Calibri" w:cs="Calibri"/>
        </w:rPr>
        <w:t>(2), pp.136-142.</w:t>
      </w:r>
    </w:p>
    <w:p w14:paraId="5A46680F" w14:textId="77777777" w:rsidR="00612D3C" w:rsidRDefault="007047D9">
      <w:pPr>
        <w:rPr>
          <w:rFonts w:ascii="Calibri" w:hAnsi="Calibri" w:cs="Calibri"/>
        </w:rPr>
      </w:pPr>
      <w:r>
        <w:rPr>
          <w:rFonts w:ascii="Calibri" w:hAnsi="Calibri" w:cs="Calibri"/>
        </w:rPr>
        <w:t>Munday, M. and Humbani, M., 2024. Determining the drivers of continued mobile food delivery app (MFDA) usage during a pandemic period. </w:t>
      </w:r>
      <w:r>
        <w:rPr>
          <w:rFonts w:ascii="Calibri" w:hAnsi="Calibri" w:cs="Calibri"/>
          <w:i/>
          <w:iCs/>
        </w:rPr>
        <w:t>Cogent Business &amp; Management</w:t>
      </w:r>
      <w:r>
        <w:rPr>
          <w:rFonts w:ascii="Calibri" w:hAnsi="Calibri" w:cs="Calibri"/>
        </w:rPr>
        <w:t>, </w:t>
      </w:r>
      <w:r>
        <w:rPr>
          <w:rFonts w:ascii="Calibri" w:hAnsi="Calibri" w:cs="Calibri"/>
          <w:i/>
          <w:iCs/>
        </w:rPr>
        <w:t>11</w:t>
      </w:r>
      <w:r>
        <w:rPr>
          <w:rFonts w:ascii="Calibri" w:hAnsi="Calibri" w:cs="Calibri"/>
        </w:rPr>
        <w:t>(1), p.2308086.</w:t>
      </w:r>
    </w:p>
    <w:p w14:paraId="5A12EBDA" w14:textId="77777777" w:rsidR="00612D3C" w:rsidRDefault="007047D9">
      <w:pPr>
        <w:rPr>
          <w:rFonts w:ascii="Calibri" w:hAnsi="Calibri" w:cs="Calibri"/>
        </w:rPr>
      </w:pPr>
      <w:r>
        <w:rPr>
          <w:rFonts w:ascii="Calibri" w:hAnsi="Calibri" w:cs="Calibri"/>
        </w:rPr>
        <w:t>Nanta, T.M., Noermijati, N., Rohman, F. and Hussein, A.S., 2025. The effect of digital touchpoint usage experience on customer loyalty mediated by digital engagement and customer satisfaction. </w:t>
      </w:r>
      <w:r>
        <w:rPr>
          <w:rFonts w:ascii="Calibri" w:hAnsi="Calibri" w:cs="Calibri"/>
          <w:i/>
          <w:iCs/>
        </w:rPr>
        <w:t>Businesses</w:t>
      </w:r>
      <w:r>
        <w:rPr>
          <w:rFonts w:ascii="Calibri" w:hAnsi="Calibri" w:cs="Calibri"/>
        </w:rPr>
        <w:t>, </w:t>
      </w:r>
      <w:r>
        <w:rPr>
          <w:rFonts w:ascii="Calibri" w:hAnsi="Calibri" w:cs="Calibri"/>
          <w:i/>
          <w:iCs/>
        </w:rPr>
        <w:t>5</w:t>
      </w:r>
      <w:r>
        <w:rPr>
          <w:rFonts w:ascii="Calibri" w:hAnsi="Calibri" w:cs="Calibri"/>
        </w:rPr>
        <w:t>(1), p.3.</w:t>
      </w:r>
    </w:p>
    <w:p w14:paraId="22EEF352" w14:textId="77777777" w:rsidR="00612D3C" w:rsidRDefault="007047D9">
      <w:pPr>
        <w:rPr>
          <w:rFonts w:ascii="Calibri" w:hAnsi="Calibri" w:cs="Calibri"/>
        </w:rPr>
      </w:pPr>
      <w:r>
        <w:rPr>
          <w:rFonts w:ascii="Calibri" w:hAnsi="Calibri" w:cs="Calibri"/>
        </w:rPr>
        <w:t>Ngubelanga, A. and Duffett, R., 2021. Modeling mobile commerce applications’ antecedents of customer satisfaction among millennials: An extended tam perspective. </w:t>
      </w:r>
      <w:r>
        <w:rPr>
          <w:rFonts w:ascii="Calibri" w:hAnsi="Calibri" w:cs="Calibri"/>
          <w:i/>
          <w:iCs/>
        </w:rPr>
        <w:t>Sustainability</w:t>
      </w:r>
      <w:r>
        <w:rPr>
          <w:rFonts w:ascii="Calibri" w:hAnsi="Calibri" w:cs="Calibri"/>
        </w:rPr>
        <w:t>, </w:t>
      </w:r>
      <w:r>
        <w:rPr>
          <w:rFonts w:ascii="Calibri" w:hAnsi="Calibri" w:cs="Calibri"/>
          <w:i/>
          <w:iCs/>
        </w:rPr>
        <w:t>13</w:t>
      </w:r>
      <w:r>
        <w:rPr>
          <w:rFonts w:ascii="Calibri" w:hAnsi="Calibri" w:cs="Calibri"/>
        </w:rPr>
        <w:t>(11), p.5973.</w:t>
      </w:r>
    </w:p>
    <w:p w14:paraId="43F9648F" w14:textId="77777777" w:rsidR="00612D3C" w:rsidRDefault="007047D9">
      <w:pPr>
        <w:rPr>
          <w:rFonts w:ascii="Calibri" w:hAnsi="Calibri" w:cs="Calibri"/>
        </w:rPr>
      </w:pPr>
      <w:r>
        <w:rPr>
          <w:rFonts w:ascii="Calibri" w:hAnsi="Calibri" w:cs="Calibri"/>
        </w:rPr>
        <w:t>Nguyen, G.D. and Dao, T.H.T., 2024. Factors influencing continuance intention to use mobile banking: an extended expectation-confirmation model with moderating role of trust. </w:t>
      </w:r>
      <w:r>
        <w:rPr>
          <w:rFonts w:ascii="Calibri" w:hAnsi="Calibri" w:cs="Calibri"/>
          <w:i/>
          <w:iCs/>
        </w:rPr>
        <w:t>Humanities and Social Sciences Communications</w:t>
      </w:r>
      <w:r>
        <w:rPr>
          <w:rFonts w:ascii="Calibri" w:hAnsi="Calibri" w:cs="Calibri"/>
        </w:rPr>
        <w:t>, </w:t>
      </w:r>
      <w:r>
        <w:rPr>
          <w:rFonts w:ascii="Calibri" w:hAnsi="Calibri" w:cs="Calibri"/>
          <w:i/>
          <w:iCs/>
        </w:rPr>
        <w:t>11</w:t>
      </w:r>
      <w:r>
        <w:rPr>
          <w:rFonts w:ascii="Calibri" w:hAnsi="Calibri" w:cs="Calibri"/>
        </w:rPr>
        <w:t>(1), pp.1-14.</w:t>
      </w:r>
    </w:p>
    <w:p w14:paraId="51939EA3" w14:textId="77777777" w:rsidR="00612D3C" w:rsidRDefault="007047D9">
      <w:pPr>
        <w:rPr>
          <w:rFonts w:ascii="Calibri" w:hAnsi="Calibri" w:cs="Calibri"/>
        </w:rPr>
      </w:pPr>
      <w:r>
        <w:rPr>
          <w:rFonts w:ascii="Calibri" w:hAnsi="Calibri" w:cs="Calibri"/>
        </w:rPr>
        <w:t>Nguyen, G.D. and Ha, M.T., 2021. The role of user adaptation and trust in understanding continuance intention towards mobile shopping: An extended expectation-confirmation model. </w:t>
      </w:r>
      <w:r>
        <w:rPr>
          <w:rFonts w:ascii="Calibri" w:hAnsi="Calibri" w:cs="Calibri"/>
          <w:i/>
          <w:iCs/>
        </w:rPr>
        <w:t>Cogent Business &amp; Management</w:t>
      </w:r>
      <w:r>
        <w:rPr>
          <w:rFonts w:ascii="Calibri" w:hAnsi="Calibri" w:cs="Calibri"/>
        </w:rPr>
        <w:t>, </w:t>
      </w:r>
      <w:r>
        <w:rPr>
          <w:rFonts w:ascii="Calibri" w:hAnsi="Calibri" w:cs="Calibri"/>
          <w:i/>
          <w:iCs/>
        </w:rPr>
        <w:t>8</w:t>
      </w:r>
      <w:r>
        <w:rPr>
          <w:rFonts w:ascii="Calibri" w:hAnsi="Calibri" w:cs="Calibri"/>
        </w:rPr>
        <w:t>(1), p.1980248.</w:t>
      </w:r>
    </w:p>
    <w:p w14:paraId="2739A124" w14:textId="77777777" w:rsidR="00612D3C" w:rsidRDefault="007047D9">
      <w:pPr>
        <w:rPr>
          <w:rFonts w:ascii="Calibri" w:hAnsi="Calibri" w:cs="Calibri"/>
        </w:rPr>
      </w:pPr>
      <w:r>
        <w:rPr>
          <w:rFonts w:ascii="Calibri" w:hAnsi="Calibri" w:cs="Calibri"/>
        </w:rPr>
        <w:t>Nguyen, G.D. and Thi Dao, T.H., 2024. The moderating role of flow experience on mobile commerce continuance intention: The Integrative View of user adaptation, Expectation-confirmation, and task-technology models. </w:t>
      </w:r>
      <w:r>
        <w:rPr>
          <w:rFonts w:ascii="Calibri" w:hAnsi="Calibri" w:cs="Calibri"/>
          <w:i/>
          <w:iCs/>
        </w:rPr>
        <w:t>Sage Open</w:t>
      </w:r>
      <w:r>
        <w:rPr>
          <w:rFonts w:ascii="Calibri" w:hAnsi="Calibri" w:cs="Calibri"/>
        </w:rPr>
        <w:t>, </w:t>
      </w:r>
      <w:r>
        <w:rPr>
          <w:rFonts w:ascii="Calibri" w:hAnsi="Calibri" w:cs="Calibri"/>
          <w:i/>
          <w:iCs/>
        </w:rPr>
        <w:t>14</w:t>
      </w:r>
      <w:r>
        <w:rPr>
          <w:rFonts w:ascii="Calibri" w:hAnsi="Calibri" w:cs="Calibri"/>
        </w:rPr>
        <w:t>(2), p.21582440241253889.</w:t>
      </w:r>
    </w:p>
    <w:p w14:paraId="68E7B852" w14:textId="77777777" w:rsidR="00612D3C" w:rsidRDefault="007047D9">
      <w:pPr>
        <w:rPr>
          <w:rFonts w:ascii="Calibri" w:hAnsi="Calibri" w:cs="Calibri"/>
          <w:lang w:val="pt-PT"/>
        </w:rPr>
      </w:pPr>
      <w:r>
        <w:rPr>
          <w:rFonts w:ascii="Calibri" w:hAnsi="Calibri" w:cs="Calibri"/>
        </w:rPr>
        <w:t>Nugroho, S.S., 2024. Gamification aspects affecting mobile app continued use, attitude, and satisfaction. </w:t>
      </w:r>
      <w:r>
        <w:rPr>
          <w:rFonts w:ascii="Calibri" w:hAnsi="Calibri" w:cs="Calibri"/>
          <w:i/>
          <w:iCs/>
          <w:lang w:val="pt-PT"/>
        </w:rPr>
        <w:t>Jurnal Siasat Bisnis</w:t>
      </w:r>
      <w:r>
        <w:rPr>
          <w:rFonts w:ascii="Calibri" w:hAnsi="Calibri" w:cs="Calibri"/>
          <w:lang w:val="pt-PT"/>
        </w:rPr>
        <w:t>, pp.19-36.</w:t>
      </w:r>
    </w:p>
    <w:p w14:paraId="1C96FE41" w14:textId="77777777" w:rsidR="00612D3C" w:rsidRDefault="007047D9">
      <w:pPr>
        <w:rPr>
          <w:rFonts w:ascii="Calibri" w:hAnsi="Calibri" w:cs="Calibri"/>
        </w:rPr>
      </w:pPr>
      <w:r>
        <w:rPr>
          <w:rFonts w:ascii="Calibri" w:hAnsi="Calibri" w:cs="Calibri"/>
          <w:lang w:val="pt-PT"/>
        </w:rPr>
        <w:t xml:space="preserve">Oliveira, M., Abelha, A., Sousa, R. and Peixoto, H., 2024. </w:t>
      </w:r>
      <w:r>
        <w:rPr>
          <w:rFonts w:ascii="Calibri" w:hAnsi="Calibri" w:cs="Calibri"/>
        </w:rPr>
        <w:t>Gamification in mobile applications: techniques, benefits and challenges. </w:t>
      </w:r>
      <w:r>
        <w:rPr>
          <w:rFonts w:ascii="Calibri" w:hAnsi="Calibri" w:cs="Calibri"/>
          <w:i/>
          <w:iCs/>
        </w:rPr>
        <w:t>Procedia Computer Science</w:t>
      </w:r>
      <w:r>
        <w:rPr>
          <w:rFonts w:ascii="Calibri" w:hAnsi="Calibri" w:cs="Calibri"/>
        </w:rPr>
        <w:t>, </w:t>
      </w:r>
      <w:r>
        <w:rPr>
          <w:rFonts w:ascii="Calibri" w:hAnsi="Calibri" w:cs="Calibri"/>
          <w:i/>
          <w:iCs/>
        </w:rPr>
        <w:t>251</w:t>
      </w:r>
      <w:r>
        <w:rPr>
          <w:rFonts w:ascii="Calibri" w:hAnsi="Calibri" w:cs="Calibri"/>
        </w:rPr>
        <w:t>, pp.678-683.</w:t>
      </w:r>
    </w:p>
    <w:p w14:paraId="67A4BCA2" w14:textId="77777777" w:rsidR="00612D3C" w:rsidRDefault="007047D9">
      <w:pPr>
        <w:rPr>
          <w:rFonts w:ascii="Calibri" w:hAnsi="Calibri" w:cs="Calibri"/>
        </w:rPr>
      </w:pPr>
      <w:r>
        <w:rPr>
          <w:rFonts w:ascii="Calibri" w:hAnsi="Calibri" w:cs="Calibri"/>
        </w:rPr>
        <w:t>Omran, W., Casais, B. and Ramos, R.F., 2025. Attributes of virtual and augmented reality tourism mobile applications predicting tourist behavioral engagement. </w:t>
      </w:r>
      <w:r>
        <w:rPr>
          <w:rFonts w:ascii="Calibri" w:hAnsi="Calibri" w:cs="Calibri"/>
          <w:i/>
          <w:iCs/>
        </w:rPr>
        <w:t>International Journal of Human–Computer Interaction</w:t>
      </w:r>
      <w:r>
        <w:rPr>
          <w:rFonts w:ascii="Calibri" w:hAnsi="Calibri" w:cs="Calibri"/>
        </w:rPr>
        <w:t>, pp.1-14.</w:t>
      </w:r>
    </w:p>
    <w:p w14:paraId="35E57575" w14:textId="77777777" w:rsidR="00612D3C" w:rsidRDefault="007047D9">
      <w:pPr>
        <w:rPr>
          <w:rFonts w:ascii="Calibri" w:hAnsi="Calibri" w:cs="Calibri"/>
        </w:rPr>
      </w:pPr>
      <w:r>
        <w:rPr>
          <w:rFonts w:ascii="Calibri" w:hAnsi="Calibri" w:cs="Calibri"/>
        </w:rPr>
        <w:t>Parapanos, D. and Michopoulou, E., 2025. Unveiling the dynamics of user engagement: exploring factors shaping user intentions and return behavior in hotel gamified mobile applications. </w:t>
      </w:r>
      <w:r>
        <w:rPr>
          <w:rFonts w:ascii="Calibri" w:hAnsi="Calibri" w:cs="Calibri"/>
          <w:i/>
          <w:iCs/>
        </w:rPr>
        <w:t>Strategic Change</w:t>
      </w:r>
      <w:r>
        <w:rPr>
          <w:rFonts w:ascii="Calibri" w:hAnsi="Calibri" w:cs="Calibri"/>
        </w:rPr>
        <w:t>.</w:t>
      </w:r>
    </w:p>
    <w:p w14:paraId="3ED7E4D8" w14:textId="77777777" w:rsidR="00612D3C" w:rsidRDefault="007047D9">
      <w:pPr>
        <w:rPr>
          <w:rFonts w:ascii="Calibri" w:hAnsi="Calibri" w:cs="Calibri"/>
        </w:rPr>
      </w:pPr>
      <w:r>
        <w:rPr>
          <w:rFonts w:ascii="Calibri" w:hAnsi="Calibri" w:cs="Calibri"/>
        </w:rPr>
        <w:t>Patel, K.S. and Swamy, D., 2023. Customer Role in Relationship Marketing in Acquisition and Retention of Customers: TESCO. </w:t>
      </w:r>
      <w:r>
        <w:rPr>
          <w:rFonts w:ascii="Calibri" w:hAnsi="Calibri" w:cs="Calibri"/>
          <w:i/>
          <w:iCs/>
        </w:rPr>
        <w:t>Modern Research in Consumer Behaviour and Marketing Research</w:t>
      </w:r>
      <w:r>
        <w:rPr>
          <w:rFonts w:ascii="Calibri" w:hAnsi="Calibri" w:cs="Calibri"/>
        </w:rPr>
        <w:t>, p.87.</w:t>
      </w:r>
    </w:p>
    <w:p w14:paraId="7B72F60D" w14:textId="77777777" w:rsidR="00612D3C" w:rsidRDefault="007047D9">
      <w:pPr>
        <w:rPr>
          <w:rFonts w:ascii="Calibri" w:hAnsi="Calibri" w:cs="Calibri"/>
        </w:rPr>
      </w:pPr>
      <w:r>
        <w:rPr>
          <w:rFonts w:ascii="Calibri" w:hAnsi="Calibri" w:cs="Calibri"/>
        </w:rPr>
        <w:t>Pearse, N., 2019, June. An illustration of deductive analysis in qualitative research. In </w:t>
      </w:r>
      <w:r>
        <w:rPr>
          <w:rFonts w:ascii="Calibri" w:hAnsi="Calibri" w:cs="Calibri"/>
          <w:i/>
          <w:iCs/>
        </w:rPr>
        <w:t>18th European conference on research methodology for business and management studies</w:t>
      </w:r>
      <w:r>
        <w:rPr>
          <w:rFonts w:ascii="Calibri" w:hAnsi="Calibri" w:cs="Calibri"/>
        </w:rPr>
        <w:t xml:space="preserve"> (p. 264). </w:t>
      </w:r>
      <w:hyperlink r:id="rId29" w:anchor="page=279" w:history="1">
        <w:r>
          <w:rPr>
            <w:rStyle w:val="Hyperlink"/>
            <w:rFonts w:ascii="Calibri" w:hAnsi="Calibri" w:cs="Calibri"/>
          </w:rPr>
          <w:t>https://eprints.lincoln.ac.uk/36421/1/ECRM19-Proceedings-Download.pdf#page=279</w:t>
        </w:r>
      </w:hyperlink>
    </w:p>
    <w:p w14:paraId="04564AC9" w14:textId="77777777" w:rsidR="00612D3C" w:rsidRDefault="007047D9">
      <w:pPr>
        <w:rPr>
          <w:rFonts w:ascii="Calibri" w:hAnsi="Calibri" w:cs="Calibri"/>
        </w:rPr>
      </w:pPr>
      <w:r>
        <w:rPr>
          <w:rFonts w:ascii="Calibri" w:hAnsi="Calibri" w:cs="Calibri"/>
        </w:rPr>
        <w:t>Pham, L.T.M., 2018. Qualitative approach to research a review of advantages and disadvantages of three paradigms: Positivism, interpretivism and critical inquiry. </w:t>
      </w:r>
      <w:r>
        <w:rPr>
          <w:rFonts w:ascii="Calibri" w:hAnsi="Calibri" w:cs="Calibri"/>
          <w:i/>
          <w:iCs/>
        </w:rPr>
        <w:t>University of Adelaide</w:t>
      </w:r>
      <w:r>
        <w:rPr>
          <w:rFonts w:ascii="Calibri" w:hAnsi="Calibri" w:cs="Calibri"/>
        </w:rPr>
        <w:t xml:space="preserve">. </w:t>
      </w:r>
      <w:hyperlink r:id="rId30">
        <w:r>
          <w:rPr>
            <w:rStyle w:val="Hyperlink"/>
            <w:rFonts w:ascii="Calibri" w:hAnsi="Calibri" w:cs="Calibri"/>
          </w:rPr>
          <w:t>https://www.researchgate.net/profile/Lan-Pham-3/publication/324486854_A_Review_of_key_paradigms_positivism_interpretivism_and_critical_inquiry/links/5acffa880f7e9b18965cd52f/A-Review-of-key-paradigms-positivism-interpretivism-and-critical-inquiry.pdf</w:t>
        </w:r>
      </w:hyperlink>
      <w:r>
        <w:rPr>
          <w:rFonts w:ascii="Calibri" w:hAnsi="Calibri" w:cs="Calibri"/>
        </w:rPr>
        <w:t> </w:t>
      </w:r>
    </w:p>
    <w:p w14:paraId="7D7FB072" w14:textId="77777777" w:rsidR="00612D3C" w:rsidRDefault="007047D9">
      <w:pPr>
        <w:rPr>
          <w:rFonts w:ascii="Calibri" w:hAnsi="Calibri" w:cs="Calibri"/>
        </w:rPr>
      </w:pPr>
      <w:r>
        <w:rPr>
          <w:rFonts w:ascii="Calibri" w:hAnsi="Calibri" w:cs="Calibri"/>
        </w:rPr>
        <w:t>Ponto, J., 2015. Understanding and evaluating survey research. </w:t>
      </w:r>
      <w:r>
        <w:rPr>
          <w:rFonts w:ascii="Calibri" w:hAnsi="Calibri" w:cs="Calibri"/>
          <w:i/>
          <w:iCs/>
        </w:rPr>
        <w:t>Journal of the advanced practitioner in oncology</w:t>
      </w:r>
      <w:r>
        <w:rPr>
          <w:rFonts w:ascii="Calibri" w:hAnsi="Calibri" w:cs="Calibri"/>
        </w:rPr>
        <w:t>, </w:t>
      </w:r>
      <w:r>
        <w:rPr>
          <w:rFonts w:ascii="Calibri" w:hAnsi="Calibri" w:cs="Calibri"/>
          <w:i/>
          <w:iCs/>
        </w:rPr>
        <w:t>6</w:t>
      </w:r>
      <w:r>
        <w:rPr>
          <w:rFonts w:ascii="Calibri" w:hAnsi="Calibri" w:cs="Calibri"/>
        </w:rPr>
        <w:t xml:space="preserve">(2), p.168. </w:t>
      </w:r>
      <w:hyperlink r:id="rId31">
        <w:r>
          <w:rPr>
            <w:rStyle w:val="Hyperlink"/>
            <w:rFonts w:ascii="Calibri" w:hAnsi="Calibri" w:cs="Calibri"/>
          </w:rPr>
          <w:t>https://www.ncbi.nlm.nih.gov/pmc/articles/PMC4601897/</w:t>
        </w:r>
      </w:hyperlink>
      <w:r>
        <w:rPr>
          <w:rFonts w:ascii="Calibri" w:hAnsi="Calibri" w:cs="Calibri"/>
        </w:rPr>
        <w:t> </w:t>
      </w:r>
    </w:p>
    <w:p w14:paraId="26A104CB" w14:textId="77777777" w:rsidR="00612D3C" w:rsidRDefault="007047D9">
      <w:pPr>
        <w:rPr>
          <w:rFonts w:ascii="Calibri" w:hAnsi="Calibri" w:cs="Calibri"/>
        </w:rPr>
      </w:pPr>
      <w:r>
        <w:rPr>
          <w:rFonts w:ascii="Calibri" w:hAnsi="Calibri" w:cs="Calibri"/>
        </w:rPr>
        <w:t>Poromatikul, C., De Maeyer, P., Leelapanyalert, K. and Zaby, S., 2020. Drivers of continuance intention with mobile banking apps. </w:t>
      </w:r>
      <w:r>
        <w:rPr>
          <w:rFonts w:ascii="Calibri" w:hAnsi="Calibri" w:cs="Calibri"/>
          <w:i/>
          <w:iCs/>
        </w:rPr>
        <w:t>International Journal of Bank Marketing</w:t>
      </w:r>
      <w:r>
        <w:rPr>
          <w:rFonts w:ascii="Calibri" w:hAnsi="Calibri" w:cs="Calibri"/>
        </w:rPr>
        <w:t>, </w:t>
      </w:r>
      <w:r>
        <w:rPr>
          <w:rFonts w:ascii="Calibri" w:hAnsi="Calibri" w:cs="Calibri"/>
          <w:i/>
          <w:iCs/>
        </w:rPr>
        <w:t>38</w:t>
      </w:r>
      <w:r>
        <w:rPr>
          <w:rFonts w:ascii="Calibri" w:hAnsi="Calibri" w:cs="Calibri"/>
        </w:rPr>
        <w:t>(1), pp.242-262.</w:t>
      </w:r>
    </w:p>
    <w:p w14:paraId="0A41B17F" w14:textId="77777777" w:rsidR="00612D3C" w:rsidRDefault="007047D9">
      <w:pPr>
        <w:rPr>
          <w:rFonts w:ascii="Calibri" w:hAnsi="Calibri" w:cs="Calibri"/>
        </w:rPr>
      </w:pPr>
      <w:r>
        <w:rPr>
          <w:rFonts w:ascii="Calibri" w:hAnsi="Calibri" w:cs="Calibri"/>
        </w:rPr>
        <w:t>Putri, M.R. and Aprianingsih, A., 2024. The impact of customer satisfaction on loyalty of goto: the application of technology adoption model (tam). </w:t>
      </w:r>
      <w:r>
        <w:rPr>
          <w:rFonts w:ascii="Calibri" w:hAnsi="Calibri" w:cs="Calibri"/>
          <w:i/>
          <w:iCs/>
        </w:rPr>
        <w:t>Indonesian Journal of Business and Entrepreneurship (IJBE)</w:t>
      </w:r>
      <w:r>
        <w:rPr>
          <w:rFonts w:ascii="Calibri" w:hAnsi="Calibri" w:cs="Calibri"/>
        </w:rPr>
        <w:t>, </w:t>
      </w:r>
      <w:r>
        <w:rPr>
          <w:rFonts w:ascii="Calibri" w:hAnsi="Calibri" w:cs="Calibri"/>
          <w:i/>
          <w:iCs/>
        </w:rPr>
        <w:t>10</w:t>
      </w:r>
      <w:r>
        <w:rPr>
          <w:rFonts w:ascii="Calibri" w:hAnsi="Calibri" w:cs="Calibri"/>
        </w:rPr>
        <w:t>(1), pp.214-214.</w:t>
      </w:r>
    </w:p>
    <w:p w14:paraId="15430F22" w14:textId="77777777" w:rsidR="00612D3C" w:rsidRDefault="007047D9">
      <w:pPr>
        <w:rPr>
          <w:rFonts w:ascii="Calibri" w:hAnsi="Calibri" w:cs="Calibri"/>
        </w:rPr>
      </w:pPr>
      <w:r>
        <w:rPr>
          <w:rFonts w:ascii="Calibri" w:hAnsi="Calibri" w:cs="Calibri"/>
        </w:rPr>
        <w:t>Rahi, S., 2017. Research design and methods: A systematic review of research paradigms, sampling issues and instruments development. </w:t>
      </w:r>
      <w:r>
        <w:rPr>
          <w:rFonts w:ascii="Calibri" w:hAnsi="Calibri" w:cs="Calibri"/>
          <w:i/>
          <w:iCs/>
        </w:rPr>
        <w:t>International Journal of Economics &amp; Management Sciences</w:t>
      </w:r>
      <w:r>
        <w:rPr>
          <w:rFonts w:ascii="Calibri" w:hAnsi="Calibri" w:cs="Calibri"/>
        </w:rPr>
        <w:t>, </w:t>
      </w:r>
      <w:r>
        <w:rPr>
          <w:rFonts w:ascii="Calibri" w:hAnsi="Calibri" w:cs="Calibri"/>
          <w:i/>
          <w:iCs/>
        </w:rPr>
        <w:t>6</w:t>
      </w:r>
      <w:r>
        <w:rPr>
          <w:rFonts w:ascii="Calibri" w:hAnsi="Calibri" w:cs="Calibri"/>
        </w:rPr>
        <w:t>(2), pp.1-5.</w:t>
      </w:r>
    </w:p>
    <w:p w14:paraId="48A85575" w14:textId="77777777" w:rsidR="00612D3C" w:rsidRDefault="007047D9">
      <w:pPr>
        <w:rPr>
          <w:rFonts w:ascii="Calibri" w:hAnsi="Calibri" w:cs="Calibri"/>
        </w:rPr>
      </w:pPr>
      <w:r>
        <w:rPr>
          <w:rFonts w:ascii="Calibri" w:hAnsi="Calibri" w:cs="Calibri"/>
        </w:rPr>
        <w:t>Rahi, S., Othman Mansour, M.M., Alharafsheh, M. and Alghizzawi, M., 2021. The post-adoption behavior of internet banking users through the eyes of self-determination theory and expectation confirmation model. </w:t>
      </w:r>
      <w:r>
        <w:rPr>
          <w:rFonts w:ascii="Calibri" w:hAnsi="Calibri" w:cs="Calibri"/>
          <w:i/>
          <w:iCs/>
        </w:rPr>
        <w:t>Journal of Enterprise Information Management</w:t>
      </w:r>
      <w:r>
        <w:rPr>
          <w:rFonts w:ascii="Calibri" w:hAnsi="Calibri" w:cs="Calibri"/>
        </w:rPr>
        <w:t>, </w:t>
      </w:r>
      <w:r>
        <w:rPr>
          <w:rFonts w:ascii="Calibri" w:hAnsi="Calibri" w:cs="Calibri"/>
          <w:i/>
          <w:iCs/>
        </w:rPr>
        <w:t>34</w:t>
      </w:r>
      <w:r>
        <w:rPr>
          <w:rFonts w:ascii="Calibri" w:hAnsi="Calibri" w:cs="Calibri"/>
        </w:rPr>
        <w:t>(6), pp.1874-1892.</w:t>
      </w:r>
    </w:p>
    <w:p w14:paraId="7CE335A1" w14:textId="77777777" w:rsidR="00612D3C" w:rsidRDefault="007047D9">
      <w:pPr>
        <w:rPr>
          <w:rFonts w:ascii="Calibri" w:hAnsi="Calibri" w:cs="Calibri"/>
        </w:rPr>
      </w:pPr>
      <w:r>
        <w:rPr>
          <w:rFonts w:ascii="Calibri" w:hAnsi="Calibri" w:cs="Calibri"/>
        </w:rPr>
        <w:t>Rodríguez-Ardura, I., Meseguer-Artola, A., Herzallah, D. and Fu, Q., 2025. Pumping up customer value with convenience and personalisation strategies in e-retailing: an analysis of the engagement connection. </w:t>
      </w:r>
      <w:r>
        <w:rPr>
          <w:rFonts w:ascii="Calibri" w:hAnsi="Calibri" w:cs="Calibri"/>
          <w:i/>
          <w:iCs/>
        </w:rPr>
        <w:t>Journal of Research in Interactive Marketing</w:t>
      </w:r>
      <w:r>
        <w:rPr>
          <w:rFonts w:ascii="Calibri" w:hAnsi="Calibri" w:cs="Calibri"/>
        </w:rPr>
        <w:t>, </w:t>
      </w:r>
      <w:r>
        <w:rPr>
          <w:rFonts w:ascii="Calibri" w:hAnsi="Calibri" w:cs="Calibri"/>
          <w:i/>
          <w:iCs/>
        </w:rPr>
        <w:t>19</w:t>
      </w:r>
      <w:r>
        <w:rPr>
          <w:rFonts w:ascii="Calibri" w:hAnsi="Calibri" w:cs="Calibri"/>
        </w:rPr>
        <w:t>(1), pp.35-58.</w:t>
      </w:r>
    </w:p>
    <w:p w14:paraId="338D504F" w14:textId="77777777" w:rsidR="00612D3C" w:rsidRDefault="007047D9">
      <w:pPr>
        <w:rPr>
          <w:rFonts w:ascii="Calibri" w:hAnsi="Calibri" w:cs="Calibri"/>
        </w:rPr>
      </w:pPr>
      <w:r>
        <w:rPr>
          <w:rFonts w:ascii="Calibri" w:hAnsi="Calibri" w:cs="Calibri"/>
        </w:rPr>
        <w:t>Rokhimah, R. and Suhermin, S., 2024, November. FACTORS INFLUENCING CONTINUATION INTENTION OF MOBILE BANKING USAGE: EXTENDING EXPECTANCY CONFIRMATION MODEL (ECM) AND ARTIFICIAL INTELLIGENCE (AI) WITH SECURITY AS MODERATION. In </w:t>
      </w:r>
      <w:r>
        <w:rPr>
          <w:rFonts w:ascii="Calibri" w:hAnsi="Calibri" w:cs="Calibri"/>
          <w:i/>
          <w:iCs/>
        </w:rPr>
        <w:t>International Conference of Business and Social Sciences</w:t>
      </w:r>
      <w:r>
        <w:rPr>
          <w:rFonts w:ascii="Calibri" w:hAnsi="Calibri" w:cs="Calibri"/>
        </w:rPr>
        <w:t> (pp. 162-178).</w:t>
      </w:r>
    </w:p>
    <w:p w14:paraId="4F4EB30D" w14:textId="77777777" w:rsidR="00612D3C" w:rsidRDefault="007047D9">
      <w:pPr>
        <w:rPr>
          <w:rFonts w:ascii="Calibri" w:hAnsi="Calibri" w:cs="Calibri"/>
        </w:rPr>
      </w:pPr>
      <w:r>
        <w:rPr>
          <w:rFonts w:ascii="Calibri" w:hAnsi="Calibri" w:cs="Calibri"/>
        </w:rPr>
        <w:t>Rose, N., Dolega, L. and Rowe, F., 2024. Using loyalty card data to understand the impact of weather on click &amp; collect behaviours in UK retailing. </w:t>
      </w:r>
      <w:r>
        <w:rPr>
          <w:rFonts w:ascii="Calibri" w:hAnsi="Calibri" w:cs="Calibri"/>
          <w:i/>
          <w:iCs/>
        </w:rPr>
        <w:t>The International Review of Retail, Distribution and Consumer Research</w:t>
      </w:r>
      <w:r>
        <w:rPr>
          <w:rFonts w:ascii="Calibri" w:hAnsi="Calibri" w:cs="Calibri"/>
        </w:rPr>
        <w:t>, </w:t>
      </w:r>
      <w:r>
        <w:rPr>
          <w:rFonts w:ascii="Calibri" w:hAnsi="Calibri" w:cs="Calibri"/>
          <w:i/>
          <w:iCs/>
        </w:rPr>
        <w:t>34</w:t>
      </w:r>
      <w:r>
        <w:rPr>
          <w:rFonts w:ascii="Calibri" w:hAnsi="Calibri" w:cs="Calibri"/>
        </w:rPr>
        <w:t>(5), pp.571-592.</w:t>
      </w:r>
    </w:p>
    <w:p w14:paraId="1937D716" w14:textId="77777777" w:rsidR="00612D3C" w:rsidRDefault="007047D9">
      <w:pPr>
        <w:rPr>
          <w:rFonts w:ascii="Calibri" w:hAnsi="Calibri" w:cs="Calibri"/>
        </w:rPr>
      </w:pPr>
      <w:r>
        <w:rPr>
          <w:rFonts w:ascii="Calibri" w:hAnsi="Calibri" w:cs="Calibri"/>
        </w:rPr>
        <w:t xml:space="preserve">Sage, M. (2012) ‘Tesco profit warning – how much was Clubcard responsible?’, </w:t>
      </w:r>
      <w:r>
        <w:rPr>
          <w:rFonts w:ascii="Calibri" w:hAnsi="Calibri" w:cs="Calibri"/>
          <w:i/>
          <w:iCs/>
        </w:rPr>
        <w:t>CustomerThink</w:t>
      </w:r>
      <w:r>
        <w:rPr>
          <w:rFonts w:ascii="Calibri" w:hAnsi="Calibri" w:cs="Calibri"/>
        </w:rPr>
        <w:t xml:space="preserve">, 22 Jan. Available at: </w:t>
      </w:r>
      <w:hyperlink r:id="rId32" w:tgtFrame="_new">
        <w:r>
          <w:rPr>
            <w:rStyle w:val="Hyperlink"/>
            <w:rFonts w:ascii="Calibri" w:hAnsi="Calibri" w:cs="Calibri"/>
            <w:color w:val="auto"/>
          </w:rPr>
          <w:t>https://customerthink.com/tesco_profit_warning_how_much_was_clubcard_responsible/</w:t>
        </w:r>
      </w:hyperlink>
      <w:r>
        <w:rPr>
          <w:rFonts w:ascii="Calibri" w:hAnsi="Calibri" w:cs="Calibri"/>
        </w:rPr>
        <w:t xml:space="preserve"> (Accessed: 11 July 2025).</w:t>
      </w:r>
    </w:p>
    <w:p w14:paraId="0E4326E9" w14:textId="77777777" w:rsidR="00612D3C" w:rsidRDefault="007047D9">
      <w:pPr>
        <w:rPr>
          <w:rFonts w:ascii="Calibri" w:hAnsi="Calibri" w:cs="Calibri"/>
        </w:rPr>
      </w:pPr>
      <w:r>
        <w:rPr>
          <w:rFonts w:ascii="Calibri" w:hAnsi="Calibri" w:cs="Calibri"/>
        </w:rPr>
        <w:t>J Sainsbury plc (2025) 'Unlock, shop &amp; save: Sainsbury's rolls out Your Nectar Prices across tills nationwide', 24 July. Available at: https://corporate.sainsburys.co.uk/news/press-releases/unlock-shop-save-sainsburys-rolls-out-your-nectar-prices-across-tills-nationwide/ (Accessed: 25 September 2026).</w:t>
      </w:r>
    </w:p>
    <w:p w14:paraId="413869CC" w14:textId="77777777" w:rsidR="00612D3C" w:rsidRDefault="007047D9">
      <w:pPr>
        <w:rPr>
          <w:rFonts w:ascii="Calibri" w:hAnsi="Calibri" w:cs="Calibri"/>
        </w:rPr>
      </w:pPr>
      <w:r>
        <w:rPr>
          <w:rFonts w:ascii="Calibri" w:hAnsi="Calibri" w:cs="Calibri"/>
        </w:rPr>
        <w:t>Santabarbara, C., Royle, T. and Wei, W., 2025. ‘Beating the App’or Pyrrhic Victories? Gamification, Workaholism and FoMo in UK Food‐Delivery Platforms. </w:t>
      </w:r>
      <w:r>
        <w:rPr>
          <w:rFonts w:ascii="Calibri" w:hAnsi="Calibri" w:cs="Calibri"/>
          <w:i/>
          <w:iCs/>
        </w:rPr>
        <w:t>New Technology, Work and Employment</w:t>
      </w:r>
      <w:r>
        <w:rPr>
          <w:rFonts w:ascii="Calibri" w:hAnsi="Calibri" w:cs="Calibri"/>
        </w:rPr>
        <w:t>.</w:t>
      </w:r>
    </w:p>
    <w:p w14:paraId="2C3F96F2" w14:textId="77777777" w:rsidR="00612D3C" w:rsidRDefault="007047D9">
      <w:pPr>
        <w:rPr>
          <w:rFonts w:ascii="Calibri" w:hAnsi="Calibri" w:cs="Calibri"/>
        </w:rPr>
      </w:pPr>
      <w:r>
        <w:rPr>
          <w:rFonts w:ascii="Calibri" w:hAnsi="Calibri" w:cs="Calibri"/>
        </w:rPr>
        <w:t>Santoso, G. and Ruslim, T.S., 2024. Influencing factors on BCA Mobile customer loyalty: mediating role of customer satisfaction. </w:t>
      </w:r>
      <w:r>
        <w:rPr>
          <w:rFonts w:ascii="Calibri" w:hAnsi="Calibri" w:cs="Calibri"/>
          <w:i/>
          <w:iCs/>
        </w:rPr>
        <w:t>Jurnal Ekonomi</w:t>
      </w:r>
      <w:r>
        <w:rPr>
          <w:rFonts w:ascii="Calibri" w:hAnsi="Calibri" w:cs="Calibri"/>
        </w:rPr>
        <w:t>, </w:t>
      </w:r>
      <w:r>
        <w:rPr>
          <w:rFonts w:ascii="Calibri" w:hAnsi="Calibri" w:cs="Calibri"/>
          <w:i/>
          <w:iCs/>
        </w:rPr>
        <w:t>29</w:t>
      </w:r>
      <w:r>
        <w:rPr>
          <w:rFonts w:ascii="Calibri" w:hAnsi="Calibri" w:cs="Calibri"/>
        </w:rPr>
        <w:t>(1), pp.1-20.</w:t>
      </w:r>
    </w:p>
    <w:p w14:paraId="1E8E819B" w14:textId="77777777" w:rsidR="00612D3C" w:rsidRDefault="007047D9">
      <w:pPr>
        <w:rPr>
          <w:rFonts w:ascii="Calibri" w:hAnsi="Calibri" w:cs="Calibri"/>
        </w:rPr>
      </w:pPr>
      <w:r>
        <w:rPr>
          <w:rFonts w:ascii="Calibri" w:hAnsi="Calibri" w:cs="Calibri"/>
        </w:rPr>
        <w:t>Saunders, M., Lewis, P. and Thornhill, A., 2007. Research methods. </w:t>
      </w:r>
      <w:r>
        <w:rPr>
          <w:rFonts w:ascii="Calibri" w:hAnsi="Calibri" w:cs="Calibri"/>
          <w:i/>
          <w:iCs/>
        </w:rPr>
        <w:t>Business Students 4th edition Pearson Education Limited, England</w:t>
      </w:r>
      <w:r>
        <w:rPr>
          <w:rFonts w:ascii="Calibri" w:hAnsi="Calibri" w:cs="Calibri"/>
        </w:rPr>
        <w:t xml:space="preserve">. </w:t>
      </w:r>
      <w:hyperlink r:id="rId33">
        <w:r>
          <w:rPr>
            <w:rStyle w:val="Hyperlink"/>
            <w:rFonts w:ascii="Calibri" w:hAnsi="Calibri" w:cs="Calibri"/>
          </w:rPr>
          <w:t>https://www.researchgate.net/profile/Mark-Saunders-10/publication/330760964_Research_Methods_for_Business_Students_Chapter_4_Understanding_research_philosophy_and_approaches_to_theory_development/links/5c53056f299bf12be3f0e2cf/Research-Methods-for-Business-Students-Chapter-4-Understanding-research-philosophy-and-approaches-to-theory-development.pdf</w:t>
        </w:r>
      </w:hyperlink>
      <w:r>
        <w:rPr>
          <w:rFonts w:ascii="Calibri" w:hAnsi="Calibri" w:cs="Calibri"/>
        </w:rPr>
        <w:t> </w:t>
      </w:r>
    </w:p>
    <w:p w14:paraId="5C0ED9EB" w14:textId="77777777" w:rsidR="00612D3C" w:rsidRDefault="007047D9">
      <w:pPr>
        <w:rPr>
          <w:rFonts w:ascii="Calibri" w:hAnsi="Calibri" w:cs="Calibri"/>
        </w:rPr>
      </w:pPr>
      <w:r>
        <w:rPr>
          <w:rFonts w:ascii="Calibri" w:hAnsi="Calibri" w:cs="Calibri"/>
        </w:rPr>
        <w:t>Seridaran, S., Sithamparam, A.G., Falahat, M. and Ekmekcioğlu, Ö., 2024. Determinants of continuance usage intentions: the mediating role of satisfaction and trust in branded mobile applications among Malaysians. </w:t>
      </w:r>
      <w:r>
        <w:rPr>
          <w:rFonts w:ascii="Calibri" w:hAnsi="Calibri" w:cs="Calibri"/>
          <w:i/>
          <w:iCs/>
        </w:rPr>
        <w:t>Cogent Business &amp; Management</w:t>
      </w:r>
      <w:r>
        <w:rPr>
          <w:rFonts w:ascii="Calibri" w:hAnsi="Calibri" w:cs="Calibri"/>
        </w:rPr>
        <w:t>, </w:t>
      </w:r>
      <w:r>
        <w:rPr>
          <w:rFonts w:ascii="Calibri" w:hAnsi="Calibri" w:cs="Calibri"/>
          <w:i/>
          <w:iCs/>
        </w:rPr>
        <w:t>11</w:t>
      </w:r>
      <w:r>
        <w:rPr>
          <w:rFonts w:ascii="Calibri" w:hAnsi="Calibri" w:cs="Calibri"/>
        </w:rPr>
        <w:t>(1), p.2402082.</w:t>
      </w:r>
    </w:p>
    <w:p w14:paraId="40CAF891" w14:textId="77777777" w:rsidR="00612D3C" w:rsidRDefault="007047D9">
      <w:pPr>
        <w:rPr>
          <w:rFonts w:ascii="Calibri" w:hAnsi="Calibri" w:cs="Calibri"/>
        </w:rPr>
      </w:pPr>
      <w:r>
        <w:rPr>
          <w:rFonts w:ascii="Calibri" w:hAnsi="Calibri" w:cs="Calibri"/>
        </w:rPr>
        <w:t>Shetu, S.N., 2025. Determinants of generation Z consumers’ mobile online shopping apps continuance intention to use during COVID-19 and beyond—an empirical study. </w:t>
      </w:r>
      <w:r>
        <w:rPr>
          <w:rFonts w:ascii="Calibri" w:hAnsi="Calibri" w:cs="Calibri"/>
          <w:i/>
          <w:iCs/>
        </w:rPr>
        <w:t>Future Business Journal</w:t>
      </w:r>
      <w:r>
        <w:rPr>
          <w:rFonts w:ascii="Calibri" w:hAnsi="Calibri" w:cs="Calibri"/>
        </w:rPr>
        <w:t>, </w:t>
      </w:r>
      <w:r>
        <w:rPr>
          <w:rFonts w:ascii="Calibri" w:hAnsi="Calibri" w:cs="Calibri"/>
          <w:i/>
          <w:iCs/>
        </w:rPr>
        <w:t>11</w:t>
      </w:r>
      <w:r>
        <w:rPr>
          <w:rFonts w:ascii="Calibri" w:hAnsi="Calibri" w:cs="Calibri"/>
        </w:rPr>
        <w:t>(1), p.25.</w:t>
      </w:r>
    </w:p>
    <w:p w14:paraId="45AEB79B" w14:textId="77777777" w:rsidR="00612D3C" w:rsidRDefault="007047D9">
      <w:pPr>
        <w:rPr>
          <w:rFonts w:ascii="Calibri" w:hAnsi="Calibri" w:cs="Calibri"/>
        </w:rPr>
      </w:pPr>
      <w:r>
        <w:rPr>
          <w:rFonts w:ascii="Calibri" w:hAnsi="Calibri" w:cs="Calibri"/>
        </w:rPr>
        <w:t>Si, C.E., Oo, Y.H., Noor, N.A.M. and Law, K.L.S., 2025. Digitalisation-Driven Gamification and Customer Churn Reduction: A Mediated PLS-SEM Approach via Brand Attractiveness.</w:t>
      </w:r>
    </w:p>
    <w:p w14:paraId="5AC6827C" w14:textId="77777777" w:rsidR="00612D3C" w:rsidRDefault="007047D9">
      <w:pPr>
        <w:rPr>
          <w:rFonts w:ascii="Calibri" w:hAnsi="Calibri" w:cs="Calibri"/>
        </w:rPr>
      </w:pPr>
      <w:r>
        <w:rPr>
          <w:rFonts w:ascii="Calibri" w:hAnsi="Calibri" w:cs="Calibri"/>
        </w:rPr>
        <w:t>Singh, P., Ranjith, P.V., Fathihah, N., Kee, D.M.H., Nuralina, N., Nurdiyanah, N. and Nursyahirah, N., 2021. Service quality dimension and customers' satisfaction: An empirical study of Tesco hypermarket in Malaysia. </w:t>
      </w:r>
      <w:r>
        <w:rPr>
          <w:rFonts w:ascii="Calibri" w:hAnsi="Calibri" w:cs="Calibri"/>
          <w:i/>
          <w:iCs/>
        </w:rPr>
        <w:t>International Journal of Applied Business and International Management</w:t>
      </w:r>
      <w:r>
        <w:rPr>
          <w:rFonts w:ascii="Calibri" w:hAnsi="Calibri" w:cs="Calibri"/>
        </w:rPr>
        <w:t>, </w:t>
      </w:r>
      <w:r>
        <w:rPr>
          <w:rFonts w:ascii="Calibri" w:hAnsi="Calibri" w:cs="Calibri"/>
          <w:i/>
          <w:iCs/>
        </w:rPr>
        <w:t>6</w:t>
      </w:r>
      <w:r>
        <w:rPr>
          <w:rFonts w:ascii="Calibri" w:hAnsi="Calibri" w:cs="Calibri"/>
        </w:rPr>
        <w:t>(3), pp.102-114.</w:t>
      </w:r>
    </w:p>
    <w:p w14:paraId="0C88AC56" w14:textId="77777777" w:rsidR="00612D3C" w:rsidRDefault="007047D9">
      <w:pPr>
        <w:rPr>
          <w:rFonts w:ascii="Calibri" w:hAnsi="Calibri" w:cs="Calibri"/>
        </w:rPr>
      </w:pPr>
      <w:r>
        <w:rPr>
          <w:rFonts w:ascii="Calibri" w:hAnsi="Calibri" w:cs="Calibri"/>
        </w:rPr>
        <w:t>Soaloon, S.K. and Handayani, P.W., 2025. The influence of continuance intention on users’ well-being and intention to recommend online music streaming applications. </w:t>
      </w:r>
      <w:r>
        <w:rPr>
          <w:rFonts w:ascii="Calibri" w:hAnsi="Calibri" w:cs="Calibri"/>
          <w:i/>
          <w:iCs/>
        </w:rPr>
        <w:t>Cogent Arts &amp; Humanities</w:t>
      </w:r>
      <w:r>
        <w:rPr>
          <w:rFonts w:ascii="Calibri" w:hAnsi="Calibri" w:cs="Calibri"/>
        </w:rPr>
        <w:t>, </w:t>
      </w:r>
      <w:r>
        <w:rPr>
          <w:rFonts w:ascii="Calibri" w:hAnsi="Calibri" w:cs="Calibri"/>
          <w:i/>
          <w:iCs/>
        </w:rPr>
        <w:t>12</w:t>
      </w:r>
      <w:r>
        <w:rPr>
          <w:rFonts w:ascii="Calibri" w:hAnsi="Calibri" w:cs="Calibri"/>
        </w:rPr>
        <w:t>(1), p.2480445.</w:t>
      </w:r>
    </w:p>
    <w:p w14:paraId="7248182F" w14:textId="77777777" w:rsidR="00612D3C" w:rsidRDefault="007047D9">
      <w:pPr>
        <w:rPr>
          <w:rFonts w:ascii="Calibri" w:hAnsi="Calibri" w:cs="Calibri"/>
        </w:rPr>
      </w:pPr>
      <w:r>
        <w:rPr>
          <w:rFonts w:ascii="Calibri" w:hAnsi="Calibri" w:cs="Calibri"/>
        </w:rPr>
        <w:t>Stolk, J.R., 2025. Gamification and Consumer Behaviour: Assessing the Effect of a Game-Based Discount on Fruit and Vegetable Purchase Intention.</w:t>
      </w:r>
    </w:p>
    <w:p w14:paraId="52D4C513" w14:textId="77777777" w:rsidR="00612D3C" w:rsidRDefault="007047D9">
      <w:pPr>
        <w:rPr>
          <w:rFonts w:ascii="Calibri" w:hAnsi="Calibri" w:cs="Calibri"/>
        </w:rPr>
      </w:pPr>
      <w:r>
        <w:rPr>
          <w:rFonts w:ascii="Calibri" w:hAnsi="Calibri" w:cs="Calibri"/>
          <w:lang w:val="pt-PT"/>
        </w:rPr>
        <w:t xml:space="preserve">Susanto, P., Hoque, M.E., Nisaa, V., Islam, M.A. and Kamarulzaman, Y., 2023. </w:t>
      </w:r>
      <w:r>
        <w:rPr>
          <w:rFonts w:ascii="Calibri" w:hAnsi="Calibri" w:cs="Calibri"/>
        </w:rPr>
        <w:t>Predicting m-commerce continuance intention and price sensitivity in Indonesia by integrating of expectation-confirmation and post-acceptance model. </w:t>
      </w:r>
      <w:r>
        <w:rPr>
          <w:rFonts w:ascii="Calibri" w:hAnsi="Calibri" w:cs="Calibri"/>
          <w:i/>
          <w:iCs/>
        </w:rPr>
        <w:t>Sage Open</w:t>
      </w:r>
      <w:r>
        <w:rPr>
          <w:rFonts w:ascii="Calibri" w:hAnsi="Calibri" w:cs="Calibri"/>
        </w:rPr>
        <w:t>, </w:t>
      </w:r>
      <w:r>
        <w:rPr>
          <w:rFonts w:ascii="Calibri" w:hAnsi="Calibri" w:cs="Calibri"/>
          <w:i/>
          <w:iCs/>
        </w:rPr>
        <w:t>13</w:t>
      </w:r>
      <w:r>
        <w:rPr>
          <w:rFonts w:ascii="Calibri" w:hAnsi="Calibri" w:cs="Calibri"/>
        </w:rPr>
        <w:t>(3), p.21582440231188019.</w:t>
      </w:r>
    </w:p>
    <w:p w14:paraId="47994970" w14:textId="77777777" w:rsidR="00612D3C" w:rsidRDefault="007047D9">
      <w:pPr>
        <w:rPr>
          <w:rFonts w:ascii="Calibri" w:hAnsi="Calibri" w:cs="Calibri"/>
        </w:rPr>
      </w:pPr>
      <w:r>
        <w:rPr>
          <w:rFonts w:ascii="Calibri" w:hAnsi="Calibri" w:cs="Calibri"/>
        </w:rPr>
        <w:t>Taherdoost, H., 2016. Validity and reliability of the research instrument; how to test the validation of a questionnaire/survey in a research. </w:t>
      </w:r>
      <w:r>
        <w:rPr>
          <w:rFonts w:ascii="Calibri" w:hAnsi="Calibri" w:cs="Calibri"/>
          <w:i/>
          <w:iCs/>
        </w:rPr>
        <w:t>International Journal of Academic Research in Management (IJARM),</w:t>
      </w:r>
      <w:r>
        <w:rPr>
          <w:rFonts w:ascii="Calibri" w:hAnsi="Calibri" w:cs="Calibri"/>
        </w:rPr>
        <w:t xml:space="preserve"> </w:t>
      </w:r>
      <w:r>
        <w:rPr>
          <w:rFonts w:ascii="Calibri" w:hAnsi="Calibri" w:cs="Calibri"/>
          <w:i/>
          <w:iCs/>
        </w:rPr>
        <w:t>5</w:t>
      </w:r>
      <w:r>
        <w:rPr>
          <w:rFonts w:ascii="Calibri" w:hAnsi="Calibri" w:cs="Calibri"/>
        </w:rPr>
        <w:t xml:space="preserve">(3), pp. 28-36. </w:t>
      </w:r>
      <w:hyperlink r:id="rId34">
        <w:r>
          <w:rPr>
            <w:rStyle w:val="Hyperlink"/>
            <w:rFonts w:ascii="Calibri" w:hAnsi="Calibri" w:cs="Calibri"/>
          </w:rPr>
          <w:t>https://hal.science/hal-02546799/document</w:t>
        </w:r>
      </w:hyperlink>
      <w:r>
        <w:rPr>
          <w:rFonts w:ascii="Calibri" w:hAnsi="Calibri" w:cs="Calibri"/>
        </w:rPr>
        <w:t> </w:t>
      </w:r>
    </w:p>
    <w:p w14:paraId="5EA317DD" w14:textId="77777777" w:rsidR="00612D3C" w:rsidRDefault="007047D9">
      <w:pPr>
        <w:rPr>
          <w:rFonts w:ascii="Calibri" w:hAnsi="Calibri" w:cs="Calibri"/>
        </w:rPr>
      </w:pPr>
      <w:r>
        <w:rPr>
          <w:rFonts w:ascii="Calibri" w:hAnsi="Calibri" w:cs="Calibri"/>
        </w:rPr>
        <w:t>Talwar, S., Dhir, A., Khalil, A., Mohan, G. and Islam, A.N., 2020. Point of adoption and beyond. Initial trust and mobile-payment continuation intention. </w:t>
      </w:r>
      <w:r>
        <w:rPr>
          <w:rFonts w:ascii="Calibri" w:hAnsi="Calibri" w:cs="Calibri"/>
          <w:i/>
          <w:iCs/>
        </w:rPr>
        <w:t>Journal of Retailing and Consumer Services</w:t>
      </w:r>
      <w:r>
        <w:rPr>
          <w:rFonts w:ascii="Calibri" w:hAnsi="Calibri" w:cs="Calibri"/>
        </w:rPr>
        <w:t>, </w:t>
      </w:r>
      <w:r>
        <w:rPr>
          <w:rFonts w:ascii="Calibri" w:hAnsi="Calibri" w:cs="Calibri"/>
          <w:i/>
          <w:iCs/>
        </w:rPr>
        <w:t>55</w:t>
      </w:r>
      <w:r>
        <w:rPr>
          <w:rFonts w:ascii="Calibri" w:hAnsi="Calibri" w:cs="Calibri"/>
        </w:rPr>
        <w:t>, p.102086.</w:t>
      </w:r>
    </w:p>
    <w:p w14:paraId="31D772BF" w14:textId="77777777" w:rsidR="00612D3C" w:rsidRDefault="007047D9">
      <w:pPr>
        <w:rPr>
          <w:rFonts w:ascii="Calibri" w:hAnsi="Calibri" w:cs="Calibri"/>
        </w:rPr>
      </w:pPr>
      <w:r>
        <w:rPr>
          <w:rFonts w:ascii="Calibri" w:hAnsi="Calibri" w:cs="Calibri"/>
        </w:rPr>
        <w:t>Tam, C., Santos, D. and Oliveira, T., 2020. Exploring the influential factors of continuance intention to use mobile Apps: Extending the expectation confirmation model. </w:t>
      </w:r>
      <w:r>
        <w:rPr>
          <w:rFonts w:ascii="Calibri" w:hAnsi="Calibri" w:cs="Calibri"/>
          <w:i/>
          <w:iCs/>
        </w:rPr>
        <w:t>Information Systems Frontiers</w:t>
      </w:r>
      <w:r>
        <w:rPr>
          <w:rFonts w:ascii="Calibri" w:hAnsi="Calibri" w:cs="Calibri"/>
        </w:rPr>
        <w:t>, </w:t>
      </w:r>
      <w:r>
        <w:rPr>
          <w:rFonts w:ascii="Calibri" w:hAnsi="Calibri" w:cs="Calibri"/>
          <w:i/>
          <w:iCs/>
        </w:rPr>
        <w:t>22</w:t>
      </w:r>
      <w:r>
        <w:rPr>
          <w:rFonts w:ascii="Calibri" w:hAnsi="Calibri" w:cs="Calibri"/>
        </w:rPr>
        <w:t>(1), pp.243-257.</w:t>
      </w:r>
    </w:p>
    <w:p w14:paraId="3159CDB9" w14:textId="77777777" w:rsidR="00612D3C" w:rsidRDefault="007047D9">
      <w:pPr>
        <w:rPr>
          <w:rFonts w:ascii="Calibri" w:hAnsi="Calibri" w:cs="Calibri"/>
        </w:rPr>
      </w:pPr>
      <w:r>
        <w:rPr>
          <w:rFonts w:ascii="Calibri" w:hAnsi="Calibri" w:cs="Calibri"/>
        </w:rPr>
        <w:t xml:space="preserve">Tesco PLC. (2024) </w:t>
      </w:r>
      <w:r>
        <w:rPr>
          <w:rFonts w:ascii="Calibri" w:hAnsi="Calibri" w:cs="Calibri"/>
          <w:i/>
          <w:iCs/>
        </w:rPr>
        <w:t>Annual Report and Financial Statements 2024</w:t>
      </w:r>
      <w:r>
        <w:rPr>
          <w:rFonts w:ascii="Calibri" w:hAnsi="Calibri" w:cs="Calibri"/>
        </w:rPr>
        <w:t xml:space="preserve">. Available at: </w:t>
      </w:r>
      <w:hyperlink r:id="rId35" w:tgtFrame="_new">
        <w:r>
          <w:rPr>
            <w:rStyle w:val="Hyperlink"/>
            <w:rFonts w:ascii="Calibri" w:hAnsi="Calibri" w:cs="Calibri"/>
            <w:color w:val="auto"/>
          </w:rPr>
          <w:t>https://www.tescoplc.com/media/zgvhd0dn/tescos_ar24.pdf</w:t>
        </w:r>
      </w:hyperlink>
      <w:r>
        <w:rPr>
          <w:rFonts w:ascii="Calibri" w:hAnsi="Calibri" w:cs="Calibri"/>
        </w:rPr>
        <w:t xml:space="preserve"> (Accessed: 11 July 2025).</w:t>
      </w:r>
    </w:p>
    <w:p w14:paraId="5D35FEDB" w14:textId="77777777" w:rsidR="00612D3C" w:rsidRDefault="007047D9">
      <w:pPr>
        <w:rPr>
          <w:rFonts w:ascii="Calibri" w:hAnsi="Calibri" w:cs="Calibri"/>
        </w:rPr>
      </w:pPr>
      <w:r>
        <w:rPr>
          <w:rFonts w:ascii="Calibri" w:hAnsi="Calibri" w:cs="Calibri"/>
        </w:rPr>
        <w:t xml:space="preserve">The Sun. (2025) ‘Tesco-Club Card versus Sainsbury’s-Nectar: Save money’, </w:t>
      </w:r>
      <w:r>
        <w:rPr>
          <w:rFonts w:ascii="Calibri" w:hAnsi="Calibri" w:cs="Calibri"/>
          <w:i/>
          <w:iCs/>
        </w:rPr>
        <w:t>This Is Money</w:t>
      </w:r>
      <w:r>
        <w:rPr>
          <w:rFonts w:ascii="Calibri" w:hAnsi="Calibri" w:cs="Calibri"/>
        </w:rPr>
        <w:t xml:space="preserve">. Available at: </w:t>
      </w:r>
      <w:hyperlink r:id="rId36" w:tgtFrame="_new">
        <w:r>
          <w:rPr>
            <w:rStyle w:val="Hyperlink"/>
            <w:rFonts w:ascii="Calibri" w:hAnsi="Calibri" w:cs="Calibri"/>
            <w:color w:val="auto"/>
          </w:rPr>
          <w:t>https://www.thisismoney.co.uk/money/bills/article-12038453/Tesco-Club-Card-versus-Sainsburys-Nectar-save-money.html</w:t>
        </w:r>
      </w:hyperlink>
      <w:r>
        <w:rPr>
          <w:rFonts w:ascii="Calibri" w:hAnsi="Calibri" w:cs="Calibri"/>
        </w:rPr>
        <w:t xml:space="preserve"> (Accessed: 11 July 2025).</w:t>
      </w:r>
    </w:p>
    <w:p w14:paraId="7B7F10CA" w14:textId="77777777" w:rsidR="00612D3C" w:rsidRDefault="007047D9">
      <w:pPr>
        <w:rPr>
          <w:rFonts w:ascii="Calibri" w:hAnsi="Calibri" w:cs="Calibri"/>
        </w:rPr>
      </w:pPr>
      <w:r>
        <w:rPr>
          <w:rFonts w:ascii="Calibri" w:hAnsi="Calibri" w:cs="Calibri"/>
        </w:rPr>
        <w:t>Tran, T.P., Zemanek Jr, J.E. and Sakib, M.N., 2024. Improving brand love through branded apps: is that possible?. </w:t>
      </w:r>
      <w:r>
        <w:rPr>
          <w:rFonts w:ascii="Calibri" w:hAnsi="Calibri" w:cs="Calibri"/>
          <w:i/>
          <w:iCs/>
        </w:rPr>
        <w:t>Journal of Marketing Analytics</w:t>
      </w:r>
      <w:r>
        <w:rPr>
          <w:rFonts w:ascii="Calibri" w:hAnsi="Calibri" w:cs="Calibri"/>
        </w:rPr>
        <w:t>, pp.1-21.</w:t>
      </w:r>
    </w:p>
    <w:p w14:paraId="54B4118A" w14:textId="77777777" w:rsidR="00612D3C" w:rsidRDefault="007047D9">
      <w:pPr>
        <w:rPr>
          <w:rFonts w:ascii="Calibri" w:hAnsi="Calibri" w:cs="Calibri"/>
        </w:rPr>
      </w:pPr>
      <w:r>
        <w:rPr>
          <w:rFonts w:ascii="Calibri" w:hAnsi="Calibri" w:cs="Calibri"/>
        </w:rPr>
        <w:t>Which? (2024) 'Loyalty Schemes and Member-only Price Promotions', 18 October. Available at: https://www.which.co.uk/policy-and-insight/article/loyalty-schemes-and-member-only-price-promotions-aSZot7x6p1ha (Accessed: 25 September 2026).</w:t>
      </w:r>
    </w:p>
    <w:p w14:paraId="1B11B43A" w14:textId="77777777" w:rsidR="00612D3C" w:rsidRDefault="007047D9">
      <w:pPr>
        <w:rPr>
          <w:rFonts w:ascii="Calibri" w:hAnsi="Calibri" w:cs="Calibri"/>
        </w:rPr>
      </w:pPr>
      <w:r>
        <w:rPr>
          <w:rFonts w:ascii="Calibri" w:hAnsi="Calibri" w:cs="Calibri"/>
        </w:rPr>
        <w:t>Winter, M., Guilbert, S., Wilkinson, T., Lobley, M. and Broomfield, C., 2024. Keeping the Supermarket Shelves Stocked. In </w:t>
      </w:r>
      <w:r>
        <w:rPr>
          <w:rFonts w:ascii="Calibri" w:hAnsi="Calibri" w:cs="Calibri"/>
          <w:i/>
          <w:iCs/>
        </w:rPr>
        <w:t>Feeding People in a Crisis</w:t>
      </w:r>
      <w:r>
        <w:rPr>
          <w:rFonts w:ascii="Calibri" w:hAnsi="Calibri" w:cs="Calibri"/>
        </w:rPr>
        <w:t> (pp. 35-53). Bristol University Press.</w:t>
      </w:r>
    </w:p>
    <w:p w14:paraId="113BC76D" w14:textId="77777777" w:rsidR="00612D3C" w:rsidRDefault="007047D9">
      <w:pPr>
        <w:rPr>
          <w:rFonts w:ascii="Calibri" w:hAnsi="Calibri" w:cs="Calibri"/>
        </w:rPr>
      </w:pPr>
      <w:r>
        <w:rPr>
          <w:rFonts w:ascii="Calibri" w:hAnsi="Calibri" w:cs="Calibri"/>
        </w:rPr>
        <w:t>Woiceshyn, J. and Daellenbach, U., 2018. Evaluating inductive vs deductive research in management studies: Implications for authors, editors, and reviewers. </w:t>
      </w:r>
      <w:r>
        <w:rPr>
          <w:rFonts w:ascii="Calibri" w:hAnsi="Calibri" w:cs="Calibri"/>
          <w:i/>
          <w:iCs/>
        </w:rPr>
        <w:t>Qualitative research in organizations and management: An International Journal</w:t>
      </w:r>
      <w:r>
        <w:rPr>
          <w:rFonts w:ascii="Calibri" w:hAnsi="Calibri" w:cs="Calibri"/>
        </w:rPr>
        <w:t xml:space="preserve">. </w:t>
      </w:r>
      <w:hyperlink r:id="rId37">
        <w:r>
          <w:rPr>
            <w:rStyle w:val="Hyperlink"/>
            <w:rFonts w:ascii="Calibri" w:hAnsi="Calibri" w:cs="Calibri"/>
          </w:rPr>
          <w:t>https://www.researchgate.net/profile/Jaana-Woiceshyn-2/publication/324596659_Evaluating_Inductive_versus_Deductive_Research_in_Management_Studies_Implications_for_Authors_Editors_and_Reviewers/links/5b78d9aa92851c1e121f7477/Evaluating-Inductive-versus-Deductive-Research-in-Management-Studies-Implications-for-Authors-Editors-and-Reviewers.pdf</w:t>
        </w:r>
      </w:hyperlink>
      <w:r>
        <w:rPr>
          <w:rFonts w:ascii="Calibri" w:hAnsi="Calibri" w:cs="Calibri"/>
        </w:rPr>
        <w:t> </w:t>
      </w:r>
    </w:p>
    <w:p w14:paraId="3D5E5679" w14:textId="77777777" w:rsidR="00612D3C" w:rsidRDefault="007047D9">
      <w:pPr>
        <w:rPr>
          <w:rFonts w:ascii="Calibri" w:hAnsi="Calibri" w:cs="Calibri"/>
        </w:rPr>
      </w:pPr>
      <w:r>
        <w:rPr>
          <w:rFonts w:ascii="Calibri" w:hAnsi="Calibri" w:cs="Calibri"/>
          <w:lang w:val="pl-PL"/>
        </w:rPr>
        <w:t xml:space="preserve">Wolniak, R., Stecuła, K. and Aydın, B., 2024. </w:t>
      </w:r>
      <w:r>
        <w:rPr>
          <w:rFonts w:ascii="Calibri" w:hAnsi="Calibri" w:cs="Calibri"/>
        </w:rPr>
        <w:t>Digital transformation of grocery in-store shopping-scanners, artificial intelligence, augmented reality and beyond: A review. </w:t>
      </w:r>
      <w:r>
        <w:rPr>
          <w:rFonts w:ascii="Calibri" w:hAnsi="Calibri" w:cs="Calibri"/>
          <w:i/>
          <w:iCs/>
        </w:rPr>
        <w:t>Foods</w:t>
      </w:r>
      <w:r>
        <w:rPr>
          <w:rFonts w:ascii="Calibri" w:hAnsi="Calibri" w:cs="Calibri"/>
        </w:rPr>
        <w:t>, </w:t>
      </w:r>
      <w:r>
        <w:rPr>
          <w:rFonts w:ascii="Calibri" w:hAnsi="Calibri" w:cs="Calibri"/>
          <w:i/>
          <w:iCs/>
        </w:rPr>
        <w:t>13</w:t>
      </w:r>
      <w:r>
        <w:rPr>
          <w:rFonts w:ascii="Calibri" w:hAnsi="Calibri" w:cs="Calibri"/>
        </w:rPr>
        <w:t>(18), p.2948.</w:t>
      </w:r>
    </w:p>
    <w:p w14:paraId="67282A6F" w14:textId="77777777" w:rsidR="00612D3C" w:rsidRDefault="007047D9">
      <w:pPr>
        <w:rPr>
          <w:rFonts w:ascii="Calibri" w:hAnsi="Calibri" w:cs="Calibri"/>
        </w:rPr>
      </w:pPr>
      <w:r>
        <w:rPr>
          <w:rFonts w:ascii="Calibri" w:hAnsi="Calibri" w:cs="Calibri"/>
        </w:rPr>
        <w:t>Zandi, A. and Sekhavat, Y.A., 2024. Gamification in retail: Enhancing grocery customer experience with location-based strategies. </w:t>
      </w:r>
      <w:r>
        <w:rPr>
          <w:rFonts w:ascii="Calibri" w:hAnsi="Calibri" w:cs="Calibri"/>
          <w:i/>
          <w:iCs/>
        </w:rPr>
        <w:t>International Journal of Serious Games</w:t>
      </w:r>
      <w:r>
        <w:rPr>
          <w:rFonts w:ascii="Calibri" w:hAnsi="Calibri" w:cs="Calibri"/>
        </w:rPr>
        <w:t>, </w:t>
      </w:r>
      <w:r>
        <w:rPr>
          <w:rFonts w:ascii="Calibri" w:hAnsi="Calibri" w:cs="Calibri"/>
          <w:i/>
          <w:iCs/>
        </w:rPr>
        <w:t>11</w:t>
      </w:r>
      <w:r>
        <w:rPr>
          <w:rFonts w:ascii="Calibri" w:hAnsi="Calibri" w:cs="Calibri"/>
        </w:rPr>
        <w:t>(2), p.43.</w:t>
      </w:r>
    </w:p>
    <w:p w14:paraId="0AF0D34C" w14:textId="77777777" w:rsidR="00612D3C" w:rsidRDefault="007047D9">
      <w:pPr>
        <w:rPr>
          <w:rFonts w:ascii="Calibri" w:hAnsi="Calibri" w:cs="Calibri"/>
        </w:rPr>
      </w:pPr>
      <w:r>
        <w:rPr>
          <w:rFonts w:ascii="Calibri" w:hAnsi="Calibri" w:cs="Calibri"/>
        </w:rPr>
        <w:t>Žukauskas, P., Vveinhardt, J. and Andriukaitienė, R., 2018. Philosophy and paradigm of scientific research. </w:t>
      </w:r>
      <w:r>
        <w:rPr>
          <w:rFonts w:ascii="Calibri" w:hAnsi="Calibri" w:cs="Calibri"/>
          <w:i/>
          <w:iCs/>
        </w:rPr>
        <w:t>Management culture and corporate social responsibility</w:t>
      </w:r>
      <w:r>
        <w:rPr>
          <w:rFonts w:ascii="Calibri" w:hAnsi="Calibri" w:cs="Calibri"/>
        </w:rPr>
        <w:t>, </w:t>
      </w:r>
      <w:r>
        <w:rPr>
          <w:rFonts w:ascii="Calibri" w:hAnsi="Calibri" w:cs="Calibri"/>
          <w:i/>
          <w:iCs/>
        </w:rPr>
        <w:t>121</w:t>
      </w:r>
      <w:r>
        <w:rPr>
          <w:rFonts w:ascii="Calibri" w:hAnsi="Calibri" w:cs="Calibri"/>
        </w:rPr>
        <w:t xml:space="preserve">. </w:t>
      </w:r>
      <w:hyperlink r:id="rId38">
        <w:r>
          <w:rPr>
            <w:rStyle w:val="Hyperlink"/>
            <w:rFonts w:ascii="Calibri" w:hAnsi="Calibri" w:cs="Calibri"/>
          </w:rPr>
          <w:t>https://www.intechopen.com/chapters/58890</w:t>
        </w:r>
      </w:hyperlink>
      <w:r>
        <w:rPr>
          <w:rFonts w:ascii="Calibri" w:hAnsi="Calibri" w:cs="Calibri"/>
        </w:rPr>
        <w:t> </w:t>
      </w:r>
    </w:p>
    <w:p w14:paraId="53E6BE75" w14:textId="77777777" w:rsidR="00612D3C" w:rsidRDefault="00612D3C">
      <w:pPr>
        <w:rPr>
          <w:rFonts w:ascii="Calibri" w:hAnsi="Calibri" w:cs="Calibri"/>
        </w:rPr>
      </w:pPr>
    </w:p>
    <w:p w14:paraId="56258304" w14:textId="77777777" w:rsidR="00612D3C" w:rsidRDefault="00612D3C">
      <w:pPr>
        <w:rPr>
          <w:rFonts w:ascii="Calibri" w:hAnsi="Calibri" w:cs="Calibri"/>
        </w:rPr>
      </w:pPr>
    </w:p>
    <w:p w14:paraId="78201B99" w14:textId="77777777" w:rsidR="00612D3C" w:rsidRDefault="00612D3C">
      <w:pPr>
        <w:rPr>
          <w:rFonts w:ascii="Calibri" w:hAnsi="Calibri" w:cs="Calibri"/>
        </w:rPr>
      </w:pPr>
    </w:p>
    <w:p w14:paraId="02CFB30C" w14:textId="77777777" w:rsidR="00612D3C" w:rsidRDefault="00612D3C">
      <w:pPr>
        <w:rPr>
          <w:rFonts w:ascii="Calibri" w:hAnsi="Calibri" w:cs="Calibri"/>
        </w:rPr>
      </w:pPr>
    </w:p>
    <w:p w14:paraId="75148D93" w14:textId="77777777" w:rsidR="00612D3C" w:rsidRDefault="00612D3C">
      <w:pPr>
        <w:rPr>
          <w:rFonts w:ascii="Calibri" w:hAnsi="Calibri" w:cs="Calibri"/>
        </w:rPr>
      </w:pPr>
    </w:p>
    <w:p w14:paraId="308845C7" w14:textId="77777777" w:rsidR="00612D3C" w:rsidRDefault="00612D3C">
      <w:pPr>
        <w:rPr>
          <w:rFonts w:ascii="Calibri" w:hAnsi="Calibri" w:cs="Calibri"/>
        </w:rPr>
      </w:pPr>
    </w:p>
    <w:p w14:paraId="76E9B9FB" w14:textId="77777777" w:rsidR="00612D3C" w:rsidRDefault="00612D3C">
      <w:pPr>
        <w:rPr>
          <w:rFonts w:ascii="Calibri" w:hAnsi="Calibri" w:cs="Calibri"/>
        </w:rPr>
      </w:pPr>
    </w:p>
    <w:p w14:paraId="7F90D874" w14:textId="77777777" w:rsidR="00612D3C" w:rsidRDefault="00612D3C">
      <w:pPr>
        <w:rPr>
          <w:rFonts w:ascii="Calibri" w:hAnsi="Calibri" w:cs="Calibri"/>
        </w:rPr>
      </w:pPr>
    </w:p>
    <w:p w14:paraId="72CCC729" w14:textId="77777777" w:rsidR="00612D3C" w:rsidRDefault="00612D3C">
      <w:pPr>
        <w:rPr>
          <w:rFonts w:ascii="Calibri" w:hAnsi="Calibri" w:cs="Calibri"/>
        </w:rPr>
      </w:pPr>
    </w:p>
    <w:p w14:paraId="350154D3" w14:textId="77777777" w:rsidR="00612D3C" w:rsidRDefault="00612D3C">
      <w:pPr>
        <w:rPr>
          <w:rFonts w:ascii="Calibri" w:hAnsi="Calibri" w:cs="Calibri"/>
        </w:rPr>
      </w:pPr>
    </w:p>
    <w:p w14:paraId="0F1FEFE8" w14:textId="77777777" w:rsidR="00612D3C" w:rsidRDefault="00612D3C">
      <w:pPr>
        <w:rPr>
          <w:rFonts w:ascii="Calibri" w:hAnsi="Calibri" w:cs="Calibri"/>
        </w:rPr>
      </w:pPr>
    </w:p>
    <w:p w14:paraId="5743552C" w14:textId="77777777" w:rsidR="00612D3C" w:rsidRDefault="00612D3C">
      <w:pPr>
        <w:rPr>
          <w:rFonts w:ascii="Calibri" w:hAnsi="Calibri" w:cs="Calibri"/>
        </w:rPr>
      </w:pPr>
    </w:p>
    <w:p w14:paraId="4D27542C" w14:textId="77777777" w:rsidR="00612D3C" w:rsidRDefault="00612D3C">
      <w:pPr>
        <w:rPr>
          <w:rFonts w:ascii="Calibri" w:hAnsi="Calibri" w:cs="Calibri"/>
        </w:rPr>
      </w:pPr>
    </w:p>
    <w:p w14:paraId="78D4F7FE" w14:textId="77777777" w:rsidR="00612D3C" w:rsidRDefault="00612D3C">
      <w:pPr>
        <w:rPr>
          <w:rFonts w:ascii="Calibri" w:hAnsi="Calibri" w:cs="Calibri"/>
        </w:rPr>
      </w:pPr>
    </w:p>
    <w:p w14:paraId="1D3ACD94" w14:textId="77777777" w:rsidR="00612D3C" w:rsidRDefault="007047D9">
      <w:pPr>
        <w:pStyle w:val="Heading1"/>
        <w:rPr>
          <w:rFonts w:ascii="Calibri" w:hAnsi="Calibri" w:cs="Calibri"/>
        </w:rPr>
      </w:pPr>
      <w:bookmarkStart w:id="44" w:name="_Toc240835823"/>
      <w:r>
        <w:rPr>
          <w:rFonts w:ascii="Calibri" w:hAnsi="Calibri" w:cs="Calibri"/>
        </w:rPr>
        <w:t>Appendix</w:t>
      </w:r>
      <w:bookmarkEnd w:id="44"/>
    </w:p>
    <w:p w14:paraId="73ED5571" w14:textId="77777777" w:rsidR="00612D3C" w:rsidRDefault="007047D9">
      <w:pPr>
        <w:pStyle w:val="Heading2"/>
        <w:rPr>
          <w:rFonts w:ascii="Calibri" w:hAnsi="Calibri" w:cs="Calibri"/>
        </w:rPr>
      </w:pPr>
      <w:bookmarkStart w:id="45" w:name="_Toc240835824"/>
      <w:r>
        <w:rPr>
          <w:rFonts w:ascii="Calibri" w:hAnsi="Calibri" w:cs="Calibri"/>
        </w:rPr>
        <w:t>Survey Questionnaire</w:t>
      </w:r>
      <w:bookmarkEnd w:id="45"/>
    </w:p>
    <w:p w14:paraId="72F3D678" w14:textId="77777777" w:rsidR="00612D3C" w:rsidRDefault="007047D9">
      <w:pPr>
        <w:jc w:val="center"/>
        <w:rPr>
          <w:rFonts w:ascii="Calibri" w:hAnsi="Calibri" w:cs="Calibri"/>
          <w:b/>
          <w:bCs/>
        </w:rPr>
      </w:pPr>
      <w:r>
        <w:rPr>
          <w:rFonts w:ascii="Calibri" w:hAnsi="Calibri" w:cs="Calibri"/>
          <w:b/>
          <w:bCs/>
        </w:rPr>
        <w:t>Investigating the Impact of Loyalty Apps on Customer Retention in UK shopping centre – A Case of Tesco</w:t>
      </w:r>
    </w:p>
    <w:p w14:paraId="0F77B48E" w14:textId="77777777" w:rsidR="00612D3C" w:rsidRDefault="007047D9">
      <w:pPr>
        <w:rPr>
          <w:rFonts w:ascii="Calibri" w:hAnsi="Calibri" w:cs="Calibri"/>
          <w:b/>
          <w:bCs/>
        </w:rPr>
      </w:pPr>
      <w:r>
        <w:rPr>
          <w:rFonts w:ascii="Calibri" w:hAnsi="Calibri" w:cs="Calibri"/>
          <w:b/>
          <w:bCs/>
        </w:rPr>
        <w:t>Purpose of the Study:</w:t>
      </w:r>
    </w:p>
    <w:p w14:paraId="7E5661E8" w14:textId="77777777" w:rsidR="00612D3C" w:rsidRDefault="007047D9">
      <w:pPr>
        <w:rPr>
          <w:rFonts w:ascii="Calibri" w:hAnsi="Calibri" w:cs="Calibri"/>
        </w:rPr>
      </w:pPr>
      <w:r>
        <w:rPr>
          <w:rFonts w:ascii="Calibri" w:hAnsi="Calibri" w:cs="Calibri"/>
        </w:rPr>
        <w:t>You are invited to take part in a research study being conducted as part of a Master’s dissertation project. This study aims to understand how features of the Tesco Clubcard app influence customer satisfaction, engagement, and retention. The findings will help assess the effectiveness of digital loyalty tools in modern retail environments.</w:t>
      </w:r>
    </w:p>
    <w:p w14:paraId="52F6F592" w14:textId="77777777" w:rsidR="00612D3C" w:rsidRDefault="007047D9">
      <w:pPr>
        <w:rPr>
          <w:rFonts w:ascii="Calibri" w:hAnsi="Calibri" w:cs="Calibri"/>
          <w:b/>
          <w:bCs/>
        </w:rPr>
      </w:pPr>
      <w:r>
        <w:rPr>
          <w:rFonts w:ascii="Calibri" w:hAnsi="Calibri" w:cs="Calibri"/>
          <w:b/>
          <w:bCs/>
        </w:rPr>
        <w:t>What Does Participation Involve?</w:t>
      </w:r>
    </w:p>
    <w:p w14:paraId="6737B848" w14:textId="77777777" w:rsidR="00612D3C" w:rsidRDefault="007047D9">
      <w:pPr>
        <w:rPr>
          <w:rFonts w:ascii="Calibri" w:hAnsi="Calibri" w:cs="Calibri"/>
        </w:rPr>
      </w:pPr>
      <w:r>
        <w:rPr>
          <w:rFonts w:ascii="Calibri" w:hAnsi="Calibri" w:cs="Calibri"/>
        </w:rPr>
        <w:t>This questionnaire contains 13 short questions, including 3 on basic demographics and 10 on your experiences and opinions about using the Tesco Clubcard app. It should take no more than 5 minutes to complete.</w:t>
      </w:r>
    </w:p>
    <w:p w14:paraId="5FA57E9E" w14:textId="77777777" w:rsidR="00612D3C" w:rsidRDefault="007047D9">
      <w:pPr>
        <w:rPr>
          <w:rFonts w:ascii="Calibri" w:hAnsi="Calibri" w:cs="Calibri"/>
          <w:b/>
          <w:bCs/>
        </w:rPr>
      </w:pPr>
      <w:r>
        <w:rPr>
          <w:rFonts w:ascii="Calibri" w:hAnsi="Calibri" w:cs="Calibri"/>
          <w:b/>
          <w:bCs/>
        </w:rPr>
        <w:t>Confidentiality and Data Use:</w:t>
      </w:r>
    </w:p>
    <w:p w14:paraId="6AF752C8" w14:textId="77777777" w:rsidR="00612D3C" w:rsidRDefault="007047D9">
      <w:pPr>
        <w:numPr>
          <w:ilvl w:val="0"/>
          <w:numId w:val="3"/>
        </w:numPr>
        <w:spacing w:line="259" w:lineRule="auto"/>
        <w:rPr>
          <w:rFonts w:ascii="Calibri" w:hAnsi="Calibri" w:cs="Calibri"/>
        </w:rPr>
      </w:pPr>
      <w:r>
        <w:rPr>
          <w:rFonts w:ascii="Calibri" w:hAnsi="Calibri" w:cs="Calibri"/>
        </w:rPr>
        <w:t>Your responses will remain anonymous and confidential.</w:t>
      </w:r>
    </w:p>
    <w:p w14:paraId="2D2FA543" w14:textId="77777777" w:rsidR="00612D3C" w:rsidRDefault="007047D9">
      <w:pPr>
        <w:numPr>
          <w:ilvl w:val="0"/>
          <w:numId w:val="3"/>
        </w:numPr>
        <w:spacing w:line="259" w:lineRule="auto"/>
        <w:rPr>
          <w:rFonts w:ascii="Calibri" w:hAnsi="Calibri" w:cs="Calibri"/>
        </w:rPr>
      </w:pPr>
      <w:r>
        <w:rPr>
          <w:rFonts w:ascii="Calibri" w:hAnsi="Calibri" w:cs="Calibri"/>
        </w:rPr>
        <w:t>No personally identifiable information will be collected.</w:t>
      </w:r>
    </w:p>
    <w:p w14:paraId="17E3D6AE" w14:textId="77777777" w:rsidR="00612D3C" w:rsidRDefault="007047D9">
      <w:pPr>
        <w:numPr>
          <w:ilvl w:val="0"/>
          <w:numId w:val="3"/>
        </w:numPr>
        <w:spacing w:line="259" w:lineRule="auto"/>
        <w:rPr>
          <w:rFonts w:ascii="Calibri" w:hAnsi="Calibri" w:cs="Calibri"/>
        </w:rPr>
      </w:pPr>
      <w:r>
        <w:rPr>
          <w:rFonts w:ascii="Calibri" w:hAnsi="Calibri" w:cs="Calibri"/>
        </w:rPr>
        <w:t>Data will be used solely for academic research purposes and will not be shared with any third party.</w:t>
      </w:r>
    </w:p>
    <w:p w14:paraId="1AAF94CD" w14:textId="77777777" w:rsidR="00612D3C" w:rsidRDefault="007047D9">
      <w:pPr>
        <w:numPr>
          <w:ilvl w:val="0"/>
          <w:numId w:val="3"/>
        </w:numPr>
        <w:spacing w:line="259" w:lineRule="auto"/>
        <w:rPr>
          <w:rFonts w:ascii="Calibri" w:hAnsi="Calibri" w:cs="Calibri"/>
        </w:rPr>
      </w:pPr>
      <w:r>
        <w:rPr>
          <w:rFonts w:ascii="Calibri" w:hAnsi="Calibri" w:cs="Calibri"/>
        </w:rPr>
        <w:t>All data will be stored securely in accordance with data protection and GDPR guidelines.</w:t>
      </w:r>
    </w:p>
    <w:p w14:paraId="5CEC29CE" w14:textId="77777777" w:rsidR="00612D3C" w:rsidRDefault="007047D9">
      <w:pPr>
        <w:rPr>
          <w:rFonts w:ascii="Calibri" w:hAnsi="Calibri" w:cs="Calibri"/>
          <w:b/>
          <w:bCs/>
        </w:rPr>
      </w:pPr>
      <w:r>
        <w:rPr>
          <w:rFonts w:ascii="Calibri" w:hAnsi="Calibri" w:cs="Calibri"/>
          <w:b/>
          <w:bCs/>
        </w:rPr>
        <w:t>Voluntary Participation and Withdrawal:</w:t>
      </w:r>
    </w:p>
    <w:p w14:paraId="6B0C998D" w14:textId="77777777" w:rsidR="00612D3C" w:rsidRDefault="007047D9">
      <w:pPr>
        <w:numPr>
          <w:ilvl w:val="0"/>
          <w:numId w:val="4"/>
        </w:numPr>
        <w:spacing w:line="259" w:lineRule="auto"/>
        <w:rPr>
          <w:rFonts w:ascii="Calibri" w:hAnsi="Calibri" w:cs="Calibri"/>
        </w:rPr>
      </w:pPr>
      <w:r>
        <w:rPr>
          <w:rFonts w:ascii="Calibri" w:hAnsi="Calibri" w:cs="Calibri"/>
        </w:rPr>
        <w:t>Participation is entirely voluntary.</w:t>
      </w:r>
    </w:p>
    <w:p w14:paraId="5D6BAEA2" w14:textId="77777777" w:rsidR="00612D3C" w:rsidRDefault="007047D9">
      <w:pPr>
        <w:numPr>
          <w:ilvl w:val="0"/>
          <w:numId w:val="4"/>
        </w:numPr>
        <w:spacing w:line="259" w:lineRule="auto"/>
        <w:rPr>
          <w:rFonts w:ascii="Calibri" w:hAnsi="Calibri" w:cs="Calibri"/>
        </w:rPr>
      </w:pPr>
      <w:r>
        <w:rPr>
          <w:rFonts w:ascii="Calibri" w:hAnsi="Calibri" w:cs="Calibri"/>
        </w:rPr>
        <w:t>You may choose not to participate or to exit the survey at any point before submission without any consequence.</w:t>
      </w:r>
    </w:p>
    <w:p w14:paraId="071752CC" w14:textId="77777777" w:rsidR="00612D3C" w:rsidRDefault="007047D9">
      <w:pPr>
        <w:rPr>
          <w:rFonts w:ascii="Calibri" w:hAnsi="Calibri" w:cs="Calibri"/>
          <w:b/>
          <w:bCs/>
        </w:rPr>
      </w:pPr>
      <w:r>
        <w:rPr>
          <w:rFonts w:ascii="Calibri" w:hAnsi="Calibri" w:cs="Calibri"/>
          <w:b/>
          <w:bCs/>
        </w:rPr>
        <w:t>Eligibility:</w:t>
      </w:r>
    </w:p>
    <w:p w14:paraId="24D01CB3" w14:textId="77777777" w:rsidR="00612D3C" w:rsidRDefault="007047D9">
      <w:pPr>
        <w:rPr>
          <w:rFonts w:ascii="Calibri" w:hAnsi="Calibri" w:cs="Calibri"/>
        </w:rPr>
      </w:pPr>
      <w:r>
        <w:rPr>
          <w:rFonts w:ascii="Calibri" w:hAnsi="Calibri" w:cs="Calibri"/>
        </w:rPr>
        <w:t>To participate, you must:</w:t>
      </w:r>
    </w:p>
    <w:p w14:paraId="5EE9C888" w14:textId="77777777" w:rsidR="00612D3C" w:rsidRDefault="007047D9">
      <w:pPr>
        <w:numPr>
          <w:ilvl w:val="0"/>
          <w:numId w:val="5"/>
        </w:numPr>
        <w:spacing w:line="259" w:lineRule="auto"/>
        <w:rPr>
          <w:rFonts w:ascii="Calibri" w:hAnsi="Calibri" w:cs="Calibri"/>
        </w:rPr>
      </w:pPr>
      <w:r>
        <w:rPr>
          <w:rFonts w:ascii="Calibri" w:hAnsi="Calibri" w:cs="Calibri"/>
        </w:rPr>
        <w:t>Be 18 years or older</w:t>
      </w:r>
    </w:p>
    <w:p w14:paraId="49BEEA83" w14:textId="77777777" w:rsidR="00612D3C" w:rsidRDefault="007047D9">
      <w:pPr>
        <w:numPr>
          <w:ilvl w:val="0"/>
          <w:numId w:val="5"/>
        </w:numPr>
        <w:spacing w:line="259" w:lineRule="auto"/>
        <w:rPr>
          <w:rFonts w:ascii="Calibri" w:hAnsi="Calibri" w:cs="Calibri"/>
        </w:rPr>
      </w:pPr>
      <w:r>
        <w:rPr>
          <w:rFonts w:ascii="Calibri" w:hAnsi="Calibri" w:cs="Calibri"/>
        </w:rPr>
        <w:t>Be a Tesco customer in the UK</w:t>
      </w:r>
    </w:p>
    <w:p w14:paraId="3C378D04" w14:textId="77777777" w:rsidR="00612D3C" w:rsidRDefault="007047D9">
      <w:pPr>
        <w:numPr>
          <w:ilvl w:val="0"/>
          <w:numId w:val="5"/>
        </w:numPr>
        <w:spacing w:line="259" w:lineRule="auto"/>
        <w:rPr>
          <w:rFonts w:ascii="Calibri" w:hAnsi="Calibri" w:cs="Calibri"/>
        </w:rPr>
      </w:pPr>
      <w:r>
        <w:rPr>
          <w:rFonts w:ascii="Calibri" w:hAnsi="Calibri" w:cs="Calibri"/>
        </w:rPr>
        <w:t>Have used the Tesco Clubcard app at least once in the past 12 months</w:t>
      </w:r>
    </w:p>
    <w:p w14:paraId="3A299BBC" w14:textId="77777777" w:rsidR="00612D3C" w:rsidRDefault="007047D9">
      <w:pPr>
        <w:rPr>
          <w:rFonts w:ascii="Calibri" w:hAnsi="Calibri" w:cs="Calibri"/>
          <w:b/>
          <w:bCs/>
        </w:rPr>
      </w:pPr>
      <w:r>
        <w:rPr>
          <w:rFonts w:ascii="Calibri" w:hAnsi="Calibri" w:cs="Calibri"/>
          <w:b/>
          <w:bCs/>
        </w:rPr>
        <w:t>Consent Statement:</w:t>
      </w:r>
    </w:p>
    <w:p w14:paraId="6948477F" w14:textId="77777777" w:rsidR="00612D3C" w:rsidRDefault="007047D9">
      <w:pPr>
        <w:rPr>
          <w:rFonts w:ascii="Calibri" w:hAnsi="Calibri" w:cs="Calibri"/>
        </w:rPr>
      </w:pPr>
      <w:r>
        <w:rPr>
          <w:rFonts w:ascii="Calibri" w:hAnsi="Calibri" w:cs="Calibri"/>
        </w:rPr>
        <w:t>By proceeding with this survey, you confirm that:</w:t>
      </w:r>
    </w:p>
    <w:p w14:paraId="14EBC8ED" w14:textId="77777777" w:rsidR="00612D3C" w:rsidRDefault="007047D9">
      <w:pPr>
        <w:numPr>
          <w:ilvl w:val="0"/>
          <w:numId w:val="6"/>
        </w:numPr>
        <w:spacing w:line="259" w:lineRule="auto"/>
        <w:rPr>
          <w:rFonts w:ascii="Calibri" w:hAnsi="Calibri" w:cs="Calibri"/>
        </w:rPr>
      </w:pPr>
      <w:r>
        <w:rPr>
          <w:rFonts w:ascii="Calibri" w:hAnsi="Calibri" w:cs="Calibri"/>
        </w:rPr>
        <w:t>You have read and understood this information</w:t>
      </w:r>
    </w:p>
    <w:p w14:paraId="3487F441" w14:textId="77777777" w:rsidR="00612D3C" w:rsidRDefault="007047D9">
      <w:pPr>
        <w:numPr>
          <w:ilvl w:val="0"/>
          <w:numId w:val="6"/>
        </w:numPr>
        <w:spacing w:line="259" w:lineRule="auto"/>
        <w:rPr>
          <w:rFonts w:ascii="Calibri" w:hAnsi="Calibri" w:cs="Calibri"/>
        </w:rPr>
      </w:pPr>
      <w:r>
        <w:rPr>
          <w:rFonts w:ascii="Calibri" w:hAnsi="Calibri" w:cs="Calibri"/>
        </w:rPr>
        <w:t>You voluntarily agree to participate</w:t>
      </w:r>
    </w:p>
    <w:p w14:paraId="5EB23861" w14:textId="77777777" w:rsidR="00612D3C" w:rsidRDefault="007047D9">
      <w:pPr>
        <w:numPr>
          <w:ilvl w:val="0"/>
          <w:numId w:val="6"/>
        </w:numPr>
        <w:spacing w:line="259" w:lineRule="auto"/>
        <w:rPr>
          <w:rFonts w:ascii="Calibri" w:hAnsi="Calibri" w:cs="Calibri"/>
        </w:rPr>
      </w:pPr>
      <w:r>
        <w:rPr>
          <w:rFonts w:ascii="Calibri" w:hAnsi="Calibri" w:cs="Calibri"/>
        </w:rPr>
        <w:t>You meet the eligibility criteria</w:t>
      </w:r>
    </w:p>
    <w:p w14:paraId="7629C81D" w14:textId="77777777" w:rsidR="00612D3C" w:rsidRDefault="00612D3C">
      <w:pPr>
        <w:rPr>
          <w:rFonts w:ascii="Calibri" w:hAnsi="Calibri" w:cs="Calibri"/>
          <w:b/>
          <w:bCs/>
        </w:rPr>
      </w:pPr>
    </w:p>
    <w:p w14:paraId="3BEEE96F" w14:textId="77777777" w:rsidR="00612D3C" w:rsidRDefault="00612D3C">
      <w:pPr>
        <w:rPr>
          <w:rFonts w:ascii="Calibri" w:hAnsi="Calibri" w:cs="Calibri"/>
          <w:b/>
          <w:bCs/>
        </w:rPr>
      </w:pPr>
    </w:p>
    <w:p w14:paraId="577E2C8D" w14:textId="77777777" w:rsidR="00612D3C" w:rsidRDefault="007047D9">
      <w:pPr>
        <w:rPr>
          <w:rFonts w:ascii="Calibri" w:hAnsi="Calibri" w:cs="Calibri"/>
          <w:b/>
          <w:bCs/>
          <w:sz w:val="28"/>
        </w:rPr>
      </w:pPr>
      <w:r>
        <w:rPr>
          <w:rFonts w:ascii="Calibri" w:hAnsi="Calibri" w:cs="Calibri"/>
          <w:b/>
          <w:bCs/>
          <w:sz w:val="28"/>
        </w:rPr>
        <w:t xml:space="preserve">Demographic Questions </w:t>
      </w:r>
    </w:p>
    <w:p w14:paraId="1E800646" w14:textId="77777777" w:rsidR="00612D3C" w:rsidRDefault="007047D9">
      <w:pPr>
        <w:numPr>
          <w:ilvl w:val="0"/>
          <w:numId w:val="2"/>
        </w:numPr>
        <w:spacing w:line="259" w:lineRule="auto"/>
        <w:rPr>
          <w:rFonts w:ascii="Calibri" w:hAnsi="Calibri" w:cs="Calibri"/>
        </w:rPr>
      </w:pPr>
      <w:r>
        <w:rPr>
          <w:rFonts w:ascii="Calibri" w:hAnsi="Calibri" w:cs="Calibri"/>
          <w:b/>
          <w:bCs/>
        </w:rPr>
        <w:t>What is your age group?</w:t>
      </w:r>
    </w:p>
    <w:p w14:paraId="307D783C" w14:textId="77777777" w:rsidR="00612D3C" w:rsidRDefault="007047D9">
      <w:pPr>
        <w:numPr>
          <w:ilvl w:val="1"/>
          <w:numId w:val="2"/>
        </w:numPr>
        <w:spacing w:line="276" w:lineRule="auto"/>
        <w:rPr>
          <w:rFonts w:ascii="Calibri" w:hAnsi="Calibri" w:cs="Calibri"/>
        </w:rPr>
      </w:pPr>
      <w:r>
        <w:rPr>
          <w:rFonts w:ascii="Calibri" w:hAnsi="Calibri" w:cs="Calibri"/>
        </w:rPr>
        <w:t>18–24</w:t>
      </w:r>
    </w:p>
    <w:p w14:paraId="587A503D" w14:textId="77777777" w:rsidR="00612D3C" w:rsidRDefault="007047D9">
      <w:pPr>
        <w:numPr>
          <w:ilvl w:val="1"/>
          <w:numId w:val="2"/>
        </w:numPr>
        <w:spacing w:line="276" w:lineRule="auto"/>
        <w:rPr>
          <w:rFonts w:ascii="Calibri" w:hAnsi="Calibri" w:cs="Calibri"/>
        </w:rPr>
      </w:pPr>
      <w:r>
        <w:rPr>
          <w:rFonts w:ascii="Calibri" w:hAnsi="Calibri" w:cs="Calibri"/>
        </w:rPr>
        <w:t>25–34</w:t>
      </w:r>
    </w:p>
    <w:p w14:paraId="67652812" w14:textId="77777777" w:rsidR="00612D3C" w:rsidRDefault="007047D9">
      <w:pPr>
        <w:numPr>
          <w:ilvl w:val="1"/>
          <w:numId w:val="2"/>
        </w:numPr>
        <w:spacing w:line="276" w:lineRule="auto"/>
        <w:rPr>
          <w:rFonts w:ascii="Calibri" w:hAnsi="Calibri" w:cs="Calibri"/>
        </w:rPr>
      </w:pPr>
      <w:r>
        <w:rPr>
          <w:rFonts w:ascii="Calibri" w:hAnsi="Calibri" w:cs="Calibri"/>
        </w:rPr>
        <w:t>35–44</w:t>
      </w:r>
    </w:p>
    <w:p w14:paraId="2EBF3AAB" w14:textId="77777777" w:rsidR="00612D3C" w:rsidRDefault="007047D9">
      <w:pPr>
        <w:numPr>
          <w:ilvl w:val="1"/>
          <w:numId w:val="2"/>
        </w:numPr>
        <w:spacing w:line="276" w:lineRule="auto"/>
        <w:rPr>
          <w:rFonts w:ascii="Calibri" w:hAnsi="Calibri" w:cs="Calibri"/>
        </w:rPr>
      </w:pPr>
      <w:r>
        <w:rPr>
          <w:rFonts w:ascii="Calibri" w:hAnsi="Calibri" w:cs="Calibri"/>
        </w:rPr>
        <w:t>45–54</w:t>
      </w:r>
    </w:p>
    <w:p w14:paraId="793A7CD2" w14:textId="77777777" w:rsidR="00612D3C" w:rsidRDefault="007047D9">
      <w:pPr>
        <w:numPr>
          <w:ilvl w:val="1"/>
          <w:numId w:val="2"/>
        </w:numPr>
        <w:spacing w:line="276" w:lineRule="auto"/>
        <w:rPr>
          <w:rFonts w:ascii="Calibri" w:hAnsi="Calibri" w:cs="Calibri"/>
        </w:rPr>
      </w:pPr>
      <w:r>
        <w:rPr>
          <w:rFonts w:ascii="Calibri" w:hAnsi="Calibri" w:cs="Calibri"/>
        </w:rPr>
        <w:t>55+</w:t>
      </w:r>
    </w:p>
    <w:p w14:paraId="53D38829" w14:textId="77777777" w:rsidR="00612D3C" w:rsidRDefault="007047D9">
      <w:pPr>
        <w:numPr>
          <w:ilvl w:val="0"/>
          <w:numId w:val="2"/>
        </w:numPr>
        <w:spacing w:line="259" w:lineRule="auto"/>
        <w:rPr>
          <w:rFonts w:ascii="Calibri" w:hAnsi="Calibri" w:cs="Calibri"/>
        </w:rPr>
      </w:pPr>
      <w:r>
        <w:rPr>
          <w:rFonts w:ascii="Calibri" w:hAnsi="Calibri" w:cs="Calibri"/>
          <w:b/>
          <w:bCs/>
        </w:rPr>
        <w:t>What is your gender?</w:t>
      </w:r>
    </w:p>
    <w:p w14:paraId="751B811B" w14:textId="77777777" w:rsidR="00612D3C" w:rsidRDefault="007047D9">
      <w:pPr>
        <w:numPr>
          <w:ilvl w:val="1"/>
          <w:numId w:val="2"/>
        </w:numPr>
        <w:spacing w:line="259" w:lineRule="auto"/>
        <w:rPr>
          <w:rFonts w:ascii="Calibri" w:hAnsi="Calibri" w:cs="Calibri"/>
        </w:rPr>
      </w:pPr>
      <w:r>
        <w:rPr>
          <w:rFonts w:ascii="Calibri" w:hAnsi="Calibri" w:cs="Calibri"/>
        </w:rPr>
        <w:t>Male</w:t>
      </w:r>
    </w:p>
    <w:p w14:paraId="3B34DE72" w14:textId="77777777" w:rsidR="00612D3C" w:rsidRDefault="007047D9">
      <w:pPr>
        <w:numPr>
          <w:ilvl w:val="1"/>
          <w:numId w:val="2"/>
        </w:numPr>
        <w:spacing w:line="259" w:lineRule="auto"/>
        <w:rPr>
          <w:rFonts w:ascii="Calibri" w:hAnsi="Calibri" w:cs="Calibri"/>
        </w:rPr>
      </w:pPr>
      <w:r>
        <w:rPr>
          <w:rFonts w:ascii="Calibri" w:hAnsi="Calibri" w:cs="Calibri"/>
        </w:rPr>
        <w:t>Female</w:t>
      </w:r>
    </w:p>
    <w:p w14:paraId="76469BFE" w14:textId="77777777" w:rsidR="00612D3C" w:rsidRDefault="007047D9">
      <w:pPr>
        <w:numPr>
          <w:ilvl w:val="1"/>
          <w:numId w:val="2"/>
        </w:numPr>
        <w:spacing w:line="259" w:lineRule="auto"/>
        <w:rPr>
          <w:rFonts w:ascii="Calibri" w:hAnsi="Calibri" w:cs="Calibri"/>
        </w:rPr>
      </w:pPr>
      <w:r>
        <w:rPr>
          <w:rFonts w:ascii="Calibri" w:hAnsi="Calibri" w:cs="Calibri"/>
        </w:rPr>
        <w:t>Non-binary</w:t>
      </w:r>
    </w:p>
    <w:p w14:paraId="0DDB64A6" w14:textId="77777777" w:rsidR="00612D3C" w:rsidRDefault="007047D9">
      <w:pPr>
        <w:numPr>
          <w:ilvl w:val="1"/>
          <w:numId w:val="2"/>
        </w:numPr>
        <w:spacing w:line="259" w:lineRule="auto"/>
        <w:rPr>
          <w:rFonts w:ascii="Calibri" w:hAnsi="Calibri" w:cs="Calibri"/>
        </w:rPr>
      </w:pPr>
      <w:r>
        <w:rPr>
          <w:rFonts w:ascii="Calibri" w:hAnsi="Calibri" w:cs="Calibri"/>
        </w:rPr>
        <w:t>Prefer not to say</w:t>
      </w:r>
    </w:p>
    <w:p w14:paraId="34B0F412" w14:textId="77777777" w:rsidR="00612D3C" w:rsidRDefault="007047D9">
      <w:pPr>
        <w:pStyle w:val="NormalWeb"/>
        <w:numPr>
          <w:ilvl w:val="0"/>
          <w:numId w:val="2"/>
        </w:numPr>
        <w:spacing w:before="280" w:after="280"/>
        <w:rPr>
          <w:rFonts w:ascii="Calibri" w:hAnsi="Calibri" w:cs="Calibri"/>
        </w:rPr>
      </w:pPr>
      <w:r>
        <w:rPr>
          <w:rStyle w:val="Strong"/>
          <w:rFonts w:ascii="Calibri" w:hAnsi="Calibri" w:cs="Calibri"/>
        </w:rPr>
        <w:t>How frequently do you shop at Tesco compared with other grocery retailers?</w:t>
      </w:r>
    </w:p>
    <w:p w14:paraId="0390201F" w14:textId="77777777" w:rsidR="00612D3C" w:rsidRDefault="007047D9">
      <w:pPr>
        <w:pStyle w:val="NormalWeb"/>
        <w:numPr>
          <w:ilvl w:val="0"/>
          <w:numId w:val="7"/>
        </w:numPr>
        <w:spacing w:before="280" w:after="0"/>
        <w:rPr>
          <w:rFonts w:ascii="Calibri" w:hAnsi="Calibri" w:cs="Calibri"/>
        </w:rPr>
      </w:pPr>
      <w:r>
        <w:rPr>
          <w:rFonts w:ascii="Calibri" w:hAnsi="Calibri" w:cs="Calibri"/>
        </w:rPr>
        <w:t>Less than once per month</w:t>
      </w:r>
    </w:p>
    <w:p w14:paraId="4B2D06F9" w14:textId="77777777" w:rsidR="00612D3C" w:rsidRDefault="007047D9">
      <w:pPr>
        <w:pStyle w:val="NormalWeb"/>
        <w:numPr>
          <w:ilvl w:val="0"/>
          <w:numId w:val="7"/>
        </w:numPr>
        <w:spacing w:after="0"/>
        <w:rPr>
          <w:rFonts w:ascii="Calibri" w:hAnsi="Calibri" w:cs="Calibri"/>
        </w:rPr>
      </w:pPr>
      <w:r>
        <w:rPr>
          <w:rFonts w:ascii="Calibri" w:hAnsi="Calibri" w:cs="Calibri"/>
        </w:rPr>
        <w:t>1-5 times per month</w:t>
      </w:r>
    </w:p>
    <w:p w14:paraId="197163C3" w14:textId="77777777" w:rsidR="00612D3C" w:rsidRDefault="007047D9">
      <w:pPr>
        <w:pStyle w:val="NormalWeb"/>
        <w:numPr>
          <w:ilvl w:val="0"/>
          <w:numId w:val="7"/>
        </w:numPr>
        <w:spacing w:after="0"/>
        <w:rPr>
          <w:rFonts w:ascii="Calibri" w:hAnsi="Calibri" w:cs="Calibri"/>
        </w:rPr>
      </w:pPr>
      <w:r>
        <w:rPr>
          <w:rFonts w:ascii="Calibri" w:hAnsi="Calibri" w:cs="Calibri"/>
        </w:rPr>
        <w:t>6-10 times per month</w:t>
      </w:r>
    </w:p>
    <w:p w14:paraId="2E0CF97F" w14:textId="77777777" w:rsidR="00612D3C" w:rsidRDefault="007047D9">
      <w:pPr>
        <w:pStyle w:val="NormalWeb"/>
        <w:numPr>
          <w:ilvl w:val="0"/>
          <w:numId w:val="7"/>
        </w:numPr>
        <w:spacing w:after="0"/>
        <w:rPr>
          <w:rFonts w:ascii="Calibri" w:hAnsi="Calibri" w:cs="Calibri"/>
        </w:rPr>
      </w:pPr>
      <w:r>
        <w:rPr>
          <w:rFonts w:ascii="Calibri" w:hAnsi="Calibri" w:cs="Calibri"/>
        </w:rPr>
        <w:t>11-15 times per month</w:t>
      </w:r>
    </w:p>
    <w:p w14:paraId="42CC45D1" w14:textId="77777777" w:rsidR="00612D3C" w:rsidRDefault="007047D9">
      <w:pPr>
        <w:pStyle w:val="NormalWeb"/>
        <w:numPr>
          <w:ilvl w:val="0"/>
          <w:numId w:val="7"/>
        </w:numPr>
        <w:spacing w:after="0"/>
        <w:rPr>
          <w:rFonts w:ascii="Calibri" w:hAnsi="Calibri" w:cs="Calibri"/>
        </w:rPr>
      </w:pPr>
      <w:r>
        <w:rPr>
          <w:rFonts w:ascii="Calibri" w:hAnsi="Calibri" w:cs="Calibri"/>
        </w:rPr>
        <w:t>16-20 times per month</w:t>
      </w:r>
    </w:p>
    <w:p w14:paraId="319F441C" w14:textId="77777777" w:rsidR="00612D3C" w:rsidRDefault="007047D9">
      <w:pPr>
        <w:pStyle w:val="NormalWeb"/>
        <w:numPr>
          <w:ilvl w:val="0"/>
          <w:numId w:val="7"/>
        </w:numPr>
        <w:spacing w:after="280"/>
        <w:rPr>
          <w:rFonts w:ascii="Calibri" w:hAnsi="Calibri" w:cs="Calibri"/>
        </w:rPr>
      </w:pPr>
      <w:r>
        <w:rPr>
          <w:rFonts w:ascii="Calibri" w:hAnsi="Calibri" w:cs="Calibri"/>
        </w:rPr>
        <w:t>More than 21 times per month</w:t>
      </w:r>
    </w:p>
    <w:p w14:paraId="4604B033" w14:textId="77777777" w:rsidR="00612D3C" w:rsidRDefault="007047D9">
      <w:pPr>
        <w:pStyle w:val="NormalWeb"/>
        <w:numPr>
          <w:ilvl w:val="0"/>
          <w:numId w:val="2"/>
        </w:numPr>
        <w:spacing w:before="280" w:after="280"/>
        <w:rPr>
          <w:rFonts w:ascii="Calibri" w:hAnsi="Calibri" w:cs="Calibri"/>
        </w:rPr>
      </w:pPr>
      <w:r>
        <w:rPr>
          <w:rStyle w:val="Strong"/>
          <w:rFonts w:ascii="Calibri" w:hAnsi="Calibri" w:cs="Calibri"/>
        </w:rPr>
        <w:t>How likely are you to use the Tesco Clubcard app for purchasing from Tesco?</w:t>
      </w:r>
    </w:p>
    <w:p w14:paraId="3CE8800D" w14:textId="77777777" w:rsidR="00612D3C" w:rsidRDefault="007047D9">
      <w:pPr>
        <w:pStyle w:val="NormalWeb"/>
        <w:numPr>
          <w:ilvl w:val="0"/>
          <w:numId w:val="8"/>
        </w:numPr>
        <w:spacing w:before="280" w:after="0"/>
        <w:rPr>
          <w:rFonts w:ascii="Calibri" w:hAnsi="Calibri" w:cs="Calibri"/>
        </w:rPr>
      </w:pPr>
      <w:r>
        <w:rPr>
          <w:rFonts w:ascii="Calibri" w:hAnsi="Calibri" w:cs="Calibri"/>
        </w:rPr>
        <w:t>Always (every shopping trip)</w:t>
      </w:r>
    </w:p>
    <w:p w14:paraId="3E853F4D" w14:textId="77777777" w:rsidR="00612D3C" w:rsidRDefault="007047D9">
      <w:pPr>
        <w:pStyle w:val="NormalWeb"/>
        <w:numPr>
          <w:ilvl w:val="0"/>
          <w:numId w:val="8"/>
        </w:numPr>
        <w:spacing w:after="0"/>
        <w:rPr>
          <w:rFonts w:ascii="Calibri" w:hAnsi="Calibri" w:cs="Calibri"/>
        </w:rPr>
      </w:pPr>
      <w:r>
        <w:rPr>
          <w:rFonts w:ascii="Calibri" w:hAnsi="Calibri" w:cs="Calibri"/>
        </w:rPr>
        <w:t>Frequently (most shopping trips)</w:t>
      </w:r>
    </w:p>
    <w:p w14:paraId="18DA38E1" w14:textId="77777777" w:rsidR="00612D3C" w:rsidRDefault="007047D9">
      <w:pPr>
        <w:pStyle w:val="NormalWeb"/>
        <w:numPr>
          <w:ilvl w:val="0"/>
          <w:numId w:val="8"/>
        </w:numPr>
        <w:spacing w:after="0"/>
        <w:rPr>
          <w:rFonts w:ascii="Calibri" w:hAnsi="Calibri" w:cs="Calibri"/>
        </w:rPr>
      </w:pPr>
      <w:r>
        <w:rPr>
          <w:rFonts w:ascii="Calibri" w:hAnsi="Calibri" w:cs="Calibri"/>
        </w:rPr>
        <w:t>Occasionally (some shopping trips)</w:t>
      </w:r>
    </w:p>
    <w:p w14:paraId="06C4C34B" w14:textId="77777777" w:rsidR="00612D3C" w:rsidRDefault="007047D9">
      <w:pPr>
        <w:pStyle w:val="NormalWeb"/>
        <w:numPr>
          <w:ilvl w:val="0"/>
          <w:numId w:val="8"/>
        </w:numPr>
        <w:spacing w:after="0"/>
        <w:rPr>
          <w:rFonts w:ascii="Calibri" w:hAnsi="Calibri" w:cs="Calibri"/>
        </w:rPr>
      </w:pPr>
      <w:r>
        <w:rPr>
          <w:rFonts w:ascii="Calibri" w:hAnsi="Calibri" w:cs="Calibri"/>
        </w:rPr>
        <w:t>Rarely (few shopping trips)</w:t>
      </w:r>
    </w:p>
    <w:p w14:paraId="4584C686" w14:textId="77777777" w:rsidR="00612D3C" w:rsidRDefault="007047D9">
      <w:pPr>
        <w:pStyle w:val="NormalWeb"/>
        <w:numPr>
          <w:ilvl w:val="0"/>
          <w:numId w:val="8"/>
        </w:numPr>
        <w:spacing w:after="280"/>
        <w:rPr>
          <w:rFonts w:ascii="Calibri" w:hAnsi="Calibri" w:cs="Calibri"/>
        </w:rPr>
      </w:pPr>
      <w:r>
        <w:rPr>
          <w:rFonts w:ascii="Calibri" w:hAnsi="Calibri" w:cs="Calibri"/>
        </w:rPr>
        <w:t>Never</w:t>
      </w:r>
    </w:p>
    <w:p w14:paraId="11C0D7F4" w14:textId="77777777" w:rsidR="00612D3C" w:rsidRDefault="007047D9">
      <w:pPr>
        <w:rPr>
          <w:rFonts w:ascii="Calibri" w:hAnsi="Calibri" w:cs="Calibri"/>
          <w:b/>
          <w:bCs/>
          <w:sz w:val="28"/>
        </w:rPr>
      </w:pPr>
      <w:r>
        <w:rPr>
          <w:rFonts w:ascii="Calibri" w:hAnsi="Calibri" w:cs="Calibri"/>
          <w:b/>
          <w:bCs/>
          <w:sz w:val="28"/>
        </w:rPr>
        <w:t xml:space="preserve">App Usage and Perceptions </w:t>
      </w:r>
    </w:p>
    <w:p w14:paraId="2E2953E1" w14:textId="77777777" w:rsidR="00612D3C" w:rsidRDefault="007047D9">
      <w:pPr>
        <w:rPr>
          <w:rFonts w:ascii="Calibri" w:hAnsi="Calibri" w:cs="Calibri"/>
          <w:i/>
          <w:iCs/>
        </w:rPr>
      </w:pPr>
      <w:r>
        <w:rPr>
          <w:rFonts w:ascii="Calibri" w:hAnsi="Calibri" w:cs="Calibri"/>
          <w:i/>
          <w:iCs/>
        </w:rPr>
        <w:t>(All on a 5-point Likert scale: Strongly Disagree – Disagree – Neutral – Agree – Strongly Agree)</w:t>
      </w:r>
    </w:p>
    <w:tbl>
      <w:tblPr>
        <w:tblStyle w:val="TableGrid"/>
        <w:tblW w:w="9016" w:type="dxa"/>
        <w:tblLayout w:type="fixed"/>
        <w:tblLook w:val="04A0" w:firstRow="1" w:lastRow="0" w:firstColumn="1" w:lastColumn="0" w:noHBand="0" w:noVBand="1"/>
      </w:tblPr>
      <w:tblGrid>
        <w:gridCol w:w="5574"/>
        <w:gridCol w:w="707"/>
        <w:gridCol w:w="647"/>
        <w:gridCol w:w="649"/>
        <w:gridCol w:w="648"/>
        <w:gridCol w:w="791"/>
      </w:tblGrid>
      <w:tr w:rsidR="00612D3C" w14:paraId="3E0418A7" w14:textId="77777777">
        <w:trPr>
          <w:cantSplit/>
          <w:trHeight w:val="1134"/>
        </w:trPr>
        <w:tc>
          <w:tcPr>
            <w:tcW w:w="5574" w:type="dxa"/>
          </w:tcPr>
          <w:p w14:paraId="0283A6F9" w14:textId="77777777" w:rsidR="00612D3C" w:rsidRDefault="00612D3C">
            <w:pPr>
              <w:spacing w:after="0"/>
              <w:rPr>
                <w:rFonts w:ascii="Calibri" w:hAnsi="Calibri" w:cs="Calibri"/>
              </w:rPr>
            </w:pPr>
          </w:p>
        </w:tc>
        <w:tc>
          <w:tcPr>
            <w:tcW w:w="707" w:type="dxa"/>
            <w:textDirection w:val="btLr"/>
          </w:tcPr>
          <w:p w14:paraId="0FA955D5" w14:textId="77777777" w:rsidR="00612D3C" w:rsidRDefault="007047D9">
            <w:pPr>
              <w:spacing w:after="0" w:line="240" w:lineRule="auto"/>
              <w:ind w:left="113" w:right="113"/>
              <w:rPr>
                <w:rFonts w:ascii="Calibri" w:hAnsi="Calibri" w:cs="Calibri"/>
              </w:rPr>
            </w:pPr>
            <w:r>
              <w:rPr>
                <w:rFonts w:ascii="Calibri" w:eastAsia="Calibri" w:hAnsi="Calibri" w:cs="Calibri"/>
                <w:kern w:val="0"/>
              </w:rPr>
              <w:t>Strongly Disagree</w:t>
            </w:r>
          </w:p>
        </w:tc>
        <w:tc>
          <w:tcPr>
            <w:tcW w:w="647" w:type="dxa"/>
            <w:textDirection w:val="btLr"/>
          </w:tcPr>
          <w:p w14:paraId="6E4E88C5" w14:textId="77777777" w:rsidR="00612D3C" w:rsidRDefault="007047D9">
            <w:pPr>
              <w:spacing w:after="0" w:line="240" w:lineRule="auto"/>
              <w:ind w:left="113" w:right="113"/>
              <w:rPr>
                <w:rFonts w:ascii="Calibri" w:hAnsi="Calibri" w:cs="Calibri"/>
              </w:rPr>
            </w:pPr>
            <w:r>
              <w:rPr>
                <w:rFonts w:ascii="Calibri" w:eastAsia="Calibri" w:hAnsi="Calibri" w:cs="Calibri"/>
                <w:kern w:val="0"/>
              </w:rPr>
              <w:t>Disagree</w:t>
            </w:r>
          </w:p>
        </w:tc>
        <w:tc>
          <w:tcPr>
            <w:tcW w:w="649" w:type="dxa"/>
            <w:textDirection w:val="btLr"/>
          </w:tcPr>
          <w:p w14:paraId="55E1EDD8" w14:textId="77777777" w:rsidR="00612D3C" w:rsidRDefault="007047D9">
            <w:pPr>
              <w:spacing w:after="0" w:line="240" w:lineRule="auto"/>
              <w:ind w:left="113" w:right="113"/>
              <w:rPr>
                <w:rFonts w:ascii="Calibri" w:hAnsi="Calibri" w:cs="Calibri"/>
              </w:rPr>
            </w:pPr>
            <w:r>
              <w:rPr>
                <w:rFonts w:ascii="Calibri" w:eastAsia="Calibri" w:hAnsi="Calibri" w:cs="Calibri"/>
                <w:kern w:val="0"/>
              </w:rPr>
              <w:t>Neutral</w:t>
            </w:r>
          </w:p>
        </w:tc>
        <w:tc>
          <w:tcPr>
            <w:tcW w:w="648" w:type="dxa"/>
            <w:textDirection w:val="btLr"/>
          </w:tcPr>
          <w:p w14:paraId="576E501C" w14:textId="77777777" w:rsidR="00612D3C" w:rsidRDefault="007047D9">
            <w:pPr>
              <w:spacing w:after="0" w:line="240" w:lineRule="auto"/>
              <w:ind w:left="113" w:right="113"/>
              <w:rPr>
                <w:rFonts w:ascii="Calibri" w:hAnsi="Calibri" w:cs="Calibri"/>
              </w:rPr>
            </w:pPr>
            <w:r>
              <w:rPr>
                <w:rFonts w:ascii="Calibri" w:eastAsia="Calibri" w:hAnsi="Calibri" w:cs="Calibri"/>
                <w:kern w:val="0"/>
              </w:rPr>
              <w:t>Agree</w:t>
            </w:r>
          </w:p>
        </w:tc>
        <w:tc>
          <w:tcPr>
            <w:tcW w:w="791" w:type="dxa"/>
            <w:textDirection w:val="btLr"/>
          </w:tcPr>
          <w:p w14:paraId="3E041771" w14:textId="77777777" w:rsidR="00612D3C" w:rsidRDefault="007047D9">
            <w:pPr>
              <w:spacing w:after="0" w:line="240" w:lineRule="auto"/>
              <w:ind w:left="113" w:right="113"/>
              <w:rPr>
                <w:rFonts w:ascii="Calibri" w:hAnsi="Calibri" w:cs="Calibri"/>
              </w:rPr>
            </w:pPr>
            <w:r>
              <w:rPr>
                <w:rFonts w:ascii="Calibri" w:eastAsia="Calibri" w:hAnsi="Calibri" w:cs="Calibri"/>
                <w:kern w:val="0"/>
              </w:rPr>
              <w:t>Strongly Agree</w:t>
            </w:r>
          </w:p>
        </w:tc>
      </w:tr>
      <w:tr w:rsidR="00612D3C" w14:paraId="322B28A5" w14:textId="77777777">
        <w:tc>
          <w:tcPr>
            <w:tcW w:w="5574" w:type="dxa"/>
          </w:tcPr>
          <w:p w14:paraId="3E3286E6" w14:textId="77777777" w:rsidR="00612D3C" w:rsidRDefault="007047D9">
            <w:pPr>
              <w:spacing w:after="0"/>
              <w:rPr>
                <w:rFonts w:ascii="Calibri" w:hAnsi="Calibri" w:cs="Calibri"/>
              </w:rPr>
            </w:pPr>
            <w:r>
              <w:rPr>
                <w:rFonts w:ascii="Calibri" w:eastAsia="Calibri" w:hAnsi="Calibri" w:cs="Calibri"/>
                <w:kern w:val="0"/>
              </w:rPr>
              <w:t>5. The Tesco Clubcard app is easy to use and navigate.</w:t>
            </w:r>
          </w:p>
        </w:tc>
        <w:tc>
          <w:tcPr>
            <w:tcW w:w="707" w:type="dxa"/>
          </w:tcPr>
          <w:p w14:paraId="336E034B" w14:textId="77777777" w:rsidR="00612D3C" w:rsidRDefault="00612D3C">
            <w:pPr>
              <w:spacing w:after="0"/>
              <w:rPr>
                <w:rFonts w:ascii="Calibri" w:hAnsi="Calibri" w:cs="Calibri"/>
              </w:rPr>
            </w:pPr>
          </w:p>
        </w:tc>
        <w:tc>
          <w:tcPr>
            <w:tcW w:w="647" w:type="dxa"/>
          </w:tcPr>
          <w:p w14:paraId="1E8110A4" w14:textId="77777777" w:rsidR="00612D3C" w:rsidRDefault="00612D3C">
            <w:pPr>
              <w:spacing w:after="0"/>
              <w:rPr>
                <w:rFonts w:ascii="Calibri" w:hAnsi="Calibri" w:cs="Calibri"/>
              </w:rPr>
            </w:pPr>
          </w:p>
        </w:tc>
        <w:tc>
          <w:tcPr>
            <w:tcW w:w="649" w:type="dxa"/>
          </w:tcPr>
          <w:p w14:paraId="5868267D" w14:textId="77777777" w:rsidR="00612D3C" w:rsidRDefault="00612D3C">
            <w:pPr>
              <w:spacing w:after="0"/>
              <w:rPr>
                <w:rFonts w:ascii="Calibri" w:hAnsi="Calibri" w:cs="Calibri"/>
              </w:rPr>
            </w:pPr>
          </w:p>
        </w:tc>
        <w:tc>
          <w:tcPr>
            <w:tcW w:w="648" w:type="dxa"/>
          </w:tcPr>
          <w:p w14:paraId="2E996B1E" w14:textId="77777777" w:rsidR="00612D3C" w:rsidRDefault="00612D3C">
            <w:pPr>
              <w:spacing w:after="0"/>
              <w:rPr>
                <w:rFonts w:ascii="Calibri" w:hAnsi="Calibri" w:cs="Calibri"/>
              </w:rPr>
            </w:pPr>
          </w:p>
        </w:tc>
        <w:tc>
          <w:tcPr>
            <w:tcW w:w="791" w:type="dxa"/>
          </w:tcPr>
          <w:p w14:paraId="4EAF3258" w14:textId="77777777" w:rsidR="00612D3C" w:rsidRDefault="00612D3C">
            <w:pPr>
              <w:spacing w:after="0"/>
              <w:rPr>
                <w:rFonts w:ascii="Calibri" w:hAnsi="Calibri" w:cs="Calibri"/>
              </w:rPr>
            </w:pPr>
          </w:p>
        </w:tc>
      </w:tr>
      <w:tr w:rsidR="00612D3C" w14:paraId="2AD8A8D8" w14:textId="77777777">
        <w:tc>
          <w:tcPr>
            <w:tcW w:w="5574" w:type="dxa"/>
          </w:tcPr>
          <w:p w14:paraId="3CC31124" w14:textId="77777777" w:rsidR="00612D3C" w:rsidRDefault="007047D9">
            <w:pPr>
              <w:spacing w:after="0"/>
              <w:rPr>
                <w:rFonts w:ascii="Calibri" w:hAnsi="Calibri" w:cs="Calibri"/>
              </w:rPr>
            </w:pPr>
            <w:r>
              <w:rPr>
                <w:rFonts w:ascii="Calibri" w:eastAsia="Calibri" w:hAnsi="Calibri" w:cs="Calibri"/>
                <w:kern w:val="0"/>
              </w:rPr>
              <w:t>6. I find the Tesco Clubcard app useful in managing my grocery shopping.</w:t>
            </w:r>
          </w:p>
        </w:tc>
        <w:tc>
          <w:tcPr>
            <w:tcW w:w="707" w:type="dxa"/>
          </w:tcPr>
          <w:p w14:paraId="22756BB2" w14:textId="77777777" w:rsidR="00612D3C" w:rsidRDefault="00612D3C">
            <w:pPr>
              <w:spacing w:after="0"/>
              <w:rPr>
                <w:rFonts w:ascii="Calibri" w:hAnsi="Calibri" w:cs="Calibri"/>
              </w:rPr>
            </w:pPr>
          </w:p>
        </w:tc>
        <w:tc>
          <w:tcPr>
            <w:tcW w:w="647" w:type="dxa"/>
          </w:tcPr>
          <w:p w14:paraId="0DB1486F" w14:textId="77777777" w:rsidR="00612D3C" w:rsidRDefault="00612D3C">
            <w:pPr>
              <w:spacing w:after="0"/>
              <w:rPr>
                <w:rFonts w:ascii="Calibri" w:hAnsi="Calibri" w:cs="Calibri"/>
              </w:rPr>
            </w:pPr>
          </w:p>
        </w:tc>
        <w:tc>
          <w:tcPr>
            <w:tcW w:w="649" w:type="dxa"/>
          </w:tcPr>
          <w:p w14:paraId="653489B6" w14:textId="77777777" w:rsidR="00612D3C" w:rsidRDefault="00612D3C">
            <w:pPr>
              <w:spacing w:after="0"/>
              <w:rPr>
                <w:rFonts w:ascii="Calibri" w:hAnsi="Calibri" w:cs="Calibri"/>
              </w:rPr>
            </w:pPr>
          </w:p>
        </w:tc>
        <w:tc>
          <w:tcPr>
            <w:tcW w:w="648" w:type="dxa"/>
          </w:tcPr>
          <w:p w14:paraId="2B93FE95" w14:textId="77777777" w:rsidR="00612D3C" w:rsidRDefault="00612D3C">
            <w:pPr>
              <w:spacing w:after="0"/>
              <w:rPr>
                <w:rFonts w:ascii="Calibri" w:hAnsi="Calibri" w:cs="Calibri"/>
              </w:rPr>
            </w:pPr>
          </w:p>
        </w:tc>
        <w:tc>
          <w:tcPr>
            <w:tcW w:w="791" w:type="dxa"/>
          </w:tcPr>
          <w:p w14:paraId="679A7072" w14:textId="77777777" w:rsidR="00612D3C" w:rsidRDefault="00612D3C">
            <w:pPr>
              <w:spacing w:after="0"/>
              <w:rPr>
                <w:rFonts w:ascii="Calibri" w:hAnsi="Calibri" w:cs="Calibri"/>
              </w:rPr>
            </w:pPr>
          </w:p>
        </w:tc>
      </w:tr>
      <w:tr w:rsidR="00612D3C" w14:paraId="4830C2E5" w14:textId="77777777">
        <w:tc>
          <w:tcPr>
            <w:tcW w:w="5574" w:type="dxa"/>
          </w:tcPr>
          <w:p w14:paraId="54D241BB" w14:textId="77777777" w:rsidR="00612D3C" w:rsidRDefault="007047D9">
            <w:pPr>
              <w:spacing w:after="0"/>
              <w:rPr>
                <w:rFonts w:ascii="Calibri" w:hAnsi="Calibri" w:cs="Calibri"/>
              </w:rPr>
            </w:pPr>
            <w:r>
              <w:rPr>
                <w:rFonts w:ascii="Calibri" w:eastAsia="Calibri" w:hAnsi="Calibri" w:cs="Calibri"/>
                <w:kern w:val="0"/>
              </w:rPr>
              <w:t>7. The app provides relevant and personalised offers based on my shopping behaviour.</w:t>
            </w:r>
          </w:p>
        </w:tc>
        <w:tc>
          <w:tcPr>
            <w:tcW w:w="707" w:type="dxa"/>
          </w:tcPr>
          <w:p w14:paraId="213085EB" w14:textId="77777777" w:rsidR="00612D3C" w:rsidRDefault="00612D3C">
            <w:pPr>
              <w:spacing w:after="0"/>
              <w:rPr>
                <w:rFonts w:ascii="Calibri" w:hAnsi="Calibri" w:cs="Calibri"/>
              </w:rPr>
            </w:pPr>
          </w:p>
        </w:tc>
        <w:tc>
          <w:tcPr>
            <w:tcW w:w="647" w:type="dxa"/>
          </w:tcPr>
          <w:p w14:paraId="5D8E39D3" w14:textId="77777777" w:rsidR="00612D3C" w:rsidRDefault="00612D3C">
            <w:pPr>
              <w:spacing w:after="0"/>
              <w:rPr>
                <w:rFonts w:ascii="Calibri" w:hAnsi="Calibri" w:cs="Calibri"/>
              </w:rPr>
            </w:pPr>
          </w:p>
        </w:tc>
        <w:tc>
          <w:tcPr>
            <w:tcW w:w="649" w:type="dxa"/>
          </w:tcPr>
          <w:p w14:paraId="344D28FF" w14:textId="77777777" w:rsidR="00612D3C" w:rsidRDefault="00612D3C">
            <w:pPr>
              <w:spacing w:after="0"/>
              <w:rPr>
                <w:rFonts w:ascii="Calibri" w:hAnsi="Calibri" w:cs="Calibri"/>
              </w:rPr>
            </w:pPr>
          </w:p>
        </w:tc>
        <w:tc>
          <w:tcPr>
            <w:tcW w:w="648" w:type="dxa"/>
          </w:tcPr>
          <w:p w14:paraId="0F2A9435" w14:textId="77777777" w:rsidR="00612D3C" w:rsidRDefault="00612D3C">
            <w:pPr>
              <w:spacing w:after="0"/>
              <w:rPr>
                <w:rFonts w:ascii="Calibri" w:hAnsi="Calibri" w:cs="Calibri"/>
              </w:rPr>
            </w:pPr>
          </w:p>
        </w:tc>
        <w:tc>
          <w:tcPr>
            <w:tcW w:w="791" w:type="dxa"/>
          </w:tcPr>
          <w:p w14:paraId="6F84795C" w14:textId="77777777" w:rsidR="00612D3C" w:rsidRDefault="00612D3C">
            <w:pPr>
              <w:spacing w:after="0"/>
              <w:rPr>
                <w:rFonts w:ascii="Calibri" w:hAnsi="Calibri" w:cs="Calibri"/>
              </w:rPr>
            </w:pPr>
          </w:p>
        </w:tc>
      </w:tr>
      <w:tr w:rsidR="00612D3C" w14:paraId="7740B125" w14:textId="77777777">
        <w:tc>
          <w:tcPr>
            <w:tcW w:w="5574" w:type="dxa"/>
          </w:tcPr>
          <w:p w14:paraId="11B1AA6E" w14:textId="77777777" w:rsidR="00612D3C" w:rsidRDefault="007047D9">
            <w:pPr>
              <w:spacing w:after="0"/>
              <w:rPr>
                <w:rFonts w:ascii="Calibri" w:hAnsi="Calibri" w:cs="Calibri"/>
              </w:rPr>
            </w:pPr>
            <w:r>
              <w:rPr>
                <w:rFonts w:ascii="Calibri" w:eastAsia="Calibri" w:hAnsi="Calibri" w:cs="Calibri"/>
                <w:kern w:val="0"/>
              </w:rPr>
              <w:t>8. The rewards and discounts offered through the Clubcard app are attractive and valuable.</w:t>
            </w:r>
          </w:p>
        </w:tc>
        <w:tc>
          <w:tcPr>
            <w:tcW w:w="707" w:type="dxa"/>
          </w:tcPr>
          <w:p w14:paraId="67E3EC44" w14:textId="77777777" w:rsidR="00612D3C" w:rsidRDefault="00612D3C">
            <w:pPr>
              <w:spacing w:after="0"/>
              <w:rPr>
                <w:rFonts w:ascii="Calibri" w:hAnsi="Calibri" w:cs="Calibri"/>
              </w:rPr>
            </w:pPr>
          </w:p>
        </w:tc>
        <w:tc>
          <w:tcPr>
            <w:tcW w:w="647" w:type="dxa"/>
          </w:tcPr>
          <w:p w14:paraId="2DEBD049" w14:textId="77777777" w:rsidR="00612D3C" w:rsidRDefault="00612D3C">
            <w:pPr>
              <w:spacing w:after="0"/>
              <w:rPr>
                <w:rFonts w:ascii="Calibri" w:hAnsi="Calibri" w:cs="Calibri"/>
              </w:rPr>
            </w:pPr>
          </w:p>
        </w:tc>
        <w:tc>
          <w:tcPr>
            <w:tcW w:w="649" w:type="dxa"/>
          </w:tcPr>
          <w:p w14:paraId="4AA2435B" w14:textId="77777777" w:rsidR="00612D3C" w:rsidRDefault="00612D3C">
            <w:pPr>
              <w:spacing w:after="0"/>
              <w:rPr>
                <w:rFonts w:ascii="Calibri" w:hAnsi="Calibri" w:cs="Calibri"/>
              </w:rPr>
            </w:pPr>
          </w:p>
        </w:tc>
        <w:tc>
          <w:tcPr>
            <w:tcW w:w="648" w:type="dxa"/>
          </w:tcPr>
          <w:p w14:paraId="4DFED4CC" w14:textId="77777777" w:rsidR="00612D3C" w:rsidRDefault="00612D3C">
            <w:pPr>
              <w:spacing w:after="0"/>
              <w:rPr>
                <w:rFonts w:ascii="Calibri" w:hAnsi="Calibri" w:cs="Calibri"/>
              </w:rPr>
            </w:pPr>
          </w:p>
        </w:tc>
        <w:tc>
          <w:tcPr>
            <w:tcW w:w="791" w:type="dxa"/>
          </w:tcPr>
          <w:p w14:paraId="44366EAD" w14:textId="77777777" w:rsidR="00612D3C" w:rsidRDefault="00612D3C">
            <w:pPr>
              <w:spacing w:after="0"/>
              <w:rPr>
                <w:rFonts w:ascii="Calibri" w:hAnsi="Calibri" w:cs="Calibri"/>
              </w:rPr>
            </w:pPr>
          </w:p>
        </w:tc>
      </w:tr>
      <w:tr w:rsidR="00612D3C" w14:paraId="7D0BF1AF" w14:textId="77777777">
        <w:tc>
          <w:tcPr>
            <w:tcW w:w="5574" w:type="dxa"/>
          </w:tcPr>
          <w:p w14:paraId="07D8D187" w14:textId="77777777" w:rsidR="00612D3C" w:rsidRDefault="007047D9">
            <w:pPr>
              <w:spacing w:after="0"/>
              <w:rPr>
                <w:rFonts w:ascii="Calibri" w:hAnsi="Calibri" w:cs="Calibri"/>
              </w:rPr>
            </w:pPr>
            <w:r>
              <w:rPr>
                <w:rFonts w:ascii="Calibri" w:eastAsia="Calibri" w:hAnsi="Calibri" w:cs="Calibri"/>
                <w:kern w:val="0"/>
              </w:rPr>
              <w:t>9. The gamified or interactive features (e.g. points tracking, badges, challenges) make the app more engaging.</w:t>
            </w:r>
          </w:p>
        </w:tc>
        <w:tc>
          <w:tcPr>
            <w:tcW w:w="707" w:type="dxa"/>
          </w:tcPr>
          <w:p w14:paraId="23EAEFE7" w14:textId="77777777" w:rsidR="00612D3C" w:rsidRDefault="00612D3C">
            <w:pPr>
              <w:spacing w:after="0"/>
              <w:rPr>
                <w:rFonts w:ascii="Calibri" w:hAnsi="Calibri" w:cs="Calibri"/>
              </w:rPr>
            </w:pPr>
          </w:p>
        </w:tc>
        <w:tc>
          <w:tcPr>
            <w:tcW w:w="647" w:type="dxa"/>
          </w:tcPr>
          <w:p w14:paraId="07022BD1" w14:textId="77777777" w:rsidR="00612D3C" w:rsidRDefault="00612D3C">
            <w:pPr>
              <w:spacing w:after="0"/>
              <w:rPr>
                <w:rFonts w:ascii="Calibri" w:hAnsi="Calibri" w:cs="Calibri"/>
              </w:rPr>
            </w:pPr>
          </w:p>
        </w:tc>
        <w:tc>
          <w:tcPr>
            <w:tcW w:w="649" w:type="dxa"/>
          </w:tcPr>
          <w:p w14:paraId="79579B8F" w14:textId="77777777" w:rsidR="00612D3C" w:rsidRDefault="00612D3C">
            <w:pPr>
              <w:spacing w:after="0"/>
              <w:rPr>
                <w:rFonts w:ascii="Calibri" w:hAnsi="Calibri" w:cs="Calibri"/>
              </w:rPr>
            </w:pPr>
          </w:p>
        </w:tc>
        <w:tc>
          <w:tcPr>
            <w:tcW w:w="648" w:type="dxa"/>
          </w:tcPr>
          <w:p w14:paraId="30F7A45A" w14:textId="77777777" w:rsidR="00612D3C" w:rsidRDefault="00612D3C">
            <w:pPr>
              <w:spacing w:after="0"/>
              <w:rPr>
                <w:rFonts w:ascii="Calibri" w:hAnsi="Calibri" w:cs="Calibri"/>
              </w:rPr>
            </w:pPr>
          </w:p>
        </w:tc>
        <w:tc>
          <w:tcPr>
            <w:tcW w:w="791" w:type="dxa"/>
          </w:tcPr>
          <w:p w14:paraId="2768DDA6" w14:textId="77777777" w:rsidR="00612D3C" w:rsidRDefault="00612D3C">
            <w:pPr>
              <w:spacing w:after="0"/>
              <w:rPr>
                <w:rFonts w:ascii="Calibri" w:hAnsi="Calibri" w:cs="Calibri"/>
              </w:rPr>
            </w:pPr>
          </w:p>
        </w:tc>
      </w:tr>
      <w:tr w:rsidR="00612D3C" w14:paraId="35CD2428" w14:textId="77777777">
        <w:tc>
          <w:tcPr>
            <w:tcW w:w="5574" w:type="dxa"/>
          </w:tcPr>
          <w:p w14:paraId="4E43B23F" w14:textId="77777777" w:rsidR="00612D3C" w:rsidRDefault="007047D9">
            <w:pPr>
              <w:spacing w:after="0"/>
              <w:rPr>
                <w:rFonts w:ascii="Calibri" w:hAnsi="Calibri" w:cs="Calibri"/>
              </w:rPr>
            </w:pPr>
            <w:r>
              <w:rPr>
                <w:rFonts w:ascii="Calibri" w:eastAsia="Calibri" w:hAnsi="Calibri" w:cs="Calibri"/>
                <w:kern w:val="0"/>
              </w:rPr>
              <w:t>10. Push notifications from the Tesco app are timely and encourage me to revisit the store or app.</w:t>
            </w:r>
          </w:p>
        </w:tc>
        <w:tc>
          <w:tcPr>
            <w:tcW w:w="707" w:type="dxa"/>
          </w:tcPr>
          <w:p w14:paraId="1619F57A" w14:textId="77777777" w:rsidR="00612D3C" w:rsidRDefault="00612D3C">
            <w:pPr>
              <w:spacing w:after="0"/>
              <w:rPr>
                <w:rFonts w:ascii="Calibri" w:hAnsi="Calibri" w:cs="Calibri"/>
              </w:rPr>
            </w:pPr>
          </w:p>
        </w:tc>
        <w:tc>
          <w:tcPr>
            <w:tcW w:w="647" w:type="dxa"/>
          </w:tcPr>
          <w:p w14:paraId="7CEB13F2" w14:textId="77777777" w:rsidR="00612D3C" w:rsidRDefault="00612D3C">
            <w:pPr>
              <w:spacing w:after="0"/>
              <w:rPr>
                <w:rFonts w:ascii="Calibri" w:hAnsi="Calibri" w:cs="Calibri"/>
              </w:rPr>
            </w:pPr>
          </w:p>
        </w:tc>
        <w:tc>
          <w:tcPr>
            <w:tcW w:w="649" w:type="dxa"/>
          </w:tcPr>
          <w:p w14:paraId="616927D1" w14:textId="77777777" w:rsidR="00612D3C" w:rsidRDefault="00612D3C">
            <w:pPr>
              <w:spacing w:after="0"/>
              <w:rPr>
                <w:rFonts w:ascii="Calibri" w:hAnsi="Calibri" w:cs="Calibri"/>
              </w:rPr>
            </w:pPr>
          </w:p>
        </w:tc>
        <w:tc>
          <w:tcPr>
            <w:tcW w:w="648" w:type="dxa"/>
          </w:tcPr>
          <w:p w14:paraId="1A297557" w14:textId="77777777" w:rsidR="00612D3C" w:rsidRDefault="00612D3C">
            <w:pPr>
              <w:spacing w:after="0"/>
              <w:rPr>
                <w:rFonts w:ascii="Calibri" w:hAnsi="Calibri" w:cs="Calibri"/>
              </w:rPr>
            </w:pPr>
          </w:p>
        </w:tc>
        <w:tc>
          <w:tcPr>
            <w:tcW w:w="791" w:type="dxa"/>
          </w:tcPr>
          <w:p w14:paraId="43873A1C" w14:textId="77777777" w:rsidR="00612D3C" w:rsidRDefault="00612D3C">
            <w:pPr>
              <w:spacing w:after="0"/>
              <w:rPr>
                <w:rFonts w:ascii="Calibri" w:hAnsi="Calibri" w:cs="Calibri"/>
              </w:rPr>
            </w:pPr>
          </w:p>
        </w:tc>
      </w:tr>
      <w:tr w:rsidR="00612D3C" w14:paraId="178BF459" w14:textId="77777777">
        <w:tc>
          <w:tcPr>
            <w:tcW w:w="5574" w:type="dxa"/>
          </w:tcPr>
          <w:p w14:paraId="19F0E029" w14:textId="77777777" w:rsidR="00612D3C" w:rsidRDefault="007047D9">
            <w:pPr>
              <w:spacing w:after="0"/>
              <w:rPr>
                <w:rFonts w:ascii="Calibri" w:hAnsi="Calibri" w:cs="Calibri"/>
              </w:rPr>
            </w:pPr>
            <w:r>
              <w:rPr>
                <w:rFonts w:ascii="Calibri" w:eastAsia="Calibri" w:hAnsi="Calibri" w:cs="Calibri"/>
                <w:kern w:val="0"/>
              </w:rPr>
              <w:t>11. The app’s performance meets my expectations in terms of speed, functionality, and reliability.</w:t>
            </w:r>
          </w:p>
        </w:tc>
        <w:tc>
          <w:tcPr>
            <w:tcW w:w="707" w:type="dxa"/>
          </w:tcPr>
          <w:p w14:paraId="48D43F43" w14:textId="77777777" w:rsidR="00612D3C" w:rsidRDefault="00612D3C">
            <w:pPr>
              <w:spacing w:after="0"/>
              <w:rPr>
                <w:rFonts w:ascii="Calibri" w:hAnsi="Calibri" w:cs="Calibri"/>
              </w:rPr>
            </w:pPr>
          </w:p>
        </w:tc>
        <w:tc>
          <w:tcPr>
            <w:tcW w:w="647" w:type="dxa"/>
          </w:tcPr>
          <w:p w14:paraId="118BDA4A" w14:textId="77777777" w:rsidR="00612D3C" w:rsidRDefault="00612D3C">
            <w:pPr>
              <w:spacing w:after="0"/>
              <w:rPr>
                <w:rFonts w:ascii="Calibri" w:hAnsi="Calibri" w:cs="Calibri"/>
              </w:rPr>
            </w:pPr>
          </w:p>
        </w:tc>
        <w:tc>
          <w:tcPr>
            <w:tcW w:w="649" w:type="dxa"/>
          </w:tcPr>
          <w:p w14:paraId="3D420068" w14:textId="77777777" w:rsidR="00612D3C" w:rsidRDefault="00612D3C">
            <w:pPr>
              <w:spacing w:after="0"/>
              <w:rPr>
                <w:rFonts w:ascii="Calibri" w:hAnsi="Calibri" w:cs="Calibri"/>
              </w:rPr>
            </w:pPr>
          </w:p>
        </w:tc>
        <w:tc>
          <w:tcPr>
            <w:tcW w:w="648" w:type="dxa"/>
          </w:tcPr>
          <w:p w14:paraId="2816601D" w14:textId="77777777" w:rsidR="00612D3C" w:rsidRDefault="00612D3C">
            <w:pPr>
              <w:spacing w:after="0"/>
              <w:rPr>
                <w:rFonts w:ascii="Calibri" w:hAnsi="Calibri" w:cs="Calibri"/>
              </w:rPr>
            </w:pPr>
          </w:p>
        </w:tc>
        <w:tc>
          <w:tcPr>
            <w:tcW w:w="791" w:type="dxa"/>
          </w:tcPr>
          <w:p w14:paraId="7D71F333" w14:textId="77777777" w:rsidR="00612D3C" w:rsidRDefault="00612D3C">
            <w:pPr>
              <w:spacing w:after="0"/>
              <w:rPr>
                <w:rFonts w:ascii="Calibri" w:hAnsi="Calibri" w:cs="Calibri"/>
              </w:rPr>
            </w:pPr>
          </w:p>
        </w:tc>
      </w:tr>
      <w:tr w:rsidR="00612D3C" w14:paraId="7EB6C6C5" w14:textId="77777777">
        <w:tc>
          <w:tcPr>
            <w:tcW w:w="5574" w:type="dxa"/>
          </w:tcPr>
          <w:p w14:paraId="6F29C7BB" w14:textId="77777777" w:rsidR="00612D3C" w:rsidRDefault="007047D9">
            <w:pPr>
              <w:spacing w:after="0"/>
              <w:rPr>
                <w:rFonts w:ascii="Calibri" w:hAnsi="Calibri" w:cs="Calibri"/>
              </w:rPr>
            </w:pPr>
            <w:r>
              <w:rPr>
                <w:rFonts w:ascii="Calibri" w:eastAsia="Calibri" w:hAnsi="Calibri" w:cs="Calibri"/>
                <w:kern w:val="0"/>
              </w:rPr>
              <w:t>12. My overall experience with the Tesco Clubcard app has been satisfactory.</w:t>
            </w:r>
          </w:p>
        </w:tc>
        <w:tc>
          <w:tcPr>
            <w:tcW w:w="707" w:type="dxa"/>
          </w:tcPr>
          <w:p w14:paraId="30E04320" w14:textId="77777777" w:rsidR="00612D3C" w:rsidRDefault="00612D3C">
            <w:pPr>
              <w:spacing w:after="0"/>
              <w:rPr>
                <w:rFonts w:ascii="Calibri" w:hAnsi="Calibri" w:cs="Calibri"/>
              </w:rPr>
            </w:pPr>
          </w:p>
        </w:tc>
        <w:tc>
          <w:tcPr>
            <w:tcW w:w="647" w:type="dxa"/>
          </w:tcPr>
          <w:p w14:paraId="267BF593" w14:textId="77777777" w:rsidR="00612D3C" w:rsidRDefault="00612D3C">
            <w:pPr>
              <w:spacing w:after="0"/>
              <w:rPr>
                <w:rFonts w:ascii="Calibri" w:hAnsi="Calibri" w:cs="Calibri"/>
              </w:rPr>
            </w:pPr>
          </w:p>
        </w:tc>
        <w:tc>
          <w:tcPr>
            <w:tcW w:w="649" w:type="dxa"/>
          </w:tcPr>
          <w:p w14:paraId="7C88BECC" w14:textId="77777777" w:rsidR="00612D3C" w:rsidRDefault="00612D3C">
            <w:pPr>
              <w:spacing w:after="0"/>
              <w:rPr>
                <w:rFonts w:ascii="Calibri" w:hAnsi="Calibri" w:cs="Calibri"/>
              </w:rPr>
            </w:pPr>
          </w:p>
        </w:tc>
        <w:tc>
          <w:tcPr>
            <w:tcW w:w="648" w:type="dxa"/>
          </w:tcPr>
          <w:p w14:paraId="250C935E" w14:textId="77777777" w:rsidR="00612D3C" w:rsidRDefault="00612D3C">
            <w:pPr>
              <w:spacing w:after="0"/>
              <w:rPr>
                <w:rFonts w:ascii="Calibri" w:hAnsi="Calibri" w:cs="Calibri"/>
              </w:rPr>
            </w:pPr>
          </w:p>
        </w:tc>
        <w:tc>
          <w:tcPr>
            <w:tcW w:w="791" w:type="dxa"/>
          </w:tcPr>
          <w:p w14:paraId="6E7E4F58" w14:textId="77777777" w:rsidR="00612D3C" w:rsidRDefault="00612D3C">
            <w:pPr>
              <w:spacing w:after="0"/>
              <w:rPr>
                <w:rFonts w:ascii="Calibri" w:hAnsi="Calibri" w:cs="Calibri"/>
              </w:rPr>
            </w:pPr>
          </w:p>
        </w:tc>
      </w:tr>
      <w:tr w:rsidR="00612D3C" w14:paraId="793CA510" w14:textId="77777777">
        <w:tc>
          <w:tcPr>
            <w:tcW w:w="5574" w:type="dxa"/>
          </w:tcPr>
          <w:p w14:paraId="44F471AC" w14:textId="77777777" w:rsidR="00612D3C" w:rsidRDefault="007047D9">
            <w:pPr>
              <w:spacing w:after="0"/>
              <w:rPr>
                <w:rFonts w:ascii="Calibri" w:hAnsi="Calibri" w:cs="Calibri"/>
              </w:rPr>
            </w:pPr>
            <w:r>
              <w:rPr>
                <w:rFonts w:ascii="Calibri" w:eastAsia="Calibri" w:hAnsi="Calibri" w:cs="Calibri"/>
                <w:kern w:val="0"/>
              </w:rPr>
              <w:t>13. I am more likely to shop at Tesco because of the benefits I receive from the Clubcard app.</w:t>
            </w:r>
          </w:p>
        </w:tc>
        <w:tc>
          <w:tcPr>
            <w:tcW w:w="707" w:type="dxa"/>
          </w:tcPr>
          <w:p w14:paraId="70B9A1EF" w14:textId="77777777" w:rsidR="00612D3C" w:rsidRDefault="00612D3C">
            <w:pPr>
              <w:spacing w:after="0"/>
              <w:rPr>
                <w:rFonts w:ascii="Calibri" w:hAnsi="Calibri" w:cs="Calibri"/>
              </w:rPr>
            </w:pPr>
          </w:p>
        </w:tc>
        <w:tc>
          <w:tcPr>
            <w:tcW w:w="647" w:type="dxa"/>
          </w:tcPr>
          <w:p w14:paraId="1C862E7C" w14:textId="77777777" w:rsidR="00612D3C" w:rsidRDefault="00612D3C">
            <w:pPr>
              <w:spacing w:after="0"/>
              <w:rPr>
                <w:rFonts w:ascii="Calibri" w:hAnsi="Calibri" w:cs="Calibri"/>
              </w:rPr>
            </w:pPr>
          </w:p>
        </w:tc>
        <w:tc>
          <w:tcPr>
            <w:tcW w:w="649" w:type="dxa"/>
          </w:tcPr>
          <w:p w14:paraId="62B20AA9" w14:textId="77777777" w:rsidR="00612D3C" w:rsidRDefault="00612D3C">
            <w:pPr>
              <w:spacing w:after="0"/>
              <w:rPr>
                <w:rFonts w:ascii="Calibri" w:hAnsi="Calibri" w:cs="Calibri"/>
              </w:rPr>
            </w:pPr>
          </w:p>
        </w:tc>
        <w:tc>
          <w:tcPr>
            <w:tcW w:w="648" w:type="dxa"/>
          </w:tcPr>
          <w:p w14:paraId="634FD766" w14:textId="77777777" w:rsidR="00612D3C" w:rsidRDefault="00612D3C">
            <w:pPr>
              <w:spacing w:after="0"/>
              <w:rPr>
                <w:rFonts w:ascii="Calibri" w:hAnsi="Calibri" w:cs="Calibri"/>
              </w:rPr>
            </w:pPr>
          </w:p>
        </w:tc>
        <w:tc>
          <w:tcPr>
            <w:tcW w:w="791" w:type="dxa"/>
          </w:tcPr>
          <w:p w14:paraId="09075460" w14:textId="77777777" w:rsidR="00612D3C" w:rsidRDefault="00612D3C">
            <w:pPr>
              <w:spacing w:after="0"/>
              <w:rPr>
                <w:rFonts w:ascii="Calibri" w:hAnsi="Calibri" w:cs="Calibri"/>
              </w:rPr>
            </w:pPr>
          </w:p>
        </w:tc>
      </w:tr>
      <w:tr w:rsidR="00612D3C" w14:paraId="4CB277B3" w14:textId="77777777">
        <w:tc>
          <w:tcPr>
            <w:tcW w:w="5574" w:type="dxa"/>
          </w:tcPr>
          <w:p w14:paraId="26954DE0" w14:textId="77777777" w:rsidR="00612D3C" w:rsidRDefault="007047D9">
            <w:pPr>
              <w:spacing w:after="0"/>
              <w:rPr>
                <w:rFonts w:ascii="Calibri" w:hAnsi="Calibri" w:cs="Calibri"/>
              </w:rPr>
            </w:pPr>
            <w:r>
              <w:rPr>
                <w:rFonts w:ascii="Calibri" w:eastAsia="Calibri" w:hAnsi="Calibri" w:cs="Calibri"/>
                <w:kern w:val="0"/>
              </w:rPr>
              <w:t>14. I intend to continue using the Tesco Clubcard app in the future.</w:t>
            </w:r>
          </w:p>
        </w:tc>
        <w:tc>
          <w:tcPr>
            <w:tcW w:w="707" w:type="dxa"/>
          </w:tcPr>
          <w:p w14:paraId="48D955FA" w14:textId="77777777" w:rsidR="00612D3C" w:rsidRDefault="00612D3C">
            <w:pPr>
              <w:spacing w:after="0"/>
              <w:rPr>
                <w:rFonts w:ascii="Calibri" w:hAnsi="Calibri" w:cs="Calibri"/>
              </w:rPr>
            </w:pPr>
          </w:p>
        </w:tc>
        <w:tc>
          <w:tcPr>
            <w:tcW w:w="647" w:type="dxa"/>
          </w:tcPr>
          <w:p w14:paraId="54C43C39" w14:textId="77777777" w:rsidR="00612D3C" w:rsidRDefault="00612D3C">
            <w:pPr>
              <w:spacing w:after="0"/>
              <w:rPr>
                <w:rFonts w:ascii="Calibri" w:hAnsi="Calibri" w:cs="Calibri"/>
              </w:rPr>
            </w:pPr>
          </w:p>
        </w:tc>
        <w:tc>
          <w:tcPr>
            <w:tcW w:w="649" w:type="dxa"/>
          </w:tcPr>
          <w:p w14:paraId="07473FD6" w14:textId="77777777" w:rsidR="00612D3C" w:rsidRDefault="00612D3C">
            <w:pPr>
              <w:spacing w:after="0"/>
              <w:rPr>
                <w:rFonts w:ascii="Calibri" w:hAnsi="Calibri" w:cs="Calibri"/>
              </w:rPr>
            </w:pPr>
          </w:p>
        </w:tc>
        <w:tc>
          <w:tcPr>
            <w:tcW w:w="648" w:type="dxa"/>
          </w:tcPr>
          <w:p w14:paraId="5368A226" w14:textId="77777777" w:rsidR="00612D3C" w:rsidRDefault="00612D3C">
            <w:pPr>
              <w:spacing w:after="0"/>
              <w:rPr>
                <w:rFonts w:ascii="Calibri" w:hAnsi="Calibri" w:cs="Calibri"/>
              </w:rPr>
            </w:pPr>
          </w:p>
        </w:tc>
        <w:tc>
          <w:tcPr>
            <w:tcW w:w="791" w:type="dxa"/>
          </w:tcPr>
          <w:p w14:paraId="7021687D" w14:textId="77777777" w:rsidR="00612D3C" w:rsidRDefault="00612D3C">
            <w:pPr>
              <w:spacing w:after="0"/>
              <w:rPr>
                <w:rFonts w:ascii="Calibri" w:hAnsi="Calibri" w:cs="Calibri"/>
              </w:rPr>
            </w:pPr>
          </w:p>
        </w:tc>
      </w:tr>
    </w:tbl>
    <w:p w14:paraId="75A6E444" w14:textId="77777777" w:rsidR="00612D3C" w:rsidRDefault="00612D3C">
      <w:pPr>
        <w:rPr>
          <w:rFonts w:ascii="Calibri" w:hAnsi="Calibri" w:cs="Calibri"/>
        </w:rPr>
      </w:pPr>
    </w:p>
    <w:p w14:paraId="1E900788" w14:textId="77777777" w:rsidR="00612D3C" w:rsidRDefault="00612D3C">
      <w:pPr>
        <w:rPr>
          <w:rFonts w:ascii="Calibri" w:hAnsi="Calibri" w:cs="Calibri"/>
        </w:rPr>
      </w:pPr>
    </w:p>
    <w:p w14:paraId="167DA56E" w14:textId="77777777" w:rsidR="00612D3C" w:rsidRDefault="00612D3C">
      <w:pPr>
        <w:spacing w:after="200" w:line="276" w:lineRule="auto"/>
        <w:rPr>
          <w:rFonts w:ascii="Calibri" w:hAnsi="Calibri" w:cs="Calibri"/>
          <w:sz w:val="22"/>
          <w:szCs w:val="22"/>
          <w:u w:val="single"/>
          <w:shd w:val="clear" w:color="auto" w:fill="FFFFFF"/>
        </w:rPr>
      </w:pPr>
    </w:p>
    <w:p w14:paraId="6D402933" w14:textId="77777777" w:rsidR="00612D3C" w:rsidRDefault="00612D3C">
      <w:pPr>
        <w:rPr>
          <w:rFonts w:ascii="Calibri" w:hAnsi="Calibri" w:cs="Calibri"/>
        </w:rPr>
      </w:pPr>
    </w:p>
    <w:sectPr w:rsidR="00612D3C">
      <w:footerReference w:type="even" r:id="rId39"/>
      <w:footerReference w:type="default" r:id="rId40"/>
      <w:footerReference w:type="first" r:id="rId41"/>
      <w:pgSz w:w="11906" w:h="16838"/>
      <w:pgMar w:top="1440" w:right="1440" w:bottom="1440" w:left="1440" w:header="0" w:footer="708" w:gutter="0"/>
      <w:pgBorders w:offsetFrom="page">
        <w:top w:val="single" w:sz="4" w:space="24" w:color="000000"/>
        <w:left w:val="single" w:sz="4" w:space="24" w:color="000000"/>
        <w:bottom w:val="single" w:sz="4" w:space="24" w:color="000000"/>
        <w:right w:val="single" w:sz="4" w:space="24" w:color="000000"/>
      </w:pgBorders>
      <w:cols w:space="720"/>
      <w:formProt w:val="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8868BA6" w14:textId="77777777" w:rsidR="007047D9" w:rsidRDefault="007047D9">
      <w:pPr>
        <w:spacing w:after="0" w:line="240" w:lineRule="auto"/>
      </w:pPr>
      <w:r>
        <w:separator/>
      </w:r>
    </w:p>
  </w:endnote>
  <w:endnote w:type="continuationSeparator" w:id="0">
    <w:p w14:paraId="79B3F3FE" w14:textId="77777777" w:rsidR="007047D9" w:rsidRDefault="007047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ourier New">
    <w:panose1 w:val="02070309020205020404"/>
    <w:charset w:val="01"/>
    <w:family w:val="modern"/>
    <w:pitch w:val="fixed"/>
    <w:sig w:usb0="E0002AFF" w:usb1="C0007843" w:usb2="00000009" w:usb3="00000000" w:csb0="000001FF" w:csb1="00000000"/>
  </w:font>
  <w:font w:name="Times New Roman">
    <w:panose1 w:val="02020603050405020304"/>
    <w:charset w:val="01"/>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1"/>
    <w:family w:val="swiss"/>
    <w:pitch w:val="variable"/>
    <w:sig w:usb0="E00002FF" w:usb1="4000ACFF" w:usb2="00000001" w:usb3="00000000" w:csb0="0000019F" w:csb1="00000000"/>
  </w:font>
  <w:font w:name="SimHei">
    <w:altName w:val="黑体"/>
    <w:panose1 w:val="0201060906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Liberation Sans">
    <w:altName w:val="Arial"/>
    <w:panose1 w:val="020B0604020202020204"/>
    <w:charset w:val="01"/>
    <w:family w:val="swiss"/>
    <w:pitch w:val="variable"/>
  </w:font>
  <w:font w:name="Noto Sans">
    <w:panose1 w:val="020B0502040504020204"/>
    <w:charset w:val="00"/>
    <w:family w:val="swiss"/>
    <w:pitch w:val="variable"/>
    <w:sig w:usb0="E00082FF" w:usb1="400078FF" w:usb2="0000002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webkit-standard">
    <w:altName w:val="Cambria"/>
    <w:panose1 w:val="020B0604020202020204"/>
    <w:charset w:val="01"/>
    <w:family w:val="roman"/>
    <w:pitch w:val="variable"/>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7802C46" w14:textId="77777777" w:rsidR="00612D3C" w:rsidRDefault="00612D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769616900"/>
      <w:docPartObj>
        <w:docPartGallery w:val="Page Numbers (Top of Page)"/>
        <w:docPartUnique/>
      </w:docPartObj>
    </w:sdtPr>
    <w:sdtEndPr/>
    <w:sdtContent>
      <w:p w14:paraId="00D3F8AA" w14:textId="77777777" w:rsidR="00612D3C" w:rsidRDefault="007047D9">
        <w:pPr>
          <w:pStyle w:val="Footer"/>
          <w:jc w:val="right"/>
        </w:pPr>
        <w:r>
          <w:t xml:space="preserve">Page </w:t>
        </w:r>
        <w:r>
          <w:rPr>
            <w:b/>
            <w:bCs/>
          </w:rPr>
          <w:fldChar w:fldCharType="begin"/>
        </w:r>
        <w:r>
          <w:rPr>
            <w:b/>
            <w:bCs/>
          </w:rPr>
          <w:instrText xml:space="preserve"> PAGE </w:instrText>
        </w:r>
        <w:r>
          <w:rPr>
            <w:b/>
            <w:bCs/>
          </w:rPr>
          <w:fldChar w:fldCharType="separate"/>
        </w:r>
        <w:r>
          <w:rPr>
            <w:b/>
            <w:bCs/>
          </w:rPr>
          <w:t>69</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rPr>
          <w:t>69</w:t>
        </w:r>
        <w:r>
          <w:rPr>
            <w:b/>
            <w:bCs/>
          </w:rPr>
          <w:fldChar w:fldCharType="end"/>
        </w:r>
      </w:p>
    </w:sdtContent>
  </w:sdt>
  <w:p w14:paraId="5EF75498" w14:textId="77777777" w:rsidR="00612D3C" w:rsidRDefault="00612D3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63E0C09" w14:textId="77777777" w:rsidR="00612D3C" w:rsidRDefault="00612D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E188DCE" w14:textId="77777777" w:rsidR="007047D9" w:rsidRDefault="007047D9">
      <w:pPr>
        <w:spacing w:after="0" w:line="240" w:lineRule="auto"/>
      </w:pPr>
      <w:r>
        <w:separator/>
      </w:r>
    </w:p>
  </w:footnote>
  <w:footnote w:type="continuationSeparator" w:id="0">
    <w:p w14:paraId="557FD32A" w14:textId="77777777" w:rsidR="007047D9" w:rsidRDefault="007047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25E1E"/>
    <w:multiLevelType w:val="multilevel"/>
    <w:tmpl w:val="FFFFFFFF"/>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0BAD1031"/>
    <w:multiLevelType w:val="multilevel"/>
    <w:tmpl w:val="FFFFFFFF"/>
    <w:lvl w:ilvl="0">
      <w:start w:val="1"/>
      <w:numFmt w:val="bullet"/>
      <w:lvlText w:val="o"/>
      <w:lvlJc w:val="left"/>
      <w:pPr>
        <w:tabs>
          <w:tab w:val="num" w:pos="720"/>
        </w:tabs>
        <w:ind w:left="720" w:hanging="360"/>
      </w:pPr>
      <w:rPr>
        <w:rFonts w:ascii="Courier New" w:hAnsi="Courier New" w:cs="Courier New" w:hint="default"/>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12421E71"/>
    <w:multiLevelType w:val="multilevel"/>
    <w:tmpl w:val="FFFFFFFF"/>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3" w15:restartNumberingAfterBreak="0">
    <w:nsid w:val="2BD13CD7"/>
    <w:multiLevelType w:val="multilevel"/>
    <w:tmpl w:val="FFFFFFFF"/>
    <w:lvl w:ilvl="0">
      <w:start w:val="1"/>
      <w:numFmt w:val="bullet"/>
      <w:lvlText w:val="o"/>
      <w:lvlJc w:val="left"/>
      <w:pPr>
        <w:tabs>
          <w:tab w:val="num" w:pos="720"/>
        </w:tabs>
        <w:ind w:left="720" w:hanging="360"/>
      </w:pPr>
      <w:rPr>
        <w:rFonts w:ascii="Courier New" w:hAnsi="Courier New" w:cs="Courier New" w:hint="default"/>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305616F6"/>
    <w:multiLevelType w:val="multilevel"/>
    <w:tmpl w:val="FFFFFFFF"/>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5" w15:restartNumberingAfterBreak="0">
    <w:nsid w:val="397D218B"/>
    <w:multiLevelType w:val="multilevel"/>
    <w:tmpl w:val="FFFFFFFF"/>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6" w15:restartNumberingAfterBreak="0">
    <w:nsid w:val="58591078"/>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56F18FD"/>
    <w:multiLevelType w:val="multilevel"/>
    <w:tmpl w:val="FFFFFFFF"/>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abstractNum w:abstractNumId="8" w15:restartNumberingAfterBreak="0">
    <w:nsid w:val="7E4C7428"/>
    <w:multiLevelType w:val="multilevel"/>
    <w:tmpl w:val="FFFFFFFF"/>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o"/>
      <w:lvlJc w:val="left"/>
      <w:pPr>
        <w:tabs>
          <w:tab w:val="num" w:pos="1440"/>
        </w:tabs>
        <w:ind w:left="1440" w:hanging="360"/>
      </w:pPr>
      <w:rPr>
        <w:rFonts w:ascii="Courier New" w:hAnsi="Courier New" w:cs="Courier New" w:hint="default"/>
        <w:sz w:val="20"/>
      </w:rPr>
    </w:lvl>
    <w:lvl w:ilvl="2">
      <w:start w:val="1"/>
      <w:numFmt w:val="bullet"/>
      <w:lvlText w:val=""/>
      <w:lvlJc w:val="left"/>
      <w:pPr>
        <w:tabs>
          <w:tab w:val="num" w:pos="2160"/>
        </w:tabs>
        <w:ind w:left="2160" w:hanging="360"/>
      </w:pPr>
      <w:rPr>
        <w:rFonts w:ascii="Wingdings" w:hAnsi="Wingdings" w:cs="Wingdings" w:hint="default"/>
        <w:sz w:val="20"/>
      </w:rPr>
    </w:lvl>
    <w:lvl w:ilvl="3">
      <w:start w:val="1"/>
      <w:numFmt w:val="bullet"/>
      <w:lvlText w:val=""/>
      <w:lvlJc w:val="left"/>
      <w:pPr>
        <w:tabs>
          <w:tab w:val="num" w:pos="2880"/>
        </w:tabs>
        <w:ind w:left="2880" w:hanging="360"/>
      </w:pPr>
      <w:rPr>
        <w:rFonts w:ascii="Wingdings" w:hAnsi="Wingdings" w:cs="Wingdings" w:hint="default"/>
        <w:sz w:val="20"/>
      </w:rPr>
    </w:lvl>
    <w:lvl w:ilvl="4">
      <w:start w:val="1"/>
      <w:numFmt w:val="bullet"/>
      <w:lvlText w:val=""/>
      <w:lvlJc w:val="left"/>
      <w:pPr>
        <w:tabs>
          <w:tab w:val="num" w:pos="3600"/>
        </w:tabs>
        <w:ind w:left="3600" w:hanging="360"/>
      </w:pPr>
      <w:rPr>
        <w:rFonts w:ascii="Wingdings" w:hAnsi="Wingdings" w:cs="Wingdings" w:hint="default"/>
        <w:sz w:val="20"/>
      </w:rPr>
    </w:lvl>
    <w:lvl w:ilvl="5">
      <w:start w:val="1"/>
      <w:numFmt w:val="bullet"/>
      <w:lvlText w:val=""/>
      <w:lvlJc w:val="left"/>
      <w:pPr>
        <w:tabs>
          <w:tab w:val="num" w:pos="4320"/>
        </w:tabs>
        <w:ind w:left="4320" w:hanging="360"/>
      </w:pPr>
      <w:rPr>
        <w:rFonts w:ascii="Wingdings" w:hAnsi="Wingdings" w:cs="Wingdings" w:hint="default"/>
        <w:sz w:val="20"/>
      </w:rPr>
    </w:lvl>
    <w:lvl w:ilvl="6">
      <w:start w:val="1"/>
      <w:numFmt w:val="bullet"/>
      <w:lvlText w:val=""/>
      <w:lvlJc w:val="left"/>
      <w:pPr>
        <w:tabs>
          <w:tab w:val="num" w:pos="5040"/>
        </w:tabs>
        <w:ind w:left="5040" w:hanging="360"/>
      </w:pPr>
      <w:rPr>
        <w:rFonts w:ascii="Wingdings" w:hAnsi="Wingdings" w:cs="Wingdings" w:hint="default"/>
        <w:sz w:val="20"/>
      </w:rPr>
    </w:lvl>
    <w:lvl w:ilvl="7">
      <w:start w:val="1"/>
      <w:numFmt w:val="bullet"/>
      <w:lvlText w:val=""/>
      <w:lvlJc w:val="left"/>
      <w:pPr>
        <w:tabs>
          <w:tab w:val="num" w:pos="5760"/>
        </w:tabs>
        <w:ind w:left="5760" w:hanging="360"/>
      </w:pPr>
      <w:rPr>
        <w:rFonts w:ascii="Wingdings" w:hAnsi="Wingdings" w:cs="Wingdings" w:hint="default"/>
        <w:sz w:val="20"/>
      </w:rPr>
    </w:lvl>
    <w:lvl w:ilvl="8">
      <w:start w:val="1"/>
      <w:numFmt w:val="bullet"/>
      <w:lvlText w:val=""/>
      <w:lvlJc w:val="left"/>
      <w:pPr>
        <w:tabs>
          <w:tab w:val="num" w:pos="6480"/>
        </w:tabs>
        <w:ind w:left="6480" w:hanging="360"/>
      </w:pPr>
      <w:rPr>
        <w:rFonts w:ascii="Wingdings" w:hAnsi="Wingdings" w:cs="Wingdings" w:hint="default"/>
        <w:sz w:val="20"/>
      </w:rPr>
    </w:lvl>
  </w:abstractNum>
  <w:num w:numId="1" w16cid:durableId="840580057">
    <w:abstractNumId w:val="5"/>
  </w:num>
  <w:num w:numId="2" w16cid:durableId="1757677131">
    <w:abstractNumId w:val="6"/>
  </w:num>
  <w:num w:numId="3" w16cid:durableId="2035618870">
    <w:abstractNumId w:val="8"/>
  </w:num>
  <w:num w:numId="4" w16cid:durableId="1211725073">
    <w:abstractNumId w:val="2"/>
  </w:num>
  <w:num w:numId="5" w16cid:durableId="1829515168">
    <w:abstractNumId w:val="4"/>
  </w:num>
  <w:num w:numId="6" w16cid:durableId="1755470245">
    <w:abstractNumId w:val="7"/>
  </w:num>
  <w:num w:numId="7" w16cid:durableId="1103914561">
    <w:abstractNumId w:val="1"/>
  </w:num>
  <w:num w:numId="8" w16cid:durableId="1528830597">
    <w:abstractNumId w:val="3"/>
  </w:num>
  <w:num w:numId="9" w16cid:durableId="150034221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autoHyphenation/>
  <w:hyphenationZone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D3C"/>
    <w:rsid w:val="002F26DD"/>
    <w:rsid w:val="004849B6"/>
    <w:rsid w:val="00612D3C"/>
    <w:rsid w:val="00614685"/>
    <w:rsid w:val="0063600A"/>
    <w:rsid w:val="007047D9"/>
    <w:rsid w:val="0078632E"/>
    <w:rsid w:val="009C3FBE"/>
    <w:rsid w:val="009E0270"/>
    <w:rsid w:val="00B9016C"/>
    <w:rsid w:val="00DA2FC3"/>
    <w:rsid w:val="00F4081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2B595D44"/>
  <w15:docId w15:val="{9AF9E6C0-C5CB-074E-91F0-2154913F3A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4D5"/>
    <w:pPr>
      <w:spacing w:after="160"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8B54D5"/>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106348"/>
    <w:pPr>
      <w:keepNext/>
      <w:keepLines/>
      <w:spacing w:before="160" w:after="80"/>
      <w:outlineLvl w:val="1"/>
    </w:pPr>
    <w:rPr>
      <w:rFonts w:eastAsiaTheme="majorEastAsia" w:cstheme="majorBidi"/>
      <w:b/>
      <w:i/>
      <w:sz w:val="26"/>
      <w:szCs w:val="32"/>
    </w:rPr>
  </w:style>
  <w:style w:type="paragraph" w:styleId="Heading3">
    <w:name w:val="heading 3"/>
    <w:basedOn w:val="Normal"/>
    <w:next w:val="Normal"/>
    <w:link w:val="Heading3Char"/>
    <w:uiPriority w:val="9"/>
    <w:unhideWhenUsed/>
    <w:qFormat/>
    <w:rsid w:val="00A80082"/>
    <w:pPr>
      <w:keepNext/>
      <w:keepLines/>
      <w:spacing w:before="160" w:after="80"/>
      <w:outlineLvl w:val="2"/>
    </w:pPr>
    <w:rPr>
      <w:rFonts w:asciiTheme="minorHAnsi" w:eastAsiaTheme="majorEastAsia" w:hAnsiTheme="minorHAnsi" w:cstheme="majorBidi"/>
      <w:b/>
      <w:color w:val="2F5496" w:themeColor="accent1" w:themeShade="BF"/>
      <w:szCs w:val="28"/>
    </w:rPr>
  </w:style>
  <w:style w:type="paragraph" w:styleId="Heading4">
    <w:name w:val="heading 4"/>
    <w:basedOn w:val="Normal"/>
    <w:next w:val="Normal"/>
    <w:link w:val="Heading4Char"/>
    <w:uiPriority w:val="9"/>
    <w:semiHidden/>
    <w:unhideWhenUsed/>
    <w:qFormat/>
    <w:rsid w:val="0059029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9029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9029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9029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9029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9029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4D5"/>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106348"/>
    <w:rPr>
      <w:rFonts w:ascii="Times New Roman" w:eastAsiaTheme="majorEastAsia" w:hAnsi="Times New Roman" w:cstheme="majorBidi"/>
      <w:b/>
      <w:i/>
      <w:sz w:val="26"/>
      <w:szCs w:val="32"/>
    </w:rPr>
  </w:style>
  <w:style w:type="character" w:customStyle="1" w:styleId="Heading3Char">
    <w:name w:val="Heading 3 Char"/>
    <w:basedOn w:val="DefaultParagraphFont"/>
    <w:link w:val="Heading3"/>
    <w:uiPriority w:val="9"/>
    <w:rsid w:val="00A80082"/>
    <w:rPr>
      <w:rFonts w:eastAsiaTheme="majorEastAsia" w:cstheme="majorBidi"/>
      <w:b/>
      <w:color w:val="2F5496" w:themeColor="accent1" w:themeShade="BF"/>
      <w:szCs w:val="28"/>
    </w:rPr>
  </w:style>
  <w:style w:type="character" w:customStyle="1" w:styleId="Heading4Char">
    <w:name w:val="Heading 4 Char"/>
    <w:basedOn w:val="DefaultParagraphFont"/>
    <w:link w:val="Heading4"/>
    <w:uiPriority w:val="9"/>
    <w:semiHidden/>
    <w:rsid w:val="0059029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9029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902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02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02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0290"/>
    <w:rPr>
      <w:rFonts w:eastAsiaTheme="majorEastAsia" w:cstheme="majorBidi"/>
      <w:color w:val="272727" w:themeColor="text1" w:themeTint="D8"/>
    </w:rPr>
  </w:style>
  <w:style w:type="character" w:customStyle="1" w:styleId="TitleChar">
    <w:name w:val="Title Char"/>
    <w:basedOn w:val="DefaultParagraphFont"/>
    <w:link w:val="Title"/>
    <w:uiPriority w:val="10"/>
    <w:rsid w:val="00590290"/>
    <w:rPr>
      <w:rFonts w:asciiTheme="majorHAnsi" w:eastAsiaTheme="majorEastAsia" w:hAnsiTheme="majorHAnsi" w:cstheme="majorBidi"/>
      <w:spacing w:val="-10"/>
      <w:kern w:val="2"/>
      <w:sz w:val="56"/>
      <w:szCs w:val="56"/>
    </w:rPr>
  </w:style>
  <w:style w:type="character" w:customStyle="1" w:styleId="SubtitleChar">
    <w:name w:val="Subtitle Char"/>
    <w:basedOn w:val="DefaultParagraphFont"/>
    <w:link w:val="Subtitle"/>
    <w:uiPriority w:val="11"/>
    <w:rsid w:val="00590290"/>
    <w:rPr>
      <w:rFonts w:eastAsiaTheme="majorEastAsia" w:cstheme="majorBidi"/>
      <w:color w:val="595959" w:themeColor="text1" w:themeTint="A6"/>
      <w:spacing w:val="15"/>
      <w:sz w:val="28"/>
      <w:szCs w:val="28"/>
    </w:rPr>
  </w:style>
  <w:style w:type="character" w:customStyle="1" w:styleId="QuoteChar">
    <w:name w:val="Quote Char"/>
    <w:basedOn w:val="DefaultParagraphFont"/>
    <w:link w:val="Quote"/>
    <w:uiPriority w:val="29"/>
    <w:rsid w:val="00590290"/>
    <w:rPr>
      <w:rFonts w:ascii="Times New Roman" w:hAnsi="Times New Roman"/>
      <w:i/>
      <w:iCs/>
      <w:color w:val="404040" w:themeColor="text1" w:themeTint="BF"/>
    </w:rPr>
  </w:style>
  <w:style w:type="character" w:styleId="IntenseEmphasis">
    <w:name w:val="Intense Emphasis"/>
    <w:basedOn w:val="DefaultParagraphFont"/>
    <w:uiPriority w:val="21"/>
    <w:qFormat/>
    <w:rsid w:val="00590290"/>
    <w:rPr>
      <w:i/>
      <w:iCs/>
      <w:color w:val="2F5496" w:themeColor="accent1" w:themeShade="BF"/>
    </w:rPr>
  </w:style>
  <w:style w:type="character" w:customStyle="1" w:styleId="IntenseQuoteChar">
    <w:name w:val="Intense Quote Char"/>
    <w:basedOn w:val="DefaultParagraphFont"/>
    <w:link w:val="IntenseQuote"/>
    <w:uiPriority w:val="30"/>
    <w:rsid w:val="00590290"/>
    <w:rPr>
      <w:rFonts w:ascii="Times New Roman" w:hAnsi="Times New Roman"/>
      <w:i/>
      <w:iCs/>
      <w:color w:val="2F5496" w:themeColor="accent1" w:themeShade="BF"/>
    </w:rPr>
  </w:style>
  <w:style w:type="character" w:styleId="IntenseReference">
    <w:name w:val="Intense Reference"/>
    <w:basedOn w:val="DefaultParagraphFont"/>
    <w:uiPriority w:val="32"/>
    <w:qFormat/>
    <w:rsid w:val="00590290"/>
    <w:rPr>
      <w:b/>
      <w:bCs/>
      <w:smallCaps/>
      <w:color w:val="2F5496" w:themeColor="accent1" w:themeShade="BF"/>
      <w:spacing w:val="5"/>
    </w:rPr>
  </w:style>
  <w:style w:type="character" w:styleId="Hyperlink">
    <w:name w:val="Hyperlink"/>
    <w:basedOn w:val="DefaultParagraphFont"/>
    <w:uiPriority w:val="99"/>
    <w:unhideWhenUsed/>
    <w:rsid w:val="00395839"/>
    <w:rPr>
      <w:color w:val="0563C1" w:themeColor="hyperlink"/>
      <w:u w:val="single"/>
    </w:rPr>
  </w:style>
  <w:style w:type="character" w:styleId="UnresolvedMention">
    <w:name w:val="Unresolved Mention"/>
    <w:basedOn w:val="DefaultParagraphFont"/>
    <w:uiPriority w:val="99"/>
    <w:semiHidden/>
    <w:unhideWhenUsed/>
    <w:rsid w:val="00395839"/>
    <w:rPr>
      <w:color w:val="605E5C"/>
      <w:shd w:val="clear" w:color="auto" w:fill="E1DFDD"/>
    </w:rPr>
  </w:style>
  <w:style w:type="character" w:customStyle="1" w:styleId="HeaderChar">
    <w:name w:val="Header Char"/>
    <w:basedOn w:val="DefaultParagraphFont"/>
    <w:link w:val="Header"/>
    <w:uiPriority w:val="99"/>
    <w:rsid w:val="00A6379F"/>
    <w:rPr>
      <w:rFonts w:ascii="Times New Roman" w:hAnsi="Times New Roman"/>
    </w:rPr>
  </w:style>
  <w:style w:type="character" w:customStyle="1" w:styleId="FooterChar">
    <w:name w:val="Footer Char"/>
    <w:basedOn w:val="DefaultParagraphFont"/>
    <w:link w:val="Footer"/>
    <w:uiPriority w:val="99"/>
    <w:rsid w:val="00A6379F"/>
    <w:rPr>
      <w:rFonts w:ascii="Times New Roman" w:hAnsi="Times New Roman"/>
    </w:rPr>
  </w:style>
  <w:style w:type="character" w:styleId="CommentReference">
    <w:name w:val="annotation reference"/>
    <w:basedOn w:val="DefaultParagraphFont"/>
    <w:uiPriority w:val="99"/>
    <w:semiHidden/>
    <w:unhideWhenUsed/>
    <w:rsid w:val="002F20FE"/>
    <w:rPr>
      <w:sz w:val="16"/>
      <w:szCs w:val="16"/>
    </w:rPr>
  </w:style>
  <w:style w:type="character" w:customStyle="1" w:styleId="CommentTextChar">
    <w:name w:val="Comment Text Char"/>
    <w:basedOn w:val="DefaultParagraphFont"/>
    <w:link w:val="CommentText"/>
    <w:uiPriority w:val="99"/>
    <w:rsid w:val="002F20FE"/>
    <w:rPr>
      <w:rFonts w:ascii="Times New Roman" w:hAnsi="Times New Roman"/>
      <w:sz w:val="20"/>
      <w:szCs w:val="20"/>
    </w:rPr>
  </w:style>
  <w:style w:type="character" w:customStyle="1" w:styleId="CommentSubjectChar">
    <w:name w:val="Comment Subject Char"/>
    <w:basedOn w:val="CommentTextChar"/>
    <w:link w:val="CommentSubject"/>
    <w:uiPriority w:val="99"/>
    <w:semiHidden/>
    <w:rsid w:val="002F20FE"/>
    <w:rPr>
      <w:rFonts w:ascii="Times New Roman" w:hAnsi="Times New Roman"/>
      <w:b/>
      <w:bCs/>
      <w:sz w:val="20"/>
      <w:szCs w:val="20"/>
    </w:rPr>
  </w:style>
  <w:style w:type="character" w:styleId="FollowedHyperlink">
    <w:name w:val="FollowedHyperlink"/>
    <w:basedOn w:val="DefaultParagraphFont"/>
    <w:uiPriority w:val="99"/>
    <w:semiHidden/>
    <w:unhideWhenUsed/>
    <w:rsid w:val="006A71B2"/>
    <w:rPr>
      <w:color w:val="1155CC"/>
      <w:u w:val="single"/>
    </w:rPr>
  </w:style>
  <w:style w:type="character" w:customStyle="1" w:styleId="BodyTextChar">
    <w:name w:val="Body Text Char"/>
    <w:basedOn w:val="DefaultParagraphFont"/>
    <w:link w:val="BodyText"/>
    <w:uiPriority w:val="99"/>
    <w:semiHidden/>
    <w:rsid w:val="00656B55"/>
    <w:rPr>
      <w:rFonts w:ascii="Times New Roman" w:eastAsia="Times New Roman" w:hAnsi="Times New Roman" w:cs="Times New Roman"/>
      <w:b/>
      <w:bCs/>
      <w:kern w:val="0"/>
      <w:sz w:val="40"/>
      <w:szCs w:val="40"/>
      <w:lang w:eastAsia="en-GB"/>
      <w14:ligatures w14:val="none"/>
    </w:rPr>
  </w:style>
  <w:style w:type="character" w:styleId="Strong">
    <w:name w:val="Strong"/>
    <w:basedOn w:val="DefaultParagraphFont"/>
    <w:uiPriority w:val="22"/>
    <w:qFormat/>
    <w:rsid w:val="00656B55"/>
    <w:rPr>
      <w:b/>
      <w:bCs/>
    </w:rPr>
  </w:style>
  <w:style w:type="character" w:customStyle="1" w:styleId="s8">
    <w:name w:val="s8"/>
    <w:basedOn w:val="DefaultParagraphFont"/>
    <w:rsid w:val="00CB390C"/>
  </w:style>
  <w:style w:type="character" w:customStyle="1" w:styleId="s2">
    <w:name w:val="s2"/>
    <w:basedOn w:val="DefaultParagraphFont"/>
    <w:rsid w:val="00CB390C"/>
  </w:style>
  <w:style w:type="character" w:customStyle="1" w:styleId="bumpedfont15">
    <w:name w:val="bumpedfont15"/>
    <w:basedOn w:val="DefaultParagraphFont"/>
    <w:rsid w:val="003C4405"/>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Noto Sans" w:hAnsi="Liberation Sans" w:cs="Noto Sans"/>
      <w:sz w:val="28"/>
      <w:szCs w:val="28"/>
    </w:rPr>
  </w:style>
  <w:style w:type="paragraph" w:styleId="BodyText">
    <w:name w:val="Body Text"/>
    <w:basedOn w:val="Normal"/>
    <w:link w:val="BodyTextChar"/>
    <w:uiPriority w:val="99"/>
    <w:semiHidden/>
    <w:unhideWhenUsed/>
    <w:rsid w:val="00656B55"/>
    <w:pPr>
      <w:spacing w:after="0" w:line="240" w:lineRule="auto"/>
      <w:jc w:val="center"/>
    </w:pPr>
    <w:rPr>
      <w:rFonts w:eastAsia="Times New Roman" w:cs="Times New Roman"/>
      <w:b/>
      <w:bCs/>
      <w:kern w:val="0"/>
      <w:sz w:val="40"/>
      <w:szCs w:val="40"/>
      <w:lang w:eastAsia="en-GB"/>
      <w14:ligatures w14:val="none"/>
    </w:r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qFormat/>
    <w:pPr>
      <w:suppressLineNumbers/>
    </w:pPr>
  </w:style>
  <w:style w:type="paragraph" w:styleId="Title">
    <w:name w:val="Title"/>
    <w:basedOn w:val="Normal"/>
    <w:next w:val="Normal"/>
    <w:link w:val="TitleChar"/>
    <w:uiPriority w:val="10"/>
    <w:qFormat/>
    <w:rsid w:val="00590290"/>
    <w:pPr>
      <w:spacing w:after="80" w:line="240" w:lineRule="auto"/>
      <w:contextualSpacing/>
    </w:pPr>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590290"/>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590290"/>
    <w:pPr>
      <w:spacing w:before="160"/>
      <w:jc w:val="center"/>
    </w:pPr>
    <w:rPr>
      <w:i/>
      <w:iCs/>
      <w:color w:val="404040" w:themeColor="text1" w:themeTint="BF"/>
    </w:rPr>
  </w:style>
  <w:style w:type="paragraph" w:styleId="ListParagraph">
    <w:name w:val="List Paragraph"/>
    <w:basedOn w:val="Normal"/>
    <w:uiPriority w:val="34"/>
    <w:qFormat/>
    <w:rsid w:val="00590290"/>
    <w:pPr>
      <w:ind w:left="720"/>
      <w:contextualSpacing/>
    </w:pPr>
  </w:style>
  <w:style w:type="paragraph" w:styleId="IntenseQuote">
    <w:name w:val="Intense Quote"/>
    <w:basedOn w:val="Normal"/>
    <w:next w:val="Normal"/>
    <w:link w:val="IntenseQuoteChar"/>
    <w:uiPriority w:val="30"/>
    <w:qFormat/>
    <w:rsid w:val="0059029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paragraph" w:customStyle="1" w:styleId="HeaderandFooter">
    <w:name w:val="Header and Footer"/>
    <w:basedOn w:val="Normal"/>
    <w:qFormat/>
  </w:style>
  <w:style w:type="paragraph" w:styleId="Header">
    <w:name w:val="header"/>
    <w:basedOn w:val="Normal"/>
    <w:link w:val="HeaderChar"/>
    <w:uiPriority w:val="99"/>
    <w:unhideWhenUsed/>
    <w:rsid w:val="00A6379F"/>
    <w:pPr>
      <w:tabs>
        <w:tab w:val="center" w:pos="4513"/>
        <w:tab w:val="right" w:pos="9026"/>
      </w:tabs>
      <w:spacing w:after="0" w:line="240" w:lineRule="auto"/>
    </w:pPr>
  </w:style>
  <w:style w:type="paragraph" w:styleId="Footer">
    <w:name w:val="footer"/>
    <w:basedOn w:val="Normal"/>
    <w:link w:val="FooterChar"/>
    <w:uiPriority w:val="99"/>
    <w:unhideWhenUsed/>
    <w:rsid w:val="00A6379F"/>
    <w:pPr>
      <w:tabs>
        <w:tab w:val="center" w:pos="4513"/>
        <w:tab w:val="right" w:pos="9026"/>
      </w:tabs>
      <w:spacing w:after="0" w:line="240" w:lineRule="auto"/>
    </w:pPr>
  </w:style>
  <w:style w:type="paragraph" w:styleId="IndexHeading">
    <w:name w:val="index heading"/>
    <w:basedOn w:val="Heading"/>
  </w:style>
  <w:style w:type="paragraph" w:styleId="TOCHeading">
    <w:name w:val="TOC Heading"/>
    <w:basedOn w:val="Heading1"/>
    <w:next w:val="Normal"/>
    <w:uiPriority w:val="39"/>
    <w:unhideWhenUsed/>
    <w:qFormat/>
    <w:rsid w:val="00A6379F"/>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A6379F"/>
    <w:pPr>
      <w:spacing w:after="100"/>
    </w:pPr>
  </w:style>
  <w:style w:type="paragraph" w:styleId="TOC2">
    <w:name w:val="toc 2"/>
    <w:basedOn w:val="Normal"/>
    <w:next w:val="Normal"/>
    <w:autoRedefine/>
    <w:uiPriority w:val="39"/>
    <w:unhideWhenUsed/>
    <w:rsid w:val="00A6379F"/>
    <w:pPr>
      <w:spacing w:after="100"/>
      <w:ind w:left="240"/>
    </w:pPr>
  </w:style>
  <w:style w:type="paragraph" w:styleId="TOC3">
    <w:name w:val="toc 3"/>
    <w:basedOn w:val="Normal"/>
    <w:next w:val="Normal"/>
    <w:autoRedefine/>
    <w:uiPriority w:val="39"/>
    <w:unhideWhenUsed/>
    <w:rsid w:val="00A6379F"/>
    <w:pPr>
      <w:spacing w:after="100"/>
      <w:ind w:left="480"/>
    </w:pPr>
  </w:style>
  <w:style w:type="paragraph" w:styleId="NoSpacing">
    <w:name w:val="No Spacing"/>
    <w:uiPriority w:val="1"/>
    <w:qFormat/>
    <w:rsid w:val="008D722B"/>
    <w:pPr>
      <w:jc w:val="both"/>
    </w:pPr>
    <w:rPr>
      <w:rFonts w:ascii="Times New Roman" w:hAnsi="Times New Roman"/>
    </w:rPr>
  </w:style>
  <w:style w:type="paragraph" w:styleId="CommentText">
    <w:name w:val="annotation text"/>
    <w:basedOn w:val="Normal"/>
    <w:link w:val="CommentTextChar"/>
    <w:uiPriority w:val="99"/>
    <w:unhideWhenUsed/>
    <w:rsid w:val="002F20FE"/>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rsid w:val="002F20FE"/>
    <w:rPr>
      <w:b/>
      <w:bCs/>
    </w:rPr>
  </w:style>
  <w:style w:type="paragraph" w:customStyle="1" w:styleId="msonormal0">
    <w:name w:val="msonormal"/>
    <w:basedOn w:val="Normal"/>
    <w:rsid w:val="006A71B2"/>
    <w:pPr>
      <w:spacing w:beforeAutospacing="1" w:afterAutospacing="1" w:line="240" w:lineRule="auto"/>
      <w:jc w:val="left"/>
    </w:pPr>
    <w:rPr>
      <w:rFonts w:eastAsia="Times New Roman" w:cs="Times New Roman"/>
      <w:kern w:val="0"/>
      <w:lang w:eastAsia="en-GB"/>
      <w14:ligatures w14:val="none"/>
    </w:rPr>
  </w:style>
  <w:style w:type="paragraph" w:customStyle="1" w:styleId="xl63">
    <w:name w:val="xl63"/>
    <w:basedOn w:val="Normal"/>
    <w:rsid w:val="006A71B2"/>
    <w:pPr>
      <w:spacing w:beforeAutospacing="1" w:afterAutospacing="1" w:line="240" w:lineRule="auto"/>
      <w:jc w:val="left"/>
      <w:textAlignment w:val="center"/>
    </w:pPr>
    <w:rPr>
      <w:rFonts w:eastAsia="Times New Roman" w:cs="Times New Roman"/>
      <w:color w:val="000000"/>
      <w:kern w:val="0"/>
      <w:lang w:eastAsia="en-GB"/>
      <w14:ligatures w14:val="none"/>
    </w:rPr>
  </w:style>
  <w:style w:type="paragraph" w:styleId="NormalWeb">
    <w:name w:val="Normal (Web)"/>
    <w:basedOn w:val="Normal"/>
    <w:uiPriority w:val="99"/>
    <w:unhideWhenUsed/>
    <w:rsid w:val="00656B55"/>
    <w:pPr>
      <w:spacing w:beforeAutospacing="1" w:afterAutospacing="1" w:line="240" w:lineRule="auto"/>
      <w:jc w:val="left"/>
    </w:pPr>
    <w:rPr>
      <w:rFonts w:eastAsia="Times New Roman" w:cs="Times New Roman"/>
      <w:kern w:val="0"/>
      <w:lang w:eastAsia="en-GB"/>
      <w14:ligatures w14:val="none"/>
    </w:rPr>
  </w:style>
  <w:style w:type="paragraph" w:customStyle="1" w:styleId="s5">
    <w:name w:val="s5"/>
    <w:basedOn w:val="Normal"/>
    <w:rsid w:val="00CB390C"/>
    <w:pPr>
      <w:spacing w:beforeAutospacing="1" w:afterAutospacing="1" w:line="240" w:lineRule="auto"/>
      <w:jc w:val="left"/>
    </w:pPr>
    <w:rPr>
      <w:rFonts w:eastAsiaTheme="minorEastAsia" w:cs="Times New Roman"/>
      <w:kern w:val="0"/>
      <w:lang w:val="en-US"/>
      <w14:ligatures w14:val="none"/>
    </w:rPr>
  </w:style>
  <w:style w:type="paragraph" w:customStyle="1" w:styleId="s6">
    <w:name w:val="s6"/>
    <w:basedOn w:val="Normal"/>
    <w:rsid w:val="003C4405"/>
    <w:pPr>
      <w:spacing w:beforeAutospacing="1" w:afterAutospacing="1" w:line="240" w:lineRule="auto"/>
      <w:jc w:val="left"/>
    </w:pPr>
    <w:rPr>
      <w:rFonts w:eastAsiaTheme="minorEastAsia" w:cs="Times New Roman"/>
      <w:kern w:val="0"/>
      <w:lang w:val="en-US"/>
      <w14:ligatures w14:val="none"/>
    </w:rPr>
  </w:style>
  <w:style w:type="table" w:styleId="PlainTable2">
    <w:name w:val="Plain Table 2"/>
    <w:basedOn w:val="TableNormal"/>
    <w:uiPriority w:val="42"/>
    <w:rsid w:val="00F76E11"/>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000000" w:themeColor="text1"/>
        </w:tcBorders>
      </w:tcPr>
    </w:tblStylePr>
    <w:tblStylePr w:type="lastRow">
      <w:rPr>
        <w:b/>
        <w:bCs/>
      </w:rPr>
      <w:tblPr/>
      <w:tcPr>
        <w:tcBorders>
          <w:top w:val="single" w:sz="4" w:space="0" w:color="000000" w:themeColor="text1"/>
        </w:tcBorders>
      </w:tcPr>
    </w:tblStylePr>
    <w:tblStylePr w:type="firstCol">
      <w:rPr>
        <w:b/>
        <w:bCs/>
      </w:rPr>
    </w:tblStylePr>
    <w:tblStylePr w:type="lastCol">
      <w:rPr>
        <w:b/>
        <w:bCs/>
      </w:rPr>
    </w:tblStylePr>
    <w:tblStylePr w:type="band1Vert">
      <w:tblPr/>
      <w:tcPr>
        <w:tcBorders>
          <w:left w:val="single" w:sz="4" w:space="0" w:color="000000" w:themeColor="text1"/>
          <w:right w:val="single" w:sz="4" w:space="0" w:color="000000" w:themeColor="text1"/>
        </w:tcBorders>
      </w:tcPr>
    </w:tblStylePr>
    <w:tblStylePr w:type="band2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tcBorders>
      </w:tcPr>
    </w:tblStylePr>
  </w:style>
  <w:style w:type="table" w:styleId="TableGrid">
    <w:name w:val="Table Grid"/>
    <w:basedOn w:val="TableNormal"/>
    <w:uiPriority w:val="39"/>
    <w:rsid w:val="00656B5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oter" Target="footer1.xml"/><Relationship Id="rId21" Type="http://schemas.openxmlformats.org/officeDocument/2006/relationships/image" Target="media/image14.png"/><Relationship Id="rId34" Type="http://schemas.openxmlformats.org/officeDocument/2006/relationships/hyperlink" Target="https://hal.science/hal-02546799/document"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eprints.lincoln.ac.uk/36421/1/ECRM19-Proceedings-Download.pdf" TargetMode="Externa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customerthink.com/tesco_profit_warning_how_much_was_clubcard_responsible/?utm_source=chatgpt.com" TargetMode="External"/><Relationship Id="rId37" Type="http://schemas.openxmlformats.org/officeDocument/2006/relationships/hyperlink" Target="https://www.researchgate.net/profile/Jaana-Woiceshyn-2/publication/324596659_Evaluating_Inductive_versus_Deductive_Research_in_Management_Studies_Implications_for_Authors_Editors_and_Reviewers/links/5b78d9aa92851c1e121f7477/Evaluating-Inductive-versus-Deductive-Research-in-Management-Studies-Implications-for-Authors-Editors-and-Reviewers.pdf" TargetMode="Externa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doi.org/10.1108/QRJ-D-18-00035" TargetMode="External"/><Relationship Id="rId36" Type="http://schemas.openxmlformats.org/officeDocument/2006/relationships/hyperlink" Target="https://www.thisismoney.co.uk/money/bills/article-12038453/Tesco-Club-Card-versus-Sainsburys-Nectar-save-money.html"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ncbi.nlm.nih.gov/pmc/articles/PMC4601897/"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gajrc.com/media/articles/GAJHSS_23_39-43_VMGJbOK.pdf" TargetMode="External"/><Relationship Id="rId30" Type="http://schemas.openxmlformats.org/officeDocument/2006/relationships/hyperlink" Target="https://www.researchgate.net/profile/Lan-Pham-3/publication/324486854_A_Review_of_key_paradigms_positivism_interpretivism_and_critical_inquiry/links/5acffa880f7e9b18965cd52f/A-Review-of-key-paradigms-positivism-interpretivism-and-critical-inquiry.pdf" TargetMode="External"/><Relationship Id="rId35" Type="http://schemas.openxmlformats.org/officeDocument/2006/relationships/hyperlink" Target="https://www.tescoplc.com/media/zgvhd0dn/tescos_ar24.pdf?utm_source=chatgpt.com"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researchgate.net/profile/Mark-Saunders-10/publication/330760964_Research_Methods_for_Business_Students_Chapter_4_Understanding_research_philosophy_and_approaches_to_theory_development/links/5c53056f299bf12be3f0e2cf/Research-Methods-for-Business-Students-Chapter-4-Understanding-research-philosophy-and-approaches-to-theory-development.pdf" TargetMode="External"/><Relationship Id="rId38" Type="http://schemas.openxmlformats.org/officeDocument/2006/relationships/hyperlink" Target="https://www.intechopen.com/chapters/58890" TargetMode="External"/></Relationships>
</file>

<file path=word/theme/theme1.xml><?xml version="1.0" encoding="utf-8"?>
<a:theme xmlns:a="http://schemas.openxmlformats.org/drawingml/2006/main" name="Office Theme">
  <a:themeElements>
    <a:clrScheme name="Office">
      <a:dk1>
        <a:srgbClr val="000000"/>
      </a:dk1>
      <a:lt1>
        <a:srgbClr val="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majorFont>
      <a:minorFont>
        <a:latin typeface="Calibri" panose="020F0502020204030204"/>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090DBA-CBB1-4150-953F-27AAE43BD1F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17074</Words>
  <Characters>97322</Characters>
  <Application>Microsoft Office Word</Application>
  <DocSecurity>0</DocSecurity>
  <Lines>811</Lines>
  <Paragraphs>228</Paragraphs>
  <ScaleCrop>false</ScaleCrop>
  <Company/>
  <LinksUpToDate>false</LinksUpToDate>
  <CharactersWithSpaces>114168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Varun</dc:creator>
  <dc:description/>
  <cp:lastModifiedBy>Lokesh Reddy Karangula (2513500)</cp:lastModifiedBy>
  <cp:revision>2</cp:revision>
  <dcterms:created xsi:type="dcterms:W3CDTF">2026-09-24T20:23:00Z</dcterms:created>
  <dcterms:modified xsi:type="dcterms:W3CDTF">2026-09-24T20:23:00Z</dcterms:modified>
  <dc:language>en-US</dc:language>
</cp:coreProperties>
</file>