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DEFDC" w14:textId="31546293" w:rsidR="001A7092" w:rsidRDefault="001A7092" w:rsidP="001A7092">
      <w:r>
        <w:t>Ashley Mc Fee</w:t>
      </w:r>
    </w:p>
    <w:p w14:paraId="4963EF76" w14:textId="22B33CB5" w:rsidR="001A7092" w:rsidRDefault="001A7092" w:rsidP="001A7092">
      <w:r>
        <w:t>Cold War; Hot Wars</w:t>
      </w:r>
    </w:p>
    <w:p w14:paraId="3AE4E993" w14:textId="6BF047EE" w:rsidR="001A7092" w:rsidRDefault="001A7092" w:rsidP="001A7092">
      <w:r>
        <w:t>19 November 2023</w:t>
      </w:r>
    </w:p>
    <w:p w14:paraId="501D63C8" w14:textId="6538AB58" w:rsidR="001A7092" w:rsidRPr="001A7092" w:rsidRDefault="001A7092" w:rsidP="001A7092">
      <w:r>
        <w:t>Dr Lester Mason</w:t>
      </w:r>
    </w:p>
    <w:p w14:paraId="615CFD2F" w14:textId="0CF99BE2" w:rsidR="001A7092" w:rsidRPr="001A7092" w:rsidRDefault="001A7092" w:rsidP="001A7092">
      <w:pPr>
        <w:rPr>
          <w:b/>
          <w:bCs/>
        </w:rPr>
      </w:pPr>
      <w:r w:rsidRPr="001A7092">
        <w:rPr>
          <w:b/>
          <w:bCs/>
        </w:rPr>
        <w:t>Discuss the reason behind the Berlin Blockade of 1948 and the West’s response. What was the long-term political impact of this event on East-West relations?</w:t>
      </w:r>
    </w:p>
    <w:p w14:paraId="588B26C5" w14:textId="7DA9422F" w:rsidR="00B05354" w:rsidRDefault="00D8478A" w:rsidP="0074341E">
      <w:pPr>
        <w:ind w:firstLine="720"/>
      </w:pPr>
      <w:r w:rsidRPr="0080118A">
        <w:t xml:space="preserve">Adolf Hitler and Nazi-Germany’s demise gave an end the Second World War, however, it opened the door for an even more significant period in world history, the Cold War. At the end of World War II, Germany had become the prize to split amongst the successful allies, albeit a forced </w:t>
      </w:r>
      <w:r w:rsidR="008B3C2E" w:rsidRPr="0080118A">
        <w:t xml:space="preserve">alliance, and would see Germany be divided into four occupation zones. The </w:t>
      </w:r>
      <w:r w:rsidR="00647E64">
        <w:t>U.S.</w:t>
      </w:r>
      <w:r w:rsidR="008B3C2E" w:rsidRPr="0080118A">
        <w:t xml:space="preserve"> and the UK</w:t>
      </w:r>
      <w:r w:rsidR="0034370E" w:rsidRPr="0080118A">
        <w:t xml:space="preserve"> (Western Allies, along with France), </w:t>
      </w:r>
      <w:r w:rsidR="008B3C2E" w:rsidRPr="0080118A">
        <w:t xml:space="preserve">would eventually, combine their individual zones into one entity, which would later be joined by France, leaving the Soviet Union out of the </w:t>
      </w:r>
      <w:r w:rsidR="0034370E" w:rsidRPr="0080118A">
        <w:t>loop, and putting a dent into Stalin and the Soviet Union’s plans for Germany</w:t>
      </w:r>
      <w:r w:rsidR="008B3C2E" w:rsidRPr="0080118A">
        <w:t>. It was clear that the interests of these allies were no longer aligned; they were no longer forced allies</w:t>
      </w:r>
      <w:r w:rsidR="0074341E">
        <w:t xml:space="preserve">. </w:t>
      </w:r>
      <w:r w:rsidR="002137E4" w:rsidRPr="0080118A">
        <w:t>To protect his own interests, Stalin’s solution was to create the Berlin Blockade</w:t>
      </w:r>
      <w:r w:rsidR="0080118A">
        <w:t xml:space="preserve"> in 1948</w:t>
      </w:r>
      <w:r w:rsidR="002137E4" w:rsidRPr="0080118A">
        <w:t>, limiting the West’s access into West Berlin. The blockade was</w:t>
      </w:r>
      <w:r w:rsidR="003E62D8">
        <w:t xml:space="preserve"> </w:t>
      </w:r>
      <w:proofErr w:type="gramStart"/>
      <w:r w:rsidR="003E62D8">
        <w:t>as a result of</w:t>
      </w:r>
      <w:proofErr w:type="gramEnd"/>
      <w:r w:rsidR="003E62D8">
        <w:t xml:space="preserve"> conflicting interpretations of agreements made between the allies during the Second World War as it pertained to the future of Germany. Whereas the Soviet Union wanted to maintain Germany’s </w:t>
      </w:r>
      <w:r w:rsidR="003E62D8" w:rsidRPr="0080118A">
        <w:t>weakened</w:t>
      </w:r>
      <w:r w:rsidR="003E62D8">
        <w:t xml:space="preserve"> position and ultimately creating a fully communist Germany, the </w:t>
      </w:r>
      <w:r w:rsidR="00647E64">
        <w:t>U.S.</w:t>
      </w:r>
      <w:r w:rsidR="003E62D8">
        <w:t xml:space="preserve"> and its Western allies were determined to bolster the German economy, while influencing the political atmosphere.</w:t>
      </w:r>
      <w:r w:rsidR="002137E4" w:rsidRPr="0080118A">
        <w:t xml:space="preserve"> </w:t>
      </w:r>
      <w:r w:rsidR="0080118A">
        <w:t>Th</w:t>
      </w:r>
      <w:r w:rsidR="0074341E">
        <w:t xml:space="preserve">e </w:t>
      </w:r>
      <w:r w:rsidR="0080118A">
        <w:t xml:space="preserve">decision </w:t>
      </w:r>
      <w:r w:rsidR="0074341E">
        <w:t>to create a blockade forced</w:t>
      </w:r>
      <w:r w:rsidR="0080118A">
        <w:t xml:space="preserve"> the Western Allies to respond with the Berlin Airlift and reigniting their interest in forming a capitalist Germany. The blockade caused a significant rift in the West and Eastern bloc’s </w:t>
      </w:r>
      <w:r w:rsidR="00222B4E">
        <w:t xml:space="preserve">political relations as it </w:t>
      </w:r>
      <w:r w:rsidR="000C36BA">
        <w:t>incited</w:t>
      </w:r>
      <w:r w:rsidR="00222B4E">
        <w:t xml:space="preserve"> the creation of the North Atlantic Treaty Organisation (NATO) in the West and the USSR Warsaw pact in the Eastern </w:t>
      </w:r>
      <w:r w:rsidR="004350E3">
        <w:t>bloc.</w:t>
      </w:r>
    </w:p>
    <w:p w14:paraId="1707A70E" w14:textId="7B81D53F" w:rsidR="00B22EDF" w:rsidRPr="0080118A" w:rsidRDefault="0072675C" w:rsidP="00B22EDF">
      <w:r>
        <w:tab/>
      </w:r>
      <w:r w:rsidR="003F453A">
        <w:t xml:space="preserve">Germany had become the hot commodity of the Soviet Union and the </w:t>
      </w:r>
      <w:r w:rsidR="00647E64">
        <w:t>U.S.</w:t>
      </w:r>
      <w:r w:rsidR="003F453A">
        <w:t xml:space="preserve"> along with its allies after the Second World War. </w:t>
      </w:r>
      <w:r w:rsidR="00B22EDF" w:rsidRPr="0080118A">
        <w:t xml:space="preserve">Aldrich, Cormac, and Goodman </w:t>
      </w:r>
      <w:r w:rsidR="00B22EDF">
        <w:t>agree with this understanding of Germany’s importance:</w:t>
      </w:r>
    </w:p>
    <w:p w14:paraId="1BA0941D" w14:textId="77777777" w:rsidR="00B22EDF" w:rsidRPr="0080118A" w:rsidRDefault="00B22EDF" w:rsidP="00B22EDF">
      <w:pPr>
        <w:ind w:left="720"/>
      </w:pPr>
      <w:r w:rsidRPr="0080118A">
        <w:t>In the JIC’s words, Germany was a critical arena because it ‘stands out as the most important single prize in the political and ideological struggle now in progress between the Soviet Union and the West.’ Here not only was there evidence of Russian intent, but also the opportunities for espionage were greatly increased.</w:t>
      </w:r>
      <w:r w:rsidRPr="0080118A">
        <w:rPr>
          <w:rStyle w:val="FootnoteReference"/>
        </w:rPr>
        <w:footnoteReference w:id="1"/>
      </w:r>
    </w:p>
    <w:p w14:paraId="44BFA365" w14:textId="064B2161" w:rsidR="00CD7ECE" w:rsidRDefault="003F453A" w:rsidP="00CD7ECE">
      <w:r>
        <w:t xml:space="preserve">This was because it served </w:t>
      </w:r>
      <w:proofErr w:type="gramStart"/>
      <w:r>
        <w:t>as a means to</w:t>
      </w:r>
      <w:proofErr w:type="gramEnd"/>
      <w:r>
        <w:t xml:space="preserve"> fulfil the desires of these larger nations, to influence the world with their own political movements. For the Soviet Union and Stalin, it meant influencing the move towards amore communist society. However, the push for capitalism was more in line with the </w:t>
      </w:r>
      <w:r w:rsidR="00647E64">
        <w:t>U.S.</w:t>
      </w:r>
      <w:r>
        <w:t xml:space="preserve">’s plans for Germany and West Europe. These differing positions were </w:t>
      </w:r>
      <w:r w:rsidR="00CD7ECE">
        <w:t>because of</w:t>
      </w:r>
      <w:r>
        <w:t xml:space="preserve"> </w:t>
      </w:r>
      <w:r>
        <w:lastRenderedPageBreak/>
        <w:t>the interpretations of the</w:t>
      </w:r>
      <w:r w:rsidR="00B22EDF">
        <w:t xml:space="preserve"> previous understandings of the way in which each occupied zone in Germany would be led by the allies.</w:t>
      </w:r>
      <w:r w:rsidR="00CD7ECE">
        <w:t xml:space="preserve"> According to Kunz:</w:t>
      </w:r>
      <w:r>
        <w:t xml:space="preserve"> </w:t>
      </w:r>
    </w:p>
    <w:p w14:paraId="6F5EC919" w14:textId="56CA9C46" w:rsidR="00CD7ECE" w:rsidRDefault="00CD7ECE" w:rsidP="00CD7ECE">
      <w:pPr>
        <w:ind w:left="720"/>
      </w:pPr>
      <w:r>
        <w:t>From the moment it was decided to split Germany-rump Germany-, even if only for purposes of occupation, into four zones, each under a different Power following its own political aims, introducing and, in the East, imposing its own political ideology, the maintenance of the agreed-upon unity of the Germany of 1937 became impossible in fact.</w:t>
      </w:r>
      <w:r>
        <w:rPr>
          <w:rStyle w:val="FootnoteReference"/>
        </w:rPr>
        <w:footnoteReference w:id="2"/>
      </w:r>
    </w:p>
    <w:p w14:paraId="2CE11381" w14:textId="04AE25E9" w:rsidR="009060FC" w:rsidRDefault="0089719B">
      <w:r>
        <w:t>Th</w:t>
      </w:r>
      <w:r w:rsidR="00CD7ECE">
        <w:t>is suggests that the</w:t>
      </w:r>
      <w:r>
        <w:t xml:space="preserve"> Berlin Blockade was not a premeditated action taken by Stalin; however, it was one that was imposed to protect his interest in Germany.</w:t>
      </w:r>
      <w:r w:rsidR="00CD7ECE">
        <w:t xml:space="preserve"> U</w:t>
      </w:r>
      <w:r>
        <w:t xml:space="preserve">nder Stalin’s rulership, </w:t>
      </w:r>
      <w:r w:rsidR="00CD7ECE">
        <w:t xml:space="preserve">Germany, </w:t>
      </w:r>
      <w:r>
        <w:t>would remain a weakened European nation, giving him the power to secure “a Soviet future for all Germans.”</w:t>
      </w:r>
      <w:r w:rsidR="00C474F4">
        <w:rPr>
          <w:rStyle w:val="FootnoteReference"/>
        </w:rPr>
        <w:footnoteReference w:id="3"/>
      </w:r>
      <w:r>
        <w:t xml:space="preserve"> His goal was to influence the political and economic affairs of Germany without the interference of the Western allies, </w:t>
      </w:r>
      <w:proofErr w:type="gramStart"/>
      <w:r>
        <w:t>considering the fact that</w:t>
      </w:r>
      <w:proofErr w:type="gramEnd"/>
      <w:r>
        <w:t xml:space="preserve"> they were vehemently anti-communist, while his </w:t>
      </w:r>
      <w:r w:rsidR="00C474F4">
        <w:t xml:space="preserve">political ideologies were in stark contrast. </w:t>
      </w:r>
      <w:r w:rsidR="00CD7ECE">
        <w:t>His plan to create a totally communist Germany were not plans he made on in whim, instead they were well thought out during the Second World Wa</w:t>
      </w:r>
      <w:r w:rsidR="00B80D9F">
        <w:t xml:space="preserve">r. </w:t>
      </w:r>
      <w:r w:rsidR="009060FC">
        <w:t xml:space="preserve">For some historians, the conferences leading up to the post-World War Germany were reasons for the opposition of policies between the West and the East, shaping Stalin and the </w:t>
      </w:r>
      <w:r w:rsidR="00647E64">
        <w:t>U.S.</w:t>
      </w:r>
      <w:r w:rsidR="009060FC">
        <w:t>’s plans for Germany. According to Walter C Clemens Jr:</w:t>
      </w:r>
    </w:p>
    <w:p w14:paraId="4D803932" w14:textId="50CBD036" w:rsidR="009060FC" w:rsidRDefault="009060FC" w:rsidP="009060FC">
      <w:pPr>
        <w:ind w:left="720"/>
      </w:pPr>
      <w:r>
        <w:t>The conflicting interests of Moscow and the West were deeply embedded in the unsettled problems of Germany: Moscow wanted reparations from the whole of Germany including the Ruhr, whereas Washington and London wanted to develop a German economy that would be viable without massive Western subsidies. Moscow sought an all-German central government without discrimination against the Communist Party, and with competence to assure reparation payments, but the West favoured a Federal German structure to thwart either a fascist or a Communist take-over.</w:t>
      </w:r>
      <w:r>
        <w:rPr>
          <w:rStyle w:val="FootnoteReference"/>
        </w:rPr>
        <w:footnoteReference w:id="4"/>
      </w:r>
    </w:p>
    <w:p w14:paraId="7EB79F4D" w14:textId="635CE6C5" w:rsidR="00B05354" w:rsidRDefault="009060FC">
      <w:r>
        <w:t xml:space="preserve"> </w:t>
      </w:r>
      <w:r w:rsidR="00C474F4">
        <w:t xml:space="preserve">The first step towards his goal was to direct the cause of German dismemberment unto the </w:t>
      </w:r>
      <w:r w:rsidR="00647E64">
        <w:t>U.S.</w:t>
      </w:r>
      <w:r w:rsidR="00C474F4">
        <w:t xml:space="preserve"> and its allies.</w:t>
      </w:r>
      <w:r w:rsidR="00C02389">
        <w:t xml:space="preserve"> Raack notes:</w:t>
      </w:r>
    </w:p>
    <w:p w14:paraId="0313FC62" w14:textId="49852A2C" w:rsidR="00C474F4" w:rsidRDefault="00C474F4" w:rsidP="00C02389">
      <w:pPr>
        <w:ind w:left="720"/>
      </w:pPr>
      <w:r>
        <w:t>Just as the war ended, in fact on the very day the Soviets declared victory, Stalin openly denied that they had any plans for German dismemberment, while omitting to mention that there had been such a plan, and that he was its first author. His country, he insisted in a</w:t>
      </w:r>
      <w:r w:rsidR="00C02389">
        <w:t xml:space="preserve"> </w:t>
      </w:r>
      <w:r>
        <w:t>widely publicized Moscow speech, had no desire to divide or destroy Germany.</w:t>
      </w:r>
      <w:r w:rsidR="00C02389">
        <w:rPr>
          <w:rStyle w:val="FootnoteReference"/>
        </w:rPr>
        <w:footnoteReference w:id="5"/>
      </w:r>
    </w:p>
    <w:p w14:paraId="13F04C8D" w14:textId="64BD5011" w:rsidR="00C02389" w:rsidRDefault="00C02389" w:rsidP="00C02389">
      <w:r>
        <w:t xml:space="preserve">Stalin takes no accountability for his part in the </w:t>
      </w:r>
      <w:r w:rsidR="006B576F">
        <w:t xml:space="preserve">plans for </w:t>
      </w:r>
      <w:r>
        <w:t>dismemberment</w:t>
      </w:r>
      <w:r w:rsidR="00122DA1">
        <w:t>,</w:t>
      </w:r>
      <w:r>
        <w:t xml:space="preserve"> but instead hopes that his lack of involvement, albeit deceptively presented, would lure the German population into a false sense of security, while positioning the West as</w:t>
      </w:r>
      <w:r w:rsidR="00122DA1">
        <w:t xml:space="preserve"> vultures willing to feed on an already </w:t>
      </w:r>
      <w:r w:rsidR="00122DA1">
        <w:lastRenderedPageBreak/>
        <w:t xml:space="preserve">broken Germany. </w:t>
      </w:r>
      <w:r w:rsidR="006B576F">
        <w:t xml:space="preserve">His manipulative tactics </w:t>
      </w:r>
      <w:r w:rsidR="00BB3736">
        <w:t xml:space="preserve">would extend to the political parties in Germany where he would </w:t>
      </w:r>
      <w:r w:rsidR="00A774EA">
        <w:t>aim</w:t>
      </w:r>
      <w:r w:rsidR="00BB3736">
        <w:t xml:space="preserve"> to merge the Communist Party of Germany (KPD) and the Social Democratic Party of Germany (SPD). This merger was seen by Stalin as a method of securing sole control of Germany and the platform to expand the communist movement. </w:t>
      </w:r>
      <w:r w:rsidR="00A774EA">
        <w:rPr>
          <w:rStyle w:val="FootnoteReference"/>
        </w:rPr>
        <w:footnoteReference w:id="6"/>
      </w:r>
      <w:r w:rsidR="00BB3736">
        <w:t xml:space="preserve"> </w:t>
      </w:r>
    </w:p>
    <w:p w14:paraId="34BB265D" w14:textId="59F7BFC9" w:rsidR="0074341E" w:rsidRDefault="00A774EA" w:rsidP="0074341E">
      <w:pPr>
        <w:ind w:firstLine="720"/>
      </w:pPr>
      <w:r>
        <w:t>While Stalin’s plans were merely his own, the dismemberment of Germany gave rise to</w:t>
      </w:r>
      <w:r w:rsidR="00756BA2">
        <w:t xml:space="preserve"> a new relationship between the </w:t>
      </w:r>
      <w:r w:rsidR="00647E64">
        <w:t>U.S.</w:t>
      </w:r>
      <w:r w:rsidR="00756BA2">
        <w:t xml:space="preserve"> and the U</w:t>
      </w:r>
      <w:r w:rsidR="003255E1">
        <w:t>.</w:t>
      </w:r>
      <w:r w:rsidR="00756BA2">
        <w:t xml:space="preserve">K, which would </w:t>
      </w:r>
      <w:r w:rsidR="00D61780">
        <w:t xml:space="preserve">see them </w:t>
      </w:r>
      <w:r w:rsidR="00756BA2">
        <w:t xml:space="preserve">merge their respective west zones of Germany into Bizonia, </w:t>
      </w:r>
      <w:r w:rsidR="00D61780">
        <w:t>help</w:t>
      </w:r>
      <w:r w:rsidR="003255E1">
        <w:t>ing</w:t>
      </w:r>
      <w:r w:rsidR="00D61780">
        <w:t xml:space="preserve"> to further the </w:t>
      </w:r>
      <w:r w:rsidR="00647E64">
        <w:t>U.S.</w:t>
      </w:r>
      <w:r w:rsidR="00D61780">
        <w:t>’s plan for a shift towards capitalism</w:t>
      </w:r>
      <w:r w:rsidR="003255E1">
        <w:t xml:space="preserve"> in West Germany and Europe</w:t>
      </w:r>
      <w:r w:rsidR="00756BA2">
        <w:t xml:space="preserve">. Aldrich, </w:t>
      </w:r>
      <w:r w:rsidR="00847F23">
        <w:t>Cormac,</w:t>
      </w:r>
      <w:r w:rsidR="00756BA2">
        <w:t xml:space="preserve"> and Goodman suggest that “The decision to create ‘Bizonia’, a merged Anglo-American zone in 1947 (France joined in 1949), was too much for Stalin.”</w:t>
      </w:r>
      <w:r w:rsidR="00756BA2">
        <w:rPr>
          <w:rStyle w:val="FootnoteReference"/>
        </w:rPr>
        <w:footnoteReference w:id="7"/>
      </w:r>
      <w:r w:rsidR="00756BA2">
        <w:t xml:space="preserve"> </w:t>
      </w:r>
      <w:r w:rsidR="00847F23">
        <w:t xml:space="preserve">Bizonia would later become West Germany. </w:t>
      </w:r>
      <w:r w:rsidR="00756BA2">
        <w:t xml:space="preserve">This feeling by Stalin would push him to create the Berlin Blockade because he understood that a merger like this one would harm the chances of creating a fully communist Germany and </w:t>
      </w:r>
      <w:r w:rsidR="00021DB1">
        <w:t xml:space="preserve">would </w:t>
      </w:r>
      <w:r w:rsidR="00756BA2">
        <w:t>instead catapult West Germany from a broken state to a powerful entity</w:t>
      </w:r>
      <w:r w:rsidR="003555CA">
        <w:t xml:space="preserve">, </w:t>
      </w:r>
      <w:r w:rsidR="00021DB1">
        <w:t xml:space="preserve">and effectively </w:t>
      </w:r>
      <w:r w:rsidR="003555CA">
        <w:t xml:space="preserve">destabilising his influence in Germany as well as Europe. </w:t>
      </w:r>
      <w:r w:rsidR="000172D4">
        <w:t xml:space="preserve">His actions </w:t>
      </w:r>
      <w:r w:rsidR="00D61780">
        <w:t>would seem to be</w:t>
      </w:r>
      <w:r w:rsidR="000172D4">
        <w:t xml:space="preserve"> justified</w:t>
      </w:r>
      <w:r w:rsidR="00D61780">
        <w:t xml:space="preserve"> by the enacting of Harry Truman’s Marshall Plan</w:t>
      </w:r>
      <w:r w:rsidR="008F0575">
        <w:t>. The Marshall Plan was used as away to stabilise West Europe’s economy, creating a sustainable and capitalist community while upending Stalin’s push for communism. Dorpalen describes it as “a magnanimous and constructive measure to rehabilitate Europe.”</w:t>
      </w:r>
      <w:r w:rsidR="008F0575">
        <w:rPr>
          <w:rStyle w:val="FootnoteReference"/>
        </w:rPr>
        <w:footnoteReference w:id="8"/>
      </w:r>
      <w:r w:rsidR="00B07D34">
        <w:t xml:space="preserve"> It was one that would benefit the US greatly when it came to international relations as it was not only economically strategic but had significance politically. Alexander Weismann suggests that it was “a reversal from post-World War I (WWI) isolationism and generated long-lasting relations with other nations.”</w:t>
      </w:r>
      <w:r w:rsidR="00B07D34">
        <w:rPr>
          <w:rStyle w:val="FootnoteReference"/>
        </w:rPr>
        <w:footnoteReference w:id="9"/>
      </w:r>
      <w:r w:rsidR="00B07D34">
        <w:t xml:space="preserve"> Unfortunately, the USSR did not see how they would benefit from this plan, although there were many attempts to persuade them to see the intended outcome, Stalin remained a cynic. He instead viewed it as a competition to his own agendas Weismann states: </w:t>
      </w:r>
    </w:p>
    <w:p w14:paraId="2551EADC" w14:textId="713E8492" w:rsidR="00B07D34" w:rsidRPr="00FA65BB" w:rsidRDefault="00B07D34" w:rsidP="00B07D34">
      <w:pPr>
        <w:ind w:left="720"/>
      </w:pPr>
      <w:r>
        <w:t xml:space="preserve">Not surprisingly, the Soviet also opposed to the Marshall Plan. Stalin believed it was an anti-communist measure to promote democracy and a free-market economy, and he aimed to block it…the Allied powers tried to convince Soviet delegates of the </w:t>
      </w:r>
      <w:r w:rsidR="00FA65BB">
        <w:t xml:space="preserve">necessity of a European recovery program, </w:t>
      </w:r>
      <w:r w:rsidR="00FA65BB">
        <w:rPr>
          <w:sz w:val="22"/>
          <w:szCs w:val="20"/>
        </w:rPr>
        <w:t xml:space="preserve">[instead] </w:t>
      </w:r>
      <w:r w:rsidR="00FA65BB">
        <w:t>Soviet Foreign Minister Vyacheslav Molotov walked out of the negotiations, declaring the Plan “totally unsatisfactory.” [While] Stalin called the Marshall Plan “a ploy by Truman…to infiltrate European countries.”</w:t>
      </w:r>
      <w:r w:rsidR="00FA65BB">
        <w:rPr>
          <w:rStyle w:val="FootnoteReference"/>
        </w:rPr>
        <w:footnoteReference w:id="10"/>
      </w:r>
    </w:p>
    <w:p w14:paraId="62EF1893" w14:textId="603F5284" w:rsidR="00A774EA" w:rsidRDefault="001C2412" w:rsidP="00C02389">
      <w:r>
        <w:t>Essentially, the Soviet Union w</w:t>
      </w:r>
      <w:r w:rsidR="001767DC">
        <w:t>as</w:t>
      </w:r>
      <w:r>
        <w:t xml:space="preserve"> unwilling to chance the power that they would be guaranteed without the introduction of the Marshall Plan. </w:t>
      </w:r>
      <w:r w:rsidR="008F08CA">
        <w:t xml:space="preserve">For the US, stabilising the German economy would propel them to become significant in world trade. </w:t>
      </w:r>
      <w:r w:rsidR="00FA65BB">
        <w:t xml:space="preserve">Weismann believes that fear was a determining factor in the way Stalin viewed the Marshall Plan as it would introduce a new </w:t>
      </w:r>
      <w:r w:rsidR="00FA65BB">
        <w:lastRenderedPageBreak/>
        <w:t>perspective other than his own; democracy would become an option whereas, the people would willingly get rid of communism, halting his momentum.</w:t>
      </w:r>
      <w:r w:rsidR="00FA65BB">
        <w:rPr>
          <w:rStyle w:val="FootnoteReference"/>
        </w:rPr>
        <w:footnoteReference w:id="11"/>
      </w:r>
      <w:r w:rsidR="00847F23">
        <w:t xml:space="preserve"> </w:t>
      </w:r>
    </w:p>
    <w:p w14:paraId="38CA2B58" w14:textId="7C4A4014" w:rsidR="00C02389" w:rsidRDefault="006D497C" w:rsidP="00C02389">
      <w:r>
        <w:tab/>
      </w:r>
      <w:r w:rsidR="006454C7">
        <w:t>The Soviet Union and Stalin saw that their communist expansion going down the drain since it was clear that the US and the allied West had a more prominent influence in West Germany. This was not something that they could accept, so to combat the problem, Soviets looked to exert their power by causing a disruption in the movement of resources into West Berlin. Any access into Berlin was met with resistance by Soviet forces. Head states:</w:t>
      </w:r>
    </w:p>
    <w:p w14:paraId="75EB3034" w14:textId="6913F962" w:rsidR="006454C7" w:rsidRDefault="006454C7" w:rsidP="003667AE">
      <w:pPr>
        <w:ind w:left="720"/>
      </w:pPr>
      <w:r>
        <w:t xml:space="preserve">On March 25, </w:t>
      </w:r>
      <w:r w:rsidR="003667AE">
        <w:t>1948, Soviet</w:t>
      </w:r>
      <w:r>
        <w:t xml:space="preserve"> officials issued orders to restrict Western military and passenger traffic between “Trizone” and Berlin. The rest</w:t>
      </w:r>
      <w:r w:rsidR="003667AE">
        <w:t>rictions, in fact began on 1 April. They also upped the ante by announcing that cargo travelling from Berlin by rail had to have permission from the Soviet commander in Berlin before it could depart. Each train or truck was searched first.</w:t>
      </w:r>
      <w:r w:rsidR="003667AE">
        <w:rPr>
          <w:rStyle w:val="FootnoteReference"/>
        </w:rPr>
        <w:footnoteReference w:id="12"/>
      </w:r>
    </w:p>
    <w:p w14:paraId="2E1B8887" w14:textId="4DDE873F" w:rsidR="00827DD8" w:rsidRDefault="003667AE" w:rsidP="003667AE">
      <w:r>
        <w:t>With this change in behaviour, the Soviets had fired the first shot, albeit non-lethal, however it should have been a warning to the U</w:t>
      </w:r>
      <w:r w:rsidR="00647E64">
        <w:t>.</w:t>
      </w:r>
      <w:r>
        <w:t>S</w:t>
      </w:r>
      <w:r w:rsidR="00647E64">
        <w:t>.</w:t>
      </w:r>
      <w:r>
        <w:t xml:space="preserve"> and the West zone of Germany; it was a matter of telling them to fall in line with the Soviet’s plans or there could be consequences to non-compliance. Unfortunately, the Western allies, remained unfazed by Soviet action to keep them out of Germany, since they continued their economic plans for West Germany</w:t>
      </w:r>
      <w:r w:rsidR="00D81E61">
        <w:t xml:space="preserve"> by introducing a new currency, the Deutsche Mark. It was then that the minor changes in the travel system to West Berlin became a catastrophic problem. The Soviets were adamant about forcing the U</w:t>
      </w:r>
      <w:r w:rsidR="00647E64">
        <w:t>.</w:t>
      </w:r>
      <w:r w:rsidR="00D81E61">
        <w:t>S</w:t>
      </w:r>
      <w:r w:rsidR="00647E64">
        <w:t>.</w:t>
      </w:r>
      <w:r w:rsidR="00D81E61">
        <w:t xml:space="preserve"> out of Germany, so, the Berlin Blockade was put into full effect</w:t>
      </w:r>
      <w:r w:rsidR="00827DD8">
        <w:t xml:space="preserve"> on June 18, 1948</w:t>
      </w:r>
      <w:r w:rsidR="00D81E61">
        <w:t xml:space="preserve">. Any means of travel into West Berlin was </w:t>
      </w:r>
      <w:r w:rsidR="00827DD8">
        <w:t>off limits.</w:t>
      </w:r>
      <w:r w:rsidR="00D81E61">
        <w:t xml:space="preserve"> </w:t>
      </w:r>
    </w:p>
    <w:p w14:paraId="6170557E" w14:textId="155B8E1F" w:rsidR="003667AE" w:rsidRDefault="00827DD8" w:rsidP="00827DD8">
      <w:pPr>
        <w:ind w:left="720"/>
      </w:pPr>
      <w:r>
        <w:t>… Soviet Red Army forces moved to block land and water routes connecting the non-Soviet zones of Germany to the city of Berlin, and halted rail and barge traffic in and out of the capital city. The following day, they interrupted the supply of food to civilian population in the non-Soviet sections of Berlin.</w:t>
      </w:r>
      <w:r>
        <w:rPr>
          <w:rStyle w:val="FootnoteReference"/>
        </w:rPr>
        <w:footnoteReference w:id="13"/>
      </w:r>
      <w:r w:rsidR="00D81E61">
        <w:t xml:space="preserve"> </w:t>
      </w:r>
    </w:p>
    <w:p w14:paraId="51B9F91E" w14:textId="0BBAEDEC" w:rsidR="00827DD8" w:rsidRDefault="00827DD8" w:rsidP="00827DD8">
      <w:r>
        <w:t>Unsurprisingly, there was tension among the former allies, but it did not derail the West’s plans for an economically stable Germany. To combat the Berlin Blockade, the Berlin Airlift was explored as the solution for the problem since there was no legality that could prohibit them from utilising Berlin’s airspace.</w:t>
      </w:r>
      <w:r>
        <w:rPr>
          <w:rStyle w:val="FootnoteReference"/>
        </w:rPr>
        <w:footnoteReference w:id="14"/>
      </w:r>
      <w:r w:rsidR="001F45EE">
        <w:t xml:space="preserve"> According to Hents, “…the only way to enforce an air blockade and turn back the Western Allies aircraft would have been to shoot them down.</w:t>
      </w:r>
      <w:r w:rsidR="001F45EE">
        <w:rPr>
          <w:rStyle w:val="FootnoteReference"/>
        </w:rPr>
        <w:footnoteReference w:id="15"/>
      </w:r>
      <w:r w:rsidR="001F45EE">
        <w:t xml:space="preserve"> Unwittingly, Stalin’s blockade brought the U</w:t>
      </w:r>
      <w:r w:rsidR="00647E64">
        <w:t>.</w:t>
      </w:r>
      <w:r w:rsidR="001F45EE">
        <w:t>S</w:t>
      </w:r>
      <w:r w:rsidR="00647E64">
        <w:t>.</w:t>
      </w:r>
      <w:r w:rsidR="001F45EE">
        <w:t xml:space="preserve"> and U</w:t>
      </w:r>
      <w:r w:rsidR="00647E64">
        <w:t>.</w:t>
      </w:r>
      <w:r w:rsidR="001F45EE">
        <w:t>K’s military forces alliance to the forefront. With, both their agendas to stop communist expansion in Europe, the alliance worked simultaneously to plan and execute a successful airlift</w:t>
      </w:r>
      <w:r w:rsidR="00356EB1">
        <w:t xml:space="preserve">. </w:t>
      </w:r>
      <w:r w:rsidR="003F77C0">
        <w:t xml:space="preserve">Although the airlift seemed impractical at the time, the Western allies utilised every resource at their disposal; mathematical calculations of food </w:t>
      </w:r>
      <w:r w:rsidR="003F77C0">
        <w:lastRenderedPageBreak/>
        <w:t>sources, the aircrafts suitability for transport and a systematic breakdown of route distributions were considered during their assessment of the humanitarian crisis in Germany.</w:t>
      </w:r>
      <w:r w:rsidR="0049219B">
        <w:rPr>
          <w:rStyle w:val="FootnoteReference"/>
        </w:rPr>
        <w:footnoteReference w:id="16"/>
      </w:r>
      <w:r w:rsidR="003F77C0">
        <w:t xml:space="preserve"> Even with a solid plan, there were still problems that they would have to push through</w:t>
      </w:r>
      <w:r w:rsidR="0049219B">
        <w:t>; inexperience being one. Hents discusses:</w:t>
      </w:r>
    </w:p>
    <w:p w14:paraId="2C6679E9" w14:textId="0C80AF63" w:rsidR="0049219B" w:rsidRDefault="0049219B" w:rsidP="0049219B">
      <w:pPr>
        <w:ind w:left="720"/>
      </w:pPr>
      <w:r>
        <w:t>The officers and crews involved had a limited amount of airlift expertise. In short, aircraft sustainment was only just adequate, crews were not being used efficiently, transports stood idle too often and too long, necessary record-keeping was haphazard, and most crews were an ad hoc group of “desk personnel.”</w:t>
      </w:r>
      <w:r>
        <w:rPr>
          <w:rStyle w:val="FootnoteReference"/>
        </w:rPr>
        <w:footnoteReference w:id="17"/>
      </w:r>
    </w:p>
    <w:p w14:paraId="696DFDCB" w14:textId="2B0CE5EA" w:rsidR="0049219B" w:rsidRDefault="0049219B" w:rsidP="0049219B">
      <w:r>
        <w:t xml:space="preserve">The airlift would eventually begin to operate in an upward trajectory, supplying the West Berliners with the necessary resources to live. Meanwhile, the Soviets were casting doubt on </w:t>
      </w:r>
      <w:r w:rsidR="00944032">
        <w:t>the success</w:t>
      </w:r>
      <w:r>
        <w:t xml:space="preserve"> of the airlift, as well as the commitment of the Western allies to West Germany. </w:t>
      </w:r>
      <w:r w:rsidR="00944032">
        <w:t>However, the Soviet’s “campaign of psychological warfare”</w:t>
      </w:r>
      <w:r w:rsidR="00944032">
        <w:rPr>
          <w:rStyle w:val="FootnoteReference"/>
        </w:rPr>
        <w:footnoteReference w:id="18"/>
      </w:r>
      <w:r w:rsidR="00944032">
        <w:t xml:space="preserve"> did not prevail as West Berlin was confident in the support they were receiving from the U</w:t>
      </w:r>
      <w:r w:rsidR="00647E64">
        <w:t>.</w:t>
      </w:r>
      <w:r w:rsidR="00944032">
        <w:t>S</w:t>
      </w:r>
      <w:r w:rsidR="00647E64">
        <w:t>.</w:t>
      </w:r>
      <w:r w:rsidR="00944032">
        <w:t xml:space="preserve"> and other allies.</w:t>
      </w:r>
    </w:p>
    <w:p w14:paraId="32F0C9E9" w14:textId="77777777" w:rsidR="00647E64" w:rsidRDefault="00944032" w:rsidP="0049219B">
      <w:r>
        <w:tab/>
        <w:t>Even after the blockade was lifted, the airlift continued for a short period, whereas the tension between the West and the Soviets (East) was long-lasting. There was no recourse for the damaged inflicted on the political relations of both sides. The U</w:t>
      </w:r>
      <w:r w:rsidR="00D4737B">
        <w:t>.</w:t>
      </w:r>
      <w:r w:rsidR="00B948C6">
        <w:t>S</w:t>
      </w:r>
      <w:r w:rsidR="00647E64">
        <w:t>.</w:t>
      </w:r>
      <w:r>
        <w:t xml:space="preserve"> and its allies now understood what the Stalin</w:t>
      </w:r>
      <w:r w:rsidR="00B948C6">
        <w:t>’s</w:t>
      </w:r>
      <w:r>
        <w:t xml:space="preserve"> administration was capable of; seeing first hand that they would go to great lengths to protect their own political interests.</w:t>
      </w:r>
      <w:r w:rsidR="00B948C6">
        <w:t xml:space="preserve"> As a result, the U</w:t>
      </w:r>
      <w:r w:rsidR="00D4737B">
        <w:t>.</w:t>
      </w:r>
      <w:r w:rsidR="00B948C6">
        <w:t>S</w:t>
      </w:r>
      <w:r w:rsidR="00647E64">
        <w:t>.</w:t>
      </w:r>
      <w:r w:rsidR="00B948C6">
        <w:t xml:space="preserve"> resorted to presenting an organisation, the North Atlantic Treaty Organisation, which would be a response to any military or nuclear threats the Soviet Union could possibly take.</w:t>
      </w:r>
      <w:r w:rsidR="00D4737B">
        <w:t xml:space="preserve"> With the U.S</w:t>
      </w:r>
      <w:r w:rsidR="00647E64">
        <w:t>.</w:t>
      </w:r>
      <w:r w:rsidR="00D4737B">
        <w:t xml:space="preserve"> and its European allies, the organisation’s members would intervene if they were to be attacked by military and nuclear weapons</w:t>
      </w:r>
      <w:r w:rsidR="00647E64">
        <w:t>, with the U.S. being at the helm of it</w:t>
      </w:r>
      <w:r w:rsidR="00D4737B">
        <w:t>.</w:t>
      </w:r>
      <w:r w:rsidR="00647E64">
        <w:t xml:space="preserve"> As stated by Hoehn and Harting:</w:t>
      </w:r>
    </w:p>
    <w:p w14:paraId="463507D4" w14:textId="070DB5BA" w:rsidR="003255E1" w:rsidRDefault="00647E64" w:rsidP="003255E1">
      <w:pPr>
        <w:ind w:left="720"/>
      </w:pPr>
      <w:r>
        <w:t xml:space="preserve">In exchange for acknowledgement of U.S. leadership and for allies’ contributions to the </w:t>
      </w:r>
      <w:r w:rsidR="003255E1">
        <w:t>common defense, the United States was prepared to demonstrate its share in Western Europe’s security risks by committing itself militarily to the defense of NATO Europe. That commitment included the potential use of U.S. and, later, NATO-controlled nuclear weapons.</w:t>
      </w:r>
      <w:r w:rsidR="003255E1">
        <w:rPr>
          <w:rStyle w:val="FootnoteReference"/>
        </w:rPr>
        <w:footnoteReference w:id="19"/>
      </w:r>
    </w:p>
    <w:p w14:paraId="13CC571D" w14:textId="4C7B0B40" w:rsidR="00944032" w:rsidRDefault="003255E1" w:rsidP="003255E1">
      <w:r>
        <w:t>The proposal of such, extended to West Germany and was also in place</w:t>
      </w:r>
      <w:r w:rsidR="00D4737B">
        <w:t xml:space="preserve"> to “contain the soviet expansion</w:t>
      </w:r>
      <w:r w:rsidR="00647E64">
        <w:t>.”</w:t>
      </w:r>
      <w:r w:rsidR="00647E64">
        <w:rPr>
          <w:rStyle w:val="FootnoteReference"/>
        </w:rPr>
        <w:footnoteReference w:id="20"/>
      </w:r>
      <w:r w:rsidR="005863AF">
        <w:t xml:space="preserve"> </w:t>
      </w:r>
      <w:r w:rsidR="00F66154">
        <w:t xml:space="preserve">It forced the Soviet Union to hit back with its own organisation, the Warsaw Pact. Although it was much later than the formation NATO, the goal was ultimately the same as NATOs, however it was meant to guard Eastern Europe and the Soviet Union’s concerns. </w:t>
      </w:r>
      <w:r w:rsidR="00527E2A">
        <w:t>Brecher, Potter, and Durocher solidify this by stating:</w:t>
      </w:r>
    </w:p>
    <w:p w14:paraId="7891364A" w14:textId="1259A65C" w:rsidR="00F66154" w:rsidRDefault="00F66154" w:rsidP="00527E2A">
      <w:pPr>
        <w:ind w:left="720"/>
      </w:pPr>
      <w:r>
        <w:lastRenderedPageBreak/>
        <w:t xml:space="preserve">The USSR responded more </w:t>
      </w:r>
      <w:r w:rsidR="00527E2A">
        <w:t>slowly, …</w:t>
      </w:r>
      <w:r>
        <w:t xml:space="preserve"> It’s institutional response to NATO, the Warsaw</w:t>
      </w:r>
      <w:r w:rsidR="00527E2A">
        <w:t xml:space="preserve"> Pact, was formalized in 1955, reflecting the tight polarization between the two camps that was ushered in by the Berlin Blockade.</w:t>
      </w:r>
      <w:r w:rsidR="00527E2A">
        <w:rPr>
          <w:rStyle w:val="FootnoteReference"/>
        </w:rPr>
        <w:footnoteReference w:id="21"/>
      </w:r>
    </w:p>
    <w:p w14:paraId="60E006B4" w14:textId="5034B430" w:rsidR="00CC46E2" w:rsidRDefault="00527E2A" w:rsidP="00527E2A">
      <w:r>
        <w:tab/>
        <w:t>Ultimately, the Berlin Blockade, a significant event before the Cold War, was the catalyst for the strenuous political and ideological relationship between the U.S. and the Allied West and the USSR (East). Both sides, had clear ideas on how Germany</w:t>
      </w:r>
      <w:r w:rsidR="00E1275B">
        <w:t xml:space="preserve"> and Europe</w:t>
      </w:r>
      <w:r>
        <w:t xml:space="preserve"> should be brought into the future. While the Soviet Union believed in </w:t>
      </w:r>
      <w:r w:rsidR="00E1275B">
        <w:t xml:space="preserve">keeping Germany at bay </w:t>
      </w:r>
      <w:proofErr w:type="gramStart"/>
      <w:r w:rsidR="00E1275B">
        <w:t>in order for</w:t>
      </w:r>
      <w:proofErr w:type="gramEnd"/>
      <w:r w:rsidR="00E1275B">
        <w:t xml:space="preserve"> there to be an expansion in communism, the U.S. and its allies hoped stabilise Germany’s economy because capitalism seemed to be most beneficial. With the introduction of the Marshall Plan and a new German currency, the Deutsche Mark, Stalin saw his plans for a communist society floating aways. Therefore, his solution, the Berlin Blockade he hoped would prove to be a problem for the Allied West and a guaranteed retreat from West Germany. As a response to the blockade, the Allied West came up with what seemed to be an impossible task, the Berlin Airlift. </w:t>
      </w:r>
      <w:r w:rsidR="000E1EFA">
        <w:t>This solidified the U.S.’s position in Europe and brought discomfort to Stalin and the USSR. The fallout of the blockade and the airlift on the relations between the West and East were irreparable as both sides brought out counteractive measures to protect themselves from a military and nuclear attack by either side.</w:t>
      </w:r>
    </w:p>
    <w:p w14:paraId="10F17EB7" w14:textId="77777777" w:rsidR="00CC46E2" w:rsidRDefault="00CC46E2">
      <w:r>
        <w:br w:type="page"/>
      </w:r>
    </w:p>
    <w:p w14:paraId="064D1521" w14:textId="1D9C2BCA" w:rsidR="00CC46E2" w:rsidRDefault="00CC46E2" w:rsidP="00CC46E2">
      <w:pPr>
        <w:pStyle w:val="NormalWeb"/>
        <w:spacing w:before="0" w:beforeAutospacing="0" w:after="240" w:afterAutospacing="0" w:line="360" w:lineRule="auto"/>
        <w:ind w:left="720" w:hanging="720"/>
      </w:pPr>
      <w:r>
        <w:lastRenderedPageBreak/>
        <w:t>Bibliography</w:t>
      </w:r>
    </w:p>
    <w:p w14:paraId="4EC9FFF6" w14:textId="15F22A4A" w:rsidR="00CC46E2" w:rsidRDefault="00CC46E2" w:rsidP="00CC46E2">
      <w:pPr>
        <w:pStyle w:val="NormalWeb"/>
        <w:spacing w:before="0" w:beforeAutospacing="0" w:after="240" w:afterAutospacing="0" w:line="360" w:lineRule="auto"/>
        <w:ind w:left="720" w:hanging="720"/>
      </w:pPr>
      <w:r>
        <w:t xml:space="preserve">Begum, </w:t>
      </w:r>
      <w:proofErr w:type="gramStart"/>
      <w:r>
        <w:t>Imrana ,</w:t>
      </w:r>
      <w:proofErr w:type="gramEnd"/>
      <w:r>
        <w:t xml:space="preserve"> and Shabir Ahmad Khan, ‘Russia-NATO Uneasy Ties: Transformation, Cooperation to NATO Accession’, </w:t>
      </w:r>
      <w:r>
        <w:rPr>
          <w:i/>
          <w:iCs/>
        </w:rPr>
        <w:t>FWU Journal of Social Sciences</w:t>
      </w:r>
      <w:r>
        <w:t>, 17.1 (2023), 129–40</w:t>
      </w:r>
    </w:p>
    <w:p w14:paraId="366D7003" w14:textId="77777777" w:rsidR="00CC46E2" w:rsidRDefault="00CC46E2" w:rsidP="00CC46E2">
      <w:pPr>
        <w:pStyle w:val="NormalWeb"/>
        <w:spacing w:before="0" w:beforeAutospacing="0" w:after="240" w:afterAutospacing="0" w:line="360" w:lineRule="auto"/>
        <w:ind w:left="720" w:hanging="720"/>
      </w:pPr>
      <w:r>
        <w:t xml:space="preserve">Brecher, Michael, Philip B. K. Potter, and Anne-Marie Durocher, </w:t>
      </w:r>
      <w:r>
        <w:rPr>
          <w:i/>
          <w:iCs/>
        </w:rPr>
        <w:t>International Political Earthquakes</w:t>
      </w:r>
      <w:r>
        <w:t xml:space="preserve"> (Ann Arbor: University </w:t>
      </w:r>
      <w:proofErr w:type="gramStart"/>
      <w:r>
        <w:t>Of</w:t>
      </w:r>
      <w:proofErr w:type="gramEnd"/>
      <w:r>
        <w:t xml:space="preserve"> Michigan Press, 2008)</w:t>
      </w:r>
    </w:p>
    <w:p w14:paraId="1F6EEF4B" w14:textId="77777777" w:rsidR="00CC46E2" w:rsidRDefault="00CC46E2" w:rsidP="00CC46E2">
      <w:pPr>
        <w:pStyle w:val="NormalWeb"/>
        <w:spacing w:before="0" w:beforeAutospacing="0" w:after="240" w:afterAutospacing="0" w:line="360" w:lineRule="auto"/>
        <w:ind w:left="720" w:hanging="720"/>
      </w:pPr>
      <w:r>
        <w:t xml:space="preserve">Clemens Jr., Walter C., ‘The Soviet World Faces West: 1945-1970’, </w:t>
      </w:r>
      <w:r>
        <w:rPr>
          <w:i/>
          <w:iCs/>
        </w:rPr>
        <w:t>International Affairs (Royal Institute of International Affairs 1944-)</w:t>
      </w:r>
      <w:r>
        <w:t>, 46.3 (1970), 475–89</w:t>
      </w:r>
    </w:p>
    <w:p w14:paraId="7DDEDFAB" w14:textId="77777777" w:rsidR="00CC46E2" w:rsidRDefault="00CC46E2" w:rsidP="00CC46E2">
      <w:pPr>
        <w:pStyle w:val="NormalWeb"/>
        <w:spacing w:before="0" w:beforeAutospacing="0" w:after="240" w:afterAutospacing="0" w:line="360" w:lineRule="auto"/>
        <w:ind w:left="720" w:hanging="720"/>
      </w:pPr>
      <w:r>
        <w:t xml:space="preserve">Dorpalen, Andreas, ‘Russia and the Marshall Plan’, </w:t>
      </w:r>
      <w:r>
        <w:rPr>
          <w:i/>
          <w:iCs/>
        </w:rPr>
        <w:t>The Virginia Quarterly Review</w:t>
      </w:r>
      <w:r>
        <w:t>, 24.2 (1948), 187–97 &lt;https://www.jstor.org/stable/26439865&gt; [accessed 6 November 2023]</w:t>
      </w:r>
    </w:p>
    <w:p w14:paraId="6A3791A3" w14:textId="77777777" w:rsidR="00CC46E2" w:rsidRDefault="00CC46E2" w:rsidP="00CC46E2">
      <w:pPr>
        <w:pStyle w:val="NormalWeb"/>
        <w:spacing w:before="0" w:beforeAutospacing="0" w:after="240" w:afterAutospacing="0" w:line="360" w:lineRule="auto"/>
        <w:ind w:left="720" w:hanging="720"/>
      </w:pPr>
      <w:r>
        <w:t xml:space="preserve">Goodman, Michael S., Richard J. Aldrich, and Rory Cormac, </w:t>
      </w:r>
      <w:r>
        <w:rPr>
          <w:i/>
          <w:iCs/>
        </w:rPr>
        <w:t xml:space="preserve">Spying on the </w:t>
      </w:r>
      <w:proofErr w:type="gramStart"/>
      <w:r>
        <w:rPr>
          <w:i/>
          <w:iCs/>
        </w:rPr>
        <w:t>World :</w:t>
      </w:r>
      <w:proofErr w:type="gramEnd"/>
      <w:r>
        <w:rPr>
          <w:i/>
          <w:iCs/>
        </w:rPr>
        <w:t xml:space="preserve"> The Declassified Documents of the Joint Intelligence Committee</w:t>
      </w:r>
      <w:r>
        <w:t xml:space="preserve"> (Edinburgh: Edinburgh University Press, 2014)</w:t>
      </w:r>
    </w:p>
    <w:p w14:paraId="70DB176B" w14:textId="77777777" w:rsidR="00CC46E2" w:rsidRDefault="00CC46E2" w:rsidP="00CC46E2">
      <w:pPr>
        <w:pStyle w:val="NormalWeb"/>
        <w:spacing w:before="0" w:beforeAutospacing="0" w:after="240" w:afterAutospacing="0" w:line="360" w:lineRule="auto"/>
        <w:ind w:left="720" w:hanging="720"/>
      </w:pPr>
      <w:r>
        <w:t xml:space="preserve">Head, William P., ‘The Berlin Airlift: First Test of the U.S. Air Force’, </w:t>
      </w:r>
      <w:r>
        <w:rPr>
          <w:i/>
          <w:iCs/>
        </w:rPr>
        <w:t>Rockville: Air Force Historical Foundation; Air Power History</w:t>
      </w:r>
      <w:r>
        <w:t>, 68.3 (2021), 23–34</w:t>
      </w:r>
    </w:p>
    <w:p w14:paraId="201E51B8" w14:textId="77777777" w:rsidR="00CC46E2" w:rsidRDefault="00CC46E2" w:rsidP="00CC46E2">
      <w:pPr>
        <w:pStyle w:val="NormalWeb"/>
        <w:spacing w:before="0" w:beforeAutospacing="0" w:after="240" w:afterAutospacing="0" w:line="360" w:lineRule="auto"/>
        <w:ind w:left="720" w:hanging="720"/>
      </w:pPr>
      <w:r>
        <w:t xml:space="preserve">Hoehn, Andrew R, and Sarah Harting, </w:t>
      </w:r>
      <w:r>
        <w:rPr>
          <w:i/>
          <w:iCs/>
        </w:rPr>
        <w:t xml:space="preserve">Risking </w:t>
      </w:r>
      <w:proofErr w:type="gramStart"/>
      <w:r>
        <w:rPr>
          <w:i/>
          <w:iCs/>
        </w:rPr>
        <w:t>NATO :</w:t>
      </w:r>
      <w:proofErr w:type="gramEnd"/>
      <w:r>
        <w:rPr>
          <w:i/>
          <w:iCs/>
        </w:rPr>
        <w:t xml:space="preserve"> Testing the Limits of the Alliance in Afghanistan</w:t>
      </w:r>
      <w:r>
        <w:t xml:space="preserve"> (Santa Monica: Rand, Cop, 2010)</w:t>
      </w:r>
    </w:p>
    <w:p w14:paraId="4631BE69" w14:textId="77777777" w:rsidR="00CC46E2" w:rsidRDefault="00CC46E2" w:rsidP="00CC46E2">
      <w:pPr>
        <w:pStyle w:val="NormalWeb"/>
        <w:spacing w:before="0" w:beforeAutospacing="0" w:after="240" w:afterAutospacing="0" w:line="360" w:lineRule="auto"/>
        <w:ind w:left="720" w:hanging="720"/>
      </w:pPr>
      <w:r>
        <w:t xml:space="preserve">Kunz, Josef L., ‘The Status of Occupied Germany under International Law: A Legal Dilemma’, </w:t>
      </w:r>
      <w:r>
        <w:rPr>
          <w:i/>
          <w:iCs/>
        </w:rPr>
        <w:t>The Western Political Quarterly</w:t>
      </w:r>
      <w:r>
        <w:t>, 3.4 (1950), 538 &lt;https://doi.org/10.2307/442513&gt;</w:t>
      </w:r>
    </w:p>
    <w:p w14:paraId="7D628F51" w14:textId="77777777" w:rsidR="00CC46E2" w:rsidRDefault="00CC46E2" w:rsidP="00CC46E2">
      <w:pPr>
        <w:pStyle w:val="NormalWeb"/>
        <w:spacing w:before="0" w:beforeAutospacing="0" w:after="240" w:afterAutospacing="0" w:line="360" w:lineRule="auto"/>
        <w:ind w:left="720" w:hanging="720"/>
      </w:pPr>
      <w:r>
        <w:t xml:space="preserve">Raack, R.C., ‘Stalin Plans His Post-War Germany’, </w:t>
      </w:r>
      <w:r>
        <w:rPr>
          <w:i/>
          <w:iCs/>
        </w:rPr>
        <w:t>Journal of Contemporary History</w:t>
      </w:r>
      <w:r>
        <w:t>, 28.1 (1993), 53–73 &lt;https://doi.org/10.1177/002200949302800104&gt;</w:t>
      </w:r>
    </w:p>
    <w:p w14:paraId="49211A13" w14:textId="77777777" w:rsidR="00CC46E2" w:rsidRDefault="00CC46E2" w:rsidP="00CC46E2">
      <w:pPr>
        <w:pStyle w:val="NormalWeb"/>
        <w:spacing w:before="0" w:beforeAutospacing="0" w:after="240" w:afterAutospacing="0" w:line="360" w:lineRule="auto"/>
        <w:ind w:left="720" w:hanging="720"/>
      </w:pPr>
      <w:r>
        <w:t xml:space="preserve">Weismann, Alexander D, ‘Pivotal Politics—the Marshall Plan: A Turning Point in Foreign Aid and the Struggle for Democracy’, </w:t>
      </w:r>
      <w:r>
        <w:rPr>
          <w:i/>
          <w:iCs/>
        </w:rPr>
        <w:t>The History Teacher</w:t>
      </w:r>
      <w:r>
        <w:t>, 47.1 (2013), 111–29 &lt;https://www.jstor.org/stable/43264189&gt; [accessed 6 November 2023]</w:t>
      </w:r>
    </w:p>
    <w:p w14:paraId="4E77423B" w14:textId="153F102A" w:rsidR="00527E2A" w:rsidRPr="0080118A" w:rsidRDefault="00527E2A" w:rsidP="00527E2A"/>
    <w:sectPr w:rsidR="00527E2A" w:rsidRPr="0080118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26E9B" w14:textId="77777777" w:rsidR="008A0150" w:rsidRDefault="008A0150" w:rsidP="0034370E">
      <w:pPr>
        <w:spacing w:after="0" w:line="240" w:lineRule="auto"/>
      </w:pPr>
      <w:r>
        <w:separator/>
      </w:r>
    </w:p>
  </w:endnote>
  <w:endnote w:type="continuationSeparator" w:id="0">
    <w:p w14:paraId="1A1A8D1C" w14:textId="77777777" w:rsidR="008A0150" w:rsidRDefault="008A0150" w:rsidP="00343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C965D" w14:textId="77777777" w:rsidR="008A0150" w:rsidRDefault="008A0150" w:rsidP="0034370E">
      <w:pPr>
        <w:spacing w:after="0" w:line="240" w:lineRule="auto"/>
      </w:pPr>
      <w:r>
        <w:separator/>
      </w:r>
    </w:p>
  </w:footnote>
  <w:footnote w:type="continuationSeparator" w:id="0">
    <w:p w14:paraId="5C9B21B9" w14:textId="77777777" w:rsidR="008A0150" w:rsidRDefault="008A0150" w:rsidP="0034370E">
      <w:pPr>
        <w:spacing w:after="0" w:line="240" w:lineRule="auto"/>
      </w:pPr>
      <w:r>
        <w:continuationSeparator/>
      </w:r>
    </w:p>
  </w:footnote>
  <w:footnote w:id="1">
    <w:p w14:paraId="22535548" w14:textId="3249005A" w:rsidR="00B22EDF" w:rsidRPr="00B05354" w:rsidRDefault="00B22EDF" w:rsidP="00B22EDF">
      <w:pPr>
        <w:pStyle w:val="FootnoteText"/>
        <w:rPr>
          <w:lang w:val="en-US"/>
        </w:rPr>
      </w:pPr>
      <w:r>
        <w:rPr>
          <w:rStyle w:val="FootnoteReference"/>
        </w:rPr>
        <w:footnoteRef/>
      </w:r>
      <w:r>
        <w:t xml:space="preserve"> </w:t>
      </w:r>
      <w:r w:rsidR="00B80D9F" w:rsidRPr="00B80D9F">
        <w:t xml:space="preserve">Michael S. Goodman, Richard J. Aldrich, and Rory Cormac, </w:t>
      </w:r>
      <w:r w:rsidR="00B80D9F" w:rsidRPr="00B80D9F">
        <w:rPr>
          <w:i/>
          <w:iCs/>
        </w:rPr>
        <w:t>Spying on the World: The Declassified Documents of the Joint Intelligence Committee</w:t>
      </w:r>
      <w:r w:rsidR="00B80D9F" w:rsidRPr="00B80D9F">
        <w:t xml:space="preserve"> (Edinburgh: Edinburgh University Press, 2014).</w:t>
      </w:r>
    </w:p>
  </w:footnote>
  <w:footnote w:id="2">
    <w:p w14:paraId="35DA0046" w14:textId="45AB9FF6" w:rsidR="00CD7ECE" w:rsidRPr="00CD7ECE" w:rsidRDefault="00CD7ECE">
      <w:pPr>
        <w:pStyle w:val="FootnoteText"/>
        <w:rPr>
          <w:lang w:val="en-US"/>
        </w:rPr>
      </w:pPr>
      <w:r>
        <w:rPr>
          <w:rStyle w:val="FootnoteReference"/>
        </w:rPr>
        <w:footnoteRef/>
      </w:r>
      <w:r>
        <w:t xml:space="preserve"> </w:t>
      </w:r>
      <w:r w:rsidR="00B80D9F" w:rsidRPr="00B80D9F">
        <w:t xml:space="preserve">Josef L. Kunz, ‘The Status of Occupied Germany under International Law: A Legal Dilemma’, </w:t>
      </w:r>
      <w:r w:rsidR="00B80D9F" w:rsidRPr="00B80D9F">
        <w:rPr>
          <w:i/>
          <w:iCs/>
        </w:rPr>
        <w:t>The Western Political Quarterly</w:t>
      </w:r>
      <w:r w:rsidR="00B80D9F" w:rsidRPr="00B80D9F">
        <w:t>, 3.4 (1950), 538 &lt;</w:t>
      </w:r>
      <w:hyperlink r:id="rId1" w:history="1">
        <w:r w:rsidR="00B80D9F" w:rsidRPr="00B80D9F">
          <w:rPr>
            <w:rStyle w:val="Hyperlink"/>
          </w:rPr>
          <w:t>https://doi.org/10.2307/442513</w:t>
        </w:r>
      </w:hyperlink>
      <w:r w:rsidR="00B80D9F" w:rsidRPr="00B80D9F">
        <w:t>&gt;.</w:t>
      </w:r>
    </w:p>
  </w:footnote>
  <w:footnote w:id="3">
    <w:p w14:paraId="6D3295EB" w14:textId="69386038" w:rsidR="00C474F4" w:rsidRPr="00C474F4" w:rsidRDefault="00C474F4">
      <w:pPr>
        <w:pStyle w:val="FootnoteText"/>
        <w:rPr>
          <w:lang w:val="en-US"/>
        </w:rPr>
      </w:pPr>
      <w:r>
        <w:rPr>
          <w:rStyle w:val="FootnoteReference"/>
        </w:rPr>
        <w:footnoteRef/>
      </w:r>
      <w:r>
        <w:t xml:space="preserve"> </w:t>
      </w:r>
      <w:r w:rsidR="00B80D9F" w:rsidRPr="00B80D9F">
        <w:t xml:space="preserve">R.C. Raack, ‘Stalin Plans His Post-War Germany’, </w:t>
      </w:r>
      <w:r w:rsidR="00B80D9F" w:rsidRPr="00B80D9F">
        <w:rPr>
          <w:i/>
          <w:iCs/>
        </w:rPr>
        <w:t>Journal of Contemporary History</w:t>
      </w:r>
      <w:r w:rsidR="00B80D9F" w:rsidRPr="00B80D9F">
        <w:t>, 28.1 (1993), 53–73 &lt;</w:t>
      </w:r>
      <w:hyperlink r:id="rId2" w:history="1">
        <w:r w:rsidR="00B80D9F" w:rsidRPr="00B80D9F">
          <w:rPr>
            <w:rStyle w:val="Hyperlink"/>
          </w:rPr>
          <w:t>https://doi.org/10.1177/002200949302800104</w:t>
        </w:r>
      </w:hyperlink>
      <w:r w:rsidR="00B80D9F" w:rsidRPr="00B80D9F">
        <w:t>&gt;.</w:t>
      </w:r>
    </w:p>
  </w:footnote>
  <w:footnote w:id="4">
    <w:p w14:paraId="35FF9011" w14:textId="377CE8EC" w:rsidR="009060FC" w:rsidRPr="009060FC" w:rsidRDefault="009060FC">
      <w:pPr>
        <w:pStyle w:val="FootnoteText"/>
        <w:rPr>
          <w:lang w:val="en-US"/>
        </w:rPr>
      </w:pPr>
      <w:r>
        <w:rPr>
          <w:rStyle w:val="FootnoteReference"/>
        </w:rPr>
        <w:footnoteRef/>
      </w:r>
      <w:r>
        <w:t xml:space="preserve"> </w:t>
      </w:r>
      <w:r w:rsidR="006A7DBE" w:rsidRPr="006A7DBE">
        <w:t xml:space="preserve">Walter C. Clemens Jr., ‘The Soviet World Faces West: 1945-1970’, </w:t>
      </w:r>
      <w:r w:rsidR="006A7DBE" w:rsidRPr="006A7DBE">
        <w:rPr>
          <w:i/>
          <w:iCs/>
        </w:rPr>
        <w:t>International Affairs (Royal Institute of International Affairs 1944-)</w:t>
      </w:r>
      <w:r w:rsidR="006A7DBE" w:rsidRPr="006A7DBE">
        <w:t>, 46.3 (1970), 475–89.</w:t>
      </w:r>
    </w:p>
  </w:footnote>
  <w:footnote w:id="5">
    <w:p w14:paraId="14AFAF08" w14:textId="55147972" w:rsidR="00C02389" w:rsidRPr="00C02389" w:rsidRDefault="00C02389">
      <w:pPr>
        <w:pStyle w:val="FootnoteText"/>
        <w:rPr>
          <w:lang w:val="en-US"/>
        </w:rPr>
      </w:pPr>
      <w:r>
        <w:rPr>
          <w:rStyle w:val="FootnoteReference"/>
        </w:rPr>
        <w:footnoteRef/>
      </w:r>
      <w:r w:rsidR="00DF3D0B">
        <w:rPr>
          <w:lang w:val="en-US"/>
        </w:rPr>
        <w:t xml:space="preserve"> R.C. </w:t>
      </w:r>
      <w:proofErr w:type="spellStart"/>
      <w:r w:rsidR="00DF3D0B">
        <w:rPr>
          <w:lang w:val="en-US"/>
        </w:rPr>
        <w:t>Raacks</w:t>
      </w:r>
      <w:proofErr w:type="spellEnd"/>
      <w:r w:rsidR="00DF3D0B">
        <w:rPr>
          <w:lang w:val="en-US"/>
        </w:rPr>
        <w:t xml:space="preserve"> (1993</w:t>
      </w:r>
      <w:r w:rsidR="00C50349">
        <w:rPr>
          <w:lang w:val="en-US"/>
        </w:rPr>
        <w:t>, p.59</w:t>
      </w:r>
      <w:r w:rsidR="00DF3D0B">
        <w:rPr>
          <w:lang w:val="en-US"/>
        </w:rPr>
        <w:t>)</w:t>
      </w:r>
    </w:p>
  </w:footnote>
  <w:footnote w:id="6">
    <w:p w14:paraId="4DB58F1E" w14:textId="3E2418B4" w:rsidR="00A774EA" w:rsidRPr="00A774EA" w:rsidRDefault="00A774EA">
      <w:pPr>
        <w:pStyle w:val="FootnoteText"/>
        <w:rPr>
          <w:lang w:val="en-US"/>
        </w:rPr>
      </w:pPr>
      <w:r>
        <w:rPr>
          <w:rStyle w:val="FootnoteReference"/>
        </w:rPr>
        <w:footnoteRef/>
      </w:r>
      <w:r>
        <w:t xml:space="preserve"> </w:t>
      </w:r>
      <w:r w:rsidR="00DF3D0B">
        <w:rPr>
          <w:lang w:val="en-US"/>
        </w:rPr>
        <w:t>R.C. Raacks (1993</w:t>
      </w:r>
      <w:r w:rsidR="00C50349">
        <w:rPr>
          <w:lang w:val="en-US"/>
        </w:rPr>
        <w:t>, p.</w:t>
      </w:r>
      <w:r w:rsidR="00306C31">
        <w:rPr>
          <w:lang w:val="en-US"/>
        </w:rPr>
        <w:t>62</w:t>
      </w:r>
      <w:r w:rsidR="00DF3D0B">
        <w:rPr>
          <w:lang w:val="en-US"/>
        </w:rPr>
        <w:t>)</w:t>
      </w:r>
    </w:p>
  </w:footnote>
  <w:footnote w:id="7">
    <w:p w14:paraId="4866CB72" w14:textId="6AD99CFA" w:rsidR="00756BA2" w:rsidRPr="00756BA2" w:rsidRDefault="00756BA2">
      <w:pPr>
        <w:pStyle w:val="FootnoteText"/>
        <w:rPr>
          <w:lang w:val="en-US"/>
        </w:rPr>
      </w:pPr>
      <w:r>
        <w:rPr>
          <w:rStyle w:val="FootnoteReference"/>
        </w:rPr>
        <w:footnoteRef/>
      </w:r>
      <w:r>
        <w:t xml:space="preserve"> </w:t>
      </w:r>
      <w:r w:rsidR="00DF3D0B" w:rsidRPr="00B80D9F">
        <w:t>Michael S. Goodman, Richard J. Aldrich, and Rory Cormac</w:t>
      </w:r>
      <w:r w:rsidR="00C50349">
        <w:t xml:space="preserve"> </w:t>
      </w:r>
      <w:r w:rsidR="00DF3D0B">
        <w:t>(2014</w:t>
      </w:r>
      <w:r w:rsidR="00C50349">
        <w:t>, p.156</w:t>
      </w:r>
      <w:r w:rsidR="00DF3D0B">
        <w:t>)</w:t>
      </w:r>
    </w:p>
  </w:footnote>
  <w:footnote w:id="8">
    <w:p w14:paraId="28478558" w14:textId="2F889B4A" w:rsidR="008F0575" w:rsidRPr="008F0575" w:rsidRDefault="008F0575">
      <w:pPr>
        <w:pStyle w:val="FootnoteText"/>
        <w:rPr>
          <w:lang w:val="en-US"/>
        </w:rPr>
      </w:pPr>
      <w:r>
        <w:rPr>
          <w:rStyle w:val="FootnoteReference"/>
        </w:rPr>
        <w:footnoteRef/>
      </w:r>
      <w:r>
        <w:t xml:space="preserve"> </w:t>
      </w:r>
      <w:r w:rsidR="00DF3D0B" w:rsidRPr="00DF3D0B">
        <w:t xml:space="preserve">Andreas Dorpalen, ‘Russia and the Marshall Plan’, </w:t>
      </w:r>
      <w:r w:rsidR="00DF3D0B" w:rsidRPr="00DF3D0B">
        <w:rPr>
          <w:i/>
          <w:iCs/>
        </w:rPr>
        <w:t>The Virginia Quarterly Review</w:t>
      </w:r>
      <w:r w:rsidR="00DF3D0B" w:rsidRPr="00DF3D0B">
        <w:t>, 24.2 (1948), 187–97 &lt;</w:t>
      </w:r>
      <w:hyperlink r:id="rId3" w:history="1">
        <w:r w:rsidR="00DF3D0B" w:rsidRPr="00DF3D0B">
          <w:rPr>
            <w:rStyle w:val="Hyperlink"/>
          </w:rPr>
          <w:t>https://www.jstor.org/stable/26439865</w:t>
        </w:r>
      </w:hyperlink>
      <w:r w:rsidR="00DF3D0B" w:rsidRPr="00DF3D0B">
        <w:t>&gt; [accessed 6 November 2023].</w:t>
      </w:r>
    </w:p>
  </w:footnote>
  <w:footnote w:id="9">
    <w:p w14:paraId="5AD71497" w14:textId="67E14C50" w:rsidR="00B07D34" w:rsidRPr="00B07D34" w:rsidRDefault="00B07D34">
      <w:pPr>
        <w:pStyle w:val="FootnoteText"/>
        <w:rPr>
          <w:lang w:val="en-US"/>
        </w:rPr>
      </w:pPr>
      <w:r>
        <w:rPr>
          <w:rStyle w:val="FootnoteReference"/>
        </w:rPr>
        <w:footnoteRef/>
      </w:r>
      <w:r>
        <w:t xml:space="preserve"> </w:t>
      </w:r>
      <w:bookmarkStart w:id="0" w:name="_Hlk151037625"/>
      <w:r w:rsidRPr="00B07D34">
        <w:t>Alexander D Weismann</w:t>
      </w:r>
      <w:bookmarkEnd w:id="0"/>
      <w:r w:rsidRPr="00B07D34">
        <w:t xml:space="preserve">, ‘Pivotal Politics—the Marshall Plan: A Turning Point in Foreign Aid and the Struggle for Democracy’, </w:t>
      </w:r>
      <w:r w:rsidRPr="00B07D34">
        <w:rPr>
          <w:i/>
          <w:iCs/>
        </w:rPr>
        <w:t>The History Teacher</w:t>
      </w:r>
      <w:r w:rsidRPr="00B07D34">
        <w:t>, 47.1 (2013), 111–29 &lt;</w:t>
      </w:r>
      <w:hyperlink r:id="rId4" w:history="1">
        <w:r w:rsidRPr="00B07D34">
          <w:rPr>
            <w:rStyle w:val="Hyperlink"/>
          </w:rPr>
          <w:t>https://www.jstor.org/stable/43264189</w:t>
        </w:r>
      </w:hyperlink>
      <w:r w:rsidRPr="00B07D34">
        <w:t>&gt; [accessed 6 November 2023].</w:t>
      </w:r>
    </w:p>
  </w:footnote>
  <w:footnote w:id="10">
    <w:p w14:paraId="0670B95F" w14:textId="1BA81EAC" w:rsidR="00FA65BB" w:rsidRPr="00FA65BB" w:rsidRDefault="00FA65BB">
      <w:pPr>
        <w:pStyle w:val="FootnoteText"/>
        <w:rPr>
          <w:lang w:val="en-US"/>
        </w:rPr>
      </w:pPr>
      <w:r>
        <w:rPr>
          <w:rStyle w:val="FootnoteReference"/>
        </w:rPr>
        <w:footnoteRef/>
      </w:r>
      <w:r>
        <w:t xml:space="preserve"> </w:t>
      </w:r>
      <w:r w:rsidRPr="00FA65BB">
        <w:t>Alexander D Weismann</w:t>
      </w:r>
      <w:r>
        <w:t xml:space="preserve"> (2013, p.114)</w:t>
      </w:r>
    </w:p>
  </w:footnote>
  <w:footnote w:id="11">
    <w:p w14:paraId="3154075A" w14:textId="77777777" w:rsidR="00FA65BB" w:rsidRPr="00FA65BB" w:rsidRDefault="00FA65BB" w:rsidP="00FA65BB">
      <w:pPr>
        <w:pStyle w:val="FootnoteText"/>
        <w:rPr>
          <w:lang w:val="en-US"/>
        </w:rPr>
      </w:pPr>
      <w:r>
        <w:rPr>
          <w:rStyle w:val="FootnoteReference"/>
        </w:rPr>
        <w:footnoteRef/>
      </w:r>
      <w:r>
        <w:t xml:space="preserve"> </w:t>
      </w:r>
      <w:r w:rsidRPr="00FA65BB">
        <w:t>Alexander D Weismann</w:t>
      </w:r>
      <w:r>
        <w:t xml:space="preserve"> (2013, p.114)</w:t>
      </w:r>
    </w:p>
    <w:p w14:paraId="38FC5784" w14:textId="7FAACD26" w:rsidR="00FA65BB" w:rsidRPr="00FA65BB" w:rsidRDefault="00FA65BB">
      <w:pPr>
        <w:pStyle w:val="FootnoteText"/>
        <w:rPr>
          <w:lang w:val="en-US"/>
        </w:rPr>
      </w:pPr>
    </w:p>
  </w:footnote>
  <w:footnote w:id="12">
    <w:p w14:paraId="3E530F26" w14:textId="7D6C916C" w:rsidR="003667AE" w:rsidRPr="003667AE" w:rsidRDefault="003667AE">
      <w:pPr>
        <w:pStyle w:val="FootnoteText"/>
        <w:rPr>
          <w:lang w:val="en-US"/>
        </w:rPr>
      </w:pPr>
      <w:r>
        <w:rPr>
          <w:rStyle w:val="FootnoteReference"/>
        </w:rPr>
        <w:footnoteRef/>
      </w:r>
      <w:r>
        <w:t xml:space="preserve"> </w:t>
      </w:r>
      <w:r w:rsidR="00A934E8">
        <w:t xml:space="preserve">William P. Head, ‘The Berlin Airlift: First Test of the U.S. Air Force’, </w:t>
      </w:r>
      <w:r w:rsidR="00A934E8">
        <w:rPr>
          <w:i/>
          <w:iCs/>
        </w:rPr>
        <w:t>Rockville: Air Force Historical Foundation; Air Power History</w:t>
      </w:r>
      <w:r w:rsidR="00A934E8">
        <w:t>, 68.3 (2021), 23–34.</w:t>
      </w:r>
    </w:p>
  </w:footnote>
  <w:footnote w:id="13">
    <w:p w14:paraId="7467EA8A" w14:textId="7496E778" w:rsidR="00827DD8" w:rsidRPr="00827DD8" w:rsidRDefault="00827DD8">
      <w:pPr>
        <w:pStyle w:val="FootnoteText"/>
        <w:rPr>
          <w:lang w:val="en-US"/>
        </w:rPr>
      </w:pPr>
      <w:r>
        <w:rPr>
          <w:rStyle w:val="FootnoteReference"/>
        </w:rPr>
        <w:footnoteRef/>
      </w:r>
      <w:r>
        <w:t xml:space="preserve"> </w:t>
      </w:r>
      <w:r w:rsidR="00A934E8">
        <w:t>William P. Head (2021, p.25)</w:t>
      </w:r>
    </w:p>
  </w:footnote>
  <w:footnote w:id="14">
    <w:p w14:paraId="4653EC3A" w14:textId="20F6AFD3" w:rsidR="00827DD8" w:rsidRPr="00827DD8" w:rsidRDefault="00827DD8">
      <w:pPr>
        <w:pStyle w:val="FootnoteText"/>
        <w:rPr>
          <w:lang w:val="en-US"/>
        </w:rPr>
      </w:pPr>
      <w:r>
        <w:rPr>
          <w:rStyle w:val="FootnoteReference"/>
        </w:rPr>
        <w:footnoteRef/>
      </w:r>
      <w:r>
        <w:t xml:space="preserve"> </w:t>
      </w:r>
      <w:r w:rsidR="00A934E8">
        <w:t>William P. Head (2021, p.25)</w:t>
      </w:r>
    </w:p>
  </w:footnote>
  <w:footnote w:id="15">
    <w:p w14:paraId="13788C2A" w14:textId="5EE9549F" w:rsidR="001F45EE" w:rsidRPr="001F45EE" w:rsidRDefault="001F45EE">
      <w:pPr>
        <w:pStyle w:val="FootnoteText"/>
        <w:rPr>
          <w:lang w:val="en-US"/>
        </w:rPr>
      </w:pPr>
      <w:r>
        <w:rPr>
          <w:rStyle w:val="FootnoteReference"/>
        </w:rPr>
        <w:footnoteRef/>
      </w:r>
      <w:r>
        <w:t xml:space="preserve"> </w:t>
      </w:r>
      <w:r w:rsidR="00A934E8">
        <w:t>William P. Head (2021, p.26)</w:t>
      </w:r>
    </w:p>
  </w:footnote>
  <w:footnote w:id="16">
    <w:p w14:paraId="6735C128" w14:textId="7BA10F09" w:rsidR="0049219B" w:rsidRPr="0049219B" w:rsidRDefault="0049219B">
      <w:pPr>
        <w:pStyle w:val="FootnoteText"/>
        <w:rPr>
          <w:lang w:val="en-US"/>
        </w:rPr>
      </w:pPr>
      <w:r>
        <w:rPr>
          <w:rStyle w:val="FootnoteReference"/>
        </w:rPr>
        <w:footnoteRef/>
      </w:r>
      <w:r>
        <w:t xml:space="preserve"> </w:t>
      </w:r>
      <w:r w:rsidR="00A934E8">
        <w:t>William P. Head (2021, p.26)</w:t>
      </w:r>
    </w:p>
  </w:footnote>
  <w:footnote w:id="17">
    <w:p w14:paraId="3FD5183F" w14:textId="10855CD6" w:rsidR="0049219B" w:rsidRPr="0049219B" w:rsidRDefault="0049219B">
      <w:pPr>
        <w:pStyle w:val="FootnoteText"/>
        <w:rPr>
          <w:lang w:val="en-US"/>
        </w:rPr>
      </w:pPr>
      <w:r>
        <w:rPr>
          <w:rStyle w:val="FootnoteReference"/>
        </w:rPr>
        <w:footnoteRef/>
      </w:r>
      <w:r>
        <w:t xml:space="preserve"> </w:t>
      </w:r>
      <w:r w:rsidR="00A934E8">
        <w:t xml:space="preserve">William P. Head (2021, </w:t>
      </w:r>
      <w:r w:rsidR="003255E1">
        <w:t>p.28)</w:t>
      </w:r>
    </w:p>
  </w:footnote>
  <w:footnote w:id="18">
    <w:p w14:paraId="5580C78A" w14:textId="51FB66DF" w:rsidR="00944032" w:rsidRPr="00944032" w:rsidRDefault="00944032">
      <w:pPr>
        <w:pStyle w:val="FootnoteText"/>
        <w:rPr>
          <w:lang w:val="en-US"/>
        </w:rPr>
      </w:pPr>
      <w:r>
        <w:rPr>
          <w:rStyle w:val="FootnoteReference"/>
        </w:rPr>
        <w:footnoteRef/>
      </w:r>
      <w:r>
        <w:t xml:space="preserve"> </w:t>
      </w:r>
      <w:r w:rsidR="003255E1">
        <w:t>William P. Head (2021, p.28)</w:t>
      </w:r>
    </w:p>
  </w:footnote>
  <w:footnote w:id="19">
    <w:p w14:paraId="34014FDA" w14:textId="42FDA1AC" w:rsidR="003255E1" w:rsidRPr="003255E1" w:rsidRDefault="003255E1">
      <w:pPr>
        <w:pStyle w:val="FootnoteText"/>
        <w:rPr>
          <w:lang w:val="en-US"/>
        </w:rPr>
      </w:pPr>
      <w:r>
        <w:rPr>
          <w:rStyle w:val="FootnoteReference"/>
        </w:rPr>
        <w:footnoteRef/>
      </w:r>
      <w:r>
        <w:t xml:space="preserve"> </w:t>
      </w:r>
      <w:r w:rsidR="005863AF">
        <w:t xml:space="preserve">Andrew R Hoehn and Sarah Harting, </w:t>
      </w:r>
      <w:r w:rsidR="005863AF">
        <w:rPr>
          <w:i/>
          <w:iCs/>
        </w:rPr>
        <w:t>Risking NATO: Testing the Limits of the Alliance in Afghanistan</w:t>
      </w:r>
      <w:r w:rsidR="005863AF">
        <w:t xml:space="preserve"> (Santa Monica: Rand, Cop, 2010).</w:t>
      </w:r>
    </w:p>
  </w:footnote>
  <w:footnote w:id="20">
    <w:p w14:paraId="0EF97655" w14:textId="024F6D4A" w:rsidR="00647E64" w:rsidRPr="00647E64" w:rsidRDefault="00647E64">
      <w:pPr>
        <w:pStyle w:val="FootnoteText"/>
        <w:rPr>
          <w:lang w:val="en-US"/>
        </w:rPr>
      </w:pPr>
      <w:r>
        <w:rPr>
          <w:rStyle w:val="FootnoteReference"/>
        </w:rPr>
        <w:footnoteRef/>
      </w:r>
      <w:r>
        <w:t xml:space="preserve"> </w:t>
      </w:r>
      <w:r w:rsidR="005863AF">
        <w:t xml:space="preserve">Imrana Begum and Shabir Ahmad Khan, ‘Russia-NATO Uneasy Ties: Transformation, Cooperation to NATO Accession’, </w:t>
      </w:r>
      <w:r w:rsidR="005863AF">
        <w:rPr>
          <w:i/>
          <w:iCs/>
        </w:rPr>
        <w:t>FWU Journal of Social Sciences</w:t>
      </w:r>
      <w:r w:rsidR="005863AF">
        <w:t>, 17.1 (2023), 129–140.</w:t>
      </w:r>
    </w:p>
  </w:footnote>
  <w:footnote w:id="21">
    <w:p w14:paraId="54D60708" w14:textId="6DD931A2" w:rsidR="00527E2A" w:rsidRPr="00527E2A" w:rsidRDefault="00527E2A">
      <w:pPr>
        <w:pStyle w:val="FootnoteText"/>
        <w:rPr>
          <w:lang w:val="en-US"/>
        </w:rPr>
      </w:pPr>
      <w:r>
        <w:rPr>
          <w:rStyle w:val="FootnoteReference"/>
        </w:rPr>
        <w:footnoteRef/>
      </w:r>
      <w:r>
        <w:t xml:space="preserve">Michael Brecher, Philip B. K. Potter, and Anne-Marie Durocher, </w:t>
      </w:r>
      <w:r>
        <w:rPr>
          <w:i/>
          <w:iCs/>
        </w:rPr>
        <w:t>International Political Earthquakes</w:t>
      </w:r>
      <w:r>
        <w:t xml:space="preserve"> (Ann Arbor: University </w:t>
      </w:r>
      <w:proofErr w:type="gramStart"/>
      <w:r>
        <w:t>Of</w:t>
      </w:r>
      <w:proofErr w:type="gramEnd"/>
      <w:r>
        <w:t xml:space="preserve"> Michigan Press, 2008).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78A"/>
    <w:rsid w:val="000172D4"/>
    <w:rsid w:val="00021DB1"/>
    <w:rsid w:val="00073F46"/>
    <w:rsid w:val="000A5452"/>
    <w:rsid w:val="000C36BA"/>
    <w:rsid w:val="000E1EFA"/>
    <w:rsid w:val="00122DA1"/>
    <w:rsid w:val="00145F8A"/>
    <w:rsid w:val="001767DC"/>
    <w:rsid w:val="001A7092"/>
    <w:rsid w:val="001C2412"/>
    <w:rsid w:val="001F45EE"/>
    <w:rsid w:val="002137E4"/>
    <w:rsid w:val="00222B4E"/>
    <w:rsid w:val="00306C31"/>
    <w:rsid w:val="003255E1"/>
    <w:rsid w:val="0034370E"/>
    <w:rsid w:val="003555CA"/>
    <w:rsid w:val="00356EB1"/>
    <w:rsid w:val="003667AE"/>
    <w:rsid w:val="00367160"/>
    <w:rsid w:val="003E62D8"/>
    <w:rsid w:val="003F453A"/>
    <w:rsid w:val="003F77C0"/>
    <w:rsid w:val="004350E3"/>
    <w:rsid w:val="0049219B"/>
    <w:rsid w:val="00502A05"/>
    <w:rsid w:val="00527E2A"/>
    <w:rsid w:val="005822B7"/>
    <w:rsid w:val="005863AF"/>
    <w:rsid w:val="00606F7B"/>
    <w:rsid w:val="006454C7"/>
    <w:rsid w:val="00647E64"/>
    <w:rsid w:val="006A7DBE"/>
    <w:rsid w:val="006B576F"/>
    <w:rsid w:val="006D497C"/>
    <w:rsid w:val="0072675C"/>
    <w:rsid w:val="0074341E"/>
    <w:rsid w:val="00756BA2"/>
    <w:rsid w:val="007C5983"/>
    <w:rsid w:val="007D1736"/>
    <w:rsid w:val="0080118A"/>
    <w:rsid w:val="00827DD8"/>
    <w:rsid w:val="00847F23"/>
    <w:rsid w:val="0089719B"/>
    <w:rsid w:val="008A0150"/>
    <w:rsid w:val="008B3C2E"/>
    <w:rsid w:val="008D7DA3"/>
    <w:rsid w:val="008F0575"/>
    <w:rsid w:val="008F08CA"/>
    <w:rsid w:val="009060FC"/>
    <w:rsid w:val="00944032"/>
    <w:rsid w:val="00A774EA"/>
    <w:rsid w:val="00A934E8"/>
    <w:rsid w:val="00AB1E9F"/>
    <w:rsid w:val="00B05354"/>
    <w:rsid w:val="00B07D34"/>
    <w:rsid w:val="00B22EDF"/>
    <w:rsid w:val="00B80D9F"/>
    <w:rsid w:val="00B948C6"/>
    <w:rsid w:val="00BB3736"/>
    <w:rsid w:val="00BC5A77"/>
    <w:rsid w:val="00C02389"/>
    <w:rsid w:val="00C474F4"/>
    <w:rsid w:val="00C50349"/>
    <w:rsid w:val="00CC46E2"/>
    <w:rsid w:val="00CD7ECE"/>
    <w:rsid w:val="00D4737B"/>
    <w:rsid w:val="00D61780"/>
    <w:rsid w:val="00D81E61"/>
    <w:rsid w:val="00D8478A"/>
    <w:rsid w:val="00DF3D0B"/>
    <w:rsid w:val="00E1275B"/>
    <w:rsid w:val="00E96C07"/>
    <w:rsid w:val="00F66154"/>
    <w:rsid w:val="00F705CB"/>
    <w:rsid w:val="00FA65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889743"/>
  <w15:chartTrackingRefBased/>
  <w15:docId w15:val="{11E51B3F-E06F-4674-8D65-9D0FA444F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F46"/>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437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370E"/>
    <w:rPr>
      <w:sz w:val="20"/>
      <w:szCs w:val="20"/>
      <w:lang w:val="en-GB"/>
    </w:rPr>
  </w:style>
  <w:style w:type="character" w:styleId="FootnoteReference">
    <w:name w:val="footnote reference"/>
    <w:basedOn w:val="DefaultParagraphFont"/>
    <w:uiPriority w:val="99"/>
    <w:semiHidden/>
    <w:unhideWhenUsed/>
    <w:rsid w:val="0034370E"/>
    <w:rPr>
      <w:vertAlign w:val="superscript"/>
    </w:rPr>
  </w:style>
  <w:style w:type="character" w:styleId="Hyperlink">
    <w:name w:val="Hyperlink"/>
    <w:basedOn w:val="DefaultParagraphFont"/>
    <w:uiPriority w:val="99"/>
    <w:unhideWhenUsed/>
    <w:rsid w:val="00B80D9F"/>
    <w:rPr>
      <w:color w:val="0563C1" w:themeColor="hyperlink"/>
      <w:u w:val="single"/>
    </w:rPr>
  </w:style>
  <w:style w:type="character" w:styleId="UnresolvedMention">
    <w:name w:val="Unresolved Mention"/>
    <w:basedOn w:val="DefaultParagraphFont"/>
    <w:uiPriority w:val="99"/>
    <w:semiHidden/>
    <w:unhideWhenUsed/>
    <w:rsid w:val="00B80D9F"/>
    <w:rPr>
      <w:color w:val="605E5C"/>
      <w:shd w:val="clear" w:color="auto" w:fill="E1DFDD"/>
    </w:rPr>
  </w:style>
  <w:style w:type="paragraph" w:styleId="NormalWeb">
    <w:name w:val="Normal (Web)"/>
    <w:basedOn w:val="Normal"/>
    <w:uiPriority w:val="99"/>
    <w:semiHidden/>
    <w:unhideWhenUsed/>
    <w:rsid w:val="00CC46E2"/>
    <w:pPr>
      <w:spacing w:before="100" w:beforeAutospacing="1" w:after="100" w:afterAutospacing="1" w:line="240" w:lineRule="auto"/>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836377">
      <w:bodyDiv w:val="1"/>
      <w:marLeft w:val="0"/>
      <w:marRight w:val="0"/>
      <w:marTop w:val="0"/>
      <w:marBottom w:val="0"/>
      <w:divBdr>
        <w:top w:val="none" w:sz="0" w:space="0" w:color="auto"/>
        <w:left w:val="none" w:sz="0" w:space="0" w:color="auto"/>
        <w:bottom w:val="none" w:sz="0" w:space="0" w:color="auto"/>
        <w:right w:val="none" w:sz="0" w:space="0" w:color="auto"/>
      </w:divBdr>
      <w:divsChild>
        <w:div w:id="1270964235">
          <w:marLeft w:val="0"/>
          <w:marRight w:val="0"/>
          <w:marTop w:val="0"/>
          <w:marBottom w:val="0"/>
          <w:divBdr>
            <w:top w:val="none" w:sz="0" w:space="0" w:color="auto"/>
            <w:left w:val="none" w:sz="0" w:space="0" w:color="auto"/>
            <w:bottom w:val="none" w:sz="0" w:space="0" w:color="auto"/>
            <w:right w:val="none" w:sz="0" w:space="0" w:color="auto"/>
          </w:divBdr>
          <w:divsChild>
            <w:div w:id="82315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310774">
      <w:bodyDiv w:val="1"/>
      <w:marLeft w:val="0"/>
      <w:marRight w:val="0"/>
      <w:marTop w:val="0"/>
      <w:marBottom w:val="0"/>
      <w:divBdr>
        <w:top w:val="none" w:sz="0" w:space="0" w:color="auto"/>
        <w:left w:val="none" w:sz="0" w:space="0" w:color="auto"/>
        <w:bottom w:val="none" w:sz="0" w:space="0" w:color="auto"/>
        <w:right w:val="none" w:sz="0" w:space="0" w:color="auto"/>
      </w:divBdr>
      <w:divsChild>
        <w:div w:id="87936722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26439865" TargetMode="External"/><Relationship Id="rId2" Type="http://schemas.openxmlformats.org/officeDocument/2006/relationships/hyperlink" Target="https://doi.org/10.1177/002200949302800104" TargetMode="External"/><Relationship Id="rId1" Type="http://schemas.openxmlformats.org/officeDocument/2006/relationships/hyperlink" Target="https://doi.org/10.2307/442513" TargetMode="External"/><Relationship Id="rId4" Type="http://schemas.openxmlformats.org/officeDocument/2006/relationships/hyperlink" Target="https://www.jstor.org/stable/432641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BEFA7-F9F9-4716-8B65-7BFF8BB5D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2574</Words>
  <Characters>14676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2</cp:revision>
  <dcterms:created xsi:type="dcterms:W3CDTF">2023-11-19T23:51:00Z</dcterms:created>
  <dcterms:modified xsi:type="dcterms:W3CDTF">2023-11-19T23:51:00Z</dcterms:modified>
</cp:coreProperties>
</file>