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D8DA4"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E0F83A6" w14:textId="77777777" w:rsidR="0036151A" w:rsidRDefault="0036151A" w:rsidP="0036151A">
      <w:pPr>
        <w:spacing w:before="100" w:beforeAutospacing="1" w:after="100" w:afterAutospacing="1" w:line="240" w:lineRule="auto"/>
        <w:ind w:left="4320"/>
        <w:outlineLvl w:val="0"/>
        <w:rPr>
          <w:rFonts w:ascii="Times New Roman" w:eastAsia="Times New Roman" w:hAnsi="Times New Roman" w:cs="Times New Roman"/>
          <w:b/>
          <w:bCs/>
          <w:kern w:val="36"/>
          <w:sz w:val="48"/>
          <w:szCs w:val="48"/>
        </w:rPr>
      </w:pPr>
      <w:r>
        <w:rPr>
          <w:rFonts w:ascii="Times New Roman" w:eastAsia="Times New Roman" w:hAnsi="Times New Roman" w:cs="Times New Roman"/>
          <w:b/>
          <w:bCs/>
          <w:noProof/>
          <w:kern w:val="36"/>
          <w:sz w:val="48"/>
          <w:szCs w:val="48"/>
        </w:rPr>
        <w:drawing>
          <wp:inline distT="0" distB="0" distL="0" distR="0" wp14:anchorId="0EBE2C8D" wp14:editId="30BFE8E7">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6151A" w:rsidRPr="0036151A" w14:paraId="6A647558" w14:textId="77777777" w:rsidTr="00274C3C">
        <w:trPr>
          <w:trHeight w:val="179"/>
          <w:jc w:val="center"/>
        </w:trPr>
        <w:tc>
          <w:tcPr>
            <w:tcW w:w="0" w:type="auto"/>
            <w:hideMark/>
          </w:tcPr>
          <w:p w14:paraId="643A648C" w14:textId="77777777" w:rsidR="0036151A" w:rsidRPr="0036151A" w:rsidRDefault="0036151A" w:rsidP="0036151A">
            <w:pPr>
              <w:tabs>
                <w:tab w:val="right" w:pos="2299"/>
              </w:tabs>
              <w:spacing w:line="360" w:lineRule="auto"/>
              <w:jc w:val="both"/>
              <w:rPr>
                <w:rFonts w:ascii="Arial" w:eastAsia="Times New Roman" w:hAnsi="Arial" w:cs="Arial"/>
                <w:b/>
                <w:bCs/>
              </w:rPr>
            </w:pPr>
            <w:r w:rsidRPr="0036151A">
              <w:rPr>
                <w:rFonts w:ascii="Arial" w:eastAsia="Times New Roman" w:hAnsi="Arial" w:cs="Arial"/>
                <w:b/>
                <w:bCs/>
              </w:rPr>
              <w:t>Student Name:</w:t>
            </w:r>
            <w:r w:rsidRPr="0036151A">
              <w:rPr>
                <w:rFonts w:ascii="Arial" w:eastAsia="Times New Roman" w:hAnsi="Arial" w:cs="Arial"/>
                <w:b/>
                <w:bCs/>
              </w:rPr>
              <w:tab/>
            </w:r>
          </w:p>
        </w:tc>
        <w:tc>
          <w:tcPr>
            <w:tcW w:w="5825" w:type="dxa"/>
            <w:hideMark/>
          </w:tcPr>
          <w:p w14:paraId="2F3048C5" w14:textId="2A6E32A1" w:rsidR="0036151A" w:rsidRPr="0036151A" w:rsidRDefault="00BD0A4F" w:rsidP="0036151A">
            <w:pPr>
              <w:spacing w:line="360" w:lineRule="auto"/>
              <w:jc w:val="both"/>
              <w:rPr>
                <w:rFonts w:ascii="Arial" w:eastAsia="Times New Roman" w:hAnsi="Arial" w:cs="Arial"/>
                <w:bCs/>
              </w:rPr>
            </w:pPr>
            <w:r>
              <w:rPr>
                <w:rFonts w:ascii="Arial" w:eastAsia="Times New Roman" w:hAnsi="Arial" w:cs="Arial"/>
                <w:bCs/>
              </w:rPr>
              <w:t>Salma Munir</w:t>
            </w:r>
          </w:p>
        </w:tc>
      </w:tr>
      <w:tr w:rsidR="0036151A" w:rsidRPr="0036151A" w14:paraId="53CD9FC4" w14:textId="77777777" w:rsidTr="00274C3C">
        <w:trPr>
          <w:jc w:val="center"/>
        </w:trPr>
        <w:tc>
          <w:tcPr>
            <w:tcW w:w="0" w:type="auto"/>
            <w:hideMark/>
          </w:tcPr>
          <w:p w14:paraId="2AF6B19F" w14:textId="77777777" w:rsidR="0036151A" w:rsidRPr="0036151A" w:rsidRDefault="0036151A" w:rsidP="0036151A">
            <w:pPr>
              <w:spacing w:line="360" w:lineRule="auto"/>
              <w:jc w:val="both"/>
              <w:rPr>
                <w:rFonts w:ascii="Arial" w:eastAsia="Times New Roman" w:hAnsi="Arial" w:cs="Arial"/>
              </w:rPr>
            </w:pPr>
            <w:r w:rsidRPr="0036151A">
              <w:rPr>
                <w:rFonts w:ascii="Arial" w:eastAsia="Times New Roman" w:hAnsi="Arial" w:cs="Arial"/>
                <w:b/>
                <w:bCs/>
              </w:rPr>
              <w:t>Student ID Number:</w:t>
            </w:r>
          </w:p>
        </w:tc>
        <w:tc>
          <w:tcPr>
            <w:tcW w:w="5825" w:type="dxa"/>
            <w:hideMark/>
          </w:tcPr>
          <w:p w14:paraId="5508F5E1" w14:textId="16455635" w:rsidR="0036151A" w:rsidRPr="0036151A" w:rsidRDefault="00BD0A4F" w:rsidP="0036151A">
            <w:pPr>
              <w:spacing w:line="360" w:lineRule="auto"/>
              <w:jc w:val="both"/>
              <w:rPr>
                <w:rFonts w:ascii="Arial" w:eastAsia="Times New Roman" w:hAnsi="Arial" w:cs="Arial"/>
              </w:rPr>
            </w:pPr>
            <w:r>
              <w:rPr>
                <w:rFonts w:ascii="Arial" w:eastAsia="Times New Roman" w:hAnsi="Arial" w:cs="Arial"/>
              </w:rPr>
              <w:t>2333495</w:t>
            </w:r>
          </w:p>
        </w:tc>
      </w:tr>
      <w:tr w:rsidR="0036151A" w:rsidRPr="0036151A" w14:paraId="1827DC2E" w14:textId="77777777" w:rsidTr="00274C3C">
        <w:trPr>
          <w:jc w:val="center"/>
        </w:trPr>
        <w:tc>
          <w:tcPr>
            <w:tcW w:w="0" w:type="auto"/>
            <w:hideMark/>
          </w:tcPr>
          <w:p w14:paraId="1276F2AE" w14:textId="77777777" w:rsidR="0036151A" w:rsidRPr="0036151A" w:rsidRDefault="0036151A" w:rsidP="0036151A">
            <w:pPr>
              <w:spacing w:line="360" w:lineRule="auto"/>
              <w:jc w:val="both"/>
              <w:rPr>
                <w:rFonts w:ascii="Arial" w:eastAsia="Times New Roman" w:hAnsi="Arial" w:cs="Arial"/>
              </w:rPr>
            </w:pPr>
            <w:r w:rsidRPr="0036151A">
              <w:rPr>
                <w:rFonts w:ascii="Arial" w:eastAsia="Times New Roman" w:hAnsi="Arial" w:cs="Arial"/>
                <w:b/>
                <w:bCs/>
              </w:rPr>
              <w:t>Programme:</w:t>
            </w:r>
          </w:p>
        </w:tc>
        <w:tc>
          <w:tcPr>
            <w:tcW w:w="5825" w:type="dxa"/>
            <w:hideMark/>
          </w:tcPr>
          <w:p w14:paraId="7848B3D5" w14:textId="77777777" w:rsidR="0036151A" w:rsidRPr="0036151A" w:rsidRDefault="002834FE" w:rsidP="0036151A">
            <w:pPr>
              <w:spacing w:line="360" w:lineRule="auto"/>
              <w:jc w:val="both"/>
              <w:rPr>
                <w:rFonts w:ascii="Arial" w:eastAsia="Times New Roman" w:hAnsi="Arial" w:cs="Arial"/>
                <w:b/>
              </w:rPr>
            </w:pPr>
            <w:r w:rsidRPr="002834FE">
              <w:rPr>
                <w:rFonts w:ascii="Arial" w:hAnsi="Arial" w:cs="Arial"/>
                <w:b/>
              </w:rPr>
              <w:t>Certificate of Higher Education Skills for the Workplace (Health &amp; Social Care)</w:t>
            </w:r>
          </w:p>
        </w:tc>
      </w:tr>
      <w:tr w:rsidR="0036151A" w:rsidRPr="0036151A" w14:paraId="1726B3E3" w14:textId="77777777" w:rsidTr="00274C3C">
        <w:trPr>
          <w:jc w:val="center"/>
        </w:trPr>
        <w:tc>
          <w:tcPr>
            <w:tcW w:w="0" w:type="auto"/>
            <w:hideMark/>
          </w:tcPr>
          <w:p w14:paraId="4C369678" w14:textId="77777777" w:rsidR="0036151A" w:rsidRPr="0036151A" w:rsidRDefault="0036151A" w:rsidP="0036151A">
            <w:pPr>
              <w:spacing w:line="360" w:lineRule="auto"/>
              <w:jc w:val="both"/>
              <w:rPr>
                <w:rFonts w:ascii="Arial" w:eastAsia="Times New Roman" w:hAnsi="Arial" w:cs="Arial"/>
              </w:rPr>
            </w:pPr>
            <w:r w:rsidRPr="0036151A">
              <w:rPr>
                <w:rFonts w:ascii="Arial" w:eastAsia="Times New Roman" w:hAnsi="Arial" w:cs="Arial"/>
                <w:b/>
                <w:bCs/>
              </w:rPr>
              <w:t>Module Title:</w:t>
            </w:r>
          </w:p>
        </w:tc>
        <w:tc>
          <w:tcPr>
            <w:tcW w:w="5825" w:type="dxa"/>
            <w:hideMark/>
          </w:tcPr>
          <w:p w14:paraId="6537578D" w14:textId="77777777" w:rsidR="0036151A" w:rsidRPr="0036151A" w:rsidRDefault="002834FE" w:rsidP="0036151A">
            <w:pPr>
              <w:spacing w:line="360" w:lineRule="auto"/>
              <w:jc w:val="both"/>
              <w:rPr>
                <w:rFonts w:ascii="Arial" w:eastAsia="Times New Roman" w:hAnsi="Arial" w:cs="Arial"/>
                <w:b/>
              </w:rPr>
            </w:pPr>
            <w:r w:rsidRPr="002834FE">
              <w:rPr>
                <w:rFonts w:ascii="Arial" w:hAnsi="Arial" w:cs="Arial"/>
                <w:b/>
              </w:rPr>
              <w:t>Digital Skills and Research Methods</w:t>
            </w:r>
          </w:p>
        </w:tc>
      </w:tr>
      <w:tr w:rsidR="0036151A" w:rsidRPr="0036151A" w14:paraId="7EFF5A9C" w14:textId="77777777" w:rsidTr="00274C3C">
        <w:trPr>
          <w:jc w:val="center"/>
        </w:trPr>
        <w:tc>
          <w:tcPr>
            <w:tcW w:w="0" w:type="auto"/>
            <w:hideMark/>
          </w:tcPr>
          <w:p w14:paraId="42CFC203" w14:textId="77777777" w:rsidR="0036151A" w:rsidRPr="0036151A" w:rsidRDefault="0036151A" w:rsidP="0036151A">
            <w:pPr>
              <w:spacing w:line="360" w:lineRule="auto"/>
              <w:jc w:val="both"/>
              <w:rPr>
                <w:rFonts w:ascii="Arial" w:eastAsia="Times New Roman" w:hAnsi="Arial" w:cs="Arial"/>
              </w:rPr>
            </w:pPr>
            <w:r w:rsidRPr="0036151A">
              <w:rPr>
                <w:rFonts w:ascii="Arial" w:eastAsia="Times New Roman" w:hAnsi="Arial" w:cs="Arial"/>
                <w:b/>
                <w:bCs/>
              </w:rPr>
              <w:t>Module Code:</w:t>
            </w:r>
          </w:p>
        </w:tc>
        <w:tc>
          <w:tcPr>
            <w:tcW w:w="5825" w:type="dxa"/>
            <w:hideMark/>
          </w:tcPr>
          <w:p w14:paraId="3752CFEC" w14:textId="77777777" w:rsidR="0036151A" w:rsidRPr="0036151A" w:rsidRDefault="002834FE" w:rsidP="0036151A">
            <w:pPr>
              <w:spacing w:line="360" w:lineRule="auto"/>
              <w:jc w:val="both"/>
              <w:rPr>
                <w:rFonts w:ascii="Arial" w:eastAsia="Times New Roman" w:hAnsi="Arial" w:cs="Arial"/>
                <w:b/>
              </w:rPr>
            </w:pPr>
            <w:r w:rsidRPr="002834FE">
              <w:rPr>
                <w:rFonts w:ascii="Arial" w:hAnsi="Arial" w:cs="Arial"/>
                <w:b/>
              </w:rPr>
              <w:t>LCHS4007</w:t>
            </w:r>
          </w:p>
        </w:tc>
      </w:tr>
      <w:tr w:rsidR="0036151A" w:rsidRPr="0036151A" w14:paraId="591A4D27" w14:textId="77777777" w:rsidTr="00274C3C">
        <w:trPr>
          <w:jc w:val="center"/>
        </w:trPr>
        <w:tc>
          <w:tcPr>
            <w:tcW w:w="0" w:type="auto"/>
            <w:hideMark/>
          </w:tcPr>
          <w:p w14:paraId="2544169F" w14:textId="77777777" w:rsidR="0036151A" w:rsidRPr="0036151A" w:rsidRDefault="0036151A" w:rsidP="0036151A">
            <w:pPr>
              <w:spacing w:line="360" w:lineRule="auto"/>
              <w:jc w:val="both"/>
              <w:rPr>
                <w:rFonts w:ascii="Arial" w:eastAsia="Times New Roman" w:hAnsi="Arial" w:cs="Arial"/>
              </w:rPr>
            </w:pPr>
            <w:r w:rsidRPr="0036151A">
              <w:rPr>
                <w:rFonts w:ascii="Arial" w:eastAsia="Times New Roman" w:hAnsi="Arial" w:cs="Arial"/>
                <w:b/>
                <w:bCs/>
              </w:rPr>
              <w:t>Lecturer:</w:t>
            </w:r>
          </w:p>
        </w:tc>
        <w:tc>
          <w:tcPr>
            <w:tcW w:w="5825" w:type="dxa"/>
            <w:hideMark/>
          </w:tcPr>
          <w:p w14:paraId="4024A6A8" w14:textId="53E486B3" w:rsidR="0036151A" w:rsidRPr="0036151A" w:rsidRDefault="00BD0A4F" w:rsidP="0036151A">
            <w:pPr>
              <w:spacing w:line="360" w:lineRule="auto"/>
              <w:jc w:val="both"/>
              <w:rPr>
                <w:rFonts w:ascii="Arial" w:eastAsia="Times New Roman" w:hAnsi="Arial" w:cs="Arial"/>
              </w:rPr>
            </w:pPr>
            <w:r>
              <w:rPr>
                <w:rFonts w:ascii="Arial" w:eastAsia="Times New Roman" w:hAnsi="Arial" w:cs="Arial"/>
              </w:rPr>
              <w:t>Hajra Mustasim</w:t>
            </w:r>
          </w:p>
        </w:tc>
      </w:tr>
    </w:tbl>
    <w:p w14:paraId="610EAE01"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0B36383B"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3A17D712"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3FA2AAC0"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5E7D6017"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0ADC321E"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3C7B619F"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45CD77E"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58C3E898"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EBEF7AB"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F303CE7" w14:textId="77777777" w:rsidR="0036151A" w:rsidRPr="0036151A" w:rsidRDefault="0036151A" w:rsidP="0036151A">
      <w:pPr>
        <w:spacing w:before="100" w:beforeAutospacing="1" w:after="100" w:afterAutospacing="1" w:line="240" w:lineRule="auto"/>
        <w:outlineLvl w:val="0"/>
        <w:rPr>
          <w:rFonts w:ascii="Arial" w:eastAsia="Times New Roman" w:hAnsi="Arial" w:cs="Arial"/>
          <w:b/>
          <w:bCs/>
          <w:kern w:val="36"/>
          <w:sz w:val="28"/>
          <w:szCs w:val="28"/>
        </w:rPr>
      </w:pPr>
      <w:r w:rsidRPr="0036151A">
        <w:rPr>
          <w:rFonts w:ascii="Arial" w:eastAsia="Times New Roman" w:hAnsi="Arial" w:cs="Arial"/>
          <w:b/>
          <w:bCs/>
          <w:kern w:val="36"/>
          <w:sz w:val="28"/>
          <w:szCs w:val="28"/>
        </w:rPr>
        <w:t>Table of Contents</w:t>
      </w:r>
    </w:p>
    <w:p w14:paraId="689D4567"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Introduction</w:t>
      </w:r>
      <w:r w:rsidRPr="0036151A">
        <w:rPr>
          <w:rFonts w:ascii="Arial" w:eastAsia="Times New Roman" w:hAnsi="Arial" w:cs="Arial"/>
          <w:sz w:val="28"/>
          <w:szCs w:val="28"/>
        </w:rPr>
        <w:t xml:space="preserve"> .........................................</w:t>
      </w:r>
      <w:r>
        <w:rPr>
          <w:rFonts w:ascii="Arial" w:eastAsia="Times New Roman" w:hAnsi="Arial" w:cs="Arial"/>
          <w:sz w:val="28"/>
          <w:szCs w:val="28"/>
        </w:rPr>
        <w:t>...................................................... 3</w:t>
      </w:r>
    </w:p>
    <w:p w14:paraId="747C784D"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Task 1: Selection of Research Topic</w:t>
      </w:r>
      <w:r w:rsidRPr="0036151A">
        <w:rPr>
          <w:rFonts w:ascii="Arial" w:eastAsia="Times New Roman" w:hAnsi="Arial" w:cs="Arial"/>
          <w:sz w:val="28"/>
          <w:szCs w:val="28"/>
        </w:rPr>
        <w:t xml:space="preserve"> ......</w:t>
      </w:r>
      <w:r>
        <w:rPr>
          <w:rFonts w:ascii="Arial" w:eastAsia="Times New Roman" w:hAnsi="Arial" w:cs="Arial"/>
          <w:sz w:val="28"/>
          <w:szCs w:val="28"/>
        </w:rPr>
        <w:t>................................................ 3</w:t>
      </w:r>
    </w:p>
    <w:p w14:paraId="662013C9"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Task 2: Evaluating Information Sources</w:t>
      </w:r>
      <w:r w:rsidRPr="0036151A">
        <w:rPr>
          <w:rFonts w:ascii="Arial" w:eastAsia="Times New Roman" w:hAnsi="Arial" w:cs="Arial"/>
          <w:sz w:val="28"/>
          <w:szCs w:val="28"/>
        </w:rPr>
        <w:t xml:space="preserve"> ....</w:t>
      </w:r>
      <w:r>
        <w:rPr>
          <w:rFonts w:ascii="Arial" w:eastAsia="Times New Roman" w:hAnsi="Arial" w:cs="Arial"/>
          <w:sz w:val="28"/>
          <w:szCs w:val="28"/>
        </w:rPr>
        <w:t>............................................ 4</w:t>
      </w:r>
    </w:p>
    <w:p w14:paraId="77A402EC"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Task 3: Research Methodologies</w:t>
      </w:r>
      <w:r w:rsidRPr="0036151A">
        <w:rPr>
          <w:rFonts w:ascii="Arial" w:eastAsia="Times New Roman" w:hAnsi="Arial" w:cs="Arial"/>
          <w:sz w:val="28"/>
          <w:szCs w:val="28"/>
        </w:rPr>
        <w:t xml:space="preserve"> ................</w:t>
      </w:r>
      <w:r>
        <w:rPr>
          <w:rFonts w:ascii="Arial" w:eastAsia="Times New Roman" w:hAnsi="Arial" w:cs="Arial"/>
          <w:sz w:val="28"/>
          <w:szCs w:val="28"/>
        </w:rPr>
        <w:t>............................................ 6</w:t>
      </w:r>
    </w:p>
    <w:p w14:paraId="6A111011"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Task 4: Data Collection</w:t>
      </w:r>
      <w:r w:rsidRPr="0036151A">
        <w:rPr>
          <w:rFonts w:ascii="Arial" w:eastAsia="Times New Roman" w:hAnsi="Arial" w:cs="Arial"/>
          <w:sz w:val="28"/>
          <w:szCs w:val="28"/>
        </w:rPr>
        <w:t xml:space="preserve"> ...............................</w:t>
      </w:r>
      <w:r>
        <w:rPr>
          <w:rFonts w:ascii="Arial" w:eastAsia="Times New Roman" w:hAnsi="Arial" w:cs="Arial"/>
          <w:sz w:val="28"/>
          <w:szCs w:val="28"/>
        </w:rPr>
        <w:t>............................................. 6</w:t>
      </w:r>
    </w:p>
    <w:p w14:paraId="2BA25197"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Conclusion</w:t>
      </w:r>
      <w:r w:rsidRPr="0036151A">
        <w:rPr>
          <w:rFonts w:ascii="Arial" w:eastAsia="Times New Roman" w:hAnsi="Arial" w:cs="Arial"/>
          <w:sz w:val="28"/>
          <w:szCs w:val="28"/>
        </w:rPr>
        <w:t xml:space="preserve"> ..............................................</w:t>
      </w:r>
      <w:r>
        <w:rPr>
          <w:rFonts w:ascii="Arial" w:eastAsia="Times New Roman" w:hAnsi="Arial" w:cs="Arial"/>
          <w:sz w:val="28"/>
          <w:szCs w:val="28"/>
        </w:rPr>
        <w:t>.................................................. 7</w:t>
      </w:r>
    </w:p>
    <w:p w14:paraId="0D20D989" w14:textId="77777777" w:rsidR="0036151A" w:rsidRPr="0036151A" w:rsidRDefault="0036151A" w:rsidP="0036151A">
      <w:pPr>
        <w:spacing w:before="100" w:beforeAutospacing="1" w:after="100" w:afterAutospacing="1" w:line="240" w:lineRule="auto"/>
        <w:rPr>
          <w:rFonts w:ascii="Arial" w:eastAsia="Times New Roman" w:hAnsi="Arial" w:cs="Arial"/>
          <w:sz w:val="28"/>
          <w:szCs w:val="28"/>
        </w:rPr>
      </w:pPr>
      <w:r w:rsidRPr="0036151A">
        <w:rPr>
          <w:rFonts w:ascii="Arial" w:eastAsia="Times New Roman" w:hAnsi="Arial" w:cs="Arial"/>
          <w:b/>
          <w:bCs/>
          <w:sz w:val="28"/>
          <w:szCs w:val="28"/>
        </w:rPr>
        <w:t>References</w:t>
      </w:r>
      <w:r w:rsidRPr="0036151A">
        <w:rPr>
          <w:rFonts w:ascii="Arial" w:eastAsia="Times New Roman" w:hAnsi="Arial" w:cs="Arial"/>
          <w:sz w:val="28"/>
          <w:szCs w:val="28"/>
        </w:rPr>
        <w:t xml:space="preserve"> ............................................</w:t>
      </w:r>
      <w:r>
        <w:rPr>
          <w:rFonts w:ascii="Arial" w:eastAsia="Times New Roman" w:hAnsi="Arial" w:cs="Arial"/>
          <w:sz w:val="28"/>
          <w:szCs w:val="28"/>
        </w:rPr>
        <w:t>.................................................... 8</w:t>
      </w:r>
    </w:p>
    <w:p w14:paraId="404621C7" w14:textId="77777777" w:rsidR="0036151A" w:rsidRPr="0036151A" w:rsidRDefault="0036151A" w:rsidP="0036151A">
      <w:pPr>
        <w:tabs>
          <w:tab w:val="left" w:pos="2260"/>
        </w:tabs>
        <w:spacing w:before="100" w:beforeAutospacing="1" w:after="100" w:afterAutospacing="1" w:line="240" w:lineRule="auto"/>
        <w:outlineLvl w:val="0"/>
        <w:rPr>
          <w:rFonts w:ascii="Arial" w:eastAsia="Times New Roman" w:hAnsi="Arial" w:cs="Arial"/>
          <w:b/>
          <w:bCs/>
          <w:kern w:val="36"/>
          <w:sz w:val="28"/>
          <w:szCs w:val="28"/>
        </w:rPr>
      </w:pPr>
      <w:r w:rsidRPr="0036151A">
        <w:rPr>
          <w:rFonts w:ascii="Arial" w:eastAsia="Times New Roman" w:hAnsi="Arial" w:cs="Arial"/>
          <w:b/>
          <w:bCs/>
          <w:kern w:val="36"/>
          <w:sz w:val="28"/>
          <w:szCs w:val="28"/>
        </w:rPr>
        <w:tab/>
      </w:r>
    </w:p>
    <w:p w14:paraId="5D8AB44B"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D339BC1"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FEB1447"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875C779"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09726B71"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0590728B"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11870395" w14:textId="77777777" w:rsidR="0036151A" w:rsidRDefault="0036151A" w:rsidP="0036151A">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03A130BE"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lastRenderedPageBreak/>
        <w:t xml:space="preserve">Staff Burnout in UK Health </w:t>
      </w:r>
      <w:r w:rsidR="009932AF">
        <w:rPr>
          <w:rFonts w:ascii="Arial" w:eastAsia="Times New Roman" w:hAnsi="Arial" w:cs="Arial"/>
          <w:b/>
          <w:bCs/>
          <w:kern w:val="36"/>
        </w:rPr>
        <w:t>and Social Care: A Mixed-Method</w:t>
      </w:r>
      <w:r w:rsidRPr="0036151A">
        <w:rPr>
          <w:rFonts w:ascii="Arial" w:eastAsia="Times New Roman" w:hAnsi="Arial" w:cs="Arial"/>
          <w:b/>
          <w:bCs/>
          <w:kern w:val="36"/>
        </w:rPr>
        <w:t xml:space="preserve"> Research Proposal</w:t>
      </w:r>
    </w:p>
    <w:p w14:paraId="59D792AF"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 xml:space="preserve">Introduction </w:t>
      </w:r>
    </w:p>
    <w:p w14:paraId="3E231D1D"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Workforce burnout has become one of the most pressing challenges facing the UK health and social care sector. Persistent staffing shortages, rising patient demand and the long-term impact of the COVID-19 pandemic have intensified pressure on frontline healthcare workers. Evidence increasingly links staff burnout with reduced wellbeing, increased turnover intention and potential risks to patient safety. This research report proposes a small-scale mixed-methods study to explore burnout among frontline NHS staff in England. The report justifies the selection of the topic, critically evaluates recent literature, outlines an appropriate research methodology and proposes suitable data collection strategies to support evidence-based workforce improvement.</w:t>
      </w:r>
    </w:p>
    <w:p w14:paraId="6420BDB2"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t xml:space="preserve">Task 1: Selection of Research Topic </w:t>
      </w:r>
    </w:p>
    <w:p w14:paraId="571A3F89"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Identification of the issue</w:t>
      </w:r>
    </w:p>
    <w:p w14:paraId="25045DDD"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The focus of this proposed research is </w:t>
      </w:r>
      <w:r w:rsidRPr="0036151A">
        <w:rPr>
          <w:rFonts w:ascii="Arial" w:eastAsia="Times New Roman" w:hAnsi="Arial" w:cs="Arial"/>
          <w:bCs/>
        </w:rPr>
        <w:t>staff burnout among frontline NHS nurses and healthcare assistants working in acute hospital wards in England</w:t>
      </w:r>
      <w:r w:rsidRPr="0036151A">
        <w:rPr>
          <w:rFonts w:ascii="Arial" w:eastAsia="Times New Roman" w:hAnsi="Arial" w:cs="Arial"/>
        </w:rPr>
        <w:t>. Burnout is commonly conceptualised as a work-related syndrome involving emotional exhaustion, depersonalisation and reduced professional accomplishment (Zhu et al., 2023). Within UK health services, burnout has gained increasing policy and academic attention due to its association with workforce instability.</w:t>
      </w:r>
    </w:p>
    <w:p w14:paraId="33919AC3"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Recent national data demonstrate the scale of the issue. The NHS Staff Survey (2023) reported that approximately 30% of staff experienced work-related burnout, while over 40% reported feeling emotionally exhausted at the end of their shifts. Longitudinal UK research further indicates that healthcare workers were significantly more likely than other occupational groups to report burnout symptoms during and after the pandemic (Gupta et al., 2022). These findings suggest that burnout is not a temporary phenomenon but a sustained workforce risk.</w:t>
      </w:r>
    </w:p>
    <w:p w14:paraId="73EAFC82"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Who is affected and why it matters</w:t>
      </w:r>
    </w:p>
    <w:p w14:paraId="18E606FB"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Burnout has multidimensional consequences. At the individual level, it is associated with poorer mental health, sickness absence and increased intention to leave the profession (Society of Occupational Medicine, 2023). Organisationally, high burnout contributes to recruitment difficulties, reduced productivity and escalating workforce costs. Most critically, evidence indicates </w:t>
      </w:r>
      <w:r w:rsidRPr="0036151A">
        <w:rPr>
          <w:rFonts w:ascii="Arial" w:eastAsia="Times New Roman" w:hAnsi="Arial" w:cs="Arial"/>
        </w:rPr>
        <w:lastRenderedPageBreak/>
        <w:t>that staff burnout may negatively affect patient safety, care quality and patient experience (West et al., 2022). Given ongoing NHS workforce pressures, understanding and addressing burnout is therefore a strategic priority.</w:t>
      </w:r>
    </w:p>
    <w:p w14:paraId="4BA6997C"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R</w:t>
      </w:r>
      <w:r w:rsidRPr="0036151A">
        <w:rPr>
          <w:rFonts w:ascii="Arial" w:eastAsia="Times New Roman" w:hAnsi="Arial" w:cs="Arial"/>
          <w:b/>
          <w:bCs/>
        </w:rPr>
        <w:t>ationale</w:t>
      </w:r>
    </w:p>
    <w:p w14:paraId="515AFCC4"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This topic was selected because workforce wellbeing is fundamental to safe and compassionate care delivery. As a health and social care student preparing for professional practice, I recognise that staff experience directly influences service quality and sustainability. Burnout is particularly relevant to my future career because it highlights the importance of supportive leadership, workload management and staff voice within care environments. Conducting research in this area will strengthen my ability to engage with evidence-based workforce improvement and contribute to resilient health and social care systems.</w:t>
      </w:r>
      <w:r w:rsidRPr="0036151A">
        <w:rPr>
          <w:rFonts w:ascii="Arial" w:eastAsia="Times New Roman" w:hAnsi="Arial" w:cs="Arial"/>
        </w:rPr>
        <w:tab/>
      </w:r>
    </w:p>
    <w:p w14:paraId="2A9FD96D"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t xml:space="preserve">Task 2: Evaluation of Information Sources </w:t>
      </w:r>
    </w:p>
    <w:p w14:paraId="5164E57E"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To contextualise the proposed study, three recent and credible sources were critically evaluated.</w:t>
      </w:r>
    </w:p>
    <w:p w14:paraId="26C4E3C6"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Source 1: Gupta et al. (2022)</w:t>
      </w:r>
    </w:p>
    <w:p w14:paraId="6A62E3F7"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Gupta et al. (2022) conducted a UK longitudinal cohort study examining mental health outcomes among healthcare workers during the COVID-19 pandemic. Using repeated survey measures, the study found that healthcare professionals were more than three times as likely as non-healthcare workers to report burnout symptoms. The longitudinal design strengthens the reliability of the findings by demonstrating persistence of burnout over time rather than capturing a single snapshot.</w:t>
      </w:r>
    </w:p>
    <w:p w14:paraId="6ED06E0B"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A key strength of this study is its UK focus and robust quantitative methodology, which provides strong empirical evidence of workforce strain. The large sample size enhances generalisability across healthcare settings. However, the reliance on self-reported measures introduces potential response bias, and the study provides limited qualitative insight into the lived experience of burnout. While the research clearly establishes prevalence, it does not fully explain the contextual drivers within specific NHS environments.</w:t>
      </w:r>
    </w:p>
    <w:p w14:paraId="4D1A8ABD" w14:textId="77777777" w:rsidR="0036151A" w:rsidRDefault="0036151A" w:rsidP="0036151A">
      <w:pPr>
        <w:spacing w:before="100" w:beforeAutospacing="1" w:after="100" w:afterAutospacing="1" w:line="360" w:lineRule="auto"/>
        <w:jc w:val="both"/>
        <w:outlineLvl w:val="1"/>
        <w:rPr>
          <w:rFonts w:ascii="Arial" w:eastAsia="Times New Roman" w:hAnsi="Arial" w:cs="Arial"/>
          <w:b/>
          <w:bCs/>
        </w:rPr>
      </w:pPr>
    </w:p>
    <w:p w14:paraId="0E49607C"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lastRenderedPageBreak/>
        <w:t>Source 2: West et al. (2022)</w:t>
      </w:r>
    </w:p>
    <w:p w14:paraId="30073723"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West et al. (2022) explored the relationship between staff wellbeing and patient care outcomes within NHS organisations. The authors argue that workforce wellbeing is directly linked to patient safety, staff retention and organisational performance. Drawing on NHS workforce data and organisational analysis, the study highlights burnout as a systemic risk rather than an individual weakness.</w:t>
      </w:r>
    </w:p>
    <w:p w14:paraId="1FDAF523"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This source is particularly valuable because it situates burnout within the broader quality-of-care agenda and emphasises organisational responsibility. Its policy relevance strengthens the practical importance of the proposed research. However, the study adopts a predominantly macro-level perspective and does not provide detailed frontline staff narratives. Consequently, micro-level experiential evidence remains limited.</w:t>
      </w:r>
    </w:p>
    <w:p w14:paraId="2DFAF4C4"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Source 3: Zhu et al. (2023)</w:t>
      </w:r>
    </w:p>
    <w:p w14:paraId="0F8CCDC3"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Zhu et al. (2023) conducted a systematic review and meta-analysis examining burnout prevalence among healthcare workers internationally. The review identifies workload intensity, emotional demands and insufficient organisational support as key predictors of burnout. The meta-analytic approach provides high-level evidence and strengthens theoretical understanding of burnout mechanisms.</w:t>
      </w:r>
    </w:p>
    <w:p w14:paraId="27BE5B0D"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Despite its methodological rigour, the study’s international scope limits its contextual specificity to the UK NHS. Differences in healthcare systems, staffing models and working conditions mean that findings cannot be fully generalised to UK settings. This reinforces the need for locally grounded research.</w:t>
      </w:r>
    </w:p>
    <w:p w14:paraId="4CB7D7D1" w14:textId="77777777" w:rsidR="0036151A" w:rsidRPr="0036151A" w:rsidRDefault="0036151A" w:rsidP="0036151A">
      <w:pPr>
        <w:spacing w:before="100" w:beforeAutospacing="1" w:after="100" w:afterAutospacing="1" w:line="360" w:lineRule="auto"/>
        <w:jc w:val="both"/>
        <w:outlineLvl w:val="1"/>
        <w:rPr>
          <w:rFonts w:ascii="Arial" w:eastAsia="Times New Roman" w:hAnsi="Arial" w:cs="Arial"/>
          <w:b/>
          <w:bCs/>
        </w:rPr>
      </w:pPr>
      <w:r w:rsidRPr="0036151A">
        <w:rPr>
          <w:rFonts w:ascii="Arial" w:eastAsia="Times New Roman" w:hAnsi="Arial" w:cs="Arial"/>
          <w:b/>
          <w:bCs/>
        </w:rPr>
        <w:t>Identified research gap</w:t>
      </w:r>
    </w:p>
    <w:p w14:paraId="43DF3B73"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Across the literature, several important gaps are evident. First, much UK research remains heavily quantitative, with insufficient qualitative exploration of frontline staff experiences. Second, large national datasets identify prevalence but rarely capture contextual factors operating within specific clinical environments. Third, there is limited use of mixed-methods designs that integrate measurable burnout levels with in-depth experiential data. Addressing these gaps is essential for developing practically relevant workforce interventions. The proposed small-scale mixed-methods </w:t>
      </w:r>
      <w:r w:rsidRPr="0036151A">
        <w:rPr>
          <w:rFonts w:ascii="Arial" w:eastAsia="Times New Roman" w:hAnsi="Arial" w:cs="Arial"/>
        </w:rPr>
        <w:lastRenderedPageBreak/>
        <w:t>study aims to contribute to this evidence deficit by combining survey measurement with qualitative staff narratives in an NHS ward context.</w:t>
      </w:r>
    </w:p>
    <w:p w14:paraId="65F89267"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t xml:space="preserve">Task 3: Research Methodologies </w:t>
      </w:r>
    </w:p>
    <w:p w14:paraId="0C155B47"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Selecting an appropriate research methodology is critical when investigating complex workforce phenomena such as burnout. Quantitative, qualitative and mixed-methods approaches each offer distinct analytical strengths.</w:t>
      </w:r>
    </w:p>
    <w:p w14:paraId="2A5B6ED0"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Quantitative research involves the systematic collection and statistical analysis of numerical data to examine relationships between variables (Creswell and Creswell, 2023). Within healthcare workforce research, quantitative surveys are commonly used to measure burnout prevalence and severity using validated instruments. While this approach enables generalisation and comparison, it may overlook contextual nuance.</w:t>
      </w:r>
    </w:p>
    <w:p w14:paraId="10B6E800"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Qualitative research, by contrast, seeks to understand subjective experiences, meanings and perceptions through methods such as interviews or focus groups (Braun and Clarke, 2021). Qualitative approaches are particularly valuable in exploring how healthcare staff interpret workload pressures, organisational culture and emotional labour. However, qualitative findings alone may lack population-level insight.</w:t>
      </w:r>
    </w:p>
    <w:p w14:paraId="53EEF196"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Mixed-methods research integrates quantitative and qualitative approaches within a single design to generate a more comprehensive understanding of a research problem (Johnson et al., 2020). In workforce research, mixed methods enable triangulation between measurable outcomes and lived experience.</w:t>
      </w:r>
    </w:p>
    <w:p w14:paraId="10B6DA11"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Given the multidimensional nature of burnout, a </w:t>
      </w:r>
      <w:r w:rsidRPr="0036151A">
        <w:rPr>
          <w:rFonts w:ascii="Arial" w:eastAsia="Times New Roman" w:hAnsi="Arial" w:cs="Arial"/>
          <w:bCs/>
        </w:rPr>
        <w:t>sequential explanatory mixed-methods design</w:t>
      </w:r>
      <w:r w:rsidRPr="0036151A">
        <w:rPr>
          <w:rFonts w:ascii="Arial" w:eastAsia="Times New Roman" w:hAnsi="Arial" w:cs="Arial"/>
        </w:rPr>
        <w:t xml:space="preserve"> is proposed. An initial quantitative survey would establish the prevalence and severity of burnout among ward staff, followed by semi-structured interviews to explore underlying causes and coping strategies. This approach directly addresses gaps identified in current UK literature and enhances the practical relevance of findings for NHS workforce planning.</w:t>
      </w:r>
    </w:p>
    <w:p w14:paraId="51D87818"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t xml:space="preserve">Task 4: Data Collection </w:t>
      </w:r>
    </w:p>
    <w:p w14:paraId="78841A37"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Robust data collection is essential to ensure research validity and credibility. In health services research, data may be obtained through primary or secondary methods.</w:t>
      </w:r>
    </w:p>
    <w:p w14:paraId="7EEEA697"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lastRenderedPageBreak/>
        <w:t>Primary data refers to information collected directly by the researcher for the specific purposes of the study, including questionnaires, interviews or observations (Creswell and Creswell, 2023). Secondary data involves the analysis of pre-existing datasets such as national surveys, administrative records or published studies. While secondary sources such as the NHS Staff Survey provide valuable large-scale insights, they may lack the contextual depth required to understand local workforce experiences.</w:t>
      </w:r>
    </w:p>
    <w:p w14:paraId="2479DD60"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For the proposed study, </w:t>
      </w:r>
      <w:r w:rsidRPr="0036151A">
        <w:rPr>
          <w:rFonts w:ascii="Arial" w:eastAsia="Times New Roman" w:hAnsi="Arial" w:cs="Arial"/>
          <w:bCs/>
        </w:rPr>
        <w:t>primary data collection</w:t>
      </w:r>
      <w:r w:rsidRPr="0036151A">
        <w:rPr>
          <w:rFonts w:ascii="Arial" w:eastAsia="Times New Roman" w:hAnsi="Arial" w:cs="Arial"/>
        </w:rPr>
        <w:t xml:space="preserve"> is most appropriate. Collecting original data from frontline NHS staff will allow the research questions to be tailored to the specific ward context and will generate contemporaneous evidence regarding burnout experiences.</w:t>
      </w:r>
    </w:p>
    <w:p w14:paraId="722E82B7"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The quantitative phase would utilise an online questionnaire incorporating a validated burnout measure distributed to approximately 50–100 nurses and healthcare assistants within one NHS acute trust. The qualitative phase would involve semi-structured interviews with a purposive subsample of 8–10 participants. Interview data would be analysed thematically to identify recurring patterns.</w:t>
      </w:r>
    </w:p>
    <w:p w14:paraId="7D599452"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This approach offers several advantages, including contextual specificity, methodological triangulation and enhanced practical relevance. However, potential challenges include gaining organisational access, securing ethical approval and managing response bias. These risks would be mitigated through clear consent procedures, anonymisation protocols and flexible recruitment strategies.</w:t>
      </w:r>
    </w:p>
    <w:p w14:paraId="709C1914"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sidRPr="0036151A">
        <w:rPr>
          <w:rFonts w:ascii="Arial" w:eastAsia="Times New Roman" w:hAnsi="Arial" w:cs="Arial"/>
          <w:b/>
          <w:bCs/>
          <w:kern w:val="36"/>
        </w:rPr>
        <w:t xml:space="preserve">Conclusion </w:t>
      </w:r>
    </w:p>
    <w:p w14:paraId="2F7B07E2"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Staff burnout represents a significant and persistent challenge within the UK health and social care workforce. Contemporary evidence demonstrates its widespread prevalence and its implications for staff wellbeing, organisational sustainability and patient care quality. Critical evaluation of recent literature reveals an important need for mixed-methods research that captures both the scale and lived experience of burnout in specific NHS contexts. The proposed primary mixed-methods study offers a practical and methodologically robust approach to addressing this gap. Strengthening the evidence base in this area is essential to inform workforce support strategies and promote resilient, high-quality health and social care services.</w:t>
      </w:r>
    </w:p>
    <w:p w14:paraId="1DEA2712" w14:textId="77777777" w:rsidR="0036151A" w:rsidRDefault="0036151A" w:rsidP="0036151A">
      <w:pPr>
        <w:spacing w:before="100" w:beforeAutospacing="1" w:after="100" w:afterAutospacing="1" w:line="360" w:lineRule="auto"/>
        <w:jc w:val="both"/>
        <w:outlineLvl w:val="0"/>
        <w:rPr>
          <w:rFonts w:ascii="Arial" w:eastAsia="Times New Roman" w:hAnsi="Arial" w:cs="Arial"/>
        </w:rPr>
      </w:pPr>
    </w:p>
    <w:p w14:paraId="3AE99955" w14:textId="77777777" w:rsidR="0036151A" w:rsidRPr="0036151A" w:rsidRDefault="0036151A" w:rsidP="0036151A">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lastRenderedPageBreak/>
        <w:t>REFERENCES</w:t>
      </w:r>
      <w:r>
        <w:rPr>
          <w:rFonts w:ascii="Arial" w:hAnsi="Arial" w:cs="Arial"/>
        </w:rPr>
        <w:tab/>
      </w:r>
    </w:p>
    <w:p w14:paraId="2EAC29C5"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Braun, V. and Clarke, V. (2021) </w:t>
      </w:r>
      <w:r w:rsidRPr="0036151A">
        <w:rPr>
          <w:rFonts w:ascii="Arial" w:eastAsia="Times New Roman" w:hAnsi="Arial" w:cs="Arial"/>
          <w:i/>
          <w:iCs/>
        </w:rPr>
        <w:t>Thematic Analysis: A Practical Guide</w:t>
      </w:r>
      <w:r w:rsidRPr="0036151A">
        <w:rPr>
          <w:rFonts w:ascii="Arial" w:eastAsia="Times New Roman" w:hAnsi="Arial" w:cs="Arial"/>
        </w:rPr>
        <w:t>. London: SAGE.</w:t>
      </w:r>
    </w:p>
    <w:p w14:paraId="1DCB46E1"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Creswell, J.W. and Creswell, J.D. (2023) </w:t>
      </w:r>
      <w:r w:rsidRPr="0036151A">
        <w:rPr>
          <w:rFonts w:ascii="Arial" w:eastAsia="Times New Roman" w:hAnsi="Arial" w:cs="Arial"/>
          <w:i/>
          <w:iCs/>
        </w:rPr>
        <w:t>Research Design: Qualitative, Quantitative, and Mixed Methods Approaches</w:t>
      </w:r>
      <w:r w:rsidRPr="0036151A">
        <w:rPr>
          <w:rFonts w:ascii="Arial" w:eastAsia="Times New Roman" w:hAnsi="Arial" w:cs="Arial"/>
        </w:rPr>
        <w:t>. 6th edn. Thousand Oaks: SAGE.</w:t>
      </w:r>
    </w:p>
    <w:p w14:paraId="1A6AF730"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Gupta, A., et al. (2022) ‘Healthcare workers more than three times more likely to have experienced burnout during the COVID-19 pandemic’, </w:t>
      </w:r>
      <w:r w:rsidRPr="0036151A">
        <w:rPr>
          <w:rFonts w:ascii="Arial" w:eastAsia="Times New Roman" w:hAnsi="Arial" w:cs="Arial"/>
          <w:i/>
          <w:iCs/>
        </w:rPr>
        <w:t>BJPsych Open</w:t>
      </w:r>
      <w:r w:rsidRPr="0036151A">
        <w:rPr>
          <w:rFonts w:ascii="Arial" w:eastAsia="Times New Roman" w:hAnsi="Arial" w:cs="Arial"/>
        </w:rPr>
        <w:t>, 8(1), e11.</w:t>
      </w:r>
    </w:p>
    <w:p w14:paraId="1499B0ED"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Johnson, R.B., et al. (2020) ‘Mixed methods research: Expanding the evidence base’, </w:t>
      </w:r>
      <w:r w:rsidRPr="0036151A">
        <w:rPr>
          <w:rFonts w:ascii="Arial" w:eastAsia="Times New Roman" w:hAnsi="Arial" w:cs="Arial"/>
          <w:i/>
          <w:iCs/>
        </w:rPr>
        <w:t>Educational Researcher</w:t>
      </w:r>
      <w:r w:rsidRPr="0036151A">
        <w:rPr>
          <w:rFonts w:ascii="Arial" w:eastAsia="Times New Roman" w:hAnsi="Arial" w:cs="Arial"/>
        </w:rPr>
        <w:t>, 49(8), pp. 587–594.</w:t>
      </w:r>
    </w:p>
    <w:p w14:paraId="67252852"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NHS Staff Survey (2023) </w:t>
      </w:r>
      <w:r w:rsidRPr="0036151A">
        <w:rPr>
          <w:rFonts w:ascii="Arial" w:eastAsia="Times New Roman" w:hAnsi="Arial" w:cs="Arial"/>
          <w:i/>
          <w:iCs/>
        </w:rPr>
        <w:t>National Results Briefing</w:t>
      </w:r>
      <w:r w:rsidRPr="0036151A">
        <w:rPr>
          <w:rFonts w:ascii="Arial" w:eastAsia="Times New Roman" w:hAnsi="Arial" w:cs="Arial"/>
        </w:rPr>
        <w:t xml:space="preserve">. Available at: </w:t>
      </w:r>
      <w:hyperlink r:id="rId7" w:tgtFrame="_new" w:history="1">
        <w:r w:rsidRPr="0036151A">
          <w:rPr>
            <w:rFonts w:ascii="Arial" w:eastAsia="Times New Roman" w:hAnsi="Arial" w:cs="Arial"/>
            <w:color w:val="0000FF"/>
            <w:u w:val="single"/>
          </w:rPr>
          <w:t>https://www.nhsstaffsurveys.com</w:t>
        </w:r>
      </w:hyperlink>
    </w:p>
    <w:p w14:paraId="1788C2C9"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Society of Occupational Medicine (2023) </w:t>
      </w:r>
      <w:r w:rsidRPr="0036151A">
        <w:rPr>
          <w:rFonts w:ascii="Arial" w:eastAsia="Times New Roman" w:hAnsi="Arial" w:cs="Arial"/>
          <w:i/>
          <w:iCs/>
        </w:rPr>
        <w:t>Burnout in healthcare: risk factors and solutions</w:t>
      </w:r>
      <w:r w:rsidRPr="0036151A">
        <w:rPr>
          <w:rFonts w:ascii="Arial" w:eastAsia="Times New Roman" w:hAnsi="Arial" w:cs="Arial"/>
        </w:rPr>
        <w:t>. London: SOM.</w:t>
      </w:r>
    </w:p>
    <w:p w14:paraId="74A54932"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West, M., Coia, D. and Dennis, P. (2022) </w:t>
      </w:r>
      <w:r w:rsidRPr="0036151A">
        <w:rPr>
          <w:rFonts w:ascii="Arial" w:eastAsia="Times New Roman" w:hAnsi="Arial" w:cs="Arial"/>
          <w:i/>
          <w:iCs/>
        </w:rPr>
        <w:t>Caring for doctors, caring for patients: Workforce wellbeing in the NHS</w:t>
      </w:r>
      <w:r w:rsidRPr="0036151A">
        <w:rPr>
          <w:rFonts w:ascii="Arial" w:eastAsia="Times New Roman" w:hAnsi="Arial" w:cs="Arial"/>
        </w:rPr>
        <w:t>. London: NHS.</w:t>
      </w:r>
    </w:p>
    <w:p w14:paraId="03F5FB81" w14:textId="77777777" w:rsidR="0036151A" w:rsidRPr="0036151A" w:rsidRDefault="0036151A" w:rsidP="0036151A">
      <w:pPr>
        <w:spacing w:before="100" w:beforeAutospacing="1" w:after="100" w:afterAutospacing="1" w:line="360" w:lineRule="auto"/>
        <w:jc w:val="both"/>
        <w:rPr>
          <w:rFonts w:ascii="Arial" w:eastAsia="Times New Roman" w:hAnsi="Arial" w:cs="Arial"/>
        </w:rPr>
      </w:pPr>
      <w:r w:rsidRPr="0036151A">
        <w:rPr>
          <w:rFonts w:ascii="Arial" w:eastAsia="Times New Roman" w:hAnsi="Arial" w:cs="Arial"/>
        </w:rPr>
        <w:t xml:space="preserve">Zhu, H., Yang, X., Xie, S. and Zhou, J. (2023) ‘Prevalence of burnout and mental health problems among medical staff during the COVID-19 pandemic: a systematic review and meta-analysis’, </w:t>
      </w:r>
      <w:r w:rsidRPr="0036151A">
        <w:rPr>
          <w:rFonts w:ascii="Arial" w:eastAsia="Times New Roman" w:hAnsi="Arial" w:cs="Arial"/>
          <w:i/>
          <w:iCs/>
        </w:rPr>
        <w:t>BMJ Open</w:t>
      </w:r>
      <w:r w:rsidRPr="0036151A">
        <w:rPr>
          <w:rFonts w:ascii="Arial" w:eastAsia="Times New Roman" w:hAnsi="Arial" w:cs="Arial"/>
        </w:rPr>
        <w:t>, 13(7), e068849.</w:t>
      </w:r>
    </w:p>
    <w:sectPr w:rsidR="0036151A" w:rsidRPr="0036151A" w:rsidSect="0036151A">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FB264" w14:textId="77777777" w:rsidR="0077195D" w:rsidRDefault="0077195D" w:rsidP="0036151A">
      <w:pPr>
        <w:spacing w:after="0" w:line="240" w:lineRule="auto"/>
      </w:pPr>
      <w:r>
        <w:separator/>
      </w:r>
    </w:p>
  </w:endnote>
  <w:endnote w:type="continuationSeparator" w:id="0">
    <w:p w14:paraId="587A82EC" w14:textId="77777777" w:rsidR="0077195D" w:rsidRDefault="0077195D" w:rsidP="00361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047885"/>
      <w:docPartObj>
        <w:docPartGallery w:val="Page Numbers (Bottom of Page)"/>
        <w:docPartUnique/>
      </w:docPartObj>
    </w:sdtPr>
    <w:sdtEndPr>
      <w:rPr>
        <w:noProof/>
      </w:rPr>
    </w:sdtEndPr>
    <w:sdtContent>
      <w:p w14:paraId="01EC16AD" w14:textId="77777777" w:rsidR="0036151A" w:rsidRDefault="0036151A">
        <w:pPr>
          <w:pStyle w:val="Footer"/>
          <w:jc w:val="right"/>
        </w:pPr>
        <w:r>
          <w:fldChar w:fldCharType="begin"/>
        </w:r>
        <w:r>
          <w:instrText xml:space="preserve"> PAGE   \* MERGEFORMAT </w:instrText>
        </w:r>
        <w:r>
          <w:fldChar w:fldCharType="separate"/>
        </w:r>
        <w:r w:rsidR="009932AF">
          <w:rPr>
            <w:noProof/>
          </w:rPr>
          <w:t>8</w:t>
        </w:r>
        <w:r>
          <w:rPr>
            <w:noProof/>
          </w:rPr>
          <w:fldChar w:fldCharType="end"/>
        </w:r>
      </w:p>
    </w:sdtContent>
  </w:sdt>
  <w:p w14:paraId="592E9E06" w14:textId="77777777" w:rsidR="0036151A" w:rsidRDefault="00361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F9561" w14:textId="77777777" w:rsidR="0077195D" w:rsidRDefault="0077195D" w:rsidP="0036151A">
      <w:pPr>
        <w:spacing w:after="0" w:line="240" w:lineRule="auto"/>
      </w:pPr>
      <w:r>
        <w:separator/>
      </w:r>
    </w:p>
  </w:footnote>
  <w:footnote w:type="continuationSeparator" w:id="0">
    <w:p w14:paraId="226E17D2" w14:textId="77777777" w:rsidR="0077195D" w:rsidRDefault="0077195D" w:rsidP="003615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51A"/>
    <w:rsid w:val="00042777"/>
    <w:rsid w:val="000F6F44"/>
    <w:rsid w:val="002834FE"/>
    <w:rsid w:val="00321129"/>
    <w:rsid w:val="0036151A"/>
    <w:rsid w:val="00437D70"/>
    <w:rsid w:val="0077195D"/>
    <w:rsid w:val="009932AF"/>
    <w:rsid w:val="00BD0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946C"/>
  <w15:chartTrackingRefBased/>
  <w15:docId w15:val="{8C4E8912-C435-445E-BAF3-3771853DB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15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15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51A"/>
  </w:style>
  <w:style w:type="paragraph" w:styleId="Footer">
    <w:name w:val="footer"/>
    <w:basedOn w:val="Normal"/>
    <w:link w:val="FooterChar"/>
    <w:uiPriority w:val="99"/>
    <w:unhideWhenUsed/>
    <w:rsid w:val="003615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582258">
      <w:bodyDiv w:val="1"/>
      <w:marLeft w:val="0"/>
      <w:marRight w:val="0"/>
      <w:marTop w:val="0"/>
      <w:marBottom w:val="0"/>
      <w:divBdr>
        <w:top w:val="none" w:sz="0" w:space="0" w:color="auto"/>
        <w:left w:val="none" w:sz="0" w:space="0" w:color="auto"/>
        <w:bottom w:val="none" w:sz="0" w:space="0" w:color="auto"/>
        <w:right w:val="none" w:sz="0" w:space="0" w:color="auto"/>
      </w:divBdr>
    </w:div>
    <w:div w:id="96797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hsstaffsurvey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1963</Words>
  <Characters>11191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dc:creator>
  <cp:keywords/>
  <dc:description/>
  <cp:lastModifiedBy>Salma Munir (2333495)</cp:lastModifiedBy>
  <cp:revision>2</cp:revision>
  <dcterms:created xsi:type="dcterms:W3CDTF">2026-03-18T11:36:00Z</dcterms:created>
  <dcterms:modified xsi:type="dcterms:W3CDTF">2026-03-18T11:36:00Z</dcterms:modified>
</cp:coreProperties>
</file>