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BE98A" w14:textId="4339E1E7" w:rsidR="001D725D" w:rsidRPr="001D725D" w:rsidRDefault="001D725D" w:rsidP="001D725D">
      <w:pPr>
        <w:spacing w:line="360" w:lineRule="auto"/>
        <w:jc w:val="center"/>
        <w:rPr>
          <w:rFonts w:ascii="Times New Roman" w:hAnsi="Times New Roman" w:cs="Times New Roman"/>
          <w:sz w:val="24"/>
          <w:szCs w:val="24"/>
        </w:rPr>
      </w:pPr>
      <w:bookmarkStart w:id="0" w:name="_fy3iq4xb8yx" w:colFirst="0" w:colLast="0"/>
      <w:bookmarkEnd w:id="0"/>
      <w:r w:rsidRPr="001D725D">
        <w:rPr>
          <w:rFonts w:ascii="Times New Roman" w:hAnsi="Times New Roman" w:cs="Times New Roman"/>
          <w:noProof/>
          <w:sz w:val="24"/>
          <w:szCs w:val="24"/>
        </w:rPr>
        <w:drawing>
          <wp:inline distT="0" distB="0" distL="0" distR="0" wp14:anchorId="61C7A0A9" wp14:editId="426B6669">
            <wp:extent cx="2086266" cy="724001"/>
            <wp:effectExtent l="0" t="0" r="9525" b="0"/>
            <wp:docPr id="292376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376269" name=""/>
                    <pic:cNvPicPr/>
                  </pic:nvPicPr>
                  <pic:blipFill>
                    <a:blip r:embed="rId8"/>
                    <a:stretch>
                      <a:fillRect/>
                    </a:stretch>
                  </pic:blipFill>
                  <pic:spPr>
                    <a:xfrm>
                      <a:off x="0" y="0"/>
                      <a:ext cx="2086266" cy="724001"/>
                    </a:xfrm>
                    <a:prstGeom prst="rect">
                      <a:avLst/>
                    </a:prstGeom>
                  </pic:spPr>
                </pic:pic>
              </a:graphicData>
            </a:graphic>
          </wp:inline>
        </w:drawing>
      </w:r>
    </w:p>
    <w:p w14:paraId="0D2AB379" w14:textId="77777777" w:rsidR="001D725D" w:rsidRDefault="001D725D" w:rsidP="00274BB4">
      <w:pPr>
        <w:spacing w:line="360" w:lineRule="auto"/>
        <w:rPr>
          <w:rFonts w:ascii="Times New Roman" w:hAnsi="Times New Roman" w:cs="Times New Roman"/>
          <w:sz w:val="24"/>
          <w:szCs w:val="24"/>
        </w:rPr>
      </w:pPr>
    </w:p>
    <w:p w14:paraId="717CECED" w14:textId="77777777" w:rsidR="001D725D" w:rsidRDefault="001D725D" w:rsidP="001D725D">
      <w:pPr>
        <w:spacing w:line="360" w:lineRule="auto"/>
        <w:jc w:val="center"/>
        <w:rPr>
          <w:rFonts w:ascii="Times New Roman" w:hAnsi="Times New Roman" w:cs="Times New Roman"/>
          <w:sz w:val="24"/>
          <w:szCs w:val="24"/>
        </w:rPr>
      </w:pPr>
    </w:p>
    <w:p w14:paraId="2775426E" w14:textId="3A33D4F1" w:rsidR="001D725D" w:rsidRPr="001D725D" w:rsidRDefault="001D725D" w:rsidP="001D725D">
      <w:pPr>
        <w:spacing w:line="360" w:lineRule="auto"/>
        <w:jc w:val="center"/>
        <w:rPr>
          <w:rFonts w:ascii="Times New Roman" w:hAnsi="Times New Roman" w:cs="Times New Roman"/>
          <w:sz w:val="32"/>
          <w:szCs w:val="32"/>
        </w:rPr>
      </w:pPr>
      <w:r w:rsidRPr="001D725D">
        <w:rPr>
          <w:rFonts w:ascii="Times New Roman" w:hAnsi="Times New Roman" w:cs="Times New Roman"/>
          <w:b/>
          <w:bCs/>
          <w:sz w:val="32"/>
          <w:szCs w:val="32"/>
        </w:rPr>
        <w:t>Programme:</w:t>
      </w:r>
      <w:r w:rsidRPr="001D725D">
        <w:rPr>
          <w:rFonts w:ascii="Times New Roman" w:hAnsi="Times New Roman" w:cs="Times New Roman"/>
          <w:sz w:val="32"/>
          <w:szCs w:val="32"/>
        </w:rPr>
        <w:t xml:space="preserve"> BSc Health and Social Care</w:t>
      </w:r>
    </w:p>
    <w:p w14:paraId="588238DF" w14:textId="77777777" w:rsidR="001D725D" w:rsidRPr="001D725D" w:rsidRDefault="001D725D" w:rsidP="001D725D">
      <w:pPr>
        <w:spacing w:line="360" w:lineRule="auto"/>
        <w:jc w:val="center"/>
        <w:rPr>
          <w:rFonts w:ascii="Times New Roman" w:hAnsi="Times New Roman" w:cs="Times New Roman"/>
          <w:sz w:val="32"/>
          <w:szCs w:val="32"/>
        </w:rPr>
      </w:pPr>
      <w:r w:rsidRPr="001D725D">
        <w:rPr>
          <w:rFonts w:ascii="Times New Roman" w:hAnsi="Times New Roman" w:cs="Times New Roman"/>
          <w:b/>
          <w:bCs/>
          <w:sz w:val="32"/>
          <w:szCs w:val="32"/>
        </w:rPr>
        <w:t>Module:</w:t>
      </w:r>
      <w:r w:rsidRPr="001D725D">
        <w:rPr>
          <w:rFonts w:ascii="Times New Roman" w:hAnsi="Times New Roman" w:cs="Times New Roman"/>
          <w:sz w:val="32"/>
          <w:szCs w:val="32"/>
        </w:rPr>
        <w:t xml:space="preserve"> Health, Wellbeing and Sustainable Development</w:t>
      </w:r>
    </w:p>
    <w:p w14:paraId="29F0D9CE" w14:textId="5DF9CC80" w:rsidR="001D725D" w:rsidRDefault="00274BB4" w:rsidP="001D725D">
      <w:pPr>
        <w:spacing w:line="360" w:lineRule="auto"/>
        <w:jc w:val="center"/>
        <w:rPr>
          <w:rFonts w:ascii="Times New Roman" w:hAnsi="Times New Roman" w:cs="Times New Roman"/>
          <w:sz w:val="32"/>
          <w:szCs w:val="32"/>
        </w:rPr>
      </w:pPr>
      <w:r>
        <w:rPr>
          <w:rFonts w:ascii="Times New Roman" w:hAnsi="Times New Roman" w:cs="Times New Roman"/>
          <w:b/>
          <w:bCs/>
          <w:sz w:val="32"/>
          <w:szCs w:val="32"/>
        </w:rPr>
        <w:t>Module Code:</w:t>
      </w:r>
      <w:r w:rsidR="001D725D" w:rsidRPr="001D725D">
        <w:rPr>
          <w:rFonts w:ascii="Times New Roman" w:hAnsi="Times New Roman" w:cs="Times New Roman"/>
          <w:sz w:val="32"/>
          <w:szCs w:val="32"/>
        </w:rPr>
        <w:t xml:space="preserve"> BMHP6021</w:t>
      </w:r>
    </w:p>
    <w:p w14:paraId="28DE2AD1" w14:textId="2EAB3EA1" w:rsidR="00274BB4" w:rsidRDefault="00274BB4" w:rsidP="00274BB4">
      <w:pPr>
        <w:spacing w:line="360" w:lineRule="auto"/>
        <w:jc w:val="center"/>
        <w:rPr>
          <w:rFonts w:ascii="Times New Roman" w:hAnsi="Times New Roman" w:cs="Times New Roman"/>
          <w:sz w:val="32"/>
          <w:szCs w:val="32"/>
        </w:rPr>
      </w:pPr>
      <w:r w:rsidRPr="00274BB4">
        <w:rPr>
          <w:rFonts w:ascii="Times New Roman" w:hAnsi="Times New Roman" w:cs="Times New Roman"/>
          <w:b/>
          <w:bCs/>
          <w:sz w:val="32"/>
          <w:szCs w:val="32"/>
        </w:rPr>
        <w:t>Lecturer:</w:t>
      </w:r>
      <w:r>
        <w:rPr>
          <w:rFonts w:ascii="Times New Roman" w:hAnsi="Times New Roman" w:cs="Times New Roman"/>
          <w:sz w:val="32"/>
          <w:szCs w:val="32"/>
        </w:rPr>
        <w:t xml:space="preserve"> Chloe Harries</w:t>
      </w:r>
      <w:r>
        <w:rPr>
          <w:rFonts w:ascii="Times New Roman" w:hAnsi="Times New Roman" w:cs="Times New Roman"/>
          <w:sz w:val="32"/>
          <w:szCs w:val="32"/>
        </w:rPr>
        <w:br/>
      </w:r>
      <w:r w:rsidRPr="00274BB4">
        <w:rPr>
          <w:rFonts w:ascii="Times New Roman" w:hAnsi="Times New Roman" w:cs="Times New Roman"/>
          <w:b/>
          <w:bCs/>
          <w:sz w:val="32"/>
          <w:szCs w:val="32"/>
        </w:rPr>
        <w:t>Student</w:t>
      </w:r>
      <w:r>
        <w:rPr>
          <w:rFonts w:ascii="Times New Roman" w:hAnsi="Times New Roman" w:cs="Times New Roman"/>
          <w:sz w:val="32"/>
          <w:szCs w:val="32"/>
        </w:rPr>
        <w:t>: Carolina Griza(2115255)</w:t>
      </w:r>
    </w:p>
    <w:p w14:paraId="2F6080B6" w14:textId="77777777" w:rsidR="001D725D" w:rsidRDefault="001D725D">
      <w:pPr>
        <w:rPr>
          <w:rFonts w:ascii="Times New Roman" w:hAnsi="Times New Roman" w:cs="Times New Roman"/>
          <w:sz w:val="32"/>
          <w:szCs w:val="32"/>
        </w:rPr>
      </w:pPr>
      <w:r>
        <w:rPr>
          <w:rFonts w:ascii="Times New Roman" w:hAnsi="Times New Roman" w:cs="Times New Roman"/>
          <w:sz w:val="32"/>
          <w:szCs w:val="32"/>
        </w:rPr>
        <w:br w:type="page"/>
      </w:r>
    </w:p>
    <w:sdt>
      <w:sdtPr>
        <w:rPr>
          <w:rFonts w:ascii="Arial" w:eastAsia="Arial" w:hAnsi="Arial" w:cs="Arial"/>
          <w:color w:val="auto"/>
          <w:sz w:val="22"/>
          <w:szCs w:val="22"/>
          <w:lang w:val=""/>
        </w:rPr>
        <w:id w:val="41408197"/>
        <w:docPartObj>
          <w:docPartGallery w:val="Table of Contents"/>
          <w:docPartUnique/>
        </w:docPartObj>
      </w:sdtPr>
      <w:sdtEndPr>
        <w:rPr>
          <w:b/>
          <w:bCs/>
          <w:noProof/>
        </w:rPr>
      </w:sdtEndPr>
      <w:sdtContent>
        <w:p w14:paraId="093D957B" w14:textId="7CAE7C22" w:rsidR="001D725D" w:rsidRPr="001D725D" w:rsidRDefault="001D725D" w:rsidP="001D725D">
          <w:pPr>
            <w:pStyle w:val="TOCHeading"/>
            <w:jc w:val="center"/>
            <w:rPr>
              <w:rFonts w:ascii="Times New Roman" w:hAnsi="Times New Roman" w:cs="Times New Roman"/>
              <w:b/>
              <w:bCs/>
              <w:sz w:val="24"/>
              <w:szCs w:val="24"/>
            </w:rPr>
          </w:pPr>
          <w:r w:rsidRPr="001D725D">
            <w:rPr>
              <w:rFonts w:ascii="Times New Roman" w:hAnsi="Times New Roman" w:cs="Times New Roman"/>
              <w:b/>
              <w:bCs/>
              <w:sz w:val="24"/>
              <w:szCs w:val="24"/>
            </w:rPr>
            <w:t>Table of Contents</w:t>
          </w:r>
        </w:p>
        <w:p w14:paraId="08BA2A34" w14:textId="3528519A" w:rsidR="001D725D" w:rsidRPr="001D725D" w:rsidRDefault="001D725D">
          <w:pPr>
            <w:pStyle w:val="TOC1"/>
            <w:tabs>
              <w:tab w:val="right" w:leader="dot" w:pos="9019"/>
            </w:tabs>
            <w:rPr>
              <w:rFonts w:ascii="Times New Roman" w:hAnsi="Times New Roman" w:cs="Times New Roman"/>
              <w:noProof/>
              <w:sz w:val="24"/>
              <w:szCs w:val="24"/>
            </w:rPr>
          </w:pPr>
          <w:r w:rsidRPr="001D725D">
            <w:rPr>
              <w:rFonts w:ascii="Times New Roman" w:hAnsi="Times New Roman" w:cs="Times New Roman"/>
              <w:sz w:val="24"/>
              <w:szCs w:val="24"/>
            </w:rPr>
            <w:fldChar w:fldCharType="begin"/>
          </w:r>
          <w:r w:rsidRPr="001D725D">
            <w:rPr>
              <w:rFonts w:ascii="Times New Roman" w:hAnsi="Times New Roman" w:cs="Times New Roman"/>
              <w:sz w:val="24"/>
              <w:szCs w:val="24"/>
            </w:rPr>
            <w:instrText xml:space="preserve"> TOC \o "1-3" \h \z \u </w:instrText>
          </w:r>
          <w:r w:rsidRPr="001D725D">
            <w:rPr>
              <w:rFonts w:ascii="Times New Roman" w:hAnsi="Times New Roman" w:cs="Times New Roman"/>
              <w:sz w:val="24"/>
              <w:szCs w:val="24"/>
            </w:rPr>
            <w:fldChar w:fldCharType="separate"/>
          </w:r>
          <w:hyperlink w:anchor="_Toc168390705" w:history="1">
            <w:r w:rsidRPr="001D725D">
              <w:rPr>
                <w:rStyle w:val="Hyperlink"/>
                <w:rFonts w:ascii="Times New Roman" w:hAnsi="Times New Roman" w:cs="Times New Roman"/>
                <w:noProof/>
                <w:sz w:val="24"/>
                <w:szCs w:val="24"/>
              </w:rPr>
              <w:t>Introduction</w:t>
            </w:r>
            <w:r w:rsidRPr="001D725D">
              <w:rPr>
                <w:rFonts w:ascii="Times New Roman" w:hAnsi="Times New Roman" w:cs="Times New Roman"/>
                <w:noProof/>
                <w:webHidden/>
                <w:sz w:val="24"/>
                <w:szCs w:val="24"/>
              </w:rPr>
              <w:tab/>
            </w:r>
            <w:r w:rsidRPr="001D725D">
              <w:rPr>
                <w:rFonts w:ascii="Times New Roman" w:hAnsi="Times New Roman" w:cs="Times New Roman"/>
                <w:noProof/>
                <w:webHidden/>
                <w:sz w:val="24"/>
                <w:szCs w:val="24"/>
              </w:rPr>
              <w:fldChar w:fldCharType="begin"/>
            </w:r>
            <w:r w:rsidRPr="001D725D">
              <w:rPr>
                <w:rFonts w:ascii="Times New Roman" w:hAnsi="Times New Roman" w:cs="Times New Roman"/>
                <w:noProof/>
                <w:webHidden/>
                <w:sz w:val="24"/>
                <w:szCs w:val="24"/>
              </w:rPr>
              <w:instrText xml:space="preserve"> PAGEREF _Toc168390705 \h </w:instrText>
            </w:r>
            <w:r w:rsidRPr="001D725D">
              <w:rPr>
                <w:rFonts w:ascii="Times New Roman" w:hAnsi="Times New Roman" w:cs="Times New Roman"/>
                <w:noProof/>
                <w:webHidden/>
                <w:sz w:val="24"/>
                <w:szCs w:val="24"/>
              </w:rPr>
            </w:r>
            <w:r w:rsidRPr="001D725D">
              <w:rPr>
                <w:rFonts w:ascii="Times New Roman" w:hAnsi="Times New Roman" w:cs="Times New Roman"/>
                <w:noProof/>
                <w:webHidden/>
                <w:sz w:val="24"/>
                <w:szCs w:val="24"/>
              </w:rPr>
              <w:fldChar w:fldCharType="separate"/>
            </w:r>
            <w:r w:rsidRPr="001D725D">
              <w:rPr>
                <w:rFonts w:ascii="Times New Roman" w:hAnsi="Times New Roman" w:cs="Times New Roman"/>
                <w:noProof/>
                <w:webHidden/>
                <w:sz w:val="24"/>
                <w:szCs w:val="24"/>
              </w:rPr>
              <w:t>3</w:t>
            </w:r>
            <w:r w:rsidRPr="001D725D">
              <w:rPr>
                <w:rFonts w:ascii="Times New Roman" w:hAnsi="Times New Roman" w:cs="Times New Roman"/>
                <w:noProof/>
                <w:webHidden/>
                <w:sz w:val="24"/>
                <w:szCs w:val="24"/>
              </w:rPr>
              <w:fldChar w:fldCharType="end"/>
            </w:r>
          </w:hyperlink>
        </w:p>
        <w:p w14:paraId="68F1BD84" w14:textId="1C413F7E" w:rsidR="001D725D" w:rsidRPr="001D725D" w:rsidRDefault="00000000">
          <w:pPr>
            <w:pStyle w:val="TOC1"/>
            <w:tabs>
              <w:tab w:val="right" w:leader="dot" w:pos="9019"/>
            </w:tabs>
            <w:rPr>
              <w:rFonts w:ascii="Times New Roman" w:hAnsi="Times New Roman" w:cs="Times New Roman"/>
              <w:noProof/>
              <w:sz w:val="24"/>
              <w:szCs w:val="24"/>
            </w:rPr>
          </w:pPr>
          <w:hyperlink w:anchor="_Toc168390706" w:history="1">
            <w:r w:rsidR="001D725D" w:rsidRPr="001D725D">
              <w:rPr>
                <w:rStyle w:val="Hyperlink"/>
                <w:rFonts w:ascii="Times New Roman" w:hAnsi="Times New Roman" w:cs="Times New Roman"/>
                <w:noProof/>
                <w:sz w:val="24"/>
                <w:szCs w:val="24"/>
              </w:rPr>
              <w:t>Introduction to the concepts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_Toc168390706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4</w:t>
            </w:r>
            <w:r w:rsidR="001D725D" w:rsidRPr="001D725D">
              <w:rPr>
                <w:rFonts w:ascii="Times New Roman" w:hAnsi="Times New Roman" w:cs="Times New Roman"/>
                <w:noProof/>
                <w:webHidden/>
                <w:sz w:val="24"/>
                <w:szCs w:val="24"/>
              </w:rPr>
              <w:fldChar w:fldCharType="end"/>
            </w:r>
          </w:hyperlink>
        </w:p>
        <w:p w14:paraId="1D006CBD" w14:textId="45923712" w:rsidR="001D725D" w:rsidRPr="001D725D" w:rsidRDefault="00000000">
          <w:pPr>
            <w:pStyle w:val="TOC2"/>
            <w:tabs>
              <w:tab w:val="right" w:leader="dot" w:pos="9019"/>
            </w:tabs>
            <w:rPr>
              <w:rFonts w:ascii="Times New Roman" w:hAnsi="Times New Roman" w:cs="Times New Roman"/>
              <w:noProof/>
              <w:sz w:val="24"/>
              <w:szCs w:val="24"/>
            </w:rPr>
          </w:pPr>
          <w:hyperlink w:anchor="_Toc168390707" w:history="1">
            <w:r w:rsidR="001D725D" w:rsidRPr="001D725D">
              <w:rPr>
                <w:rStyle w:val="Hyperlink"/>
                <w:rFonts w:ascii="Times New Roman" w:hAnsi="Times New Roman" w:cs="Times New Roman"/>
                <w:noProof/>
                <w:sz w:val="24"/>
                <w:szCs w:val="24"/>
              </w:rPr>
              <w:t>Well Being</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_Toc168390707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4</w:t>
            </w:r>
            <w:r w:rsidR="001D725D" w:rsidRPr="001D725D">
              <w:rPr>
                <w:rFonts w:ascii="Times New Roman" w:hAnsi="Times New Roman" w:cs="Times New Roman"/>
                <w:noProof/>
                <w:webHidden/>
                <w:sz w:val="24"/>
                <w:szCs w:val="24"/>
              </w:rPr>
              <w:fldChar w:fldCharType="end"/>
            </w:r>
          </w:hyperlink>
        </w:p>
        <w:p w14:paraId="345844D6" w14:textId="1524C7AD" w:rsidR="001D725D" w:rsidRPr="001D725D" w:rsidRDefault="00000000">
          <w:pPr>
            <w:pStyle w:val="TOC2"/>
            <w:tabs>
              <w:tab w:val="right" w:leader="dot" w:pos="9019"/>
            </w:tabs>
            <w:rPr>
              <w:rFonts w:ascii="Times New Roman" w:hAnsi="Times New Roman" w:cs="Times New Roman"/>
              <w:noProof/>
              <w:sz w:val="24"/>
              <w:szCs w:val="24"/>
            </w:rPr>
          </w:pPr>
          <w:hyperlink w:anchor="_Toc168390708" w:history="1">
            <w:r w:rsidR="001D725D" w:rsidRPr="001D725D">
              <w:rPr>
                <w:rStyle w:val="Hyperlink"/>
                <w:rFonts w:ascii="Times New Roman" w:hAnsi="Times New Roman" w:cs="Times New Roman"/>
                <w:noProof/>
                <w:sz w:val="24"/>
                <w:szCs w:val="24"/>
              </w:rPr>
              <w:t>Sustainable development</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_Toc168390708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4</w:t>
            </w:r>
            <w:r w:rsidR="001D725D" w:rsidRPr="001D725D">
              <w:rPr>
                <w:rFonts w:ascii="Times New Roman" w:hAnsi="Times New Roman" w:cs="Times New Roman"/>
                <w:noProof/>
                <w:webHidden/>
                <w:sz w:val="24"/>
                <w:szCs w:val="24"/>
              </w:rPr>
              <w:fldChar w:fldCharType="end"/>
            </w:r>
          </w:hyperlink>
        </w:p>
        <w:p w14:paraId="395585BB" w14:textId="342EE033" w:rsidR="001D725D" w:rsidRPr="001D725D" w:rsidRDefault="00000000">
          <w:pPr>
            <w:pStyle w:val="TOC2"/>
            <w:tabs>
              <w:tab w:val="right" w:leader="dot" w:pos="9019"/>
            </w:tabs>
            <w:rPr>
              <w:rFonts w:ascii="Times New Roman" w:hAnsi="Times New Roman" w:cs="Times New Roman"/>
              <w:noProof/>
              <w:sz w:val="24"/>
              <w:szCs w:val="24"/>
            </w:rPr>
          </w:pPr>
          <w:hyperlink w:anchor="_Toc168390709" w:history="1">
            <w:r w:rsidR="001D725D" w:rsidRPr="001D725D">
              <w:rPr>
                <w:rStyle w:val="Hyperlink"/>
                <w:rFonts w:ascii="Times New Roman" w:hAnsi="Times New Roman" w:cs="Times New Roman"/>
                <w:noProof/>
                <w:sz w:val="24"/>
                <w:szCs w:val="24"/>
              </w:rPr>
              <w:t>Health</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_Toc168390709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5</w:t>
            </w:r>
            <w:r w:rsidR="001D725D" w:rsidRPr="001D725D">
              <w:rPr>
                <w:rFonts w:ascii="Times New Roman" w:hAnsi="Times New Roman" w:cs="Times New Roman"/>
                <w:noProof/>
                <w:webHidden/>
                <w:sz w:val="24"/>
                <w:szCs w:val="24"/>
              </w:rPr>
              <w:fldChar w:fldCharType="end"/>
            </w:r>
          </w:hyperlink>
        </w:p>
        <w:p w14:paraId="20F8356C" w14:textId="6DA5404A" w:rsidR="001D725D" w:rsidRPr="001D725D" w:rsidRDefault="00000000">
          <w:pPr>
            <w:pStyle w:val="TOC2"/>
            <w:tabs>
              <w:tab w:val="right" w:leader="dot" w:pos="9019"/>
            </w:tabs>
            <w:rPr>
              <w:rFonts w:ascii="Times New Roman" w:hAnsi="Times New Roman" w:cs="Times New Roman"/>
              <w:noProof/>
              <w:sz w:val="24"/>
              <w:szCs w:val="24"/>
            </w:rPr>
          </w:pPr>
          <w:hyperlink w:anchor="_Toc168390710" w:history="1">
            <w:r w:rsidR="001D725D" w:rsidRPr="001D725D">
              <w:rPr>
                <w:rStyle w:val="Hyperlink"/>
                <w:rFonts w:ascii="Times New Roman" w:hAnsi="Times New Roman" w:cs="Times New Roman"/>
                <w:noProof/>
                <w:sz w:val="24"/>
                <w:szCs w:val="24"/>
              </w:rPr>
              <w:t>Sustainable development goals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_Toc168390710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6</w:t>
            </w:r>
            <w:r w:rsidR="001D725D" w:rsidRPr="001D725D">
              <w:rPr>
                <w:rFonts w:ascii="Times New Roman" w:hAnsi="Times New Roman" w:cs="Times New Roman"/>
                <w:noProof/>
                <w:webHidden/>
                <w:sz w:val="24"/>
                <w:szCs w:val="24"/>
              </w:rPr>
              <w:fldChar w:fldCharType="end"/>
            </w:r>
          </w:hyperlink>
        </w:p>
        <w:p w14:paraId="6D262595" w14:textId="032FF24B" w:rsidR="001D725D" w:rsidRPr="001D725D" w:rsidRDefault="00000000">
          <w:pPr>
            <w:pStyle w:val="TOC1"/>
            <w:tabs>
              <w:tab w:val="right" w:leader="dot" w:pos="9019"/>
            </w:tabs>
            <w:rPr>
              <w:rFonts w:ascii="Times New Roman" w:hAnsi="Times New Roman" w:cs="Times New Roman"/>
              <w:noProof/>
              <w:sz w:val="24"/>
              <w:szCs w:val="24"/>
            </w:rPr>
          </w:pPr>
          <w:hyperlink w:anchor="_Toc168390711" w:history="1">
            <w:r w:rsidR="001D725D" w:rsidRPr="001D725D">
              <w:rPr>
                <w:rStyle w:val="Hyperlink"/>
                <w:rFonts w:ascii="Times New Roman" w:hAnsi="Times New Roman" w:cs="Times New Roman"/>
                <w:noProof/>
                <w:sz w:val="24"/>
                <w:szCs w:val="24"/>
              </w:rPr>
              <w:t>Goal A - No poverty</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_Toc168390711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6</w:t>
            </w:r>
            <w:r w:rsidR="001D725D" w:rsidRPr="001D725D">
              <w:rPr>
                <w:rFonts w:ascii="Times New Roman" w:hAnsi="Times New Roman" w:cs="Times New Roman"/>
                <w:noProof/>
                <w:webHidden/>
                <w:sz w:val="24"/>
                <w:szCs w:val="24"/>
              </w:rPr>
              <w:fldChar w:fldCharType="end"/>
            </w:r>
          </w:hyperlink>
        </w:p>
        <w:p w14:paraId="6B7CAB8E" w14:textId="47968A4B" w:rsidR="001D725D" w:rsidRPr="001D725D" w:rsidRDefault="00000000">
          <w:pPr>
            <w:pStyle w:val="TOC2"/>
            <w:tabs>
              <w:tab w:val="right" w:leader="dot" w:pos="9019"/>
            </w:tabs>
            <w:rPr>
              <w:rFonts w:ascii="Times New Roman" w:hAnsi="Times New Roman" w:cs="Times New Roman"/>
              <w:noProof/>
              <w:sz w:val="24"/>
              <w:szCs w:val="24"/>
            </w:rPr>
          </w:pPr>
          <w:hyperlink w:anchor="_Toc168390712" w:history="1">
            <w:r w:rsidR="001D725D" w:rsidRPr="001D725D">
              <w:rPr>
                <w:rStyle w:val="Hyperlink"/>
                <w:rFonts w:ascii="Times New Roman" w:hAnsi="Times New Roman" w:cs="Times New Roman"/>
                <w:noProof/>
                <w:sz w:val="24"/>
                <w:szCs w:val="24"/>
              </w:rPr>
              <w:t>Definition of SDG no 1</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_Toc168390712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6</w:t>
            </w:r>
            <w:r w:rsidR="001D725D" w:rsidRPr="001D725D">
              <w:rPr>
                <w:rFonts w:ascii="Times New Roman" w:hAnsi="Times New Roman" w:cs="Times New Roman"/>
                <w:noProof/>
                <w:webHidden/>
                <w:sz w:val="24"/>
                <w:szCs w:val="24"/>
              </w:rPr>
              <w:fldChar w:fldCharType="end"/>
            </w:r>
          </w:hyperlink>
        </w:p>
        <w:p w14:paraId="28CE4C1E" w14:textId="7EDD243D" w:rsidR="001D725D" w:rsidRPr="001D725D" w:rsidRDefault="00000000">
          <w:pPr>
            <w:pStyle w:val="TOC2"/>
            <w:tabs>
              <w:tab w:val="right" w:leader="dot" w:pos="9019"/>
            </w:tabs>
            <w:rPr>
              <w:rFonts w:ascii="Times New Roman" w:hAnsi="Times New Roman" w:cs="Times New Roman"/>
              <w:noProof/>
              <w:sz w:val="24"/>
              <w:szCs w:val="24"/>
            </w:rPr>
          </w:pPr>
          <w:hyperlink w:anchor="_Toc168390713" w:history="1">
            <w:r w:rsidR="001D725D" w:rsidRPr="001D725D">
              <w:rPr>
                <w:rStyle w:val="Hyperlink"/>
                <w:rFonts w:ascii="Times New Roman" w:hAnsi="Times New Roman" w:cs="Times New Roman"/>
                <w:noProof/>
                <w:sz w:val="24"/>
                <w:szCs w:val="24"/>
              </w:rPr>
              <w:t>Identification of two UK strategies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_Toc168390713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7</w:t>
            </w:r>
            <w:r w:rsidR="001D725D" w:rsidRPr="001D725D">
              <w:rPr>
                <w:rFonts w:ascii="Times New Roman" w:hAnsi="Times New Roman" w:cs="Times New Roman"/>
                <w:noProof/>
                <w:webHidden/>
                <w:sz w:val="24"/>
                <w:szCs w:val="24"/>
              </w:rPr>
              <w:fldChar w:fldCharType="end"/>
            </w:r>
          </w:hyperlink>
        </w:p>
        <w:p w14:paraId="0D4AD32C" w14:textId="0F541BED" w:rsidR="001D725D" w:rsidRPr="001D725D" w:rsidRDefault="00000000">
          <w:pPr>
            <w:pStyle w:val="TOC2"/>
            <w:tabs>
              <w:tab w:val="right" w:leader="dot" w:pos="9019"/>
            </w:tabs>
            <w:rPr>
              <w:rFonts w:ascii="Times New Roman" w:hAnsi="Times New Roman" w:cs="Times New Roman"/>
              <w:noProof/>
              <w:sz w:val="24"/>
              <w:szCs w:val="24"/>
            </w:rPr>
          </w:pPr>
          <w:hyperlink w:anchor="_Toc168390714" w:history="1">
            <w:r w:rsidR="001D725D" w:rsidRPr="001D725D">
              <w:rPr>
                <w:rStyle w:val="Hyperlink"/>
                <w:rFonts w:ascii="Times New Roman" w:hAnsi="Times New Roman" w:cs="Times New Roman"/>
                <w:noProof/>
                <w:sz w:val="24"/>
                <w:szCs w:val="24"/>
              </w:rPr>
              <w:t>Review of these strategies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_Toc168390714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7</w:t>
            </w:r>
            <w:r w:rsidR="001D725D" w:rsidRPr="001D725D">
              <w:rPr>
                <w:rFonts w:ascii="Times New Roman" w:hAnsi="Times New Roman" w:cs="Times New Roman"/>
                <w:noProof/>
                <w:webHidden/>
                <w:sz w:val="24"/>
                <w:szCs w:val="24"/>
              </w:rPr>
              <w:fldChar w:fldCharType="end"/>
            </w:r>
          </w:hyperlink>
        </w:p>
        <w:p w14:paraId="0A940246" w14:textId="7957468C" w:rsidR="001D725D" w:rsidRPr="001D725D" w:rsidRDefault="00000000">
          <w:pPr>
            <w:pStyle w:val="TOC2"/>
            <w:tabs>
              <w:tab w:val="right" w:leader="dot" w:pos="9019"/>
            </w:tabs>
            <w:rPr>
              <w:rFonts w:ascii="Times New Roman" w:hAnsi="Times New Roman" w:cs="Times New Roman"/>
              <w:noProof/>
              <w:sz w:val="24"/>
              <w:szCs w:val="24"/>
            </w:rPr>
          </w:pPr>
          <w:hyperlink w:anchor="_Toc168390715" w:history="1">
            <w:r w:rsidR="001D725D" w:rsidRPr="001D725D">
              <w:rPr>
                <w:rStyle w:val="Hyperlink"/>
                <w:rFonts w:ascii="Times New Roman" w:hAnsi="Times New Roman" w:cs="Times New Roman"/>
                <w:noProof/>
                <w:sz w:val="24"/>
                <w:szCs w:val="24"/>
              </w:rPr>
              <w:t>Evaluation of the progress made by the government</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_Toc168390715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7</w:t>
            </w:r>
            <w:r w:rsidR="001D725D" w:rsidRPr="001D725D">
              <w:rPr>
                <w:rFonts w:ascii="Times New Roman" w:hAnsi="Times New Roman" w:cs="Times New Roman"/>
                <w:noProof/>
                <w:webHidden/>
                <w:sz w:val="24"/>
                <w:szCs w:val="24"/>
              </w:rPr>
              <w:fldChar w:fldCharType="end"/>
            </w:r>
          </w:hyperlink>
        </w:p>
        <w:p w14:paraId="6B27EF40" w14:textId="283FA566" w:rsidR="001D725D" w:rsidRPr="001D725D" w:rsidRDefault="00000000">
          <w:pPr>
            <w:pStyle w:val="TOC2"/>
            <w:tabs>
              <w:tab w:val="right" w:leader="dot" w:pos="9019"/>
            </w:tabs>
            <w:rPr>
              <w:rFonts w:ascii="Times New Roman" w:hAnsi="Times New Roman" w:cs="Times New Roman"/>
              <w:noProof/>
              <w:sz w:val="24"/>
              <w:szCs w:val="24"/>
            </w:rPr>
          </w:pPr>
          <w:hyperlink w:anchor="_Toc168390716" w:history="1">
            <w:r w:rsidR="001D725D" w:rsidRPr="001D725D">
              <w:rPr>
                <w:rStyle w:val="Hyperlink"/>
                <w:rFonts w:ascii="Times New Roman" w:hAnsi="Times New Roman" w:cs="Times New Roman"/>
                <w:noProof/>
                <w:sz w:val="24"/>
                <w:szCs w:val="24"/>
              </w:rPr>
              <w:t>Critical examination of the impact of this SDG</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_Toc168390716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8</w:t>
            </w:r>
            <w:r w:rsidR="001D725D" w:rsidRPr="001D725D">
              <w:rPr>
                <w:rFonts w:ascii="Times New Roman" w:hAnsi="Times New Roman" w:cs="Times New Roman"/>
                <w:noProof/>
                <w:webHidden/>
                <w:sz w:val="24"/>
                <w:szCs w:val="24"/>
              </w:rPr>
              <w:fldChar w:fldCharType="end"/>
            </w:r>
          </w:hyperlink>
        </w:p>
        <w:p w14:paraId="76125073" w14:textId="44F7BF19" w:rsidR="001D725D" w:rsidRPr="001D725D" w:rsidRDefault="00000000">
          <w:pPr>
            <w:pStyle w:val="TOC2"/>
            <w:tabs>
              <w:tab w:val="right" w:leader="dot" w:pos="9019"/>
            </w:tabs>
            <w:rPr>
              <w:rFonts w:ascii="Times New Roman" w:hAnsi="Times New Roman" w:cs="Times New Roman"/>
              <w:noProof/>
              <w:sz w:val="24"/>
              <w:szCs w:val="24"/>
            </w:rPr>
          </w:pPr>
          <w:hyperlink w:anchor="_Toc168390717" w:history="1">
            <w:r w:rsidR="001D725D" w:rsidRPr="001D725D">
              <w:rPr>
                <w:rStyle w:val="Hyperlink"/>
                <w:rFonts w:ascii="Times New Roman" w:hAnsi="Times New Roman" w:cs="Times New Roman"/>
                <w:noProof/>
                <w:sz w:val="24"/>
                <w:szCs w:val="24"/>
              </w:rPr>
              <w:t>Examination of the challenges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_Toc168390717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8</w:t>
            </w:r>
            <w:r w:rsidR="001D725D" w:rsidRPr="001D725D">
              <w:rPr>
                <w:rFonts w:ascii="Times New Roman" w:hAnsi="Times New Roman" w:cs="Times New Roman"/>
                <w:noProof/>
                <w:webHidden/>
                <w:sz w:val="24"/>
                <w:szCs w:val="24"/>
              </w:rPr>
              <w:fldChar w:fldCharType="end"/>
            </w:r>
          </w:hyperlink>
        </w:p>
        <w:p w14:paraId="37A542B0" w14:textId="1EF82463" w:rsidR="001D725D" w:rsidRPr="001D725D" w:rsidRDefault="00000000">
          <w:pPr>
            <w:pStyle w:val="TOC2"/>
            <w:tabs>
              <w:tab w:val="right" w:leader="dot" w:pos="9019"/>
            </w:tabs>
            <w:rPr>
              <w:rFonts w:ascii="Times New Roman" w:hAnsi="Times New Roman" w:cs="Times New Roman"/>
              <w:noProof/>
              <w:sz w:val="24"/>
              <w:szCs w:val="24"/>
            </w:rPr>
          </w:pPr>
          <w:hyperlink w:anchor="_Toc168390718" w:history="1">
            <w:r w:rsidR="001D725D" w:rsidRPr="001D725D">
              <w:rPr>
                <w:rStyle w:val="Hyperlink"/>
                <w:rFonts w:ascii="Times New Roman" w:hAnsi="Times New Roman" w:cs="Times New Roman"/>
                <w:noProof/>
                <w:sz w:val="24"/>
                <w:szCs w:val="24"/>
              </w:rPr>
              <w:t>Recommendations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_Toc168390718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8</w:t>
            </w:r>
            <w:r w:rsidR="001D725D" w:rsidRPr="001D725D">
              <w:rPr>
                <w:rFonts w:ascii="Times New Roman" w:hAnsi="Times New Roman" w:cs="Times New Roman"/>
                <w:noProof/>
                <w:webHidden/>
                <w:sz w:val="24"/>
                <w:szCs w:val="24"/>
              </w:rPr>
              <w:fldChar w:fldCharType="end"/>
            </w:r>
          </w:hyperlink>
        </w:p>
        <w:p w14:paraId="59FC3DF7" w14:textId="619CEFFA" w:rsidR="001D725D" w:rsidRPr="001D725D" w:rsidRDefault="00000000">
          <w:pPr>
            <w:pStyle w:val="TOC1"/>
            <w:tabs>
              <w:tab w:val="right" w:leader="dot" w:pos="9019"/>
            </w:tabs>
            <w:rPr>
              <w:rFonts w:ascii="Times New Roman" w:hAnsi="Times New Roman" w:cs="Times New Roman"/>
              <w:noProof/>
              <w:sz w:val="24"/>
              <w:szCs w:val="24"/>
            </w:rPr>
          </w:pPr>
          <w:hyperlink w:anchor="_Toc168390719" w:history="1">
            <w:r w:rsidR="001D725D" w:rsidRPr="001D725D">
              <w:rPr>
                <w:rStyle w:val="Hyperlink"/>
                <w:rFonts w:ascii="Times New Roman" w:hAnsi="Times New Roman" w:cs="Times New Roman"/>
                <w:noProof/>
                <w:sz w:val="24"/>
                <w:szCs w:val="24"/>
              </w:rPr>
              <w:t>Goal B - Zero hunger</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_Toc168390719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9</w:t>
            </w:r>
            <w:r w:rsidR="001D725D" w:rsidRPr="001D725D">
              <w:rPr>
                <w:rFonts w:ascii="Times New Roman" w:hAnsi="Times New Roman" w:cs="Times New Roman"/>
                <w:noProof/>
                <w:webHidden/>
                <w:sz w:val="24"/>
                <w:szCs w:val="24"/>
              </w:rPr>
              <w:fldChar w:fldCharType="end"/>
            </w:r>
          </w:hyperlink>
        </w:p>
        <w:p w14:paraId="3CE21961" w14:textId="26A1904D" w:rsidR="001D725D" w:rsidRPr="001D725D" w:rsidRDefault="00000000">
          <w:pPr>
            <w:pStyle w:val="TOC2"/>
            <w:tabs>
              <w:tab w:val="right" w:leader="dot" w:pos="9019"/>
            </w:tabs>
            <w:rPr>
              <w:rFonts w:ascii="Times New Roman" w:hAnsi="Times New Roman" w:cs="Times New Roman"/>
              <w:noProof/>
              <w:sz w:val="24"/>
              <w:szCs w:val="24"/>
            </w:rPr>
          </w:pPr>
          <w:hyperlink w:anchor="_Toc168390720" w:history="1">
            <w:r w:rsidR="001D725D" w:rsidRPr="001D725D">
              <w:rPr>
                <w:rStyle w:val="Hyperlink"/>
                <w:rFonts w:ascii="Times New Roman" w:hAnsi="Times New Roman" w:cs="Times New Roman"/>
                <w:noProof/>
                <w:sz w:val="24"/>
                <w:szCs w:val="24"/>
              </w:rPr>
              <w:t>Definition of SDG no 2</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_Toc168390720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9</w:t>
            </w:r>
            <w:r w:rsidR="001D725D" w:rsidRPr="001D725D">
              <w:rPr>
                <w:rFonts w:ascii="Times New Roman" w:hAnsi="Times New Roman" w:cs="Times New Roman"/>
                <w:noProof/>
                <w:webHidden/>
                <w:sz w:val="24"/>
                <w:szCs w:val="24"/>
              </w:rPr>
              <w:fldChar w:fldCharType="end"/>
            </w:r>
          </w:hyperlink>
        </w:p>
        <w:p w14:paraId="48F46040" w14:textId="04EE47BB" w:rsidR="001D725D" w:rsidRPr="001D725D" w:rsidRDefault="00000000">
          <w:pPr>
            <w:pStyle w:val="TOC2"/>
            <w:tabs>
              <w:tab w:val="right" w:leader="dot" w:pos="9019"/>
            </w:tabs>
            <w:rPr>
              <w:rFonts w:ascii="Times New Roman" w:hAnsi="Times New Roman" w:cs="Times New Roman"/>
              <w:noProof/>
              <w:sz w:val="24"/>
              <w:szCs w:val="24"/>
            </w:rPr>
          </w:pPr>
          <w:hyperlink w:anchor="_Toc168390721" w:history="1">
            <w:r w:rsidR="001D725D" w:rsidRPr="001D725D">
              <w:rPr>
                <w:rStyle w:val="Hyperlink"/>
                <w:rFonts w:ascii="Times New Roman" w:hAnsi="Times New Roman" w:cs="Times New Roman"/>
                <w:noProof/>
                <w:sz w:val="24"/>
                <w:szCs w:val="24"/>
              </w:rPr>
              <w:t>Identification of two UK strategies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_Toc168390721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9</w:t>
            </w:r>
            <w:r w:rsidR="001D725D" w:rsidRPr="001D725D">
              <w:rPr>
                <w:rFonts w:ascii="Times New Roman" w:hAnsi="Times New Roman" w:cs="Times New Roman"/>
                <w:noProof/>
                <w:webHidden/>
                <w:sz w:val="24"/>
                <w:szCs w:val="24"/>
              </w:rPr>
              <w:fldChar w:fldCharType="end"/>
            </w:r>
          </w:hyperlink>
        </w:p>
        <w:p w14:paraId="621D5210" w14:textId="41436A03" w:rsidR="001D725D" w:rsidRPr="001D725D" w:rsidRDefault="00000000">
          <w:pPr>
            <w:pStyle w:val="TOC2"/>
            <w:tabs>
              <w:tab w:val="right" w:leader="dot" w:pos="9019"/>
            </w:tabs>
            <w:rPr>
              <w:rFonts w:ascii="Times New Roman" w:hAnsi="Times New Roman" w:cs="Times New Roman"/>
              <w:noProof/>
              <w:sz w:val="24"/>
              <w:szCs w:val="24"/>
            </w:rPr>
          </w:pPr>
          <w:hyperlink w:anchor="_Toc168390722" w:history="1">
            <w:r w:rsidR="001D725D" w:rsidRPr="001D725D">
              <w:rPr>
                <w:rStyle w:val="Hyperlink"/>
                <w:rFonts w:ascii="Times New Roman" w:hAnsi="Times New Roman" w:cs="Times New Roman"/>
                <w:noProof/>
                <w:sz w:val="24"/>
                <w:szCs w:val="24"/>
              </w:rPr>
              <w:t>Review of these strategies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_Toc168390722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9</w:t>
            </w:r>
            <w:r w:rsidR="001D725D" w:rsidRPr="001D725D">
              <w:rPr>
                <w:rFonts w:ascii="Times New Roman" w:hAnsi="Times New Roman" w:cs="Times New Roman"/>
                <w:noProof/>
                <w:webHidden/>
                <w:sz w:val="24"/>
                <w:szCs w:val="24"/>
              </w:rPr>
              <w:fldChar w:fldCharType="end"/>
            </w:r>
          </w:hyperlink>
        </w:p>
        <w:p w14:paraId="19E20F59" w14:textId="4208F720" w:rsidR="001D725D" w:rsidRPr="001D725D" w:rsidRDefault="00000000">
          <w:pPr>
            <w:pStyle w:val="TOC2"/>
            <w:tabs>
              <w:tab w:val="right" w:leader="dot" w:pos="9019"/>
            </w:tabs>
            <w:rPr>
              <w:rFonts w:ascii="Times New Roman" w:hAnsi="Times New Roman" w:cs="Times New Roman"/>
              <w:noProof/>
              <w:sz w:val="24"/>
              <w:szCs w:val="24"/>
            </w:rPr>
          </w:pPr>
          <w:hyperlink w:anchor="_Toc168390723" w:history="1">
            <w:r w:rsidR="001D725D" w:rsidRPr="001D725D">
              <w:rPr>
                <w:rStyle w:val="Hyperlink"/>
                <w:rFonts w:ascii="Times New Roman" w:hAnsi="Times New Roman" w:cs="Times New Roman"/>
                <w:noProof/>
                <w:sz w:val="24"/>
                <w:szCs w:val="24"/>
              </w:rPr>
              <w:t>Evaluation of the progress made by the government</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_Toc168390723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10</w:t>
            </w:r>
            <w:r w:rsidR="001D725D" w:rsidRPr="001D725D">
              <w:rPr>
                <w:rFonts w:ascii="Times New Roman" w:hAnsi="Times New Roman" w:cs="Times New Roman"/>
                <w:noProof/>
                <w:webHidden/>
                <w:sz w:val="24"/>
                <w:szCs w:val="24"/>
              </w:rPr>
              <w:fldChar w:fldCharType="end"/>
            </w:r>
          </w:hyperlink>
        </w:p>
        <w:p w14:paraId="10739384" w14:textId="01AD9527" w:rsidR="001D725D" w:rsidRPr="001D725D" w:rsidRDefault="00000000">
          <w:pPr>
            <w:pStyle w:val="TOC2"/>
            <w:tabs>
              <w:tab w:val="right" w:leader="dot" w:pos="9019"/>
            </w:tabs>
            <w:rPr>
              <w:rFonts w:ascii="Times New Roman" w:hAnsi="Times New Roman" w:cs="Times New Roman"/>
              <w:noProof/>
              <w:sz w:val="24"/>
              <w:szCs w:val="24"/>
            </w:rPr>
          </w:pPr>
          <w:hyperlink w:anchor="_Toc168390724" w:history="1">
            <w:r w:rsidR="001D725D" w:rsidRPr="001D725D">
              <w:rPr>
                <w:rStyle w:val="Hyperlink"/>
                <w:rFonts w:ascii="Times New Roman" w:hAnsi="Times New Roman" w:cs="Times New Roman"/>
                <w:noProof/>
                <w:sz w:val="24"/>
                <w:szCs w:val="24"/>
              </w:rPr>
              <w:t>Critical examination of the impact of this SDG</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_Toc168390724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11</w:t>
            </w:r>
            <w:r w:rsidR="001D725D" w:rsidRPr="001D725D">
              <w:rPr>
                <w:rFonts w:ascii="Times New Roman" w:hAnsi="Times New Roman" w:cs="Times New Roman"/>
                <w:noProof/>
                <w:webHidden/>
                <w:sz w:val="24"/>
                <w:szCs w:val="24"/>
              </w:rPr>
              <w:fldChar w:fldCharType="end"/>
            </w:r>
          </w:hyperlink>
        </w:p>
        <w:p w14:paraId="3CEEDBB0" w14:textId="239C3B79" w:rsidR="001D725D" w:rsidRPr="001D725D" w:rsidRDefault="00000000">
          <w:pPr>
            <w:pStyle w:val="TOC2"/>
            <w:tabs>
              <w:tab w:val="right" w:leader="dot" w:pos="9019"/>
            </w:tabs>
            <w:rPr>
              <w:rFonts w:ascii="Times New Roman" w:hAnsi="Times New Roman" w:cs="Times New Roman"/>
              <w:noProof/>
              <w:sz w:val="24"/>
              <w:szCs w:val="24"/>
            </w:rPr>
          </w:pPr>
          <w:hyperlink w:anchor="_Toc168390725" w:history="1">
            <w:r w:rsidR="001D725D" w:rsidRPr="001D725D">
              <w:rPr>
                <w:rStyle w:val="Hyperlink"/>
                <w:rFonts w:ascii="Times New Roman" w:hAnsi="Times New Roman" w:cs="Times New Roman"/>
                <w:noProof/>
                <w:sz w:val="24"/>
                <w:szCs w:val="24"/>
              </w:rPr>
              <w:t>Examination of the challenges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_Toc168390725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11</w:t>
            </w:r>
            <w:r w:rsidR="001D725D" w:rsidRPr="001D725D">
              <w:rPr>
                <w:rFonts w:ascii="Times New Roman" w:hAnsi="Times New Roman" w:cs="Times New Roman"/>
                <w:noProof/>
                <w:webHidden/>
                <w:sz w:val="24"/>
                <w:szCs w:val="24"/>
              </w:rPr>
              <w:fldChar w:fldCharType="end"/>
            </w:r>
          </w:hyperlink>
        </w:p>
        <w:p w14:paraId="326EB346" w14:textId="5B69BE75" w:rsidR="001D725D" w:rsidRPr="001D725D" w:rsidRDefault="00000000">
          <w:pPr>
            <w:pStyle w:val="TOC2"/>
            <w:tabs>
              <w:tab w:val="right" w:leader="dot" w:pos="9019"/>
            </w:tabs>
            <w:rPr>
              <w:rFonts w:ascii="Times New Roman" w:hAnsi="Times New Roman" w:cs="Times New Roman"/>
              <w:noProof/>
              <w:sz w:val="24"/>
              <w:szCs w:val="24"/>
            </w:rPr>
          </w:pPr>
          <w:hyperlink w:anchor="_Toc168390726" w:history="1">
            <w:r w:rsidR="001D725D" w:rsidRPr="001D725D">
              <w:rPr>
                <w:rStyle w:val="Hyperlink"/>
                <w:rFonts w:ascii="Times New Roman" w:hAnsi="Times New Roman" w:cs="Times New Roman"/>
                <w:noProof/>
                <w:sz w:val="24"/>
                <w:szCs w:val="24"/>
              </w:rPr>
              <w:t>Recommendations</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_Toc168390726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11</w:t>
            </w:r>
            <w:r w:rsidR="001D725D" w:rsidRPr="001D725D">
              <w:rPr>
                <w:rFonts w:ascii="Times New Roman" w:hAnsi="Times New Roman" w:cs="Times New Roman"/>
                <w:noProof/>
                <w:webHidden/>
                <w:sz w:val="24"/>
                <w:szCs w:val="24"/>
              </w:rPr>
              <w:fldChar w:fldCharType="end"/>
            </w:r>
          </w:hyperlink>
        </w:p>
        <w:p w14:paraId="5BE05114" w14:textId="285A5609" w:rsidR="001D725D" w:rsidRPr="001D725D" w:rsidRDefault="00000000">
          <w:pPr>
            <w:pStyle w:val="TOC1"/>
            <w:tabs>
              <w:tab w:val="right" w:leader="dot" w:pos="9019"/>
            </w:tabs>
            <w:rPr>
              <w:rFonts w:ascii="Times New Roman" w:hAnsi="Times New Roman" w:cs="Times New Roman"/>
              <w:noProof/>
              <w:sz w:val="24"/>
              <w:szCs w:val="24"/>
            </w:rPr>
          </w:pPr>
          <w:hyperlink w:anchor="_Toc168390727" w:history="1">
            <w:r w:rsidR="001D725D" w:rsidRPr="001D725D">
              <w:rPr>
                <w:rStyle w:val="Hyperlink"/>
                <w:rFonts w:ascii="Times New Roman" w:hAnsi="Times New Roman" w:cs="Times New Roman"/>
                <w:noProof/>
                <w:sz w:val="24"/>
                <w:szCs w:val="24"/>
              </w:rPr>
              <w:t>Conclusion</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_Toc168390727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12</w:t>
            </w:r>
            <w:r w:rsidR="001D725D" w:rsidRPr="001D725D">
              <w:rPr>
                <w:rFonts w:ascii="Times New Roman" w:hAnsi="Times New Roman" w:cs="Times New Roman"/>
                <w:noProof/>
                <w:webHidden/>
                <w:sz w:val="24"/>
                <w:szCs w:val="24"/>
              </w:rPr>
              <w:fldChar w:fldCharType="end"/>
            </w:r>
          </w:hyperlink>
        </w:p>
        <w:p w14:paraId="47936580" w14:textId="730B9389" w:rsidR="001D725D" w:rsidRPr="001D725D" w:rsidRDefault="00000000">
          <w:pPr>
            <w:pStyle w:val="TOC1"/>
            <w:tabs>
              <w:tab w:val="right" w:leader="dot" w:pos="9019"/>
            </w:tabs>
            <w:rPr>
              <w:rFonts w:ascii="Times New Roman" w:hAnsi="Times New Roman" w:cs="Times New Roman"/>
              <w:noProof/>
              <w:sz w:val="24"/>
              <w:szCs w:val="24"/>
            </w:rPr>
          </w:pPr>
          <w:hyperlink w:anchor="_Toc168390728" w:history="1">
            <w:r w:rsidR="001D725D" w:rsidRPr="001D725D">
              <w:rPr>
                <w:rStyle w:val="Hyperlink"/>
                <w:rFonts w:ascii="Times New Roman" w:hAnsi="Times New Roman" w:cs="Times New Roman"/>
                <w:noProof/>
                <w:sz w:val="24"/>
                <w:szCs w:val="24"/>
              </w:rPr>
              <w:t>Reference list</w:t>
            </w:r>
            <w:r w:rsidR="001D725D" w:rsidRPr="001D725D">
              <w:rPr>
                <w:rFonts w:ascii="Times New Roman" w:hAnsi="Times New Roman" w:cs="Times New Roman"/>
                <w:noProof/>
                <w:webHidden/>
                <w:sz w:val="24"/>
                <w:szCs w:val="24"/>
              </w:rPr>
              <w:tab/>
            </w:r>
            <w:r w:rsidR="001D725D" w:rsidRPr="001D725D">
              <w:rPr>
                <w:rFonts w:ascii="Times New Roman" w:hAnsi="Times New Roman" w:cs="Times New Roman"/>
                <w:noProof/>
                <w:webHidden/>
                <w:sz w:val="24"/>
                <w:szCs w:val="24"/>
              </w:rPr>
              <w:fldChar w:fldCharType="begin"/>
            </w:r>
            <w:r w:rsidR="001D725D" w:rsidRPr="001D725D">
              <w:rPr>
                <w:rFonts w:ascii="Times New Roman" w:hAnsi="Times New Roman" w:cs="Times New Roman"/>
                <w:noProof/>
                <w:webHidden/>
                <w:sz w:val="24"/>
                <w:szCs w:val="24"/>
              </w:rPr>
              <w:instrText xml:space="preserve"> PAGEREF _Toc168390728 \h </w:instrText>
            </w:r>
            <w:r w:rsidR="001D725D" w:rsidRPr="001D725D">
              <w:rPr>
                <w:rFonts w:ascii="Times New Roman" w:hAnsi="Times New Roman" w:cs="Times New Roman"/>
                <w:noProof/>
                <w:webHidden/>
                <w:sz w:val="24"/>
                <w:szCs w:val="24"/>
              </w:rPr>
            </w:r>
            <w:r w:rsidR="001D725D" w:rsidRPr="001D725D">
              <w:rPr>
                <w:rFonts w:ascii="Times New Roman" w:hAnsi="Times New Roman" w:cs="Times New Roman"/>
                <w:noProof/>
                <w:webHidden/>
                <w:sz w:val="24"/>
                <w:szCs w:val="24"/>
              </w:rPr>
              <w:fldChar w:fldCharType="separate"/>
            </w:r>
            <w:r w:rsidR="001D725D" w:rsidRPr="001D725D">
              <w:rPr>
                <w:rFonts w:ascii="Times New Roman" w:hAnsi="Times New Roman" w:cs="Times New Roman"/>
                <w:noProof/>
                <w:webHidden/>
                <w:sz w:val="24"/>
                <w:szCs w:val="24"/>
              </w:rPr>
              <w:t>13</w:t>
            </w:r>
            <w:r w:rsidR="001D725D" w:rsidRPr="001D725D">
              <w:rPr>
                <w:rFonts w:ascii="Times New Roman" w:hAnsi="Times New Roman" w:cs="Times New Roman"/>
                <w:noProof/>
                <w:webHidden/>
                <w:sz w:val="24"/>
                <w:szCs w:val="24"/>
              </w:rPr>
              <w:fldChar w:fldCharType="end"/>
            </w:r>
          </w:hyperlink>
        </w:p>
        <w:p w14:paraId="1A9C3394" w14:textId="1E27ECA7" w:rsidR="001D725D" w:rsidRDefault="001D725D">
          <w:r w:rsidRPr="001D725D">
            <w:rPr>
              <w:rFonts w:ascii="Times New Roman" w:hAnsi="Times New Roman" w:cs="Times New Roman"/>
              <w:b/>
              <w:bCs/>
              <w:noProof/>
              <w:sz w:val="24"/>
              <w:szCs w:val="24"/>
            </w:rPr>
            <w:fldChar w:fldCharType="end"/>
          </w:r>
        </w:p>
      </w:sdtContent>
    </w:sdt>
    <w:p w14:paraId="139D8235" w14:textId="77777777" w:rsidR="001D725D" w:rsidRPr="001D725D" w:rsidRDefault="001D725D" w:rsidP="001D725D">
      <w:pPr>
        <w:spacing w:line="360" w:lineRule="auto"/>
        <w:rPr>
          <w:rFonts w:ascii="Times New Roman" w:hAnsi="Times New Roman" w:cs="Times New Roman"/>
          <w:sz w:val="32"/>
          <w:szCs w:val="32"/>
        </w:rPr>
      </w:pPr>
    </w:p>
    <w:p w14:paraId="1E9C2CAB" w14:textId="77777777" w:rsidR="001D725D" w:rsidRDefault="001D725D" w:rsidP="001D725D">
      <w:pPr>
        <w:spacing w:line="360" w:lineRule="auto"/>
        <w:rPr>
          <w:rFonts w:ascii="Times New Roman" w:eastAsia="Times New Roman" w:hAnsi="Times New Roman" w:cs="Times New Roman"/>
          <w:b/>
          <w:sz w:val="24"/>
          <w:szCs w:val="24"/>
        </w:rPr>
      </w:pPr>
      <w:r>
        <w:br w:type="page"/>
      </w:r>
    </w:p>
    <w:p w14:paraId="00000001" w14:textId="708ACA9D" w:rsidR="00480DF4" w:rsidRDefault="00000000" w:rsidP="001D725D">
      <w:pPr>
        <w:pStyle w:val="Heading1"/>
        <w:spacing w:line="360" w:lineRule="auto"/>
      </w:pPr>
      <w:bookmarkStart w:id="1" w:name="_Toc168390705"/>
      <w:r>
        <w:lastRenderedPageBreak/>
        <w:t>Introduction</w:t>
      </w:r>
      <w:bookmarkEnd w:id="1"/>
    </w:p>
    <w:p w14:paraId="00000002"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Sustainable Development Goals (SDGs) are a set of 17 global targets that were adopted by the United Nations in 2015 (UnitedNations, 2024). These goals adopted the view of solving some of the major crises facing the world in the next fifteen years, for instance, poverty, inequality, sustainable environment, peace, and justice among others. The main goal of the SDGs is to establish a unified approach toward sustainable development that will mean that all three aspects, namely economic, social, and environmental, are integrated and indivisible.</w:t>
      </w:r>
    </w:p>
    <w:p w14:paraId="00000003"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six dimensions of sustainability in the SDGs increase global positivity by stimulating the ethic of generosity as well as responsibility worldwide (SDG.UN, 2024). They help people in nations, communities, and individuals to embrace and pursue more collective measures hence enhancing unity. Still, going through seven measurable goals and calling them the Sustainable Development Goals gives direction to make progress, compare outcomes and notice the outcomes that require further work. These types of strategic demands not only promote responsibility but also engender hope and purpose to enact tangible differences.</w:t>
      </w:r>
    </w:p>
    <w:p w14:paraId="00000004"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it is worth pointing out that the SDGs possess a relevant function to establish a positive future for the next generation (UN, 2024). It focuses on critical sectors like, good health and well-being, clean water and sanitation, affordable and clean energy, and climate change which are centrally needed for the enhancement of the quality of human life. By doing so, the goals set out in the SDAs seek to dismantle all forms of social justice that prevent people from realising their full potential or from getting access to the basic necessities and opportunities they require.</w:t>
      </w:r>
    </w:p>
    <w:p w14:paraId="00000005"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it can be stated that the SDGs are a universal plan that helps establish the direction for humans to adopt sustainable development. Its application can increase the standard of living, decrease inequalities and create a more sustainable environment for humankind in order for generations to come to live healthy wealthy lives and attain their optimum potential.</w:t>
      </w:r>
    </w:p>
    <w:p w14:paraId="00000006"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select two specific SDGs and conduct a brief analysis of them. Throughout the discussion of the study, multiple aspects related to these SDGs will be evaluated. It will also provide insights related to the importance of the study and the way it can contribute to the well-being of human civilization. Along with this, strategies related to these aspects will also be discussed in the study. The study will further evaluate some challenges related to the implementation of these sustainable goals. It will also provide some recommendations related to the way these challenges can be solved effectively. </w:t>
      </w:r>
    </w:p>
    <w:p w14:paraId="00000007" w14:textId="77777777" w:rsidR="00480DF4" w:rsidRDefault="00000000" w:rsidP="001D725D">
      <w:pPr>
        <w:pStyle w:val="Heading1"/>
        <w:spacing w:line="360" w:lineRule="auto"/>
      </w:pPr>
      <w:bookmarkStart w:id="2" w:name="_r73owofv60g8" w:colFirst="0" w:colLast="0"/>
      <w:bookmarkStart w:id="3" w:name="_Toc168390706"/>
      <w:bookmarkEnd w:id="2"/>
      <w:r>
        <w:lastRenderedPageBreak/>
        <w:t>Introduction to the concepts</w:t>
      </w:r>
      <w:bookmarkEnd w:id="3"/>
    </w:p>
    <w:p w14:paraId="00000008" w14:textId="77777777" w:rsidR="00480DF4" w:rsidRDefault="00000000" w:rsidP="001D725D">
      <w:pPr>
        <w:pStyle w:val="Heading2"/>
        <w:spacing w:line="360" w:lineRule="auto"/>
      </w:pPr>
      <w:bookmarkStart w:id="4" w:name="_wmkxupno1tvn" w:colFirst="0" w:colLast="0"/>
      <w:bookmarkStart w:id="5" w:name="_Toc168390707"/>
      <w:bookmarkEnd w:id="4"/>
      <w:r>
        <w:t>Well Being</w:t>
      </w:r>
      <w:bookmarkEnd w:id="5"/>
    </w:p>
    <w:p w14:paraId="00000009"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Well-being can be defined as the health state of an individual without limitation to the physical, mental, emotional and social domains (</w:t>
      </w:r>
      <w:r>
        <w:rPr>
          <w:rFonts w:ascii="Times New Roman" w:eastAsia="Times New Roman" w:hAnsi="Times New Roman" w:cs="Times New Roman"/>
          <w:color w:val="222222"/>
          <w:sz w:val="24"/>
          <w:szCs w:val="24"/>
          <w:highlight w:val="white"/>
        </w:rPr>
        <w:t xml:space="preserve">Pressman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It is a measure of how satisfied a person is and how healthy they are as well as the standards of living they enjoy. The definition of wellbeing underlines the fact that it is not only the lack of disease or stress but positive states and conditions that reflect a high level of subjective quality of life which include a sense of purpose and meaning, life satisfaction, positive interpersonal relationships and personal resources to cope with life's demands.</w:t>
      </w:r>
    </w:p>
    <w:p w14:paraId="0000000A" w14:textId="77777777" w:rsidR="00480DF4" w:rsidRDefault="00000000" w:rsidP="001D725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w:t>
      </w:r>
    </w:p>
    <w:p w14:paraId="0000000B"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Wellbeing needs to be promoted because it is an aspect that has a direct link with the lives of people as well as society (</w:t>
      </w:r>
      <w:r>
        <w:rPr>
          <w:rFonts w:ascii="Times New Roman" w:eastAsia="Times New Roman" w:hAnsi="Times New Roman" w:cs="Times New Roman"/>
          <w:color w:val="222222"/>
          <w:sz w:val="24"/>
          <w:szCs w:val="24"/>
          <w:highlight w:val="white"/>
        </w:rPr>
        <w:t xml:space="preserve">Gómez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Meditatively, good well-being is comparatively pleasant and healthy, with fewer opportunities of developing chronic diseases, and longer life. This physical aspect benefits mental and emotional health by reducing stress, anxiety, and depression thereby making the personality more robust and sound. Socially, high well-being generates a stronger bond and commitment to relations and the community as a whole because of the support.</w:t>
      </w:r>
    </w:p>
    <w:p w14:paraId="0000000C"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Along with this, well-being dictates productivity and economic stability (</w:t>
      </w:r>
      <w:r>
        <w:rPr>
          <w:rFonts w:ascii="Times New Roman" w:eastAsia="Times New Roman" w:hAnsi="Times New Roman" w:cs="Times New Roman"/>
          <w:color w:val="222222"/>
          <w:sz w:val="24"/>
          <w:szCs w:val="24"/>
          <w:highlight w:val="white"/>
        </w:rPr>
        <w:t xml:space="preserve">DiMaria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It is a well-known fact that when people are healthy, they are inclined to be productive, more hardworking and able to perform their duties and responsibilities in the workplace or other spheres of life. This in a way has the effect of promoting social development and the economy as a whole.</w:t>
      </w:r>
    </w:p>
    <w:p w14:paraId="0000000D"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crucial to advertise well-being, as it supports a balanced and healthy community, which becomes beneficial to each member and allows them to develop further (</w:t>
      </w:r>
      <w:r>
        <w:rPr>
          <w:rFonts w:ascii="Times New Roman" w:eastAsia="Times New Roman" w:hAnsi="Times New Roman" w:cs="Times New Roman"/>
          <w:color w:val="222222"/>
          <w:sz w:val="24"/>
          <w:szCs w:val="24"/>
          <w:highlight w:val="white"/>
        </w:rPr>
        <w:t xml:space="preserve">Liu </w:t>
      </w:r>
      <w:r>
        <w:rPr>
          <w:rFonts w:ascii="Times New Roman" w:eastAsia="Times New Roman" w:hAnsi="Times New Roman" w:cs="Times New Roman"/>
          <w:i/>
          <w:color w:val="222222"/>
          <w:sz w:val="24"/>
          <w:szCs w:val="24"/>
          <w:highlight w:val="white"/>
        </w:rPr>
        <w:t>et al., 2</w:t>
      </w:r>
      <w:r>
        <w:rPr>
          <w:rFonts w:ascii="Times New Roman" w:eastAsia="Times New Roman" w:hAnsi="Times New Roman" w:cs="Times New Roman"/>
          <w:color w:val="222222"/>
          <w:sz w:val="24"/>
          <w:szCs w:val="24"/>
          <w:highlight w:val="white"/>
        </w:rPr>
        <w:t>020)</w:t>
      </w:r>
      <w:r>
        <w:rPr>
          <w:rFonts w:ascii="Times New Roman" w:eastAsia="Times New Roman" w:hAnsi="Times New Roman" w:cs="Times New Roman"/>
          <w:sz w:val="24"/>
          <w:szCs w:val="24"/>
        </w:rPr>
        <w:t>. It means people are able to lead healthy and meaningful lives, which positively affects their communities, countries and the world at large.</w:t>
      </w:r>
    </w:p>
    <w:p w14:paraId="0000000E" w14:textId="77777777" w:rsidR="00480DF4" w:rsidRDefault="00000000" w:rsidP="001D725D">
      <w:pPr>
        <w:pStyle w:val="Heading2"/>
        <w:spacing w:line="360" w:lineRule="auto"/>
      </w:pPr>
      <w:bookmarkStart w:id="6" w:name="_67mhqpxzgss1" w:colFirst="0" w:colLast="0"/>
      <w:bookmarkStart w:id="7" w:name="_Toc168390708"/>
      <w:bookmarkEnd w:id="6"/>
      <w:r>
        <w:t>Sustainable development</w:t>
      </w:r>
      <w:bookmarkEnd w:id="7"/>
    </w:p>
    <w:p w14:paraId="0000000F"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Sustainability is a form of development that calls for fulfilling the human wants and needs of the current generation without affecting the capacity of the next generation to satisfy their needs for similar wants and needs (</w:t>
      </w:r>
      <w:r>
        <w:rPr>
          <w:rFonts w:ascii="Times New Roman" w:eastAsia="Times New Roman" w:hAnsi="Times New Roman" w:cs="Times New Roman"/>
          <w:color w:val="222222"/>
          <w:sz w:val="24"/>
          <w:szCs w:val="24"/>
          <w:highlight w:val="white"/>
        </w:rPr>
        <w:t>Hajian and Kashani, 2021)</w:t>
      </w:r>
      <w:r>
        <w:rPr>
          <w:rFonts w:ascii="Times New Roman" w:eastAsia="Times New Roman" w:hAnsi="Times New Roman" w:cs="Times New Roman"/>
          <w:sz w:val="24"/>
          <w:szCs w:val="24"/>
        </w:rPr>
        <w:t xml:space="preserve">. It also incorporates the economic, social, and earth elements that promote sustainability and the community’s welfare at large. Sustainable development involves everyone using natural resources in a rational manner so that </w:t>
      </w:r>
      <w:r>
        <w:rPr>
          <w:rFonts w:ascii="Times New Roman" w:eastAsia="Times New Roman" w:hAnsi="Times New Roman" w:cs="Times New Roman"/>
          <w:sz w:val="24"/>
          <w:szCs w:val="24"/>
        </w:rPr>
        <w:lastRenderedPageBreak/>
        <w:t>citizens can have improvement in their standard of living through development activities while leaving the natural world grouped in one area.</w:t>
      </w:r>
    </w:p>
    <w:p w14:paraId="00000010" w14:textId="77777777" w:rsidR="00480DF4" w:rsidRDefault="00000000" w:rsidP="001D725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w:t>
      </w:r>
    </w:p>
    <w:p w14:paraId="00000011"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sustainable development holds the promise of building a better world, sustainable development should be possible and should be pursued as a fundamental right of every man, woman, and child everywhere. Economically, it focuses on sustainable productivity of natural resources, efficiency in the utilisation of resources and prevention of pollution, climate change and management of ecosystems in a way to supports sustainability (</w:t>
      </w:r>
      <w:r>
        <w:rPr>
          <w:rFonts w:ascii="Times New Roman" w:eastAsia="Times New Roman" w:hAnsi="Times New Roman" w:cs="Times New Roman"/>
          <w:color w:val="222222"/>
          <w:sz w:val="24"/>
          <w:szCs w:val="24"/>
          <w:highlight w:val="white"/>
        </w:rPr>
        <w:t xml:space="preserve">Jhariya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Sustainable development economically creates incentives for creativity, productivity, and sustainability as opposed to using natural resources that have a definite limit and which would inevitably deplete soon if continuously relied on. In this regard, it espouses themes like poverty, social inequity, and provision of social amenities, the impartiality of rights and the harmonisation of societies.</w:t>
      </w:r>
    </w:p>
    <w:p w14:paraId="00000012"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development entails the achievement of social, economic, political and environmental targets met in a manner that leaves communities with the capabilities to continue to invest, innovate and meet humanity's basic needs without reducing the quality of life of future generations (</w:t>
      </w:r>
      <w:r>
        <w:rPr>
          <w:rFonts w:ascii="Times New Roman" w:eastAsia="Times New Roman" w:hAnsi="Times New Roman" w:cs="Times New Roman"/>
          <w:color w:val="222222"/>
          <w:sz w:val="24"/>
          <w:szCs w:val="24"/>
          <w:highlight w:val="white"/>
        </w:rPr>
        <w:t>Bali Swain and Yang-Wallentin, 2020)</w:t>
      </w:r>
      <w:r>
        <w:rPr>
          <w:rFonts w:ascii="Times New Roman" w:eastAsia="Times New Roman" w:hAnsi="Times New Roman" w:cs="Times New Roman"/>
          <w:sz w:val="24"/>
          <w:szCs w:val="24"/>
        </w:rPr>
        <w:t>. It also focuses on stripping the biosphere of its resources or impoverishing the productive resources available for investment. In this regard, this approach guarantees that future generations will receive such conditions for their development that they do not have to learn how to live from the economic and Social point of view and the planet itself will remain healthy to continue its existence. To sum up, the ideas of sustainable development are the only way to shape a balanced and sustainable future that will provide people with the necessary conditions and prospects for a happy life.</w:t>
      </w:r>
    </w:p>
    <w:p w14:paraId="00000013" w14:textId="77777777" w:rsidR="00480DF4" w:rsidRDefault="00000000" w:rsidP="001D725D">
      <w:pPr>
        <w:pStyle w:val="Heading2"/>
        <w:spacing w:line="360" w:lineRule="auto"/>
      </w:pPr>
      <w:bookmarkStart w:id="8" w:name="_qoxs842ugxeh" w:colFirst="0" w:colLast="0"/>
      <w:bookmarkStart w:id="9" w:name="_Toc168390709"/>
      <w:bookmarkEnd w:id="8"/>
      <w:r>
        <w:t>Health</w:t>
      </w:r>
      <w:bookmarkEnd w:id="9"/>
    </w:p>
    <w:p w14:paraId="00000014"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Health on the other hand can be defined as a state of well-being of an individual, encompassing physical, mental and social dimensions rather than the mere absence of disease or illness (</w:t>
      </w:r>
      <w:r>
        <w:rPr>
          <w:rFonts w:ascii="Times New Roman" w:eastAsia="Times New Roman" w:hAnsi="Times New Roman" w:cs="Times New Roman"/>
          <w:color w:val="222222"/>
          <w:sz w:val="24"/>
          <w:szCs w:val="24"/>
          <w:highlight w:val="white"/>
        </w:rPr>
        <w:t>Wren-Lewis and Alexandrova, 2021)</w:t>
      </w:r>
      <w:r>
        <w:rPr>
          <w:rFonts w:ascii="Times New Roman" w:eastAsia="Times New Roman" w:hAnsi="Times New Roman" w:cs="Times New Roman"/>
          <w:sz w:val="24"/>
          <w:szCs w:val="24"/>
        </w:rPr>
        <w:t>. It refers to the overall well-being of an individual; a state of being in which one can fully and effectively engage with life. Health is made up of several factors like genes, which one inherits from their parents, their diet, living standards, working conditions, and availability of able healthcare facilities.</w:t>
      </w:r>
    </w:p>
    <w:p w14:paraId="00000015" w14:textId="77777777" w:rsidR="00480DF4" w:rsidRDefault="00000000" w:rsidP="001D725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Importance </w:t>
      </w:r>
    </w:p>
    <w:p w14:paraId="00000016"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Health is crucial because of its universal significance (</w:t>
      </w:r>
      <w:r>
        <w:rPr>
          <w:rFonts w:ascii="Times New Roman" w:eastAsia="Times New Roman" w:hAnsi="Times New Roman" w:cs="Times New Roman"/>
          <w:color w:val="222222"/>
          <w:sz w:val="24"/>
          <w:szCs w:val="24"/>
          <w:highlight w:val="white"/>
        </w:rPr>
        <w:t xml:space="preserve">Watson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On a physical aspect, good health enables people to go through everyday, personal, family, communal or national activities, projects or even hobbies without getting easily tired or handicapped. Another critical aspect of health is mental health, which refers to the psychological well-being of a person, embodying thought processes, moods, and coping abilities that determine a happy life. Social health focuses on the capacity to establish and sustain positive interpersonal relationships that enable interactions and function in community contexts.</w:t>
      </w:r>
    </w:p>
    <w:p w14:paraId="00000017"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health lies at the heart of economic and social development processes. Health makes people more productive workers, has fewer sick leaves and overall adds to the health of an economy. Health is one of the most important aspects and should be upheld as it lowers the rate of visits to hospitals, and the costs of medical bills, and improves the wellbeing of people. In a general sense, the term health refers merely to the World Health Organisation's definition of health as a state in which individual and social interdependence can be realised.</w:t>
      </w:r>
    </w:p>
    <w:p w14:paraId="00000018" w14:textId="77777777" w:rsidR="00480DF4" w:rsidRDefault="00000000" w:rsidP="001D725D">
      <w:pPr>
        <w:pStyle w:val="Heading2"/>
        <w:spacing w:line="360" w:lineRule="auto"/>
      </w:pPr>
      <w:bookmarkStart w:id="10" w:name="_bniksbjp5v9n" w:colFirst="0" w:colLast="0"/>
      <w:bookmarkStart w:id="11" w:name="_Toc168390710"/>
      <w:bookmarkEnd w:id="10"/>
      <w:r>
        <w:t>Sustainable development goals</w:t>
      </w:r>
      <w:bookmarkEnd w:id="11"/>
      <w:r>
        <w:t xml:space="preserve"> </w:t>
      </w:r>
    </w:p>
    <w:p w14:paraId="00000019"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Nations adopted 17 goals called the Sustainable Development Goals (SDGs) in 2015 to be attained by the year 2030 with the intent of reaching global Poverty, inequality, Climate, and environmental interests, peace, and justice (</w:t>
      </w:r>
      <w:r>
        <w:rPr>
          <w:rFonts w:ascii="Times New Roman" w:eastAsia="Times New Roman" w:hAnsi="Times New Roman" w:cs="Times New Roman"/>
          <w:color w:val="222222"/>
          <w:sz w:val="24"/>
          <w:szCs w:val="24"/>
          <w:highlight w:val="white"/>
        </w:rPr>
        <w:t>Halkos and Gkampoura, 2021)</w:t>
      </w:r>
      <w:r>
        <w:rPr>
          <w:rFonts w:ascii="Times New Roman" w:eastAsia="Times New Roman" w:hAnsi="Times New Roman" w:cs="Times New Roman"/>
          <w:sz w:val="24"/>
          <w:szCs w:val="24"/>
        </w:rPr>
        <w:t>. These goals offer a development framework that is relevant, reasonable, and responsible since they are a combination of economic, social, and physical aspects of development.</w:t>
      </w:r>
    </w:p>
    <w:p w14:paraId="0000001A" w14:textId="77777777" w:rsidR="00480DF4" w:rsidRDefault="00000000" w:rsidP="001D725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Importance</w:t>
      </w:r>
    </w:p>
    <w:p w14:paraId="0000001B"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stake that the SDGs have is in the hope that humanity can be made better off by making the world more equitable and resilient. They call on countries to pursue collective and harmonious goals for the achievement of which countries come together to form international relations. The SDGs set reasonable targets for the improvement of different facets of living and empower countries to measure their performance and be accountable for any lack of progress. </w:t>
      </w:r>
    </w:p>
    <w:p w14:paraId="0000001C"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development perspective, the SDGs encourage responsible use of resources, economic, and social development and eradication of poverty. This piece aims to provide a rationale for SDG implementation as a critical success for long-term resource sustainability and everlasting quality of life on Earth: Implementing the SDGs is necessary for future generations to inherit a healthy planet teeming with flourishing communities.</w:t>
      </w:r>
    </w:p>
    <w:p w14:paraId="0000001D" w14:textId="77777777" w:rsidR="00480DF4" w:rsidRDefault="00000000" w:rsidP="001D725D">
      <w:pPr>
        <w:pStyle w:val="Heading1"/>
        <w:spacing w:line="360" w:lineRule="auto"/>
      </w:pPr>
      <w:bookmarkStart w:id="12" w:name="_g871cmnnka0s" w:colFirst="0" w:colLast="0"/>
      <w:bookmarkStart w:id="13" w:name="_Toc168390711"/>
      <w:bookmarkEnd w:id="12"/>
      <w:r>
        <w:lastRenderedPageBreak/>
        <w:t>Goal A - No poverty</w:t>
      </w:r>
      <w:bookmarkEnd w:id="13"/>
    </w:p>
    <w:p w14:paraId="0000001E" w14:textId="77777777" w:rsidR="00480DF4" w:rsidRDefault="00000000" w:rsidP="001D725D">
      <w:pPr>
        <w:pStyle w:val="Heading2"/>
        <w:spacing w:line="360" w:lineRule="auto"/>
      </w:pPr>
      <w:bookmarkStart w:id="14" w:name="_byfpv8pvkxkn" w:colFirst="0" w:colLast="0"/>
      <w:bookmarkStart w:id="15" w:name="_Toc168390712"/>
      <w:bookmarkEnd w:id="14"/>
      <w:r>
        <w:t>Definition of SDG no 1</w:t>
      </w:r>
      <w:bookmarkEnd w:id="15"/>
    </w:p>
    <w:p w14:paraId="0000001F"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SDG Goal No. 1: No Poverty principle simply seeks to ensure that sustainable development is free from extreme poverty for all with a focus on 2030 (</w:t>
      </w:r>
      <w:r>
        <w:rPr>
          <w:rFonts w:ascii="Times New Roman" w:eastAsia="Times New Roman" w:hAnsi="Times New Roman" w:cs="Times New Roman"/>
          <w:color w:val="222222"/>
          <w:sz w:val="24"/>
          <w:szCs w:val="24"/>
          <w:highlight w:val="white"/>
        </w:rPr>
        <w:t>Voola and Kalyanasundaram, 2021)</w:t>
      </w:r>
      <w:r>
        <w:rPr>
          <w:rFonts w:ascii="Times New Roman" w:eastAsia="Times New Roman" w:hAnsi="Times New Roman" w:cs="Times New Roman"/>
          <w:sz w:val="24"/>
          <w:szCs w:val="24"/>
        </w:rPr>
        <w:t>. It emphasises that everyone should have what can be procured for $1 every day. And even 90 a day from the banks, which is a standard outlined by the World Bank. This goal aims to decrease, at least, one-half of the number of people living in poverty in all its forms depending on the poverty measurement of the respective country. It also discusses social protection, equality in economic resources and access to fundamental commodities. This achievement is important in the achievement of sustainable development as people of the world will obtain decent job opportunities to support themselves without feeling like outcasts.</w:t>
      </w:r>
    </w:p>
    <w:p w14:paraId="00000020" w14:textId="77777777" w:rsidR="00480DF4" w:rsidRDefault="00000000" w:rsidP="001D725D">
      <w:pPr>
        <w:pStyle w:val="Heading2"/>
        <w:spacing w:line="360" w:lineRule="auto"/>
      </w:pPr>
      <w:bookmarkStart w:id="16" w:name="_yqmam8xy2za6" w:colFirst="0" w:colLast="0"/>
      <w:bookmarkStart w:id="17" w:name="_Toc168390713"/>
      <w:bookmarkEnd w:id="16"/>
      <w:r>
        <w:t>Identification of two UK strategies</w:t>
      </w:r>
      <w:bookmarkEnd w:id="17"/>
      <w:r>
        <w:t xml:space="preserve"> </w:t>
      </w:r>
    </w:p>
    <w:p w14:paraId="00000021"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UK’s priorities also include SDG Goal No. 1, fighting poverty – with such measures as the Universal Credit system or the Child Poverty Strategy. </w:t>
      </w:r>
    </w:p>
    <w:p w14:paraId="00000022"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 Universal Credit:</w:t>
      </w:r>
      <w:r>
        <w:rPr>
          <w:rFonts w:ascii="Times New Roman" w:eastAsia="Times New Roman" w:hAnsi="Times New Roman" w:cs="Times New Roman"/>
          <w:sz w:val="24"/>
          <w:szCs w:val="24"/>
        </w:rPr>
        <w:t xml:space="preserve"> This welfare reform combines six of welfare programs into one payment for people in low-income or jobless situations to assist them to get a job and live their lives with ease and style.</w:t>
      </w:r>
    </w:p>
    <w:p w14:paraId="00000023"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 Child Poverty Strategy:</w:t>
      </w:r>
      <w:r>
        <w:rPr>
          <w:rFonts w:ascii="Times New Roman" w:eastAsia="Times New Roman" w:hAnsi="Times New Roman" w:cs="Times New Roman"/>
          <w:sz w:val="24"/>
          <w:szCs w:val="24"/>
        </w:rPr>
        <w:t xml:space="preserve"> This program aims at the eradication of baby poverty through enhancing education, health care and shelter facilities for children in hardship, enhancing the parents’ employment and wages (</w:t>
      </w:r>
      <w:r>
        <w:rPr>
          <w:rFonts w:ascii="Times New Roman" w:eastAsia="Times New Roman" w:hAnsi="Times New Roman" w:cs="Times New Roman"/>
          <w:color w:val="222222"/>
          <w:sz w:val="24"/>
          <w:szCs w:val="24"/>
          <w:highlight w:val="white"/>
        </w:rPr>
        <w:t>GOV.UK, 2014)</w:t>
      </w:r>
      <w:r>
        <w:rPr>
          <w:rFonts w:ascii="Times New Roman" w:eastAsia="Times New Roman" w:hAnsi="Times New Roman" w:cs="Times New Roman"/>
          <w:sz w:val="24"/>
          <w:szCs w:val="24"/>
        </w:rPr>
        <w:t>.</w:t>
      </w:r>
    </w:p>
    <w:p w14:paraId="00000024"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two strategies mutually seek to lift poverty, improve social mobility, create stable employment for the needy in the UK economy, and empower the nation.</w:t>
      </w:r>
    </w:p>
    <w:p w14:paraId="00000025" w14:textId="77777777" w:rsidR="00480DF4" w:rsidRDefault="00000000" w:rsidP="001D725D">
      <w:pPr>
        <w:pStyle w:val="Heading2"/>
        <w:spacing w:line="360" w:lineRule="auto"/>
      </w:pPr>
      <w:bookmarkStart w:id="18" w:name="_t8bx7k5q8w6n" w:colFirst="0" w:colLast="0"/>
      <w:bookmarkStart w:id="19" w:name="_Toc168390714"/>
      <w:bookmarkEnd w:id="18"/>
      <w:r>
        <w:t>Review of these strategies</w:t>
      </w:r>
      <w:bookmarkEnd w:id="19"/>
      <w:r>
        <w:t xml:space="preserve"> </w:t>
      </w:r>
    </w:p>
    <w:p w14:paraId="00000026" w14:textId="77777777" w:rsidR="00480DF4" w:rsidRDefault="00000000" w:rsidP="001D725D">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Universal Credit system replaced a number of benefits and is intended to encourage people to work aimed at receiving benefits (</w:t>
      </w:r>
      <w:r>
        <w:rPr>
          <w:rFonts w:ascii="Times New Roman" w:eastAsia="Times New Roman" w:hAnsi="Times New Roman" w:cs="Times New Roman"/>
          <w:color w:val="222222"/>
          <w:sz w:val="24"/>
          <w:szCs w:val="24"/>
          <w:highlight w:val="white"/>
        </w:rPr>
        <w:t>Andersen, 2020). It</w:t>
      </w:r>
      <w:r>
        <w:rPr>
          <w:rFonts w:ascii="Times New Roman" w:eastAsia="Times New Roman" w:hAnsi="Times New Roman" w:cs="Times New Roman"/>
          <w:sz w:val="24"/>
          <w:szCs w:val="24"/>
        </w:rPr>
        <w:t xml:space="preserve"> still has a number of drawbacks: there are delays in payments and a lack of appropriate support, and therefore a number of recipients experience the problem of inadequate financial means. Despite its implementation, sometimes it has contributed to the increase in poverty level instead of reducing it.</w:t>
      </w:r>
    </w:p>
    <w:p w14:paraId="00000027"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while The Child Poverty Strategy covers a broad range of aspects of poverty and is commendable in that it takes a holistic approach to combat it; it has been criticised for the lack of funding, grants and subsidies that can be awarded in order to provide better-paying jobs, adequate housing, affordable utility bills and food; and does not fully address the "vitality </w:t>
      </w:r>
      <w:r>
        <w:rPr>
          <w:rFonts w:ascii="Times New Roman" w:eastAsia="Times New Roman" w:hAnsi="Times New Roman" w:cs="Times New Roman"/>
          <w:sz w:val="24"/>
          <w:szCs w:val="24"/>
        </w:rPr>
        <w:lastRenderedPageBreak/>
        <w:t>causes'' of poverty, such as low wages and high living standards. However, based on the recent progress achieved in these areas, critics may be right in saying that these initiatives have the potential of failing to drive corresponding levels of poverty reduction and ensure economic sustainability for disadvantaged families in the UK in the absence of heavy investment and reform of institutions.</w:t>
      </w:r>
    </w:p>
    <w:p w14:paraId="00000028" w14:textId="77777777" w:rsidR="00480DF4" w:rsidRDefault="00000000" w:rsidP="001D725D">
      <w:pPr>
        <w:pStyle w:val="Heading2"/>
        <w:spacing w:line="360" w:lineRule="auto"/>
      </w:pPr>
      <w:bookmarkStart w:id="20" w:name="_hku7cptgq8ij" w:colFirst="0" w:colLast="0"/>
      <w:bookmarkStart w:id="21" w:name="_Toc168390715"/>
      <w:bookmarkEnd w:id="20"/>
      <w:r>
        <w:t>Evaluation of the progress made by the government</w:t>
      </w:r>
      <w:bookmarkEnd w:id="21"/>
      <w:r>
        <w:t xml:space="preserve"> </w:t>
      </w:r>
    </w:p>
    <w:p w14:paraId="00000029"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noted that various aspects of implementing SDG Goal No. 1 have been evolving in the UK at different paces and with different levels of success (</w:t>
      </w:r>
      <w:r>
        <w:rPr>
          <w:rFonts w:ascii="Times New Roman" w:eastAsia="Times New Roman" w:hAnsi="Times New Roman" w:cs="Times New Roman"/>
          <w:color w:val="222222"/>
          <w:sz w:val="24"/>
          <w:szCs w:val="24"/>
          <w:highlight w:val="white"/>
        </w:rPr>
        <w:t>GOV.UK, 2024)</w:t>
      </w:r>
      <w:r>
        <w:rPr>
          <w:rFonts w:ascii="Times New Roman" w:eastAsia="Times New Roman" w:hAnsi="Times New Roman" w:cs="Times New Roman"/>
          <w:sz w:val="24"/>
          <w:szCs w:val="24"/>
        </w:rPr>
        <w:t>. Although the Universal Credit, Child Poverty Strategy, and other programs have made excellent progress in giving money and preventing poverty, it is still not enough. Official data prove that poverty rates remain rather high today, concerning children in particular, and problems such as delays in payments and insufficient funding still exist. The outbreak of COVID-19 increased these and revealed the deficiencies of the social protection system. This progress, however, shows that the UK requires stronger, better funded and structural changes to gender poverty reduction targets and goals that can be significantly and more sustainably implemented.</w:t>
      </w:r>
    </w:p>
    <w:p w14:paraId="0000002A" w14:textId="77777777" w:rsidR="00480DF4" w:rsidRDefault="00000000" w:rsidP="001D725D">
      <w:pPr>
        <w:pStyle w:val="Heading2"/>
        <w:spacing w:line="360" w:lineRule="auto"/>
      </w:pPr>
      <w:bookmarkStart w:id="22" w:name="_y4qteo2somyf" w:colFirst="0" w:colLast="0"/>
      <w:bookmarkStart w:id="23" w:name="_Toc168390716"/>
      <w:bookmarkEnd w:id="22"/>
      <w:r>
        <w:t>Critical examination of the impact of this SDG</w:t>
      </w:r>
      <w:bookmarkEnd w:id="23"/>
      <w:r>
        <w:t xml:space="preserve"> </w:t>
      </w:r>
    </w:p>
    <w:p w14:paraId="0000002B"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successes and failures of the implementation of the first sustainable development goal in the United Kingdom offer a vivid example of the way the achievement of the goal can affect the state of health and well-being of a population and the state of sustainable development as a whole. Desperate attempts have been made through provisions such as Universal Credit to ensure that the impoverished are at least supported through monetary means but most of these attempts have been lacking enough funding and disappointing timing to result in recipients possibly becoming depressed or in poor health. Child poverty initiatives, similar to those for food, have also faced challenges with the shortage of resources, therefore not being effective (</w:t>
      </w:r>
      <w:r>
        <w:rPr>
          <w:rFonts w:ascii="Times New Roman" w:eastAsia="Times New Roman" w:hAnsi="Times New Roman" w:cs="Times New Roman"/>
          <w:color w:val="222222"/>
          <w:sz w:val="24"/>
          <w:szCs w:val="24"/>
          <w:highlight w:val="white"/>
        </w:rPr>
        <w:t>Ayoo, 2022)</w:t>
      </w:r>
      <w:r>
        <w:rPr>
          <w:rFonts w:ascii="Times New Roman" w:eastAsia="Times New Roman" w:hAnsi="Times New Roman" w:cs="Times New Roman"/>
          <w:sz w:val="24"/>
          <w:szCs w:val="24"/>
        </w:rPr>
        <w:t>. Therefore, vulnerable populations, such as those who experience long-term poverty, face increased health inequalities and the unsustainable pressure on healthcare networks that hinders long-term development. Much more needs to be done for sustainable improvements in health is required in the UK and for this the government and related authorities should come up with better and mostly funded strategies that would work for the cause of poverty.</w:t>
      </w:r>
    </w:p>
    <w:p w14:paraId="0000002C" w14:textId="77777777" w:rsidR="00480DF4" w:rsidRDefault="00000000" w:rsidP="001D725D">
      <w:pPr>
        <w:pStyle w:val="Heading2"/>
        <w:spacing w:line="360" w:lineRule="auto"/>
      </w:pPr>
      <w:bookmarkStart w:id="24" w:name="_jfld1utl8tmd" w:colFirst="0" w:colLast="0"/>
      <w:bookmarkStart w:id="25" w:name="_Toc168390717"/>
      <w:bookmarkEnd w:id="24"/>
      <w:r>
        <w:lastRenderedPageBreak/>
        <w:t>Examination of the challenges</w:t>
      </w:r>
      <w:bookmarkEnd w:id="25"/>
      <w:r>
        <w:t xml:space="preserve"> </w:t>
      </w:r>
    </w:p>
    <w:p w14:paraId="0000002D"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also future work to be done in implementing the first of the Sustainable Development Goals: No Poverty within the UK environment. Some of the challenges that have been found to affect the implementation of the welfare programmes include - poor funding and resourcing, cumbersome bureaucratic procedures, and fluctuating societal perceptions of poverty (</w:t>
      </w:r>
      <w:r>
        <w:rPr>
          <w:rFonts w:ascii="Times New Roman" w:eastAsia="Times New Roman" w:hAnsi="Times New Roman" w:cs="Times New Roman"/>
          <w:color w:val="222222"/>
          <w:sz w:val="24"/>
          <w:szCs w:val="24"/>
          <w:highlight w:val="white"/>
        </w:rPr>
        <w:t xml:space="preserve">Annahar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2023)</w:t>
      </w:r>
      <w:r>
        <w:rPr>
          <w:rFonts w:ascii="Times New Roman" w:eastAsia="Times New Roman" w:hAnsi="Times New Roman" w:cs="Times New Roman"/>
          <w:sz w:val="24"/>
          <w:szCs w:val="24"/>
        </w:rPr>
        <w:t>. Take Universal Credit, for instance, a program of 'digital by default,' that has negative impacts on those who lack digital connectedness and means; such programs deepen poverty in vulnerable groups. Also, the COVID-19 outbreak revealed the necessity of strengthening the protective welfare system for any people and families experiencing challenged incomes and livelihoods from the losses of their jobs or other economic strains.</w:t>
      </w:r>
    </w:p>
    <w:p w14:paraId="0000002E" w14:textId="77777777" w:rsidR="00480DF4" w:rsidRDefault="00000000" w:rsidP="001D725D">
      <w:pPr>
        <w:pStyle w:val="Heading2"/>
        <w:spacing w:line="360" w:lineRule="auto"/>
      </w:pPr>
      <w:bookmarkStart w:id="26" w:name="_ruok318o3xpv" w:colFirst="0" w:colLast="0"/>
      <w:bookmarkStart w:id="27" w:name="_Toc168390718"/>
      <w:bookmarkEnd w:id="26"/>
      <w:r>
        <w:t>Recommendations</w:t>
      </w:r>
      <w:bookmarkEnd w:id="27"/>
    </w:p>
    <w:p w14:paraId="0000002F"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afford the citizens improved health care facilities the UK government should consider the following redoubtable recommendations. First of all, one has to provide more funds to the programs that fight poverty and guarantee that people will address them irrespective of their familiarity with the World Wide Web and other similar technologies. Secondly, pass policies to eradicate poverty, particularly low wages, and high living expenses to secure a better solution. Third, trust local administration personnel and related organisations to ensure that programs are suitable to address the needs of the targeted population groups. Also, encourages the economic uplift of the poor through long-term planning on investment in human capital through education, good health, and proper infrastructure such as the provision of affordable houses.</w:t>
      </w:r>
    </w:p>
    <w:p w14:paraId="00000030" w14:textId="77777777" w:rsidR="00480DF4" w:rsidRDefault="00000000" w:rsidP="001D725D">
      <w:pPr>
        <w:pStyle w:val="Heading1"/>
        <w:spacing w:line="360" w:lineRule="auto"/>
      </w:pPr>
      <w:bookmarkStart w:id="28" w:name="_3uehg144tcoi" w:colFirst="0" w:colLast="0"/>
      <w:bookmarkStart w:id="29" w:name="_Toc168390719"/>
      <w:bookmarkEnd w:id="28"/>
      <w:r>
        <w:t>Goal B - Zero hunger</w:t>
      </w:r>
      <w:bookmarkEnd w:id="29"/>
    </w:p>
    <w:p w14:paraId="00000031" w14:textId="77777777" w:rsidR="00480DF4" w:rsidRDefault="00000000" w:rsidP="001D725D">
      <w:pPr>
        <w:pStyle w:val="Heading2"/>
        <w:spacing w:line="360" w:lineRule="auto"/>
      </w:pPr>
      <w:bookmarkStart w:id="30" w:name="_2uxkj2fibo54" w:colFirst="0" w:colLast="0"/>
      <w:bookmarkStart w:id="31" w:name="_Toc168390720"/>
      <w:bookmarkEnd w:id="30"/>
      <w:r>
        <w:t>Definition of SDG no 2</w:t>
      </w:r>
      <w:bookmarkEnd w:id="31"/>
    </w:p>
    <w:p w14:paraId="00000032"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Sustainable Development Goal No. 2, or Zero Hunger as it is also referred to, therefore intends to effectively eradicate hunger, reduce the number of malnourished people, and support sustainable agriculture by the year 2030. It aims to promote the elimination of hunger and access to nutritious and adequate food for everyone to improve food security for the most vulnerable groups of the population, including children, pregnant and breastfeeding women, and the elderly (</w:t>
      </w:r>
      <w:r>
        <w:rPr>
          <w:rFonts w:ascii="Times New Roman" w:eastAsia="Times New Roman" w:hAnsi="Times New Roman" w:cs="Times New Roman"/>
          <w:color w:val="222222"/>
          <w:sz w:val="24"/>
          <w:szCs w:val="24"/>
          <w:highlight w:val="white"/>
        </w:rPr>
        <w:t>Gonzalez, 2022)</w:t>
      </w:r>
      <w:r>
        <w:rPr>
          <w:rFonts w:ascii="Times New Roman" w:eastAsia="Times New Roman" w:hAnsi="Times New Roman" w:cs="Times New Roman"/>
          <w:sz w:val="24"/>
          <w:szCs w:val="24"/>
          <w:highlight w:val="white"/>
        </w:rPr>
        <w:t xml:space="preserve">. This goal will target all four aspects of food security, which include; food availability, access, utilisation, and the quality of being secure. It also pays much attention to the need to encourage market development and encourage smallholder farmers to expand produce production. Eradicating hunger is an essential contributor to the attainment of </w:t>
      </w:r>
      <w:r>
        <w:rPr>
          <w:rFonts w:ascii="Times New Roman" w:eastAsia="Times New Roman" w:hAnsi="Times New Roman" w:cs="Times New Roman"/>
          <w:sz w:val="24"/>
          <w:szCs w:val="24"/>
          <w:highlight w:val="white"/>
        </w:rPr>
        <w:lastRenderedPageBreak/>
        <w:t>sustainable development because it has direct impacts on some of the key development factors such as poverty rate and health.</w:t>
      </w:r>
    </w:p>
    <w:p w14:paraId="00000033" w14:textId="77777777" w:rsidR="00480DF4" w:rsidRDefault="00000000" w:rsidP="001D725D">
      <w:pPr>
        <w:pStyle w:val="Heading2"/>
        <w:spacing w:line="360" w:lineRule="auto"/>
      </w:pPr>
      <w:bookmarkStart w:id="32" w:name="_dcg27b3og61x" w:colFirst="0" w:colLast="0"/>
      <w:bookmarkStart w:id="33" w:name="_Toc168390721"/>
      <w:bookmarkEnd w:id="32"/>
      <w:r>
        <w:t>Identification of two UK strategies</w:t>
      </w:r>
      <w:bookmarkEnd w:id="33"/>
    </w:p>
    <w:p w14:paraId="00000034"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UK encompasses aspects of SDG Goal No. 2, Zero Hunger through programs like the National Food Strategy, and Free School Meals program.</w:t>
      </w:r>
    </w:p>
    <w:p w14:paraId="00000035"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1. National Food Strategy:</w:t>
      </w:r>
      <w:r>
        <w:rPr>
          <w:rFonts w:ascii="Times New Roman" w:eastAsia="Times New Roman" w:hAnsi="Times New Roman" w:cs="Times New Roman"/>
          <w:sz w:val="24"/>
          <w:szCs w:val="24"/>
          <w:highlight w:val="white"/>
        </w:rPr>
        <w:t xml:space="preserve"> This initiative seeks to respond to concerns like food poverty, apportionment to healthy food and a sustainable food environment. It outlines policy goals and measures that could help governments protect the food supply chain and achieve sustainable development goals.</w:t>
      </w:r>
    </w:p>
    <w:p w14:paraId="00000036"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2. Free School Meals:</w:t>
      </w:r>
      <w:r>
        <w:rPr>
          <w:rFonts w:ascii="Times New Roman" w:eastAsia="Times New Roman" w:hAnsi="Times New Roman" w:cs="Times New Roman"/>
          <w:sz w:val="24"/>
          <w:szCs w:val="24"/>
          <w:highlight w:val="white"/>
        </w:rPr>
        <w:t xml:space="preserve"> This program is focused on attempting to make sure that children have access to healthy food particularly those coming from poor families (</w:t>
      </w:r>
      <w:r>
        <w:rPr>
          <w:rFonts w:ascii="Times New Roman" w:eastAsia="Times New Roman" w:hAnsi="Times New Roman" w:cs="Times New Roman"/>
          <w:color w:val="222222"/>
          <w:sz w:val="24"/>
          <w:szCs w:val="24"/>
          <w:highlight w:val="white"/>
        </w:rPr>
        <w:t>TheIndependent, 2024)</w:t>
      </w:r>
      <w:r>
        <w:rPr>
          <w:rFonts w:ascii="Times New Roman" w:eastAsia="Times New Roman" w:hAnsi="Times New Roman" w:cs="Times New Roman"/>
          <w:sz w:val="24"/>
          <w:szCs w:val="24"/>
          <w:highlight w:val="white"/>
        </w:rPr>
        <w:t>. It offers free food and drinks to deserving children and helps them avoid hunger and possible adverse health implications.</w:t>
      </w:r>
    </w:p>
    <w:p w14:paraId="00000037" w14:textId="77777777" w:rsidR="00480DF4" w:rsidRDefault="00000000" w:rsidP="001D725D">
      <w:pPr>
        <w:pStyle w:val="Heading2"/>
        <w:spacing w:line="360" w:lineRule="auto"/>
      </w:pPr>
      <w:bookmarkStart w:id="34" w:name="_r3a0zpwejxi2" w:colFirst="0" w:colLast="0"/>
      <w:bookmarkStart w:id="35" w:name="_Toc168390722"/>
      <w:bookmarkEnd w:id="34"/>
      <w:r>
        <w:t>Review of these strategies</w:t>
      </w:r>
      <w:bookmarkEnd w:id="35"/>
      <w:r>
        <w:t xml:space="preserve"> </w:t>
      </w:r>
    </w:p>
    <w:p w14:paraId="00000038"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National Food Strategy has been applauded for its holistic method of analysing the issues of food poverty, food sustainability, and food health. It enriches with recommendations for policy alteration with the purpose of optimising the food chain. However, critics emphasise that it depends on the concerned government's willingness and effort to execute such recommendations.</w:t>
      </w:r>
    </w:p>
    <w:p w14:paraId="00000039"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Free School Meals is one of the most popular policies to prevent children's hunger and increase educational achievement. However, concerns have been raised about its coverage and eligibility standards due to the possible exclusion of some children who could be in need of the programs.</w:t>
      </w:r>
    </w:p>
    <w:p w14:paraId="0000003A"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it can be stated that</w:t>
      </w:r>
      <w:r>
        <w:rPr>
          <w:rFonts w:ascii="Times New Roman" w:eastAsia="Times New Roman" w:hAnsi="Times New Roman" w:cs="Times New Roman"/>
          <w:sz w:val="24"/>
          <w:szCs w:val="24"/>
          <w:highlight w:val="white"/>
        </w:rPr>
        <w:t xml:space="preserve"> more effort is required in the following areas for more effectiveness, extensive coverage and long-term impact and sustainability in the fight against hunger in the UK to fully achieve the Zero Hunger agenda.</w:t>
      </w:r>
    </w:p>
    <w:p w14:paraId="0000003B" w14:textId="77777777" w:rsidR="00480DF4" w:rsidRDefault="00000000" w:rsidP="001D725D">
      <w:pPr>
        <w:pStyle w:val="Heading2"/>
        <w:spacing w:line="360" w:lineRule="auto"/>
      </w:pPr>
      <w:bookmarkStart w:id="36" w:name="_goy1kesde2jx" w:colFirst="0" w:colLast="0"/>
      <w:bookmarkStart w:id="37" w:name="_Toc168390723"/>
      <w:bookmarkEnd w:id="36"/>
      <w:r>
        <w:t>Evaluation of the progress made by the government</w:t>
      </w:r>
      <w:bookmarkEnd w:id="37"/>
    </w:p>
    <w:p w14:paraId="0000003C"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UK government has had a good showing regarding the achievement of SDG 2: Zero Hunger through various policies and programme implementation as much as it relates to food security, sustainable agriculture and food waste. The National Food Strategy is one of the focused visionary actions, as it is the long-term plan to reform the food system to allow all people to access healthy and sustainable food (</w:t>
      </w:r>
      <w:r>
        <w:rPr>
          <w:rFonts w:ascii="Times New Roman" w:eastAsia="Times New Roman" w:hAnsi="Times New Roman" w:cs="Times New Roman"/>
          <w:color w:val="222222"/>
          <w:sz w:val="24"/>
          <w:szCs w:val="24"/>
          <w:highlight w:val="white"/>
        </w:rPr>
        <w:t xml:space="preserve">Anderson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highlight w:val="white"/>
        </w:rPr>
        <w:t xml:space="preserve">. Moreover, children from </w:t>
      </w:r>
      <w:r>
        <w:rPr>
          <w:rFonts w:ascii="Times New Roman" w:eastAsia="Times New Roman" w:hAnsi="Times New Roman" w:cs="Times New Roman"/>
          <w:sz w:val="24"/>
          <w:szCs w:val="24"/>
          <w:highlight w:val="white"/>
        </w:rPr>
        <w:lastRenderedPageBreak/>
        <w:t>poor families have benefited from the Free School Meals programme aimed at eliminating hunger in schools.</w:t>
      </w:r>
    </w:p>
    <w:p w14:paraId="0000003D"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However, these efforts are still not adequate enough to provide solutions to the existing challenges. Food insecurity remains topical, and a large number of people in the United Kingdom still lack sufficient funding to access healthy meals. This problem has been made worse by the COVID-19 pandemic whereby there is a higher rate of food insecurity among vulnerable people.</w:t>
      </w:r>
    </w:p>
    <w:p w14:paraId="0000003E"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Based on the above findings, the following recommendations should be addressed by the UK government to enhance progress toward meeting SDG 2. To begin with, there is a need to enhance social protective factors to guarantee the necessary minimum level and access to healthy and safe food for everyone. This could involve making changes to the terms of acceptance for food aid and going further to offer an escalated level of help. Second, encouraging the conservation of agriculture and minimising the wastage of food can go a long way in enhancing food security whilst at the same time lowering the effects that food production has on the earth's environment. Last but not least, increasing funding in education and awareness campaigns to encourage healthy choices of foods out of the available local foods is also another solution that can be implemented.</w:t>
      </w:r>
    </w:p>
    <w:p w14:paraId="0000003F" w14:textId="77777777" w:rsidR="00480DF4" w:rsidRDefault="00000000" w:rsidP="001D725D">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can be stated that although the UK has progressed in devoting its efforts to SDG 2, there is a need to make more efforts to guarantee the availability of just, healthy and quality food to all people.</w:t>
      </w:r>
    </w:p>
    <w:p w14:paraId="00000040" w14:textId="77777777" w:rsidR="00480DF4" w:rsidRDefault="00000000" w:rsidP="001D725D">
      <w:pPr>
        <w:pStyle w:val="Heading2"/>
        <w:spacing w:line="360" w:lineRule="auto"/>
      </w:pPr>
      <w:bookmarkStart w:id="38" w:name="_g1in7fnmtqn2" w:colFirst="0" w:colLast="0"/>
      <w:bookmarkStart w:id="39" w:name="_Toc168390724"/>
      <w:bookmarkEnd w:id="38"/>
      <w:r>
        <w:t>Critical examination of the impact of this SDG</w:t>
      </w:r>
      <w:bookmarkEnd w:id="39"/>
    </w:p>
    <w:p w14:paraId="00000041"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Hunger is the world's number one health risk, which means that the efforts to implement SDG Goal No. 2, Zero Hunger, in the United Kingdom have aided our health and well-being, as well as contributed to our sustainable development. Availability of quality foods has risen in quality; thus enhancing the health of the community, particularly the most needy groups (</w:t>
      </w:r>
      <w:r>
        <w:rPr>
          <w:rFonts w:ascii="Times New Roman" w:eastAsia="Times New Roman" w:hAnsi="Times New Roman" w:cs="Times New Roman"/>
          <w:color w:val="222222"/>
          <w:sz w:val="24"/>
          <w:szCs w:val="24"/>
          <w:highlight w:val="white"/>
        </w:rPr>
        <w:t xml:space="preserve">Picchioni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highlight w:val="white"/>
        </w:rPr>
        <w:t>. This goal has also embraced sustainable agriculture practices hence enabling conservation and sustainable development of the environment. This means that despite the progress made, there is still much to be done in the fight against hunger for the advancement of the UN Sustainable Development Goal Zero Hunger and for the improvement and transformation of the currently unequal and often unhealthy British food system.</w:t>
      </w:r>
    </w:p>
    <w:p w14:paraId="00000042" w14:textId="77777777" w:rsidR="00480DF4" w:rsidRDefault="00000000" w:rsidP="001D725D">
      <w:pPr>
        <w:pStyle w:val="Heading2"/>
        <w:spacing w:line="360" w:lineRule="auto"/>
      </w:pPr>
      <w:bookmarkStart w:id="40" w:name="_k7xbw4pi5kt2" w:colFirst="0" w:colLast="0"/>
      <w:bookmarkStart w:id="41" w:name="_Toc168390725"/>
      <w:bookmarkEnd w:id="40"/>
      <w:r>
        <w:lastRenderedPageBreak/>
        <w:t>Examination of the challenges</w:t>
      </w:r>
      <w:bookmarkEnd w:id="41"/>
      <w:r>
        <w:t xml:space="preserve"> </w:t>
      </w:r>
    </w:p>
    <w:p w14:paraId="00000043"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Translating SDG Goal No. 2, Zero Hunger in the UK comes with the following hurdles to consider. It covers issues such as; food insecurity, food wastage, and the effects of climate change on the production of crops. However, the realisation of food security is still a challenge to date due to several factors that enable food insecurity, especially among the poor and insecure classes of the population. Notably, COVID-19 has impacted positively food insecurity hence the need to develop sustainable food systems.</w:t>
      </w:r>
    </w:p>
    <w:p w14:paraId="00000044" w14:textId="77777777" w:rsidR="00480DF4" w:rsidRDefault="00000000" w:rsidP="001D725D">
      <w:pPr>
        <w:pStyle w:val="Heading2"/>
        <w:spacing w:line="360" w:lineRule="auto"/>
      </w:pPr>
      <w:bookmarkStart w:id="42" w:name="_e28cxrg7gvco" w:colFirst="0" w:colLast="0"/>
      <w:bookmarkStart w:id="43" w:name="_Toc168390726"/>
      <w:bookmarkEnd w:id="42"/>
      <w:r>
        <w:t>Recommendations</w:t>
      </w:r>
      <w:bookmarkEnd w:id="43"/>
    </w:p>
    <w:p w14:paraId="00000045" w14:textId="77777777" w:rsidR="00480DF4" w:rsidRDefault="00000000" w:rsidP="001D725D">
      <w:pPr>
        <w:pStyle w:val="Normal1"/>
        <w:spacing w:line="360" w:lineRule="auto"/>
        <w:jc w:val="both"/>
        <w:rPr>
          <w:rFonts w:ascii="Times New Roman" w:eastAsia="Times New Roman" w:hAnsi="Times New Roman" w:cs="Times New Roman"/>
          <w:color w:val="101828"/>
          <w:sz w:val="24"/>
          <w:szCs w:val="24"/>
        </w:rPr>
      </w:pPr>
      <w:r>
        <w:rPr>
          <w:rFonts w:ascii="Times New Roman" w:eastAsia="Times New Roman" w:hAnsi="Times New Roman" w:cs="Times New Roman"/>
          <w:color w:val="101828"/>
          <w:sz w:val="24"/>
          <w:szCs w:val="24"/>
        </w:rPr>
        <w:t>To achieve Zero Hunger in the UK, several recommendations can be considered:</w:t>
      </w:r>
    </w:p>
    <w:p w14:paraId="00000046" w14:textId="77777777" w:rsidR="00480DF4" w:rsidRDefault="00000000" w:rsidP="001D725D">
      <w:pPr>
        <w:pStyle w:val="Normal1"/>
        <w:numPr>
          <w:ilvl w:val="0"/>
          <w:numId w:val="1"/>
        </w:numPr>
        <w:spacing w:line="360" w:lineRule="auto"/>
        <w:jc w:val="both"/>
        <w:rPr>
          <w:rFonts w:ascii="Times New Roman" w:eastAsia="Times New Roman" w:hAnsi="Times New Roman" w:cs="Times New Roman"/>
          <w:color w:val="101828"/>
          <w:sz w:val="24"/>
          <w:szCs w:val="24"/>
          <w:highlight w:val="white"/>
        </w:rPr>
      </w:pPr>
      <w:r>
        <w:rPr>
          <w:rFonts w:ascii="Times New Roman" w:eastAsia="Times New Roman" w:hAnsi="Times New Roman" w:cs="Times New Roman"/>
          <w:b/>
          <w:color w:val="101828"/>
          <w:sz w:val="24"/>
          <w:szCs w:val="24"/>
          <w:highlight w:val="white"/>
        </w:rPr>
        <w:t>Addressing food poverty:</w:t>
      </w:r>
      <w:r>
        <w:rPr>
          <w:rFonts w:ascii="Times New Roman" w:eastAsia="Times New Roman" w:hAnsi="Times New Roman" w:cs="Times New Roman"/>
          <w:color w:val="101828"/>
          <w:sz w:val="24"/>
          <w:szCs w:val="24"/>
          <w:highlight w:val="white"/>
        </w:rPr>
        <w:t xml:space="preserve"> By doing so, it will be possible to bypass the symptoms, which include food poverty and concentrate on eradicating the causes – income disparities and high living standards. For example, by raising the minimum wage or extending social protection coverage, it is possible to lower the food poverty rate.</w:t>
      </w:r>
    </w:p>
    <w:p w14:paraId="00000047" w14:textId="77777777" w:rsidR="00480DF4" w:rsidRDefault="00000000" w:rsidP="001D725D">
      <w:pPr>
        <w:pStyle w:val="Normal1"/>
        <w:numPr>
          <w:ilvl w:val="0"/>
          <w:numId w:val="1"/>
        </w:numPr>
        <w:spacing w:line="360" w:lineRule="auto"/>
        <w:jc w:val="both"/>
        <w:rPr>
          <w:rFonts w:ascii="Times New Roman" w:eastAsia="Times New Roman" w:hAnsi="Times New Roman" w:cs="Times New Roman"/>
          <w:color w:val="101828"/>
          <w:sz w:val="24"/>
          <w:szCs w:val="24"/>
          <w:highlight w:val="white"/>
        </w:rPr>
      </w:pPr>
      <w:r>
        <w:rPr>
          <w:rFonts w:ascii="Times New Roman" w:eastAsia="Times New Roman" w:hAnsi="Times New Roman" w:cs="Times New Roman"/>
          <w:b/>
          <w:color w:val="101828"/>
          <w:sz w:val="24"/>
          <w:szCs w:val="24"/>
          <w:highlight w:val="white"/>
        </w:rPr>
        <w:t>Promoting sustainable agriculture:</w:t>
      </w:r>
      <w:r>
        <w:rPr>
          <w:rFonts w:ascii="Times New Roman" w:eastAsia="Times New Roman" w:hAnsi="Times New Roman" w:cs="Times New Roman"/>
          <w:color w:val="101828"/>
          <w:sz w:val="24"/>
          <w:szCs w:val="24"/>
          <w:highlight w:val="white"/>
        </w:rPr>
        <w:t xml:space="preserve"> Promoting smallholder and innovative production techniques can improve access to food while reducing harm to the environment (</w:t>
      </w:r>
      <w:r>
        <w:rPr>
          <w:rFonts w:ascii="Times New Roman" w:eastAsia="Times New Roman" w:hAnsi="Times New Roman" w:cs="Times New Roman"/>
          <w:color w:val="222222"/>
          <w:sz w:val="24"/>
          <w:szCs w:val="24"/>
          <w:highlight w:val="white"/>
        </w:rPr>
        <w:t>Abraham and Pingali, 2020)</w:t>
      </w:r>
      <w:r>
        <w:rPr>
          <w:rFonts w:ascii="Times New Roman" w:eastAsia="Times New Roman" w:hAnsi="Times New Roman" w:cs="Times New Roman"/>
          <w:color w:val="101828"/>
          <w:sz w:val="24"/>
          <w:szCs w:val="24"/>
          <w:highlight w:val="white"/>
        </w:rPr>
        <w:t>. Policies that are executive to improve local farming and decrease food wastage can also support Zero Hunger.</w:t>
      </w:r>
    </w:p>
    <w:p w14:paraId="00000048" w14:textId="77777777" w:rsidR="00480DF4" w:rsidRDefault="00000000" w:rsidP="001D725D">
      <w:pPr>
        <w:pStyle w:val="Normal1"/>
        <w:numPr>
          <w:ilvl w:val="0"/>
          <w:numId w:val="1"/>
        </w:numPr>
        <w:spacing w:line="360" w:lineRule="auto"/>
        <w:jc w:val="both"/>
        <w:rPr>
          <w:rFonts w:ascii="Times New Roman" w:eastAsia="Times New Roman" w:hAnsi="Times New Roman" w:cs="Times New Roman"/>
          <w:color w:val="101828"/>
          <w:sz w:val="24"/>
          <w:szCs w:val="24"/>
          <w:highlight w:val="white"/>
        </w:rPr>
      </w:pPr>
      <w:r>
        <w:rPr>
          <w:rFonts w:ascii="Times New Roman" w:eastAsia="Times New Roman" w:hAnsi="Times New Roman" w:cs="Times New Roman"/>
          <w:b/>
          <w:color w:val="101828"/>
          <w:sz w:val="24"/>
          <w:szCs w:val="24"/>
          <w:highlight w:val="white"/>
        </w:rPr>
        <w:t>Strengthening food systems:</w:t>
      </w:r>
      <w:r>
        <w:rPr>
          <w:rFonts w:ascii="Times New Roman" w:eastAsia="Times New Roman" w:hAnsi="Times New Roman" w:cs="Times New Roman"/>
          <w:color w:val="101828"/>
          <w:sz w:val="24"/>
          <w:szCs w:val="24"/>
          <w:highlight w:val="white"/>
        </w:rPr>
        <w:t xml:space="preserve"> If the world opts for diversification, innovation, and cooperation, then the shocks occurring in the future will not threaten the people's primary needs in the form of food.</w:t>
      </w:r>
    </w:p>
    <w:p w14:paraId="00000049" w14:textId="77777777" w:rsidR="00480DF4" w:rsidRDefault="00000000" w:rsidP="001D725D">
      <w:pPr>
        <w:pStyle w:val="Heading1"/>
        <w:spacing w:line="360" w:lineRule="auto"/>
      </w:pPr>
      <w:bookmarkStart w:id="44" w:name="_evaxxijku11o" w:colFirst="0" w:colLast="0"/>
      <w:bookmarkStart w:id="45" w:name="_Toc168390727"/>
      <w:bookmarkEnd w:id="44"/>
      <w:r>
        <w:t>Conclusion</w:t>
      </w:r>
      <w:bookmarkEnd w:id="45"/>
    </w:p>
    <w:p w14:paraId="0000004A"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above discussion, it can be stated that the sustainability of SDGs is important so that the development process will continue and the goals of the development process will be attained by the year 2030. The SDGs present a clear framework for responding to some of the most daunting issues facing the global society today including poverty, inequalities, climate change, environmental degradation, peace, and justice among others. Thus, the continuation of the SDG movement means that societies can make changes for the better and progress further each year.</w:t>
      </w:r>
    </w:p>
    <w:p w14:paraId="0000004B"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Policies and practices can be shifted in a positive way through the help of SDGs to make society a better place with less inequality. They call upon governments, companies and people for action towards making positive changes towards these priorities including poverty, starvation, education, health, female inequality, clean water and sanitation. In these areas, SDGs have the </w:t>
      </w:r>
      <w:r>
        <w:rPr>
          <w:rFonts w:ascii="Times New Roman" w:eastAsia="Times New Roman" w:hAnsi="Times New Roman" w:cs="Times New Roman"/>
          <w:sz w:val="24"/>
          <w:szCs w:val="24"/>
        </w:rPr>
        <w:lastRenderedPageBreak/>
        <w:t>potential to enhance the quality of life, spur economic growth, sustain the environment and enhance social equity and access to justice.</w:t>
      </w:r>
    </w:p>
    <w:p w14:paraId="0000004C"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can address societal challenges by outlining how to engage in and execute actions and foster cooperation and partnerships of various actors. For instance, one focus area is SDG 2 (Zero Hunger) which seeks to ensure that everyone has access to adequate food all the time in a sustainable manner. In eradicating hunger, the causes which include poverty, lack of food, and food insecurity can be dealt with through the implementation of SDG 2, one of the societal challenges that can be solved and offer improvements to the lives of many individuals in the society.</w:t>
      </w:r>
    </w:p>
    <w:p w14:paraId="0000004D" w14:textId="77777777" w:rsidR="00480DF4" w:rsidRDefault="00000000" w:rsidP="001D725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 has rightly identified both Zero Hunger and No Poverty as some of the most crucial aspects of sustainable development goals to be achieved. Hunger and poverty are confounded and are some of the biggest inhibitors of human development. If these issues are addressed, then societies become better and there will be a better future for all. Other Sustainable Development Goals, which can potentially generate electrifying effects when pursued along with Zero Hunger and No Poverty include Health, Education, Gender parity and Environmental stewardship.</w:t>
      </w:r>
    </w:p>
    <w:p w14:paraId="0000004E" w14:textId="77777777" w:rsidR="00480DF4" w:rsidRDefault="00000000" w:rsidP="001D725D">
      <w:pPr>
        <w:pStyle w:val="Normal1"/>
        <w:spacing w:line="360" w:lineRule="auto"/>
        <w:jc w:val="both"/>
        <w:rPr>
          <w:rFonts w:ascii="Times New Roman" w:eastAsia="Times New Roman" w:hAnsi="Times New Roman" w:cs="Times New Roman"/>
          <w:b/>
          <w:sz w:val="24"/>
          <w:szCs w:val="24"/>
        </w:rPr>
      </w:pPr>
      <w:r>
        <w:br w:type="page"/>
      </w:r>
    </w:p>
    <w:p w14:paraId="0000004F" w14:textId="77777777" w:rsidR="00480DF4" w:rsidRDefault="00000000" w:rsidP="001D725D">
      <w:pPr>
        <w:pStyle w:val="Heading1"/>
        <w:spacing w:line="360" w:lineRule="auto"/>
      </w:pPr>
      <w:bookmarkStart w:id="46" w:name="_et79a1capw2t" w:colFirst="0" w:colLast="0"/>
      <w:bookmarkStart w:id="47" w:name="_Toc168390728"/>
      <w:bookmarkEnd w:id="46"/>
      <w:r>
        <w:lastRenderedPageBreak/>
        <w:t>Reference list</w:t>
      </w:r>
      <w:bookmarkEnd w:id="47"/>
      <w:r>
        <w:t xml:space="preserve"> </w:t>
      </w:r>
    </w:p>
    <w:p w14:paraId="633E3608"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Abraham, M. and Pingali, P., (2020). Transforming smallholder agriculture to achieve the SDGs. </w:t>
      </w:r>
      <w:r>
        <w:rPr>
          <w:rFonts w:ascii="Times New Roman" w:eastAsia="Times New Roman" w:hAnsi="Times New Roman" w:cs="Times New Roman"/>
          <w:i/>
          <w:color w:val="222222"/>
          <w:sz w:val="24"/>
          <w:szCs w:val="24"/>
          <w:highlight w:val="white"/>
        </w:rPr>
        <w:t>The role of smallholder farms in food and nutrition security</w:t>
      </w:r>
      <w:r>
        <w:rPr>
          <w:rFonts w:ascii="Times New Roman" w:eastAsia="Times New Roman" w:hAnsi="Times New Roman" w:cs="Times New Roman"/>
          <w:color w:val="222222"/>
          <w:sz w:val="24"/>
          <w:szCs w:val="24"/>
          <w:highlight w:val="white"/>
        </w:rPr>
        <w:t>, pp.173-209.</w:t>
      </w:r>
    </w:p>
    <w:p w14:paraId="64ABB2C3"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Andersen, K., (2020). Universal Credit, gender and unpaid childcare: Mothers’ accounts of the new welfare conditionality regime. </w:t>
      </w:r>
      <w:r>
        <w:rPr>
          <w:rFonts w:ascii="Times New Roman" w:eastAsia="Times New Roman" w:hAnsi="Times New Roman" w:cs="Times New Roman"/>
          <w:i/>
          <w:color w:val="222222"/>
          <w:sz w:val="24"/>
          <w:szCs w:val="24"/>
          <w:highlight w:val="white"/>
        </w:rPr>
        <w:t>Critical Social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40</w:t>
      </w:r>
      <w:r>
        <w:rPr>
          <w:rFonts w:ascii="Times New Roman" w:eastAsia="Times New Roman" w:hAnsi="Times New Roman" w:cs="Times New Roman"/>
          <w:color w:val="222222"/>
          <w:sz w:val="24"/>
          <w:szCs w:val="24"/>
          <w:highlight w:val="white"/>
        </w:rPr>
        <w:t>(3), pp.430-449.</w:t>
      </w:r>
    </w:p>
    <w:p w14:paraId="29F5C539"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Anderson, C.R., Bruil, J., Chappell, M.J., Kiss, C. and Pimbert, M.P., (2021). </w:t>
      </w:r>
      <w:r>
        <w:rPr>
          <w:rFonts w:ascii="Times New Roman" w:eastAsia="Times New Roman" w:hAnsi="Times New Roman" w:cs="Times New Roman"/>
          <w:i/>
          <w:color w:val="222222"/>
          <w:sz w:val="24"/>
          <w:szCs w:val="24"/>
          <w:highlight w:val="white"/>
        </w:rPr>
        <w:t>Agroecology now!: Transformations towards more just and sustainable food systems</w:t>
      </w:r>
      <w:r>
        <w:rPr>
          <w:rFonts w:ascii="Times New Roman" w:eastAsia="Times New Roman" w:hAnsi="Times New Roman" w:cs="Times New Roman"/>
          <w:color w:val="222222"/>
          <w:sz w:val="24"/>
          <w:szCs w:val="24"/>
          <w:highlight w:val="white"/>
        </w:rPr>
        <w:t xml:space="preserve"> (p. 199). Springer Nature.</w:t>
      </w:r>
    </w:p>
    <w:p w14:paraId="549BE224"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Annahar, N., Widianingsih, I., Muhtar, E.A. and Paskarina, C., (2023). The road to inclusive decentralized village governance in Indonesia.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(11), p.8616.</w:t>
      </w:r>
    </w:p>
    <w:p w14:paraId="7B3F4F06"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Ayoo, C., (2022). Poverty reduction strategies in developing countries. </w:t>
      </w:r>
      <w:r>
        <w:rPr>
          <w:rFonts w:ascii="Times New Roman" w:eastAsia="Times New Roman" w:hAnsi="Times New Roman" w:cs="Times New Roman"/>
          <w:i/>
          <w:color w:val="222222"/>
          <w:sz w:val="24"/>
          <w:szCs w:val="24"/>
          <w:highlight w:val="white"/>
        </w:rPr>
        <w:t>Rural development-education, sustainability, multifunctionality</w:t>
      </w:r>
      <w:r>
        <w:rPr>
          <w:rFonts w:ascii="Times New Roman" w:eastAsia="Times New Roman" w:hAnsi="Times New Roman" w:cs="Times New Roman"/>
          <w:color w:val="222222"/>
          <w:sz w:val="24"/>
          <w:szCs w:val="24"/>
          <w:highlight w:val="white"/>
        </w:rPr>
        <w:t>, pp.17-57.</w:t>
      </w:r>
    </w:p>
    <w:p w14:paraId="46C7921D"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Bali Swain, R. and Yang-Wallentin, F., (2020). Achieving sustainable development goals: predicaments and strategies. </w:t>
      </w:r>
      <w:r>
        <w:rPr>
          <w:rFonts w:ascii="Times New Roman" w:eastAsia="Times New Roman" w:hAnsi="Times New Roman" w:cs="Times New Roman"/>
          <w:i/>
          <w:color w:val="222222"/>
          <w:sz w:val="24"/>
          <w:szCs w:val="24"/>
          <w:highlight w:val="white"/>
        </w:rPr>
        <w:t>International Journal of Sustainable Development &amp; World Ecology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(2), pp.96-106.</w:t>
      </w:r>
    </w:p>
    <w:p w14:paraId="713D42F7"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DiMaria, C.H., Peroni, C. and Sarracino, F., (2020). Happiness matters: Productivity gains from subjective well-being. </w:t>
      </w:r>
      <w:r>
        <w:rPr>
          <w:rFonts w:ascii="Times New Roman" w:eastAsia="Times New Roman" w:hAnsi="Times New Roman" w:cs="Times New Roman"/>
          <w:i/>
          <w:color w:val="222222"/>
          <w:sz w:val="24"/>
          <w:szCs w:val="24"/>
          <w:highlight w:val="white"/>
        </w:rPr>
        <w:t>Journal of Happiness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21</w:t>
      </w:r>
      <w:r>
        <w:rPr>
          <w:rFonts w:ascii="Times New Roman" w:eastAsia="Times New Roman" w:hAnsi="Times New Roman" w:cs="Times New Roman"/>
          <w:color w:val="222222"/>
          <w:sz w:val="24"/>
          <w:szCs w:val="24"/>
          <w:highlight w:val="white"/>
        </w:rPr>
        <w:t>(1), pp.139-160.</w:t>
      </w:r>
    </w:p>
    <w:p w14:paraId="563EF52A"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Gómez, C.A., Kleinman, D.V., Pronk, N., Gordon, G.L.W., Ochiai, E., Blakey, C., Johnson, A. and Brewer, K.H., (2021). Addressing health equity and social determinants of health through healthy people 2030. </w:t>
      </w:r>
      <w:r>
        <w:rPr>
          <w:rFonts w:ascii="Times New Roman" w:eastAsia="Times New Roman" w:hAnsi="Times New Roman" w:cs="Times New Roman"/>
          <w:i/>
          <w:color w:val="222222"/>
          <w:sz w:val="24"/>
          <w:szCs w:val="24"/>
          <w:highlight w:val="white"/>
        </w:rPr>
        <w:t>Journal of Public Health Management and Practice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27</w:t>
      </w:r>
      <w:r>
        <w:rPr>
          <w:rFonts w:ascii="Times New Roman" w:eastAsia="Times New Roman" w:hAnsi="Times New Roman" w:cs="Times New Roman"/>
          <w:color w:val="222222"/>
          <w:sz w:val="24"/>
          <w:szCs w:val="24"/>
          <w:highlight w:val="white"/>
        </w:rPr>
        <w:t>(Supplement 6), pp.S249-S257.</w:t>
      </w:r>
    </w:p>
    <w:p w14:paraId="48503AC7"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Gonzalez, C.G., (2022). SDG 2: End Hunger, Achieve food security and improved nutrition, and promote sustainable agriculture.</w:t>
      </w:r>
    </w:p>
    <w:p w14:paraId="48EBBB0F"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GOV.UK (2014) </w:t>
      </w:r>
      <w:r>
        <w:rPr>
          <w:rFonts w:ascii="Times New Roman" w:eastAsia="Times New Roman" w:hAnsi="Times New Roman" w:cs="Times New Roman"/>
          <w:i/>
          <w:color w:val="222222"/>
          <w:sz w:val="24"/>
          <w:szCs w:val="24"/>
          <w:highlight w:val="white"/>
        </w:rPr>
        <w:t>The Child Poverty Unit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GOV.UK</w:t>
      </w:r>
      <w:r>
        <w:rPr>
          <w:rFonts w:ascii="Times New Roman" w:eastAsia="Times New Roman" w:hAnsi="Times New Roman" w:cs="Times New Roman"/>
          <w:color w:val="222222"/>
          <w:sz w:val="24"/>
          <w:szCs w:val="24"/>
          <w:highlight w:val="white"/>
        </w:rPr>
        <w:t xml:space="preserve">. Available at: https://www.gov.uk/government/groups/the-child-poverty-unit (Accessed: 04 June 2024). </w:t>
      </w:r>
    </w:p>
    <w:p w14:paraId="16741554"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GOV.UK (2024) </w:t>
      </w:r>
      <w:r>
        <w:rPr>
          <w:rFonts w:ascii="Times New Roman" w:eastAsia="Times New Roman" w:hAnsi="Times New Roman" w:cs="Times New Roman"/>
          <w:i/>
          <w:color w:val="222222"/>
          <w:sz w:val="24"/>
          <w:szCs w:val="24"/>
          <w:highlight w:val="white"/>
        </w:rPr>
        <w:t>Implementing the sustainable development goals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GOV.UK</w:t>
      </w:r>
      <w:r>
        <w:rPr>
          <w:rFonts w:ascii="Times New Roman" w:eastAsia="Times New Roman" w:hAnsi="Times New Roman" w:cs="Times New Roman"/>
          <w:color w:val="222222"/>
          <w:sz w:val="24"/>
          <w:szCs w:val="24"/>
          <w:highlight w:val="white"/>
        </w:rPr>
        <w:t xml:space="preserve">. Available at: https://www.gov.uk/government/publications/implementing-the-sustainable-development-goals/implementing-the-sustainable-development-goals--2 (Accessed: 04 June 2024). </w:t>
      </w:r>
    </w:p>
    <w:p w14:paraId="7E62FA0C"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Hajian, M. and Kashani, S.J., (2021). Evolution of the concept of sustainability. From Brundtland Report to sustainable development goals. In </w:t>
      </w:r>
      <w:r>
        <w:rPr>
          <w:rFonts w:ascii="Times New Roman" w:eastAsia="Times New Roman" w:hAnsi="Times New Roman" w:cs="Times New Roman"/>
          <w:i/>
          <w:color w:val="222222"/>
          <w:sz w:val="24"/>
          <w:szCs w:val="24"/>
          <w:highlight w:val="white"/>
        </w:rPr>
        <w:t>Sustainable resource management</w:t>
      </w:r>
      <w:r>
        <w:rPr>
          <w:rFonts w:ascii="Times New Roman" w:eastAsia="Times New Roman" w:hAnsi="Times New Roman" w:cs="Times New Roman"/>
          <w:color w:val="222222"/>
          <w:sz w:val="24"/>
          <w:szCs w:val="24"/>
          <w:highlight w:val="white"/>
        </w:rPr>
        <w:t xml:space="preserve"> (pp. 1-24). Elsevier.</w:t>
      </w:r>
    </w:p>
    <w:p w14:paraId="361FA9F4"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Halkos, G. and Gkampoura, E.C., (2021). Where do we stand on the 17 Sustainable Development Goals? An overview on progress. </w:t>
      </w:r>
      <w:r>
        <w:rPr>
          <w:rFonts w:ascii="Times New Roman" w:eastAsia="Times New Roman" w:hAnsi="Times New Roman" w:cs="Times New Roman"/>
          <w:i/>
          <w:color w:val="222222"/>
          <w:sz w:val="24"/>
          <w:szCs w:val="24"/>
          <w:highlight w:val="white"/>
        </w:rPr>
        <w:t>Economic Analysis and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70</w:t>
      </w:r>
      <w:r>
        <w:rPr>
          <w:rFonts w:ascii="Times New Roman" w:eastAsia="Times New Roman" w:hAnsi="Times New Roman" w:cs="Times New Roman"/>
          <w:color w:val="222222"/>
          <w:sz w:val="24"/>
          <w:szCs w:val="24"/>
          <w:highlight w:val="white"/>
        </w:rPr>
        <w:t>, pp.94-122.</w:t>
      </w:r>
    </w:p>
    <w:p w14:paraId="77C7B866"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Jhariya, M.K., Meena, R.S. and Banerjee, A., (2021). Ecological intensification of natural resources towards sustainable productive system. </w:t>
      </w:r>
      <w:r>
        <w:rPr>
          <w:rFonts w:ascii="Times New Roman" w:eastAsia="Times New Roman" w:hAnsi="Times New Roman" w:cs="Times New Roman"/>
          <w:i/>
          <w:color w:val="222222"/>
          <w:sz w:val="24"/>
          <w:szCs w:val="24"/>
          <w:highlight w:val="white"/>
        </w:rPr>
        <w:t>Ecological intensification of natural resources for sustainable agriculture</w:t>
      </w:r>
      <w:r>
        <w:rPr>
          <w:rFonts w:ascii="Times New Roman" w:eastAsia="Times New Roman" w:hAnsi="Times New Roman" w:cs="Times New Roman"/>
          <w:color w:val="222222"/>
          <w:sz w:val="24"/>
          <w:szCs w:val="24"/>
          <w:highlight w:val="white"/>
        </w:rPr>
        <w:t>, pp.1-28.</w:t>
      </w:r>
    </w:p>
    <w:p w14:paraId="43FA1B30"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S., Xiao, W., Fang, C., Zhang, X. and Lin, J., (2020). Social support, belongingness, and value co-creation behaviors in online health communities. </w:t>
      </w:r>
      <w:r>
        <w:rPr>
          <w:rFonts w:ascii="Times New Roman" w:eastAsia="Times New Roman" w:hAnsi="Times New Roman" w:cs="Times New Roman"/>
          <w:i/>
          <w:color w:val="222222"/>
          <w:sz w:val="24"/>
          <w:szCs w:val="24"/>
          <w:highlight w:val="white"/>
        </w:rPr>
        <w:t>Telematics and Informatics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 p.101398.</w:t>
      </w:r>
    </w:p>
    <w:p w14:paraId="6CF1DD45"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Picchioni, F., Goulao, L.F. and Roberfroid, D., (2022). The impact of COVID-19 on diet quality, food security and nutrition in low and middle income countries: A systematic review of the evidence. </w:t>
      </w:r>
      <w:r>
        <w:rPr>
          <w:rFonts w:ascii="Times New Roman" w:eastAsia="Times New Roman" w:hAnsi="Times New Roman" w:cs="Times New Roman"/>
          <w:i/>
          <w:color w:val="222222"/>
          <w:sz w:val="24"/>
          <w:szCs w:val="24"/>
          <w:highlight w:val="white"/>
        </w:rPr>
        <w:t>Clinical Nutrition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41</w:t>
      </w:r>
      <w:r>
        <w:rPr>
          <w:rFonts w:ascii="Times New Roman" w:eastAsia="Times New Roman" w:hAnsi="Times New Roman" w:cs="Times New Roman"/>
          <w:color w:val="222222"/>
          <w:sz w:val="24"/>
          <w:szCs w:val="24"/>
          <w:highlight w:val="white"/>
        </w:rPr>
        <w:t>(12), pp.2955-2964.</w:t>
      </w:r>
    </w:p>
    <w:p w14:paraId="15C2A24B"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Pressman, S.D., Kraft, T. and Bowlin, S., (2020). Well-being: physical, psychological, and social. In </w:t>
      </w:r>
      <w:r>
        <w:rPr>
          <w:rFonts w:ascii="Times New Roman" w:eastAsia="Times New Roman" w:hAnsi="Times New Roman" w:cs="Times New Roman"/>
          <w:i/>
          <w:color w:val="222222"/>
          <w:sz w:val="24"/>
          <w:szCs w:val="24"/>
          <w:highlight w:val="white"/>
        </w:rPr>
        <w:t>Encyclopedia of behavioral medicine</w:t>
      </w:r>
      <w:r>
        <w:rPr>
          <w:rFonts w:ascii="Times New Roman" w:eastAsia="Times New Roman" w:hAnsi="Times New Roman" w:cs="Times New Roman"/>
          <w:color w:val="222222"/>
          <w:sz w:val="24"/>
          <w:szCs w:val="24"/>
          <w:highlight w:val="white"/>
        </w:rPr>
        <w:t xml:space="preserve"> (pp. 2334-2339). Cham: Springer International Publishing.</w:t>
      </w:r>
    </w:p>
    <w:p w14:paraId="66D8E565" w14:textId="77777777" w:rsidR="001D725D" w:rsidRDefault="001D725D" w:rsidP="001D725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SDG.UN (2024) </w:t>
      </w:r>
      <w:r>
        <w:rPr>
          <w:rFonts w:ascii="Times New Roman" w:eastAsia="Times New Roman" w:hAnsi="Times New Roman" w:cs="Times New Roman"/>
          <w:i/>
          <w:sz w:val="24"/>
          <w:szCs w:val="24"/>
        </w:rPr>
        <w:t>Transforming our world: The 2030 agenda for sustainable development | department of economic and social affairs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United Nations</w:t>
      </w:r>
      <w:r>
        <w:rPr>
          <w:rFonts w:ascii="Times New Roman" w:eastAsia="Times New Roman" w:hAnsi="Times New Roman" w:cs="Times New Roman"/>
          <w:sz w:val="24"/>
          <w:szCs w:val="24"/>
        </w:rPr>
        <w:t xml:space="preserve">. Available at: https://sdgs.un.org/2030agenda (Accessed: 04 June 2024). </w:t>
      </w:r>
    </w:p>
    <w:p w14:paraId="29E53ED7"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TheIndependent (2024) </w:t>
      </w:r>
      <w:r>
        <w:rPr>
          <w:rFonts w:ascii="Times New Roman" w:eastAsia="Times New Roman" w:hAnsi="Times New Roman" w:cs="Times New Roman"/>
          <w:i/>
          <w:color w:val="222222"/>
          <w:sz w:val="24"/>
          <w:szCs w:val="24"/>
          <w:highlight w:val="white"/>
        </w:rPr>
        <w:t>Schools dipping into their own budgets to stop children going hungry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The Independent</w:t>
      </w:r>
      <w:r>
        <w:rPr>
          <w:rFonts w:ascii="Times New Roman" w:eastAsia="Times New Roman" w:hAnsi="Times New Roman" w:cs="Times New Roman"/>
          <w:color w:val="222222"/>
          <w:sz w:val="24"/>
          <w:szCs w:val="24"/>
          <w:highlight w:val="white"/>
        </w:rPr>
        <w:t xml:space="preserve">. Available at: https://www.independent.co.uk/news/uk/home-news/free-school-meals-cost-of-living-hungry-children-b2548160.html (Accessed: 04 June 2024). </w:t>
      </w:r>
    </w:p>
    <w:p w14:paraId="5AA88E34" w14:textId="77777777" w:rsidR="001D725D" w:rsidRDefault="001D725D" w:rsidP="001D725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UN (2024) </w:t>
      </w:r>
      <w:r>
        <w:rPr>
          <w:rFonts w:ascii="Times New Roman" w:eastAsia="Times New Roman" w:hAnsi="Times New Roman" w:cs="Times New Roman"/>
          <w:i/>
          <w:sz w:val="24"/>
          <w:szCs w:val="24"/>
        </w:rPr>
        <w:t>Sustainable development goals: 17 goals to Transform Our World​</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United Nations</w:t>
      </w:r>
      <w:r>
        <w:rPr>
          <w:rFonts w:ascii="Times New Roman" w:eastAsia="Times New Roman" w:hAnsi="Times New Roman" w:cs="Times New Roman"/>
          <w:sz w:val="24"/>
          <w:szCs w:val="24"/>
        </w:rPr>
        <w:t xml:space="preserve">. Available at: https://www.un.org/en/exhibits/page/sdgs-17-goals-transform-world (Accessed: 04 June 2024). </w:t>
      </w:r>
    </w:p>
    <w:p w14:paraId="0F644167" w14:textId="77777777" w:rsidR="001D725D" w:rsidRDefault="001D725D" w:rsidP="001D725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UnitedNations (2024) </w:t>
      </w:r>
      <w:r>
        <w:rPr>
          <w:rFonts w:ascii="Times New Roman" w:eastAsia="Times New Roman" w:hAnsi="Times New Roman" w:cs="Times New Roman"/>
          <w:i/>
          <w:sz w:val="24"/>
          <w:szCs w:val="24"/>
        </w:rPr>
        <w:t>The 17 goals | sustainable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United Nations</w:t>
      </w:r>
      <w:r>
        <w:rPr>
          <w:rFonts w:ascii="Times New Roman" w:eastAsia="Times New Roman" w:hAnsi="Times New Roman" w:cs="Times New Roman"/>
          <w:sz w:val="24"/>
          <w:szCs w:val="24"/>
        </w:rPr>
        <w:t xml:space="preserve">. Available at: https://sdgs.un.org/goals (Accessed: 04 June 2024). </w:t>
      </w:r>
    </w:p>
    <w:p w14:paraId="142DBE19"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Voola, S.I. and Kalyanasundaram, P.I., (2021). Rural Poverty and Sustainable Development Goals. In </w:t>
      </w:r>
      <w:r>
        <w:rPr>
          <w:rFonts w:ascii="Times New Roman" w:eastAsia="Times New Roman" w:hAnsi="Times New Roman" w:cs="Times New Roman"/>
          <w:i/>
          <w:color w:val="222222"/>
          <w:sz w:val="24"/>
          <w:szCs w:val="24"/>
          <w:highlight w:val="white"/>
        </w:rPr>
        <w:t>No Poverty</w:t>
      </w:r>
      <w:r>
        <w:rPr>
          <w:rFonts w:ascii="Times New Roman" w:eastAsia="Times New Roman" w:hAnsi="Times New Roman" w:cs="Times New Roman"/>
          <w:color w:val="222222"/>
          <w:sz w:val="24"/>
          <w:szCs w:val="24"/>
          <w:highlight w:val="white"/>
        </w:rPr>
        <w:t xml:space="preserve"> (pp. 902-912). Cham: Springer International Publishing.</w:t>
      </w:r>
    </w:p>
    <w:p w14:paraId="39E288F8"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Watson, M.F., Bacigalupe, G., Daneshpour, M., Han, W.J. and Parra‐Cardona, R., (2020). COVID‐19 interconnectedness: Health inequity, the climate crisis, and collective trauma. </w:t>
      </w:r>
      <w:r>
        <w:rPr>
          <w:rFonts w:ascii="Times New Roman" w:eastAsia="Times New Roman" w:hAnsi="Times New Roman" w:cs="Times New Roman"/>
          <w:i/>
          <w:color w:val="222222"/>
          <w:sz w:val="24"/>
          <w:szCs w:val="24"/>
          <w:highlight w:val="white"/>
        </w:rPr>
        <w:t>Family process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(3), pp.832-846.</w:t>
      </w:r>
    </w:p>
    <w:p w14:paraId="42AD5B4D" w14:textId="77777777" w:rsidR="001D725D" w:rsidRDefault="001D725D"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Wren-Lewis, S. and Alexandrova, A., (2021), December. Mental health without well-being. In </w:t>
      </w:r>
      <w:r>
        <w:rPr>
          <w:rFonts w:ascii="Times New Roman" w:eastAsia="Times New Roman" w:hAnsi="Times New Roman" w:cs="Times New Roman"/>
          <w:i/>
          <w:color w:val="222222"/>
          <w:sz w:val="24"/>
          <w:szCs w:val="24"/>
          <w:highlight w:val="white"/>
        </w:rPr>
        <w:t>The Journal of Medicine and Philosophy: A Forum for Bioethics and Philosophy of Medicine</w:t>
      </w:r>
      <w:r>
        <w:rPr>
          <w:rFonts w:ascii="Times New Roman" w:eastAsia="Times New Roman" w:hAnsi="Times New Roman" w:cs="Times New Roman"/>
          <w:color w:val="222222"/>
          <w:sz w:val="24"/>
          <w:szCs w:val="24"/>
          <w:highlight w:val="white"/>
        </w:rPr>
        <w:t xml:space="preserve"> (Vol. 46, No. 6, pp. 684-703). US: Oxford University Press.</w:t>
      </w:r>
    </w:p>
    <w:p w14:paraId="00000068" w14:textId="77777777" w:rsidR="00480DF4" w:rsidRDefault="00480DF4"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69" w14:textId="77777777" w:rsidR="00480DF4" w:rsidRDefault="00480DF4"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6A" w14:textId="77777777" w:rsidR="00480DF4" w:rsidRDefault="00480DF4" w:rsidP="001D725D">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6B" w14:textId="77777777" w:rsidR="00480DF4" w:rsidRDefault="00480DF4" w:rsidP="001D725D">
      <w:pPr>
        <w:pStyle w:val="Normal1"/>
        <w:spacing w:before="240" w:after="240" w:line="360" w:lineRule="auto"/>
        <w:jc w:val="both"/>
        <w:rPr>
          <w:rFonts w:ascii="Times New Roman" w:eastAsia="Times New Roman" w:hAnsi="Times New Roman" w:cs="Times New Roman"/>
          <w:sz w:val="24"/>
          <w:szCs w:val="24"/>
        </w:rPr>
      </w:pPr>
    </w:p>
    <w:p w14:paraId="0000006C" w14:textId="77777777" w:rsidR="00480DF4" w:rsidRDefault="00480DF4" w:rsidP="001D725D">
      <w:pPr>
        <w:pStyle w:val="Normal1"/>
        <w:spacing w:before="240" w:after="240" w:line="360" w:lineRule="auto"/>
        <w:jc w:val="both"/>
        <w:rPr>
          <w:rFonts w:ascii="Times New Roman" w:eastAsia="Times New Roman" w:hAnsi="Times New Roman" w:cs="Times New Roman"/>
          <w:sz w:val="24"/>
          <w:szCs w:val="24"/>
        </w:rPr>
      </w:pPr>
    </w:p>
    <w:sectPr w:rsidR="00480DF4" w:rsidSect="001D725D">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4CF6C9" w14:textId="77777777" w:rsidR="005D5D27" w:rsidRDefault="005D5D27" w:rsidP="0024342B">
      <w:pPr>
        <w:spacing w:line="240" w:lineRule="auto"/>
      </w:pPr>
      <w:r>
        <w:separator/>
      </w:r>
    </w:p>
  </w:endnote>
  <w:endnote w:type="continuationSeparator" w:id="0">
    <w:p w14:paraId="5AA58A1F" w14:textId="77777777" w:rsidR="005D5D27" w:rsidRDefault="005D5D27" w:rsidP="002434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F6A65" w14:textId="77777777" w:rsidR="0024342B" w:rsidRDefault="002434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0637097"/>
      <w:docPartObj>
        <w:docPartGallery w:val="Page Numbers (Bottom of Page)"/>
        <w:docPartUnique/>
      </w:docPartObj>
    </w:sdtPr>
    <w:sdtEndPr>
      <w:rPr>
        <w:noProof/>
      </w:rPr>
    </w:sdtEndPr>
    <w:sdtContent>
      <w:p w14:paraId="38F8D697" w14:textId="77777777" w:rsidR="0024342B" w:rsidRDefault="0024342B">
        <w:pPr>
          <w:pStyle w:val="Footer"/>
          <w:jc w:val="right"/>
        </w:pPr>
      </w:p>
      <w:p w14:paraId="64330B10" w14:textId="77777777" w:rsidR="0024342B" w:rsidRDefault="0024342B">
        <w:pPr>
          <w:pStyle w:val="Footer"/>
          <w:jc w:val="right"/>
        </w:pPr>
      </w:p>
      <w:p w14:paraId="5D80866F" w14:textId="77777777" w:rsidR="0024342B" w:rsidRDefault="0024342B">
        <w:pPr>
          <w:pStyle w:val="Footer"/>
          <w:jc w:val="right"/>
        </w:pPr>
      </w:p>
      <w:p w14:paraId="291FF53D" w14:textId="6C7B9E9B" w:rsidR="0024342B" w:rsidRDefault="002434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6094AA" w14:textId="77777777" w:rsidR="0024342B" w:rsidRDefault="002434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A3A6B" w14:textId="77777777" w:rsidR="0024342B" w:rsidRDefault="00243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DF9A34" w14:textId="77777777" w:rsidR="005D5D27" w:rsidRDefault="005D5D27" w:rsidP="0024342B">
      <w:pPr>
        <w:spacing w:line="240" w:lineRule="auto"/>
      </w:pPr>
      <w:r>
        <w:separator/>
      </w:r>
    </w:p>
  </w:footnote>
  <w:footnote w:type="continuationSeparator" w:id="0">
    <w:p w14:paraId="44A8F766" w14:textId="77777777" w:rsidR="005D5D27" w:rsidRDefault="005D5D27" w:rsidP="002434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33F4C" w14:textId="77777777" w:rsidR="0024342B" w:rsidRDefault="002434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80D3E" w14:textId="77777777" w:rsidR="002126E5" w:rsidRDefault="002126E5">
    <w:pPr>
      <w:pStyle w:val="Header"/>
      <w:rPr>
        <w:lang w:val="en-US"/>
      </w:rPr>
    </w:pPr>
  </w:p>
  <w:p w14:paraId="510B10A9" w14:textId="77777777" w:rsidR="0024342B" w:rsidRPr="0024342B" w:rsidRDefault="0024342B">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8AF85" w14:textId="77777777" w:rsidR="0024342B" w:rsidRDefault="002434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346D96"/>
    <w:multiLevelType w:val="hybridMultilevel"/>
    <w:tmpl w:val="00000000"/>
    <w:lvl w:ilvl="0" w:tplc="8B12C760">
      <w:start w:val="1"/>
      <w:numFmt w:val="bullet"/>
      <w:lvlText w:val="●"/>
      <w:lvlJc w:val="left"/>
      <w:pPr>
        <w:ind w:left="720" w:hanging="360"/>
      </w:pPr>
      <w:rPr>
        <w:u w:val="none"/>
      </w:rPr>
    </w:lvl>
    <w:lvl w:ilvl="1" w:tplc="55FC1A0E">
      <w:start w:val="1"/>
      <w:numFmt w:val="bullet"/>
      <w:lvlText w:val="○"/>
      <w:lvlJc w:val="left"/>
      <w:pPr>
        <w:ind w:left="1440" w:hanging="360"/>
      </w:pPr>
      <w:rPr>
        <w:u w:val="none"/>
      </w:rPr>
    </w:lvl>
    <w:lvl w:ilvl="2" w:tplc="0CE4EB7A">
      <w:start w:val="1"/>
      <w:numFmt w:val="bullet"/>
      <w:lvlText w:val="■"/>
      <w:lvlJc w:val="left"/>
      <w:pPr>
        <w:ind w:left="2160" w:hanging="360"/>
      </w:pPr>
      <w:rPr>
        <w:u w:val="none"/>
      </w:rPr>
    </w:lvl>
    <w:lvl w:ilvl="3" w:tplc="5D9EEF8A">
      <w:start w:val="1"/>
      <w:numFmt w:val="bullet"/>
      <w:lvlText w:val="●"/>
      <w:lvlJc w:val="left"/>
      <w:pPr>
        <w:ind w:left="2880" w:hanging="360"/>
      </w:pPr>
      <w:rPr>
        <w:u w:val="none"/>
      </w:rPr>
    </w:lvl>
    <w:lvl w:ilvl="4" w:tplc="03CAAF3E">
      <w:start w:val="1"/>
      <w:numFmt w:val="bullet"/>
      <w:lvlText w:val="○"/>
      <w:lvlJc w:val="left"/>
      <w:pPr>
        <w:ind w:left="3600" w:hanging="360"/>
      </w:pPr>
      <w:rPr>
        <w:u w:val="none"/>
      </w:rPr>
    </w:lvl>
    <w:lvl w:ilvl="5" w:tplc="51FA58F0">
      <w:start w:val="1"/>
      <w:numFmt w:val="bullet"/>
      <w:lvlText w:val="■"/>
      <w:lvlJc w:val="left"/>
      <w:pPr>
        <w:ind w:left="4320" w:hanging="360"/>
      </w:pPr>
      <w:rPr>
        <w:u w:val="none"/>
      </w:rPr>
    </w:lvl>
    <w:lvl w:ilvl="6" w:tplc="5E2C33C2">
      <w:start w:val="1"/>
      <w:numFmt w:val="bullet"/>
      <w:lvlText w:val="●"/>
      <w:lvlJc w:val="left"/>
      <w:pPr>
        <w:ind w:left="5040" w:hanging="360"/>
      </w:pPr>
      <w:rPr>
        <w:u w:val="none"/>
      </w:rPr>
    </w:lvl>
    <w:lvl w:ilvl="7" w:tplc="05F03066">
      <w:start w:val="1"/>
      <w:numFmt w:val="bullet"/>
      <w:lvlText w:val="○"/>
      <w:lvlJc w:val="left"/>
      <w:pPr>
        <w:ind w:left="5760" w:hanging="360"/>
      </w:pPr>
      <w:rPr>
        <w:u w:val="none"/>
      </w:rPr>
    </w:lvl>
    <w:lvl w:ilvl="8" w:tplc="031EF2B8">
      <w:start w:val="1"/>
      <w:numFmt w:val="bullet"/>
      <w:lvlText w:val="■"/>
      <w:lvlJc w:val="left"/>
      <w:pPr>
        <w:ind w:left="6480" w:hanging="360"/>
      </w:pPr>
      <w:rPr>
        <w:u w:val="none"/>
      </w:rPr>
    </w:lvl>
  </w:abstractNum>
  <w:num w:numId="1" w16cid:durableId="400248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DF4"/>
    <w:rsid w:val="001D725D"/>
    <w:rsid w:val="002126E5"/>
    <w:rsid w:val="0024342B"/>
    <w:rsid w:val="00274BB4"/>
    <w:rsid w:val="00480DF4"/>
    <w:rsid w:val="005D5D27"/>
    <w:rsid w:val="00695627"/>
    <w:rsid w:val="006C3A3B"/>
    <w:rsid w:val="0089187C"/>
    <w:rsid w:val="00C01E2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9B111"/>
  <w15:docId w15:val="{7FCA948C-AEFC-4C4E-A879-1E162194D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1D725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D725D"/>
    <w:pPr>
      <w:spacing w:after="100"/>
    </w:pPr>
  </w:style>
  <w:style w:type="paragraph" w:styleId="TOC2">
    <w:name w:val="toc 2"/>
    <w:basedOn w:val="Normal"/>
    <w:next w:val="Normal"/>
    <w:autoRedefine/>
    <w:uiPriority w:val="39"/>
    <w:unhideWhenUsed/>
    <w:rsid w:val="001D725D"/>
    <w:pPr>
      <w:spacing w:after="100"/>
      <w:ind w:left="220"/>
    </w:pPr>
  </w:style>
  <w:style w:type="character" w:styleId="Hyperlink">
    <w:name w:val="Hyperlink"/>
    <w:basedOn w:val="DefaultParagraphFont"/>
    <w:uiPriority w:val="99"/>
    <w:unhideWhenUsed/>
    <w:rsid w:val="001D725D"/>
    <w:rPr>
      <w:color w:val="0000FF" w:themeColor="hyperlink"/>
      <w:u w:val="single"/>
    </w:rPr>
  </w:style>
  <w:style w:type="paragraph" w:styleId="Header">
    <w:name w:val="header"/>
    <w:basedOn w:val="Normal"/>
    <w:link w:val="HeaderChar"/>
    <w:uiPriority w:val="99"/>
    <w:unhideWhenUsed/>
    <w:rsid w:val="0024342B"/>
    <w:pPr>
      <w:tabs>
        <w:tab w:val="center" w:pos="4513"/>
        <w:tab w:val="right" w:pos="9026"/>
      </w:tabs>
      <w:spacing w:line="240" w:lineRule="auto"/>
    </w:pPr>
  </w:style>
  <w:style w:type="character" w:customStyle="1" w:styleId="HeaderChar">
    <w:name w:val="Header Char"/>
    <w:basedOn w:val="DefaultParagraphFont"/>
    <w:link w:val="Header"/>
    <w:uiPriority w:val="99"/>
    <w:rsid w:val="0024342B"/>
  </w:style>
  <w:style w:type="paragraph" w:styleId="Footer">
    <w:name w:val="footer"/>
    <w:basedOn w:val="Normal"/>
    <w:link w:val="FooterChar"/>
    <w:uiPriority w:val="99"/>
    <w:unhideWhenUsed/>
    <w:rsid w:val="0024342B"/>
    <w:pPr>
      <w:tabs>
        <w:tab w:val="center" w:pos="4513"/>
        <w:tab w:val="right" w:pos="9026"/>
      </w:tabs>
      <w:spacing w:line="240" w:lineRule="auto"/>
    </w:pPr>
  </w:style>
  <w:style w:type="character" w:customStyle="1" w:styleId="FooterChar">
    <w:name w:val="Footer Char"/>
    <w:basedOn w:val="DefaultParagraphFont"/>
    <w:link w:val="Footer"/>
    <w:uiPriority w:val="99"/>
    <w:rsid w:val="00243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BD277-513E-4CDF-9D5D-73D41853B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Pages>
  <Words>4990</Words>
  <Characters>28446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dc:creator>
  <cp:lastModifiedBy>Carolina Griza (2115255)</cp:lastModifiedBy>
  <cp:revision>5</cp:revision>
  <dcterms:created xsi:type="dcterms:W3CDTF">2024-06-06T09:11:00Z</dcterms:created>
  <dcterms:modified xsi:type="dcterms:W3CDTF">2024-07-08T21:54:00Z</dcterms:modified>
</cp:coreProperties>
</file>