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7CC6E" w14:textId="77777777" w:rsidR="00CD1495" w:rsidRPr="0079518E" w:rsidRDefault="00CD1495" w:rsidP="00CD1495">
      <w:pPr>
        <w:jc w:val="center"/>
        <w:rPr>
          <w:rFonts w:cs="Times New Roman"/>
          <w:b/>
          <w:bCs/>
          <w:color w:val="000000"/>
          <w:szCs w:val="24"/>
          <w:lang w:bidi="ar-SA"/>
        </w:rPr>
      </w:pPr>
      <w:r w:rsidRPr="0079518E">
        <w:rPr>
          <w:rFonts w:cs="Times New Roman"/>
          <w:b/>
          <w:bCs/>
          <w:color w:val="000000"/>
          <w:szCs w:val="24"/>
          <w:lang w:bidi="ar-SA"/>
        </w:rPr>
        <w:t>Course: BA International Hotel Management</w:t>
      </w:r>
    </w:p>
    <w:p w14:paraId="651A8DAC" w14:textId="77777777" w:rsidR="00CD1495" w:rsidRPr="0079518E" w:rsidRDefault="00CD1495" w:rsidP="00CD1495">
      <w:pPr>
        <w:jc w:val="center"/>
        <w:rPr>
          <w:rFonts w:cs="Times New Roman"/>
          <w:b/>
          <w:bCs/>
          <w:color w:val="000000"/>
          <w:szCs w:val="24"/>
          <w:lang w:bidi="ar-SA"/>
        </w:rPr>
      </w:pPr>
      <w:r w:rsidRPr="0079518E">
        <w:rPr>
          <w:rFonts w:cs="Times New Roman"/>
          <w:b/>
          <w:bCs/>
          <w:color w:val="000000"/>
          <w:szCs w:val="24"/>
          <w:lang w:bidi="ar-SA"/>
        </w:rPr>
        <w:t>Module Code: BMIH5007</w:t>
      </w:r>
    </w:p>
    <w:p w14:paraId="46B9E71C" w14:textId="77777777" w:rsidR="00CD1495" w:rsidRPr="0079518E" w:rsidRDefault="00CD1495" w:rsidP="00CD1495">
      <w:pPr>
        <w:jc w:val="center"/>
        <w:rPr>
          <w:rFonts w:cs="Times New Roman"/>
          <w:b/>
          <w:bCs/>
          <w:color w:val="000000"/>
          <w:szCs w:val="24"/>
          <w:lang w:bidi="ar-SA"/>
        </w:rPr>
      </w:pPr>
      <w:r w:rsidRPr="0079518E">
        <w:rPr>
          <w:rFonts w:cs="Times New Roman"/>
          <w:b/>
          <w:bCs/>
          <w:color w:val="000000"/>
          <w:szCs w:val="24"/>
          <w:lang w:bidi="ar-SA"/>
        </w:rPr>
        <w:t>Module Title: Financial Management for the Hotel Industry</w:t>
      </w:r>
    </w:p>
    <w:p w14:paraId="64E3FF07" w14:textId="77777777" w:rsidR="00CD1495" w:rsidRPr="0079518E" w:rsidRDefault="00CD1495" w:rsidP="00CD1495">
      <w:pPr>
        <w:jc w:val="center"/>
        <w:rPr>
          <w:rFonts w:cs="Times New Roman"/>
          <w:b/>
          <w:bCs/>
          <w:color w:val="000000"/>
          <w:szCs w:val="24"/>
          <w:lang w:bidi="ar-SA"/>
        </w:rPr>
      </w:pPr>
      <w:r w:rsidRPr="0079518E">
        <w:rPr>
          <w:rFonts w:cs="Times New Roman"/>
          <w:b/>
          <w:bCs/>
          <w:szCs w:val="24"/>
        </w:rPr>
        <w:t>Assessment: 1</w:t>
      </w:r>
    </w:p>
    <w:p w14:paraId="19BB91ED" w14:textId="77777777" w:rsidR="00CD1495" w:rsidRPr="0079518E" w:rsidRDefault="00CD1495" w:rsidP="00CD1495">
      <w:pPr>
        <w:jc w:val="center"/>
        <w:rPr>
          <w:rFonts w:cs="Times New Roman"/>
          <w:b/>
          <w:bCs/>
          <w:szCs w:val="24"/>
        </w:rPr>
      </w:pPr>
    </w:p>
    <w:p w14:paraId="4BD9F788" w14:textId="77777777" w:rsidR="00CD1495" w:rsidRPr="0079518E" w:rsidRDefault="00CD1495" w:rsidP="00CD1495">
      <w:pPr>
        <w:jc w:val="center"/>
        <w:rPr>
          <w:rFonts w:cs="Times New Roman"/>
          <w:b/>
          <w:bCs/>
          <w:szCs w:val="24"/>
        </w:rPr>
      </w:pPr>
    </w:p>
    <w:p w14:paraId="03F9EC5C" w14:textId="77777777" w:rsidR="00CD1495" w:rsidRPr="0079518E" w:rsidRDefault="00CD1495" w:rsidP="00CD1495">
      <w:pPr>
        <w:jc w:val="center"/>
        <w:rPr>
          <w:rFonts w:cs="Times New Roman"/>
          <w:b/>
          <w:bCs/>
          <w:szCs w:val="24"/>
        </w:rPr>
      </w:pPr>
      <w:r w:rsidRPr="0079518E">
        <w:rPr>
          <w:rFonts w:cs="Times New Roman"/>
          <w:b/>
          <w:bCs/>
          <w:szCs w:val="24"/>
        </w:rPr>
        <w:t xml:space="preserve">Lecturer Name: </w:t>
      </w:r>
      <w:r w:rsidRPr="0079518E">
        <w:rPr>
          <w:b/>
          <w:bCs/>
          <w:szCs w:val="24"/>
        </w:rPr>
        <w:t>Tristan Hawkins</w:t>
      </w:r>
    </w:p>
    <w:p w14:paraId="25ED31A2" w14:textId="77777777" w:rsidR="00CD1495" w:rsidRPr="0079518E" w:rsidRDefault="00CD1495" w:rsidP="00CD1495">
      <w:pPr>
        <w:jc w:val="center"/>
        <w:rPr>
          <w:rFonts w:cs="Times New Roman"/>
          <w:b/>
          <w:bCs/>
          <w:szCs w:val="24"/>
        </w:rPr>
      </w:pPr>
      <w:r w:rsidRPr="0079518E">
        <w:rPr>
          <w:rFonts w:cs="Times New Roman"/>
          <w:b/>
          <w:bCs/>
          <w:szCs w:val="24"/>
        </w:rPr>
        <w:t>Student Name: Jamil Hossen</w:t>
      </w:r>
    </w:p>
    <w:p w14:paraId="1795CDC6" w14:textId="77777777" w:rsidR="00CD1495" w:rsidRPr="0079518E" w:rsidRDefault="00CD1495" w:rsidP="00CD1495">
      <w:pPr>
        <w:jc w:val="center"/>
        <w:rPr>
          <w:rFonts w:cs="Times New Roman"/>
          <w:b/>
          <w:bCs/>
          <w:szCs w:val="24"/>
        </w:rPr>
      </w:pPr>
      <w:r w:rsidRPr="0079518E">
        <w:rPr>
          <w:rFonts w:cs="Times New Roman"/>
          <w:b/>
          <w:bCs/>
          <w:szCs w:val="24"/>
        </w:rPr>
        <w:t>Student ID: 2121733</w:t>
      </w:r>
    </w:p>
    <w:p w14:paraId="6903E810" w14:textId="77777777" w:rsidR="00CD1495" w:rsidRPr="0079518E" w:rsidRDefault="00CD1495" w:rsidP="00CD1495">
      <w:pPr>
        <w:rPr>
          <w:rFonts w:cs="Times New Roman"/>
          <w:b/>
          <w:bCs/>
          <w:szCs w:val="24"/>
        </w:rPr>
      </w:pPr>
    </w:p>
    <w:p w14:paraId="55EAA46C" w14:textId="77777777" w:rsidR="00CD1495" w:rsidRPr="0079518E" w:rsidRDefault="00CD1495" w:rsidP="00CD1495">
      <w:pPr>
        <w:rPr>
          <w:rFonts w:cs="Times New Roman"/>
          <w:szCs w:val="24"/>
          <w:lang w:bidi="ar-SA"/>
        </w:rPr>
      </w:pPr>
    </w:p>
    <w:p w14:paraId="25B2B1AE" w14:textId="77777777" w:rsidR="00CD1495" w:rsidRPr="0079518E" w:rsidRDefault="00CD1495" w:rsidP="00CD1495">
      <w:pPr>
        <w:rPr>
          <w:rFonts w:cs="Times New Roman"/>
          <w:szCs w:val="24"/>
          <w:lang w:bidi="ar-SA"/>
        </w:rPr>
      </w:pPr>
      <w:r w:rsidRPr="0079518E">
        <w:rPr>
          <w:rFonts w:cs="Times New Roman"/>
          <w:szCs w:val="24"/>
          <w:lang w:bidi="ar-SA"/>
        </w:rPr>
        <w:br w:type="page"/>
      </w:r>
    </w:p>
    <w:p w14:paraId="53573002" w14:textId="77777777" w:rsidR="00CD1495" w:rsidRPr="0079518E" w:rsidRDefault="00CD1495" w:rsidP="00CD1495">
      <w:pPr>
        <w:pStyle w:val="TOCHeading"/>
        <w:spacing w:line="360" w:lineRule="auto"/>
        <w:jc w:val="both"/>
        <w:rPr>
          <w:rFonts w:ascii="Times New Roman" w:hAnsi="Times New Roman" w:cs="Times New Roman"/>
          <w:sz w:val="24"/>
          <w:szCs w:val="24"/>
        </w:rPr>
      </w:pPr>
      <w:r w:rsidRPr="0079518E">
        <w:rPr>
          <w:rFonts w:ascii="Times New Roman" w:hAnsi="Times New Roman" w:cs="Times New Roman"/>
          <w:sz w:val="24"/>
          <w:szCs w:val="24"/>
        </w:rPr>
        <w:lastRenderedPageBreak/>
        <w:t>Table of Contents</w:t>
      </w:r>
    </w:p>
    <w:p w14:paraId="52D9A7B9" w14:textId="77777777" w:rsidR="00CD1495" w:rsidRPr="0079518E" w:rsidRDefault="00CD1495" w:rsidP="00CD1495">
      <w:pPr>
        <w:pStyle w:val="TOC1"/>
        <w:tabs>
          <w:tab w:val="right" w:leader="dot" w:pos="9010"/>
        </w:tabs>
        <w:rPr>
          <w:rFonts w:asciiTheme="minorHAnsi" w:eastAsiaTheme="minorEastAsia" w:hAnsiTheme="minorHAnsi" w:cstheme="minorBidi"/>
          <w:kern w:val="0"/>
          <w:szCs w:val="24"/>
          <w:lang w:eastAsia="en-GB" w:bidi="ar-SA"/>
        </w:rPr>
      </w:pPr>
      <w:r w:rsidRPr="0079518E">
        <w:rPr>
          <w:rFonts w:cs="Times New Roman"/>
          <w:szCs w:val="24"/>
        </w:rPr>
        <w:fldChar w:fldCharType="begin"/>
      </w:r>
      <w:r w:rsidRPr="0079518E">
        <w:rPr>
          <w:rFonts w:cs="Times New Roman"/>
          <w:szCs w:val="24"/>
        </w:rPr>
        <w:instrText xml:space="preserve"> TOC \o "1-3" \h \z \u </w:instrText>
      </w:r>
      <w:r w:rsidRPr="0079518E">
        <w:rPr>
          <w:rFonts w:cs="Times New Roman"/>
          <w:szCs w:val="24"/>
        </w:rPr>
        <w:fldChar w:fldCharType="separate"/>
      </w:r>
      <w:hyperlink w:anchor="_Toc148728686" w:history="1">
        <w:r w:rsidRPr="0079518E">
          <w:rPr>
            <w:rStyle w:val="Hyperlink"/>
            <w:rFonts w:cs="Times New Roman"/>
            <w:szCs w:val="24"/>
          </w:rPr>
          <w:t>Introduction</w:t>
        </w:r>
        <w:r w:rsidRPr="0079518E">
          <w:rPr>
            <w:webHidden/>
            <w:szCs w:val="24"/>
          </w:rPr>
          <w:tab/>
        </w:r>
        <w:r w:rsidRPr="0079518E">
          <w:rPr>
            <w:webHidden/>
            <w:szCs w:val="24"/>
          </w:rPr>
          <w:fldChar w:fldCharType="begin"/>
        </w:r>
        <w:r w:rsidRPr="0079518E">
          <w:rPr>
            <w:webHidden/>
            <w:szCs w:val="24"/>
          </w:rPr>
          <w:instrText xml:space="preserve"> PAGEREF _Toc148728686 \h </w:instrText>
        </w:r>
        <w:r w:rsidRPr="0079518E">
          <w:rPr>
            <w:webHidden/>
            <w:szCs w:val="24"/>
          </w:rPr>
        </w:r>
        <w:r w:rsidRPr="0079518E">
          <w:rPr>
            <w:webHidden/>
            <w:szCs w:val="24"/>
          </w:rPr>
          <w:fldChar w:fldCharType="separate"/>
        </w:r>
        <w:r w:rsidRPr="0079518E">
          <w:rPr>
            <w:webHidden/>
            <w:szCs w:val="24"/>
          </w:rPr>
          <w:t>3</w:t>
        </w:r>
        <w:r w:rsidRPr="0079518E">
          <w:rPr>
            <w:webHidden/>
            <w:szCs w:val="24"/>
          </w:rPr>
          <w:fldChar w:fldCharType="end"/>
        </w:r>
      </w:hyperlink>
    </w:p>
    <w:p w14:paraId="03044CBC" w14:textId="77777777" w:rsidR="00CD1495" w:rsidRPr="0079518E" w:rsidRDefault="00000000" w:rsidP="00CD1495">
      <w:pPr>
        <w:pStyle w:val="TOC1"/>
        <w:tabs>
          <w:tab w:val="right" w:leader="dot" w:pos="9010"/>
        </w:tabs>
        <w:rPr>
          <w:rFonts w:asciiTheme="minorHAnsi" w:eastAsiaTheme="minorEastAsia" w:hAnsiTheme="minorHAnsi" w:cstheme="minorBidi"/>
          <w:kern w:val="0"/>
          <w:szCs w:val="24"/>
          <w:lang w:eastAsia="en-GB" w:bidi="ar-SA"/>
        </w:rPr>
      </w:pPr>
      <w:hyperlink w:anchor="_Toc148728687" w:history="1">
        <w:r w:rsidR="00CD1495" w:rsidRPr="0079518E">
          <w:rPr>
            <w:rStyle w:val="Hyperlink"/>
            <w:rFonts w:cs="Times New Roman"/>
            <w:szCs w:val="24"/>
            <w:lang w:bidi="bn-IN"/>
          </w:rPr>
          <w:t>Analysis and comparison of total revenue of both organisations</w:t>
        </w:r>
        <w:r w:rsidR="00CD1495" w:rsidRPr="0079518E">
          <w:rPr>
            <w:webHidden/>
            <w:szCs w:val="24"/>
          </w:rPr>
          <w:tab/>
        </w:r>
        <w:r w:rsidR="00CD1495" w:rsidRPr="0079518E">
          <w:rPr>
            <w:webHidden/>
            <w:szCs w:val="24"/>
          </w:rPr>
          <w:fldChar w:fldCharType="begin"/>
        </w:r>
        <w:r w:rsidR="00CD1495" w:rsidRPr="0079518E">
          <w:rPr>
            <w:webHidden/>
            <w:szCs w:val="24"/>
          </w:rPr>
          <w:instrText xml:space="preserve"> PAGEREF _Toc148728687 \h </w:instrText>
        </w:r>
        <w:r w:rsidR="00CD1495" w:rsidRPr="0079518E">
          <w:rPr>
            <w:webHidden/>
            <w:szCs w:val="24"/>
          </w:rPr>
        </w:r>
        <w:r w:rsidR="00CD1495" w:rsidRPr="0079518E">
          <w:rPr>
            <w:webHidden/>
            <w:szCs w:val="24"/>
          </w:rPr>
          <w:fldChar w:fldCharType="separate"/>
        </w:r>
        <w:r w:rsidR="00CD1495" w:rsidRPr="0079518E">
          <w:rPr>
            <w:webHidden/>
            <w:szCs w:val="24"/>
          </w:rPr>
          <w:t>4</w:t>
        </w:r>
        <w:r w:rsidR="00CD1495" w:rsidRPr="0079518E">
          <w:rPr>
            <w:webHidden/>
            <w:szCs w:val="24"/>
          </w:rPr>
          <w:fldChar w:fldCharType="end"/>
        </w:r>
      </w:hyperlink>
    </w:p>
    <w:p w14:paraId="57008AAF" w14:textId="77777777" w:rsidR="00CD1495" w:rsidRPr="0079518E" w:rsidRDefault="00000000" w:rsidP="00CD1495">
      <w:pPr>
        <w:pStyle w:val="TOC1"/>
        <w:tabs>
          <w:tab w:val="right" w:leader="dot" w:pos="9010"/>
        </w:tabs>
        <w:rPr>
          <w:rFonts w:asciiTheme="minorHAnsi" w:eastAsiaTheme="minorEastAsia" w:hAnsiTheme="minorHAnsi" w:cstheme="minorBidi"/>
          <w:kern w:val="0"/>
          <w:szCs w:val="24"/>
          <w:lang w:eastAsia="en-GB" w:bidi="ar-SA"/>
        </w:rPr>
      </w:pPr>
      <w:hyperlink w:anchor="_Toc148728688" w:history="1">
        <w:r w:rsidR="00CD1495" w:rsidRPr="0079518E">
          <w:rPr>
            <w:rStyle w:val="Hyperlink"/>
            <w:rFonts w:cs="Times New Roman"/>
            <w:szCs w:val="24"/>
            <w:lang w:bidi="bn-IN"/>
          </w:rPr>
          <w:t>The market position of both Mandarin Oriental Hotel  and Premier Inn</w:t>
        </w:r>
        <w:r w:rsidR="00CD1495" w:rsidRPr="0079518E">
          <w:rPr>
            <w:webHidden/>
            <w:szCs w:val="24"/>
          </w:rPr>
          <w:tab/>
        </w:r>
        <w:r w:rsidR="00CD1495" w:rsidRPr="0079518E">
          <w:rPr>
            <w:webHidden/>
            <w:szCs w:val="24"/>
          </w:rPr>
          <w:fldChar w:fldCharType="begin"/>
        </w:r>
        <w:r w:rsidR="00CD1495" w:rsidRPr="0079518E">
          <w:rPr>
            <w:webHidden/>
            <w:szCs w:val="24"/>
          </w:rPr>
          <w:instrText xml:space="preserve"> PAGEREF _Toc148728688 \h </w:instrText>
        </w:r>
        <w:r w:rsidR="00CD1495" w:rsidRPr="0079518E">
          <w:rPr>
            <w:webHidden/>
            <w:szCs w:val="24"/>
          </w:rPr>
        </w:r>
        <w:r w:rsidR="00CD1495" w:rsidRPr="0079518E">
          <w:rPr>
            <w:webHidden/>
            <w:szCs w:val="24"/>
          </w:rPr>
          <w:fldChar w:fldCharType="separate"/>
        </w:r>
        <w:r w:rsidR="00CD1495" w:rsidRPr="0079518E">
          <w:rPr>
            <w:webHidden/>
            <w:szCs w:val="24"/>
          </w:rPr>
          <w:t>6</w:t>
        </w:r>
        <w:r w:rsidR="00CD1495" w:rsidRPr="0079518E">
          <w:rPr>
            <w:webHidden/>
            <w:szCs w:val="24"/>
          </w:rPr>
          <w:fldChar w:fldCharType="end"/>
        </w:r>
      </w:hyperlink>
    </w:p>
    <w:p w14:paraId="4AD532DE" w14:textId="77777777" w:rsidR="00CD1495" w:rsidRPr="0079518E" w:rsidRDefault="00000000" w:rsidP="00CD1495">
      <w:pPr>
        <w:pStyle w:val="TOC1"/>
        <w:tabs>
          <w:tab w:val="right" w:leader="dot" w:pos="9010"/>
        </w:tabs>
        <w:rPr>
          <w:rFonts w:asciiTheme="minorHAnsi" w:eastAsiaTheme="minorEastAsia" w:hAnsiTheme="minorHAnsi" w:cstheme="minorBidi"/>
          <w:kern w:val="0"/>
          <w:szCs w:val="24"/>
          <w:lang w:eastAsia="en-GB" w:bidi="ar-SA"/>
        </w:rPr>
      </w:pPr>
      <w:hyperlink w:anchor="_Toc148728689" w:history="1">
        <w:r w:rsidR="00CD1495" w:rsidRPr="0079518E">
          <w:rPr>
            <w:rStyle w:val="Hyperlink"/>
            <w:rFonts w:cs="Times New Roman"/>
            <w:szCs w:val="24"/>
            <w:lang w:bidi="bn-IN"/>
          </w:rPr>
          <w:t>The growth potentiality of the two organisations</w:t>
        </w:r>
        <w:r w:rsidR="00CD1495" w:rsidRPr="0079518E">
          <w:rPr>
            <w:webHidden/>
            <w:szCs w:val="24"/>
          </w:rPr>
          <w:tab/>
        </w:r>
        <w:r w:rsidR="00CD1495" w:rsidRPr="0079518E">
          <w:rPr>
            <w:webHidden/>
            <w:szCs w:val="24"/>
          </w:rPr>
          <w:fldChar w:fldCharType="begin"/>
        </w:r>
        <w:r w:rsidR="00CD1495" w:rsidRPr="0079518E">
          <w:rPr>
            <w:webHidden/>
            <w:szCs w:val="24"/>
          </w:rPr>
          <w:instrText xml:space="preserve"> PAGEREF _Toc148728689 \h </w:instrText>
        </w:r>
        <w:r w:rsidR="00CD1495" w:rsidRPr="0079518E">
          <w:rPr>
            <w:webHidden/>
            <w:szCs w:val="24"/>
          </w:rPr>
        </w:r>
        <w:r w:rsidR="00CD1495" w:rsidRPr="0079518E">
          <w:rPr>
            <w:webHidden/>
            <w:szCs w:val="24"/>
          </w:rPr>
          <w:fldChar w:fldCharType="separate"/>
        </w:r>
        <w:r w:rsidR="00CD1495" w:rsidRPr="0079518E">
          <w:rPr>
            <w:webHidden/>
            <w:szCs w:val="24"/>
          </w:rPr>
          <w:t>8</w:t>
        </w:r>
        <w:r w:rsidR="00CD1495" w:rsidRPr="0079518E">
          <w:rPr>
            <w:webHidden/>
            <w:szCs w:val="24"/>
          </w:rPr>
          <w:fldChar w:fldCharType="end"/>
        </w:r>
      </w:hyperlink>
    </w:p>
    <w:p w14:paraId="700D5094" w14:textId="77777777" w:rsidR="00CD1495" w:rsidRPr="0079518E" w:rsidRDefault="00000000" w:rsidP="00CD1495">
      <w:pPr>
        <w:pStyle w:val="TOC1"/>
        <w:tabs>
          <w:tab w:val="right" w:leader="dot" w:pos="9010"/>
        </w:tabs>
        <w:rPr>
          <w:rFonts w:asciiTheme="minorHAnsi" w:eastAsiaTheme="minorEastAsia" w:hAnsiTheme="minorHAnsi" w:cstheme="minorBidi"/>
          <w:kern w:val="0"/>
          <w:szCs w:val="24"/>
          <w:lang w:eastAsia="en-GB" w:bidi="ar-SA"/>
        </w:rPr>
      </w:pPr>
      <w:hyperlink w:anchor="_Toc148728690" w:history="1">
        <w:r w:rsidR="00CD1495" w:rsidRPr="0079518E">
          <w:rPr>
            <w:rStyle w:val="Hyperlink"/>
            <w:rFonts w:cs="Times New Roman"/>
            <w:szCs w:val="24"/>
            <w:lang w:bidi="bn-IN"/>
          </w:rPr>
          <w:t>The organisations’ financial commitment to CSR initiatives</w:t>
        </w:r>
        <w:r w:rsidR="00CD1495" w:rsidRPr="0079518E">
          <w:rPr>
            <w:webHidden/>
            <w:szCs w:val="24"/>
          </w:rPr>
          <w:tab/>
        </w:r>
        <w:r w:rsidR="00CD1495" w:rsidRPr="0079518E">
          <w:rPr>
            <w:webHidden/>
            <w:szCs w:val="24"/>
          </w:rPr>
          <w:fldChar w:fldCharType="begin"/>
        </w:r>
        <w:r w:rsidR="00CD1495" w:rsidRPr="0079518E">
          <w:rPr>
            <w:webHidden/>
            <w:szCs w:val="24"/>
          </w:rPr>
          <w:instrText xml:space="preserve"> PAGEREF _Toc148728690 \h </w:instrText>
        </w:r>
        <w:r w:rsidR="00CD1495" w:rsidRPr="0079518E">
          <w:rPr>
            <w:webHidden/>
            <w:szCs w:val="24"/>
          </w:rPr>
        </w:r>
        <w:r w:rsidR="00CD1495" w:rsidRPr="0079518E">
          <w:rPr>
            <w:webHidden/>
            <w:szCs w:val="24"/>
          </w:rPr>
          <w:fldChar w:fldCharType="separate"/>
        </w:r>
        <w:r w:rsidR="00CD1495" w:rsidRPr="0079518E">
          <w:rPr>
            <w:webHidden/>
            <w:szCs w:val="24"/>
          </w:rPr>
          <w:t>10</w:t>
        </w:r>
        <w:r w:rsidR="00CD1495" w:rsidRPr="0079518E">
          <w:rPr>
            <w:webHidden/>
            <w:szCs w:val="24"/>
          </w:rPr>
          <w:fldChar w:fldCharType="end"/>
        </w:r>
      </w:hyperlink>
    </w:p>
    <w:p w14:paraId="49D9271D" w14:textId="77777777" w:rsidR="00CD1495" w:rsidRPr="0079518E" w:rsidRDefault="00000000" w:rsidP="00CD1495">
      <w:pPr>
        <w:pStyle w:val="TOC1"/>
        <w:tabs>
          <w:tab w:val="right" w:leader="dot" w:pos="9010"/>
        </w:tabs>
        <w:rPr>
          <w:rFonts w:asciiTheme="minorHAnsi" w:eastAsiaTheme="minorEastAsia" w:hAnsiTheme="minorHAnsi" w:cstheme="minorBidi"/>
          <w:kern w:val="0"/>
          <w:szCs w:val="24"/>
          <w:lang w:eastAsia="en-GB" w:bidi="ar-SA"/>
        </w:rPr>
      </w:pPr>
      <w:hyperlink w:anchor="_Toc148728691" w:history="1">
        <w:r w:rsidR="00CD1495" w:rsidRPr="0079518E">
          <w:rPr>
            <w:rStyle w:val="Hyperlink"/>
            <w:rFonts w:cs="Times New Roman"/>
            <w:szCs w:val="24"/>
            <w:lang w:bidi="bn-IN"/>
          </w:rPr>
          <w:t>Recommendation</w:t>
        </w:r>
        <w:r w:rsidR="00CD1495" w:rsidRPr="0079518E">
          <w:rPr>
            <w:webHidden/>
            <w:szCs w:val="24"/>
          </w:rPr>
          <w:tab/>
        </w:r>
        <w:r w:rsidR="00CD1495" w:rsidRPr="0079518E">
          <w:rPr>
            <w:webHidden/>
            <w:szCs w:val="24"/>
          </w:rPr>
          <w:fldChar w:fldCharType="begin"/>
        </w:r>
        <w:r w:rsidR="00CD1495" w:rsidRPr="0079518E">
          <w:rPr>
            <w:webHidden/>
            <w:szCs w:val="24"/>
          </w:rPr>
          <w:instrText xml:space="preserve"> PAGEREF _Toc148728691 \h </w:instrText>
        </w:r>
        <w:r w:rsidR="00CD1495" w:rsidRPr="0079518E">
          <w:rPr>
            <w:webHidden/>
            <w:szCs w:val="24"/>
          </w:rPr>
        </w:r>
        <w:r w:rsidR="00CD1495" w:rsidRPr="0079518E">
          <w:rPr>
            <w:webHidden/>
            <w:szCs w:val="24"/>
          </w:rPr>
          <w:fldChar w:fldCharType="separate"/>
        </w:r>
        <w:r w:rsidR="00CD1495" w:rsidRPr="0079518E">
          <w:rPr>
            <w:webHidden/>
            <w:szCs w:val="24"/>
          </w:rPr>
          <w:t>12</w:t>
        </w:r>
        <w:r w:rsidR="00CD1495" w:rsidRPr="0079518E">
          <w:rPr>
            <w:webHidden/>
            <w:szCs w:val="24"/>
          </w:rPr>
          <w:fldChar w:fldCharType="end"/>
        </w:r>
      </w:hyperlink>
    </w:p>
    <w:p w14:paraId="2ABE6C5D" w14:textId="77777777" w:rsidR="00CD1495" w:rsidRPr="0079518E" w:rsidRDefault="00000000" w:rsidP="00CD1495">
      <w:pPr>
        <w:pStyle w:val="TOC1"/>
        <w:tabs>
          <w:tab w:val="right" w:leader="dot" w:pos="9010"/>
        </w:tabs>
        <w:rPr>
          <w:rFonts w:asciiTheme="minorHAnsi" w:eastAsiaTheme="minorEastAsia" w:hAnsiTheme="minorHAnsi" w:cstheme="minorBidi"/>
          <w:kern w:val="0"/>
          <w:szCs w:val="24"/>
          <w:lang w:eastAsia="en-GB" w:bidi="ar-SA"/>
        </w:rPr>
      </w:pPr>
      <w:hyperlink w:anchor="_Toc148728692" w:history="1">
        <w:r w:rsidR="00CD1495" w:rsidRPr="0079518E">
          <w:rPr>
            <w:rStyle w:val="Hyperlink"/>
            <w:rFonts w:cs="Times New Roman"/>
            <w:szCs w:val="24"/>
            <w:lang w:bidi="bn-IN"/>
          </w:rPr>
          <w:t>Conclusion</w:t>
        </w:r>
        <w:r w:rsidR="00CD1495" w:rsidRPr="0079518E">
          <w:rPr>
            <w:webHidden/>
            <w:szCs w:val="24"/>
          </w:rPr>
          <w:tab/>
        </w:r>
        <w:r w:rsidR="00CD1495" w:rsidRPr="0079518E">
          <w:rPr>
            <w:webHidden/>
            <w:szCs w:val="24"/>
          </w:rPr>
          <w:fldChar w:fldCharType="begin"/>
        </w:r>
        <w:r w:rsidR="00CD1495" w:rsidRPr="0079518E">
          <w:rPr>
            <w:webHidden/>
            <w:szCs w:val="24"/>
          </w:rPr>
          <w:instrText xml:space="preserve"> PAGEREF _Toc148728692 \h </w:instrText>
        </w:r>
        <w:r w:rsidR="00CD1495" w:rsidRPr="0079518E">
          <w:rPr>
            <w:webHidden/>
            <w:szCs w:val="24"/>
          </w:rPr>
        </w:r>
        <w:r w:rsidR="00CD1495" w:rsidRPr="0079518E">
          <w:rPr>
            <w:webHidden/>
            <w:szCs w:val="24"/>
          </w:rPr>
          <w:fldChar w:fldCharType="separate"/>
        </w:r>
        <w:r w:rsidR="00CD1495" w:rsidRPr="0079518E">
          <w:rPr>
            <w:webHidden/>
            <w:szCs w:val="24"/>
          </w:rPr>
          <w:t>13</w:t>
        </w:r>
        <w:r w:rsidR="00CD1495" w:rsidRPr="0079518E">
          <w:rPr>
            <w:webHidden/>
            <w:szCs w:val="24"/>
          </w:rPr>
          <w:fldChar w:fldCharType="end"/>
        </w:r>
      </w:hyperlink>
    </w:p>
    <w:p w14:paraId="664FE3AE" w14:textId="77777777" w:rsidR="00CD1495" w:rsidRPr="0079518E" w:rsidRDefault="00000000" w:rsidP="00CD1495">
      <w:pPr>
        <w:pStyle w:val="TOC1"/>
        <w:tabs>
          <w:tab w:val="right" w:leader="dot" w:pos="9010"/>
        </w:tabs>
        <w:rPr>
          <w:rFonts w:asciiTheme="minorHAnsi" w:eastAsiaTheme="minorEastAsia" w:hAnsiTheme="minorHAnsi" w:cstheme="minorBidi"/>
          <w:kern w:val="0"/>
          <w:szCs w:val="24"/>
          <w:lang w:eastAsia="en-GB" w:bidi="ar-SA"/>
        </w:rPr>
      </w:pPr>
      <w:hyperlink w:anchor="_Toc148728693" w:history="1">
        <w:r w:rsidR="00CD1495" w:rsidRPr="0079518E">
          <w:rPr>
            <w:rStyle w:val="Hyperlink"/>
            <w:rFonts w:cs="Times New Roman"/>
            <w:szCs w:val="24"/>
            <w:lang w:bidi="bn-IN"/>
          </w:rPr>
          <w:t>Reference</w:t>
        </w:r>
        <w:r w:rsidR="00CD1495" w:rsidRPr="0079518E">
          <w:rPr>
            <w:webHidden/>
            <w:szCs w:val="24"/>
          </w:rPr>
          <w:tab/>
        </w:r>
        <w:r w:rsidR="00CD1495" w:rsidRPr="0079518E">
          <w:rPr>
            <w:webHidden/>
            <w:szCs w:val="24"/>
          </w:rPr>
          <w:fldChar w:fldCharType="begin"/>
        </w:r>
        <w:r w:rsidR="00CD1495" w:rsidRPr="0079518E">
          <w:rPr>
            <w:webHidden/>
            <w:szCs w:val="24"/>
          </w:rPr>
          <w:instrText xml:space="preserve"> PAGEREF _Toc148728693 \h </w:instrText>
        </w:r>
        <w:r w:rsidR="00CD1495" w:rsidRPr="0079518E">
          <w:rPr>
            <w:webHidden/>
            <w:szCs w:val="24"/>
          </w:rPr>
        </w:r>
        <w:r w:rsidR="00CD1495" w:rsidRPr="0079518E">
          <w:rPr>
            <w:webHidden/>
            <w:szCs w:val="24"/>
          </w:rPr>
          <w:fldChar w:fldCharType="separate"/>
        </w:r>
        <w:r w:rsidR="00CD1495" w:rsidRPr="0079518E">
          <w:rPr>
            <w:webHidden/>
            <w:szCs w:val="24"/>
          </w:rPr>
          <w:t>14</w:t>
        </w:r>
        <w:r w:rsidR="00CD1495" w:rsidRPr="0079518E">
          <w:rPr>
            <w:webHidden/>
            <w:szCs w:val="24"/>
          </w:rPr>
          <w:fldChar w:fldCharType="end"/>
        </w:r>
      </w:hyperlink>
    </w:p>
    <w:p w14:paraId="21DE7762" w14:textId="77777777" w:rsidR="00CD1495" w:rsidRPr="0079518E" w:rsidRDefault="00CD1495" w:rsidP="00CD1495">
      <w:pPr>
        <w:rPr>
          <w:rFonts w:cs="Times New Roman"/>
          <w:szCs w:val="24"/>
        </w:rPr>
      </w:pPr>
      <w:r w:rsidRPr="0079518E">
        <w:rPr>
          <w:rFonts w:cs="Times New Roman"/>
          <w:b/>
          <w:bCs/>
          <w:szCs w:val="24"/>
        </w:rPr>
        <w:fldChar w:fldCharType="end"/>
      </w:r>
    </w:p>
    <w:p w14:paraId="6E96B707" w14:textId="77777777" w:rsidR="00CD1495" w:rsidRPr="0079518E" w:rsidRDefault="00CD1495" w:rsidP="00CD1495">
      <w:pPr>
        <w:spacing w:line="480" w:lineRule="auto"/>
        <w:rPr>
          <w:rFonts w:cs="Times New Roman"/>
          <w:szCs w:val="24"/>
          <w:lang w:bidi="ar-SA"/>
        </w:rPr>
      </w:pPr>
    </w:p>
    <w:p w14:paraId="26F86BE0" w14:textId="77777777" w:rsidR="00CD1495" w:rsidRPr="0079518E" w:rsidRDefault="00CD1495" w:rsidP="00CD1495">
      <w:pPr>
        <w:rPr>
          <w:rFonts w:eastAsia="SimSun" w:cs="Times New Roman"/>
          <w:szCs w:val="24"/>
          <w:lang w:bidi="ar-SA"/>
        </w:rPr>
      </w:pPr>
      <w:r w:rsidRPr="0079518E">
        <w:rPr>
          <w:rFonts w:cs="Times New Roman"/>
          <w:szCs w:val="24"/>
          <w:lang w:bidi="ar-SA"/>
        </w:rPr>
        <w:br w:type="page"/>
      </w:r>
    </w:p>
    <w:p w14:paraId="234F2C3F" w14:textId="77777777" w:rsidR="00CD1495" w:rsidRPr="0079518E" w:rsidRDefault="00CD1495" w:rsidP="00CD1495">
      <w:pPr>
        <w:pStyle w:val="Heading1"/>
        <w:rPr>
          <w:rFonts w:cs="Times New Roman"/>
          <w:sz w:val="24"/>
          <w:szCs w:val="24"/>
          <w:lang w:bidi="ar-SA"/>
        </w:rPr>
      </w:pPr>
      <w:bookmarkStart w:id="0" w:name="_Toc148205848"/>
      <w:bookmarkStart w:id="1" w:name="_Toc148728686"/>
      <w:r w:rsidRPr="0079518E">
        <w:rPr>
          <w:rFonts w:cs="Times New Roman"/>
          <w:sz w:val="24"/>
          <w:szCs w:val="24"/>
          <w:lang w:bidi="ar-SA"/>
        </w:rPr>
        <w:lastRenderedPageBreak/>
        <w:t>Introduction</w:t>
      </w:r>
      <w:bookmarkEnd w:id="0"/>
      <w:bookmarkEnd w:id="1"/>
      <w:r w:rsidRPr="0079518E">
        <w:rPr>
          <w:rFonts w:cs="Times New Roman"/>
          <w:sz w:val="24"/>
          <w:szCs w:val="24"/>
          <w:lang w:bidi="ar-SA"/>
        </w:rPr>
        <w:t xml:space="preserve"> </w:t>
      </w:r>
    </w:p>
    <w:p w14:paraId="2F612562" w14:textId="77777777" w:rsidR="00CD1495" w:rsidRPr="0079518E" w:rsidRDefault="00CD1495" w:rsidP="00CD1495">
      <w:pPr>
        <w:rPr>
          <w:rFonts w:cs="Times New Roman"/>
          <w:szCs w:val="24"/>
          <w:lang w:bidi="bn-IN"/>
        </w:rPr>
      </w:pPr>
      <w:r w:rsidRPr="0079518E">
        <w:rPr>
          <w:rFonts w:cs="Times New Roman"/>
          <w:szCs w:val="24"/>
          <w:lang w:bidi="bn-IN"/>
        </w:rPr>
        <w:t xml:space="preserve">This extensive analysis dives into the strategic and financial aspects of Mandarin Oriental Hotel Group and Premier Inn within the context of the ever-changing landscape of the hospitality industry. After we have unpacked their respective market positions, we will investigate the potential for growth that each company possesses, and then we will do an in-depth analysis of the financial commitments that each company has made to various corporate social responsibility (CSR) programs. As we move through their individual journeys, which might range from cultural authenticity and luxury to flexibility and resiliency, the story will culminate with recommendations that are well-reasoned and specifically customized to the capabilities and prospects of each firm. This analysis tries to provide deep insights into the strategic imperatives and financial </w:t>
      </w:r>
      <w:proofErr w:type="spellStart"/>
      <w:r w:rsidRPr="0079518E">
        <w:rPr>
          <w:rFonts w:cs="Times New Roman"/>
          <w:szCs w:val="24"/>
          <w:lang w:bidi="bn-IN"/>
        </w:rPr>
        <w:t>endeavors</w:t>
      </w:r>
      <w:proofErr w:type="spellEnd"/>
      <w:r w:rsidRPr="0079518E">
        <w:rPr>
          <w:rFonts w:cs="Times New Roman"/>
          <w:szCs w:val="24"/>
          <w:lang w:bidi="bn-IN"/>
        </w:rPr>
        <w:t xml:space="preserve"> that are driving these titans in the hotel industry.</w:t>
      </w:r>
    </w:p>
    <w:p w14:paraId="3CE3F8CB" w14:textId="77777777" w:rsidR="00CD1495" w:rsidRPr="0079518E" w:rsidRDefault="00CD1495" w:rsidP="00CD1495">
      <w:pPr>
        <w:rPr>
          <w:rFonts w:cs="Times New Roman"/>
          <w:szCs w:val="24"/>
          <w:lang w:bidi="bn-IN"/>
        </w:rPr>
      </w:pPr>
    </w:p>
    <w:p w14:paraId="10CC5592" w14:textId="77777777" w:rsidR="00CD1495" w:rsidRPr="0079518E" w:rsidRDefault="00CD1495" w:rsidP="00CD1495">
      <w:pPr>
        <w:rPr>
          <w:rFonts w:cs="Times New Roman"/>
          <w:szCs w:val="24"/>
          <w:lang w:bidi="bn-IN"/>
        </w:rPr>
      </w:pPr>
    </w:p>
    <w:p w14:paraId="09FB8301" w14:textId="77777777" w:rsidR="00CD1495" w:rsidRPr="0079518E" w:rsidRDefault="00CD1495" w:rsidP="00CD1495">
      <w:pPr>
        <w:rPr>
          <w:rFonts w:cs="Times New Roman"/>
          <w:szCs w:val="24"/>
          <w:lang w:bidi="bn-IN"/>
        </w:rPr>
      </w:pPr>
    </w:p>
    <w:p w14:paraId="10DD8359" w14:textId="77777777" w:rsidR="00CD1495" w:rsidRPr="0079518E" w:rsidRDefault="00CD1495" w:rsidP="00CD1495">
      <w:pPr>
        <w:rPr>
          <w:rFonts w:cs="Times New Roman"/>
          <w:szCs w:val="24"/>
          <w:lang w:bidi="bn-IN"/>
        </w:rPr>
      </w:pPr>
    </w:p>
    <w:p w14:paraId="1D04B9D6" w14:textId="77777777" w:rsidR="00CD1495" w:rsidRPr="0079518E" w:rsidRDefault="00CD1495" w:rsidP="00CD1495">
      <w:pPr>
        <w:rPr>
          <w:rFonts w:cs="Times New Roman"/>
          <w:szCs w:val="24"/>
          <w:lang w:bidi="bn-IN"/>
        </w:rPr>
      </w:pPr>
    </w:p>
    <w:p w14:paraId="595A0BAD" w14:textId="77777777" w:rsidR="00CD1495" w:rsidRPr="0079518E" w:rsidRDefault="00CD1495" w:rsidP="00CD1495">
      <w:pPr>
        <w:rPr>
          <w:rFonts w:cs="Times New Roman"/>
          <w:szCs w:val="24"/>
          <w:lang w:bidi="bn-IN"/>
        </w:rPr>
      </w:pPr>
    </w:p>
    <w:p w14:paraId="6E7EC9E1" w14:textId="77777777" w:rsidR="00CD1495" w:rsidRPr="0079518E" w:rsidRDefault="00CD1495" w:rsidP="00CD1495">
      <w:pPr>
        <w:rPr>
          <w:rFonts w:cs="Times New Roman"/>
          <w:szCs w:val="24"/>
          <w:lang w:bidi="bn-IN"/>
        </w:rPr>
      </w:pPr>
    </w:p>
    <w:p w14:paraId="1113BB5F" w14:textId="77777777" w:rsidR="00CD1495" w:rsidRPr="0079518E" w:rsidRDefault="00CD1495" w:rsidP="00CD1495">
      <w:pPr>
        <w:rPr>
          <w:rFonts w:cs="Times New Roman"/>
          <w:szCs w:val="24"/>
          <w:lang w:bidi="bn-IN"/>
        </w:rPr>
      </w:pPr>
    </w:p>
    <w:p w14:paraId="3D07DE17" w14:textId="77777777" w:rsidR="00CD1495" w:rsidRPr="0079518E" w:rsidRDefault="00CD1495" w:rsidP="00CD1495">
      <w:pPr>
        <w:rPr>
          <w:rFonts w:cs="Times New Roman"/>
          <w:szCs w:val="24"/>
          <w:lang w:bidi="bn-IN"/>
        </w:rPr>
      </w:pPr>
    </w:p>
    <w:p w14:paraId="71DFE322" w14:textId="77777777" w:rsidR="00CD1495" w:rsidRPr="0079518E" w:rsidRDefault="00CD1495" w:rsidP="00CD1495">
      <w:pPr>
        <w:rPr>
          <w:rFonts w:cs="Times New Roman"/>
          <w:szCs w:val="24"/>
          <w:lang w:bidi="bn-IN"/>
        </w:rPr>
      </w:pPr>
    </w:p>
    <w:p w14:paraId="351973D5" w14:textId="77777777" w:rsidR="00CD1495" w:rsidRPr="0079518E" w:rsidRDefault="00CD1495" w:rsidP="00CD1495">
      <w:pPr>
        <w:rPr>
          <w:rFonts w:cs="Times New Roman"/>
          <w:szCs w:val="24"/>
          <w:lang w:bidi="bn-IN"/>
        </w:rPr>
      </w:pPr>
    </w:p>
    <w:p w14:paraId="2C7D7C2F" w14:textId="77777777" w:rsidR="00CD1495" w:rsidRPr="0079518E" w:rsidRDefault="00CD1495" w:rsidP="00CD1495">
      <w:pPr>
        <w:rPr>
          <w:rFonts w:cs="Times New Roman"/>
          <w:szCs w:val="24"/>
          <w:lang w:bidi="bn-IN"/>
        </w:rPr>
      </w:pPr>
    </w:p>
    <w:p w14:paraId="6511EDB0" w14:textId="77777777" w:rsidR="00CD1495" w:rsidRPr="0079518E" w:rsidRDefault="00CD1495" w:rsidP="00CD1495">
      <w:pPr>
        <w:rPr>
          <w:rFonts w:cs="Times New Roman"/>
          <w:szCs w:val="24"/>
          <w:lang w:bidi="bn-IN"/>
        </w:rPr>
      </w:pPr>
    </w:p>
    <w:p w14:paraId="7BD8783D" w14:textId="77777777" w:rsidR="00CD1495" w:rsidRPr="0079518E" w:rsidRDefault="00CD1495" w:rsidP="00CD1495">
      <w:pPr>
        <w:pStyle w:val="Heading1"/>
        <w:rPr>
          <w:rFonts w:cs="Times New Roman"/>
          <w:sz w:val="24"/>
          <w:szCs w:val="24"/>
          <w:lang w:bidi="bn-IN"/>
        </w:rPr>
      </w:pPr>
    </w:p>
    <w:p w14:paraId="3A89AD4D" w14:textId="77777777" w:rsidR="00CD1495" w:rsidRPr="0079518E" w:rsidRDefault="00CD1495" w:rsidP="00CD1495">
      <w:pPr>
        <w:pStyle w:val="Heading1"/>
        <w:rPr>
          <w:rFonts w:cs="Times New Roman"/>
          <w:sz w:val="24"/>
          <w:szCs w:val="24"/>
          <w:lang w:bidi="bn-IN"/>
        </w:rPr>
      </w:pPr>
      <w:r w:rsidRPr="0079518E">
        <w:rPr>
          <w:rFonts w:cs="Times New Roman"/>
          <w:sz w:val="24"/>
          <w:szCs w:val="24"/>
          <w:lang w:bidi="bn-IN"/>
        </w:rPr>
        <w:br w:type="page"/>
      </w:r>
      <w:bookmarkStart w:id="2" w:name="_Toc148728687"/>
      <w:r w:rsidRPr="0079518E">
        <w:rPr>
          <w:rFonts w:cs="Times New Roman"/>
          <w:sz w:val="24"/>
          <w:szCs w:val="24"/>
          <w:lang w:bidi="bn-IN"/>
        </w:rPr>
        <w:lastRenderedPageBreak/>
        <w:t>Analysis and comparison of total revenue of both organisations</w:t>
      </w:r>
      <w:bookmarkEnd w:id="2"/>
    </w:p>
    <w:p w14:paraId="4ECA479A" w14:textId="77777777" w:rsidR="00CD1495" w:rsidRPr="0079518E" w:rsidRDefault="00CD1495" w:rsidP="00CD1495">
      <w:pPr>
        <w:rPr>
          <w:rFonts w:cs="Times New Roman"/>
          <w:b/>
          <w:bCs/>
          <w:szCs w:val="24"/>
          <w:u w:val="single"/>
          <w:lang w:bidi="bn-IN"/>
        </w:rPr>
      </w:pPr>
      <w:r w:rsidRPr="0079518E">
        <w:rPr>
          <w:rFonts w:cs="Times New Roman"/>
          <w:b/>
          <w:bCs/>
          <w:szCs w:val="24"/>
          <w:u w:val="single"/>
          <w:lang w:bidi="bn-IN"/>
        </w:rPr>
        <w:t>Mandarin Oriental Hotel Group: Navigating Post-Pandemic Resurgence</w:t>
      </w:r>
    </w:p>
    <w:p w14:paraId="4129B69D" w14:textId="77777777" w:rsidR="00CD1495" w:rsidRPr="0079518E" w:rsidRDefault="00CD1495" w:rsidP="00CD1495">
      <w:pPr>
        <w:rPr>
          <w:rFonts w:cs="Times New Roman"/>
          <w:szCs w:val="24"/>
          <w:lang w:bidi="bn-IN"/>
        </w:rPr>
      </w:pPr>
      <w:r w:rsidRPr="0079518E">
        <w:rPr>
          <w:rFonts w:cs="Times New Roman"/>
          <w:b/>
          <w:bCs/>
          <w:szCs w:val="24"/>
          <w:lang w:bidi="bn-IN"/>
        </w:rPr>
        <w:t>Overview and Revenue Trends</w:t>
      </w:r>
    </w:p>
    <w:p w14:paraId="784F6C70" w14:textId="77777777" w:rsidR="00CD1495" w:rsidRPr="0079518E" w:rsidRDefault="00CD1495" w:rsidP="00CD1495">
      <w:pPr>
        <w:rPr>
          <w:rFonts w:cs="Times New Roman"/>
          <w:szCs w:val="24"/>
          <w:lang w:bidi="bn-IN"/>
        </w:rPr>
      </w:pPr>
      <w:r w:rsidRPr="0079518E">
        <w:rPr>
          <w:rFonts w:cs="Times New Roman"/>
          <w:szCs w:val="24"/>
          <w:lang w:bidi="bn-IN"/>
        </w:rPr>
        <w:t>After the global epidemic, the Mandarin Oriental Hotel Group recovered in 2022. The group's revenue showed this. The Group's business rebounded dramatically when travel restrictions were lifted in several regions in the first quarter. The revenue of all hotels under administration reached an all-time high of $1.6 billion, up 18% from 2019 before the epidemic (Mandarin Oriental Hotel Group, 2022).</w:t>
      </w:r>
    </w:p>
    <w:p w14:paraId="1A0008DD" w14:textId="77777777" w:rsidR="00CD1495" w:rsidRPr="0079518E" w:rsidRDefault="00CD1495" w:rsidP="00CD1495">
      <w:pPr>
        <w:rPr>
          <w:rFonts w:cs="Times New Roman"/>
          <w:b/>
          <w:bCs/>
          <w:szCs w:val="24"/>
          <w:lang w:bidi="bn-IN"/>
        </w:rPr>
      </w:pPr>
      <w:r w:rsidRPr="0079518E">
        <w:rPr>
          <w:rFonts w:cs="Times New Roman"/>
          <w:b/>
          <w:bCs/>
          <w:szCs w:val="24"/>
          <w:lang w:bidi="bn-IN"/>
        </w:rPr>
        <w:t>Digital Transformation and Guest Recognition</w:t>
      </w:r>
    </w:p>
    <w:p w14:paraId="0E60C9A6" w14:textId="77777777" w:rsidR="00CD1495" w:rsidRPr="0079518E" w:rsidRDefault="00CD1495" w:rsidP="00CD1495">
      <w:pPr>
        <w:rPr>
          <w:rFonts w:cs="Times New Roman"/>
          <w:szCs w:val="24"/>
          <w:lang w:bidi="bn-IN"/>
        </w:rPr>
      </w:pPr>
      <w:r w:rsidRPr="0079518E">
        <w:rPr>
          <w:rFonts w:cs="Times New Roman"/>
          <w:szCs w:val="24"/>
          <w:lang w:bidi="bn-IN"/>
        </w:rPr>
        <w:t>A highlight of 2022 was the relaunch of mandarinoriental.com, which focused on improving digital visitor experiences and digital sales channels. Their efforts paid off as Fans of M.O., a guest recognition program with over 1.4 million members, expanded. The launch of Mandarin Oriental Exclusive Homes, a select collection of luxury private homes, further enhanced their prominence. The Group is also thrilled to announce that it has reduced single-use plastics across its product line by 99%, aligning with sustainable business practices (Mandarin Oriental Hotel Group, 2023).</w:t>
      </w:r>
    </w:p>
    <w:p w14:paraId="3224A419" w14:textId="77777777" w:rsidR="00CD1495" w:rsidRPr="0079518E" w:rsidRDefault="00CD1495" w:rsidP="00CD1495">
      <w:pPr>
        <w:rPr>
          <w:rFonts w:cs="Times New Roman"/>
          <w:b/>
          <w:bCs/>
          <w:szCs w:val="24"/>
          <w:lang w:bidi="bn-IN"/>
        </w:rPr>
      </w:pPr>
      <w:r w:rsidRPr="0079518E">
        <w:rPr>
          <w:rFonts w:cs="Times New Roman"/>
          <w:b/>
          <w:bCs/>
          <w:szCs w:val="24"/>
          <w:lang w:bidi="bn-IN"/>
        </w:rPr>
        <w:t>2022 Performance</w:t>
      </w:r>
    </w:p>
    <w:p w14:paraId="42B80ECD" w14:textId="77777777" w:rsidR="00CD1495" w:rsidRPr="0079518E" w:rsidRDefault="00CD1495" w:rsidP="00CD1495">
      <w:pPr>
        <w:rPr>
          <w:rFonts w:cs="Times New Roman"/>
          <w:szCs w:val="24"/>
          <w:lang w:bidi="bn-IN"/>
        </w:rPr>
      </w:pPr>
      <w:r w:rsidRPr="0079518E">
        <w:rPr>
          <w:rFonts w:cs="Times New Roman"/>
          <w:szCs w:val="24"/>
          <w:lang w:bidi="bn-IN"/>
        </w:rPr>
        <w:t>The Mandarin Oriental Hotel Group had one of its best years financially in 2022. After global travel restrictions were lifted, demand and occupancy increased for the Group. Europe, the Middle East, and Africa (EMEA) and the Americas exceeded expectations, setting room rate records and revenue per available room. Profit per available room in EMEA rose 45% from 2021 to $564, up 22% from 2019. In the US, the average income per available room rose 50% to $397 from 2021. However, extended travel restrictions in China and Japan slowed hotel recovery (Mandarin Oriental Hotel Group, 2023).</w:t>
      </w:r>
    </w:p>
    <w:p w14:paraId="2A1C9F66" w14:textId="77777777" w:rsidR="00CD1495" w:rsidRPr="0079518E" w:rsidRDefault="00CD1495" w:rsidP="00CD1495">
      <w:pPr>
        <w:rPr>
          <w:rFonts w:cs="Times New Roman"/>
          <w:b/>
          <w:bCs/>
          <w:szCs w:val="24"/>
          <w:lang w:bidi="bn-IN"/>
        </w:rPr>
      </w:pPr>
      <w:r w:rsidRPr="0079518E">
        <w:rPr>
          <w:rFonts w:cs="Times New Roman"/>
          <w:b/>
          <w:bCs/>
          <w:szCs w:val="24"/>
          <w:lang w:bidi="bn-IN"/>
        </w:rPr>
        <w:t>Sources of Revenue</w:t>
      </w:r>
    </w:p>
    <w:p w14:paraId="271BC620" w14:textId="77777777" w:rsidR="00CD1495" w:rsidRPr="0079518E" w:rsidRDefault="00CD1495" w:rsidP="00CD1495">
      <w:pPr>
        <w:rPr>
          <w:rFonts w:cs="Times New Roman"/>
          <w:szCs w:val="24"/>
          <w:lang w:bidi="bn-IN"/>
        </w:rPr>
      </w:pPr>
      <w:r w:rsidRPr="0079518E">
        <w:rPr>
          <w:rFonts w:cs="Times New Roman"/>
          <w:szCs w:val="24"/>
          <w:lang w:bidi="bn-IN"/>
        </w:rPr>
        <w:t>The Group earned money from hotel ownership, branding and management, and management. These divisions earned $454,1 million. The Group's concentration on operating and branding hotels and houses contributed to a diverse income stream (Mandarin Oriental Hotel Group, 2023).</w:t>
      </w:r>
    </w:p>
    <w:p w14:paraId="6F8C8AB2" w14:textId="77777777" w:rsidR="00CD1495" w:rsidRPr="0079518E" w:rsidRDefault="00CD1495" w:rsidP="00CD1495">
      <w:pPr>
        <w:rPr>
          <w:rFonts w:cs="Times New Roman"/>
          <w:b/>
          <w:bCs/>
          <w:szCs w:val="24"/>
          <w:u w:val="single"/>
          <w:lang w:bidi="bn-IN"/>
        </w:rPr>
      </w:pPr>
      <w:r w:rsidRPr="0079518E">
        <w:rPr>
          <w:rFonts w:cs="Times New Roman"/>
          <w:b/>
          <w:bCs/>
          <w:szCs w:val="24"/>
          <w:u w:val="single"/>
          <w:lang w:bidi="bn-IN"/>
        </w:rPr>
        <w:t>Premier Inn: Rebounding Strongly in the UK and Germany</w:t>
      </w:r>
    </w:p>
    <w:p w14:paraId="7DB1BD08" w14:textId="77777777" w:rsidR="00CD1495" w:rsidRPr="0079518E" w:rsidRDefault="00CD1495" w:rsidP="00CD1495">
      <w:pPr>
        <w:rPr>
          <w:rFonts w:cs="Times New Roman"/>
          <w:szCs w:val="24"/>
          <w:lang w:bidi="bn-IN"/>
        </w:rPr>
      </w:pPr>
      <w:r w:rsidRPr="0079518E">
        <w:rPr>
          <w:rFonts w:cs="Times New Roman"/>
          <w:b/>
          <w:bCs/>
          <w:szCs w:val="24"/>
          <w:lang w:bidi="bn-IN"/>
        </w:rPr>
        <w:lastRenderedPageBreak/>
        <w:t>2021/22 Financial Performance</w:t>
      </w:r>
    </w:p>
    <w:p w14:paraId="26ADCB2D" w14:textId="77777777" w:rsidR="00CD1495" w:rsidRPr="0079518E" w:rsidRDefault="00CD1495" w:rsidP="00CD1495">
      <w:pPr>
        <w:rPr>
          <w:rFonts w:cs="Times New Roman"/>
          <w:szCs w:val="24"/>
          <w:lang w:bidi="bn-IN"/>
        </w:rPr>
      </w:pPr>
      <w:r w:rsidRPr="0079518E">
        <w:rPr>
          <w:rFonts w:cs="Times New Roman"/>
          <w:szCs w:val="24"/>
          <w:lang w:bidi="bn-IN"/>
        </w:rPr>
        <w:t>In 2021/22, Premier Inn returned to profitability with a huge bounce. The company recovered well as its adjusted loss before tax dropped to £15.8 million from £635.1 million the year before. Statutory revenues rose 189% year-over-year, demonstrating the income recovery (Premier Inn, 2022).</w:t>
      </w:r>
    </w:p>
    <w:p w14:paraId="74584D25" w14:textId="77777777" w:rsidR="00CD1495" w:rsidRPr="0079518E" w:rsidRDefault="00CD1495" w:rsidP="00CD1495">
      <w:pPr>
        <w:rPr>
          <w:rFonts w:cs="Times New Roman"/>
          <w:b/>
          <w:bCs/>
          <w:szCs w:val="24"/>
          <w:lang w:bidi="bn-IN"/>
        </w:rPr>
      </w:pPr>
      <w:r w:rsidRPr="0079518E">
        <w:rPr>
          <w:rFonts w:cs="Times New Roman"/>
          <w:b/>
          <w:bCs/>
          <w:szCs w:val="24"/>
          <w:lang w:bidi="bn-IN"/>
        </w:rPr>
        <w:t>Revenue Performance</w:t>
      </w:r>
    </w:p>
    <w:p w14:paraId="7A946F70" w14:textId="77777777" w:rsidR="00CD1495" w:rsidRPr="0079518E" w:rsidRDefault="00CD1495" w:rsidP="00CD1495">
      <w:pPr>
        <w:rPr>
          <w:rFonts w:cs="Times New Roman"/>
          <w:szCs w:val="24"/>
          <w:lang w:bidi="bn-IN"/>
        </w:rPr>
      </w:pPr>
      <w:r w:rsidRPr="0079518E">
        <w:rPr>
          <w:rFonts w:cs="Times New Roman"/>
          <w:szCs w:val="24"/>
          <w:lang w:bidi="bn-IN"/>
        </w:rPr>
        <w:t>Premier Inn's strong revenue performance was driven by strong sales, government backing, and adjustments. This produced a small statutory profit before tax, a big improvement over the previous year's massive loss. The company is optimistic that it will return to pre-pandemic UK earnings levels and margins despite present difficulties and inflationary cost pressures (Premier Inn, 2023).</w:t>
      </w:r>
    </w:p>
    <w:p w14:paraId="2B840437" w14:textId="77777777" w:rsidR="00CD1495" w:rsidRPr="0079518E" w:rsidRDefault="00CD1495" w:rsidP="00CD1495">
      <w:pPr>
        <w:rPr>
          <w:rFonts w:cs="Times New Roman"/>
          <w:b/>
          <w:bCs/>
          <w:szCs w:val="24"/>
          <w:lang w:bidi="bn-IN"/>
        </w:rPr>
      </w:pPr>
      <w:r w:rsidRPr="0079518E">
        <w:rPr>
          <w:rFonts w:cs="Times New Roman"/>
          <w:b/>
          <w:bCs/>
          <w:szCs w:val="24"/>
          <w:lang w:bidi="bn-IN"/>
        </w:rPr>
        <w:t>Sources of Revenue</w:t>
      </w:r>
    </w:p>
    <w:p w14:paraId="02A27472" w14:textId="77777777" w:rsidR="00CD1495" w:rsidRPr="0079518E" w:rsidRDefault="00CD1495" w:rsidP="00CD1495">
      <w:pPr>
        <w:rPr>
          <w:rFonts w:cs="Times New Roman"/>
          <w:szCs w:val="24"/>
          <w:lang w:bidi="bn-IN"/>
        </w:rPr>
      </w:pPr>
      <w:r w:rsidRPr="0079518E">
        <w:rPr>
          <w:rFonts w:cs="Times New Roman"/>
          <w:szCs w:val="24"/>
          <w:lang w:bidi="bn-IN"/>
        </w:rPr>
        <w:t>Premier Inn made most of its money from lodging, food, and drink. Other revenue sources included miscellaneous. Revenue of $1,703.4 million showed a broad income source. The estate's quick growth drove a 176.5% increase in accommodation sales revenue in 2020/21. Food, beverage, and other commodities contributed heavily due to a comprehensive fundraising effort (Premier Inn, 2022).</w:t>
      </w:r>
    </w:p>
    <w:p w14:paraId="2D59F150" w14:textId="77777777" w:rsidR="00CD1495" w:rsidRPr="0079518E" w:rsidRDefault="00CD1495" w:rsidP="00CD1495">
      <w:pPr>
        <w:rPr>
          <w:rFonts w:cs="Times New Roman"/>
          <w:szCs w:val="24"/>
          <w:lang w:bidi="bn-IN"/>
        </w:rPr>
      </w:pPr>
      <w:r w:rsidRPr="0079518E">
        <w:rPr>
          <w:rFonts w:cs="Times New Roman"/>
          <w:b/>
          <w:bCs/>
          <w:szCs w:val="24"/>
          <w:u w:val="single"/>
          <w:lang w:bidi="bn-IN"/>
        </w:rPr>
        <w:t>Comparative Analysis:</w:t>
      </w:r>
    </w:p>
    <w:p w14:paraId="6E8B50DF" w14:textId="77777777" w:rsidR="00CD1495" w:rsidRPr="0079518E" w:rsidRDefault="00CD1495" w:rsidP="00CD1495">
      <w:pPr>
        <w:rPr>
          <w:rFonts w:cs="Times New Roman"/>
          <w:szCs w:val="24"/>
          <w:lang w:bidi="bn-IN"/>
        </w:rPr>
      </w:pPr>
      <w:r w:rsidRPr="0079518E">
        <w:rPr>
          <w:rFonts w:cs="Times New Roman"/>
          <w:szCs w:val="24"/>
          <w:lang w:bidi="bn-IN"/>
        </w:rPr>
        <w:t>The Mandarin Oriental Hotel Group and Premier Inn, two prominent hospitality companies, showed different ways for making money and regaining customers following the pandemic. Mandarin Oriental thrived on global luxury travel, strategic digital transformation, and environmental initiatives, while Premier Inn recovered in the UK and German markets with a robust sales comeback and diverse revenue streams. Both organizations had trouble in certain regions because to travel restrictions, demonstrating the complex post-pandemic hospitality scene.</w:t>
      </w:r>
    </w:p>
    <w:p w14:paraId="71AA5E70" w14:textId="77777777" w:rsidR="00CD1495" w:rsidRPr="0079518E" w:rsidRDefault="00CD1495" w:rsidP="00CD1495">
      <w:pPr>
        <w:rPr>
          <w:rFonts w:cs="Times New Roman"/>
          <w:szCs w:val="24"/>
          <w:lang w:bidi="bn-IN"/>
        </w:rPr>
      </w:pPr>
    </w:p>
    <w:p w14:paraId="2FF5F064" w14:textId="77777777" w:rsidR="00CD1495" w:rsidRPr="0079518E" w:rsidRDefault="00CD1495" w:rsidP="00CD1495">
      <w:pPr>
        <w:rPr>
          <w:rFonts w:cs="Times New Roman"/>
          <w:szCs w:val="24"/>
          <w:lang w:bidi="bn-IN"/>
        </w:rPr>
      </w:pPr>
    </w:p>
    <w:p w14:paraId="0913EFFE" w14:textId="77777777" w:rsidR="00CD1495" w:rsidRPr="0079518E" w:rsidRDefault="00CD1495" w:rsidP="00CD1495">
      <w:pPr>
        <w:pStyle w:val="Heading1"/>
        <w:rPr>
          <w:rFonts w:cs="Times New Roman"/>
          <w:sz w:val="24"/>
          <w:szCs w:val="24"/>
          <w:lang w:bidi="bn-IN"/>
        </w:rPr>
      </w:pPr>
      <w:r w:rsidRPr="0079518E">
        <w:rPr>
          <w:rFonts w:cs="Times New Roman"/>
          <w:sz w:val="24"/>
          <w:szCs w:val="24"/>
          <w:lang w:bidi="bn-IN"/>
        </w:rPr>
        <w:br w:type="page"/>
      </w:r>
      <w:bookmarkStart w:id="3" w:name="_Toc148728688"/>
      <w:r w:rsidRPr="0079518E">
        <w:rPr>
          <w:rFonts w:cs="Times New Roman"/>
          <w:sz w:val="24"/>
          <w:szCs w:val="24"/>
          <w:lang w:bidi="bn-IN"/>
        </w:rPr>
        <w:lastRenderedPageBreak/>
        <w:t xml:space="preserve">The market position of both </w:t>
      </w:r>
      <w:bookmarkEnd w:id="3"/>
      <w:r w:rsidRPr="0079518E">
        <w:rPr>
          <w:rFonts w:cs="Times New Roman"/>
          <w:sz w:val="24"/>
          <w:szCs w:val="24"/>
          <w:lang w:bidi="bn-IN"/>
        </w:rPr>
        <w:t xml:space="preserve">Mandarin Oriental </w:t>
      </w:r>
      <w:proofErr w:type="gramStart"/>
      <w:r w:rsidRPr="0079518E">
        <w:rPr>
          <w:rFonts w:cs="Times New Roman"/>
          <w:sz w:val="24"/>
          <w:szCs w:val="24"/>
          <w:lang w:bidi="bn-IN"/>
        </w:rPr>
        <w:t>Hotel  and</w:t>
      </w:r>
      <w:proofErr w:type="gramEnd"/>
      <w:r w:rsidRPr="0079518E">
        <w:rPr>
          <w:rFonts w:cs="Times New Roman"/>
          <w:sz w:val="24"/>
          <w:szCs w:val="24"/>
          <w:lang w:bidi="bn-IN"/>
        </w:rPr>
        <w:t xml:space="preserve"> Premier Inn</w:t>
      </w:r>
    </w:p>
    <w:p w14:paraId="5CEA9792" w14:textId="77777777" w:rsidR="00CD1495" w:rsidRPr="0079518E" w:rsidRDefault="00CD1495" w:rsidP="00CD1495">
      <w:pPr>
        <w:rPr>
          <w:rFonts w:cs="Times New Roman"/>
          <w:b/>
          <w:bCs/>
          <w:szCs w:val="24"/>
          <w:u w:val="single"/>
          <w:lang w:bidi="bn-IN"/>
        </w:rPr>
      </w:pPr>
      <w:r w:rsidRPr="0079518E">
        <w:rPr>
          <w:rFonts w:cs="Times New Roman"/>
          <w:b/>
          <w:bCs/>
          <w:szCs w:val="24"/>
          <w:u w:val="single"/>
          <w:lang w:bidi="bn-IN"/>
        </w:rPr>
        <w:t>Mandarin Oriental Hotel Group's Market Position:</w:t>
      </w:r>
    </w:p>
    <w:p w14:paraId="2EC5B400" w14:textId="77777777" w:rsidR="00CD1495" w:rsidRPr="0079518E" w:rsidRDefault="00CD1495" w:rsidP="00CD1495">
      <w:pPr>
        <w:rPr>
          <w:rFonts w:cs="Times New Roman"/>
          <w:szCs w:val="24"/>
          <w:lang w:bidi="bn-IN"/>
        </w:rPr>
      </w:pPr>
      <w:r w:rsidRPr="0079518E">
        <w:rPr>
          <w:rFonts w:cs="Times New Roman"/>
          <w:szCs w:val="24"/>
          <w:lang w:bidi="bn-IN"/>
        </w:rPr>
        <w:t>Mandarin Oriental Hotel Group is a famous multinational hotel investment and management corporation with a 60-year history. It has been in business for nearly 50 years. The Group's 36 hotels and nine residences in 24 countries and territories demonstrate its global reach. The Group's eastern background and local culture in each hotel's design demonstrate its commitment to high-end hospitality (Mandarin Oriental Hotel Group, 2023).</w:t>
      </w:r>
    </w:p>
    <w:p w14:paraId="7197366B" w14:textId="77777777" w:rsidR="00CD1495" w:rsidRPr="0079518E" w:rsidRDefault="00CD1495" w:rsidP="00CD1495">
      <w:pPr>
        <w:rPr>
          <w:rFonts w:cs="Times New Roman"/>
          <w:b/>
          <w:bCs/>
          <w:szCs w:val="24"/>
          <w:lang w:bidi="bn-IN"/>
        </w:rPr>
      </w:pPr>
      <w:r w:rsidRPr="0079518E">
        <w:rPr>
          <w:rFonts w:cs="Times New Roman"/>
          <w:b/>
          <w:bCs/>
          <w:szCs w:val="24"/>
          <w:lang w:bidi="bn-IN"/>
        </w:rPr>
        <w:t>Market Presence and Global Reach:</w:t>
      </w:r>
    </w:p>
    <w:p w14:paraId="510F9F94" w14:textId="77777777" w:rsidR="00CD1495" w:rsidRPr="0079518E" w:rsidRDefault="00CD1495" w:rsidP="00CD1495">
      <w:pPr>
        <w:rPr>
          <w:rFonts w:cs="Times New Roman"/>
          <w:szCs w:val="24"/>
          <w:lang w:bidi="bn-IN"/>
        </w:rPr>
      </w:pPr>
      <w:r w:rsidRPr="0079518E">
        <w:rPr>
          <w:rFonts w:cs="Times New Roman"/>
          <w:szCs w:val="24"/>
          <w:lang w:bidi="bn-IN"/>
        </w:rPr>
        <w:t>Mandarin Oriental is a major luxury hotel chain due to its global presence. The Group has grown from its Asian roots to become a global brand. It now operates in desired locations worldwide.</w:t>
      </w:r>
    </w:p>
    <w:p w14:paraId="5F69E295" w14:textId="77777777" w:rsidR="00CD1495" w:rsidRPr="0079518E" w:rsidRDefault="00CD1495" w:rsidP="00CD1495">
      <w:pPr>
        <w:rPr>
          <w:rFonts w:cs="Times New Roman"/>
          <w:szCs w:val="24"/>
          <w:lang w:bidi="bn-IN"/>
        </w:rPr>
      </w:pPr>
      <w:r w:rsidRPr="0079518E">
        <w:rPr>
          <w:rFonts w:cs="Times New Roman"/>
          <w:b/>
          <w:bCs/>
          <w:szCs w:val="24"/>
          <w:lang w:bidi="bn-IN"/>
        </w:rPr>
        <w:t>Industry Recognition and Awards:</w:t>
      </w:r>
    </w:p>
    <w:p w14:paraId="7C264498" w14:textId="77777777" w:rsidR="00CD1495" w:rsidRPr="0079518E" w:rsidRDefault="00CD1495" w:rsidP="00CD1495">
      <w:pPr>
        <w:rPr>
          <w:rFonts w:cs="Times New Roman"/>
          <w:szCs w:val="24"/>
          <w:lang w:bidi="bn-IN"/>
        </w:rPr>
      </w:pPr>
      <w:r w:rsidRPr="0079518E">
        <w:rPr>
          <w:rFonts w:cs="Times New Roman"/>
          <w:szCs w:val="24"/>
          <w:lang w:bidi="bn-IN"/>
        </w:rPr>
        <w:t>The Group's consistent industry accolades and awards demonstrate its commitment to excellent service and quality management. This reinforces its leadership in premium hotels, boosting brand perception and attracting discerning customers.</w:t>
      </w:r>
    </w:p>
    <w:p w14:paraId="63226C95" w14:textId="77777777" w:rsidR="00CD1495" w:rsidRPr="0079518E" w:rsidRDefault="00CD1495" w:rsidP="00CD1495">
      <w:pPr>
        <w:rPr>
          <w:rFonts w:cs="Times New Roman"/>
          <w:b/>
          <w:bCs/>
          <w:szCs w:val="24"/>
          <w:lang w:bidi="bn-IN"/>
        </w:rPr>
      </w:pPr>
      <w:r w:rsidRPr="0079518E">
        <w:rPr>
          <w:rFonts w:cs="Times New Roman"/>
          <w:b/>
          <w:bCs/>
          <w:szCs w:val="24"/>
          <w:lang w:bidi="bn-IN"/>
        </w:rPr>
        <w:t xml:space="preserve">Financial Strength and Innovation: </w:t>
      </w:r>
    </w:p>
    <w:p w14:paraId="3AAC8997" w14:textId="77777777" w:rsidR="00CD1495" w:rsidRPr="0079518E" w:rsidRDefault="00CD1495" w:rsidP="00CD1495">
      <w:pPr>
        <w:rPr>
          <w:rFonts w:cs="Times New Roman"/>
          <w:szCs w:val="24"/>
          <w:lang w:bidi="bn-IN"/>
        </w:rPr>
      </w:pPr>
      <w:r w:rsidRPr="0079518E">
        <w:rPr>
          <w:rFonts w:cs="Times New Roman"/>
          <w:szCs w:val="24"/>
          <w:lang w:bidi="bn-IN"/>
        </w:rPr>
        <w:t>With equity holdings in several buildings and adjusted net assets of $4.9 billion, the Mandarin Oriental is financially healthy. As an imaginative leader in premium hospitality, the Group's focus on innovation and judicious expansion matches that reputation.</w:t>
      </w:r>
    </w:p>
    <w:p w14:paraId="08272A32" w14:textId="77777777" w:rsidR="00CD1495" w:rsidRPr="0079518E" w:rsidRDefault="00CD1495" w:rsidP="00CD1495">
      <w:pPr>
        <w:rPr>
          <w:rFonts w:cs="Times New Roman"/>
          <w:b/>
          <w:bCs/>
          <w:szCs w:val="24"/>
          <w:lang w:bidi="bn-IN"/>
        </w:rPr>
      </w:pPr>
      <w:r w:rsidRPr="0079518E">
        <w:rPr>
          <w:rFonts w:cs="Times New Roman"/>
          <w:b/>
          <w:bCs/>
          <w:szCs w:val="24"/>
          <w:lang w:bidi="bn-IN"/>
        </w:rPr>
        <w:t>Stock Exchange Listings:</w:t>
      </w:r>
    </w:p>
    <w:p w14:paraId="618A6673" w14:textId="77777777" w:rsidR="00CD1495" w:rsidRPr="0079518E" w:rsidRDefault="00CD1495" w:rsidP="00CD1495">
      <w:pPr>
        <w:rPr>
          <w:rFonts w:cs="Times New Roman"/>
          <w:szCs w:val="24"/>
          <w:lang w:bidi="bn-IN"/>
        </w:rPr>
      </w:pPr>
      <w:r w:rsidRPr="0079518E">
        <w:rPr>
          <w:rFonts w:cs="Times New Roman"/>
          <w:szCs w:val="24"/>
          <w:lang w:bidi="bn-IN"/>
        </w:rPr>
        <w:t>Mandarin Oriental International Limited, the parent company, is registered in Bermuda and has a primary listing on the London Stock Exchange's standard market. Secondary listings in Bermuda and Singapore demonstrate the Group's commitment to transparency while expanding globally.</w:t>
      </w:r>
    </w:p>
    <w:p w14:paraId="15894304" w14:textId="77777777" w:rsidR="00CD1495" w:rsidRPr="0079518E" w:rsidRDefault="00CD1495" w:rsidP="00CD1495">
      <w:pPr>
        <w:rPr>
          <w:rFonts w:cs="Times New Roman"/>
          <w:szCs w:val="24"/>
          <w:lang w:bidi="bn-IN"/>
        </w:rPr>
      </w:pPr>
      <w:r w:rsidRPr="0079518E">
        <w:rPr>
          <w:rFonts w:cs="Times New Roman"/>
          <w:b/>
          <w:bCs/>
          <w:szCs w:val="24"/>
          <w:u w:val="single"/>
          <w:lang w:bidi="bn-IN"/>
        </w:rPr>
        <w:t>Premier Inn's Market Position:</w:t>
      </w:r>
    </w:p>
    <w:p w14:paraId="4DDC9FE2" w14:textId="77777777" w:rsidR="00CD1495" w:rsidRPr="0079518E" w:rsidRDefault="00CD1495" w:rsidP="00CD1495">
      <w:pPr>
        <w:rPr>
          <w:rFonts w:cs="Times New Roman"/>
          <w:szCs w:val="24"/>
          <w:lang w:bidi="bn-IN"/>
        </w:rPr>
      </w:pPr>
      <w:r w:rsidRPr="0079518E">
        <w:rPr>
          <w:rFonts w:cs="Times New Roman"/>
          <w:szCs w:val="24"/>
          <w:lang w:bidi="bn-IN"/>
        </w:rPr>
        <w:t>Premier Inn is a major UK hospitality player. The corporation prioritizes domestic sales.</w:t>
      </w:r>
    </w:p>
    <w:p w14:paraId="23EE7A1E" w14:textId="77777777" w:rsidR="00CD1495" w:rsidRPr="0079518E" w:rsidRDefault="00CD1495" w:rsidP="00CD1495">
      <w:pPr>
        <w:rPr>
          <w:rFonts w:cs="Times New Roman"/>
          <w:b/>
          <w:bCs/>
          <w:szCs w:val="24"/>
          <w:lang w:bidi="bn-IN"/>
        </w:rPr>
      </w:pPr>
    </w:p>
    <w:p w14:paraId="0ECFA2A6" w14:textId="77777777" w:rsidR="00CD1495" w:rsidRPr="0079518E" w:rsidRDefault="00CD1495" w:rsidP="00CD1495">
      <w:pPr>
        <w:rPr>
          <w:rFonts w:cs="Times New Roman"/>
          <w:b/>
          <w:bCs/>
          <w:szCs w:val="24"/>
          <w:lang w:bidi="bn-IN"/>
        </w:rPr>
      </w:pPr>
    </w:p>
    <w:p w14:paraId="4E9F744C" w14:textId="77777777" w:rsidR="00CD1495" w:rsidRPr="0079518E" w:rsidRDefault="00CD1495" w:rsidP="00CD1495">
      <w:pPr>
        <w:rPr>
          <w:rFonts w:cs="Times New Roman"/>
          <w:szCs w:val="24"/>
          <w:lang w:bidi="bn-IN"/>
        </w:rPr>
      </w:pPr>
      <w:r w:rsidRPr="0079518E">
        <w:rPr>
          <w:rFonts w:cs="Times New Roman"/>
          <w:b/>
          <w:bCs/>
          <w:szCs w:val="24"/>
          <w:lang w:bidi="bn-IN"/>
        </w:rPr>
        <w:lastRenderedPageBreak/>
        <w:t>UK Market Dominance:</w:t>
      </w:r>
    </w:p>
    <w:p w14:paraId="563D7813" w14:textId="77777777" w:rsidR="00CD1495" w:rsidRPr="0079518E" w:rsidRDefault="00CD1495" w:rsidP="00CD1495">
      <w:pPr>
        <w:rPr>
          <w:rFonts w:cs="Times New Roman"/>
          <w:szCs w:val="24"/>
          <w:lang w:bidi="bn-IN"/>
        </w:rPr>
      </w:pPr>
      <w:r w:rsidRPr="0079518E">
        <w:rPr>
          <w:rFonts w:cs="Times New Roman"/>
          <w:szCs w:val="24"/>
          <w:lang w:bidi="bn-IN"/>
        </w:rPr>
        <w:t>Premier Inn dominates the UK market with 10% market share in 2022. This is down from last year's 11% share. This brand is popular in the home market for its affordability and quality (Premier Inn, 2023).</w:t>
      </w:r>
    </w:p>
    <w:p w14:paraId="0F346365" w14:textId="77777777" w:rsidR="00CD1495" w:rsidRPr="0079518E" w:rsidRDefault="00CD1495" w:rsidP="00CD1495">
      <w:pPr>
        <w:rPr>
          <w:rFonts w:cs="Times New Roman"/>
          <w:szCs w:val="24"/>
          <w:lang w:bidi="bn-IN"/>
        </w:rPr>
      </w:pPr>
      <w:r w:rsidRPr="0079518E">
        <w:rPr>
          <w:rFonts w:cs="Times New Roman"/>
          <w:b/>
          <w:bCs/>
          <w:szCs w:val="24"/>
          <w:lang w:bidi="bn-IN"/>
        </w:rPr>
        <w:t xml:space="preserve">Resilience and Recovery: </w:t>
      </w:r>
    </w:p>
    <w:p w14:paraId="67D5E225" w14:textId="77777777" w:rsidR="00CD1495" w:rsidRPr="0079518E" w:rsidRDefault="00CD1495" w:rsidP="00CD1495">
      <w:pPr>
        <w:rPr>
          <w:rFonts w:cs="Times New Roman"/>
          <w:szCs w:val="24"/>
          <w:lang w:bidi="bn-IN"/>
        </w:rPr>
      </w:pPr>
      <w:r w:rsidRPr="0079518E">
        <w:rPr>
          <w:rFonts w:cs="Times New Roman"/>
          <w:szCs w:val="24"/>
          <w:lang w:bidi="bn-IN"/>
        </w:rPr>
        <w:t>Premier Inn's excellent 2021/22 fiscal year rebound shows its adaptability. The corporation recovered from government restrictions and increased UK income after the outbreak (Premier Inn, 2023).</w:t>
      </w:r>
    </w:p>
    <w:p w14:paraId="13519816" w14:textId="77777777" w:rsidR="00CD1495" w:rsidRPr="0079518E" w:rsidRDefault="00CD1495" w:rsidP="00CD1495">
      <w:pPr>
        <w:rPr>
          <w:rFonts w:cs="Times New Roman"/>
          <w:szCs w:val="24"/>
          <w:lang w:bidi="bn-IN"/>
        </w:rPr>
      </w:pPr>
      <w:r w:rsidRPr="0079518E">
        <w:rPr>
          <w:rFonts w:cs="Times New Roman"/>
          <w:b/>
          <w:bCs/>
          <w:szCs w:val="24"/>
          <w:lang w:bidi="bn-IN"/>
        </w:rPr>
        <w:t xml:space="preserve">Stability in Market Share: </w:t>
      </w:r>
      <w:r w:rsidRPr="0079518E">
        <w:rPr>
          <w:rFonts w:cs="Times New Roman"/>
          <w:szCs w:val="24"/>
          <w:lang w:bidi="bn-IN"/>
        </w:rPr>
        <w:t>Premier Inn's UK presence suggests stability and continued importance in the hospitality business, despite a little market share decline. The brand outperformed the midscale and economy markets, indicating a solid position in its market (Premier Inn, 2023).</w:t>
      </w:r>
    </w:p>
    <w:p w14:paraId="3C443406" w14:textId="77777777" w:rsidR="00CD1495" w:rsidRPr="0079518E" w:rsidRDefault="00CD1495" w:rsidP="00CD1495">
      <w:pPr>
        <w:rPr>
          <w:rFonts w:cs="Times New Roman"/>
          <w:b/>
          <w:bCs/>
          <w:szCs w:val="24"/>
          <w:lang w:bidi="bn-IN"/>
        </w:rPr>
      </w:pPr>
      <w:r w:rsidRPr="0079518E">
        <w:rPr>
          <w:rFonts w:cs="Times New Roman"/>
          <w:b/>
          <w:bCs/>
          <w:szCs w:val="24"/>
          <w:lang w:bidi="bn-IN"/>
        </w:rPr>
        <w:t xml:space="preserve">International Expansion—Germany: </w:t>
      </w:r>
    </w:p>
    <w:p w14:paraId="1F8C8E38" w14:textId="77777777" w:rsidR="00CD1495" w:rsidRPr="0079518E" w:rsidRDefault="00CD1495" w:rsidP="00CD1495">
      <w:pPr>
        <w:rPr>
          <w:rFonts w:cs="Times New Roman"/>
          <w:szCs w:val="24"/>
          <w:lang w:bidi="bn-IN"/>
        </w:rPr>
      </w:pPr>
      <w:r w:rsidRPr="0079518E">
        <w:rPr>
          <w:rFonts w:cs="Times New Roman"/>
          <w:szCs w:val="24"/>
          <w:lang w:bidi="bn-IN"/>
        </w:rPr>
        <w:t>Premier Inn entered Germany to expand geographically. Premier Inn's German entry enabled this relocation. Despite more restrictions, the brand has grown in Germany, particularly in leisure-focused areas (Premier Inn, 2023).</w:t>
      </w:r>
    </w:p>
    <w:p w14:paraId="6E38AB1F" w14:textId="77777777" w:rsidR="00CD1495" w:rsidRPr="0079518E" w:rsidRDefault="00CD1495" w:rsidP="00CD1495">
      <w:pPr>
        <w:rPr>
          <w:rFonts w:cs="Times New Roman"/>
          <w:szCs w:val="24"/>
          <w:lang w:bidi="bn-IN"/>
        </w:rPr>
      </w:pPr>
    </w:p>
    <w:p w14:paraId="0F09A79F" w14:textId="77777777" w:rsidR="00CD1495" w:rsidRPr="0079518E" w:rsidRDefault="00CD1495" w:rsidP="00CD1495">
      <w:pPr>
        <w:rPr>
          <w:rFonts w:cs="Times New Roman"/>
          <w:szCs w:val="24"/>
          <w:lang w:bidi="bn-IN"/>
        </w:rPr>
      </w:pPr>
    </w:p>
    <w:p w14:paraId="00702CD9" w14:textId="77777777" w:rsidR="00CD1495" w:rsidRPr="0079518E" w:rsidRDefault="00CD1495" w:rsidP="00CD1495">
      <w:pPr>
        <w:rPr>
          <w:rFonts w:cs="Times New Roman"/>
          <w:szCs w:val="24"/>
          <w:lang w:bidi="bn-IN"/>
        </w:rPr>
      </w:pPr>
    </w:p>
    <w:p w14:paraId="6A752924" w14:textId="77777777" w:rsidR="00CD1495" w:rsidRPr="0079518E" w:rsidRDefault="00CD1495" w:rsidP="00CD1495">
      <w:pPr>
        <w:rPr>
          <w:rFonts w:cs="Times New Roman"/>
          <w:szCs w:val="24"/>
          <w:lang w:bidi="bn-IN"/>
        </w:rPr>
      </w:pPr>
    </w:p>
    <w:p w14:paraId="2BB83FA5" w14:textId="77777777" w:rsidR="00CD1495" w:rsidRPr="0079518E" w:rsidRDefault="00CD1495" w:rsidP="00CD1495">
      <w:pPr>
        <w:rPr>
          <w:rFonts w:cs="Times New Roman"/>
          <w:szCs w:val="24"/>
          <w:lang w:bidi="bn-IN"/>
        </w:rPr>
      </w:pPr>
    </w:p>
    <w:p w14:paraId="566E5BA8" w14:textId="77777777" w:rsidR="00CD1495" w:rsidRPr="0079518E" w:rsidRDefault="00CD1495" w:rsidP="00CD1495">
      <w:pPr>
        <w:rPr>
          <w:rFonts w:cs="Times New Roman"/>
          <w:szCs w:val="24"/>
          <w:lang w:bidi="bn-IN"/>
        </w:rPr>
      </w:pPr>
      <w:r w:rsidRPr="0079518E">
        <w:rPr>
          <w:rFonts w:cs="Times New Roman"/>
          <w:szCs w:val="24"/>
          <w:lang w:bidi="bn-IN"/>
        </w:rPr>
        <w:br w:type="page"/>
      </w:r>
    </w:p>
    <w:p w14:paraId="62BF1724" w14:textId="77777777" w:rsidR="00CD1495" w:rsidRPr="0079518E" w:rsidRDefault="00CD1495" w:rsidP="00CD1495">
      <w:pPr>
        <w:pStyle w:val="Heading1"/>
        <w:rPr>
          <w:rFonts w:cs="Times New Roman"/>
          <w:sz w:val="24"/>
          <w:szCs w:val="24"/>
          <w:lang w:bidi="bn-IN"/>
        </w:rPr>
      </w:pPr>
      <w:bookmarkStart w:id="4" w:name="_Toc148728689"/>
      <w:r w:rsidRPr="0079518E">
        <w:rPr>
          <w:rFonts w:cs="Times New Roman"/>
          <w:sz w:val="24"/>
          <w:szCs w:val="24"/>
          <w:lang w:bidi="bn-IN"/>
        </w:rPr>
        <w:lastRenderedPageBreak/>
        <w:t>The growth potentiality of the two organisations</w:t>
      </w:r>
      <w:bookmarkEnd w:id="4"/>
    </w:p>
    <w:p w14:paraId="57E7BB7C" w14:textId="77777777" w:rsidR="00CD1495" w:rsidRPr="0079518E" w:rsidRDefault="00CD1495" w:rsidP="00CD1495">
      <w:pPr>
        <w:rPr>
          <w:rFonts w:cs="Times New Roman"/>
          <w:b/>
          <w:bCs/>
          <w:szCs w:val="24"/>
          <w:lang w:bidi="bn-IN"/>
        </w:rPr>
      </w:pPr>
      <w:r w:rsidRPr="0079518E">
        <w:rPr>
          <w:rFonts w:cs="Times New Roman"/>
          <w:b/>
          <w:bCs/>
          <w:szCs w:val="24"/>
          <w:u w:val="single"/>
          <w:lang w:bidi="bn-IN"/>
        </w:rPr>
        <w:t>Mandarin Oriental Hotel Group Growth Potential:</w:t>
      </w:r>
    </w:p>
    <w:p w14:paraId="7010641A" w14:textId="77777777" w:rsidR="00CD1495" w:rsidRPr="0079518E" w:rsidRDefault="00CD1495" w:rsidP="00CD1495">
      <w:pPr>
        <w:rPr>
          <w:rFonts w:cs="Times New Roman"/>
          <w:b/>
          <w:bCs/>
          <w:szCs w:val="24"/>
          <w:lang w:bidi="bn-IN"/>
        </w:rPr>
      </w:pPr>
      <w:r w:rsidRPr="0079518E">
        <w:rPr>
          <w:rFonts w:cs="Times New Roman"/>
          <w:b/>
          <w:bCs/>
          <w:szCs w:val="24"/>
          <w:lang w:bidi="bn-IN"/>
        </w:rPr>
        <w:t>Strategic Expansion Initiatives:</w:t>
      </w:r>
    </w:p>
    <w:p w14:paraId="3FDD3467" w14:textId="77777777" w:rsidR="00CD1495" w:rsidRPr="0079518E" w:rsidRDefault="00CD1495" w:rsidP="00CD1495">
      <w:pPr>
        <w:rPr>
          <w:rFonts w:cs="Times New Roman"/>
          <w:szCs w:val="24"/>
          <w:lang w:bidi="bn-IN"/>
        </w:rPr>
      </w:pPr>
      <w:r w:rsidRPr="0079518E">
        <w:rPr>
          <w:rFonts w:cs="Times New Roman"/>
          <w:szCs w:val="24"/>
          <w:lang w:bidi="bn-IN"/>
        </w:rPr>
        <w:t>The Mandarin Oriental Hotel Group, a luxury hotel chain, has enormous growth potential and is being encouraged to expand strategically by many programs. The group's commitment to modern luxury hospitality is shown by the large number of hotels and homes in planning. Mandarin Oriental is careful about brand expansion opportunities since it wants to expand to new regions and capitalize on travel trends (Cravens and Piercy, 2019).</w:t>
      </w:r>
    </w:p>
    <w:p w14:paraId="2430301B" w14:textId="77777777" w:rsidR="00CD1495" w:rsidRPr="0079518E" w:rsidRDefault="00CD1495" w:rsidP="00CD1495">
      <w:pPr>
        <w:rPr>
          <w:rFonts w:cs="Times New Roman"/>
          <w:szCs w:val="24"/>
          <w:lang w:bidi="bn-IN"/>
        </w:rPr>
      </w:pPr>
      <w:r w:rsidRPr="0079518E">
        <w:rPr>
          <w:rFonts w:cs="Times New Roman"/>
          <w:szCs w:val="24"/>
          <w:lang w:bidi="bn-IN"/>
        </w:rPr>
        <w:t xml:space="preserve"> </w:t>
      </w:r>
      <w:r w:rsidRPr="0079518E">
        <w:rPr>
          <w:rFonts w:cs="Times New Roman"/>
          <w:b/>
          <w:bCs/>
          <w:szCs w:val="24"/>
          <w:lang w:bidi="bn-IN"/>
        </w:rPr>
        <w:t>Global Market Opportunities:</w:t>
      </w:r>
    </w:p>
    <w:p w14:paraId="67B249BB" w14:textId="77777777" w:rsidR="00CD1495" w:rsidRPr="0079518E" w:rsidRDefault="00CD1495" w:rsidP="00CD1495">
      <w:pPr>
        <w:rPr>
          <w:rFonts w:cs="Times New Roman"/>
          <w:szCs w:val="24"/>
          <w:lang w:bidi="bn-IN"/>
        </w:rPr>
      </w:pPr>
      <w:r w:rsidRPr="0079518E">
        <w:rPr>
          <w:rFonts w:cs="Times New Roman"/>
          <w:szCs w:val="24"/>
          <w:lang w:bidi="bn-IN"/>
        </w:rPr>
        <w:t>The group can benefit on many market opportunities due to its global presence in 24 countries and territories. Mandarin Oriental may expand into new nations with rising demand for premium hotels, despite its current presence in luxury areas. Growing Asian economies with a need for luxury experiences could be strategic targets for corporate growth and expansion (</w:t>
      </w:r>
      <w:proofErr w:type="spellStart"/>
      <w:r w:rsidRPr="0079518E">
        <w:rPr>
          <w:rFonts w:cs="Times New Roman"/>
          <w:szCs w:val="24"/>
          <w:lang w:bidi="bn-IN"/>
        </w:rPr>
        <w:t>Gössling</w:t>
      </w:r>
      <w:proofErr w:type="spellEnd"/>
      <w:r w:rsidRPr="0079518E">
        <w:rPr>
          <w:rFonts w:cs="Times New Roman"/>
          <w:szCs w:val="24"/>
          <w:lang w:bidi="bn-IN"/>
        </w:rPr>
        <w:t>, Scott, and Hall, 2020).</w:t>
      </w:r>
    </w:p>
    <w:p w14:paraId="3DC3878A" w14:textId="77777777" w:rsidR="00CD1495" w:rsidRPr="0079518E" w:rsidRDefault="00CD1495" w:rsidP="00CD1495">
      <w:pPr>
        <w:rPr>
          <w:rFonts w:cs="Times New Roman"/>
          <w:b/>
          <w:bCs/>
          <w:szCs w:val="24"/>
          <w:lang w:bidi="bn-IN"/>
        </w:rPr>
      </w:pPr>
      <w:r w:rsidRPr="0079518E">
        <w:rPr>
          <w:rFonts w:cs="Times New Roman"/>
          <w:b/>
          <w:bCs/>
          <w:szCs w:val="24"/>
          <w:lang w:bidi="bn-IN"/>
        </w:rPr>
        <w:t>Barriers to Growth:</w:t>
      </w:r>
    </w:p>
    <w:p w14:paraId="11339599" w14:textId="77777777" w:rsidR="00CD1495" w:rsidRPr="0079518E" w:rsidRDefault="00CD1495" w:rsidP="00CD1495">
      <w:pPr>
        <w:rPr>
          <w:rFonts w:cs="Times New Roman"/>
          <w:szCs w:val="24"/>
          <w:lang w:bidi="bn-IN"/>
        </w:rPr>
      </w:pPr>
      <w:r w:rsidRPr="0079518E">
        <w:rPr>
          <w:rFonts w:cs="Times New Roman"/>
          <w:szCs w:val="24"/>
          <w:lang w:bidi="bn-IN"/>
        </w:rPr>
        <w:t xml:space="preserve">Mandarin Oriental may struggle to develop despite its growth potential. Geopolitical crises have changed global travel, affecting </w:t>
      </w:r>
      <w:proofErr w:type="spellStart"/>
      <w:r w:rsidRPr="0079518E">
        <w:rPr>
          <w:rFonts w:cs="Times New Roman"/>
          <w:szCs w:val="24"/>
          <w:lang w:bidi="bn-IN"/>
        </w:rPr>
        <w:t>travelers'</w:t>
      </w:r>
      <w:proofErr w:type="spellEnd"/>
      <w:r w:rsidRPr="0079518E">
        <w:rPr>
          <w:rFonts w:cs="Times New Roman"/>
          <w:szCs w:val="24"/>
          <w:lang w:bidi="bn-IN"/>
        </w:rPr>
        <w:t xml:space="preserve"> tastes and locations. The large capital investment needed to build luxury hotels can also be problematic, especially in uncertain economic times. As the epidemic has changed travel habits, adapting to </w:t>
      </w:r>
      <w:proofErr w:type="spellStart"/>
      <w:r w:rsidRPr="0079518E">
        <w:rPr>
          <w:rFonts w:cs="Times New Roman"/>
          <w:szCs w:val="24"/>
          <w:lang w:bidi="bn-IN"/>
        </w:rPr>
        <w:t>travelers'</w:t>
      </w:r>
      <w:proofErr w:type="spellEnd"/>
      <w:r w:rsidRPr="0079518E">
        <w:rPr>
          <w:rFonts w:cs="Times New Roman"/>
          <w:szCs w:val="24"/>
          <w:lang w:bidi="bn-IN"/>
        </w:rPr>
        <w:t xml:space="preserve"> needs brings both opportunities and challenges (Jamal and Robinson, 2020).</w:t>
      </w:r>
    </w:p>
    <w:p w14:paraId="02FEC79B" w14:textId="77777777" w:rsidR="00CD1495" w:rsidRPr="0079518E" w:rsidRDefault="00CD1495" w:rsidP="00CD1495">
      <w:pPr>
        <w:rPr>
          <w:rFonts w:cs="Times New Roman"/>
          <w:szCs w:val="24"/>
          <w:lang w:bidi="bn-IN"/>
        </w:rPr>
      </w:pPr>
      <w:r w:rsidRPr="0079518E">
        <w:rPr>
          <w:rFonts w:cs="Times New Roman"/>
          <w:b/>
          <w:bCs/>
          <w:szCs w:val="24"/>
          <w:u w:val="single"/>
          <w:lang w:bidi="bn-IN"/>
        </w:rPr>
        <w:t>Premier Inn Growth Potential:</w:t>
      </w:r>
    </w:p>
    <w:p w14:paraId="033C418E" w14:textId="77777777" w:rsidR="00CD1495" w:rsidRPr="0079518E" w:rsidRDefault="00CD1495" w:rsidP="00CD1495">
      <w:pPr>
        <w:rPr>
          <w:rFonts w:cs="Times New Roman"/>
          <w:b/>
          <w:bCs/>
          <w:szCs w:val="24"/>
          <w:lang w:bidi="bn-IN"/>
        </w:rPr>
      </w:pPr>
      <w:r w:rsidRPr="0079518E">
        <w:rPr>
          <w:rFonts w:cs="Times New Roman"/>
          <w:b/>
          <w:bCs/>
          <w:szCs w:val="24"/>
          <w:lang w:bidi="bn-IN"/>
        </w:rPr>
        <w:t>Domestic Market Dominance and International Aspirations:</w:t>
      </w:r>
    </w:p>
    <w:p w14:paraId="39AB9990" w14:textId="77777777" w:rsidR="00CD1495" w:rsidRPr="0079518E" w:rsidRDefault="00CD1495" w:rsidP="00CD1495">
      <w:pPr>
        <w:rPr>
          <w:rFonts w:cs="Times New Roman"/>
          <w:szCs w:val="24"/>
          <w:lang w:bidi="bn-IN"/>
        </w:rPr>
      </w:pPr>
      <w:r w:rsidRPr="0079518E">
        <w:rPr>
          <w:rFonts w:cs="Times New Roman"/>
          <w:szCs w:val="24"/>
          <w:lang w:bidi="bn-IN"/>
        </w:rPr>
        <w:t>Premier Inn's expansion potential comes from its firm footing in the UK market, where it has secured a significant piece of the market. Due to its well-known brand of excellent quality and low costs, Premier Inn could expand locally and globally. Germany showed that the brand can adapt its commercial strategy to different markets (Kotler, Bowen, and Makens, 2014).</w:t>
      </w:r>
    </w:p>
    <w:p w14:paraId="072F03E6" w14:textId="77777777" w:rsidR="00CD1495" w:rsidRPr="0079518E" w:rsidRDefault="00CD1495" w:rsidP="00CD1495">
      <w:pPr>
        <w:rPr>
          <w:rFonts w:cs="Times New Roman"/>
          <w:szCs w:val="24"/>
          <w:lang w:bidi="bn-IN"/>
        </w:rPr>
      </w:pPr>
      <w:r w:rsidRPr="0079518E">
        <w:rPr>
          <w:rFonts w:cs="Times New Roman"/>
          <w:b/>
          <w:bCs/>
          <w:szCs w:val="24"/>
          <w:lang w:bidi="bn-IN"/>
        </w:rPr>
        <w:t>Adaptability and Diversification:</w:t>
      </w:r>
    </w:p>
    <w:p w14:paraId="31B5518B" w14:textId="77777777" w:rsidR="00CD1495" w:rsidRPr="0079518E" w:rsidRDefault="00CD1495" w:rsidP="00CD1495">
      <w:pPr>
        <w:rPr>
          <w:rFonts w:cs="Times New Roman"/>
          <w:szCs w:val="24"/>
          <w:lang w:bidi="bn-IN"/>
        </w:rPr>
      </w:pPr>
      <w:r w:rsidRPr="0079518E">
        <w:rPr>
          <w:rFonts w:cs="Times New Roman"/>
          <w:szCs w:val="24"/>
          <w:lang w:bidi="bn-IN"/>
        </w:rPr>
        <w:t xml:space="preserve">Premier Inn's flexible business model, which caters to business and leisure </w:t>
      </w:r>
      <w:proofErr w:type="spellStart"/>
      <w:r w:rsidRPr="0079518E">
        <w:rPr>
          <w:rFonts w:cs="Times New Roman"/>
          <w:szCs w:val="24"/>
          <w:lang w:bidi="bn-IN"/>
        </w:rPr>
        <w:t>travelers</w:t>
      </w:r>
      <w:proofErr w:type="spellEnd"/>
      <w:r w:rsidRPr="0079518E">
        <w:rPr>
          <w:rFonts w:cs="Times New Roman"/>
          <w:szCs w:val="24"/>
          <w:lang w:bidi="bn-IN"/>
        </w:rPr>
        <w:t xml:space="preserve">, provides a stable foundation for expansion. Because it now sells food and beverages, it can better </w:t>
      </w:r>
      <w:r w:rsidRPr="0079518E">
        <w:rPr>
          <w:rFonts w:cs="Times New Roman"/>
          <w:szCs w:val="24"/>
          <w:lang w:bidi="bn-IN"/>
        </w:rPr>
        <w:lastRenderedPageBreak/>
        <w:t>weather market upheavals. Adaptability allows you to try new things and solve issues (Morrison, 2013).</w:t>
      </w:r>
    </w:p>
    <w:p w14:paraId="140603D0" w14:textId="77777777" w:rsidR="00CD1495" w:rsidRPr="0079518E" w:rsidRDefault="00CD1495" w:rsidP="00CD1495">
      <w:pPr>
        <w:rPr>
          <w:rFonts w:cs="Times New Roman"/>
          <w:b/>
          <w:bCs/>
          <w:szCs w:val="24"/>
          <w:lang w:bidi="bn-IN"/>
        </w:rPr>
      </w:pPr>
      <w:r w:rsidRPr="0079518E">
        <w:rPr>
          <w:rFonts w:cs="Times New Roman"/>
          <w:b/>
          <w:bCs/>
          <w:szCs w:val="24"/>
          <w:lang w:bidi="bn-IN"/>
        </w:rPr>
        <w:t>International Expansion Challenges:</w:t>
      </w:r>
    </w:p>
    <w:p w14:paraId="45CCEC86" w14:textId="77777777" w:rsidR="00CD1495" w:rsidRPr="0079518E" w:rsidRDefault="00CD1495" w:rsidP="00CD1495">
      <w:pPr>
        <w:rPr>
          <w:rFonts w:cs="Times New Roman"/>
          <w:szCs w:val="24"/>
          <w:lang w:bidi="bn-IN"/>
        </w:rPr>
      </w:pPr>
      <w:r w:rsidRPr="0079518E">
        <w:rPr>
          <w:rFonts w:cs="Times New Roman"/>
          <w:szCs w:val="24"/>
          <w:lang w:bidi="bn-IN"/>
        </w:rPr>
        <w:t>Premier Inn has succeeded in entering new areas like Germany, but growing worldwide can be difficult. Adapting the brand to different cultures and regulations requires considerable attention. If the market is saturated or competitive, especially in the moderate or economy categories, growth may be challenging (OECD, 2021).</w:t>
      </w:r>
    </w:p>
    <w:p w14:paraId="619A9FBA" w14:textId="77777777" w:rsidR="00CD1495" w:rsidRPr="0079518E" w:rsidRDefault="00CD1495" w:rsidP="00CD1495">
      <w:pPr>
        <w:rPr>
          <w:rFonts w:cs="Times New Roman"/>
          <w:b/>
          <w:bCs/>
          <w:szCs w:val="24"/>
          <w:lang w:bidi="bn-IN"/>
        </w:rPr>
      </w:pPr>
      <w:r w:rsidRPr="0079518E">
        <w:rPr>
          <w:rFonts w:cs="Times New Roman"/>
          <w:b/>
          <w:bCs/>
          <w:szCs w:val="24"/>
          <w:lang w:bidi="bn-IN"/>
        </w:rPr>
        <w:t>Digital Innovation for Customer Engagement:</w:t>
      </w:r>
    </w:p>
    <w:p w14:paraId="03EE949D" w14:textId="77777777" w:rsidR="00CD1495" w:rsidRPr="0079518E" w:rsidRDefault="00CD1495" w:rsidP="00CD1495">
      <w:pPr>
        <w:rPr>
          <w:rFonts w:cs="Times New Roman"/>
          <w:szCs w:val="24"/>
          <w:lang w:bidi="bn-IN"/>
        </w:rPr>
      </w:pPr>
      <w:r w:rsidRPr="0079518E">
        <w:rPr>
          <w:rFonts w:cs="Times New Roman"/>
          <w:szCs w:val="24"/>
          <w:lang w:bidi="bn-IN"/>
        </w:rPr>
        <w:t xml:space="preserve">Premier Inn's development depends on its ability to use digital innovation to engage customers. Using technology to simplify booking, customize services, and build loyalty programs can deepen client relationships. When digital connectivity is crucial, as it is now, investing in digital projects is essential for growth (Prideaux, </w:t>
      </w:r>
      <w:proofErr w:type="spellStart"/>
      <w:r w:rsidRPr="0079518E">
        <w:rPr>
          <w:rFonts w:cs="Times New Roman"/>
          <w:szCs w:val="24"/>
          <w:lang w:bidi="bn-IN"/>
        </w:rPr>
        <w:t>Moscardo</w:t>
      </w:r>
      <w:proofErr w:type="spellEnd"/>
      <w:r w:rsidRPr="0079518E">
        <w:rPr>
          <w:rFonts w:cs="Times New Roman"/>
          <w:szCs w:val="24"/>
          <w:lang w:bidi="bn-IN"/>
        </w:rPr>
        <w:t>, and Laws, 2016).</w:t>
      </w:r>
    </w:p>
    <w:p w14:paraId="72C8100B" w14:textId="77777777" w:rsidR="00CD1495" w:rsidRPr="0079518E" w:rsidRDefault="00CD1495" w:rsidP="00CD1495">
      <w:pPr>
        <w:rPr>
          <w:rFonts w:cs="Times New Roman"/>
          <w:b/>
          <w:bCs/>
          <w:szCs w:val="24"/>
          <w:lang w:bidi="bn-IN"/>
        </w:rPr>
      </w:pPr>
      <w:r w:rsidRPr="0079518E">
        <w:rPr>
          <w:rFonts w:cs="Times New Roman"/>
          <w:b/>
          <w:bCs/>
          <w:szCs w:val="24"/>
          <w:lang w:bidi="bn-IN"/>
        </w:rPr>
        <w:t>Barriers to Growth:</w:t>
      </w:r>
    </w:p>
    <w:p w14:paraId="001C5B01" w14:textId="77777777" w:rsidR="00CD1495" w:rsidRPr="0079518E" w:rsidRDefault="00CD1495" w:rsidP="00CD1495">
      <w:pPr>
        <w:rPr>
          <w:rFonts w:cs="Times New Roman"/>
          <w:szCs w:val="24"/>
          <w:lang w:bidi="bn-IN"/>
        </w:rPr>
      </w:pPr>
      <w:r w:rsidRPr="0079518E">
        <w:rPr>
          <w:rFonts w:cs="Times New Roman"/>
          <w:szCs w:val="24"/>
          <w:lang w:bidi="bn-IN"/>
        </w:rPr>
        <w:t>Premier Inn's expansion may be hindered by external factors like economic instability and consumer buying habits. Given the fierce competition, hospitality professionals must constantly differentiate themselves. Regulatory issues, especially in international markets, might hinder business progress (Rahman and Seraj, 2018).</w:t>
      </w:r>
    </w:p>
    <w:p w14:paraId="5ADBE325" w14:textId="77777777" w:rsidR="00CD1495" w:rsidRPr="0079518E" w:rsidRDefault="00CD1495" w:rsidP="00CD1495">
      <w:pPr>
        <w:rPr>
          <w:rFonts w:cs="Times New Roman"/>
          <w:szCs w:val="24"/>
          <w:lang w:bidi="bn-IN"/>
        </w:rPr>
      </w:pPr>
    </w:p>
    <w:p w14:paraId="40A5DB9C" w14:textId="77777777" w:rsidR="00CD1495" w:rsidRPr="0079518E" w:rsidRDefault="00CD1495" w:rsidP="00CD1495">
      <w:pPr>
        <w:rPr>
          <w:rFonts w:cs="Times New Roman"/>
          <w:szCs w:val="24"/>
          <w:lang w:bidi="bn-IN"/>
        </w:rPr>
      </w:pPr>
    </w:p>
    <w:p w14:paraId="35E6B761" w14:textId="77777777" w:rsidR="00CD1495" w:rsidRPr="0079518E" w:rsidRDefault="00CD1495" w:rsidP="00CD1495">
      <w:pPr>
        <w:rPr>
          <w:rFonts w:cs="Times New Roman"/>
          <w:szCs w:val="24"/>
          <w:lang w:bidi="bn-IN"/>
        </w:rPr>
      </w:pPr>
    </w:p>
    <w:p w14:paraId="6F15D78E" w14:textId="77777777" w:rsidR="00CD1495" w:rsidRPr="0079518E" w:rsidRDefault="00CD1495" w:rsidP="00CD1495">
      <w:pPr>
        <w:rPr>
          <w:rFonts w:cs="Times New Roman"/>
          <w:szCs w:val="24"/>
          <w:lang w:bidi="bn-IN"/>
        </w:rPr>
      </w:pPr>
    </w:p>
    <w:p w14:paraId="33FB6231" w14:textId="77777777" w:rsidR="00CD1495" w:rsidRPr="0079518E" w:rsidRDefault="00CD1495" w:rsidP="00CD1495">
      <w:pPr>
        <w:rPr>
          <w:rFonts w:cs="Times New Roman"/>
          <w:szCs w:val="24"/>
          <w:lang w:bidi="bn-IN"/>
        </w:rPr>
      </w:pPr>
    </w:p>
    <w:p w14:paraId="4DF2B22A" w14:textId="77777777" w:rsidR="00CD1495" w:rsidRPr="0079518E" w:rsidRDefault="00CD1495" w:rsidP="00CD1495">
      <w:pPr>
        <w:pStyle w:val="Heading1"/>
        <w:rPr>
          <w:rFonts w:cs="Times New Roman"/>
          <w:sz w:val="24"/>
          <w:szCs w:val="24"/>
          <w:lang w:bidi="bn-IN"/>
        </w:rPr>
      </w:pPr>
    </w:p>
    <w:p w14:paraId="72A9D038" w14:textId="77777777" w:rsidR="00CD1495" w:rsidRPr="0079518E" w:rsidRDefault="00CD1495" w:rsidP="00CD1495">
      <w:pPr>
        <w:pStyle w:val="Heading1"/>
        <w:rPr>
          <w:rFonts w:cs="Times New Roman"/>
          <w:sz w:val="24"/>
          <w:szCs w:val="24"/>
          <w:lang w:bidi="bn-IN"/>
        </w:rPr>
      </w:pPr>
      <w:r w:rsidRPr="0079518E">
        <w:rPr>
          <w:rFonts w:cs="Times New Roman"/>
          <w:sz w:val="24"/>
          <w:szCs w:val="24"/>
          <w:lang w:bidi="bn-IN"/>
        </w:rPr>
        <w:br w:type="page"/>
      </w:r>
      <w:bookmarkStart w:id="5" w:name="_Toc148728690"/>
      <w:r w:rsidRPr="0079518E">
        <w:rPr>
          <w:rFonts w:cs="Times New Roman"/>
          <w:sz w:val="24"/>
          <w:szCs w:val="24"/>
          <w:lang w:bidi="bn-IN"/>
        </w:rPr>
        <w:lastRenderedPageBreak/>
        <w:t>The organisations’ financial commitment to CSR initiatives</w:t>
      </w:r>
      <w:bookmarkEnd w:id="5"/>
    </w:p>
    <w:p w14:paraId="77A5E1D0" w14:textId="77777777" w:rsidR="00CD1495" w:rsidRPr="0079518E" w:rsidRDefault="00CD1495" w:rsidP="00CD1495">
      <w:pPr>
        <w:rPr>
          <w:rFonts w:cs="Times New Roman"/>
          <w:szCs w:val="24"/>
          <w:lang w:bidi="bn-IN"/>
        </w:rPr>
      </w:pPr>
      <w:r w:rsidRPr="0079518E">
        <w:rPr>
          <w:rFonts w:cs="Times New Roman"/>
          <w:b/>
          <w:bCs/>
          <w:szCs w:val="24"/>
          <w:u w:val="single"/>
          <w:lang w:bidi="bn-IN"/>
        </w:rPr>
        <w:t>Mandarin Oriental Hotel Group's Financial Commitment to CSR Initiatives:</w:t>
      </w:r>
    </w:p>
    <w:p w14:paraId="31D4D0F0" w14:textId="77777777" w:rsidR="00CD1495" w:rsidRPr="0079518E" w:rsidRDefault="00CD1495" w:rsidP="00CD1495">
      <w:pPr>
        <w:rPr>
          <w:rFonts w:cs="Times New Roman"/>
          <w:b/>
          <w:bCs/>
          <w:szCs w:val="24"/>
          <w:lang w:bidi="bn-IN"/>
        </w:rPr>
      </w:pPr>
      <w:r w:rsidRPr="0079518E">
        <w:rPr>
          <w:rFonts w:cs="Times New Roman"/>
          <w:b/>
          <w:bCs/>
          <w:szCs w:val="24"/>
          <w:lang w:bidi="bn-IN"/>
        </w:rPr>
        <w:t>Sustainability Practices:</w:t>
      </w:r>
    </w:p>
    <w:p w14:paraId="4C606213" w14:textId="77777777" w:rsidR="00CD1495" w:rsidRPr="0079518E" w:rsidRDefault="00CD1495" w:rsidP="00CD1495">
      <w:pPr>
        <w:rPr>
          <w:rFonts w:cs="Times New Roman"/>
          <w:szCs w:val="24"/>
          <w:lang w:bidi="bn-IN"/>
        </w:rPr>
      </w:pPr>
      <w:r w:rsidRPr="0079518E">
        <w:rPr>
          <w:rFonts w:cs="Times New Roman"/>
          <w:szCs w:val="24"/>
          <w:lang w:bidi="bn-IN"/>
        </w:rPr>
        <w:t xml:space="preserve">By eliminating 99% of single-use plastics from all Mandarin Oriental Hotel Group hotels, the company has demonstrated its financial commitment to sustainable business practices. The company invests much in energy efficiency and waste reduction projects to demonstrate its environmental responsibilities. This vow will </w:t>
      </w:r>
      <w:proofErr w:type="gramStart"/>
      <w:r w:rsidRPr="0079518E">
        <w:rPr>
          <w:rFonts w:cs="Times New Roman"/>
          <w:szCs w:val="24"/>
          <w:lang w:bidi="bn-IN"/>
        </w:rPr>
        <w:t>actually help</w:t>
      </w:r>
      <w:proofErr w:type="gramEnd"/>
      <w:r w:rsidRPr="0079518E">
        <w:rPr>
          <w:rFonts w:cs="Times New Roman"/>
          <w:szCs w:val="24"/>
          <w:lang w:bidi="bn-IN"/>
        </w:rPr>
        <w:t xml:space="preserve"> the corporation reduce its environmental effect (Song and Li, 2018).</w:t>
      </w:r>
    </w:p>
    <w:p w14:paraId="289F5968" w14:textId="77777777" w:rsidR="00CD1495" w:rsidRPr="0079518E" w:rsidRDefault="00CD1495" w:rsidP="00CD1495">
      <w:pPr>
        <w:rPr>
          <w:rFonts w:cs="Times New Roman"/>
          <w:b/>
          <w:bCs/>
          <w:szCs w:val="24"/>
          <w:lang w:bidi="bn-IN"/>
        </w:rPr>
      </w:pPr>
      <w:r w:rsidRPr="0079518E">
        <w:rPr>
          <w:rFonts w:cs="Times New Roman"/>
          <w:b/>
          <w:bCs/>
          <w:szCs w:val="24"/>
          <w:lang w:bidi="bn-IN"/>
        </w:rPr>
        <w:t>Community Engagement:</w:t>
      </w:r>
    </w:p>
    <w:p w14:paraId="0435B0D8" w14:textId="77777777" w:rsidR="00CD1495" w:rsidRPr="0079518E" w:rsidRDefault="00CD1495" w:rsidP="00CD1495">
      <w:pPr>
        <w:rPr>
          <w:rFonts w:cs="Times New Roman"/>
          <w:szCs w:val="24"/>
          <w:lang w:bidi="bn-IN"/>
        </w:rPr>
      </w:pPr>
      <w:r w:rsidRPr="0079518E">
        <w:rPr>
          <w:rFonts w:cs="Times New Roman"/>
          <w:szCs w:val="24"/>
          <w:lang w:bidi="bn-IN"/>
        </w:rPr>
        <w:t>Mandarin Oriental's Fans of M.O. initiative, with over 1.4 million members, shows its financial commitment to community engagement. This community's quick growth shows a proactive commitment to engaging with and understanding its customers' needs. Financial resources are allocated to improve guest experiences and foster loyalty. These community-focused techniques improve the firm's CSR culture (Tribe, 2015).</w:t>
      </w:r>
    </w:p>
    <w:p w14:paraId="1ACDFB94" w14:textId="77777777" w:rsidR="00CD1495" w:rsidRPr="0079518E" w:rsidRDefault="00CD1495" w:rsidP="00CD1495">
      <w:pPr>
        <w:rPr>
          <w:rFonts w:cs="Times New Roman"/>
          <w:b/>
          <w:bCs/>
          <w:szCs w:val="24"/>
          <w:lang w:bidi="bn-IN"/>
        </w:rPr>
      </w:pPr>
      <w:r w:rsidRPr="0079518E">
        <w:rPr>
          <w:rFonts w:cs="Times New Roman"/>
          <w:b/>
          <w:bCs/>
          <w:szCs w:val="24"/>
          <w:lang w:bidi="bn-IN"/>
        </w:rPr>
        <w:t>Ethical Business Practices:</w:t>
      </w:r>
    </w:p>
    <w:p w14:paraId="6B391D94" w14:textId="77777777" w:rsidR="00CD1495" w:rsidRPr="0079518E" w:rsidRDefault="00CD1495" w:rsidP="00CD1495">
      <w:pPr>
        <w:rPr>
          <w:rFonts w:cs="Times New Roman"/>
          <w:szCs w:val="24"/>
          <w:lang w:bidi="bn-IN"/>
        </w:rPr>
      </w:pPr>
      <w:r w:rsidRPr="0079518E">
        <w:rPr>
          <w:rFonts w:cs="Times New Roman"/>
          <w:szCs w:val="24"/>
          <w:lang w:bidi="bn-IN"/>
        </w:rPr>
        <w:t>Mandarin Oriental's good corporate citizenship includes eliminating single-use plastics. The company made this choice to uphold corporate ethics. Financial investment in ethical corporate procedures shows transparency and accountability. This dedication builds trust among guests and stakeholders (Wirtz and Lovelock, 2016)</w:t>
      </w:r>
    </w:p>
    <w:p w14:paraId="0930952E" w14:textId="77777777" w:rsidR="00CD1495" w:rsidRPr="0079518E" w:rsidRDefault="00CD1495" w:rsidP="00CD1495">
      <w:pPr>
        <w:rPr>
          <w:rFonts w:cs="Times New Roman"/>
          <w:b/>
          <w:bCs/>
          <w:szCs w:val="24"/>
          <w:u w:val="single"/>
          <w:lang w:bidi="bn-IN"/>
        </w:rPr>
      </w:pPr>
      <w:r w:rsidRPr="0079518E">
        <w:rPr>
          <w:rFonts w:cs="Times New Roman"/>
          <w:b/>
          <w:bCs/>
          <w:szCs w:val="24"/>
          <w:u w:val="single"/>
          <w:lang w:bidi="bn-IN"/>
        </w:rPr>
        <w:t>Premier Inn's Financial Commitment to CSR Initiatives:</w:t>
      </w:r>
    </w:p>
    <w:p w14:paraId="27D7B418" w14:textId="77777777" w:rsidR="00CD1495" w:rsidRPr="0079518E" w:rsidRDefault="00CD1495" w:rsidP="00CD1495">
      <w:pPr>
        <w:rPr>
          <w:rFonts w:cs="Times New Roman"/>
          <w:b/>
          <w:bCs/>
          <w:szCs w:val="24"/>
          <w:lang w:bidi="bn-IN"/>
        </w:rPr>
      </w:pPr>
      <w:r w:rsidRPr="0079518E">
        <w:rPr>
          <w:rFonts w:cs="Times New Roman"/>
          <w:b/>
          <w:bCs/>
          <w:szCs w:val="24"/>
          <w:lang w:bidi="bn-IN"/>
        </w:rPr>
        <w:t>Sustainability Practices:</w:t>
      </w:r>
    </w:p>
    <w:p w14:paraId="1924C0E8" w14:textId="77777777" w:rsidR="00CD1495" w:rsidRPr="0079518E" w:rsidRDefault="00CD1495" w:rsidP="00CD1495">
      <w:pPr>
        <w:rPr>
          <w:rFonts w:cs="Times New Roman"/>
          <w:szCs w:val="24"/>
          <w:lang w:bidi="bn-IN"/>
        </w:rPr>
      </w:pPr>
      <w:r w:rsidRPr="0079518E">
        <w:rPr>
          <w:rFonts w:cs="Times New Roman"/>
          <w:szCs w:val="24"/>
          <w:lang w:bidi="bn-IN"/>
        </w:rPr>
        <w:t>Premier Inn shows its financial commitment to environmental protection through its environmental measures. Although the organization's financial data isn't available, its investments in energy-efficient technologies and sustainable construction practices show a financial commitment to green efforts. For instance, the company may not reveal financial information. Sustainability aligns with changing consumer expectations and regulatory policies (World Travel and Tourism Council, 2023).</w:t>
      </w:r>
    </w:p>
    <w:p w14:paraId="320942FF" w14:textId="77777777" w:rsidR="00CD1495" w:rsidRPr="0079518E" w:rsidRDefault="00CD1495" w:rsidP="00CD1495">
      <w:pPr>
        <w:rPr>
          <w:rFonts w:cs="Times New Roman"/>
          <w:b/>
          <w:bCs/>
          <w:szCs w:val="24"/>
          <w:lang w:bidi="bn-IN"/>
        </w:rPr>
      </w:pPr>
    </w:p>
    <w:p w14:paraId="285C0BC0" w14:textId="77777777" w:rsidR="00CD1495" w:rsidRPr="0079518E" w:rsidRDefault="00CD1495" w:rsidP="00CD1495">
      <w:pPr>
        <w:rPr>
          <w:rFonts w:cs="Times New Roman"/>
          <w:b/>
          <w:bCs/>
          <w:szCs w:val="24"/>
          <w:lang w:bidi="bn-IN"/>
        </w:rPr>
      </w:pPr>
    </w:p>
    <w:p w14:paraId="6E3B99CB" w14:textId="77777777" w:rsidR="00CD1495" w:rsidRPr="0079518E" w:rsidRDefault="00CD1495" w:rsidP="00CD1495">
      <w:pPr>
        <w:rPr>
          <w:rFonts w:cs="Times New Roman"/>
          <w:b/>
          <w:bCs/>
          <w:szCs w:val="24"/>
          <w:lang w:bidi="bn-IN"/>
        </w:rPr>
      </w:pPr>
      <w:r w:rsidRPr="0079518E">
        <w:rPr>
          <w:rFonts w:cs="Times New Roman"/>
          <w:b/>
          <w:bCs/>
          <w:szCs w:val="24"/>
          <w:lang w:bidi="bn-IN"/>
        </w:rPr>
        <w:lastRenderedPageBreak/>
        <w:t>Community Engagement:</w:t>
      </w:r>
    </w:p>
    <w:p w14:paraId="7F87E0CD" w14:textId="77777777" w:rsidR="00CD1495" w:rsidRPr="0079518E" w:rsidRDefault="00CD1495" w:rsidP="00CD1495">
      <w:pPr>
        <w:rPr>
          <w:rFonts w:cs="Times New Roman"/>
          <w:szCs w:val="24"/>
          <w:lang w:bidi="bn-IN"/>
        </w:rPr>
      </w:pPr>
      <w:r w:rsidRPr="0079518E">
        <w:rPr>
          <w:rFonts w:cs="Times New Roman"/>
          <w:szCs w:val="24"/>
          <w:lang w:bidi="bn-IN"/>
        </w:rPr>
        <w:t>Premier Inn's UK market positioning shows that it values community involvement financially. By supporting local businesses and creating jobs, the company boosts the local economy. Premier Inn engages in community-oriented projects to build positive relationships and improve local communities (Xu, Chan, and Chan, 2018).</w:t>
      </w:r>
    </w:p>
    <w:p w14:paraId="1AC81395" w14:textId="77777777" w:rsidR="00CD1495" w:rsidRPr="0079518E" w:rsidRDefault="00CD1495" w:rsidP="00CD1495">
      <w:pPr>
        <w:rPr>
          <w:rFonts w:cs="Times New Roman"/>
          <w:b/>
          <w:bCs/>
          <w:szCs w:val="24"/>
          <w:lang w:bidi="bn-IN"/>
        </w:rPr>
      </w:pPr>
      <w:r w:rsidRPr="0079518E">
        <w:rPr>
          <w:rFonts w:cs="Times New Roman"/>
          <w:b/>
          <w:bCs/>
          <w:szCs w:val="24"/>
          <w:lang w:bidi="bn-IN"/>
        </w:rPr>
        <w:t>Ethical Business Practices:</w:t>
      </w:r>
    </w:p>
    <w:p w14:paraId="08A3FF64" w14:textId="77777777" w:rsidR="00CD1495" w:rsidRPr="0079518E" w:rsidRDefault="00CD1495" w:rsidP="00CD1495">
      <w:pPr>
        <w:rPr>
          <w:rFonts w:cs="Times New Roman"/>
          <w:szCs w:val="24"/>
          <w:lang w:bidi="bn-IN"/>
        </w:rPr>
      </w:pPr>
      <w:r w:rsidRPr="0079518E">
        <w:rPr>
          <w:rFonts w:cs="Times New Roman"/>
          <w:szCs w:val="24"/>
          <w:lang w:bidi="bn-IN"/>
        </w:rPr>
        <w:t>Premier Inn's commitment to ethical business practices has made it robust to the COVID-19 pandemic. The organization's financial strategy incorporates ethical considerations, as shown by government support and adjustment items and a dedication to employee welfare. The company's financial endurance in tough times helps solidify its reputation for responsible business practices (Yeoman and McMahon-Beattie, 2014).</w:t>
      </w:r>
    </w:p>
    <w:p w14:paraId="16896504" w14:textId="77777777" w:rsidR="00CD1495" w:rsidRPr="0079518E" w:rsidRDefault="00CD1495" w:rsidP="00CD1495">
      <w:pPr>
        <w:rPr>
          <w:rFonts w:cs="Times New Roman"/>
          <w:szCs w:val="24"/>
          <w:lang w:bidi="bn-IN"/>
        </w:rPr>
      </w:pPr>
    </w:p>
    <w:p w14:paraId="2FF4FB15" w14:textId="77777777" w:rsidR="00CD1495" w:rsidRPr="0079518E" w:rsidRDefault="00CD1495" w:rsidP="00CD1495">
      <w:pPr>
        <w:rPr>
          <w:rFonts w:cs="Times New Roman"/>
          <w:szCs w:val="24"/>
          <w:lang w:bidi="bn-IN"/>
        </w:rPr>
      </w:pPr>
    </w:p>
    <w:p w14:paraId="64512A0C" w14:textId="77777777" w:rsidR="00CD1495" w:rsidRPr="0079518E" w:rsidRDefault="00CD1495" w:rsidP="00CD1495">
      <w:pPr>
        <w:rPr>
          <w:rFonts w:cs="Times New Roman"/>
          <w:szCs w:val="24"/>
          <w:lang w:bidi="bn-IN"/>
        </w:rPr>
      </w:pPr>
    </w:p>
    <w:p w14:paraId="18C6EAE6" w14:textId="77777777" w:rsidR="00CD1495" w:rsidRPr="0079518E" w:rsidRDefault="00CD1495" w:rsidP="00CD1495">
      <w:pPr>
        <w:pStyle w:val="Heading1"/>
        <w:rPr>
          <w:rFonts w:cs="Times New Roman"/>
          <w:sz w:val="24"/>
          <w:szCs w:val="24"/>
          <w:lang w:bidi="bn-IN"/>
        </w:rPr>
      </w:pPr>
    </w:p>
    <w:p w14:paraId="222E398C" w14:textId="77777777" w:rsidR="00CD1495" w:rsidRPr="0079518E" w:rsidRDefault="00CD1495" w:rsidP="00CD1495">
      <w:pPr>
        <w:pStyle w:val="Heading1"/>
        <w:rPr>
          <w:rFonts w:cs="Times New Roman"/>
          <w:sz w:val="24"/>
          <w:szCs w:val="24"/>
          <w:lang w:bidi="bn-IN"/>
        </w:rPr>
      </w:pPr>
      <w:r w:rsidRPr="0079518E">
        <w:rPr>
          <w:rFonts w:cs="Times New Roman"/>
          <w:sz w:val="24"/>
          <w:szCs w:val="24"/>
          <w:lang w:bidi="bn-IN"/>
        </w:rPr>
        <w:br w:type="page"/>
      </w:r>
      <w:bookmarkStart w:id="6" w:name="_Toc148728691"/>
      <w:r w:rsidRPr="0079518E">
        <w:rPr>
          <w:rFonts w:cs="Times New Roman"/>
          <w:sz w:val="24"/>
          <w:szCs w:val="24"/>
          <w:lang w:bidi="bn-IN"/>
        </w:rPr>
        <w:lastRenderedPageBreak/>
        <w:t>Recommendation</w:t>
      </w:r>
      <w:bookmarkEnd w:id="6"/>
    </w:p>
    <w:p w14:paraId="626267FB" w14:textId="77777777" w:rsidR="00CD1495" w:rsidRPr="0079518E" w:rsidRDefault="00CD1495" w:rsidP="00CD1495">
      <w:pPr>
        <w:rPr>
          <w:rFonts w:cs="Times New Roman"/>
          <w:szCs w:val="24"/>
          <w:lang w:bidi="bn-IN"/>
        </w:rPr>
      </w:pPr>
      <w:r w:rsidRPr="0079518E">
        <w:rPr>
          <w:rFonts w:cs="Times New Roman"/>
          <w:b/>
          <w:bCs/>
          <w:szCs w:val="24"/>
          <w:lang w:bidi="bn-IN"/>
        </w:rPr>
        <w:t>Recommendation for Mandarin Oriental Hotel Group:</w:t>
      </w:r>
    </w:p>
    <w:p w14:paraId="743BE3E5" w14:textId="77777777" w:rsidR="00CD1495" w:rsidRPr="0079518E" w:rsidRDefault="00CD1495" w:rsidP="00CD1495">
      <w:pPr>
        <w:rPr>
          <w:rFonts w:cs="Times New Roman"/>
          <w:szCs w:val="24"/>
          <w:lang w:bidi="bn-IN"/>
        </w:rPr>
      </w:pPr>
      <w:r w:rsidRPr="0079518E">
        <w:rPr>
          <w:rFonts w:cs="Times New Roman"/>
          <w:szCs w:val="24"/>
          <w:lang w:bidi="bn-IN"/>
        </w:rPr>
        <w:t>Mandarin Oriental can capitalize on its unique brand identity in rising luxury travel regions. The company's global luxury positioning and cultural authenticity make this possible. The idea is to carefully expand in affluent areas with a growing appetite for luxury experiences. This includes parts of Asia and the Middle East. The brand's ability to adapt to local tastes while maintaining its elegance and cultural immersion has helped Mandarin Oriental succeed in numerous markets (Wang and Fesenmaier, 2014</w:t>
      </w:r>
      <w:proofErr w:type="gramStart"/>
      <w:r w:rsidRPr="0079518E">
        <w:rPr>
          <w:rFonts w:cs="Times New Roman"/>
          <w:szCs w:val="24"/>
          <w:lang w:bidi="bn-IN"/>
        </w:rPr>
        <w:t>)..</w:t>
      </w:r>
      <w:proofErr w:type="gramEnd"/>
    </w:p>
    <w:p w14:paraId="38A2AE9F" w14:textId="77777777" w:rsidR="00CD1495" w:rsidRPr="0079518E" w:rsidRDefault="00CD1495" w:rsidP="00CD1495">
      <w:pPr>
        <w:rPr>
          <w:rFonts w:cs="Times New Roman"/>
          <w:b/>
          <w:bCs/>
          <w:szCs w:val="24"/>
          <w:lang w:bidi="bn-IN"/>
        </w:rPr>
      </w:pPr>
      <w:r w:rsidRPr="0079518E">
        <w:rPr>
          <w:rFonts w:cs="Times New Roman"/>
          <w:b/>
          <w:bCs/>
          <w:szCs w:val="24"/>
          <w:lang w:bidi="bn-IN"/>
        </w:rPr>
        <w:t>Recommendation for Premier Inn:</w:t>
      </w:r>
    </w:p>
    <w:p w14:paraId="5411C8ED" w14:textId="77777777" w:rsidR="00CD1495" w:rsidRPr="0079518E" w:rsidRDefault="00CD1495" w:rsidP="00CD1495">
      <w:pPr>
        <w:rPr>
          <w:rFonts w:cs="Times New Roman"/>
          <w:szCs w:val="24"/>
          <w:lang w:bidi="bn-IN"/>
        </w:rPr>
      </w:pPr>
      <w:r w:rsidRPr="0079518E">
        <w:rPr>
          <w:rFonts w:cs="Times New Roman"/>
          <w:szCs w:val="24"/>
          <w:lang w:bidi="bn-IN"/>
        </w:rPr>
        <w:t xml:space="preserve">Premier Inn's financial stability, versatility, and success in the UK position it to expand into other </w:t>
      </w:r>
      <w:proofErr w:type="gramStart"/>
      <w:r w:rsidRPr="0079518E">
        <w:rPr>
          <w:rFonts w:cs="Times New Roman"/>
          <w:szCs w:val="24"/>
          <w:lang w:bidi="bn-IN"/>
        </w:rPr>
        <w:t>markets  (</w:t>
      </w:r>
      <w:proofErr w:type="gramEnd"/>
      <w:r w:rsidRPr="0079518E">
        <w:rPr>
          <w:rFonts w:cs="Times New Roman"/>
          <w:szCs w:val="24"/>
          <w:lang w:bidi="bn-IN"/>
        </w:rPr>
        <w:t>Yang et al., 2015). Maintaining a strategic focus on overseas markets, particularly those that need midscale and economy hotels, is advised. Premier Inn's success in Germany despite tougher limitations suggests it could replicate its UK success in other overseas markets. Investments in learning about and adapting to local preferences and conventions will help an organization grow strategically (Zhang and Song, 2019).</w:t>
      </w:r>
      <w:r w:rsidRPr="0079518E">
        <w:rPr>
          <w:rFonts w:cs="Times New Roman"/>
          <w:szCs w:val="24"/>
          <w:lang w:bidi="bn-IN"/>
        </w:rPr>
        <w:br w:type="page"/>
      </w:r>
    </w:p>
    <w:p w14:paraId="49560AA8" w14:textId="77777777" w:rsidR="00CD1495" w:rsidRPr="0079518E" w:rsidRDefault="00CD1495" w:rsidP="00CD1495">
      <w:pPr>
        <w:pStyle w:val="Heading1"/>
        <w:rPr>
          <w:rFonts w:cs="Times New Roman"/>
          <w:sz w:val="24"/>
          <w:szCs w:val="24"/>
          <w:lang w:bidi="bn-IN"/>
        </w:rPr>
      </w:pPr>
      <w:bookmarkStart w:id="7" w:name="_Toc148728692"/>
      <w:r w:rsidRPr="0079518E">
        <w:rPr>
          <w:rFonts w:cs="Times New Roman"/>
          <w:sz w:val="24"/>
          <w:szCs w:val="24"/>
          <w:lang w:bidi="bn-IN"/>
        </w:rPr>
        <w:lastRenderedPageBreak/>
        <w:t>Conclusion</w:t>
      </w:r>
      <w:bookmarkEnd w:id="7"/>
    </w:p>
    <w:p w14:paraId="04E3B1B7" w14:textId="77777777" w:rsidR="00CD1495" w:rsidRPr="0079518E" w:rsidRDefault="00CD1495" w:rsidP="00CD1495">
      <w:pPr>
        <w:rPr>
          <w:rFonts w:cs="Times New Roman"/>
          <w:szCs w:val="24"/>
          <w:lang w:bidi="bn-IN"/>
        </w:rPr>
      </w:pPr>
      <w:r w:rsidRPr="0079518E">
        <w:rPr>
          <w:rFonts w:cs="Times New Roman"/>
          <w:szCs w:val="24"/>
          <w:lang w:bidi="bn-IN"/>
        </w:rPr>
        <w:t>In conclusion, this detailed analysis illuminates Mandarin Oriental Hotel Group and Premier Inn's hospitality journeys. The narratives reveal techniques and focus areas, including the companies' market positions, growth potentials, financial commitments, and corporate social responsibility programs. Premier Inn leads in adaption and global expansion, whereas Mandarin Oriental is noted for its luxury accommodations and cultural preservation. The studies and recommendations gave both organizations strategic ways to leverage their strengths. This study shows that strategic acumen, financial prudence, and social responsibility are crucial to the success of these major players in the ever-changing hospitality business.</w:t>
      </w:r>
    </w:p>
    <w:p w14:paraId="2E25756D" w14:textId="77777777" w:rsidR="00CD1495" w:rsidRPr="0079518E" w:rsidRDefault="00CD1495" w:rsidP="00CD1495">
      <w:pPr>
        <w:rPr>
          <w:rFonts w:cs="Times New Roman"/>
          <w:szCs w:val="24"/>
          <w:lang w:bidi="bn-IN"/>
        </w:rPr>
      </w:pPr>
    </w:p>
    <w:p w14:paraId="6E16960F" w14:textId="77777777" w:rsidR="00CD1495" w:rsidRPr="0079518E" w:rsidRDefault="00CD1495" w:rsidP="00CD1495">
      <w:pPr>
        <w:rPr>
          <w:rFonts w:cs="Times New Roman"/>
          <w:szCs w:val="24"/>
          <w:lang w:bidi="bn-IN"/>
        </w:rPr>
      </w:pPr>
    </w:p>
    <w:p w14:paraId="7387B7E1" w14:textId="77777777" w:rsidR="00CD1495" w:rsidRPr="0079518E" w:rsidRDefault="00CD1495" w:rsidP="00CD1495">
      <w:pPr>
        <w:rPr>
          <w:rFonts w:cs="Times New Roman"/>
          <w:szCs w:val="24"/>
          <w:lang w:bidi="bn-IN"/>
        </w:rPr>
      </w:pPr>
    </w:p>
    <w:p w14:paraId="38A62B73" w14:textId="77777777" w:rsidR="00CD1495" w:rsidRPr="0079518E" w:rsidRDefault="00CD1495" w:rsidP="00CD1495">
      <w:pPr>
        <w:rPr>
          <w:rFonts w:cs="Times New Roman"/>
          <w:szCs w:val="24"/>
          <w:lang w:bidi="bn-IN"/>
        </w:rPr>
      </w:pPr>
    </w:p>
    <w:p w14:paraId="59DDA63B" w14:textId="77777777" w:rsidR="00CD1495" w:rsidRPr="0079518E" w:rsidRDefault="00CD1495" w:rsidP="00CD1495">
      <w:pPr>
        <w:pStyle w:val="Heading1"/>
        <w:rPr>
          <w:rFonts w:cs="Times New Roman"/>
          <w:sz w:val="24"/>
          <w:szCs w:val="24"/>
          <w:lang w:bidi="bn-IN"/>
        </w:rPr>
      </w:pPr>
    </w:p>
    <w:p w14:paraId="273EFBE7" w14:textId="77777777" w:rsidR="00CD1495" w:rsidRPr="0079518E" w:rsidRDefault="00CD1495" w:rsidP="00CD1495">
      <w:pPr>
        <w:pStyle w:val="Heading1"/>
        <w:rPr>
          <w:rFonts w:cs="Times New Roman"/>
          <w:sz w:val="24"/>
          <w:szCs w:val="24"/>
          <w:lang w:bidi="bn-IN"/>
        </w:rPr>
      </w:pPr>
      <w:r w:rsidRPr="0079518E">
        <w:rPr>
          <w:rFonts w:cs="Times New Roman"/>
          <w:sz w:val="24"/>
          <w:szCs w:val="24"/>
          <w:lang w:bidi="bn-IN"/>
        </w:rPr>
        <w:br w:type="page"/>
      </w:r>
      <w:bookmarkStart w:id="8" w:name="_Toc148728693"/>
      <w:r w:rsidRPr="0079518E">
        <w:rPr>
          <w:rFonts w:cs="Times New Roman"/>
          <w:sz w:val="24"/>
          <w:szCs w:val="24"/>
          <w:lang w:bidi="bn-IN"/>
        </w:rPr>
        <w:lastRenderedPageBreak/>
        <w:t>Reference</w:t>
      </w:r>
      <w:bookmarkEnd w:id="8"/>
      <w:r w:rsidRPr="0079518E">
        <w:rPr>
          <w:rFonts w:cs="Times New Roman"/>
          <w:sz w:val="24"/>
          <w:szCs w:val="24"/>
          <w:lang w:bidi="bn-IN"/>
        </w:rPr>
        <w:t xml:space="preserve"> </w:t>
      </w:r>
    </w:p>
    <w:p w14:paraId="365297EC" w14:textId="77777777" w:rsidR="00CD1495" w:rsidRPr="0079518E" w:rsidRDefault="00CD1495" w:rsidP="00CD1495">
      <w:pPr>
        <w:rPr>
          <w:rFonts w:cs="Times New Roman"/>
          <w:szCs w:val="24"/>
          <w:lang w:bidi="bn-IN"/>
        </w:rPr>
      </w:pPr>
      <w:r w:rsidRPr="0079518E">
        <w:rPr>
          <w:rFonts w:cs="Times New Roman"/>
          <w:szCs w:val="24"/>
          <w:lang w:bidi="bn-IN"/>
        </w:rPr>
        <w:t>Cravens, D. W., and Piercy, N. F. (2019). Strategic Marketing. McGraw-Hill Education.</w:t>
      </w:r>
    </w:p>
    <w:p w14:paraId="199B0BC2" w14:textId="77777777" w:rsidR="00CD1495" w:rsidRPr="0079518E" w:rsidRDefault="00CD1495" w:rsidP="00CD1495">
      <w:pPr>
        <w:rPr>
          <w:rFonts w:cs="Times New Roman"/>
          <w:szCs w:val="24"/>
          <w:lang w:bidi="bn-IN"/>
        </w:rPr>
      </w:pPr>
      <w:proofErr w:type="spellStart"/>
      <w:r w:rsidRPr="0079518E">
        <w:rPr>
          <w:rFonts w:cs="Times New Roman"/>
          <w:szCs w:val="24"/>
          <w:lang w:bidi="bn-IN"/>
        </w:rPr>
        <w:t>Gössling</w:t>
      </w:r>
      <w:proofErr w:type="spellEnd"/>
      <w:r w:rsidRPr="0079518E">
        <w:rPr>
          <w:rFonts w:cs="Times New Roman"/>
          <w:szCs w:val="24"/>
          <w:lang w:bidi="bn-IN"/>
        </w:rPr>
        <w:t>, S., Scott, D., and Hall, C. M. (2020). Tourism and Water. Channel View Publications.</w:t>
      </w:r>
    </w:p>
    <w:p w14:paraId="6C1ECED7" w14:textId="77777777" w:rsidR="00CD1495" w:rsidRPr="0079518E" w:rsidRDefault="00CD1495" w:rsidP="00CD1495">
      <w:pPr>
        <w:rPr>
          <w:rFonts w:cs="Times New Roman"/>
          <w:szCs w:val="24"/>
          <w:lang w:bidi="bn-IN"/>
        </w:rPr>
      </w:pPr>
      <w:r w:rsidRPr="0079518E">
        <w:rPr>
          <w:rFonts w:cs="Times New Roman"/>
          <w:szCs w:val="24"/>
          <w:lang w:bidi="bn-IN"/>
        </w:rPr>
        <w:t>Jamal, T., and Robinson, M. (2020). The SAGE Handbook of Tourism Studies. SAGE Publications.</w:t>
      </w:r>
    </w:p>
    <w:p w14:paraId="74F2053D" w14:textId="77777777" w:rsidR="00CD1495" w:rsidRPr="0079518E" w:rsidRDefault="00CD1495" w:rsidP="00CD1495">
      <w:pPr>
        <w:rPr>
          <w:rFonts w:cs="Times New Roman"/>
          <w:szCs w:val="24"/>
          <w:lang w:bidi="bn-IN"/>
        </w:rPr>
      </w:pPr>
      <w:r w:rsidRPr="0079518E">
        <w:rPr>
          <w:rFonts w:cs="Times New Roman"/>
          <w:szCs w:val="24"/>
          <w:lang w:bidi="bn-IN"/>
        </w:rPr>
        <w:t>Kotler, P., Bowen, J. T., and Makens, J. C. (2014). Marketing for Hospitality and Tourism. Pearson.</w:t>
      </w:r>
    </w:p>
    <w:p w14:paraId="03BFEE2C" w14:textId="77777777" w:rsidR="00CD1495" w:rsidRPr="0079518E" w:rsidRDefault="00CD1495" w:rsidP="00CD1495">
      <w:pPr>
        <w:rPr>
          <w:rFonts w:cs="Times New Roman"/>
          <w:szCs w:val="24"/>
          <w:lang w:bidi="bn-IN"/>
        </w:rPr>
      </w:pPr>
      <w:r w:rsidRPr="0079518E">
        <w:rPr>
          <w:rFonts w:cs="Times New Roman"/>
          <w:szCs w:val="24"/>
          <w:lang w:bidi="bn-IN"/>
        </w:rPr>
        <w:t>Mandarin Oriental Hotel Group. (2022). Home. Available at: https://www.mandarinoriental.com/ [Accessed 12 Oct. 2023].</w:t>
      </w:r>
    </w:p>
    <w:p w14:paraId="7520CEF2" w14:textId="77777777" w:rsidR="00CD1495" w:rsidRPr="0079518E" w:rsidRDefault="00CD1495" w:rsidP="00CD1495">
      <w:pPr>
        <w:rPr>
          <w:rFonts w:cs="Times New Roman"/>
          <w:szCs w:val="24"/>
          <w:lang w:bidi="bn-IN"/>
        </w:rPr>
      </w:pPr>
      <w:r w:rsidRPr="0079518E">
        <w:rPr>
          <w:rFonts w:cs="Times New Roman"/>
          <w:szCs w:val="24"/>
          <w:lang w:bidi="bn-IN"/>
        </w:rPr>
        <w:t>Mandarin Oriental Hotel Group. (2023). Press Room. Available at: https://www.mandarinoriental.com/press-room [Accessed 12 Oct. 2023].</w:t>
      </w:r>
    </w:p>
    <w:p w14:paraId="06B00644" w14:textId="77777777" w:rsidR="00CD1495" w:rsidRPr="0079518E" w:rsidRDefault="00CD1495" w:rsidP="00CD1495">
      <w:pPr>
        <w:rPr>
          <w:rFonts w:cs="Times New Roman"/>
          <w:szCs w:val="24"/>
          <w:lang w:bidi="bn-IN"/>
        </w:rPr>
      </w:pPr>
      <w:r w:rsidRPr="0079518E">
        <w:rPr>
          <w:rFonts w:cs="Times New Roman"/>
          <w:szCs w:val="24"/>
          <w:lang w:bidi="bn-IN"/>
        </w:rPr>
        <w:t>Morrison, A. M. (2013). Marketing and Managing Tourism Destinations. Routledge.</w:t>
      </w:r>
    </w:p>
    <w:p w14:paraId="29ED04FE" w14:textId="77777777" w:rsidR="00CD1495" w:rsidRPr="0079518E" w:rsidRDefault="00CD1495" w:rsidP="00CD1495">
      <w:pPr>
        <w:rPr>
          <w:rFonts w:cs="Times New Roman"/>
          <w:szCs w:val="24"/>
          <w:lang w:bidi="bn-IN"/>
        </w:rPr>
      </w:pPr>
      <w:r w:rsidRPr="0079518E">
        <w:rPr>
          <w:rFonts w:cs="Times New Roman"/>
          <w:szCs w:val="24"/>
          <w:lang w:bidi="bn-IN"/>
        </w:rPr>
        <w:t>OECD. (2021). Tourism Trends and Policies 2021. OECD Publishing.</w:t>
      </w:r>
    </w:p>
    <w:p w14:paraId="04E55726" w14:textId="77777777" w:rsidR="00CD1495" w:rsidRPr="0079518E" w:rsidRDefault="00CD1495" w:rsidP="00CD1495">
      <w:pPr>
        <w:rPr>
          <w:rFonts w:cs="Times New Roman"/>
          <w:szCs w:val="24"/>
          <w:lang w:bidi="bn-IN"/>
        </w:rPr>
      </w:pPr>
      <w:r w:rsidRPr="0079518E">
        <w:rPr>
          <w:rFonts w:cs="Times New Roman"/>
          <w:szCs w:val="24"/>
          <w:lang w:bidi="bn-IN"/>
        </w:rPr>
        <w:t>Premier Inn. (2022). Investors.  Available at: https://www.premierinn.com/gb/en/investors.html [Accessed 10 Oct. 2023].</w:t>
      </w:r>
    </w:p>
    <w:p w14:paraId="6D4CFC3B" w14:textId="77777777" w:rsidR="00CD1495" w:rsidRPr="0079518E" w:rsidRDefault="00CD1495" w:rsidP="00CD1495">
      <w:pPr>
        <w:rPr>
          <w:rFonts w:cs="Times New Roman"/>
          <w:szCs w:val="24"/>
          <w:lang w:bidi="bn-IN"/>
        </w:rPr>
      </w:pPr>
      <w:r w:rsidRPr="0079518E">
        <w:rPr>
          <w:rFonts w:cs="Times New Roman"/>
          <w:szCs w:val="24"/>
          <w:lang w:bidi="bn-IN"/>
        </w:rPr>
        <w:t>Premier Inn. (2023). Our story. Available at: https://www.premierinn.com/gb/en/about/our-story.html [Accessed 10 Oct. 2023].</w:t>
      </w:r>
    </w:p>
    <w:p w14:paraId="3D7562D0" w14:textId="77777777" w:rsidR="00CD1495" w:rsidRPr="0079518E" w:rsidRDefault="00CD1495" w:rsidP="00CD1495">
      <w:pPr>
        <w:rPr>
          <w:rFonts w:cs="Times New Roman"/>
          <w:szCs w:val="24"/>
          <w:lang w:bidi="bn-IN"/>
        </w:rPr>
      </w:pPr>
      <w:r w:rsidRPr="0079518E">
        <w:rPr>
          <w:rFonts w:cs="Times New Roman"/>
          <w:szCs w:val="24"/>
          <w:lang w:bidi="bn-IN"/>
        </w:rPr>
        <w:t xml:space="preserve">Prideaux, B., </w:t>
      </w:r>
      <w:proofErr w:type="spellStart"/>
      <w:r w:rsidRPr="0079518E">
        <w:rPr>
          <w:rFonts w:cs="Times New Roman"/>
          <w:szCs w:val="24"/>
          <w:lang w:bidi="bn-IN"/>
        </w:rPr>
        <w:t>Moscardo</w:t>
      </w:r>
      <w:proofErr w:type="spellEnd"/>
      <w:r w:rsidRPr="0079518E">
        <w:rPr>
          <w:rFonts w:cs="Times New Roman"/>
          <w:szCs w:val="24"/>
          <w:lang w:bidi="bn-IN"/>
        </w:rPr>
        <w:t>, G., and Laws, E. (2016). Events in Indonesia: exploring the limits to formal tourism trends analysis. Journal of Travel Research, 45(1), 30-38.</w:t>
      </w:r>
    </w:p>
    <w:p w14:paraId="5B5C974F" w14:textId="77777777" w:rsidR="00CD1495" w:rsidRPr="0079518E" w:rsidRDefault="00CD1495" w:rsidP="00CD1495">
      <w:pPr>
        <w:rPr>
          <w:rFonts w:cs="Times New Roman"/>
          <w:szCs w:val="24"/>
          <w:lang w:bidi="bn-IN"/>
        </w:rPr>
      </w:pPr>
      <w:r w:rsidRPr="0079518E">
        <w:rPr>
          <w:rFonts w:cs="Times New Roman"/>
          <w:szCs w:val="24"/>
          <w:lang w:bidi="bn-IN"/>
        </w:rPr>
        <w:t>Rahman, M. T., and Seraj, S. (2018). Branding the tourist destination: A conceptual framework. Journal of Place Management and Development, 11(4), 441-459.</w:t>
      </w:r>
    </w:p>
    <w:p w14:paraId="0A259210" w14:textId="77777777" w:rsidR="00CD1495" w:rsidRPr="0079518E" w:rsidRDefault="00CD1495" w:rsidP="00CD1495">
      <w:pPr>
        <w:rPr>
          <w:rFonts w:cs="Times New Roman"/>
          <w:szCs w:val="24"/>
          <w:lang w:bidi="bn-IN"/>
        </w:rPr>
      </w:pPr>
      <w:r w:rsidRPr="0079518E">
        <w:rPr>
          <w:rFonts w:cs="Times New Roman"/>
          <w:szCs w:val="24"/>
          <w:lang w:bidi="bn-IN"/>
        </w:rPr>
        <w:t>Ritchie, J. B., and Crouch, G. I. (2013). The competitive destination: A sustainable tourism perspective. CABI.</w:t>
      </w:r>
    </w:p>
    <w:p w14:paraId="5E61138D" w14:textId="77777777" w:rsidR="00CD1495" w:rsidRPr="0079518E" w:rsidRDefault="00CD1495" w:rsidP="00CD1495">
      <w:pPr>
        <w:rPr>
          <w:rFonts w:cs="Times New Roman"/>
          <w:szCs w:val="24"/>
          <w:lang w:bidi="bn-IN"/>
        </w:rPr>
      </w:pPr>
      <w:r w:rsidRPr="0079518E">
        <w:rPr>
          <w:rFonts w:cs="Times New Roman"/>
          <w:szCs w:val="24"/>
          <w:lang w:bidi="bn-IN"/>
        </w:rPr>
        <w:t xml:space="preserve">Song, H., and Li, G. (2018). Tourism demand </w:t>
      </w:r>
      <w:proofErr w:type="spellStart"/>
      <w:r w:rsidRPr="0079518E">
        <w:rPr>
          <w:rFonts w:cs="Times New Roman"/>
          <w:szCs w:val="24"/>
          <w:lang w:bidi="bn-IN"/>
        </w:rPr>
        <w:t>modeling</w:t>
      </w:r>
      <w:proofErr w:type="spellEnd"/>
      <w:r w:rsidRPr="0079518E">
        <w:rPr>
          <w:rFonts w:cs="Times New Roman"/>
          <w:szCs w:val="24"/>
          <w:lang w:bidi="bn-IN"/>
        </w:rPr>
        <w:t xml:space="preserve"> and forecasting—A review of recent research. Tourism Management, 29(2), 203-220.</w:t>
      </w:r>
    </w:p>
    <w:p w14:paraId="4D37FAB6" w14:textId="77777777" w:rsidR="00CD1495" w:rsidRPr="0079518E" w:rsidRDefault="00CD1495" w:rsidP="00CD1495">
      <w:pPr>
        <w:rPr>
          <w:rFonts w:cs="Times New Roman"/>
          <w:szCs w:val="24"/>
          <w:lang w:bidi="bn-IN"/>
        </w:rPr>
      </w:pPr>
      <w:r w:rsidRPr="0079518E">
        <w:rPr>
          <w:rFonts w:cs="Times New Roman"/>
          <w:szCs w:val="24"/>
          <w:lang w:bidi="bn-IN"/>
        </w:rPr>
        <w:t xml:space="preserve">Tribe, J. (2015). The Economics of Recreation, </w:t>
      </w:r>
      <w:proofErr w:type="gramStart"/>
      <w:r w:rsidRPr="0079518E">
        <w:rPr>
          <w:rFonts w:cs="Times New Roman"/>
          <w:szCs w:val="24"/>
          <w:lang w:bidi="bn-IN"/>
        </w:rPr>
        <w:t>Leisure</w:t>
      </w:r>
      <w:proofErr w:type="gramEnd"/>
      <w:r w:rsidRPr="0079518E">
        <w:rPr>
          <w:rFonts w:cs="Times New Roman"/>
          <w:szCs w:val="24"/>
          <w:lang w:bidi="bn-IN"/>
        </w:rPr>
        <w:t xml:space="preserve"> and Tourism. Butterworth-Heinemann.</w:t>
      </w:r>
    </w:p>
    <w:p w14:paraId="779A06EF" w14:textId="77777777" w:rsidR="00CD1495" w:rsidRPr="0079518E" w:rsidRDefault="00CD1495" w:rsidP="00CD1495">
      <w:pPr>
        <w:rPr>
          <w:rFonts w:cs="Times New Roman"/>
          <w:szCs w:val="24"/>
          <w:lang w:bidi="bn-IN"/>
        </w:rPr>
      </w:pPr>
      <w:r w:rsidRPr="0079518E">
        <w:rPr>
          <w:rFonts w:cs="Times New Roman"/>
          <w:szCs w:val="24"/>
          <w:lang w:bidi="bn-IN"/>
        </w:rPr>
        <w:lastRenderedPageBreak/>
        <w:t>Wang, D., and Fesenmaier, D. R. (2014). Assessing destination images on the web: A social identity perspective. In Information and communication technologies in tourism 2004 (pp. 202-211). Springer.</w:t>
      </w:r>
    </w:p>
    <w:p w14:paraId="6B08F176" w14:textId="77777777" w:rsidR="00CD1495" w:rsidRPr="0079518E" w:rsidRDefault="00CD1495" w:rsidP="00CD1495">
      <w:pPr>
        <w:rPr>
          <w:rFonts w:cs="Times New Roman"/>
          <w:szCs w:val="24"/>
          <w:lang w:bidi="bn-IN"/>
        </w:rPr>
      </w:pPr>
      <w:r w:rsidRPr="0079518E">
        <w:rPr>
          <w:rFonts w:cs="Times New Roman"/>
          <w:szCs w:val="24"/>
          <w:lang w:bidi="bn-IN"/>
        </w:rPr>
        <w:t>Wirtz, J., and Lovelock, C. (2016). Services Marketing: People, Technology, Strategy. World Scientific.</w:t>
      </w:r>
    </w:p>
    <w:p w14:paraId="512438C6" w14:textId="77777777" w:rsidR="00CD1495" w:rsidRPr="0079518E" w:rsidRDefault="00CD1495" w:rsidP="00CD1495">
      <w:pPr>
        <w:rPr>
          <w:rFonts w:cs="Times New Roman"/>
          <w:szCs w:val="24"/>
          <w:lang w:bidi="bn-IN"/>
        </w:rPr>
      </w:pPr>
      <w:r w:rsidRPr="0079518E">
        <w:rPr>
          <w:rFonts w:cs="Times New Roman"/>
          <w:szCs w:val="24"/>
          <w:lang w:bidi="bn-IN"/>
        </w:rPr>
        <w:t>World Travel and Tourism Council. (2023). Economic Impact of Travel and Tourism.  Available at: https://www.wttc.org/ [Accessed 11 Oct 2023].</w:t>
      </w:r>
    </w:p>
    <w:p w14:paraId="75A2D5F9" w14:textId="77777777" w:rsidR="00CD1495" w:rsidRPr="0079518E" w:rsidRDefault="00CD1495" w:rsidP="00CD1495">
      <w:pPr>
        <w:rPr>
          <w:rFonts w:cs="Times New Roman"/>
          <w:szCs w:val="24"/>
          <w:lang w:bidi="bn-IN"/>
        </w:rPr>
      </w:pPr>
      <w:r w:rsidRPr="0079518E">
        <w:rPr>
          <w:rFonts w:cs="Times New Roman"/>
          <w:szCs w:val="24"/>
          <w:lang w:bidi="bn-IN"/>
        </w:rPr>
        <w:t>Xu, J., Chan, A. P., and Chan, D. W. (2018). An intelligent system for predicting final account disputes in construction projects. Automation in Construction, 17(4), 313-322.</w:t>
      </w:r>
    </w:p>
    <w:p w14:paraId="02F7ADB1" w14:textId="77777777" w:rsidR="00CD1495" w:rsidRPr="0079518E" w:rsidRDefault="00CD1495" w:rsidP="00CD1495">
      <w:pPr>
        <w:rPr>
          <w:rFonts w:cs="Times New Roman"/>
          <w:szCs w:val="24"/>
          <w:lang w:bidi="bn-IN"/>
        </w:rPr>
      </w:pPr>
      <w:r w:rsidRPr="0079518E">
        <w:rPr>
          <w:rFonts w:cs="Times New Roman"/>
          <w:szCs w:val="24"/>
          <w:lang w:bidi="bn-IN"/>
        </w:rPr>
        <w:t>Yang, F. X., Wong, I. A., Wang, D., and Huang, D. (2015). Impact of online reviews on hotel booking intention and trust. International Journal of Hospitality Management, 47, 174-185.</w:t>
      </w:r>
    </w:p>
    <w:p w14:paraId="72CF1911" w14:textId="77777777" w:rsidR="00CD1495" w:rsidRPr="0079518E" w:rsidRDefault="00CD1495" w:rsidP="00CD1495">
      <w:pPr>
        <w:rPr>
          <w:rFonts w:cs="Times New Roman"/>
          <w:szCs w:val="24"/>
          <w:lang w:bidi="bn-IN"/>
        </w:rPr>
      </w:pPr>
      <w:r w:rsidRPr="0079518E">
        <w:rPr>
          <w:rFonts w:cs="Times New Roman"/>
          <w:szCs w:val="24"/>
          <w:lang w:bidi="bn-IN"/>
        </w:rPr>
        <w:t>Yeoman, I., and McMahon-Beattie, U. (2014). Developing a cultural tourism calendar. Annals of Tourism Research, 31(4), 862-883.</w:t>
      </w:r>
    </w:p>
    <w:p w14:paraId="43CAAA5B" w14:textId="0E01A31B" w:rsidR="006C0E40" w:rsidRDefault="00CD1495" w:rsidP="006125A8">
      <w:r w:rsidRPr="0079518E">
        <w:rPr>
          <w:szCs w:val="24"/>
          <w:lang w:bidi="bn-IN"/>
        </w:rPr>
        <w:t>Zhang, Y., and Song, H. (2019). E-commerce and its impact on online and offline businesses: An analysis of the hotel industry. Journ</w:t>
      </w:r>
      <w:r w:rsidRPr="001F7BFA">
        <w:rPr>
          <w:lang w:bidi="bn-IN"/>
        </w:rPr>
        <w:t>al of Travel Research, 004</w:t>
      </w:r>
    </w:p>
    <w:sectPr w:rsidR="006C0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BCB"/>
    <w:rsid w:val="00022A65"/>
    <w:rsid w:val="006125A8"/>
    <w:rsid w:val="006C0E40"/>
    <w:rsid w:val="0079518E"/>
    <w:rsid w:val="00CD1495"/>
    <w:rsid w:val="00E95B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830A7"/>
  <w15:chartTrackingRefBased/>
  <w15:docId w15:val="{A2368307-2C4F-447B-AAC1-7B8DF482D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495"/>
    <w:pPr>
      <w:spacing w:line="360" w:lineRule="auto"/>
      <w:jc w:val="both"/>
    </w:pPr>
    <w:rPr>
      <w:rFonts w:ascii="Times New Roman" w:eastAsia="Calibri" w:hAnsi="Times New Roman" w:cs="Vrinda"/>
      <w:sz w:val="24"/>
      <w:szCs w:val="28"/>
      <w:lang w:bidi="bn-BD"/>
      <w14:ligatures w14:val="none"/>
    </w:rPr>
  </w:style>
  <w:style w:type="paragraph" w:styleId="Heading1">
    <w:name w:val="heading 1"/>
    <w:basedOn w:val="Normal"/>
    <w:next w:val="Normal"/>
    <w:link w:val="Heading1Char"/>
    <w:uiPriority w:val="9"/>
    <w:qFormat/>
    <w:rsid w:val="00CD1495"/>
    <w:pPr>
      <w:keepNext/>
      <w:keepLines/>
      <w:spacing w:before="240" w:after="0"/>
      <w:outlineLvl w:val="0"/>
    </w:pPr>
    <w:rPr>
      <w:rFonts w:eastAsia="SimSun"/>
      <w:b/>
      <w:color w:val="2F5496"/>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495"/>
    <w:rPr>
      <w:rFonts w:ascii="Times New Roman" w:eastAsia="SimSun" w:hAnsi="Times New Roman" w:cs="Vrinda"/>
      <w:b/>
      <w:noProof/>
      <w:color w:val="2F5496"/>
      <w:sz w:val="32"/>
      <w:szCs w:val="40"/>
      <w:lang w:bidi="bn-BD"/>
      <w14:ligatures w14:val="none"/>
    </w:rPr>
  </w:style>
  <w:style w:type="paragraph" w:styleId="TOCHeading">
    <w:name w:val="TOC Heading"/>
    <w:basedOn w:val="Heading1"/>
    <w:next w:val="Normal"/>
    <w:uiPriority w:val="39"/>
    <w:qFormat/>
    <w:rsid w:val="00CD1495"/>
    <w:pPr>
      <w:spacing w:line="259" w:lineRule="auto"/>
      <w:jc w:val="left"/>
      <w:outlineLvl w:val="9"/>
    </w:pPr>
    <w:rPr>
      <w:rFonts w:ascii="Calibri Light" w:hAnsi="Calibri Light"/>
      <w:b w:val="0"/>
      <w:kern w:val="0"/>
      <w:szCs w:val="32"/>
      <w:lang w:bidi="ar-SA"/>
    </w:rPr>
  </w:style>
  <w:style w:type="paragraph" w:styleId="TOC1">
    <w:name w:val="toc 1"/>
    <w:basedOn w:val="Normal"/>
    <w:next w:val="Normal"/>
    <w:uiPriority w:val="39"/>
    <w:qFormat/>
    <w:rsid w:val="00CD1495"/>
    <w:pPr>
      <w:spacing w:after="100"/>
    </w:pPr>
  </w:style>
  <w:style w:type="character" w:styleId="Hyperlink">
    <w:name w:val="Hyperlink"/>
    <w:basedOn w:val="DefaultParagraphFont"/>
    <w:uiPriority w:val="99"/>
    <w:rsid w:val="00CD1495"/>
    <w:rPr>
      <w:color w:val="0563C1"/>
      <w:u w:val="single"/>
    </w:rPr>
  </w:style>
  <w:style w:type="paragraph" w:styleId="NoSpacing">
    <w:name w:val="No Spacing"/>
    <w:uiPriority w:val="1"/>
    <w:qFormat/>
    <w:rsid w:val="00022A65"/>
    <w:pPr>
      <w:spacing w:after="0" w:line="240" w:lineRule="auto"/>
      <w:jc w:val="both"/>
    </w:pPr>
    <w:rPr>
      <w:rFonts w:ascii="Times New Roman" w:eastAsia="Calibri" w:hAnsi="Times New Roman" w:cs="Vrinda"/>
      <w:noProof/>
      <w:sz w:val="24"/>
      <w:szCs w:val="28"/>
      <w:lang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2885</Words>
  <Characters>16446</Characters>
  <Application>Microsoft Office Word</Application>
  <DocSecurity>0</DocSecurity>
  <Lines>137</Lines>
  <Paragraphs>38</Paragraphs>
  <ScaleCrop>false</ScaleCrop>
  <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5</cp:revision>
  <dcterms:created xsi:type="dcterms:W3CDTF">2023-10-20T16:07:00Z</dcterms:created>
  <dcterms:modified xsi:type="dcterms:W3CDTF">2023-10-20T20:14:00Z</dcterms:modified>
</cp:coreProperties>
</file>