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FDB5C9" w14:textId="290E936B" w:rsidR="00B03BAA" w:rsidRPr="00B03BAA" w:rsidRDefault="00B03BAA" w:rsidP="00B03BAA">
      <w:pPr>
        <w:jc w:val="center"/>
        <w:rPr>
          <w:b/>
          <w:bCs/>
        </w:rPr>
      </w:pPr>
      <w:r w:rsidRPr="00B03BAA">
        <w:rPr>
          <w:b/>
          <w:bCs/>
        </w:rPr>
        <w:fldChar w:fldCharType="begin"/>
      </w:r>
      <w:r w:rsidRPr="00B03BAA">
        <w:rPr>
          <w:b/>
          <w:bCs/>
        </w:rPr>
        <w:instrText xml:space="preserve"> INCLUDEPICTURE "/Users/AzZedin01/Library/Group Containers/UBF8T346G9.ms/WebArchiveCopyPasteTempFiles/com.microsoft.Word/image%20%282%29.png" \* MERGEFORMATINET </w:instrText>
      </w:r>
      <w:r w:rsidRPr="00B03BAA">
        <w:rPr>
          <w:b/>
          <w:bCs/>
        </w:rPr>
        <w:fldChar w:fldCharType="separate"/>
      </w:r>
      <w:r w:rsidRPr="00B03BAA">
        <w:rPr>
          <w:b/>
          <w:bCs/>
        </w:rPr>
        <w:drawing>
          <wp:inline distT="0" distB="0" distL="0" distR="0" wp14:anchorId="0AA3E756" wp14:editId="086968CA">
            <wp:extent cx="2730500" cy="2705100"/>
            <wp:effectExtent l="0" t="0" r="0" b="0"/>
            <wp:docPr id="2022500995" name="Picture 6"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500995" name="Picture 6" descr="A blue and white logo&#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30500" cy="2705100"/>
                    </a:xfrm>
                    <a:prstGeom prst="rect">
                      <a:avLst/>
                    </a:prstGeom>
                    <a:noFill/>
                    <a:ln>
                      <a:noFill/>
                    </a:ln>
                  </pic:spPr>
                </pic:pic>
              </a:graphicData>
            </a:graphic>
          </wp:inline>
        </w:drawing>
      </w:r>
      <w:r w:rsidRPr="00B03BAA">
        <w:fldChar w:fldCharType="end"/>
      </w:r>
    </w:p>
    <w:p w14:paraId="2B338B1B" w14:textId="77777777" w:rsidR="00B03BAA" w:rsidRPr="00B03BAA" w:rsidRDefault="00B03BAA" w:rsidP="00B03BAA">
      <w:pPr>
        <w:rPr>
          <w:b/>
          <w:bCs/>
        </w:rPr>
      </w:pPr>
      <w:r w:rsidRPr="00B03BAA">
        <w:rPr>
          <w:b/>
          <w:bCs/>
        </w:rPr>
        <w:t>Introduction</w:t>
      </w:r>
    </w:p>
    <w:p w14:paraId="736C4F4A" w14:textId="77777777" w:rsidR="00B03BAA" w:rsidRPr="00B03BAA" w:rsidRDefault="00B03BAA" w:rsidP="00B03BAA">
      <w:r w:rsidRPr="00B03BAA">
        <w:t>Unilever UK has emerged as a leader in integrating </w:t>
      </w:r>
      <w:r w:rsidRPr="00B03BAA">
        <w:rPr>
          <w:b/>
          <w:bCs/>
        </w:rPr>
        <w:t>Corporate Social Responsibility (CSR)</w:t>
      </w:r>
      <w:r w:rsidRPr="00B03BAA">
        <w:t> into its business strategy. Its approach aligns closely with evolving UK government policies that promote sustainability, transparency, and ethical business practices. Through initiatives such as the </w:t>
      </w:r>
      <w:r w:rsidRPr="00B03BAA">
        <w:rPr>
          <w:b/>
          <w:bCs/>
        </w:rPr>
        <w:t>Unilever Sustainable Living Plan</w:t>
      </w:r>
      <w:r w:rsidRPr="00B03BAA">
        <w:t>, the </w:t>
      </w:r>
      <w:r w:rsidRPr="00B03BAA">
        <w:rPr>
          <w:b/>
          <w:bCs/>
        </w:rPr>
        <w:t>Climate Transition Action Plan</w:t>
      </w:r>
      <w:r w:rsidRPr="00B03BAA">
        <w:t>, and its commitment to </w:t>
      </w:r>
      <w:r w:rsidRPr="00B03BAA">
        <w:rPr>
          <w:b/>
          <w:bCs/>
        </w:rPr>
        <w:t>net-zero emissions</w:t>
      </w:r>
      <w:r w:rsidRPr="00B03BAA">
        <w:t>, Unilever has reshaped its competitive landscape. This case study explores how CSR influences each of </w:t>
      </w:r>
      <w:r w:rsidRPr="00B03BAA">
        <w:rPr>
          <w:b/>
          <w:bCs/>
        </w:rPr>
        <w:t>Porter’s Five Forces</w:t>
      </w:r>
      <w:r w:rsidRPr="00B03BAA">
        <w:t>, supported by UK-specific data and policy context.</w:t>
      </w:r>
    </w:p>
    <w:p w14:paraId="1D2ACAD6" w14:textId="7D064C04" w:rsidR="00B03BAA" w:rsidRPr="00B03BAA" w:rsidRDefault="00B03BAA" w:rsidP="00B03BAA"/>
    <w:p w14:paraId="0DB43E73" w14:textId="77777777" w:rsidR="00B03BAA" w:rsidRPr="00B03BAA" w:rsidRDefault="00B03BAA" w:rsidP="00B03BAA">
      <w:pPr>
        <w:rPr>
          <w:b/>
          <w:bCs/>
        </w:rPr>
      </w:pPr>
      <w:r w:rsidRPr="00B03BAA">
        <w:rPr>
          <w:b/>
          <w:bCs/>
        </w:rPr>
        <w:t>1. Threat of New Entrants</w:t>
      </w:r>
    </w:p>
    <w:p w14:paraId="56CC78EC" w14:textId="3C35A41A" w:rsidR="00B03BAA" w:rsidRPr="00B03BAA" w:rsidRDefault="00B03BAA" w:rsidP="00B03BAA">
      <w:r w:rsidRPr="00B03BAA">
        <w:t>Unilever UK’s CSR strategy creates high barriers to entry. The company’s commitment to net-zero emissions by 2039 is operationalised through low-carbon logistics and manufacturing. For example, Unilever has delivered over </w:t>
      </w:r>
      <w:r w:rsidRPr="00B03BAA">
        <w:rPr>
          <w:b/>
          <w:bCs/>
        </w:rPr>
        <w:t>1 million kilometres using Hydrotreated Vegetable Oil (HVO)</w:t>
      </w:r>
      <w:r w:rsidRPr="00B03BAA">
        <w:t>, cutting CO₂ emissions by more than </w:t>
      </w:r>
      <w:r w:rsidRPr="00B03BAA">
        <w:rPr>
          <w:b/>
          <w:bCs/>
        </w:rPr>
        <w:t>1,000 tonnes</w:t>
      </w:r>
      <w:r w:rsidRPr="00B03BAA">
        <w:t>.</w:t>
      </w:r>
      <w:r w:rsidRPr="00B03BAA">
        <w:t xml:space="preserve"> </w:t>
      </w:r>
    </w:p>
    <w:p w14:paraId="7D47E9F2" w14:textId="4CCB638F" w:rsidR="00B03BAA" w:rsidRPr="00B03BAA" w:rsidRDefault="00B03BAA" w:rsidP="00B03BAA">
      <w:r w:rsidRPr="00B03BAA">
        <w:t>These efforts align with the UK’s </w:t>
      </w:r>
      <w:r w:rsidRPr="00B03BAA">
        <w:rPr>
          <w:b/>
          <w:bCs/>
        </w:rPr>
        <w:t>Procurement Act 2023</w:t>
      </w:r>
      <w:r w:rsidRPr="00B03BAA">
        <w:t>, which mandates sustainability and social value as key criteria in public procurement. The shift from “Most Economically Advantageous Tender” (MEAT) to “Most Advantageous Tender” (MAT) encourages businesses to consider environmental costs in bids.</w:t>
      </w:r>
      <w:r w:rsidRPr="00B03BAA">
        <w:t xml:space="preserve"> </w:t>
      </w:r>
    </w:p>
    <w:p w14:paraId="4AE6DE8D" w14:textId="77777777" w:rsidR="00B03BAA" w:rsidRPr="00B03BAA" w:rsidRDefault="00B03BAA" w:rsidP="00B03BAA">
      <w:r w:rsidRPr="00B03BAA">
        <w:rPr>
          <w:b/>
          <w:bCs/>
        </w:rPr>
        <w:t>Strategic Insight</w:t>
      </w:r>
      <w:r w:rsidRPr="00B03BAA">
        <w:t>: CSR compliance with UK policy creates a </w:t>
      </w:r>
      <w:r w:rsidRPr="00B03BAA">
        <w:rPr>
          <w:b/>
          <w:bCs/>
        </w:rPr>
        <w:t>reputation moat</w:t>
      </w:r>
      <w:r w:rsidRPr="00B03BAA">
        <w:t>, making it difficult for new entrants to compete without similar ethical and environmental credentials.</w:t>
      </w:r>
    </w:p>
    <w:p w14:paraId="15F4A7F5" w14:textId="6525FA75" w:rsidR="00B03BAA" w:rsidRPr="00B03BAA" w:rsidRDefault="00B03BAA" w:rsidP="00B03BAA"/>
    <w:p w14:paraId="65DC2896" w14:textId="77777777" w:rsidR="00B03BAA" w:rsidRPr="00B03BAA" w:rsidRDefault="00B03BAA" w:rsidP="00B03BAA">
      <w:pPr>
        <w:rPr>
          <w:b/>
          <w:bCs/>
        </w:rPr>
      </w:pPr>
      <w:r w:rsidRPr="00B03BAA">
        <w:rPr>
          <w:b/>
          <w:bCs/>
        </w:rPr>
        <w:t>2. Bargaining Power of Suppliers</w:t>
      </w:r>
    </w:p>
    <w:p w14:paraId="4A0DE061" w14:textId="4584DE8C" w:rsidR="00B03BAA" w:rsidRPr="00B03BAA" w:rsidRDefault="00B03BAA" w:rsidP="00B03BAA">
      <w:r w:rsidRPr="00B03BAA">
        <w:t>Unilever UK reduces supplier power through ethical sourcing and collaborative partnerships. Its </w:t>
      </w:r>
      <w:r w:rsidRPr="00B03BAA">
        <w:rPr>
          <w:b/>
          <w:bCs/>
        </w:rPr>
        <w:t>Living Wage programme</w:t>
      </w:r>
      <w:r w:rsidRPr="00B03BAA">
        <w:t> and </w:t>
      </w:r>
      <w:r w:rsidRPr="00B03BAA">
        <w:rPr>
          <w:b/>
          <w:bCs/>
        </w:rPr>
        <w:t>supplier ESG scorecards</w:t>
      </w:r>
      <w:r w:rsidRPr="00B03BAA">
        <w:t> ensure fair treatment and transparency across the supply chain. </w:t>
      </w:r>
      <w:r w:rsidRPr="00B03BAA">
        <w:t xml:space="preserve"> </w:t>
      </w:r>
    </w:p>
    <w:p w14:paraId="1165B392" w14:textId="32ED993E" w:rsidR="00B03BAA" w:rsidRPr="00B03BAA" w:rsidRDefault="00B03BAA" w:rsidP="00B03BAA">
      <w:r w:rsidRPr="00B03BAA">
        <w:t>UK government policy supports this approach. The </w:t>
      </w:r>
      <w:r w:rsidRPr="00B03BAA">
        <w:rPr>
          <w:b/>
          <w:bCs/>
        </w:rPr>
        <w:t>Modern Slavery Act 2015</w:t>
      </w:r>
      <w:r w:rsidRPr="00B03BAA">
        <w:t> requires companies to disclose steps taken to ensure slavery and human trafficking are not present in supply chains. Additionally, the </w:t>
      </w:r>
      <w:r w:rsidRPr="00B03BAA">
        <w:rPr>
          <w:b/>
          <w:bCs/>
        </w:rPr>
        <w:t>UK Sustainability Reporting Standards (UK SRS)</w:t>
      </w:r>
      <w:r w:rsidRPr="00B03BAA">
        <w:t> will require companies to report ESG performance, including supplier practices, from 2025 onwards. </w:t>
      </w:r>
      <w:r w:rsidRPr="00B03BAA">
        <w:t xml:space="preserve"> </w:t>
      </w:r>
    </w:p>
    <w:p w14:paraId="05A6A2B6" w14:textId="77777777" w:rsidR="00B03BAA" w:rsidRPr="00B03BAA" w:rsidRDefault="00B03BAA" w:rsidP="00B03BAA">
      <w:r w:rsidRPr="00B03BAA">
        <w:rPr>
          <w:b/>
          <w:bCs/>
        </w:rPr>
        <w:lastRenderedPageBreak/>
        <w:t>Strategic Insight</w:t>
      </w:r>
      <w:r w:rsidRPr="00B03BAA">
        <w:t>: CSR transforms supplier relationships into </w:t>
      </w:r>
      <w:r w:rsidRPr="00B03BAA">
        <w:rPr>
          <w:b/>
          <w:bCs/>
        </w:rPr>
        <w:t>strategic alliances</w:t>
      </w:r>
      <w:r w:rsidRPr="00B03BAA">
        <w:t>, reducing risk and enhancing resilience.</w:t>
      </w:r>
    </w:p>
    <w:p w14:paraId="64BCDC35" w14:textId="60B399F3" w:rsidR="00B03BAA" w:rsidRPr="00B03BAA" w:rsidRDefault="00B03BAA" w:rsidP="00B03BAA"/>
    <w:p w14:paraId="3C58D105" w14:textId="77777777" w:rsidR="00B03BAA" w:rsidRPr="00B03BAA" w:rsidRDefault="00B03BAA" w:rsidP="00B03BAA">
      <w:pPr>
        <w:rPr>
          <w:b/>
          <w:bCs/>
        </w:rPr>
      </w:pPr>
      <w:r w:rsidRPr="00B03BAA">
        <w:rPr>
          <w:b/>
          <w:bCs/>
        </w:rPr>
        <w:t>3. Bargaining Power of Buyers</w:t>
      </w:r>
    </w:p>
    <w:p w14:paraId="365778A5" w14:textId="2782D9D8" w:rsidR="00B03BAA" w:rsidRPr="00B03BAA" w:rsidRDefault="00B03BAA" w:rsidP="00B03BAA">
      <w:r w:rsidRPr="00B03BAA">
        <w:t>Unilever UK’s CSR initiatives increase brand loyalty and reduce buyer power. UK consumers are increasingly influenced by ethical branding. For example, </w:t>
      </w:r>
      <w:r w:rsidRPr="00B03BAA">
        <w:rPr>
          <w:b/>
          <w:bCs/>
        </w:rPr>
        <w:t>Dove’s Real Beauty campaign</w:t>
      </w:r>
      <w:r w:rsidRPr="00B03BAA">
        <w:t> and </w:t>
      </w:r>
      <w:r w:rsidRPr="00B03BAA">
        <w:rPr>
          <w:b/>
          <w:bCs/>
        </w:rPr>
        <w:t>Ben &amp; Jerry’s climate justice advocacy</w:t>
      </w:r>
      <w:r w:rsidRPr="00B03BAA">
        <w:t> resonate with socially conscious audiences. </w:t>
      </w:r>
      <w:r w:rsidRPr="00B03BAA">
        <w:t xml:space="preserve"> </w:t>
      </w:r>
    </w:p>
    <w:p w14:paraId="54BC24E3" w14:textId="4F07D55C" w:rsidR="00B03BAA" w:rsidRPr="00B03BAA" w:rsidRDefault="00B03BAA" w:rsidP="00B03BAA">
      <w:r w:rsidRPr="00B03BAA">
        <w:t>Government-backed frameworks such as the </w:t>
      </w:r>
      <w:r w:rsidRPr="00B03BAA">
        <w:rPr>
          <w:b/>
          <w:bCs/>
        </w:rPr>
        <w:t>UK Green Finance Strategy</w:t>
      </w:r>
      <w:r w:rsidRPr="00B03BAA">
        <w:t> and </w:t>
      </w:r>
      <w:r w:rsidRPr="00B03BAA">
        <w:rPr>
          <w:b/>
          <w:bCs/>
        </w:rPr>
        <w:t>Clean Growth Strategy</w:t>
      </w:r>
      <w:r>
        <w:rPr>
          <w:b/>
          <w:bCs/>
        </w:rPr>
        <w:t xml:space="preserve"> </w:t>
      </w:r>
      <w:r w:rsidRPr="00B03BAA">
        <w:t>encourage businesses to align with consumer expectations for sustainability. These policies support market conditions where CSR becomes a competitive differentiator.</w:t>
      </w:r>
      <w:r w:rsidRPr="00B03BAA">
        <w:t xml:space="preserve"> </w:t>
      </w:r>
    </w:p>
    <w:p w14:paraId="50DFF53A" w14:textId="77777777" w:rsidR="00B03BAA" w:rsidRPr="00B03BAA" w:rsidRDefault="00B03BAA" w:rsidP="00B03BAA">
      <w:r w:rsidRPr="00B03BAA">
        <w:rPr>
          <w:b/>
          <w:bCs/>
        </w:rPr>
        <w:t>Strategic Insight</w:t>
      </w:r>
      <w:r w:rsidRPr="00B03BAA">
        <w:t>: CSR enhances </w:t>
      </w:r>
      <w:r w:rsidRPr="00B03BAA">
        <w:rPr>
          <w:b/>
          <w:bCs/>
        </w:rPr>
        <w:t>emotional engagement and perceived value</w:t>
      </w:r>
      <w:r w:rsidRPr="00B03BAA">
        <w:t xml:space="preserve">, making consumers less </w:t>
      </w:r>
      <w:proofErr w:type="gramStart"/>
      <w:r w:rsidRPr="00B03BAA">
        <w:t>price-sensitive</w:t>
      </w:r>
      <w:proofErr w:type="gramEnd"/>
      <w:r w:rsidRPr="00B03BAA">
        <w:t>.</w:t>
      </w:r>
    </w:p>
    <w:p w14:paraId="3ACF86F7" w14:textId="21CD6BF7" w:rsidR="00B03BAA" w:rsidRPr="00B03BAA" w:rsidRDefault="00B03BAA" w:rsidP="00B03BAA"/>
    <w:p w14:paraId="467983DA" w14:textId="77777777" w:rsidR="00B03BAA" w:rsidRPr="00B03BAA" w:rsidRDefault="00B03BAA" w:rsidP="00B03BAA">
      <w:pPr>
        <w:rPr>
          <w:b/>
          <w:bCs/>
        </w:rPr>
      </w:pPr>
      <w:r w:rsidRPr="00B03BAA">
        <w:rPr>
          <w:b/>
          <w:bCs/>
        </w:rPr>
        <w:t>4. Threat of Substitutes</w:t>
      </w:r>
    </w:p>
    <w:p w14:paraId="3EC41F08" w14:textId="5080CF98" w:rsidR="00B03BAA" w:rsidRPr="00B03BAA" w:rsidRDefault="00B03BAA" w:rsidP="00B03BAA">
      <w:r w:rsidRPr="00B03BAA">
        <w:t>Unilever UK’s CSR-driven innovation reduces the threat of substitutes. Products like </w:t>
      </w:r>
      <w:r w:rsidRPr="00B03BAA">
        <w:rPr>
          <w:b/>
          <w:bCs/>
        </w:rPr>
        <w:t>Persil Wonder Wash</w:t>
      </w:r>
      <w:r w:rsidRPr="00B03BAA">
        <w:t>, developed at the </w:t>
      </w:r>
      <w:r w:rsidRPr="00B03BAA">
        <w:rPr>
          <w:b/>
          <w:bCs/>
        </w:rPr>
        <w:t>Materials Innovation Factory in Liverpool</w:t>
      </w:r>
      <w:r w:rsidRPr="00B03BAA">
        <w:t>, offer environmental benefits and performance advantages. </w:t>
      </w:r>
      <w:r w:rsidRPr="00B03BAA">
        <w:t xml:space="preserve"> </w:t>
      </w:r>
    </w:p>
    <w:p w14:paraId="04E751C6" w14:textId="32AFC0DC" w:rsidR="00B03BAA" w:rsidRPr="00B03BAA" w:rsidRDefault="00B03BAA" w:rsidP="00B03BAA">
      <w:r w:rsidRPr="00B03BAA">
        <w:fldChar w:fldCharType="begin"/>
      </w:r>
      <w:r w:rsidRPr="00B03BAA">
        <w:instrText xml:space="preserve"> INCLUDEPICTURE "/Users/AzZedin01/Library/Group Containers/UBF8T346G9.ms/WebArchiveCopyPasteTempFiles/com.microsoft.Word/image%20%281%29.png" \* MERGEFORMATINET </w:instrText>
      </w:r>
      <w:r w:rsidRPr="00B03BAA">
        <w:fldChar w:fldCharType="separate"/>
      </w:r>
      <w:r w:rsidRPr="00B03BAA">
        <w:drawing>
          <wp:inline distT="0" distB="0" distL="0" distR="0" wp14:anchorId="0B385D78" wp14:editId="4EE5C34B">
            <wp:extent cx="5731510" cy="4512310"/>
            <wp:effectExtent l="0" t="0" r="0" b="0"/>
            <wp:docPr id="1259653778" name="Picture 4" descr="A collage of people in blue unifo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53778" name="Picture 4" descr="A collage of people in blue uniform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512310"/>
                    </a:xfrm>
                    <a:prstGeom prst="rect">
                      <a:avLst/>
                    </a:prstGeom>
                    <a:noFill/>
                    <a:ln>
                      <a:noFill/>
                    </a:ln>
                  </pic:spPr>
                </pic:pic>
              </a:graphicData>
            </a:graphic>
          </wp:inline>
        </w:drawing>
      </w:r>
      <w:r w:rsidRPr="00B03BAA">
        <w:fldChar w:fldCharType="end"/>
      </w:r>
    </w:p>
    <w:p w14:paraId="3938C091" w14:textId="0BAB4A4A" w:rsidR="00B03BAA" w:rsidRPr="00B03BAA" w:rsidRDefault="00B03BAA" w:rsidP="00B03BAA">
      <w:r w:rsidRPr="00B03BAA">
        <w:t>UK regulations such as the </w:t>
      </w:r>
      <w:r w:rsidRPr="00B03BAA">
        <w:rPr>
          <w:b/>
          <w:bCs/>
        </w:rPr>
        <w:t>Streamlined Energy and Carbon Reporting (SECR)</w:t>
      </w:r>
      <w:r w:rsidRPr="00B03BAA">
        <w:t> and </w:t>
      </w:r>
      <w:r w:rsidRPr="00B03BAA">
        <w:rPr>
          <w:b/>
          <w:bCs/>
        </w:rPr>
        <w:t>General Product Safety Regulations (GPSR)</w:t>
      </w:r>
      <w:r w:rsidRPr="00B03BAA">
        <w:t> require companies to disclose energy use and ensure product safety, reinforcing the value of sustainable innovation. </w:t>
      </w:r>
      <w:r w:rsidRPr="00B03BAA">
        <w:t xml:space="preserve"> </w:t>
      </w:r>
    </w:p>
    <w:p w14:paraId="2C7877CF" w14:textId="3801F38A" w:rsidR="00B03BAA" w:rsidRPr="00B03BAA" w:rsidRDefault="00B03BAA" w:rsidP="00B03BAA">
      <w:r w:rsidRPr="00B03BAA">
        <w:rPr>
          <w:b/>
          <w:bCs/>
        </w:rPr>
        <w:lastRenderedPageBreak/>
        <w:t>Strategic Insight</w:t>
      </w:r>
      <w:r w:rsidRPr="00B03BAA">
        <w:t>: CSR embeds </w:t>
      </w:r>
      <w:r w:rsidRPr="00B03BAA">
        <w:rPr>
          <w:b/>
          <w:bCs/>
        </w:rPr>
        <w:t>purpose and innovation</w:t>
      </w:r>
      <w:r w:rsidRPr="00B03BAA">
        <w:t> into products, making them harder to substitute.</w:t>
      </w:r>
    </w:p>
    <w:p w14:paraId="2498F999" w14:textId="77777777" w:rsidR="00B03BAA" w:rsidRPr="00B03BAA" w:rsidRDefault="00B03BAA" w:rsidP="00B03BAA">
      <w:pPr>
        <w:rPr>
          <w:b/>
          <w:bCs/>
        </w:rPr>
      </w:pPr>
      <w:r w:rsidRPr="00B03BAA">
        <w:rPr>
          <w:b/>
          <w:bCs/>
        </w:rPr>
        <w:t>5. Industry Rivalry</w:t>
      </w:r>
    </w:p>
    <w:p w14:paraId="1BAC1B4E" w14:textId="17FDB0BF" w:rsidR="00B03BAA" w:rsidRPr="00B03BAA" w:rsidRDefault="00B03BAA" w:rsidP="00B03BAA">
      <w:r w:rsidRPr="00B03BAA">
        <w:t>Unilever UK’s CSR strategy provides a competitive edge in a saturated market. Despite recent scrutiny over ESG target adjustments, Unilever remains a leader in sustainability reporting and innovation. It is consistently ranked on the </w:t>
      </w:r>
      <w:r w:rsidRPr="00B03BAA">
        <w:rPr>
          <w:b/>
          <w:bCs/>
        </w:rPr>
        <w:t>CDP Climate A List</w:t>
      </w:r>
      <w:r w:rsidRPr="00B03BAA">
        <w:t> and recognised by the </w:t>
      </w:r>
      <w:r w:rsidRPr="00B03BAA">
        <w:rPr>
          <w:b/>
          <w:bCs/>
        </w:rPr>
        <w:t>Gartner Supply Chain Masters</w:t>
      </w:r>
      <w:r w:rsidRPr="00B03BAA">
        <w:t>. </w:t>
      </w:r>
      <w:r w:rsidRPr="00B03BAA">
        <w:t xml:space="preserve"> </w:t>
      </w:r>
    </w:p>
    <w:p w14:paraId="34A04612" w14:textId="2970E0EB" w:rsidR="00B03BAA" w:rsidRPr="00B03BAA" w:rsidRDefault="00B03BAA" w:rsidP="00B03BAA">
      <w:r w:rsidRPr="00B03BAA">
        <w:t>The UK government’s </w:t>
      </w:r>
      <w:r w:rsidRPr="00B03BAA">
        <w:rPr>
          <w:b/>
          <w:bCs/>
        </w:rPr>
        <w:t>Sustainability Disclosure Requirements (SDR)</w:t>
      </w:r>
      <w:r w:rsidRPr="00B03BAA">
        <w:t> and </w:t>
      </w:r>
      <w:r w:rsidRPr="00B03BAA">
        <w:rPr>
          <w:b/>
          <w:bCs/>
        </w:rPr>
        <w:t>Transition Plan Taskforce (TPT)</w:t>
      </w:r>
      <w:r w:rsidRPr="00B03BAA">
        <w:t> frameworks are pushing companies to disclose climate-related risks and transition strategies, further embedding CSR into competitive dynamics. </w:t>
      </w:r>
      <w:r w:rsidRPr="00B03BAA">
        <w:t xml:space="preserve"> </w:t>
      </w:r>
    </w:p>
    <w:p w14:paraId="1B005017" w14:textId="4FDB7E6C" w:rsidR="00B03BAA" w:rsidRDefault="00B03BAA" w:rsidP="00B03BAA">
      <w:r w:rsidRPr="00B03BAA">
        <w:rPr>
          <w:b/>
          <w:bCs/>
        </w:rPr>
        <w:t>Strategic Insight</w:t>
      </w:r>
      <w:r w:rsidRPr="00B03BAA">
        <w:t>: CSR transforms rivalry into </w:t>
      </w:r>
      <w:r w:rsidRPr="00B03BAA">
        <w:rPr>
          <w:b/>
          <w:bCs/>
        </w:rPr>
        <w:t>purpose-driven competition</w:t>
      </w:r>
      <w:r w:rsidRPr="00B03BAA">
        <w:t>, where leadership is defined by impact.</w:t>
      </w:r>
    </w:p>
    <w:p w14:paraId="429B6D5C" w14:textId="77777777" w:rsidR="00B03BAA" w:rsidRPr="00B03BAA" w:rsidRDefault="00B03BAA" w:rsidP="00B03BAA"/>
    <w:p w14:paraId="4EFD78E8" w14:textId="1BC378BF" w:rsidR="00B03BAA" w:rsidRDefault="00B03BAA" w:rsidP="00B03BAA">
      <w:pPr>
        <w:rPr>
          <w:b/>
          <w:bCs/>
        </w:rPr>
      </w:pPr>
      <w:r w:rsidRPr="00B03BAA">
        <w:rPr>
          <w:b/>
          <w:bCs/>
        </w:rPr>
        <w:t>Conclusio</w:t>
      </w:r>
      <w:r>
        <w:rPr>
          <w:b/>
          <w:bCs/>
        </w:rPr>
        <w:t>n</w:t>
      </w:r>
    </w:p>
    <w:p w14:paraId="05DAB73E" w14:textId="77777777" w:rsidR="00B03BAA" w:rsidRPr="00B03BAA" w:rsidRDefault="00B03BAA" w:rsidP="00B03BAA">
      <w:pPr>
        <w:rPr>
          <w:b/>
          <w:bCs/>
        </w:rPr>
      </w:pPr>
    </w:p>
    <w:p w14:paraId="7507B057" w14:textId="77777777" w:rsidR="00B03BAA" w:rsidRPr="00B03BAA" w:rsidRDefault="00B03BAA" w:rsidP="00B03BAA">
      <w:r w:rsidRPr="00B03BAA">
        <w:t>Unilever UK’s CSR strategy is deeply aligned with UK government policy and regulatory frameworks. From reducing supplier dependency to enhancing consumer loyalty and differentiating products, CSR has become a strategic asset. For students and future business leaders, this case study illustrates how sustainability can drive both </w:t>
      </w:r>
      <w:r w:rsidRPr="00B03BAA">
        <w:rPr>
          <w:b/>
          <w:bCs/>
        </w:rPr>
        <w:t>social value</w:t>
      </w:r>
      <w:r w:rsidRPr="00B03BAA">
        <w:t> and </w:t>
      </w:r>
      <w:r w:rsidRPr="00B03BAA">
        <w:rPr>
          <w:b/>
          <w:bCs/>
        </w:rPr>
        <w:t>competitive advantage</w:t>
      </w:r>
      <w:r w:rsidRPr="00B03BAA">
        <w:t> in a policy-driven environment.</w:t>
      </w:r>
    </w:p>
    <w:p w14:paraId="5E74D71B" w14:textId="77777777" w:rsidR="00B03BAA" w:rsidRDefault="00B03BAA" w:rsidP="00B03BAA">
      <w:pPr>
        <w:rPr>
          <w:b/>
          <w:bCs/>
        </w:rPr>
      </w:pPr>
    </w:p>
    <w:p w14:paraId="4304EA86" w14:textId="31B7423C" w:rsidR="00B03BAA" w:rsidRPr="00B03BAA" w:rsidRDefault="00B03BAA" w:rsidP="00B03BAA">
      <w:pPr>
        <w:rPr>
          <w:b/>
          <w:bCs/>
        </w:rPr>
      </w:pPr>
      <w:r w:rsidRPr="00B03BAA">
        <w:rPr>
          <w:b/>
          <w:bCs/>
        </w:rPr>
        <w:t>Task</w:t>
      </w:r>
    </w:p>
    <w:p w14:paraId="0B82FD3B" w14:textId="5F81F564" w:rsidR="004F2663" w:rsidRPr="00B03BAA" w:rsidRDefault="00B03BAA">
      <w:r w:rsidRPr="00B03BAA">
        <w:t>Work in pairs or small groups to produce a mind map which shows how Unilever's CSR efforts impact each of the Porter's 5 forces.</w:t>
      </w:r>
    </w:p>
    <w:sectPr w:rsidR="004F2663" w:rsidRPr="00B03B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AA"/>
    <w:rsid w:val="00136289"/>
    <w:rsid w:val="004F2663"/>
    <w:rsid w:val="00B03BAA"/>
    <w:rsid w:val="00CA6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6DBF8"/>
  <w15:chartTrackingRefBased/>
  <w15:docId w15:val="{5698CBC4-2E1E-A44F-A854-0ECDF00CF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B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B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B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B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B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B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B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B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B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B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B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B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B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B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B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B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B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BAA"/>
    <w:rPr>
      <w:rFonts w:eastAsiaTheme="majorEastAsia" w:cstheme="majorBidi"/>
      <w:color w:val="272727" w:themeColor="text1" w:themeTint="D8"/>
    </w:rPr>
  </w:style>
  <w:style w:type="paragraph" w:styleId="Title">
    <w:name w:val="Title"/>
    <w:basedOn w:val="Normal"/>
    <w:next w:val="Normal"/>
    <w:link w:val="TitleChar"/>
    <w:uiPriority w:val="10"/>
    <w:qFormat/>
    <w:rsid w:val="00B03B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B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BA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B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B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3BAA"/>
    <w:rPr>
      <w:i/>
      <w:iCs/>
      <w:color w:val="404040" w:themeColor="text1" w:themeTint="BF"/>
    </w:rPr>
  </w:style>
  <w:style w:type="paragraph" w:styleId="ListParagraph">
    <w:name w:val="List Paragraph"/>
    <w:basedOn w:val="Normal"/>
    <w:uiPriority w:val="34"/>
    <w:qFormat/>
    <w:rsid w:val="00B03BAA"/>
    <w:pPr>
      <w:ind w:left="720"/>
      <w:contextualSpacing/>
    </w:pPr>
  </w:style>
  <w:style w:type="character" w:styleId="IntenseEmphasis">
    <w:name w:val="Intense Emphasis"/>
    <w:basedOn w:val="DefaultParagraphFont"/>
    <w:uiPriority w:val="21"/>
    <w:qFormat/>
    <w:rsid w:val="00B03BAA"/>
    <w:rPr>
      <w:i/>
      <w:iCs/>
      <w:color w:val="0F4761" w:themeColor="accent1" w:themeShade="BF"/>
    </w:rPr>
  </w:style>
  <w:style w:type="paragraph" w:styleId="IntenseQuote">
    <w:name w:val="Intense Quote"/>
    <w:basedOn w:val="Normal"/>
    <w:next w:val="Normal"/>
    <w:link w:val="IntenseQuoteChar"/>
    <w:uiPriority w:val="30"/>
    <w:qFormat/>
    <w:rsid w:val="00B03B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BAA"/>
    <w:rPr>
      <w:i/>
      <w:iCs/>
      <w:color w:val="0F4761" w:themeColor="accent1" w:themeShade="BF"/>
    </w:rPr>
  </w:style>
  <w:style w:type="character" w:styleId="IntenseReference">
    <w:name w:val="Intense Reference"/>
    <w:basedOn w:val="DefaultParagraphFont"/>
    <w:uiPriority w:val="32"/>
    <w:qFormat/>
    <w:rsid w:val="00B03BAA"/>
    <w:rPr>
      <w:b/>
      <w:bCs/>
      <w:smallCaps/>
      <w:color w:val="0F4761" w:themeColor="accent1" w:themeShade="BF"/>
      <w:spacing w:val="5"/>
    </w:rPr>
  </w:style>
  <w:style w:type="character" w:styleId="Hyperlink">
    <w:name w:val="Hyperlink"/>
    <w:basedOn w:val="DefaultParagraphFont"/>
    <w:uiPriority w:val="99"/>
    <w:unhideWhenUsed/>
    <w:rsid w:val="00B03BAA"/>
    <w:rPr>
      <w:color w:val="467886" w:themeColor="hyperlink"/>
      <w:u w:val="single"/>
    </w:rPr>
  </w:style>
  <w:style w:type="character" w:styleId="UnresolvedMention">
    <w:name w:val="Unresolved Mention"/>
    <w:basedOn w:val="DefaultParagraphFont"/>
    <w:uiPriority w:val="99"/>
    <w:semiHidden/>
    <w:unhideWhenUsed/>
    <w:rsid w:val="00B03BAA"/>
    <w:rPr>
      <w:color w:val="605E5C"/>
      <w:shd w:val="clear" w:color="auto" w:fill="E1DFDD"/>
    </w:rPr>
  </w:style>
  <w:style w:type="character" w:styleId="FollowedHyperlink">
    <w:name w:val="FollowedHyperlink"/>
    <w:basedOn w:val="DefaultParagraphFont"/>
    <w:uiPriority w:val="99"/>
    <w:semiHidden/>
    <w:unhideWhenUsed/>
    <w:rsid w:val="00B03B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913493">
      <w:bodyDiv w:val="1"/>
      <w:marLeft w:val="0"/>
      <w:marRight w:val="0"/>
      <w:marTop w:val="0"/>
      <w:marBottom w:val="0"/>
      <w:divBdr>
        <w:top w:val="none" w:sz="0" w:space="0" w:color="auto"/>
        <w:left w:val="none" w:sz="0" w:space="0" w:color="auto"/>
        <w:bottom w:val="none" w:sz="0" w:space="0" w:color="auto"/>
        <w:right w:val="none" w:sz="0" w:space="0" w:color="auto"/>
      </w:divBdr>
    </w:div>
    <w:div w:id="122297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744</Words>
  <Characters>4243</Characters>
  <Application>Microsoft Office Word</Application>
  <DocSecurity>0</DocSecurity>
  <Lines>35</Lines>
  <Paragraphs>9</Paragraphs>
  <ScaleCrop>false</ScaleCrop>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Laila Maazouz</cp:lastModifiedBy>
  <cp:revision>1</cp:revision>
  <dcterms:created xsi:type="dcterms:W3CDTF">2026-05-27T12:16:00Z</dcterms:created>
  <dcterms:modified xsi:type="dcterms:W3CDTF">2026-05-27T12:25:00Z</dcterms:modified>
</cp:coreProperties>
</file>