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9A27E0" w14:textId="3901874B" w:rsidR="00A47C9D" w:rsidRDefault="00525AA3" w:rsidP="00A47C9D">
      <w:pPr>
        <w:jc w:val="center"/>
        <w:rPr>
          <w:lang w:val="en-GB"/>
        </w:rPr>
      </w:pPr>
      <w:r>
        <w:rPr>
          <w:lang w:val="en-GB"/>
        </w:rPr>
        <w:t>A</w:t>
      </w:r>
      <w:r w:rsidR="00A47C9D">
        <w:rPr>
          <w:lang w:val="en-GB"/>
        </w:rPr>
        <w:t xml:space="preserve"> critical review of Iamblichus’ arguments for </w:t>
      </w:r>
      <w:r>
        <w:rPr>
          <w:lang w:val="en-GB"/>
        </w:rPr>
        <w:t>D</w:t>
      </w:r>
      <w:r w:rsidR="00A47C9D">
        <w:rPr>
          <w:lang w:val="en-GB"/>
        </w:rPr>
        <w:t xml:space="preserve">ivination in </w:t>
      </w:r>
      <w:r w:rsidR="00A47C9D" w:rsidRPr="00525AA3">
        <w:rPr>
          <w:i/>
          <w:iCs/>
          <w:lang w:val="en-GB"/>
        </w:rPr>
        <w:t>De Mysteriis</w:t>
      </w:r>
    </w:p>
    <w:p w14:paraId="15BE8C9F" w14:textId="77777777" w:rsidR="00A47C9D" w:rsidRDefault="00A47C9D">
      <w:pPr>
        <w:rPr>
          <w:lang w:val="en-GB"/>
        </w:rPr>
      </w:pPr>
    </w:p>
    <w:p w14:paraId="7AF6B85F" w14:textId="71A06AAA" w:rsidR="00975B67" w:rsidRDefault="0093334A">
      <w:pPr>
        <w:rPr>
          <w:lang w:val="en-GB"/>
        </w:rPr>
      </w:pPr>
      <w:r w:rsidRPr="0093334A">
        <w:rPr>
          <w:lang w:val="en-GB"/>
        </w:rPr>
        <w:t>This paper critically review</w:t>
      </w:r>
      <w:r w:rsidR="00A47C9D">
        <w:rPr>
          <w:lang w:val="en-GB"/>
        </w:rPr>
        <w:t>s</w:t>
      </w:r>
      <w:r w:rsidRPr="0093334A">
        <w:rPr>
          <w:lang w:val="en-GB"/>
        </w:rPr>
        <w:t xml:space="preserve"> Iamblichus’ arguments in favour of divination </w:t>
      </w:r>
      <w:r>
        <w:rPr>
          <w:lang w:val="en-GB"/>
        </w:rPr>
        <w:t>as he present</w:t>
      </w:r>
      <w:r w:rsidR="00371185">
        <w:rPr>
          <w:lang w:val="en-GB"/>
        </w:rPr>
        <w:t>ed</w:t>
      </w:r>
      <w:r>
        <w:rPr>
          <w:lang w:val="en-GB"/>
        </w:rPr>
        <w:t xml:space="preserve"> them in the </w:t>
      </w:r>
      <w:r w:rsidRPr="0093334A">
        <w:rPr>
          <w:i/>
          <w:iCs/>
          <w:lang w:val="en-GB"/>
        </w:rPr>
        <w:t>De Mysteriis</w:t>
      </w:r>
      <w:r w:rsidR="00613D45">
        <w:rPr>
          <w:lang w:val="en-GB"/>
        </w:rPr>
        <w:t xml:space="preserve"> and</w:t>
      </w:r>
      <w:r w:rsidR="00AE741E">
        <w:rPr>
          <w:lang w:val="en-GB"/>
        </w:rPr>
        <w:t xml:space="preserve"> aims</w:t>
      </w:r>
      <w:r w:rsidR="00371185">
        <w:rPr>
          <w:lang w:val="en-GB"/>
        </w:rPr>
        <w:t xml:space="preserve"> to emphasise </w:t>
      </w:r>
      <w:r w:rsidR="009F4B19">
        <w:rPr>
          <w:lang w:val="en-GB"/>
        </w:rPr>
        <w:t xml:space="preserve">the importance of the cultural background in which Iamblichus </w:t>
      </w:r>
      <w:r w:rsidR="000B184E">
        <w:rPr>
          <w:lang w:val="en-GB"/>
        </w:rPr>
        <w:t>operated</w:t>
      </w:r>
      <w:r w:rsidR="009F4B19">
        <w:rPr>
          <w:lang w:val="en-GB"/>
        </w:rPr>
        <w:t xml:space="preserve"> and the role and relevance of theurgy within his metaphysics </w:t>
      </w:r>
      <w:r w:rsidR="00AE741E">
        <w:rPr>
          <w:lang w:val="en-GB"/>
        </w:rPr>
        <w:t xml:space="preserve">as crucial elements </w:t>
      </w:r>
      <w:r w:rsidR="000306AC">
        <w:rPr>
          <w:lang w:val="en-GB"/>
        </w:rPr>
        <w:t>for</w:t>
      </w:r>
      <w:r w:rsidR="00AE741E">
        <w:rPr>
          <w:lang w:val="en-GB"/>
        </w:rPr>
        <w:t xml:space="preserve"> understand</w:t>
      </w:r>
      <w:r w:rsidR="000306AC">
        <w:rPr>
          <w:lang w:val="en-GB"/>
        </w:rPr>
        <w:t>ing</w:t>
      </w:r>
      <w:r w:rsidR="00AE741E">
        <w:rPr>
          <w:lang w:val="en-GB"/>
        </w:rPr>
        <w:t xml:space="preserve"> his ideas</w:t>
      </w:r>
      <w:r>
        <w:rPr>
          <w:lang w:val="en-GB"/>
        </w:rPr>
        <w:t xml:space="preserve">. </w:t>
      </w:r>
    </w:p>
    <w:p w14:paraId="1EF23969" w14:textId="4D91267E" w:rsidR="0093334A" w:rsidRDefault="0093334A">
      <w:pPr>
        <w:rPr>
          <w:lang w:val="en-GB"/>
        </w:rPr>
      </w:pPr>
    </w:p>
    <w:p w14:paraId="547E9633" w14:textId="197C4057" w:rsidR="0093334A" w:rsidRDefault="006323CA">
      <w:pPr>
        <w:rPr>
          <w:lang w:val="en-GB"/>
        </w:rPr>
      </w:pPr>
      <w:r>
        <w:rPr>
          <w:lang w:val="en-GB"/>
        </w:rPr>
        <w:t xml:space="preserve">Iamblichus </w:t>
      </w:r>
      <w:r w:rsidR="009F4B19">
        <w:rPr>
          <w:lang w:val="en-GB"/>
        </w:rPr>
        <w:t xml:space="preserve">wrote </w:t>
      </w:r>
      <w:r>
        <w:rPr>
          <w:lang w:val="en-GB"/>
        </w:rPr>
        <w:t xml:space="preserve">the text that is known as </w:t>
      </w:r>
      <w:r w:rsidRPr="00371185">
        <w:rPr>
          <w:i/>
          <w:iCs/>
          <w:lang w:val="en-GB"/>
        </w:rPr>
        <w:t>De Mysterii</w:t>
      </w:r>
      <w:r>
        <w:rPr>
          <w:i/>
          <w:iCs/>
          <w:lang w:val="en-GB"/>
        </w:rPr>
        <w:t>s</w:t>
      </w:r>
      <w:r>
        <w:rPr>
          <w:rStyle w:val="FootnoteReference"/>
          <w:i/>
          <w:iCs/>
          <w:lang w:val="en-GB"/>
        </w:rPr>
        <w:footnoteReference w:id="1"/>
      </w:r>
      <w:r w:rsidR="00190B0C" w:rsidRPr="00190B0C">
        <w:rPr>
          <w:lang w:val="en-GB"/>
        </w:rPr>
        <w:t xml:space="preserve"> </w:t>
      </w:r>
      <w:r w:rsidR="00190B0C">
        <w:rPr>
          <w:lang w:val="en-GB"/>
        </w:rPr>
        <w:t>between 280 and 305 CE</w:t>
      </w:r>
      <w:r w:rsidR="00190B0C">
        <w:rPr>
          <w:rStyle w:val="FootnoteReference"/>
          <w:lang w:val="en-GB"/>
        </w:rPr>
        <w:footnoteReference w:id="2"/>
      </w:r>
      <w:r>
        <w:rPr>
          <w:i/>
          <w:iCs/>
          <w:lang w:val="en-GB"/>
        </w:rPr>
        <w:t xml:space="preserve">.  </w:t>
      </w:r>
      <w:r w:rsidR="000F180B">
        <w:rPr>
          <w:lang w:val="en-GB"/>
        </w:rPr>
        <w:t>Clarke, Dillon and Hershbell</w:t>
      </w:r>
      <w:r w:rsidR="00513EA4">
        <w:rPr>
          <w:rStyle w:val="FootnoteReference"/>
          <w:lang w:val="en-GB"/>
        </w:rPr>
        <w:footnoteReference w:id="3"/>
      </w:r>
      <w:r w:rsidR="000F180B">
        <w:rPr>
          <w:lang w:val="en-GB"/>
        </w:rPr>
        <w:t>, i</w:t>
      </w:r>
      <w:r w:rsidR="00AE741E">
        <w:rPr>
          <w:lang w:val="en-GB"/>
        </w:rPr>
        <w:t xml:space="preserve">n </w:t>
      </w:r>
      <w:r w:rsidR="000F180B">
        <w:rPr>
          <w:lang w:val="en-GB"/>
        </w:rPr>
        <w:t>th</w:t>
      </w:r>
      <w:r w:rsidR="00513EA4">
        <w:rPr>
          <w:lang w:val="en-GB"/>
        </w:rPr>
        <w:t>e</w:t>
      </w:r>
      <w:r w:rsidR="00AE741E">
        <w:rPr>
          <w:lang w:val="en-GB"/>
        </w:rPr>
        <w:t xml:space="preserve"> introduction </w:t>
      </w:r>
      <w:r w:rsidR="000F180B">
        <w:rPr>
          <w:lang w:val="en-GB"/>
        </w:rPr>
        <w:t xml:space="preserve">to the 2003 edition </w:t>
      </w:r>
      <w:r w:rsidR="008F75EF">
        <w:rPr>
          <w:lang w:val="en-GB"/>
        </w:rPr>
        <w:t>of the t</w:t>
      </w:r>
      <w:r w:rsidR="00AB5547">
        <w:rPr>
          <w:lang w:val="en-GB"/>
        </w:rPr>
        <w:t>ext</w:t>
      </w:r>
      <w:r w:rsidR="008F75EF" w:rsidRPr="008F75EF">
        <w:rPr>
          <w:lang w:val="en-GB"/>
        </w:rPr>
        <w:t xml:space="preserve"> that </w:t>
      </w:r>
      <w:r w:rsidR="000F180B">
        <w:rPr>
          <w:lang w:val="en-GB"/>
        </w:rPr>
        <w:t xml:space="preserve">they translated and curated together, </w:t>
      </w:r>
      <w:r w:rsidR="008F75EF">
        <w:rPr>
          <w:lang w:val="en-GB"/>
        </w:rPr>
        <w:t>presented the philosophers’ work</w:t>
      </w:r>
      <w:r w:rsidR="00156557">
        <w:rPr>
          <w:lang w:val="en-GB"/>
        </w:rPr>
        <w:t xml:space="preserve"> a</w:t>
      </w:r>
      <w:r w:rsidR="008F75EF">
        <w:rPr>
          <w:lang w:val="en-GB"/>
        </w:rPr>
        <w:t>s</w:t>
      </w:r>
      <w:r w:rsidR="00156557">
        <w:rPr>
          <w:lang w:val="en-GB"/>
        </w:rPr>
        <w:t xml:space="preserve"> </w:t>
      </w:r>
      <w:r w:rsidR="008677B2">
        <w:rPr>
          <w:lang w:val="en-GB"/>
        </w:rPr>
        <w:t xml:space="preserve">a </w:t>
      </w:r>
      <w:r w:rsidR="00156557">
        <w:rPr>
          <w:lang w:val="en-GB"/>
        </w:rPr>
        <w:t>refutation of the arguments</w:t>
      </w:r>
      <w:r w:rsidR="00371185">
        <w:rPr>
          <w:lang w:val="en-GB"/>
        </w:rPr>
        <w:t xml:space="preserve"> </w:t>
      </w:r>
      <w:r w:rsidR="00104AAE">
        <w:rPr>
          <w:lang w:val="en-GB"/>
        </w:rPr>
        <w:t xml:space="preserve">his contemporary </w:t>
      </w:r>
      <w:r w:rsidR="00371185">
        <w:rPr>
          <w:lang w:val="en-GB"/>
        </w:rPr>
        <w:t>Porphyry</w:t>
      </w:r>
      <w:r w:rsidR="00D77B31">
        <w:rPr>
          <w:lang w:val="en-GB"/>
        </w:rPr>
        <w:t xml:space="preserve"> </w:t>
      </w:r>
      <w:r w:rsidR="00156557">
        <w:rPr>
          <w:lang w:val="en-GB"/>
        </w:rPr>
        <w:t xml:space="preserve">raised in his </w:t>
      </w:r>
      <w:r w:rsidR="00156557" w:rsidRPr="00156557">
        <w:rPr>
          <w:i/>
          <w:iCs/>
          <w:lang w:val="en-GB"/>
        </w:rPr>
        <w:t>Letter to Anebo</w:t>
      </w:r>
      <w:r>
        <w:rPr>
          <w:i/>
          <w:iCs/>
          <w:lang w:val="en-GB"/>
        </w:rPr>
        <w:t xml:space="preserve"> </w:t>
      </w:r>
      <w:r w:rsidRPr="006323CA">
        <w:rPr>
          <w:lang w:val="en-GB"/>
        </w:rPr>
        <w:t>where</w:t>
      </w:r>
      <w:r w:rsidR="00554B67">
        <w:rPr>
          <w:lang w:val="en-GB"/>
        </w:rPr>
        <w:t xml:space="preserve"> Porphyry</w:t>
      </w:r>
      <w:r w:rsidRPr="006323CA">
        <w:rPr>
          <w:lang w:val="en-GB"/>
        </w:rPr>
        <w:t xml:space="preserve"> </w:t>
      </w:r>
      <w:r>
        <w:rPr>
          <w:lang w:val="en-GB"/>
        </w:rPr>
        <w:t>indirectly attacked</w:t>
      </w:r>
      <w:r>
        <w:rPr>
          <w:i/>
          <w:iCs/>
          <w:lang w:val="en-GB"/>
        </w:rPr>
        <w:t xml:space="preserve"> </w:t>
      </w:r>
      <w:r w:rsidR="008677B2">
        <w:rPr>
          <w:lang w:val="en-GB"/>
        </w:rPr>
        <w:t>theurgy</w:t>
      </w:r>
      <w:r w:rsidR="001C459C">
        <w:rPr>
          <w:lang w:val="en-GB"/>
        </w:rPr>
        <w:t>, literarily “divine work” and “a form</w:t>
      </w:r>
      <w:r w:rsidR="008677B2">
        <w:rPr>
          <w:lang w:val="en-GB"/>
        </w:rPr>
        <w:t xml:space="preserve"> </w:t>
      </w:r>
      <w:r w:rsidR="001C459C">
        <w:rPr>
          <w:lang w:val="en-GB"/>
        </w:rPr>
        <w:t>of ritual used by later Neoplatonist philosophers”</w:t>
      </w:r>
      <w:r w:rsidR="001C459C">
        <w:rPr>
          <w:rStyle w:val="FootnoteReference"/>
          <w:lang w:val="en-GB"/>
        </w:rPr>
        <w:footnoteReference w:id="4"/>
      </w:r>
      <w:r w:rsidR="001C459C">
        <w:rPr>
          <w:lang w:val="en-GB"/>
        </w:rPr>
        <w:t xml:space="preserve">, </w:t>
      </w:r>
      <w:r w:rsidR="008677B2">
        <w:rPr>
          <w:lang w:val="en-GB"/>
        </w:rPr>
        <w:t>and Iamblichus himself</w:t>
      </w:r>
      <w:r w:rsidR="008677B2">
        <w:rPr>
          <w:rStyle w:val="FootnoteReference"/>
          <w:lang w:val="en-GB"/>
        </w:rPr>
        <w:footnoteReference w:id="5"/>
      </w:r>
      <w:r>
        <w:rPr>
          <w:lang w:val="en-GB"/>
        </w:rPr>
        <w:t xml:space="preserve"> and where, </w:t>
      </w:r>
      <w:r w:rsidR="00AE741E">
        <w:rPr>
          <w:lang w:val="en-GB"/>
        </w:rPr>
        <w:t>in the context</w:t>
      </w:r>
      <w:r w:rsidR="00104AAE">
        <w:rPr>
          <w:lang w:val="en-GB"/>
        </w:rPr>
        <w:t xml:space="preserve"> of a general study into </w:t>
      </w:r>
      <w:r w:rsidR="00156557">
        <w:rPr>
          <w:lang w:val="en-GB"/>
        </w:rPr>
        <w:t xml:space="preserve">“the nature of </w:t>
      </w:r>
      <w:r w:rsidR="00513EA4">
        <w:rPr>
          <w:lang w:val="en-GB"/>
        </w:rPr>
        <w:t xml:space="preserve">the </w:t>
      </w:r>
      <w:r w:rsidR="00156557">
        <w:rPr>
          <w:lang w:val="en-GB"/>
        </w:rPr>
        <w:t xml:space="preserve">gods, or of the divine realm in general, and the proper mode </w:t>
      </w:r>
      <w:r w:rsidR="00513EA4">
        <w:rPr>
          <w:lang w:val="en-GB"/>
        </w:rPr>
        <w:t>of our</w:t>
      </w:r>
      <w:r w:rsidR="00156557">
        <w:rPr>
          <w:lang w:val="en-GB"/>
        </w:rPr>
        <w:t xml:space="preserve"> worship </w:t>
      </w:r>
      <w:r w:rsidR="00513EA4">
        <w:rPr>
          <w:lang w:val="en-GB"/>
        </w:rPr>
        <w:t xml:space="preserve">of </w:t>
      </w:r>
      <w:r w:rsidR="00156557">
        <w:rPr>
          <w:lang w:val="en-GB"/>
        </w:rPr>
        <w:t>them”</w:t>
      </w:r>
      <w:r w:rsidR="00513EA4">
        <w:rPr>
          <w:rStyle w:val="FootnoteReference"/>
          <w:lang w:val="en-GB"/>
        </w:rPr>
        <w:footnoteReference w:id="6"/>
      </w:r>
      <w:r>
        <w:rPr>
          <w:lang w:val="en-GB"/>
        </w:rPr>
        <w:t>, he enquired about divination</w:t>
      </w:r>
      <w:r w:rsidR="00525AA3">
        <w:rPr>
          <w:lang w:val="en-GB"/>
        </w:rPr>
        <w:t xml:space="preserve"> as one of the means we </w:t>
      </w:r>
      <w:r w:rsidR="00AB5547">
        <w:rPr>
          <w:lang w:val="en-GB"/>
        </w:rPr>
        <w:t>interact</w:t>
      </w:r>
      <w:r w:rsidR="00525AA3">
        <w:rPr>
          <w:lang w:val="en-GB"/>
        </w:rPr>
        <w:t xml:space="preserve"> with the</w:t>
      </w:r>
      <w:r w:rsidR="00AB5547">
        <w:rPr>
          <w:lang w:val="en-GB"/>
        </w:rPr>
        <w:t xml:space="preserve"> gods</w:t>
      </w:r>
      <w:r w:rsidR="00D77B31">
        <w:rPr>
          <w:lang w:val="en-GB"/>
        </w:rPr>
        <w:t>.</w:t>
      </w:r>
      <w:r>
        <w:rPr>
          <w:lang w:val="en-GB"/>
        </w:rPr>
        <w:t xml:space="preserve"> </w:t>
      </w:r>
    </w:p>
    <w:p w14:paraId="41F1A5AA" w14:textId="6E6D4F29" w:rsidR="00D77B31" w:rsidRDefault="00D77B31">
      <w:pPr>
        <w:rPr>
          <w:lang w:val="en-GB"/>
        </w:rPr>
      </w:pPr>
    </w:p>
    <w:p w14:paraId="7C55E2A7" w14:textId="143E68CC" w:rsidR="00670554" w:rsidRDefault="006323CA">
      <w:pPr>
        <w:rPr>
          <w:lang w:val="en-GB"/>
        </w:rPr>
      </w:pPr>
      <w:r>
        <w:rPr>
          <w:lang w:val="en-GB"/>
        </w:rPr>
        <w:t xml:space="preserve">Both Addey, in </w:t>
      </w:r>
      <w:r w:rsidRPr="002862A4">
        <w:rPr>
          <w:i/>
          <w:iCs/>
          <w:lang w:val="en-GB"/>
        </w:rPr>
        <w:t>Divination and Theurgy in Neoplatonism</w:t>
      </w:r>
      <w:r>
        <w:rPr>
          <w:rStyle w:val="FootnoteReference"/>
          <w:i/>
          <w:iCs/>
          <w:lang w:val="en-GB"/>
        </w:rPr>
        <w:footnoteReference w:id="7"/>
      </w:r>
      <w:r w:rsidR="005F73D5">
        <w:rPr>
          <w:i/>
          <w:iCs/>
          <w:lang w:val="en-GB"/>
        </w:rPr>
        <w:t>,</w:t>
      </w:r>
      <w:r>
        <w:rPr>
          <w:lang w:val="en-GB"/>
        </w:rPr>
        <w:t xml:space="preserve"> and Clarke, Dillon and Hershbell</w:t>
      </w:r>
      <w:r>
        <w:rPr>
          <w:rStyle w:val="FootnoteReference"/>
          <w:lang w:val="en-GB"/>
        </w:rPr>
        <w:footnoteReference w:id="8"/>
      </w:r>
      <w:r>
        <w:rPr>
          <w:lang w:val="en-GB"/>
        </w:rPr>
        <w:t xml:space="preserve"> discussed the importance of the cultural atmosphere of the times on th</w:t>
      </w:r>
      <w:r w:rsidR="00282503">
        <w:rPr>
          <w:lang w:val="en-GB"/>
        </w:rPr>
        <w:t xml:space="preserve">e philosophers’ exchange. </w:t>
      </w:r>
      <w:r w:rsidR="00613D45">
        <w:rPr>
          <w:lang w:val="en-GB"/>
        </w:rPr>
        <w:t xml:space="preserve">As a major exponent of the Neoplatonic school, </w:t>
      </w:r>
      <w:r w:rsidR="00104AAE">
        <w:rPr>
          <w:lang w:val="en-GB"/>
        </w:rPr>
        <w:t>Porphyry</w:t>
      </w:r>
      <w:r w:rsidR="00371185">
        <w:rPr>
          <w:lang w:val="en-GB"/>
        </w:rPr>
        <w:t xml:space="preserve"> </w:t>
      </w:r>
      <w:r w:rsidR="00104AAE">
        <w:rPr>
          <w:lang w:val="en-GB"/>
        </w:rPr>
        <w:t>must have found</w:t>
      </w:r>
      <w:r w:rsidR="00D77B31">
        <w:rPr>
          <w:lang w:val="en-GB"/>
        </w:rPr>
        <w:t xml:space="preserve"> </w:t>
      </w:r>
      <w:r w:rsidR="005F73D5">
        <w:rPr>
          <w:lang w:val="en-GB"/>
        </w:rPr>
        <w:t>it</w:t>
      </w:r>
      <w:r w:rsidR="00AB5547">
        <w:rPr>
          <w:lang w:val="en-GB"/>
        </w:rPr>
        <w:t xml:space="preserve"> </w:t>
      </w:r>
      <w:r w:rsidR="00D77B31">
        <w:rPr>
          <w:lang w:val="en-GB"/>
        </w:rPr>
        <w:t xml:space="preserve">difficult </w:t>
      </w:r>
      <w:r w:rsidR="00104AAE">
        <w:rPr>
          <w:lang w:val="en-GB"/>
        </w:rPr>
        <w:t xml:space="preserve">to </w:t>
      </w:r>
      <w:r w:rsidR="00D77B31">
        <w:rPr>
          <w:lang w:val="en-GB"/>
        </w:rPr>
        <w:t>reconcil</w:t>
      </w:r>
      <w:r w:rsidR="00104AAE">
        <w:rPr>
          <w:lang w:val="en-GB"/>
        </w:rPr>
        <w:t>e</w:t>
      </w:r>
      <w:r w:rsidR="00D77B31">
        <w:rPr>
          <w:lang w:val="en-GB"/>
        </w:rPr>
        <w:t xml:space="preserve"> </w:t>
      </w:r>
      <w:r w:rsidR="00167B96">
        <w:rPr>
          <w:lang w:val="en-GB"/>
        </w:rPr>
        <w:t>Plato’</w:t>
      </w:r>
      <w:r w:rsidR="00104AAE">
        <w:rPr>
          <w:lang w:val="en-GB"/>
        </w:rPr>
        <w:t xml:space="preserve">s </w:t>
      </w:r>
      <w:r w:rsidR="00C20C7B">
        <w:rPr>
          <w:lang w:val="en-GB"/>
        </w:rPr>
        <w:t>metaphysical</w:t>
      </w:r>
      <w:r w:rsidR="00104AAE">
        <w:rPr>
          <w:lang w:val="en-GB"/>
        </w:rPr>
        <w:t xml:space="preserve"> apparatus</w:t>
      </w:r>
      <w:r w:rsidR="00D77B31">
        <w:rPr>
          <w:lang w:val="en-GB"/>
        </w:rPr>
        <w:t xml:space="preserve"> with the complex and heterogeneous </w:t>
      </w:r>
      <w:r w:rsidR="00C20C7B">
        <w:rPr>
          <w:lang w:val="en-GB"/>
        </w:rPr>
        <w:t xml:space="preserve">philosophical and </w:t>
      </w:r>
      <w:r w:rsidR="00D77B31">
        <w:rPr>
          <w:lang w:val="en-GB"/>
        </w:rPr>
        <w:t xml:space="preserve">religious </w:t>
      </w:r>
      <w:r w:rsidR="008F75EF">
        <w:rPr>
          <w:lang w:val="en-GB"/>
        </w:rPr>
        <w:t>scene</w:t>
      </w:r>
      <w:r w:rsidR="00D77B31">
        <w:rPr>
          <w:lang w:val="en-GB"/>
        </w:rPr>
        <w:t xml:space="preserve"> of the Hellenistic world</w:t>
      </w:r>
      <w:r w:rsidR="00167B96">
        <w:rPr>
          <w:lang w:val="en-GB"/>
        </w:rPr>
        <w:t xml:space="preserve">. Porphyry’s </w:t>
      </w:r>
      <w:r w:rsidR="00371185">
        <w:rPr>
          <w:lang w:val="en-GB"/>
        </w:rPr>
        <w:t>de</w:t>
      </w:r>
      <w:r w:rsidR="00080E4A">
        <w:rPr>
          <w:lang w:val="en-GB"/>
        </w:rPr>
        <w:t>cision</w:t>
      </w:r>
      <w:r w:rsidR="00371185">
        <w:rPr>
          <w:lang w:val="en-GB"/>
        </w:rPr>
        <w:t xml:space="preserve"> to </w:t>
      </w:r>
      <w:r w:rsidR="00167B96">
        <w:rPr>
          <w:lang w:val="en-GB"/>
        </w:rPr>
        <w:t>address</w:t>
      </w:r>
      <w:r w:rsidR="00371185">
        <w:rPr>
          <w:lang w:val="en-GB"/>
        </w:rPr>
        <w:t xml:space="preserve"> his open letter</w:t>
      </w:r>
      <w:r w:rsidR="00167B96">
        <w:rPr>
          <w:lang w:val="en-GB"/>
        </w:rPr>
        <w:t xml:space="preserve"> to a fictitious Egyptian priest </w:t>
      </w:r>
      <w:r w:rsidR="00371185">
        <w:rPr>
          <w:lang w:val="en-GB"/>
        </w:rPr>
        <w:t>show</w:t>
      </w:r>
      <w:r w:rsidR="00080E4A">
        <w:rPr>
          <w:lang w:val="en-GB"/>
        </w:rPr>
        <w:t>ed</w:t>
      </w:r>
      <w:r w:rsidR="00371185">
        <w:rPr>
          <w:lang w:val="en-GB"/>
        </w:rPr>
        <w:t xml:space="preserve"> that what he was </w:t>
      </w:r>
      <w:r w:rsidR="00080E4A">
        <w:rPr>
          <w:lang w:val="en-GB"/>
        </w:rPr>
        <w:t xml:space="preserve">really </w:t>
      </w:r>
      <w:r w:rsidR="00167B96">
        <w:rPr>
          <w:lang w:val="en-GB"/>
        </w:rPr>
        <w:t>question</w:t>
      </w:r>
      <w:r w:rsidR="00371185">
        <w:rPr>
          <w:lang w:val="en-GB"/>
        </w:rPr>
        <w:t>ing was</w:t>
      </w:r>
      <w:r w:rsidR="00167B96">
        <w:rPr>
          <w:lang w:val="en-GB"/>
        </w:rPr>
        <w:t xml:space="preserve"> the foreign</w:t>
      </w:r>
      <w:r w:rsidR="00104AAE">
        <w:rPr>
          <w:lang w:val="en-GB"/>
        </w:rPr>
        <w:t xml:space="preserve"> </w:t>
      </w:r>
      <w:r w:rsidR="00613D45">
        <w:rPr>
          <w:lang w:val="en-GB"/>
        </w:rPr>
        <w:t xml:space="preserve">influence </w:t>
      </w:r>
      <w:r w:rsidR="00080E4A">
        <w:rPr>
          <w:lang w:val="en-GB"/>
        </w:rPr>
        <w:t>o</w:t>
      </w:r>
      <w:r w:rsidR="00613D45">
        <w:rPr>
          <w:lang w:val="en-GB"/>
        </w:rPr>
        <w:t>f oriental cultures</w:t>
      </w:r>
      <w:r w:rsidR="00080E4A">
        <w:rPr>
          <w:lang w:val="en-GB"/>
        </w:rPr>
        <w:t>, epitomised by the Egyptian one,</w:t>
      </w:r>
      <w:r w:rsidR="00613D45">
        <w:rPr>
          <w:lang w:val="en-GB"/>
        </w:rPr>
        <w:t xml:space="preserve"> </w:t>
      </w:r>
      <w:r w:rsidR="00167B96">
        <w:rPr>
          <w:lang w:val="en-GB"/>
        </w:rPr>
        <w:t xml:space="preserve">that </w:t>
      </w:r>
      <w:r w:rsidR="00613D45">
        <w:rPr>
          <w:lang w:val="en-GB"/>
        </w:rPr>
        <w:t xml:space="preserve">he must have felt </w:t>
      </w:r>
      <w:r w:rsidR="00167B96">
        <w:rPr>
          <w:lang w:val="en-GB"/>
        </w:rPr>
        <w:t xml:space="preserve">were contaminating the </w:t>
      </w:r>
      <w:r w:rsidR="00613D45">
        <w:rPr>
          <w:lang w:val="en-GB"/>
        </w:rPr>
        <w:t xml:space="preserve">Greek </w:t>
      </w:r>
      <w:r w:rsidR="00167B96">
        <w:rPr>
          <w:lang w:val="en-GB"/>
        </w:rPr>
        <w:t>classical</w:t>
      </w:r>
      <w:r w:rsidR="00080E4A">
        <w:rPr>
          <w:lang w:val="en-GB"/>
        </w:rPr>
        <w:t xml:space="preserve"> heritage</w:t>
      </w:r>
      <w:r w:rsidR="00167B96">
        <w:rPr>
          <w:lang w:val="en-GB"/>
        </w:rPr>
        <w:t xml:space="preserve">. Iamblichus, </w:t>
      </w:r>
      <w:r w:rsidR="00613D45">
        <w:rPr>
          <w:lang w:val="en-GB"/>
        </w:rPr>
        <w:t xml:space="preserve">on his part, </w:t>
      </w:r>
      <w:r w:rsidR="00167B96">
        <w:rPr>
          <w:lang w:val="en-GB"/>
        </w:rPr>
        <w:t>assuming the fictional role of the teacher of Anebo</w:t>
      </w:r>
      <w:r w:rsidR="002862A4">
        <w:rPr>
          <w:rStyle w:val="FootnoteReference"/>
          <w:lang w:val="en-GB"/>
        </w:rPr>
        <w:footnoteReference w:id="9"/>
      </w:r>
      <w:r w:rsidR="00167B96">
        <w:rPr>
          <w:lang w:val="en-GB"/>
        </w:rPr>
        <w:t xml:space="preserve">, </w:t>
      </w:r>
      <w:r w:rsidR="00D17C73">
        <w:rPr>
          <w:lang w:val="en-GB"/>
        </w:rPr>
        <w:t>reclaimed his lineage</w:t>
      </w:r>
      <w:r w:rsidR="00167B96">
        <w:rPr>
          <w:lang w:val="en-GB"/>
        </w:rPr>
        <w:t xml:space="preserve"> from that tradition</w:t>
      </w:r>
      <w:r w:rsidR="002862A4">
        <w:rPr>
          <w:lang w:val="en-GB"/>
        </w:rPr>
        <w:t xml:space="preserve"> declaring to speak in the name of “any prophet of the Egyptians”</w:t>
      </w:r>
      <w:r w:rsidR="002862A4">
        <w:rPr>
          <w:rStyle w:val="FootnoteReference"/>
          <w:lang w:val="en-GB"/>
        </w:rPr>
        <w:footnoteReference w:id="10"/>
      </w:r>
      <w:r w:rsidR="00282503">
        <w:rPr>
          <w:lang w:val="en-GB"/>
        </w:rPr>
        <w:t xml:space="preserve">. </w:t>
      </w:r>
      <w:r w:rsidR="00613D45">
        <w:rPr>
          <w:lang w:val="en-GB"/>
        </w:rPr>
        <w:t xml:space="preserve"> </w:t>
      </w:r>
      <w:r w:rsidR="00282503">
        <w:rPr>
          <w:lang w:val="en-GB"/>
        </w:rPr>
        <w:t>In the opening pages of his work</w:t>
      </w:r>
      <w:r w:rsidR="00282503">
        <w:rPr>
          <w:rStyle w:val="FootnoteReference"/>
          <w:lang w:val="en-GB"/>
        </w:rPr>
        <w:footnoteReference w:id="11"/>
      </w:r>
      <w:r w:rsidR="00613D45">
        <w:rPr>
          <w:lang w:val="en-GB"/>
        </w:rPr>
        <w:t xml:space="preserve"> </w:t>
      </w:r>
      <w:r w:rsidR="002862A4">
        <w:rPr>
          <w:lang w:val="en-GB"/>
        </w:rPr>
        <w:t xml:space="preserve">he </w:t>
      </w:r>
      <w:r w:rsidR="00670554">
        <w:rPr>
          <w:lang w:val="en-GB"/>
        </w:rPr>
        <w:t>mention</w:t>
      </w:r>
      <w:r w:rsidR="00282503">
        <w:rPr>
          <w:lang w:val="en-GB"/>
        </w:rPr>
        <w:t>ed</w:t>
      </w:r>
      <w:r w:rsidR="00670554">
        <w:rPr>
          <w:lang w:val="en-GB"/>
        </w:rPr>
        <w:t xml:space="preserve"> </w:t>
      </w:r>
      <w:r w:rsidR="00167B96">
        <w:rPr>
          <w:lang w:val="en-GB"/>
        </w:rPr>
        <w:t>Herm</w:t>
      </w:r>
      <w:r w:rsidR="00670554">
        <w:rPr>
          <w:lang w:val="en-GB"/>
        </w:rPr>
        <w:t>e</w:t>
      </w:r>
      <w:r w:rsidR="00167B96">
        <w:rPr>
          <w:lang w:val="en-GB"/>
        </w:rPr>
        <w:t>s Trismegistus and the Cha</w:t>
      </w:r>
      <w:r w:rsidR="00670554">
        <w:rPr>
          <w:lang w:val="en-GB"/>
        </w:rPr>
        <w:t>l</w:t>
      </w:r>
      <w:r w:rsidR="00167B96">
        <w:rPr>
          <w:lang w:val="en-GB"/>
        </w:rPr>
        <w:t xml:space="preserve">dean Oracles </w:t>
      </w:r>
      <w:r w:rsidR="00670554">
        <w:rPr>
          <w:lang w:val="en-GB"/>
        </w:rPr>
        <w:t xml:space="preserve">as some of the </w:t>
      </w:r>
      <w:r w:rsidR="00282503">
        <w:rPr>
          <w:lang w:val="en-GB"/>
        </w:rPr>
        <w:t>authorities</w:t>
      </w:r>
      <w:r w:rsidR="00670554">
        <w:rPr>
          <w:lang w:val="en-GB"/>
        </w:rPr>
        <w:t xml:space="preserve"> he</w:t>
      </w:r>
      <w:r w:rsidR="00080E4A">
        <w:rPr>
          <w:lang w:val="en-GB"/>
        </w:rPr>
        <w:t xml:space="preserve"> </w:t>
      </w:r>
      <w:r w:rsidR="00282503">
        <w:rPr>
          <w:lang w:val="en-GB"/>
        </w:rPr>
        <w:t>relied on</w:t>
      </w:r>
      <w:r w:rsidR="00670554">
        <w:rPr>
          <w:lang w:val="en-GB"/>
        </w:rPr>
        <w:t xml:space="preserve"> to argue </w:t>
      </w:r>
      <w:r w:rsidR="00C20C7B">
        <w:rPr>
          <w:lang w:val="en-GB"/>
        </w:rPr>
        <w:t xml:space="preserve">against </w:t>
      </w:r>
      <w:r w:rsidR="00670554">
        <w:rPr>
          <w:lang w:val="en-GB"/>
        </w:rPr>
        <w:t>Porphyry</w:t>
      </w:r>
      <w:r w:rsidR="00C20C7B">
        <w:rPr>
          <w:lang w:val="en-GB"/>
        </w:rPr>
        <w:t xml:space="preserve">. </w:t>
      </w:r>
      <w:r w:rsidR="00080E4A">
        <w:rPr>
          <w:lang w:val="en-GB"/>
        </w:rPr>
        <w:t>The</w:t>
      </w:r>
      <w:r w:rsidR="00670554">
        <w:rPr>
          <w:lang w:val="en-GB"/>
        </w:rPr>
        <w:t xml:space="preserve"> discourse on divination is therefore part of a</w:t>
      </w:r>
      <w:r w:rsidR="00613D45">
        <w:rPr>
          <w:lang w:val="en-GB"/>
        </w:rPr>
        <w:t>n ongoing</w:t>
      </w:r>
      <w:r w:rsidR="00670554">
        <w:rPr>
          <w:lang w:val="en-GB"/>
        </w:rPr>
        <w:t xml:space="preserve"> wider </w:t>
      </w:r>
      <w:r w:rsidR="00613D45">
        <w:rPr>
          <w:lang w:val="en-GB"/>
        </w:rPr>
        <w:t>debate on</w:t>
      </w:r>
      <w:r w:rsidR="00670554">
        <w:rPr>
          <w:lang w:val="en-GB"/>
        </w:rPr>
        <w:t xml:space="preserve"> the nature of </w:t>
      </w:r>
      <w:r w:rsidR="00F85EB5">
        <w:rPr>
          <w:lang w:val="en-GB"/>
        </w:rPr>
        <w:t xml:space="preserve">philosophy, </w:t>
      </w:r>
      <w:r w:rsidR="00670554">
        <w:rPr>
          <w:lang w:val="en-GB"/>
        </w:rPr>
        <w:t xml:space="preserve">religion, magic and </w:t>
      </w:r>
      <w:r w:rsidR="00670554">
        <w:rPr>
          <w:lang w:val="en-GB"/>
        </w:rPr>
        <w:lastRenderedPageBreak/>
        <w:t>superstition</w:t>
      </w:r>
      <w:r w:rsidR="00613D45">
        <w:rPr>
          <w:lang w:val="en-GB"/>
        </w:rPr>
        <w:t xml:space="preserve">, </w:t>
      </w:r>
      <w:r w:rsidR="00670554">
        <w:rPr>
          <w:lang w:val="en-GB"/>
        </w:rPr>
        <w:t>very lively</w:t>
      </w:r>
      <w:r w:rsidR="00613D45">
        <w:rPr>
          <w:lang w:val="en-GB"/>
        </w:rPr>
        <w:t xml:space="preserve"> and relevant</w:t>
      </w:r>
      <w:r w:rsidR="00670554">
        <w:rPr>
          <w:lang w:val="en-GB"/>
        </w:rPr>
        <w:t xml:space="preserve"> at the time because of the pressure of new religious cults and the conflict between old religion</w:t>
      </w:r>
      <w:r w:rsidR="00613D45">
        <w:rPr>
          <w:lang w:val="en-GB"/>
        </w:rPr>
        <w:t>s</w:t>
      </w:r>
      <w:r w:rsidR="00670554">
        <w:rPr>
          <w:lang w:val="en-GB"/>
        </w:rPr>
        <w:t xml:space="preserve"> and new </w:t>
      </w:r>
      <w:r w:rsidR="00670554" w:rsidRPr="00F16699">
        <w:rPr>
          <w:lang w:val="en-GB"/>
        </w:rPr>
        <w:t>ones</w:t>
      </w:r>
      <w:r w:rsidR="000C346B">
        <w:rPr>
          <w:rStyle w:val="FootnoteReference"/>
          <w:lang w:val="en-GB"/>
        </w:rPr>
        <w:footnoteReference w:id="12"/>
      </w:r>
      <w:r w:rsidR="00670554">
        <w:rPr>
          <w:lang w:val="en-GB"/>
        </w:rPr>
        <w:t>.</w:t>
      </w:r>
    </w:p>
    <w:p w14:paraId="229A132B" w14:textId="0BDE1252" w:rsidR="006323CA" w:rsidRDefault="006323CA">
      <w:pPr>
        <w:rPr>
          <w:lang w:val="en-GB"/>
        </w:rPr>
      </w:pPr>
    </w:p>
    <w:p w14:paraId="56FB6B30" w14:textId="04466238" w:rsidR="00B759C9" w:rsidRDefault="004A7098">
      <w:pPr>
        <w:rPr>
          <w:lang w:val="en-GB"/>
        </w:rPr>
      </w:pPr>
      <w:r>
        <w:rPr>
          <w:lang w:val="en-GB"/>
        </w:rPr>
        <w:t>Iamblichus’ objections to Porphyry’s arguments</w:t>
      </w:r>
      <w:r w:rsidR="00643B0C">
        <w:rPr>
          <w:lang w:val="en-GB"/>
        </w:rPr>
        <w:t xml:space="preserve"> on divination were rooted in his metaphysical views</w:t>
      </w:r>
      <w:r w:rsidR="00F85EB5">
        <w:rPr>
          <w:lang w:val="en-GB"/>
        </w:rPr>
        <w:t>,</w:t>
      </w:r>
      <w:r>
        <w:rPr>
          <w:lang w:val="en-GB"/>
        </w:rPr>
        <w:t xml:space="preserve"> </w:t>
      </w:r>
      <w:r w:rsidR="00643B0C">
        <w:rPr>
          <w:lang w:val="en-GB"/>
        </w:rPr>
        <w:t xml:space="preserve">but </w:t>
      </w:r>
      <w:r w:rsidR="004C1DC3">
        <w:rPr>
          <w:lang w:val="en-GB"/>
        </w:rPr>
        <w:t>w</w:t>
      </w:r>
      <w:r w:rsidR="00080E4A">
        <w:rPr>
          <w:lang w:val="en-GB"/>
        </w:rPr>
        <w:t>ere</w:t>
      </w:r>
      <w:r>
        <w:rPr>
          <w:lang w:val="en-GB"/>
        </w:rPr>
        <w:t xml:space="preserve"> first and foremost methodological</w:t>
      </w:r>
      <w:r w:rsidR="004C1DC3">
        <w:rPr>
          <w:lang w:val="en-GB"/>
        </w:rPr>
        <w:t xml:space="preserve">. Porphyry’s approach, in </w:t>
      </w:r>
      <w:r w:rsidR="005F73D5">
        <w:rPr>
          <w:lang w:val="en-GB"/>
        </w:rPr>
        <w:t xml:space="preserve">Iamblichus’ </w:t>
      </w:r>
      <w:r w:rsidR="004C1DC3">
        <w:rPr>
          <w:lang w:val="en-GB"/>
        </w:rPr>
        <w:t>view, was crippled b</w:t>
      </w:r>
      <w:r w:rsidR="005F73D5">
        <w:rPr>
          <w:lang w:val="en-GB"/>
        </w:rPr>
        <w:t>y</w:t>
      </w:r>
      <w:r w:rsidR="004C1DC3">
        <w:rPr>
          <w:lang w:val="en-GB"/>
        </w:rPr>
        <w:t xml:space="preserve"> </w:t>
      </w:r>
      <w:r w:rsidR="005F73D5">
        <w:rPr>
          <w:lang w:val="en-GB"/>
        </w:rPr>
        <w:t xml:space="preserve">the </w:t>
      </w:r>
      <w:r w:rsidR="004C1DC3">
        <w:rPr>
          <w:lang w:val="en-GB"/>
        </w:rPr>
        <w:t>appl</w:t>
      </w:r>
      <w:r w:rsidR="005F73D5">
        <w:rPr>
          <w:lang w:val="en-GB"/>
        </w:rPr>
        <w:t>ication of</w:t>
      </w:r>
      <w:r w:rsidR="004C1DC3">
        <w:rPr>
          <w:lang w:val="en-GB"/>
        </w:rPr>
        <w:t xml:space="preserve"> philosophical </w:t>
      </w:r>
      <w:r w:rsidR="00554B67">
        <w:rPr>
          <w:lang w:val="en-GB"/>
        </w:rPr>
        <w:t>tool</w:t>
      </w:r>
      <w:r w:rsidR="004C1DC3">
        <w:rPr>
          <w:lang w:val="en-GB"/>
        </w:rPr>
        <w:t xml:space="preserve">s to the investigation of </w:t>
      </w:r>
      <w:r w:rsidR="00C20C7B">
        <w:rPr>
          <w:lang w:val="en-GB"/>
        </w:rPr>
        <w:t>matters</w:t>
      </w:r>
      <w:r w:rsidR="004C1DC3">
        <w:rPr>
          <w:lang w:val="en-GB"/>
        </w:rPr>
        <w:t xml:space="preserve"> that were pertaining </w:t>
      </w:r>
      <w:r w:rsidR="00080E4A">
        <w:rPr>
          <w:lang w:val="en-GB"/>
        </w:rPr>
        <w:t xml:space="preserve">to </w:t>
      </w:r>
      <w:r w:rsidR="004C1DC3">
        <w:rPr>
          <w:lang w:val="en-GB"/>
        </w:rPr>
        <w:t>the divine and could not be investigat</w:t>
      </w:r>
      <w:r w:rsidR="00080E4A">
        <w:rPr>
          <w:lang w:val="en-GB"/>
        </w:rPr>
        <w:t>ed</w:t>
      </w:r>
      <w:r w:rsidR="004C1DC3">
        <w:rPr>
          <w:lang w:val="en-GB"/>
        </w:rPr>
        <w:t xml:space="preserve"> with the same methods of cognition applied to the realm of generation</w:t>
      </w:r>
      <w:r w:rsidR="008A2F67">
        <w:rPr>
          <w:rStyle w:val="FootnoteReference"/>
          <w:lang w:val="en-GB"/>
        </w:rPr>
        <w:footnoteReference w:id="13"/>
      </w:r>
      <w:r w:rsidR="00F16699">
        <w:rPr>
          <w:lang w:val="en-GB"/>
        </w:rPr>
        <w:t xml:space="preserve">. </w:t>
      </w:r>
      <w:r w:rsidR="00554B67">
        <w:rPr>
          <w:lang w:val="en-GB"/>
        </w:rPr>
        <w:t>T</w:t>
      </w:r>
      <w:r w:rsidR="00080E4A">
        <w:rPr>
          <w:lang w:val="en-GB"/>
        </w:rPr>
        <w:t>heolog</w:t>
      </w:r>
      <w:r w:rsidR="00554B67">
        <w:rPr>
          <w:lang w:val="en-GB"/>
        </w:rPr>
        <w:t>ical</w:t>
      </w:r>
      <w:r w:rsidR="00F85EB5">
        <w:rPr>
          <w:lang w:val="en-GB"/>
        </w:rPr>
        <w:t xml:space="preserve"> </w:t>
      </w:r>
      <w:r w:rsidR="00554B67">
        <w:rPr>
          <w:lang w:val="en-GB"/>
        </w:rPr>
        <w:t>subjects</w:t>
      </w:r>
      <w:r w:rsidR="00E64D83">
        <w:rPr>
          <w:lang w:val="en-GB"/>
        </w:rPr>
        <w:t xml:space="preserve"> </w:t>
      </w:r>
      <w:r w:rsidR="00B759C9">
        <w:rPr>
          <w:lang w:val="en-GB"/>
        </w:rPr>
        <w:t>c</w:t>
      </w:r>
      <w:r w:rsidR="00777318">
        <w:rPr>
          <w:lang w:val="en-GB"/>
        </w:rPr>
        <w:t>ould not</w:t>
      </w:r>
      <w:r w:rsidR="00B759C9">
        <w:rPr>
          <w:lang w:val="en-GB"/>
        </w:rPr>
        <w:t xml:space="preserve"> be </w:t>
      </w:r>
      <w:r w:rsidR="00F16699">
        <w:rPr>
          <w:lang w:val="en-GB"/>
        </w:rPr>
        <w:t>comprehended</w:t>
      </w:r>
      <w:r w:rsidR="00F76955">
        <w:rPr>
          <w:lang w:val="en-GB"/>
        </w:rPr>
        <w:t xml:space="preserve"> nor “proven” using rational methods since they</w:t>
      </w:r>
      <w:r w:rsidR="00B759C9">
        <w:rPr>
          <w:lang w:val="en-GB"/>
        </w:rPr>
        <w:t xml:space="preserve"> </w:t>
      </w:r>
      <w:r w:rsidR="00C20C7B">
        <w:rPr>
          <w:lang w:val="en-GB"/>
        </w:rPr>
        <w:t>pertain</w:t>
      </w:r>
      <w:r w:rsidR="00777318">
        <w:rPr>
          <w:lang w:val="en-GB"/>
        </w:rPr>
        <w:t>ed</w:t>
      </w:r>
      <w:r w:rsidR="00F76955">
        <w:rPr>
          <w:lang w:val="en-GB"/>
        </w:rPr>
        <w:t xml:space="preserve"> to</w:t>
      </w:r>
      <w:r w:rsidR="00B759C9">
        <w:rPr>
          <w:lang w:val="en-GB"/>
        </w:rPr>
        <w:t xml:space="preserve"> the divine </w:t>
      </w:r>
      <w:r w:rsidR="00C20C7B">
        <w:rPr>
          <w:lang w:val="en-GB"/>
        </w:rPr>
        <w:t xml:space="preserve">which </w:t>
      </w:r>
      <w:r w:rsidR="00F76955">
        <w:rPr>
          <w:lang w:val="en-GB"/>
        </w:rPr>
        <w:t>is beyond rationality</w:t>
      </w:r>
      <w:r w:rsidR="008A2F67">
        <w:rPr>
          <w:rStyle w:val="FootnoteReference"/>
          <w:lang w:val="en-GB"/>
        </w:rPr>
        <w:footnoteReference w:id="14"/>
      </w:r>
      <w:r w:rsidR="00F76955">
        <w:rPr>
          <w:lang w:val="en-GB"/>
        </w:rPr>
        <w:t xml:space="preserve">. </w:t>
      </w:r>
    </w:p>
    <w:p w14:paraId="309D9019" w14:textId="27ADD930" w:rsidR="00F76955" w:rsidRDefault="00F76955">
      <w:pPr>
        <w:rPr>
          <w:lang w:val="en-GB"/>
        </w:rPr>
      </w:pPr>
    </w:p>
    <w:p w14:paraId="26C28435" w14:textId="0F56AF36" w:rsidR="00E74DB5" w:rsidRDefault="00E74DB5">
      <w:pPr>
        <w:rPr>
          <w:lang w:val="en-GB"/>
        </w:rPr>
      </w:pPr>
    </w:p>
    <w:p w14:paraId="0B8C68D0" w14:textId="77A0285D" w:rsidR="00E74DB5" w:rsidRDefault="00554B67">
      <w:pPr>
        <w:rPr>
          <w:lang w:val="en-GB"/>
        </w:rPr>
      </w:pPr>
      <w:r>
        <w:rPr>
          <w:lang w:val="en-GB"/>
        </w:rPr>
        <w:t xml:space="preserve">In line with </w:t>
      </w:r>
      <w:r w:rsidR="00E64D83">
        <w:rPr>
          <w:lang w:val="en-GB"/>
        </w:rPr>
        <w:t xml:space="preserve">the genre of </w:t>
      </w:r>
      <w:r w:rsidR="00A74219">
        <w:rPr>
          <w:lang w:val="en-GB"/>
        </w:rPr>
        <w:t>“Problems and Solutions”</w:t>
      </w:r>
      <w:r w:rsidR="00A74219">
        <w:rPr>
          <w:rStyle w:val="FootnoteReference"/>
          <w:lang w:val="en-GB"/>
        </w:rPr>
        <w:footnoteReference w:id="15"/>
      </w:r>
      <w:r>
        <w:rPr>
          <w:lang w:val="en-GB"/>
        </w:rPr>
        <w:t>,</w:t>
      </w:r>
      <w:r w:rsidR="00E64D83">
        <w:rPr>
          <w:lang w:val="en-GB"/>
        </w:rPr>
        <w:t xml:space="preserve"> Iamblichus listed</w:t>
      </w:r>
      <w:r w:rsidR="00E74DB5">
        <w:rPr>
          <w:lang w:val="en-GB"/>
        </w:rPr>
        <w:t xml:space="preserve"> Porphyry’s arguments</w:t>
      </w:r>
      <w:r w:rsidR="005F73D5">
        <w:rPr>
          <w:lang w:val="en-GB"/>
        </w:rPr>
        <w:t xml:space="preserve"> one by one</w:t>
      </w:r>
      <w:r w:rsidR="00965787">
        <w:rPr>
          <w:lang w:val="en-GB"/>
        </w:rPr>
        <w:t xml:space="preserve">, </w:t>
      </w:r>
      <w:r w:rsidR="00E74DB5">
        <w:rPr>
          <w:lang w:val="en-GB"/>
        </w:rPr>
        <w:t>analys</w:t>
      </w:r>
      <w:r w:rsidR="005F73D5">
        <w:rPr>
          <w:lang w:val="en-GB"/>
        </w:rPr>
        <w:t>ing</w:t>
      </w:r>
      <w:r w:rsidR="00E74DB5">
        <w:rPr>
          <w:lang w:val="en-GB"/>
        </w:rPr>
        <w:t xml:space="preserve"> and refut</w:t>
      </w:r>
      <w:r w:rsidR="005F73D5">
        <w:rPr>
          <w:lang w:val="en-GB"/>
        </w:rPr>
        <w:t>ing</w:t>
      </w:r>
      <w:r w:rsidR="00E74DB5">
        <w:rPr>
          <w:lang w:val="en-GB"/>
        </w:rPr>
        <w:t xml:space="preserve"> </w:t>
      </w:r>
      <w:r w:rsidR="00190B0C">
        <w:rPr>
          <w:lang w:val="en-GB"/>
        </w:rPr>
        <w:t>each of them</w:t>
      </w:r>
      <w:r w:rsidR="00E74DB5">
        <w:rPr>
          <w:lang w:val="en-GB"/>
        </w:rPr>
        <w:t xml:space="preserve">. </w:t>
      </w:r>
      <w:r w:rsidR="006D1653">
        <w:rPr>
          <w:lang w:val="en-GB"/>
        </w:rPr>
        <w:t>Because of this</w:t>
      </w:r>
      <w:r w:rsidR="00E64D83">
        <w:rPr>
          <w:lang w:val="en-GB"/>
        </w:rPr>
        <w:t xml:space="preserve"> approach</w:t>
      </w:r>
      <w:r w:rsidR="006D1653">
        <w:rPr>
          <w:lang w:val="en-GB"/>
        </w:rPr>
        <w:t xml:space="preserve"> and </w:t>
      </w:r>
      <w:r w:rsidR="00E64D83">
        <w:rPr>
          <w:lang w:val="en-GB"/>
        </w:rPr>
        <w:t xml:space="preserve">because </w:t>
      </w:r>
      <w:r w:rsidR="006D1653">
        <w:rPr>
          <w:lang w:val="en-GB"/>
        </w:rPr>
        <w:t xml:space="preserve">of </w:t>
      </w:r>
      <w:r w:rsidR="00B84373">
        <w:rPr>
          <w:lang w:val="en-GB"/>
        </w:rPr>
        <w:t>a</w:t>
      </w:r>
      <w:r w:rsidR="006D1653">
        <w:rPr>
          <w:lang w:val="en-GB"/>
        </w:rPr>
        <w:t xml:space="preserve"> prose</w:t>
      </w:r>
      <w:r w:rsidR="00B84373">
        <w:rPr>
          <w:lang w:val="en-GB"/>
        </w:rPr>
        <w:t xml:space="preserve"> that Clarke</w:t>
      </w:r>
      <w:r w:rsidR="00A74219">
        <w:rPr>
          <w:lang w:val="en-GB"/>
        </w:rPr>
        <w:t>, Dillon and Hershbell</w:t>
      </w:r>
      <w:r w:rsidR="00B84373">
        <w:rPr>
          <w:lang w:val="en-GB"/>
        </w:rPr>
        <w:t xml:space="preserve"> describe</w:t>
      </w:r>
      <w:r>
        <w:rPr>
          <w:lang w:val="en-GB"/>
        </w:rPr>
        <w:t>d</w:t>
      </w:r>
      <w:r w:rsidR="00B84373">
        <w:rPr>
          <w:lang w:val="en-GB"/>
        </w:rPr>
        <w:t xml:space="preserve"> as “lengthy and eclectic”</w:t>
      </w:r>
      <w:r w:rsidR="00A74219">
        <w:rPr>
          <w:rStyle w:val="FootnoteReference"/>
          <w:lang w:val="en-GB"/>
        </w:rPr>
        <w:footnoteReference w:id="16"/>
      </w:r>
      <w:r w:rsidR="00CF79C7">
        <w:rPr>
          <w:lang w:val="en-GB"/>
        </w:rPr>
        <w:t>,</w:t>
      </w:r>
      <w:r w:rsidR="00B84373">
        <w:rPr>
          <w:lang w:val="en-GB"/>
        </w:rPr>
        <w:t xml:space="preserve"> the argumentation is not always linear. As </w:t>
      </w:r>
      <w:r w:rsidR="00A50186">
        <w:rPr>
          <w:lang w:val="en-GB"/>
        </w:rPr>
        <w:t xml:space="preserve">Athanassiadi </w:t>
      </w:r>
      <w:r w:rsidR="00B84373">
        <w:rPr>
          <w:lang w:val="en-GB"/>
        </w:rPr>
        <w:t>argue</w:t>
      </w:r>
      <w:r w:rsidR="00965787">
        <w:rPr>
          <w:lang w:val="en-GB"/>
        </w:rPr>
        <w:t>d</w:t>
      </w:r>
      <w:r w:rsidR="00B84373">
        <w:rPr>
          <w:lang w:val="en-GB"/>
        </w:rPr>
        <w:t xml:space="preserve">, </w:t>
      </w:r>
      <w:r w:rsidR="00E64D83">
        <w:rPr>
          <w:lang w:val="en-GB"/>
        </w:rPr>
        <w:t>the text lacks “clarity and structure”</w:t>
      </w:r>
      <w:r w:rsidR="00A74219">
        <w:rPr>
          <w:rStyle w:val="FootnoteReference"/>
          <w:lang w:val="en-GB"/>
        </w:rPr>
        <w:footnoteReference w:id="17"/>
      </w:r>
      <w:r w:rsidR="00A50186">
        <w:rPr>
          <w:lang w:val="en-GB"/>
        </w:rPr>
        <w:t xml:space="preserve">  </w:t>
      </w:r>
      <w:r w:rsidR="00B84373">
        <w:rPr>
          <w:lang w:val="en-GB"/>
        </w:rPr>
        <w:t xml:space="preserve">to the point that she </w:t>
      </w:r>
      <w:r>
        <w:rPr>
          <w:lang w:val="en-GB"/>
        </w:rPr>
        <w:t>suggested</w:t>
      </w:r>
      <w:r w:rsidR="00B84373">
        <w:rPr>
          <w:lang w:val="en-GB"/>
        </w:rPr>
        <w:t xml:space="preserve"> his style might have contributed to the extremely polarised way </w:t>
      </w:r>
      <w:r w:rsidR="00965787">
        <w:rPr>
          <w:lang w:val="en-GB"/>
        </w:rPr>
        <w:t xml:space="preserve">in which </w:t>
      </w:r>
      <w:r w:rsidR="00B84373">
        <w:rPr>
          <w:lang w:val="en-GB"/>
        </w:rPr>
        <w:t xml:space="preserve">his </w:t>
      </w:r>
      <w:r w:rsidR="00965787">
        <w:rPr>
          <w:lang w:val="en-GB"/>
        </w:rPr>
        <w:t>ideas</w:t>
      </w:r>
      <w:r w:rsidR="00B84373">
        <w:rPr>
          <w:lang w:val="en-GB"/>
        </w:rPr>
        <w:t xml:space="preserve"> w</w:t>
      </w:r>
      <w:r w:rsidR="00965787">
        <w:rPr>
          <w:lang w:val="en-GB"/>
        </w:rPr>
        <w:t>ere</w:t>
      </w:r>
      <w:r w:rsidR="00B84373">
        <w:rPr>
          <w:lang w:val="en-GB"/>
        </w:rPr>
        <w:t xml:space="preserve"> received</w:t>
      </w:r>
      <w:r w:rsidR="005F73D5">
        <w:rPr>
          <w:lang w:val="en-GB"/>
        </w:rPr>
        <w:t xml:space="preserve"> -</w:t>
      </w:r>
      <w:r w:rsidR="00B84373">
        <w:rPr>
          <w:lang w:val="en-GB"/>
        </w:rPr>
        <w:t xml:space="preserve"> either as a cult or as “inapplicable by posterity”</w:t>
      </w:r>
      <w:r w:rsidR="00A00E8D">
        <w:rPr>
          <w:rStyle w:val="FootnoteReference"/>
          <w:lang w:val="en-GB"/>
        </w:rPr>
        <w:footnoteReference w:id="18"/>
      </w:r>
      <w:r w:rsidR="00CF79C7">
        <w:rPr>
          <w:lang w:val="en-GB"/>
        </w:rPr>
        <w:t xml:space="preserve"> </w:t>
      </w:r>
      <w:r w:rsidR="005F73D5">
        <w:rPr>
          <w:lang w:val="en-GB"/>
        </w:rPr>
        <w:t xml:space="preserve">- </w:t>
      </w:r>
      <w:r w:rsidR="00CF79C7">
        <w:rPr>
          <w:lang w:val="en-GB"/>
        </w:rPr>
        <w:t xml:space="preserve">and might have played a role as to how scholars </w:t>
      </w:r>
      <w:r w:rsidR="00A00E8D">
        <w:rPr>
          <w:lang w:val="en-GB"/>
        </w:rPr>
        <w:t>in</w:t>
      </w:r>
      <w:r w:rsidR="00CF79C7">
        <w:rPr>
          <w:lang w:val="en-GB"/>
        </w:rPr>
        <w:t xml:space="preserve"> the </w:t>
      </w:r>
      <w:r w:rsidR="00A00E8D">
        <w:rPr>
          <w:lang w:val="en-GB"/>
        </w:rPr>
        <w:t>20th</w:t>
      </w:r>
      <w:r w:rsidR="00CF79C7">
        <w:rPr>
          <w:lang w:val="en-GB"/>
        </w:rPr>
        <w:t xml:space="preserve"> century </w:t>
      </w:r>
      <w:r w:rsidR="00A47C81">
        <w:rPr>
          <w:lang w:val="en-GB"/>
        </w:rPr>
        <w:t>approached the text</w:t>
      </w:r>
      <w:r w:rsidR="00556BDA">
        <w:rPr>
          <w:rStyle w:val="FootnoteReference"/>
          <w:lang w:val="en-GB"/>
        </w:rPr>
        <w:footnoteReference w:id="19"/>
      </w:r>
      <w:r w:rsidR="00A47C81">
        <w:rPr>
          <w:lang w:val="en-GB"/>
        </w:rPr>
        <w:t>, leading to Dodd’s description of it as “a manifesto of irrationalism”</w:t>
      </w:r>
      <w:r w:rsidR="00A47C81">
        <w:rPr>
          <w:rStyle w:val="FootnoteReference"/>
          <w:lang w:val="en-GB"/>
        </w:rPr>
        <w:footnoteReference w:id="20"/>
      </w:r>
      <w:r w:rsidR="00CF79C7">
        <w:rPr>
          <w:lang w:val="en-GB"/>
        </w:rPr>
        <w:t xml:space="preserve">. </w:t>
      </w:r>
      <w:r w:rsidR="00965787">
        <w:rPr>
          <w:lang w:val="en-GB"/>
        </w:rPr>
        <w:t>However</w:t>
      </w:r>
      <w:r w:rsidR="00CF79C7">
        <w:rPr>
          <w:lang w:val="en-GB"/>
        </w:rPr>
        <w:t>, t</w:t>
      </w:r>
      <w:r w:rsidR="006D1653">
        <w:rPr>
          <w:lang w:val="en-GB"/>
        </w:rPr>
        <w:t xml:space="preserve">he lengthy </w:t>
      </w:r>
      <w:r w:rsidR="00CF79C7">
        <w:rPr>
          <w:lang w:val="en-GB"/>
        </w:rPr>
        <w:t xml:space="preserve">and repetitive </w:t>
      </w:r>
      <w:r w:rsidR="006D1653">
        <w:rPr>
          <w:lang w:val="en-GB"/>
        </w:rPr>
        <w:t xml:space="preserve">arguments </w:t>
      </w:r>
      <w:r w:rsidR="00CF79C7">
        <w:rPr>
          <w:lang w:val="en-GB"/>
        </w:rPr>
        <w:t xml:space="preserve">can also be seen as a </w:t>
      </w:r>
      <w:r w:rsidR="00A50186">
        <w:rPr>
          <w:lang w:val="en-GB"/>
        </w:rPr>
        <w:t xml:space="preserve">declination of </w:t>
      </w:r>
      <w:r w:rsidR="00CF79C7">
        <w:rPr>
          <w:lang w:val="en-GB"/>
        </w:rPr>
        <w:t>his</w:t>
      </w:r>
      <w:r w:rsidR="00A50186">
        <w:rPr>
          <w:lang w:val="en-GB"/>
        </w:rPr>
        <w:t xml:space="preserve"> philosophical premise</w:t>
      </w:r>
      <w:r w:rsidR="00CF79C7">
        <w:rPr>
          <w:lang w:val="en-GB"/>
        </w:rPr>
        <w:t>s</w:t>
      </w:r>
      <w:r w:rsidR="00A50186">
        <w:rPr>
          <w:lang w:val="en-GB"/>
        </w:rPr>
        <w:t xml:space="preserve"> within the context of concrete examples</w:t>
      </w:r>
      <w:r w:rsidR="00556BDA">
        <w:rPr>
          <w:rStyle w:val="FootnoteReference"/>
          <w:lang w:val="en-GB"/>
        </w:rPr>
        <w:footnoteReference w:id="21"/>
      </w:r>
      <w:r w:rsidR="00A50186">
        <w:rPr>
          <w:lang w:val="en-GB"/>
        </w:rPr>
        <w:t xml:space="preserve">. </w:t>
      </w:r>
    </w:p>
    <w:p w14:paraId="14068ED7" w14:textId="77777777" w:rsidR="00D17C73" w:rsidRDefault="00D17C73">
      <w:pPr>
        <w:rPr>
          <w:lang w:val="en-GB"/>
        </w:rPr>
      </w:pPr>
    </w:p>
    <w:p w14:paraId="04265A4A" w14:textId="63AAC6A0" w:rsidR="00F20C4D" w:rsidRDefault="00282503">
      <w:pPr>
        <w:rPr>
          <w:lang w:val="en-GB"/>
        </w:rPr>
      </w:pPr>
      <w:r>
        <w:rPr>
          <w:lang w:val="en-GB"/>
        </w:rPr>
        <w:t>After having illustrated his methodological objection, Iamblichus set out</w:t>
      </w:r>
      <w:r w:rsidR="005F73D5">
        <w:rPr>
          <w:lang w:val="en-GB"/>
        </w:rPr>
        <w:t xml:space="preserve"> a systematic examination of Porphyry’s queries and</w:t>
      </w:r>
      <w:r>
        <w:rPr>
          <w:lang w:val="en-GB"/>
        </w:rPr>
        <w:t xml:space="preserve"> </w:t>
      </w:r>
      <w:r w:rsidR="00554B67">
        <w:rPr>
          <w:lang w:val="en-GB"/>
        </w:rPr>
        <w:t xml:space="preserve">laid </w:t>
      </w:r>
      <w:r>
        <w:rPr>
          <w:lang w:val="en-GB"/>
        </w:rPr>
        <w:t xml:space="preserve">the </w:t>
      </w:r>
      <w:r w:rsidR="005F73D5">
        <w:rPr>
          <w:lang w:val="en-GB"/>
        </w:rPr>
        <w:t>philosophica</w:t>
      </w:r>
      <w:r w:rsidR="00F16699">
        <w:rPr>
          <w:lang w:val="en-GB"/>
        </w:rPr>
        <w:t>l</w:t>
      </w:r>
      <w:r>
        <w:rPr>
          <w:lang w:val="en-GB"/>
        </w:rPr>
        <w:t xml:space="preserve"> premise around which all discussion gravitates, i.e. his definition of foreknowledge as </w:t>
      </w:r>
      <w:r w:rsidRPr="00556BDA">
        <w:rPr>
          <w:lang w:val="en-GB"/>
        </w:rPr>
        <w:t>“a thing divine, supernatural, sent from the heaven above”</w:t>
      </w:r>
      <w:r>
        <w:rPr>
          <w:rStyle w:val="FootnoteReference"/>
          <w:lang w:val="en-GB"/>
        </w:rPr>
        <w:footnoteReference w:id="22"/>
      </w:r>
      <w:r>
        <w:rPr>
          <w:lang w:val="en-GB"/>
        </w:rPr>
        <w:t xml:space="preserve"> as opposed to Porphyry</w:t>
      </w:r>
      <w:r w:rsidR="00F16699">
        <w:rPr>
          <w:lang w:val="en-GB"/>
        </w:rPr>
        <w:t xml:space="preserve">’s </w:t>
      </w:r>
      <w:r>
        <w:rPr>
          <w:lang w:val="en-GB"/>
        </w:rPr>
        <w:t>description of it as “things that do not yet exist”</w:t>
      </w:r>
      <w:r>
        <w:rPr>
          <w:rStyle w:val="FootnoteReference"/>
          <w:lang w:val="en-GB"/>
        </w:rPr>
        <w:footnoteReference w:id="23"/>
      </w:r>
      <w:r>
        <w:rPr>
          <w:lang w:val="en-GB"/>
        </w:rPr>
        <w:t xml:space="preserve">. </w:t>
      </w:r>
      <w:r w:rsidR="00A47C81">
        <w:rPr>
          <w:lang w:val="en-GB"/>
        </w:rPr>
        <w:t xml:space="preserve">Divination, for Iamblichus, must </w:t>
      </w:r>
      <w:r w:rsidR="00F16699">
        <w:rPr>
          <w:lang w:val="en-GB"/>
        </w:rPr>
        <w:t>coincide with</w:t>
      </w:r>
      <w:r w:rsidR="00A47C81">
        <w:rPr>
          <w:lang w:val="en-GB"/>
        </w:rPr>
        <w:t xml:space="preserve"> divine knowledge because you could not “derive divination of the future from those things that have no foreknowledge as such, but to derive it from the gods who in themselves possess the limits of all knowledge”</w:t>
      </w:r>
      <w:r w:rsidR="00643FD1">
        <w:rPr>
          <w:rStyle w:val="FootnoteReference"/>
          <w:lang w:val="en-GB"/>
        </w:rPr>
        <w:footnoteReference w:id="24"/>
      </w:r>
      <w:r w:rsidR="00A47C81">
        <w:rPr>
          <w:lang w:val="en-GB"/>
        </w:rPr>
        <w:t xml:space="preserve"> </w:t>
      </w:r>
      <w:r w:rsidR="00A47C81" w:rsidRPr="00643FD1">
        <w:rPr>
          <w:lang w:val="en-GB"/>
        </w:rPr>
        <w:t>.</w:t>
      </w:r>
      <w:r w:rsidR="00A47C81">
        <w:rPr>
          <w:lang w:val="en-GB"/>
        </w:rPr>
        <w:t xml:space="preserve"> </w:t>
      </w:r>
      <w:r w:rsidR="00F16699">
        <w:rPr>
          <w:lang w:val="en-GB"/>
        </w:rPr>
        <w:t>T</w:t>
      </w:r>
      <w:r w:rsidR="007954D0">
        <w:rPr>
          <w:lang w:val="en-GB"/>
        </w:rPr>
        <w:t xml:space="preserve">he main point of </w:t>
      </w:r>
      <w:r w:rsidR="00965787">
        <w:rPr>
          <w:lang w:val="en-GB"/>
        </w:rPr>
        <w:t>disagreement</w:t>
      </w:r>
      <w:r w:rsidR="007954D0">
        <w:rPr>
          <w:lang w:val="en-GB"/>
        </w:rPr>
        <w:t xml:space="preserve"> </w:t>
      </w:r>
      <w:r w:rsidR="00F16699">
        <w:rPr>
          <w:lang w:val="en-GB"/>
        </w:rPr>
        <w:t xml:space="preserve">was </w:t>
      </w:r>
      <w:r w:rsidR="00F16699">
        <w:rPr>
          <w:lang w:val="en-GB"/>
        </w:rPr>
        <w:t>contained</w:t>
      </w:r>
      <w:r w:rsidR="00F16699">
        <w:rPr>
          <w:lang w:val="en-GB"/>
        </w:rPr>
        <w:t xml:space="preserve"> i</w:t>
      </w:r>
      <w:r w:rsidR="00F16699">
        <w:rPr>
          <w:lang w:val="en-GB"/>
        </w:rPr>
        <w:t>n Iamblichus’ definition of divination</w:t>
      </w:r>
      <w:r w:rsidR="007954D0">
        <w:rPr>
          <w:lang w:val="en-GB"/>
        </w:rPr>
        <w:t xml:space="preserve">. </w:t>
      </w:r>
      <w:r w:rsidR="00965787">
        <w:rPr>
          <w:lang w:val="en-GB"/>
        </w:rPr>
        <w:t xml:space="preserve">Despite both philosophers’ metaphysics were Neoplatonic, they diverged on how man can approach the divine. </w:t>
      </w:r>
      <w:r w:rsidR="007954D0" w:rsidRPr="00A47C81">
        <w:rPr>
          <w:lang w:val="en-GB"/>
        </w:rPr>
        <w:t>If the latter believed in the human capacity to ascend to the divine,</w:t>
      </w:r>
      <w:r w:rsidR="007954D0">
        <w:rPr>
          <w:lang w:val="en-GB"/>
        </w:rPr>
        <w:t xml:space="preserve"> Iamblichus deemed that man alone c</w:t>
      </w:r>
      <w:r w:rsidR="00965787">
        <w:rPr>
          <w:lang w:val="en-GB"/>
        </w:rPr>
        <w:t>ould not</w:t>
      </w:r>
      <w:r w:rsidR="007954D0">
        <w:rPr>
          <w:lang w:val="en-GB"/>
        </w:rPr>
        <w:t xml:space="preserve"> re-conjunct with the gods and that this </w:t>
      </w:r>
      <w:r w:rsidR="007954D0">
        <w:rPr>
          <w:lang w:val="en-GB"/>
        </w:rPr>
        <w:lastRenderedPageBreak/>
        <w:t xml:space="preserve">reunion </w:t>
      </w:r>
      <w:r w:rsidR="001C49F7">
        <w:rPr>
          <w:lang w:val="en-GB"/>
        </w:rPr>
        <w:t>was</w:t>
      </w:r>
      <w:r w:rsidR="007954D0">
        <w:rPr>
          <w:lang w:val="en-GB"/>
        </w:rPr>
        <w:t xml:space="preserve"> possible only if initiated by </w:t>
      </w:r>
      <w:r w:rsidR="00F16699">
        <w:rPr>
          <w:lang w:val="en-GB"/>
        </w:rPr>
        <w:t xml:space="preserve">the </w:t>
      </w:r>
      <w:r w:rsidR="001C49F7">
        <w:rPr>
          <w:lang w:val="en-GB"/>
        </w:rPr>
        <w:t>gods themselves</w:t>
      </w:r>
      <w:r w:rsidR="007954D0">
        <w:rPr>
          <w:lang w:val="en-GB"/>
        </w:rPr>
        <w:t xml:space="preserve">. </w:t>
      </w:r>
      <w:r w:rsidR="00965787">
        <w:rPr>
          <w:lang w:val="en-GB"/>
        </w:rPr>
        <w:t>Because of this</w:t>
      </w:r>
      <w:r w:rsidR="00CF79C7">
        <w:rPr>
          <w:lang w:val="en-GB"/>
        </w:rPr>
        <w:t>,</w:t>
      </w:r>
      <w:r w:rsidR="00D17C73">
        <w:rPr>
          <w:lang w:val="en-GB"/>
        </w:rPr>
        <w:t xml:space="preserve"> divination </w:t>
      </w:r>
      <w:r w:rsidR="00D17C73" w:rsidRPr="002B5E38">
        <w:rPr>
          <w:lang w:val="en-GB"/>
        </w:rPr>
        <w:t>cannot be activated “by natural powers”</w:t>
      </w:r>
      <w:r w:rsidR="002B5E38">
        <w:rPr>
          <w:rStyle w:val="FootnoteReference"/>
          <w:lang w:val="en-GB"/>
        </w:rPr>
        <w:footnoteReference w:id="25"/>
      </w:r>
      <w:r w:rsidR="00D17C73">
        <w:rPr>
          <w:lang w:val="en-GB"/>
        </w:rPr>
        <w:t xml:space="preserve">. </w:t>
      </w:r>
    </w:p>
    <w:p w14:paraId="2EEFE7CD" w14:textId="29A9D55F" w:rsidR="001E4FBF" w:rsidRDefault="00A47C81">
      <w:pPr>
        <w:rPr>
          <w:lang w:val="en-GB"/>
        </w:rPr>
      </w:pPr>
      <w:r>
        <w:rPr>
          <w:lang w:val="en-GB"/>
        </w:rPr>
        <w:t xml:space="preserve">Iamblichus’ metaphysics is the porthole to understanding his position on divination. </w:t>
      </w:r>
      <w:r w:rsidR="009D7429">
        <w:rPr>
          <w:lang w:val="en-GB"/>
        </w:rPr>
        <w:t xml:space="preserve">Peter </w:t>
      </w:r>
      <w:r w:rsidR="00D17C73">
        <w:rPr>
          <w:lang w:val="en-GB"/>
        </w:rPr>
        <w:t>Struck</w:t>
      </w:r>
      <w:r w:rsidR="009D7429">
        <w:rPr>
          <w:lang w:val="en-GB"/>
        </w:rPr>
        <w:t>, in “Birth of the Symbol”</w:t>
      </w:r>
      <w:r w:rsidR="00F77BE5">
        <w:rPr>
          <w:rStyle w:val="FootnoteReference"/>
          <w:lang w:val="en-GB"/>
        </w:rPr>
        <w:footnoteReference w:id="26"/>
      </w:r>
      <w:r w:rsidR="009D7429">
        <w:rPr>
          <w:lang w:val="en-GB"/>
        </w:rPr>
        <w:t xml:space="preserve">, suggested that the clue to understanding why Iamblichus </w:t>
      </w:r>
      <w:r w:rsidR="001C49F7">
        <w:rPr>
          <w:lang w:val="en-GB"/>
        </w:rPr>
        <w:t xml:space="preserve">believed man cannot ascent to the divine </w:t>
      </w:r>
      <w:r w:rsidR="00965787">
        <w:rPr>
          <w:lang w:val="en-GB"/>
        </w:rPr>
        <w:t>independently</w:t>
      </w:r>
      <w:r w:rsidR="009D7429">
        <w:rPr>
          <w:lang w:val="en-GB"/>
        </w:rPr>
        <w:t xml:space="preserve"> is to be found in his commentary on the Timaeus</w:t>
      </w:r>
      <w:r w:rsidR="00F77BE5">
        <w:rPr>
          <w:rStyle w:val="FootnoteReference"/>
          <w:lang w:val="en-GB"/>
        </w:rPr>
        <w:footnoteReference w:id="27"/>
      </w:r>
      <w:r w:rsidR="005F73D5">
        <w:rPr>
          <w:lang w:val="en-GB"/>
        </w:rPr>
        <w:t>:</w:t>
      </w:r>
      <w:r w:rsidR="005A1AB9">
        <w:rPr>
          <w:lang w:val="en-GB"/>
        </w:rPr>
        <w:t xml:space="preserve"> </w:t>
      </w:r>
      <w:r w:rsidR="005F73D5">
        <w:rPr>
          <w:lang w:val="en-GB"/>
        </w:rPr>
        <w:t xml:space="preserve">unlike Porphyry, </w:t>
      </w:r>
      <w:r w:rsidR="009D7429">
        <w:rPr>
          <w:lang w:val="en-GB"/>
        </w:rPr>
        <w:t>Iamblichus didn’t believe</w:t>
      </w:r>
      <w:r w:rsidR="005F73D5">
        <w:rPr>
          <w:lang w:val="en-GB"/>
        </w:rPr>
        <w:t xml:space="preserve"> </w:t>
      </w:r>
      <w:r w:rsidR="009D7429">
        <w:rPr>
          <w:lang w:val="en-GB"/>
        </w:rPr>
        <w:t xml:space="preserve">that </w:t>
      </w:r>
      <w:r w:rsidR="005F73D5">
        <w:rPr>
          <w:lang w:val="en-GB"/>
        </w:rPr>
        <w:t>man can reach the One</w:t>
      </w:r>
      <w:r w:rsidR="005F73D5">
        <w:rPr>
          <w:rStyle w:val="FootnoteReference"/>
          <w:lang w:val="en-GB"/>
        </w:rPr>
        <w:footnoteReference w:id="28"/>
      </w:r>
      <w:r w:rsidR="005F73D5">
        <w:rPr>
          <w:lang w:val="en-GB"/>
        </w:rPr>
        <w:t xml:space="preserve"> through contemplation and spiritual exercises simply </w:t>
      </w:r>
      <w:r w:rsidR="009D7429">
        <w:rPr>
          <w:lang w:val="en-GB"/>
        </w:rPr>
        <w:t xml:space="preserve">because the human soul maintains something of the divine within itself. This type of considerations, Struck </w:t>
      </w:r>
      <w:r w:rsidR="003A3731">
        <w:rPr>
          <w:lang w:val="en-GB"/>
        </w:rPr>
        <w:t>claimed</w:t>
      </w:r>
      <w:r w:rsidR="009D7429">
        <w:rPr>
          <w:lang w:val="en-GB"/>
        </w:rPr>
        <w:t xml:space="preserve">, lead </w:t>
      </w:r>
      <w:r w:rsidR="000E73AA">
        <w:rPr>
          <w:lang w:val="en-GB"/>
        </w:rPr>
        <w:t>Iamblichus</w:t>
      </w:r>
      <w:r w:rsidR="009D7429">
        <w:rPr>
          <w:lang w:val="en-GB"/>
        </w:rPr>
        <w:t xml:space="preserve"> to believe that “the approach to the One, if it is to happen at all, must come from some power greater than the human soul, from some part of the higher orders that breaks through to the lower ones”</w:t>
      </w:r>
      <w:r w:rsidR="005A1AB9">
        <w:rPr>
          <w:rStyle w:val="FootnoteReference"/>
          <w:lang w:val="en-GB"/>
        </w:rPr>
        <w:footnoteReference w:id="29"/>
      </w:r>
      <w:r w:rsidR="009D7429">
        <w:rPr>
          <w:lang w:val="en-GB"/>
        </w:rPr>
        <w:t>.</w:t>
      </w:r>
      <w:r w:rsidR="0052167B">
        <w:rPr>
          <w:lang w:val="en-GB"/>
        </w:rPr>
        <w:t xml:space="preserve"> </w:t>
      </w:r>
    </w:p>
    <w:p w14:paraId="6A2DDEA0" w14:textId="77777777" w:rsidR="00B217F8" w:rsidRDefault="00B217F8">
      <w:pPr>
        <w:rPr>
          <w:lang w:val="en-GB"/>
        </w:rPr>
      </w:pPr>
    </w:p>
    <w:p w14:paraId="42F052B1" w14:textId="29635F21" w:rsidR="001E4FBF" w:rsidRDefault="007C1502">
      <w:pPr>
        <w:rPr>
          <w:lang w:val="en-GB"/>
        </w:rPr>
      </w:pPr>
      <w:r>
        <w:rPr>
          <w:lang w:val="en-GB"/>
        </w:rPr>
        <w:t>At this point</w:t>
      </w:r>
      <w:r w:rsidR="001E4FBF">
        <w:rPr>
          <w:lang w:val="en-GB"/>
        </w:rPr>
        <w:t xml:space="preserve">, </w:t>
      </w:r>
      <w:r>
        <w:rPr>
          <w:lang w:val="en-GB"/>
        </w:rPr>
        <w:t xml:space="preserve">Iamblichus needed to address Porphyry’s objection as to </w:t>
      </w:r>
      <w:r w:rsidR="00AD4615">
        <w:rPr>
          <w:lang w:val="en-GB"/>
        </w:rPr>
        <w:t>why the gods send us messages and why knowing the future would be of any use to us</w:t>
      </w:r>
      <w:r>
        <w:rPr>
          <w:lang w:val="en-GB"/>
        </w:rPr>
        <w:t>.  Assuming the gods “ lead everything in the realm of generation and nature in accordance to their own will”</w:t>
      </w:r>
      <w:r w:rsidR="005A1AB9">
        <w:rPr>
          <w:rStyle w:val="FootnoteReference"/>
          <w:lang w:val="en-GB"/>
        </w:rPr>
        <w:footnoteReference w:id="30"/>
      </w:r>
      <w:r>
        <w:rPr>
          <w:lang w:val="en-GB"/>
        </w:rPr>
        <w:t>, w</w:t>
      </w:r>
      <w:r w:rsidR="00AD4615">
        <w:rPr>
          <w:lang w:val="en-GB"/>
        </w:rPr>
        <w:t xml:space="preserve">hy then letting us know about what </w:t>
      </w:r>
      <w:r w:rsidR="000E73AA">
        <w:rPr>
          <w:lang w:val="en-GB"/>
        </w:rPr>
        <w:t>i</w:t>
      </w:r>
      <w:r w:rsidR="00AD4615">
        <w:rPr>
          <w:lang w:val="en-GB"/>
        </w:rPr>
        <w:t>s to come? Iamblichus</w:t>
      </w:r>
      <w:r w:rsidR="000E73AA">
        <w:rPr>
          <w:lang w:val="en-GB"/>
        </w:rPr>
        <w:t>’ reply</w:t>
      </w:r>
      <w:r>
        <w:rPr>
          <w:lang w:val="en-GB"/>
        </w:rPr>
        <w:t>, as Flower pointed out, isn’t a philosophical one and it</w:t>
      </w:r>
      <w:r w:rsidR="000E73AA">
        <w:rPr>
          <w:lang w:val="en-GB"/>
        </w:rPr>
        <w:t xml:space="preserve"> i</w:t>
      </w:r>
      <w:r>
        <w:rPr>
          <w:lang w:val="en-GB"/>
        </w:rPr>
        <w:t>s based on a system of belief deeply rooted in an established tradition</w:t>
      </w:r>
      <w:r w:rsidR="00BD7D22">
        <w:rPr>
          <w:rStyle w:val="FootnoteReference"/>
          <w:lang w:val="en-GB"/>
        </w:rPr>
        <w:footnoteReference w:id="31"/>
      </w:r>
      <w:r w:rsidR="005C37F1">
        <w:rPr>
          <w:lang w:val="en-GB"/>
        </w:rPr>
        <w:t>. Here,</w:t>
      </w:r>
      <w:r>
        <w:rPr>
          <w:lang w:val="en-GB"/>
        </w:rPr>
        <w:t xml:space="preserve"> the system of belief itself is used as proof of validity of divination</w:t>
      </w:r>
      <w:r w:rsidR="000E73AA">
        <w:rPr>
          <w:lang w:val="en-GB"/>
        </w:rPr>
        <w:t>:</w:t>
      </w:r>
      <w:r>
        <w:rPr>
          <w:lang w:val="en-GB"/>
        </w:rPr>
        <w:t xml:space="preserve"> </w:t>
      </w:r>
      <w:r w:rsidR="00090716">
        <w:rPr>
          <w:lang w:val="en-GB"/>
        </w:rPr>
        <w:t>the gods are benevolent</w:t>
      </w:r>
      <w:r w:rsidR="00BD7D22">
        <w:rPr>
          <w:rStyle w:val="FootnoteReference"/>
          <w:lang w:val="en-GB"/>
        </w:rPr>
        <w:footnoteReference w:id="32"/>
      </w:r>
      <w:r w:rsidR="00090716">
        <w:rPr>
          <w:lang w:val="en-GB"/>
        </w:rPr>
        <w:t xml:space="preserve"> </w:t>
      </w:r>
      <w:r w:rsidR="0075442D">
        <w:rPr>
          <w:lang w:val="en-GB"/>
        </w:rPr>
        <w:t xml:space="preserve">and help man, particularly through the theurgist, to the path of reunion with the divine, that is the ultimate life’s goal </w:t>
      </w:r>
      <w:r w:rsidR="0075442D" w:rsidRPr="00BD7D22">
        <w:rPr>
          <w:highlight w:val="yellow"/>
          <w:lang w:val="en-GB"/>
        </w:rPr>
        <w:t>(161).</w:t>
      </w:r>
      <w:r w:rsidR="0075442D">
        <w:rPr>
          <w:lang w:val="en-GB"/>
        </w:rPr>
        <w:t xml:space="preserve"> </w:t>
      </w:r>
      <w:r>
        <w:rPr>
          <w:lang w:val="en-GB"/>
        </w:rPr>
        <w:t xml:space="preserve">As </w:t>
      </w:r>
      <w:r w:rsidR="0075442D">
        <w:rPr>
          <w:lang w:val="en-GB"/>
        </w:rPr>
        <w:t>Flower</w:t>
      </w:r>
      <w:r>
        <w:rPr>
          <w:lang w:val="en-GB"/>
        </w:rPr>
        <w:t xml:space="preserve"> noted</w:t>
      </w:r>
      <w:r w:rsidR="00BD7D22">
        <w:rPr>
          <w:rStyle w:val="FootnoteReference"/>
          <w:lang w:val="en-GB"/>
        </w:rPr>
        <w:footnoteReference w:id="33"/>
      </w:r>
      <w:r>
        <w:rPr>
          <w:lang w:val="en-GB"/>
        </w:rPr>
        <w:t xml:space="preserve">, this </w:t>
      </w:r>
      <w:r w:rsidR="00C71A90">
        <w:rPr>
          <w:lang w:val="en-GB"/>
        </w:rPr>
        <w:t>show</w:t>
      </w:r>
      <w:r w:rsidR="00554B67">
        <w:rPr>
          <w:lang w:val="en-GB"/>
        </w:rPr>
        <w:t>s</w:t>
      </w:r>
      <w:r w:rsidR="00C71A90">
        <w:rPr>
          <w:lang w:val="en-GB"/>
        </w:rPr>
        <w:t xml:space="preserve"> that when it comes to the divine, it’s not rational thinking and philosophy Iamblichus relie</w:t>
      </w:r>
      <w:r>
        <w:rPr>
          <w:lang w:val="en-GB"/>
        </w:rPr>
        <w:t>d</w:t>
      </w:r>
      <w:r w:rsidR="00C71A90">
        <w:rPr>
          <w:lang w:val="en-GB"/>
        </w:rPr>
        <w:t xml:space="preserve"> on</w:t>
      </w:r>
      <w:r w:rsidR="0075442D">
        <w:rPr>
          <w:lang w:val="en-GB"/>
        </w:rPr>
        <w:t xml:space="preserve">. </w:t>
      </w:r>
    </w:p>
    <w:p w14:paraId="1168300B" w14:textId="6507C0DA" w:rsidR="00B217F8" w:rsidRDefault="00B217F8">
      <w:pPr>
        <w:rPr>
          <w:lang w:val="en-GB"/>
        </w:rPr>
      </w:pPr>
    </w:p>
    <w:p w14:paraId="1D2AAE9F" w14:textId="47EEDE7D" w:rsidR="00D13C25" w:rsidRDefault="00B217F8" w:rsidP="00B217F8">
      <w:pPr>
        <w:rPr>
          <w:lang w:val="en-GB"/>
        </w:rPr>
      </w:pPr>
      <w:r>
        <w:rPr>
          <w:lang w:val="en-GB"/>
        </w:rPr>
        <w:t xml:space="preserve">The </w:t>
      </w:r>
      <w:r w:rsidR="00784DF4">
        <w:rPr>
          <w:lang w:val="en-GB"/>
        </w:rPr>
        <w:t>other</w:t>
      </w:r>
      <w:r>
        <w:rPr>
          <w:lang w:val="en-GB"/>
        </w:rPr>
        <w:t xml:space="preserve"> critical point </w:t>
      </w:r>
      <w:r w:rsidR="00D13C25">
        <w:rPr>
          <w:lang w:val="en-GB"/>
        </w:rPr>
        <w:t>Iamblichus needed to address was</w:t>
      </w:r>
      <w:r>
        <w:rPr>
          <w:lang w:val="en-GB"/>
        </w:rPr>
        <w:t xml:space="preserve"> whether in divination there is a possible coercion of the gods to answer men’s queries</w:t>
      </w:r>
      <w:r w:rsidR="00BD7D22">
        <w:rPr>
          <w:rStyle w:val="FootnoteReference"/>
          <w:lang w:val="en-GB"/>
        </w:rPr>
        <w:footnoteReference w:id="34"/>
      </w:r>
      <w:r>
        <w:rPr>
          <w:lang w:val="en-GB"/>
        </w:rPr>
        <w:t>. For Iamblichus</w:t>
      </w:r>
      <w:r w:rsidR="00D13C25">
        <w:rPr>
          <w:lang w:val="en-GB"/>
        </w:rPr>
        <w:t>,</w:t>
      </w:r>
      <w:r>
        <w:rPr>
          <w:lang w:val="en-GB"/>
        </w:rPr>
        <w:t xml:space="preserve"> that</w:t>
      </w:r>
      <w:r w:rsidR="00D13C25">
        <w:rPr>
          <w:lang w:val="en-GB"/>
        </w:rPr>
        <w:t xml:space="preserve"> i</w:t>
      </w:r>
      <w:r>
        <w:rPr>
          <w:lang w:val="en-GB"/>
        </w:rPr>
        <w:t>s an impossibility</w:t>
      </w:r>
      <w:r w:rsidR="00554B67">
        <w:rPr>
          <w:lang w:val="en-GB"/>
        </w:rPr>
        <w:t xml:space="preserve"> and</w:t>
      </w:r>
      <w:r w:rsidR="005C37F1">
        <w:rPr>
          <w:lang w:val="en-GB"/>
        </w:rPr>
        <w:t xml:space="preserve"> an impious and ungodly belief</w:t>
      </w:r>
      <w:r>
        <w:rPr>
          <w:lang w:val="en-GB"/>
        </w:rPr>
        <w:t>: “god is superior to necessity… not only that imposed by human beings, but also from the necessity which embraces the cosmos”</w:t>
      </w:r>
      <w:r w:rsidR="00BD7D22">
        <w:rPr>
          <w:rStyle w:val="FootnoteReference"/>
          <w:lang w:val="en-GB"/>
        </w:rPr>
        <w:footnoteReference w:id="35"/>
      </w:r>
      <w:r>
        <w:rPr>
          <w:lang w:val="en-GB"/>
        </w:rPr>
        <w:t xml:space="preserve">. </w:t>
      </w:r>
      <w:r w:rsidR="00665211">
        <w:rPr>
          <w:lang w:val="en-GB"/>
        </w:rPr>
        <w:t>Shaw described r</w:t>
      </w:r>
      <w:r w:rsidR="00784DF4" w:rsidRPr="00665211">
        <w:rPr>
          <w:lang w:val="en-GB"/>
        </w:rPr>
        <w:t>ituals</w:t>
      </w:r>
      <w:r w:rsidR="00554B67">
        <w:rPr>
          <w:lang w:val="en-GB"/>
        </w:rPr>
        <w:t xml:space="preserve"> a</w:t>
      </w:r>
      <w:r w:rsidR="00665211">
        <w:rPr>
          <w:lang w:val="en-GB"/>
        </w:rPr>
        <w:t>s</w:t>
      </w:r>
      <w:r w:rsidR="00554B67">
        <w:rPr>
          <w:lang w:val="en-GB"/>
        </w:rPr>
        <w:t xml:space="preserve"> tools m</w:t>
      </w:r>
      <w:r w:rsidR="00665211">
        <w:rPr>
          <w:lang w:val="en-GB"/>
        </w:rPr>
        <w:t>e</w:t>
      </w:r>
      <w:r w:rsidR="00554B67">
        <w:rPr>
          <w:lang w:val="en-GB"/>
        </w:rPr>
        <w:t xml:space="preserve">n use to </w:t>
      </w:r>
      <w:r w:rsidR="00665211">
        <w:rPr>
          <w:lang w:val="en-GB"/>
        </w:rPr>
        <w:t>reach the divine beyond rationality</w:t>
      </w:r>
      <w:r w:rsidR="00665211">
        <w:rPr>
          <w:rStyle w:val="FootnoteReference"/>
          <w:lang w:val="en-GB"/>
        </w:rPr>
        <w:footnoteReference w:id="36"/>
      </w:r>
      <w:r w:rsidR="00554B67">
        <w:rPr>
          <w:lang w:val="en-GB"/>
        </w:rPr>
        <w:t xml:space="preserve"> with no coercive power</w:t>
      </w:r>
      <w:r w:rsidR="000A5260">
        <w:rPr>
          <w:rStyle w:val="FootnoteReference"/>
          <w:lang w:val="en-GB"/>
        </w:rPr>
        <w:footnoteReference w:id="37"/>
      </w:r>
      <w:r w:rsidR="00554B67">
        <w:rPr>
          <w:lang w:val="en-GB"/>
        </w:rPr>
        <w:t>.</w:t>
      </w:r>
    </w:p>
    <w:p w14:paraId="75AFEA5E" w14:textId="78BF083D" w:rsidR="00C71A90" w:rsidRDefault="00C71A90">
      <w:pPr>
        <w:rPr>
          <w:lang w:val="en-GB"/>
        </w:rPr>
      </w:pPr>
    </w:p>
    <w:p w14:paraId="53AC022C" w14:textId="66188737" w:rsidR="00C71A90" w:rsidRDefault="005C37F1">
      <w:pPr>
        <w:rPr>
          <w:lang w:val="en-GB"/>
        </w:rPr>
      </w:pPr>
      <w:r>
        <w:rPr>
          <w:lang w:val="en-GB"/>
        </w:rPr>
        <w:t>Getting</w:t>
      </w:r>
      <w:r w:rsidR="00784DF4">
        <w:rPr>
          <w:lang w:val="en-GB"/>
        </w:rPr>
        <w:t xml:space="preserve"> </w:t>
      </w:r>
      <w:r>
        <w:rPr>
          <w:lang w:val="en-GB"/>
        </w:rPr>
        <w:t>to</w:t>
      </w:r>
      <w:r w:rsidR="00784DF4">
        <w:rPr>
          <w:lang w:val="en-GB"/>
        </w:rPr>
        <w:t xml:space="preserve"> analysing</w:t>
      </w:r>
      <w:r>
        <w:rPr>
          <w:lang w:val="en-GB"/>
        </w:rPr>
        <w:t xml:space="preserve"> the different types of divination, Iamblichus </w:t>
      </w:r>
      <w:r w:rsidR="00BD7D22">
        <w:rPr>
          <w:lang w:val="en-GB"/>
        </w:rPr>
        <w:t xml:space="preserve">strived to </w:t>
      </w:r>
      <w:r>
        <w:rPr>
          <w:lang w:val="en-GB"/>
        </w:rPr>
        <w:t xml:space="preserve">engage Porphyry on all major kinds: from dream divination to astrology. </w:t>
      </w:r>
      <w:r w:rsidR="00C71A90">
        <w:rPr>
          <w:lang w:val="en-GB"/>
        </w:rPr>
        <w:t xml:space="preserve">Regarding </w:t>
      </w:r>
      <w:r w:rsidR="00D13C25">
        <w:rPr>
          <w:lang w:val="en-GB"/>
        </w:rPr>
        <w:t>o</w:t>
      </w:r>
      <w:r w:rsidR="00DF55DB">
        <w:rPr>
          <w:lang w:val="en-GB"/>
        </w:rPr>
        <w:t>n</w:t>
      </w:r>
      <w:r w:rsidR="00D13C25">
        <w:rPr>
          <w:lang w:val="en-GB"/>
        </w:rPr>
        <w:t>eiromancy</w:t>
      </w:r>
      <w:r w:rsidR="00603266">
        <w:rPr>
          <w:lang w:val="en-GB"/>
        </w:rPr>
        <w:t>, the most common method of divination in late antiquity</w:t>
      </w:r>
      <w:r w:rsidR="000E73AA" w:rsidRPr="000E73AA">
        <w:rPr>
          <w:lang w:val="en-GB"/>
        </w:rPr>
        <w:t xml:space="preserve"> </w:t>
      </w:r>
      <w:r w:rsidR="000E73AA">
        <w:rPr>
          <w:lang w:val="en-GB"/>
        </w:rPr>
        <w:t>according to Athanassiadi</w:t>
      </w:r>
      <w:r w:rsidR="000E73AA">
        <w:rPr>
          <w:rStyle w:val="FootnoteReference"/>
          <w:lang w:val="en-GB"/>
        </w:rPr>
        <w:footnoteReference w:id="38"/>
      </w:r>
      <w:r w:rsidR="00603266">
        <w:rPr>
          <w:lang w:val="en-GB"/>
        </w:rPr>
        <w:t>,</w:t>
      </w:r>
      <w:r w:rsidR="00C71A90">
        <w:rPr>
          <w:lang w:val="en-GB"/>
        </w:rPr>
        <w:t xml:space="preserve"> </w:t>
      </w:r>
      <w:r>
        <w:rPr>
          <w:lang w:val="en-GB"/>
        </w:rPr>
        <w:t xml:space="preserve">in reply to </w:t>
      </w:r>
      <w:r w:rsidR="00C71A90">
        <w:rPr>
          <w:lang w:val="en-GB"/>
        </w:rPr>
        <w:t>Porphyry</w:t>
      </w:r>
      <w:r>
        <w:rPr>
          <w:lang w:val="en-GB"/>
        </w:rPr>
        <w:t>’s idea</w:t>
      </w:r>
      <w:r w:rsidR="00C71A90">
        <w:rPr>
          <w:lang w:val="en-GB"/>
        </w:rPr>
        <w:t xml:space="preserve"> that “in sleep, when not busying themselves with things, one sometimes </w:t>
      </w:r>
      <w:r w:rsidR="00C71A90">
        <w:rPr>
          <w:lang w:val="en-GB"/>
        </w:rPr>
        <w:lastRenderedPageBreak/>
        <w:t>apprehend the future”</w:t>
      </w:r>
      <w:r w:rsidR="002A41B4">
        <w:rPr>
          <w:rStyle w:val="FootnoteReference"/>
          <w:lang w:val="en-GB"/>
        </w:rPr>
        <w:footnoteReference w:id="39"/>
      </w:r>
      <w:r>
        <w:rPr>
          <w:lang w:val="en-GB"/>
        </w:rPr>
        <w:t xml:space="preserve">, </w:t>
      </w:r>
      <w:r w:rsidR="00C71A90">
        <w:rPr>
          <w:lang w:val="en-GB"/>
        </w:rPr>
        <w:t>Iamblichus answer</w:t>
      </w:r>
      <w:r w:rsidR="00D13C25">
        <w:rPr>
          <w:lang w:val="en-GB"/>
        </w:rPr>
        <w:t>ed</w:t>
      </w:r>
      <w:r w:rsidR="00C71A90">
        <w:rPr>
          <w:lang w:val="en-GB"/>
        </w:rPr>
        <w:t xml:space="preserve"> that if</w:t>
      </w:r>
      <w:r w:rsidR="00190B0C">
        <w:rPr>
          <w:lang w:val="en-GB"/>
        </w:rPr>
        <w:t xml:space="preserve"> </w:t>
      </w:r>
      <w:r w:rsidR="000E73AA">
        <w:rPr>
          <w:lang w:val="en-GB"/>
        </w:rPr>
        <w:t xml:space="preserve">divination </w:t>
      </w:r>
      <w:r w:rsidR="00B82CD5">
        <w:rPr>
          <w:lang w:val="en-GB"/>
        </w:rPr>
        <w:t>occurred</w:t>
      </w:r>
      <w:r w:rsidR="000E73AA">
        <w:rPr>
          <w:lang w:val="en-GB"/>
        </w:rPr>
        <w:t xml:space="preserve"> in dreams just</w:t>
      </w:r>
      <w:r w:rsidR="00190B0C">
        <w:rPr>
          <w:lang w:val="en-GB"/>
        </w:rPr>
        <w:t xml:space="preserve"> because we are not disturbed by external stimulus</w:t>
      </w:r>
      <w:r w:rsidR="00C71A90">
        <w:rPr>
          <w:lang w:val="en-GB"/>
        </w:rPr>
        <w:t>, that would imply that the “source of divination comes either from us or from the outside world”</w:t>
      </w:r>
      <w:r w:rsidR="002A41B4">
        <w:rPr>
          <w:rStyle w:val="FootnoteReference"/>
          <w:lang w:val="en-GB"/>
        </w:rPr>
        <w:footnoteReference w:id="40"/>
      </w:r>
      <w:r w:rsidR="00C71A90">
        <w:rPr>
          <w:lang w:val="en-GB"/>
        </w:rPr>
        <w:t xml:space="preserve">. </w:t>
      </w:r>
      <w:r w:rsidR="00603266">
        <w:rPr>
          <w:lang w:val="en-GB"/>
        </w:rPr>
        <w:t>To the contrary, d</w:t>
      </w:r>
      <w:r w:rsidR="00C71A90">
        <w:rPr>
          <w:lang w:val="en-GB"/>
        </w:rPr>
        <w:t>ivination occurs in dreams when we sometimes hear a voice</w:t>
      </w:r>
      <w:r w:rsidR="00603266">
        <w:rPr>
          <w:lang w:val="en-GB"/>
        </w:rPr>
        <w:t xml:space="preserve"> or we are encircled by “an intangible and incorporeal spirit”</w:t>
      </w:r>
      <w:r w:rsidR="002A41B4">
        <w:rPr>
          <w:rStyle w:val="FootnoteReference"/>
          <w:lang w:val="en-GB"/>
        </w:rPr>
        <w:footnoteReference w:id="41"/>
      </w:r>
      <w:r>
        <w:rPr>
          <w:lang w:val="en-GB"/>
        </w:rPr>
        <w:t>,</w:t>
      </w:r>
      <w:r w:rsidR="00603266">
        <w:rPr>
          <w:lang w:val="en-GB"/>
        </w:rPr>
        <w:t xml:space="preserve"> invisible but still perceived, at times even heard through the “whooshing sound”</w:t>
      </w:r>
      <w:r w:rsidR="002A41B4">
        <w:rPr>
          <w:rStyle w:val="FootnoteReference"/>
          <w:lang w:val="en-GB"/>
        </w:rPr>
        <w:footnoteReference w:id="42"/>
      </w:r>
      <w:r w:rsidR="00603266">
        <w:rPr>
          <w:lang w:val="en-GB"/>
        </w:rPr>
        <w:t xml:space="preserve"> he makes when entering. </w:t>
      </w:r>
      <w:r w:rsidR="006C0EE5">
        <w:rPr>
          <w:lang w:val="en-GB"/>
        </w:rPr>
        <w:t xml:space="preserve">Some </w:t>
      </w:r>
      <w:r w:rsidR="00784DF4">
        <w:rPr>
          <w:lang w:val="en-GB"/>
        </w:rPr>
        <w:t xml:space="preserve">other </w:t>
      </w:r>
      <w:r w:rsidR="006C0EE5">
        <w:rPr>
          <w:lang w:val="en-GB"/>
        </w:rPr>
        <w:t>of</w:t>
      </w:r>
      <w:r w:rsidR="004A1DE0">
        <w:rPr>
          <w:lang w:val="en-GB"/>
        </w:rPr>
        <w:t xml:space="preserve"> </w:t>
      </w:r>
      <w:r w:rsidR="00603266">
        <w:rPr>
          <w:lang w:val="en-GB"/>
        </w:rPr>
        <w:t>Porphyry</w:t>
      </w:r>
      <w:r w:rsidR="00784DF4">
        <w:rPr>
          <w:lang w:val="en-GB"/>
        </w:rPr>
        <w:t>’s</w:t>
      </w:r>
      <w:r w:rsidR="006C0EE5">
        <w:rPr>
          <w:lang w:val="en-GB"/>
        </w:rPr>
        <w:t xml:space="preserve"> observations, such as when he said</w:t>
      </w:r>
      <w:r w:rsidR="00603266">
        <w:rPr>
          <w:lang w:val="en-GB"/>
        </w:rPr>
        <w:t xml:space="preserve"> </w:t>
      </w:r>
      <w:r w:rsidR="006C0EE5">
        <w:rPr>
          <w:lang w:val="en-GB"/>
        </w:rPr>
        <w:t xml:space="preserve">that </w:t>
      </w:r>
      <w:r w:rsidR="00603266">
        <w:rPr>
          <w:lang w:val="en-GB"/>
        </w:rPr>
        <w:t xml:space="preserve">things </w:t>
      </w:r>
      <w:r w:rsidR="006C0EE5">
        <w:rPr>
          <w:lang w:val="en-GB"/>
        </w:rPr>
        <w:t xml:space="preserve">that </w:t>
      </w:r>
      <w:r w:rsidR="00603266">
        <w:rPr>
          <w:lang w:val="en-GB"/>
        </w:rPr>
        <w:t xml:space="preserve">we experience in sleep are forgotten when we are awake and therefore cannot be of any divinatory value, </w:t>
      </w:r>
      <w:r w:rsidR="006C0EE5">
        <w:rPr>
          <w:lang w:val="en-GB"/>
        </w:rPr>
        <w:t xml:space="preserve">are valid for </w:t>
      </w:r>
      <w:r w:rsidR="00603266">
        <w:rPr>
          <w:lang w:val="en-GB"/>
        </w:rPr>
        <w:t xml:space="preserve">Iamblichus only </w:t>
      </w:r>
      <w:r w:rsidR="000E73AA">
        <w:rPr>
          <w:lang w:val="en-GB"/>
        </w:rPr>
        <w:t>when applied to</w:t>
      </w:r>
      <w:r w:rsidR="00603266">
        <w:rPr>
          <w:lang w:val="en-GB"/>
        </w:rPr>
        <w:t xml:space="preserve"> human dreams as opposed to “god-sent” dreams</w:t>
      </w:r>
      <w:r w:rsidR="006C0EE5">
        <w:rPr>
          <w:lang w:val="en-GB"/>
        </w:rPr>
        <w:t xml:space="preserve"> that are the only ones where divination occurs</w:t>
      </w:r>
      <w:r w:rsidR="002A41B4">
        <w:rPr>
          <w:rStyle w:val="FootnoteReference"/>
          <w:lang w:val="en-GB"/>
        </w:rPr>
        <w:footnoteReference w:id="43"/>
      </w:r>
      <w:r w:rsidR="00603266">
        <w:rPr>
          <w:lang w:val="en-GB"/>
        </w:rPr>
        <w:t xml:space="preserve">. </w:t>
      </w:r>
    </w:p>
    <w:p w14:paraId="71735F14" w14:textId="29DEE264" w:rsidR="000E218E" w:rsidRDefault="000E218E">
      <w:pPr>
        <w:rPr>
          <w:lang w:val="en-GB"/>
        </w:rPr>
      </w:pPr>
    </w:p>
    <w:p w14:paraId="5CAA090E" w14:textId="53A70736" w:rsidR="00D45390" w:rsidRDefault="000E218E" w:rsidP="00943734">
      <w:pPr>
        <w:rPr>
          <w:lang w:val="en-GB"/>
        </w:rPr>
      </w:pPr>
      <w:r>
        <w:rPr>
          <w:lang w:val="en-GB"/>
        </w:rPr>
        <w:t>Regarding divine inspiration</w:t>
      </w:r>
      <w:r w:rsidR="004A1DE0">
        <w:rPr>
          <w:lang w:val="en-GB"/>
        </w:rPr>
        <w:t xml:space="preserve"> </w:t>
      </w:r>
      <w:r>
        <w:rPr>
          <w:lang w:val="en-GB"/>
        </w:rPr>
        <w:t xml:space="preserve">Iamblichus took time to dissect the </w:t>
      </w:r>
      <w:r w:rsidR="000E4BE3">
        <w:rPr>
          <w:lang w:val="en-GB"/>
        </w:rPr>
        <w:t>subject</w:t>
      </w:r>
      <w:r w:rsidR="004A1DE0">
        <w:rPr>
          <w:lang w:val="en-GB"/>
        </w:rPr>
        <w:t xml:space="preserve"> and </w:t>
      </w:r>
      <w:r>
        <w:rPr>
          <w:lang w:val="en-GB"/>
        </w:rPr>
        <w:t>identify the signs that characterise “those who are truly possessed”</w:t>
      </w:r>
      <w:r w:rsidR="00545C53">
        <w:rPr>
          <w:rStyle w:val="FootnoteReference"/>
          <w:lang w:val="en-GB"/>
        </w:rPr>
        <w:footnoteReference w:id="44"/>
      </w:r>
      <w:r>
        <w:rPr>
          <w:lang w:val="en-GB"/>
        </w:rPr>
        <w:t xml:space="preserve"> as opposed to impostors. </w:t>
      </w:r>
      <w:r w:rsidR="000E4BE3">
        <w:rPr>
          <w:lang w:val="en-GB"/>
        </w:rPr>
        <w:t>He identified the genuinely inspired with those</w:t>
      </w:r>
      <w:r>
        <w:rPr>
          <w:lang w:val="en-GB"/>
        </w:rPr>
        <w:t xml:space="preserve"> </w:t>
      </w:r>
      <w:r w:rsidR="000E4BE3">
        <w:rPr>
          <w:lang w:val="en-GB"/>
        </w:rPr>
        <w:t xml:space="preserve">who have </w:t>
      </w:r>
      <w:r>
        <w:rPr>
          <w:lang w:val="en-GB"/>
        </w:rPr>
        <w:t>“exchanged their life for another more divine one”</w:t>
      </w:r>
      <w:r w:rsidR="00545C53">
        <w:rPr>
          <w:rStyle w:val="FootnoteReference"/>
          <w:lang w:val="en-GB"/>
        </w:rPr>
        <w:footnoteReference w:id="45"/>
      </w:r>
      <w:r w:rsidR="004A1DE0">
        <w:rPr>
          <w:lang w:val="en-GB"/>
        </w:rPr>
        <w:t xml:space="preserve">. To </w:t>
      </w:r>
      <w:r>
        <w:rPr>
          <w:lang w:val="en-GB"/>
        </w:rPr>
        <w:t xml:space="preserve">prove </w:t>
      </w:r>
      <w:r w:rsidR="004A1DE0">
        <w:rPr>
          <w:lang w:val="en-GB"/>
        </w:rPr>
        <w:t>it,</w:t>
      </w:r>
      <w:r>
        <w:rPr>
          <w:lang w:val="en-GB"/>
        </w:rPr>
        <w:t xml:space="preserve"> he brought in plenty of empirical evidence</w:t>
      </w:r>
      <w:r w:rsidR="003A3731">
        <w:rPr>
          <w:lang w:val="en-GB"/>
        </w:rPr>
        <w:t xml:space="preserve"> and</w:t>
      </w:r>
      <w:r>
        <w:rPr>
          <w:lang w:val="en-GB"/>
        </w:rPr>
        <w:t xml:space="preserve"> the </w:t>
      </w:r>
      <w:r w:rsidR="004A1DE0">
        <w:rPr>
          <w:lang w:val="en-GB"/>
        </w:rPr>
        <w:t>observation</w:t>
      </w:r>
      <w:r>
        <w:rPr>
          <w:lang w:val="en-GB"/>
        </w:rPr>
        <w:t xml:space="preserve"> that is often the simple-minded or the young </w:t>
      </w:r>
      <w:r w:rsidR="004A1DE0">
        <w:rPr>
          <w:lang w:val="en-GB"/>
        </w:rPr>
        <w:t xml:space="preserve">who are </w:t>
      </w:r>
      <w:r>
        <w:rPr>
          <w:lang w:val="en-GB"/>
        </w:rPr>
        <w:t>more apt for “receiving the spirit which enters from without, and which takes possession of them”</w:t>
      </w:r>
      <w:r w:rsidR="00545C53">
        <w:rPr>
          <w:rStyle w:val="FootnoteReference"/>
          <w:lang w:val="en-GB"/>
        </w:rPr>
        <w:footnoteReference w:id="46"/>
      </w:r>
      <w:r>
        <w:rPr>
          <w:lang w:val="en-GB"/>
        </w:rPr>
        <w:t xml:space="preserve">. </w:t>
      </w:r>
      <w:r w:rsidR="004A1DE0">
        <w:rPr>
          <w:lang w:val="en-GB"/>
        </w:rPr>
        <w:t xml:space="preserve">It’s notable the similarity with the entering of the “spirit” in </w:t>
      </w:r>
      <w:r w:rsidR="00784DF4">
        <w:rPr>
          <w:lang w:val="en-GB"/>
        </w:rPr>
        <w:t xml:space="preserve">inspired </w:t>
      </w:r>
      <w:r w:rsidR="004A1DE0">
        <w:rPr>
          <w:lang w:val="en-GB"/>
        </w:rPr>
        <w:t>dreams. D</w:t>
      </w:r>
      <w:r>
        <w:rPr>
          <w:lang w:val="en-GB"/>
        </w:rPr>
        <w:t>uring divin</w:t>
      </w:r>
      <w:r w:rsidR="00554B67">
        <w:rPr>
          <w:lang w:val="en-GB"/>
        </w:rPr>
        <w:t>e</w:t>
      </w:r>
      <w:r>
        <w:rPr>
          <w:lang w:val="en-GB"/>
        </w:rPr>
        <w:t xml:space="preserve"> possession, words are sent to those who are </w:t>
      </w:r>
      <w:r w:rsidR="009C38A0">
        <w:rPr>
          <w:lang w:val="en-GB"/>
        </w:rPr>
        <w:t xml:space="preserve">possessed </w:t>
      </w:r>
      <w:r w:rsidR="000E4BE3">
        <w:rPr>
          <w:lang w:val="en-GB"/>
        </w:rPr>
        <w:t>who</w:t>
      </w:r>
      <w:r w:rsidR="009C38A0">
        <w:rPr>
          <w:lang w:val="en-GB"/>
        </w:rPr>
        <w:t xml:space="preserve"> utter them without understanding them</w:t>
      </w:r>
      <w:r w:rsidR="00545C53">
        <w:rPr>
          <w:rStyle w:val="FootnoteReference"/>
          <w:lang w:val="en-GB"/>
        </w:rPr>
        <w:footnoteReference w:id="47"/>
      </w:r>
      <w:r w:rsidR="009C38A0">
        <w:rPr>
          <w:lang w:val="en-GB"/>
        </w:rPr>
        <w:t xml:space="preserve">. </w:t>
      </w:r>
      <w:r w:rsidR="00784DF4">
        <w:rPr>
          <w:lang w:val="en-GB"/>
        </w:rPr>
        <w:t>For Iamblichus, t</w:t>
      </w:r>
      <w:r w:rsidR="009C38A0">
        <w:rPr>
          <w:lang w:val="en-GB"/>
        </w:rPr>
        <w:t>he soul, the intellect and the body are the instruments used by the gods to deliver their messages. And to those who suggest that the source of divine inspiration could be found in either the body or the soul, he answered that if that was the case, it would be common to every man</w:t>
      </w:r>
      <w:r w:rsidR="00545C53">
        <w:rPr>
          <w:rStyle w:val="FootnoteReference"/>
          <w:lang w:val="en-GB"/>
        </w:rPr>
        <w:footnoteReference w:id="48"/>
      </w:r>
      <w:r w:rsidR="009C38A0">
        <w:rPr>
          <w:lang w:val="en-GB"/>
        </w:rPr>
        <w:t xml:space="preserve">. </w:t>
      </w:r>
      <w:r w:rsidR="000E4BE3">
        <w:rPr>
          <w:lang w:val="en-GB"/>
        </w:rPr>
        <w:t xml:space="preserve"> </w:t>
      </w:r>
      <w:r w:rsidR="004A6656">
        <w:rPr>
          <w:lang w:val="en-GB"/>
        </w:rPr>
        <w:t xml:space="preserve">Talking of </w:t>
      </w:r>
      <w:r w:rsidR="009C38A0">
        <w:rPr>
          <w:lang w:val="en-GB"/>
        </w:rPr>
        <w:t>oracles</w:t>
      </w:r>
      <w:r w:rsidR="00784DF4">
        <w:rPr>
          <w:lang w:val="en-GB"/>
        </w:rPr>
        <w:t>,</w:t>
      </w:r>
      <w:r w:rsidR="009C38A0">
        <w:rPr>
          <w:lang w:val="en-GB"/>
        </w:rPr>
        <w:t xml:space="preserve"> </w:t>
      </w:r>
      <w:r w:rsidR="000E4BE3">
        <w:rPr>
          <w:lang w:val="en-GB"/>
        </w:rPr>
        <w:t>for example,</w:t>
      </w:r>
      <w:r w:rsidR="004A6656">
        <w:rPr>
          <w:lang w:val="en-GB"/>
        </w:rPr>
        <w:t xml:space="preserve"> </w:t>
      </w:r>
      <w:r w:rsidR="000E73AA">
        <w:rPr>
          <w:lang w:val="en-GB"/>
        </w:rPr>
        <w:t xml:space="preserve">both </w:t>
      </w:r>
      <w:r w:rsidR="009C38A0">
        <w:rPr>
          <w:lang w:val="en-GB"/>
        </w:rPr>
        <w:t xml:space="preserve">the priest or priestess delivering the oracle </w:t>
      </w:r>
      <w:r w:rsidR="000E73AA">
        <w:rPr>
          <w:lang w:val="en-GB"/>
        </w:rPr>
        <w:t xml:space="preserve">and </w:t>
      </w:r>
      <w:r w:rsidR="009C38A0">
        <w:rPr>
          <w:lang w:val="en-GB"/>
        </w:rPr>
        <w:t xml:space="preserve">the medium used by </w:t>
      </w:r>
      <w:r w:rsidR="004A1DE0">
        <w:rPr>
          <w:lang w:val="en-GB"/>
        </w:rPr>
        <w:t>the gods</w:t>
      </w:r>
      <w:r w:rsidR="009C38A0">
        <w:rPr>
          <w:lang w:val="en-GB"/>
        </w:rPr>
        <w:t xml:space="preserve"> </w:t>
      </w:r>
      <w:r w:rsidR="000E73AA">
        <w:rPr>
          <w:lang w:val="en-GB"/>
        </w:rPr>
        <w:t>to deliver it</w:t>
      </w:r>
      <w:r w:rsidR="009C38A0">
        <w:rPr>
          <w:lang w:val="en-GB"/>
        </w:rPr>
        <w:t xml:space="preserve">, be that water, vapours or others </w:t>
      </w:r>
      <w:r w:rsidR="000E73AA">
        <w:rPr>
          <w:lang w:val="en-GB"/>
        </w:rPr>
        <w:t xml:space="preserve">are instruments of the </w:t>
      </w:r>
      <w:r w:rsidR="009C38A0">
        <w:rPr>
          <w:lang w:val="en-GB"/>
        </w:rPr>
        <w:t>divine,</w:t>
      </w:r>
      <w:r w:rsidR="000E73AA">
        <w:rPr>
          <w:lang w:val="en-GB"/>
        </w:rPr>
        <w:t xml:space="preserve"> exercising its power from without</w:t>
      </w:r>
      <w:r w:rsidR="00545C53">
        <w:rPr>
          <w:rStyle w:val="FootnoteReference"/>
          <w:lang w:val="en-GB"/>
        </w:rPr>
        <w:footnoteReference w:id="49"/>
      </w:r>
      <w:r w:rsidR="00685494">
        <w:rPr>
          <w:lang w:val="en-GB"/>
        </w:rPr>
        <w:t>. As per the conscious kind of divination Porphyry referred to as inspired by imagination, Iamblichus saw no difference and identified in the imagination</w:t>
      </w:r>
      <w:r w:rsidR="00554B67">
        <w:rPr>
          <w:lang w:val="en-GB"/>
        </w:rPr>
        <w:t xml:space="preserve"> </w:t>
      </w:r>
      <w:r w:rsidR="00685494">
        <w:rPr>
          <w:lang w:val="en-GB"/>
        </w:rPr>
        <w:t>the secondary cause, being the gods the primary one</w:t>
      </w:r>
      <w:r w:rsidR="00545C53">
        <w:rPr>
          <w:rStyle w:val="FootnoteReference"/>
          <w:lang w:val="en-GB"/>
        </w:rPr>
        <w:footnoteReference w:id="50"/>
      </w:r>
      <w:r w:rsidR="00685494">
        <w:rPr>
          <w:lang w:val="en-GB"/>
        </w:rPr>
        <w:t xml:space="preserve">. </w:t>
      </w:r>
    </w:p>
    <w:p w14:paraId="2B2014B5" w14:textId="77777777" w:rsidR="00D45390" w:rsidRDefault="00D45390" w:rsidP="00943734">
      <w:pPr>
        <w:rPr>
          <w:lang w:val="en-GB"/>
        </w:rPr>
      </w:pPr>
    </w:p>
    <w:p w14:paraId="03431B44" w14:textId="04253258" w:rsidR="00943734" w:rsidRPr="00943734" w:rsidRDefault="00D45390" w:rsidP="00943734">
      <w:pPr>
        <w:rPr>
          <w:lang w:val="en-GB"/>
        </w:rPr>
      </w:pPr>
      <w:r>
        <w:rPr>
          <w:lang w:val="en-GB"/>
        </w:rPr>
        <w:t xml:space="preserve">As Addey noted, </w:t>
      </w:r>
      <w:r w:rsidR="00943734" w:rsidRPr="008A133E">
        <w:rPr>
          <w:lang w:val="en-GB"/>
        </w:rPr>
        <w:t>“Iamblic</w:t>
      </w:r>
      <w:r w:rsidR="004A6656">
        <w:rPr>
          <w:lang w:val="en-GB"/>
        </w:rPr>
        <w:t>h</w:t>
      </w:r>
      <w:r w:rsidR="00943734" w:rsidRPr="008A133E">
        <w:rPr>
          <w:lang w:val="en-GB"/>
        </w:rPr>
        <w:t xml:space="preserve">us’ utilisation of philosophical concepts of causation (particularly the concept </w:t>
      </w:r>
      <w:r>
        <w:rPr>
          <w:lang w:val="en-GB"/>
        </w:rPr>
        <w:t>o</w:t>
      </w:r>
      <w:r w:rsidR="00943734" w:rsidRPr="008A133E">
        <w:rPr>
          <w:lang w:val="en-GB"/>
        </w:rPr>
        <w:t>f simultaneous and hierarchical causes) demonstrates the rational and philosophical basis of Iamblic</w:t>
      </w:r>
      <w:r w:rsidR="004A6656">
        <w:rPr>
          <w:lang w:val="en-GB"/>
        </w:rPr>
        <w:t>h</w:t>
      </w:r>
      <w:r w:rsidR="00943734" w:rsidRPr="008A133E">
        <w:rPr>
          <w:lang w:val="en-GB"/>
        </w:rPr>
        <w:t>us’</w:t>
      </w:r>
      <w:r w:rsidR="006C0EE5">
        <w:rPr>
          <w:lang w:val="en-GB"/>
        </w:rPr>
        <w:t xml:space="preserve"> </w:t>
      </w:r>
      <w:r w:rsidR="00943734" w:rsidRPr="008A133E">
        <w:rPr>
          <w:lang w:val="en-GB"/>
        </w:rPr>
        <w:t>explanation of divination”</w:t>
      </w:r>
      <w:r w:rsidR="00545C53">
        <w:rPr>
          <w:rStyle w:val="FootnoteReference"/>
          <w:lang w:val="en-GB"/>
        </w:rPr>
        <w:footnoteReference w:id="51"/>
      </w:r>
      <w:r w:rsidR="00943734" w:rsidRPr="008A133E">
        <w:rPr>
          <w:lang w:val="en-GB"/>
        </w:rPr>
        <w:t xml:space="preserve"> </w:t>
      </w:r>
      <w:r>
        <w:rPr>
          <w:lang w:val="en-GB"/>
        </w:rPr>
        <w:t xml:space="preserve">. In this conceptual framework, Addey argued, </w:t>
      </w:r>
      <w:r w:rsidR="00943734" w:rsidRPr="00943734">
        <w:rPr>
          <w:lang w:val="en-GB"/>
        </w:rPr>
        <w:t xml:space="preserve">“causes underlying divination are seen as multiple and operating </w:t>
      </w:r>
      <w:r w:rsidR="00943734" w:rsidRPr="00943734">
        <w:rPr>
          <w:lang w:val="en-GB"/>
        </w:rPr>
        <w:lastRenderedPageBreak/>
        <w:t>simultaneously”</w:t>
      </w:r>
      <w:r w:rsidR="00545C53">
        <w:rPr>
          <w:rStyle w:val="FootnoteReference"/>
          <w:lang w:val="en-GB"/>
        </w:rPr>
        <w:footnoteReference w:id="52"/>
      </w:r>
      <w:r w:rsidR="00943734" w:rsidRPr="00943734">
        <w:rPr>
          <w:lang w:val="en-GB"/>
        </w:rPr>
        <w:t xml:space="preserve">. Primary cause for inspired divination is </w:t>
      </w:r>
      <w:r>
        <w:rPr>
          <w:lang w:val="en-GB"/>
        </w:rPr>
        <w:t xml:space="preserve">always </w:t>
      </w:r>
      <w:r w:rsidR="00943734" w:rsidRPr="00943734">
        <w:rPr>
          <w:lang w:val="en-GB"/>
        </w:rPr>
        <w:t xml:space="preserve">the divine, </w:t>
      </w:r>
      <w:r w:rsidR="006C0EE5">
        <w:rPr>
          <w:lang w:val="en-GB"/>
        </w:rPr>
        <w:t xml:space="preserve">while </w:t>
      </w:r>
      <w:r w:rsidR="00943734" w:rsidRPr="00943734">
        <w:rPr>
          <w:lang w:val="en-GB"/>
        </w:rPr>
        <w:t>intellect and body are secondary causes</w:t>
      </w:r>
      <w:r>
        <w:rPr>
          <w:lang w:val="en-GB"/>
        </w:rPr>
        <w:t>.</w:t>
      </w:r>
      <w:r w:rsidR="004A6656" w:rsidRPr="004A6656">
        <w:rPr>
          <w:lang w:val="en-GB"/>
        </w:rPr>
        <w:t xml:space="preserve"> </w:t>
      </w:r>
    </w:p>
    <w:p w14:paraId="58BD682A" w14:textId="7551FCFB" w:rsidR="00685494" w:rsidRDefault="00685494">
      <w:pPr>
        <w:rPr>
          <w:lang w:val="en-GB"/>
        </w:rPr>
      </w:pPr>
    </w:p>
    <w:p w14:paraId="7478FF81" w14:textId="2E24C364" w:rsidR="009C38A0" w:rsidRDefault="004A6656">
      <w:pPr>
        <w:rPr>
          <w:lang w:val="en-GB"/>
        </w:rPr>
      </w:pPr>
      <w:r>
        <w:rPr>
          <w:lang w:val="en-GB"/>
        </w:rPr>
        <w:t>Iamblichus considered divination accomplished by human skills such as entrails, haruspicy, birds flight and astrology</w:t>
      </w:r>
      <w:r>
        <w:rPr>
          <w:lang w:val="en-GB"/>
        </w:rPr>
        <w:t xml:space="preserve"> </w:t>
      </w:r>
      <w:r w:rsidR="000A5260">
        <w:rPr>
          <w:lang w:val="en-GB"/>
        </w:rPr>
        <w:t xml:space="preserve">as </w:t>
      </w:r>
      <w:r>
        <w:rPr>
          <w:lang w:val="en-GB"/>
        </w:rPr>
        <w:t xml:space="preserve">artificial </w:t>
      </w:r>
      <w:r w:rsidR="00685494">
        <w:rPr>
          <w:lang w:val="en-GB"/>
        </w:rPr>
        <w:t xml:space="preserve">because the foretelling occurs by drawing conclusions and inferring </w:t>
      </w:r>
      <w:r w:rsidR="00D45390">
        <w:rPr>
          <w:lang w:val="en-GB"/>
        </w:rPr>
        <w:t xml:space="preserve">from </w:t>
      </w:r>
      <w:r w:rsidR="00685494">
        <w:rPr>
          <w:lang w:val="en-GB"/>
        </w:rPr>
        <w:t>signs. For him, they are all based on guessing and supposition</w:t>
      </w:r>
      <w:r w:rsidR="00545C53">
        <w:rPr>
          <w:rStyle w:val="FootnoteReference"/>
          <w:lang w:val="en-GB"/>
        </w:rPr>
        <w:footnoteReference w:id="53"/>
      </w:r>
      <w:r w:rsidR="000E73AA">
        <w:rPr>
          <w:lang w:val="en-GB"/>
        </w:rPr>
        <w:t xml:space="preserve"> and </w:t>
      </w:r>
      <w:r w:rsidR="00685494">
        <w:rPr>
          <w:lang w:val="en-GB"/>
        </w:rPr>
        <w:t>can accomplish only a probable outcome</w:t>
      </w:r>
      <w:r w:rsidR="00E024EA">
        <w:rPr>
          <w:rStyle w:val="FootnoteReference"/>
          <w:lang w:val="en-GB"/>
        </w:rPr>
        <w:footnoteReference w:id="54"/>
      </w:r>
      <w:r w:rsidR="000E73AA">
        <w:rPr>
          <w:lang w:val="en-GB"/>
        </w:rPr>
        <w:t>,</w:t>
      </w:r>
      <w:r w:rsidR="00685494">
        <w:rPr>
          <w:lang w:val="en-GB"/>
        </w:rPr>
        <w:t xml:space="preserve"> no different from the </w:t>
      </w:r>
      <w:r w:rsidR="00D45390">
        <w:rPr>
          <w:lang w:val="en-GB"/>
        </w:rPr>
        <w:t>premonition</w:t>
      </w:r>
      <w:r w:rsidR="00685494">
        <w:rPr>
          <w:lang w:val="en-GB"/>
        </w:rPr>
        <w:t xml:space="preserve"> </w:t>
      </w:r>
      <w:r w:rsidR="00857D36">
        <w:rPr>
          <w:lang w:val="en-GB"/>
        </w:rPr>
        <w:t xml:space="preserve">of earthquakes </w:t>
      </w:r>
      <w:r w:rsidR="00685494">
        <w:rPr>
          <w:lang w:val="en-GB"/>
        </w:rPr>
        <w:t>some animals have</w:t>
      </w:r>
      <w:r w:rsidR="00E024EA">
        <w:rPr>
          <w:rStyle w:val="FootnoteReference"/>
          <w:lang w:val="en-GB"/>
        </w:rPr>
        <w:footnoteReference w:id="55"/>
      </w:r>
      <w:r w:rsidR="00D45390">
        <w:rPr>
          <w:lang w:val="en-GB"/>
        </w:rPr>
        <w:t xml:space="preserve"> </w:t>
      </w:r>
      <w:r w:rsidR="00685494">
        <w:rPr>
          <w:lang w:val="en-GB"/>
        </w:rPr>
        <w:t xml:space="preserve">or </w:t>
      </w:r>
      <w:r w:rsidR="00D45390">
        <w:rPr>
          <w:lang w:val="en-GB"/>
        </w:rPr>
        <w:t xml:space="preserve">from </w:t>
      </w:r>
      <w:r w:rsidR="00685494">
        <w:rPr>
          <w:lang w:val="en-GB"/>
        </w:rPr>
        <w:t xml:space="preserve">piloting a ship or </w:t>
      </w:r>
      <w:r w:rsidR="00D45390">
        <w:rPr>
          <w:lang w:val="en-GB"/>
        </w:rPr>
        <w:t xml:space="preserve">practising </w:t>
      </w:r>
      <w:r w:rsidR="00685494">
        <w:rPr>
          <w:lang w:val="en-GB"/>
        </w:rPr>
        <w:t>medicine</w:t>
      </w:r>
      <w:r w:rsidR="00E024EA">
        <w:rPr>
          <w:rStyle w:val="FootnoteReference"/>
          <w:lang w:val="en-GB"/>
        </w:rPr>
        <w:footnoteReference w:id="56"/>
      </w:r>
      <w:r w:rsidR="00685494">
        <w:rPr>
          <w:lang w:val="en-GB"/>
        </w:rPr>
        <w:t xml:space="preserve">. </w:t>
      </w:r>
      <w:r w:rsidR="002D2DA1">
        <w:rPr>
          <w:lang w:val="en-GB"/>
        </w:rPr>
        <w:t xml:space="preserve">All of them, for Iamblichus, </w:t>
      </w:r>
      <w:r w:rsidR="00D45390">
        <w:rPr>
          <w:lang w:val="en-GB"/>
        </w:rPr>
        <w:t>were</w:t>
      </w:r>
      <w:r w:rsidR="002D2DA1">
        <w:rPr>
          <w:lang w:val="en-GB"/>
        </w:rPr>
        <w:t xml:space="preserve"> no real forms of divination</w:t>
      </w:r>
      <w:r w:rsidR="00B217F8">
        <w:rPr>
          <w:lang w:val="en-GB"/>
        </w:rPr>
        <w:t xml:space="preserve"> but </w:t>
      </w:r>
      <w:r w:rsidR="000A5260">
        <w:rPr>
          <w:lang w:val="en-GB"/>
        </w:rPr>
        <w:t xml:space="preserve">human </w:t>
      </w:r>
      <w:r w:rsidR="00B217F8">
        <w:rPr>
          <w:lang w:val="en-GB"/>
        </w:rPr>
        <w:t xml:space="preserve">technical skills </w:t>
      </w:r>
      <w:r w:rsidR="0048398F">
        <w:rPr>
          <w:lang w:val="en-GB"/>
        </w:rPr>
        <w:t>of reading sign</w:t>
      </w:r>
      <w:r w:rsidR="000A5260">
        <w:rPr>
          <w:lang w:val="en-GB"/>
        </w:rPr>
        <w:t>s</w:t>
      </w:r>
      <w:r w:rsidR="00E024EA">
        <w:rPr>
          <w:rStyle w:val="FootnoteReference"/>
          <w:lang w:val="en-GB"/>
        </w:rPr>
        <w:footnoteReference w:id="57"/>
      </w:r>
      <w:r w:rsidR="00B217F8">
        <w:rPr>
          <w:lang w:val="en-GB"/>
        </w:rPr>
        <w:t xml:space="preserve">. </w:t>
      </w:r>
    </w:p>
    <w:p w14:paraId="538B7A3C" w14:textId="7A9B156D" w:rsidR="0048398F" w:rsidRDefault="004A6656" w:rsidP="00DF55DB">
      <w:pPr>
        <w:rPr>
          <w:lang w:val="en-GB"/>
        </w:rPr>
      </w:pPr>
      <w:r>
        <w:rPr>
          <w:lang w:val="en-GB"/>
        </w:rPr>
        <w:t xml:space="preserve">For Iamblichus </w:t>
      </w:r>
      <w:r w:rsidR="002D2DA1">
        <w:rPr>
          <w:lang w:val="en-GB"/>
        </w:rPr>
        <w:t>signs produce</w:t>
      </w:r>
      <w:r w:rsidR="00D45390">
        <w:rPr>
          <w:lang w:val="en-GB"/>
        </w:rPr>
        <w:t>d</w:t>
      </w:r>
      <w:r w:rsidR="002D2DA1">
        <w:rPr>
          <w:lang w:val="en-GB"/>
        </w:rPr>
        <w:t xml:space="preserve"> artificial images that have nor the energy, nor the truth of the divine visions and c</w:t>
      </w:r>
      <w:r w:rsidR="006D2DDE">
        <w:rPr>
          <w:lang w:val="en-GB"/>
        </w:rPr>
        <w:t>ould</w:t>
      </w:r>
      <w:r w:rsidR="002D2DA1">
        <w:rPr>
          <w:lang w:val="en-GB"/>
        </w:rPr>
        <w:t xml:space="preserve"> only scrape the surface of appearance without being able to reach the essence of things</w:t>
      </w:r>
      <w:r w:rsidR="00E024EA">
        <w:rPr>
          <w:rStyle w:val="FootnoteReference"/>
          <w:lang w:val="en-GB"/>
        </w:rPr>
        <w:footnoteReference w:id="58"/>
      </w:r>
      <w:r w:rsidR="00D45390">
        <w:rPr>
          <w:lang w:val="en-GB"/>
        </w:rPr>
        <w:t>.</w:t>
      </w:r>
      <w:r w:rsidR="002D2DA1">
        <w:rPr>
          <w:lang w:val="en-GB"/>
        </w:rPr>
        <w:t xml:space="preserve"> If for Porphyry they </w:t>
      </w:r>
      <w:r w:rsidR="00D45390">
        <w:rPr>
          <w:lang w:val="en-GB"/>
        </w:rPr>
        <w:t>were</w:t>
      </w:r>
      <w:r w:rsidR="002D2DA1">
        <w:rPr>
          <w:lang w:val="en-GB"/>
        </w:rPr>
        <w:t xml:space="preserve"> “generators of effective images”</w:t>
      </w:r>
      <w:r w:rsidR="0048398F">
        <w:rPr>
          <w:lang w:val="en-GB"/>
        </w:rPr>
        <w:t>,</w:t>
      </w:r>
      <w:r w:rsidR="002D2DA1">
        <w:rPr>
          <w:lang w:val="en-GB"/>
        </w:rPr>
        <w:t xml:space="preserve"> for Iamblichus nobody c</w:t>
      </w:r>
      <w:r w:rsidR="006D2DDE">
        <w:rPr>
          <w:lang w:val="en-GB"/>
        </w:rPr>
        <w:t>ould</w:t>
      </w:r>
      <w:r w:rsidR="002D2DA1">
        <w:rPr>
          <w:lang w:val="en-GB"/>
        </w:rPr>
        <w:t xml:space="preserve"> willingly “exchange images for true reality, and descend from things superior to things inferior”</w:t>
      </w:r>
      <w:r w:rsidR="00E024EA">
        <w:rPr>
          <w:rStyle w:val="FootnoteReference"/>
          <w:lang w:val="en-GB"/>
        </w:rPr>
        <w:footnoteReference w:id="59"/>
      </w:r>
      <w:r w:rsidR="002D2DA1">
        <w:rPr>
          <w:lang w:val="en-GB"/>
        </w:rPr>
        <w:t xml:space="preserve"> </w:t>
      </w:r>
      <w:r w:rsidR="006D2DDE">
        <w:rPr>
          <w:lang w:val="en-GB"/>
        </w:rPr>
        <w:t>or</w:t>
      </w:r>
      <w:r w:rsidR="002D2DA1">
        <w:rPr>
          <w:lang w:val="en-GB"/>
        </w:rPr>
        <w:t xml:space="preserve"> prefer</w:t>
      </w:r>
      <w:r w:rsidR="006D2DDE">
        <w:rPr>
          <w:lang w:val="en-GB"/>
        </w:rPr>
        <w:t xml:space="preserve"> a</w:t>
      </w:r>
      <w:r w:rsidR="002D2DA1">
        <w:rPr>
          <w:lang w:val="en-GB"/>
        </w:rPr>
        <w:t xml:space="preserve"> “phantom of the truth” to the truth itself</w:t>
      </w:r>
      <w:r w:rsidR="00E024EA">
        <w:rPr>
          <w:rStyle w:val="FootnoteReference"/>
          <w:lang w:val="en-GB"/>
        </w:rPr>
        <w:footnoteReference w:id="60"/>
      </w:r>
      <w:r w:rsidR="002D2DA1">
        <w:rPr>
          <w:lang w:val="en-GB"/>
        </w:rPr>
        <w:t xml:space="preserve">. </w:t>
      </w:r>
    </w:p>
    <w:p w14:paraId="3CFBFCE4" w14:textId="77777777" w:rsidR="006D2DDE" w:rsidRDefault="006D2DDE" w:rsidP="00DF55DB">
      <w:pPr>
        <w:rPr>
          <w:lang w:val="en-GB"/>
        </w:rPr>
      </w:pPr>
    </w:p>
    <w:p w14:paraId="5345333E" w14:textId="329C85BE" w:rsidR="00DF55DB" w:rsidRDefault="004A6656" w:rsidP="00DF55DB">
      <w:pPr>
        <w:rPr>
          <w:lang w:val="en-GB"/>
        </w:rPr>
      </w:pPr>
      <w:r>
        <w:rPr>
          <w:lang w:val="en-GB"/>
        </w:rPr>
        <w:t>The evidence shows</w:t>
      </w:r>
      <w:r w:rsidR="007D2417">
        <w:rPr>
          <w:lang w:val="en-GB"/>
        </w:rPr>
        <w:t xml:space="preserve"> that </w:t>
      </w:r>
      <w:r w:rsidR="003776C6">
        <w:rPr>
          <w:lang w:val="en-GB"/>
        </w:rPr>
        <w:t xml:space="preserve">when </w:t>
      </w:r>
      <w:r w:rsidR="007D2417">
        <w:rPr>
          <w:lang w:val="en-GB"/>
        </w:rPr>
        <w:t xml:space="preserve">Iamblichus </w:t>
      </w:r>
      <w:r w:rsidR="003776C6">
        <w:rPr>
          <w:lang w:val="en-GB"/>
        </w:rPr>
        <w:t xml:space="preserve">talked of divination he </w:t>
      </w:r>
      <w:r w:rsidR="007D2417">
        <w:rPr>
          <w:lang w:val="en-GB"/>
        </w:rPr>
        <w:t xml:space="preserve">was never </w:t>
      </w:r>
      <w:r w:rsidR="006D2DDE">
        <w:rPr>
          <w:lang w:val="en-GB"/>
        </w:rPr>
        <w:t xml:space="preserve">considering the type of divination that concerns itself with </w:t>
      </w:r>
      <w:r w:rsidR="00857D36">
        <w:rPr>
          <w:lang w:val="en-GB"/>
        </w:rPr>
        <w:t xml:space="preserve">the </w:t>
      </w:r>
      <w:r w:rsidR="007D2417">
        <w:rPr>
          <w:lang w:val="en-GB"/>
        </w:rPr>
        <w:t>mundane</w:t>
      </w:r>
      <w:r w:rsidR="006D2DDE">
        <w:rPr>
          <w:lang w:val="en-GB"/>
        </w:rPr>
        <w:t>. As Addey underlined, in Iamblichus’ discourse, divination</w:t>
      </w:r>
      <w:r w:rsidR="007D2417">
        <w:rPr>
          <w:lang w:val="en-GB"/>
        </w:rPr>
        <w:t xml:space="preserve"> coincided with t</w:t>
      </w:r>
      <w:r w:rsidR="0060782A" w:rsidRPr="008A133E">
        <w:rPr>
          <w:lang w:val="en-GB"/>
        </w:rPr>
        <w:t>heurgic divination</w:t>
      </w:r>
      <w:r w:rsidR="00E024EA">
        <w:rPr>
          <w:lang w:val="en-GB"/>
        </w:rPr>
        <w:t xml:space="preserve"> </w:t>
      </w:r>
      <w:r w:rsidR="007D2417">
        <w:rPr>
          <w:lang w:val="en-GB"/>
        </w:rPr>
        <w:t xml:space="preserve">that </w:t>
      </w:r>
      <w:r w:rsidR="0060782A" w:rsidRPr="008A133E">
        <w:rPr>
          <w:lang w:val="en-GB"/>
        </w:rPr>
        <w:t>work</w:t>
      </w:r>
      <w:r w:rsidR="007D2417">
        <w:rPr>
          <w:lang w:val="en-GB"/>
        </w:rPr>
        <w:t>ed</w:t>
      </w:r>
      <w:r w:rsidR="0060782A" w:rsidRPr="008A133E">
        <w:rPr>
          <w:lang w:val="en-GB"/>
        </w:rPr>
        <w:t xml:space="preserve"> on a supra-rational level rather than a dialectic one</w:t>
      </w:r>
      <w:r w:rsidR="006D2DDE">
        <w:rPr>
          <w:lang w:val="en-GB"/>
        </w:rPr>
        <w:t xml:space="preserve"> and </w:t>
      </w:r>
      <w:r w:rsidR="000D1094">
        <w:rPr>
          <w:lang w:val="en-GB"/>
        </w:rPr>
        <w:t>lead to</w:t>
      </w:r>
      <w:r w:rsidR="0060782A" w:rsidRPr="008A133E">
        <w:rPr>
          <w:lang w:val="en-GB"/>
        </w:rPr>
        <w:t xml:space="preserve"> </w:t>
      </w:r>
      <w:r w:rsidR="00190B0C">
        <w:rPr>
          <w:lang w:val="en-GB"/>
        </w:rPr>
        <w:t xml:space="preserve">the </w:t>
      </w:r>
      <w:r w:rsidR="0060782A" w:rsidRPr="008A133E">
        <w:rPr>
          <w:lang w:val="en-GB"/>
        </w:rPr>
        <w:t xml:space="preserve">salvation </w:t>
      </w:r>
      <w:r w:rsidR="000D1094">
        <w:rPr>
          <w:lang w:val="en-GB"/>
        </w:rPr>
        <w:t xml:space="preserve">of </w:t>
      </w:r>
      <w:r w:rsidR="0060782A" w:rsidRPr="008A133E">
        <w:rPr>
          <w:lang w:val="en-GB"/>
        </w:rPr>
        <w:t>the soul</w:t>
      </w:r>
      <w:r w:rsidR="00E024EA">
        <w:rPr>
          <w:rStyle w:val="FootnoteReference"/>
          <w:lang w:val="en-GB"/>
        </w:rPr>
        <w:footnoteReference w:id="61"/>
      </w:r>
      <w:r w:rsidR="0060782A" w:rsidRPr="008A133E">
        <w:rPr>
          <w:lang w:val="en-GB"/>
        </w:rPr>
        <w:t xml:space="preserve">. </w:t>
      </w:r>
      <w:r w:rsidR="006D2DDE">
        <w:rPr>
          <w:lang w:val="en-GB"/>
        </w:rPr>
        <w:t xml:space="preserve">His defence of divination </w:t>
      </w:r>
      <w:r w:rsidR="003776C6">
        <w:rPr>
          <w:lang w:val="en-GB"/>
        </w:rPr>
        <w:t>was instrumental to the endorsement of</w:t>
      </w:r>
      <w:r w:rsidR="006D2DDE">
        <w:rPr>
          <w:lang w:val="en-GB"/>
        </w:rPr>
        <w:t xml:space="preserve"> t</w:t>
      </w:r>
      <w:r w:rsidR="0060782A" w:rsidRPr="008A133E">
        <w:rPr>
          <w:lang w:val="en-GB"/>
        </w:rPr>
        <w:t>he</w:t>
      </w:r>
      <w:r w:rsidR="007D2417">
        <w:rPr>
          <w:lang w:val="en-GB"/>
        </w:rPr>
        <w:t>u</w:t>
      </w:r>
      <w:r w:rsidR="0060782A" w:rsidRPr="008A133E">
        <w:rPr>
          <w:lang w:val="en-GB"/>
        </w:rPr>
        <w:t>rgic divination</w:t>
      </w:r>
      <w:r w:rsidR="00A570B3">
        <w:rPr>
          <w:rStyle w:val="FootnoteReference"/>
          <w:lang w:val="en-GB"/>
        </w:rPr>
        <w:footnoteReference w:id="62"/>
      </w:r>
      <w:r w:rsidR="006D2DDE">
        <w:rPr>
          <w:lang w:val="en-GB"/>
        </w:rPr>
        <w:t>,</w:t>
      </w:r>
      <w:r w:rsidR="0060782A" w:rsidRPr="008A133E">
        <w:rPr>
          <w:lang w:val="en-GB"/>
        </w:rPr>
        <w:t xml:space="preserve"> the culmination</w:t>
      </w:r>
      <w:r w:rsidR="007D2417">
        <w:rPr>
          <w:lang w:val="en-GB"/>
        </w:rPr>
        <w:t xml:space="preserve"> of all knowledge</w:t>
      </w:r>
      <w:r w:rsidR="0060782A" w:rsidRPr="008A133E">
        <w:rPr>
          <w:lang w:val="en-GB"/>
        </w:rPr>
        <w:t xml:space="preserve"> </w:t>
      </w:r>
      <w:r w:rsidR="006D2DDE">
        <w:rPr>
          <w:lang w:val="en-GB"/>
        </w:rPr>
        <w:t>that</w:t>
      </w:r>
      <w:r w:rsidR="0060782A" w:rsidRPr="008A133E">
        <w:rPr>
          <w:lang w:val="en-GB"/>
        </w:rPr>
        <w:t xml:space="preserve"> allow</w:t>
      </w:r>
      <w:r w:rsidR="007D2417">
        <w:rPr>
          <w:lang w:val="en-GB"/>
        </w:rPr>
        <w:t>ed</w:t>
      </w:r>
      <w:r w:rsidR="0060782A" w:rsidRPr="008A133E">
        <w:rPr>
          <w:lang w:val="en-GB"/>
        </w:rPr>
        <w:t xml:space="preserve"> access to divine wisdom </w:t>
      </w:r>
      <w:r w:rsidR="006D2DDE">
        <w:rPr>
          <w:lang w:val="en-GB"/>
        </w:rPr>
        <w:t>leading to</w:t>
      </w:r>
      <w:r w:rsidR="0060782A" w:rsidRPr="008A133E">
        <w:rPr>
          <w:lang w:val="en-GB"/>
        </w:rPr>
        <w:t xml:space="preserve"> happiness</w:t>
      </w:r>
      <w:r w:rsidR="003B14BE">
        <w:rPr>
          <w:rStyle w:val="FootnoteReference"/>
          <w:lang w:val="en-GB"/>
        </w:rPr>
        <w:footnoteReference w:id="63"/>
      </w:r>
      <w:r w:rsidR="007D2417">
        <w:rPr>
          <w:lang w:val="en-GB"/>
        </w:rPr>
        <w:t xml:space="preserve">. </w:t>
      </w:r>
      <w:r w:rsidR="0048398F">
        <w:rPr>
          <w:lang w:val="en-GB"/>
        </w:rPr>
        <w:t xml:space="preserve">Addey </w:t>
      </w:r>
      <w:r w:rsidR="006D2DDE">
        <w:rPr>
          <w:lang w:val="en-GB"/>
        </w:rPr>
        <w:t>observed</w:t>
      </w:r>
      <w:r w:rsidR="0048398F">
        <w:rPr>
          <w:lang w:val="en-GB"/>
        </w:rPr>
        <w:t xml:space="preserve"> that t</w:t>
      </w:r>
      <w:r w:rsidR="007D2417">
        <w:rPr>
          <w:lang w:val="en-GB"/>
        </w:rPr>
        <w:t xml:space="preserve">he only purpose of divination was </w:t>
      </w:r>
      <w:r w:rsidR="007D2417" w:rsidRPr="008A133E">
        <w:rPr>
          <w:lang w:val="en-GB"/>
        </w:rPr>
        <w:t>transcend</w:t>
      </w:r>
      <w:r w:rsidR="007D2417">
        <w:rPr>
          <w:lang w:val="en-GB"/>
        </w:rPr>
        <w:t>ing</w:t>
      </w:r>
      <w:r w:rsidR="007D2417" w:rsidRPr="008A133E">
        <w:rPr>
          <w:lang w:val="en-GB"/>
        </w:rPr>
        <w:t xml:space="preserve"> </w:t>
      </w:r>
      <w:r w:rsidR="007D2417">
        <w:rPr>
          <w:lang w:val="en-GB"/>
        </w:rPr>
        <w:t>intellection</w:t>
      </w:r>
      <w:r w:rsidR="00044AFA">
        <w:rPr>
          <w:rStyle w:val="FootnoteReference"/>
          <w:lang w:val="en-GB"/>
        </w:rPr>
        <w:footnoteReference w:id="64"/>
      </w:r>
      <w:r w:rsidR="0048398F">
        <w:rPr>
          <w:lang w:val="en-GB"/>
        </w:rPr>
        <w:t xml:space="preserve"> and that </w:t>
      </w:r>
      <w:r w:rsidR="00DF55DB">
        <w:rPr>
          <w:lang w:val="en-GB"/>
        </w:rPr>
        <w:t xml:space="preserve">inspired divination </w:t>
      </w:r>
      <w:r w:rsidR="0048398F">
        <w:rPr>
          <w:lang w:val="en-GB"/>
        </w:rPr>
        <w:t xml:space="preserve">is </w:t>
      </w:r>
      <w:r w:rsidR="00DF55DB">
        <w:rPr>
          <w:lang w:val="en-GB"/>
        </w:rPr>
        <w:t>“viewed as being supra-rational, in the sense of transcending rationality rather than lacking it”</w:t>
      </w:r>
      <w:r w:rsidR="00044AFA">
        <w:rPr>
          <w:rStyle w:val="FootnoteReference"/>
          <w:lang w:val="en-GB"/>
        </w:rPr>
        <w:footnoteReference w:id="65"/>
      </w:r>
      <w:r w:rsidR="006D2DDE">
        <w:rPr>
          <w:lang w:val="en-GB"/>
        </w:rPr>
        <w:t xml:space="preserve">. She </w:t>
      </w:r>
      <w:r w:rsidR="000D1094">
        <w:rPr>
          <w:lang w:val="en-GB"/>
        </w:rPr>
        <w:t>highlighted</w:t>
      </w:r>
      <w:r w:rsidR="006D2DDE">
        <w:rPr>
          <w:lang w:val="en-GB"/>
        </w:rPr>
        <w:t xml:space="preserve"> how r</w:t>
      </w:r>
      <w:r w:rsidR="007D2417" w:rsidRPr="008A133E">
        <w:rPr>
          <w:lang w:val="en-GB"/>
        </w:rPr>
        <w:t>ationality and revelation aren’t mutually exclusive</w:t>
      </w:r>
      <w:r w:rsidR="00044AFA">
        <w:rPr>
          <w:rStyle w:val="FootnoteReference"/>
          <w:lang w:val="en-GB"/>
        </w:rPr>
        <w:footnoteReference w:id="66"/>
      </w:r>
      <w:r w:rsidR="007D2417">
        <w:rPr>
          <w:lang w:val="en-GB"/>
        </w:rPr>
        <w:t xml:space="preserve">. </w:t>
      </w:r>
      <w:r w:rsidR="00DF55DB">
        <w:rPr>
          <w:lang w:val="en-GB"/>
        </w:rPr>
        <w:t xml:space="preserve">Addey </w:t>
      </w:r>
      <w:r w:rsidR="006D2DDE">
        <w:rPr>
          <w:lang w:val="en-GB"/>
        </w:rPr>
        <w:t>concluded</w:t>
      </w:r>
      <w:r w:rsidR="00DF55DB">
        <w:rPr>
          <w:lang w:val="en-GB"/>
        </w:rPr>
        <w:t xml:space="preserve"> that inspired theurgic divination </w:t>
      </w:r>
      <w:r w:rsidR="00857D36">
        <w:rPr>
          <w:lang w:val="en-GB"/>
        </w:rPr>
        <w:t>i</w:t>
      </w:r>
      <w:r w:rsidR="00DF55DB">
        <w:rPr>
          <w:lang w:val="en-GB"/>
        </w:rPr>
        <w:t>s soteriological</w:t>
      </w:r>
      <w:r w:rsidR="00665211">
        <w:rPr>
          <w:rStyle w:val="FootnoteReference"/>
          <w:lang w:val="en-GB"/>
        </w:rPr>
        <w:footnoteReference w:id="67"/>
      </w:r>
      <w:r w:rsidR="000D1094">
        <w:rPr>
          <w:lang w:val="en-GB"/>
        </w:rPr>
        <w:t xml:space="preserve">, </w:t>
      </w:r>
      <w:r w:rsidR="00DF55DB">
        <w:rPr>
          <w:lang w:val="en-GB"/>
        </w:rPr>
        <w:t xml:space="preserve"> </w:t>
      </w:r>
      <w:r w:rsidR="000D1094">
        <w:rPr>
          <w:lang w:val="en-GB"/>
        </w:rPr>
        <w:t>“</w:t>
      </w:r>
      <w:r w:rsidR="00DF55DB">
        <w:rPr>
          <w:lang w:val="en-GB"/>
        </w:rPr>
        <w:t>it’s a stage on the way of mystical union”</w:t>
      </w:r>
      <w:r w:rsidR="00044AFA">
        <w:rPr>
          <w:rStyle w:val="FootnoteReference"/>
          <w:lang w:val="en-GB"/>
        </w:rPr>
        <w:footnoteReference w:id="68"/>
      </w:r>
      <w:r w:rsidR="00DF55DB">
        <w:rPr>
          <w:lang w:val="en-GB"/>
        </w:rPr>
        <w:t xml:space="preserve"> whose ultimate goal is divinisation</w:t>
      </w:r>
      <w:r w:rsidR="00044AFA">
        <w:rPr>
          <w:rStyle w:val="FootnoteReference"/>
          <w:lang w:val="en-GB"/>
        </w:rPr>
        <w:footnoteReference w:id="69"/>
      </w:r>
      <w:r w:rsidR="00DF55DB">
        <w:rPr>
          <w:lang w:val="en-GB"/>
        </w:rPr>
        <w:t xml:space="preserve">. Divination </w:t>
      </w:r>
      <w:r w:rsidR="00DF55DB">
        <w:rPr>
          <w:lang w:val="en-GB"/>
        </w:rPr>
        <w:lastRenderedPageBreak/>
        <w:t>is a way for discerning the purpose of the gods and aligning oneself with it</w:t>
      </w:r>
      <w:r w:rsidR="00044AFA">
        <w:rPr>
          <w:rStyle w:val="FootnoteReference"/>
          <w:lang w:val="en-GB"/>
        </w:rPr>
        <w:footnoteReference w:id="70"/>
      </w:r>
      <w:r w:rsidR="00DF55DB">
        <w:rPr>
          <w:lang w:val="en-GB"/>
        </w:rPr>
        <w:t xml:space="preserve"> and foretelling of future events is </w:t>
      </w:r>
      <w:r w:rsidR="006D2DDE">
        <w:rPr>
          <w:lang w:val="en-GB"/>
        </w:rPr>
        <w:t xml:space="preserve">but </w:t>
      </w:r>
      <w:r w:rsidR="00DF55DB">
        <w:rPr>
          <w:lang w:val="en-GB"/>
        </w:rPr>
        <w:t>a by-product</w:t>
      </w:r>
      <w:r w:rsidR="00044AFA">
        <w:rPr>
          <w:rStyle w:val="FootnoteReference"/>
          <w:lang w:val="en-GB"/>
        </w:rPr>
        <w:footnoteReference w:id="71"/>
      </w:r>
      <w:r w:rsidR="00DF55DB">
        <w:rPr>
          <w:lang w:val="en-GB"/>
        </w:rPr>
        <w:t xml:space="preserve">. </w:t>
      </w:r>
    </w:p>
    <w:p w14:paraId="51343F6F" w14:textId="5D8E4A62" w:rsidR="007D2417" w:rsidRPr="008A133E" w:rsidRDefault="007D2417" w:rsidP="007D2417">
      <w:pPr>
        <w:rPr>
          <w:lang w:val="en-GB"/>
        </w:rPr>
      </w:pPr>
    </w:p>
    <w:p w14:paraId="233AD5D8" w14:textId="48B2DBE9" w:rsidR="00943734" w:rsidRDefault="000D1094">
      <w:pPr>
        <w:rPr>
          <w:lang w:val="en-GB"/>
        </w:rPr>
      </w:pPr>
      <w:r>
        <w:rPr>
          <w:lang w:val="en-GB"/>
        </w:rPr>
        <w:t xml:space="preserve">While Porphyry questions </w:t>
      </w:r>
      <w:r w:rsidR="00943734">
        <w:rPr>
          <w:lang w:val="en-GB"/>
        </w:rPr>
        <w:t>the purpose</w:t>
      </w:r>
      <w:r w:rsidR="00DF55DB">
        <w:rPr>
          <w:lang w:val="en-GB"/>
        </w:rPr>
        <w:t xml:space="preserve"> and utility</w:t>
      </w:r>
      <w:r w:rsidR="00943734">
        <w:rPr>
          <w:lang w:val="en-GB"/>
        </w:rPr>
        <w:t xml:space="preserve"> of divination, Iamblichus clearly saw it as a step towards the ascent to the divine, a way the gods help</w:t>
      </w:r>
      <w:r>
        <w:rPr>
          <w:lang w:val="en-GB"/>
        </w:rPr>
        <w:t>ed</w:t>
      </w:r>
      <w:r w:rsidR="00943734">
        <w:rPr>
          <w:lang w:val="en-GB"/>
        </w:rPr>
        <w:t xml:space="preserve"> man along the way, making their wishes known. </w:t>
      </w:r>
      <w:r w:rsidR="003776C6">
        <w:rPr>
          <w:lang w:val="en-GB"/>
        </w:rPr>
        <w:t>Clarke, Dillon and Hershbell agreed that d</w:t>
      </w:r>
      <w:r w:rsidR="00943734">
        <w:rPr>
          <w:lang w:val="en-GB"/>
        </w:rPr>
        <w:t>ivination as well as ritual practise h</w:t>
      </w:r>
      <w:r w:rsidR="00DF55DB">
        <w:rPr>
          <w:lang w:val="en-GB"/>
        </w:rPr>
        <w:t>ad</w:t>
      </w:r>
      <w:r w:rsidR="00943734">
        <w:rPr>
          <w:lang w:val="en-GB"/>
        </w:rPr>
        <w:t xml:space="preserve"> their merits in the fact that they allow</w:t>
      </w:r>
      <w:r w:rsidR="00DF55DB">
        <w:rPr>
          <w:lang w:val="en-GB"/>
        </w:rPr>
        <w:t>ed</w:t>
      </w:r>
      <w:r w:rsidR="00943734">
        <w:rPr>
          <w:lang w:val="en-GB"/>
        </w:rPr>
        <w:t xml:space="preserve"> the experts to “ascend to the superior beings and attach themselves to them by assimilation and appropriation”</w:t>
      </w:r>
      <w:r w:rsidR="00EA08D6">
        <w:rPr>
          <w:rStyle w:val="FootnoteReference"/>
          <w:lang w:val="en-GB"/>
        </w:rPr>
        <w:footnoteReference w:id="72"/>
      </w:r>
      <w:r w:rsidR="00943734">
        <w:rPr>
          <w:lang w:val="en-GB"/>
        </w:rPr>
        <w:t>. Divination is an instrument at the service of theurgy where foreknowledge is the “execution of eternal works” that are “divine works, not accomplished by necessity or by other human causes, but by reasons of such as the gods alone know”</w:t>
      </w:r>
      <w:r w:rsidR="00EA08D6">
        <w:rPr>
          <w:rStyle w:val="FootnoteReference"/>
          <w:lang w:val="en-GB"/>
        </w:rPr>
        <w:footnoteReference w:id="73"/>
      </w:r>
      <w:r w:rsidR="00943734">
        <w:rPr>
          <w:lang w:val="en-GB"/>
        </w:rPr>
        <w:t>. In Iamblichus system of thought, philosophy, divination</w:t>
      </w:r>
      <w:r w:rsidR="00857D36">
        <w:rPr>
          <w:lang w:val="en-GB"/>
        </w:rPr>
        <w:t xml:space="preserve"> and </w:t>
      </w:r>
      <w:r w:rsidR="00943734">
        <w:rPr>
          <w:lang w:val="en-GB"/>
        </w:rPr>
        <w:t>ritual theurgy are all instruments for religion</w:t>
      </w:r>
      <w:r w:rsidR="00FB642C">
        <w:rPr>
          <w:rStyle w:val="FootnoteReference"/>
          <w:lang w:val="en-GB"/>
        </w:rPr>
        <w:footnoteReference w:id="74"/>
      </w:r>
      <w:r w:rsidR="00BF6EEF">
        <w:rPr>
          <w:lang w:val="en-GB"/>
        </w:rPr>
        <w:t xml:space="preserve"> </w:t>
      </w:r>
      <w:r w:rsidR="00943734">
        <w:rPr>
          <w:lang w:val="en-GB"/>
        </w:rPr>
        <w:t>.</w:t>
      </w:r>
      <w:r>
        <w:rPr>
          <w:lang w:val="en-GB"/>
        </w:rPr>
        <w:t xml:space="preserve"> For Porphyry, the inquest rested instead on a strictly intellectual level and from this point of view he sceptically regarded</w:t>
      </w:r>
      <w:r>
        <w:rPr>
          <w:lang w:val="en-GB"/>
        </w:rPr>
        <w:t xml:space="preserve"> </w:t>
      </w:r>
      <w:r>
        <w:rPr>
          <w:lang w:val="en-GB"/>
        </w:rPr>
        <w:t xml:space="preserve">divination and theurgic practises in general as alien and unfitting. </w:t>
      </w:r>
    </w:p>
    <w:p w14:paraId="4C0F8A28" w14:textId="0B340EE7" w:rsidR="0048398F" w:rsidRDefault="0048398F">
      <w:pPr>
        <w:rPr>
          <w:lang w:val="en-GB"/>
        </w:rPr>
      </w:pPr>
    </w:p>
    <w:p w14:paraId="5F411E5F" w14:textId="11F60C41" w:rsidR="00943734" w:rsidRDefault="00C56AC1">
      <w:pPr>
        <w:rPr>
          <w:lang w:val="en-GB"/>
        </w:rPr>
      </w:pPr>
      <w:r>
        <w:rPr>
          <w:lang w:val="en-GB"/>
        </w:rPr>
        <w:t xml:space="preserve">It has clearly emerged that </w:t>
      </w:r>
      <w:r w:rsidR="0048398F">
        <w:rPr>
          <w:lang w:val="en-GB"/>
        </w:rPr>
        <w:t xml:space="preserve">Iamblichus </w:t>
      </w:r>
      <w:r w:rsidR="0003390E">
        <w:rPr>
          <w:lang w:val="en-GB"/>
        </w:rPr>
        <w:t>plea</w:t>
      </w:r>
      <w:r w:rsidR="000D1094">
        <w:rPr>
          <w:lang w:val="en-GB"/>
        </w:rPr>
        <w:t xml:space="preserve"> </w:t>
      </w:r>
      <w:r w:rsidR="0003390E">
        <w:rPr>
          <w:lang w:val="en-GB"/>
        </w:rPr>
        <w:t xml:space="preserve">for </w:t>
      </w:r>
      <w:r w:rsidR="000D1094">
        <w:rPr>
          <w:lang w:val="en-GB"/>
        </w:rPr>
        <w:t xml:space="preserve">divination </w:t>
      </w:r>
      <w:r>
        <w:rPr>
          <w:lang w:val="en-GB"/>
        </w:rPr>
        <w:t>was</w:t>
      </w:r>
      <w:r w:rsidR="000D1094">
        <w:rPr>
          <w:lang w:val="en-GB"/>
        </w:rPr>
        <w:t xml:space="preserve"> </w:t>
      </w:r>
      <w:r>
        <w:rPr>
          <w:lang w:val="en-GB"/>
        </w:rPr>
        <w:t xml:space="preserve">an integral </w:t>
      </w:r>
      <w:r w:rsidR="000D1094">
        <w:rPr>
          <w:lang w:val="en-GB"/>
        </w:rPr>
        <w:t xml:space="preserve">part of his </w:t>
      </w:r>
      <w:r w:rsidR="0003390E">
        <w:rPr>
          <w:lang w:val="en-GB"/>
        </w:rPr>
        <w:t>defence</w:t>
      </w:r>
      <w:r w:rsidR="000D1094">
        <w:rPr>
          <w:lang w:val="en-GB"/>
        </w:rPr>
        <w:t xml:space="preserve"> of ritual practise as </w:t>
      </w:r>
      <w:r w:rsidR="0003390E">
        <w:rPr>
          <w:lang w:val="en-GB"/>
        </w:rPr>
        <w:t>a necessary tool on the path to salvation</w:t>
      </w:r>
      <w:r>
        <w:rPr>
          <w:lang w:val="en-GB"/>
        </w:rPr>
        <w:t xml:space="preserve"> to engage with the gods, participate in their knowledge and wisdom and become one with the divine </w:t>
      </w:r>
      <w:r w:rsidR="0003390E">
        <w:rPr>
          <w:lang w:val="en-GB"/>
        </w:rPr>
        <w:t xml:space="preserve">. </w:t>
      </w:r>
      <w:r w:rsidR="0098375B">
        <w:rPr>
          <w:lang w:val="en-GB"/>
        </w:rPr>
        <w:t>To him, t</w:t>
      </w:r>
      <w:r w:rsidR="0003390E">
        <w:rPr>
          <w:lang w:val="en-GB"/>
        </w:rPr>
        <w:t xml:space="preserve">heology and theurgy were the culmination of philosophical research and he saw no contradiction or embarrassment to admit </w:t>
      </w:r>
      <w:r w:rsidR="0098375B">
        <w:rPr>
          <w:lang w:val="en-GB"/>
        </w:rPr>
        <w:t xml:space="preserve">the </w:t>
      </w:r>
      <w:r w:rsidR="0003390E">
        <w:rPr>
          <w:lang w:val="en-GB"/>
        </w:rPr>
        <w:t>intellect</w:t>
      </w:r>
      <w:r w:rsidR="0098375B">
        <w:rPr>
          <w:lang w:val="en-GB"/>
        </w:rPr>
        <w:t>’s limitations</w:t>
      </w:r>
      <w:r w:rsidR="0003390E">
        <w:rPr>
          <w:lang w:val="en-GB"/>
        </w:rPr>
        <w:t>. Porphyry</w:t>
      </w:r>
      <w:r>
        <w:rPr>
          <w:lang w:val="en-GB"/>
        </w:rPr>
        <w:t>, instead,</w:t>
      </w:r>
      <w:r w:rsidR="0003390E">
        <w:rPr>
          <w:lang w:val="en-GB"/>
        </w:rPr>
        <w:t xml:space="preserve"> was </w:t>
      </w:r>
      <w:r>
        <w:rPr>
          <w:lang w:val="en-GB"/>
        </w:rPr>
        <w:t>discussing</w:t>
      </w:r>
      <w:r w:rsidR="0003390E">
        <w:rPr>
          <w:lang w:val="en-GB"/>
        </w:rPr>
        <w:t xml:space="preserve"> divination from a different point of view, one in which ritual practise and faith had no place. </w:t>
      </w:r>
      <w:r>
        <w:rPr>
          <w:lang w:val="en-GB"/>
        </w:rPr>
        <w:t>With</w:t>
      </w:r>
      <w:r w:rsidR="0003390E">
        <w:rPr>
          <w:lang w:val="en-GB"/>
        </w:rPr>
        <w:t xml:space="preserve"> these premises</w:t>
      </w:r>
      <w:r>
        <w:rPr>
          <w:lang w:val="en-GB"/>
        </w:rPr>
        <w:t>, t</w:t>
      </w:r>
      <w:r>
        <w:rPr>
          <w:lang w:val="en-GB"/>
        </w:rPr>
        <w:t>he two perspective couldn’t meet at any point</w:t>
      </w:r>
      <w:r w:rsidR="0003390E">
        <w:rPr>
          <w:lang w:val="en-GB"/>
        </w:rPr>
        <w:t xml:space="preserve">. </w:t>
      </w:r>
      <w:r>
        <w:rPr>
          <w:lang w:val="en-GB"/>
        </w:rPr>
        <w:t xml:space="preserve">It also become evident that </w:t>
      </w:r>
      <w:r w:rsidR="0003390E">
        <w:rPr>
          <w:lang w:val="en-GB"/>
        </w:rPr>
        <w:t xml:space="preserve">Iamblichus arguments in favour of divination and </w:t>
      </w:r>
      <w:r w:rsidR="0003390E">
        <w:rPr>
          <w:lang w:val="en-GB"/>
        </w:rPr>
        <w:t xml:space="preserve">Porphyry doubts and concerns </w:t>
      </w:r>
      <w:r w:rsidR="0003390E">
        <w:rPr>
          <w:lang w:val="en-GB"/>
        </w:rPr>
        <w:t xml:space="preserve">find their </w:t>
      </w:r>
      <w:r w:rsidR="0003390E" w:rsidRPr="0003390E">
        <w:rPr>
          <w:i/>
          <w:iCs/>
          <w:lang w:val="en-GB"/>
        </w:rPr>
        <w:t>raison d’être</w:t>
      </w:r>
      <w:r w:rsidR="0003390E">
        <w:rPr>
          <w:lang w:val="en-GB"/>
        </w:rPr>
        <w:t xml:space="preserve"> in the cultural climate of their times and are</w:t>
      </w:r>
      <w:r w:rsidR="0098375B">
        <w:rPr>
          <w:lang w:val="en-GB"/>
        </w:rPr>
        <w:t xml:space="preserve"> different</w:t>
      </w:r>
      <w:r w:rsidR="0003390E">
        <w:rPr>
          <w:lang w:val="en-GB"/>
        </w:rPr>
        <w:t xml:space="preserve"> response</w:t>
      </w:r>
      <w:r w:rsidR="0098375B">
        <w:rPr>
          <w:lang w:val="en-GB"/>
        </w:rPr>
        <w:t>s</w:t>
      </w:r>
      <w:r w:rsidR="0003390E">
        <w:rPr>
          <w:lang w:val="en-GB"/>
        </w:rPr>
        <w:t xml:space="preserve"> </w:t>
      </w:r>
      <w:r>
        <w:rPr>
          <w:lang w:val="en-GB"/>
        </w:rPr>
        <w:t>to the same problem: a fast changing cultural and religious scene where old and new were fighting for survival</w:t>
      </w:r>
      <w:r w:rsidR="0003390E">
        <w:rPr>
          <w:lang w:val="en-GB"/>
        </w:rPr>
        <w:t xml:space="preserve">. </w:t>
      </w:r>
      <w:r>
        <w:rPr>
          <w:lang w:val="en-GB"/>
        </w:rPr>
        <w:t>I</w:t>
      </w:r>
      <w:r>
        <w:rPr>
          <w:lang w:val="en-GB"/>
        </w:rPr>
        <w:t>nvestigated under this lens</w:t>
      </w:r>
      <w:r>
        <w:rPr>
          <w:lang w:val="en-GB"/>
        </w:rPr>
        <w:t xml:space="preserve">, </w:t>
      </w:r>
      <w:r>
        <w:rPr>
          <w:lang w:val="en-GB"/>
        </w:rPr>
        <w:t xml:space="preserve">their exchange and contentious acquires new </w:t>
      </w:r>
      <w:r>
        <w:rPr>
          <w:lang w:val="en-GB"/>
        </w:rPr>
        <w:t>depth and relevance as the more recent scholarship we have discussed has brought to light.</w:t>
      </w:r>
    </w:p>
    <w:p w14:paraId="0F232433" w14:textId="31174576" w:rsidR="007D2417" w:rsidRDefault="007D2417">
      <w:pPr>
        <w:rPr>
          <w:lang w:val="en-GB"/>
        </w:rPr>
      </w:pPr>
    </w:p>
    <w:p w14:paraId="2D2BE371" w14:textId="7C65CCF9" w:rsidR="006B7EFC" w:rsidRDefault="006B7EFC">
      <w:pPr>
        <w:rPr>
          <w:lang w:val="en-GB"/>
        </w:rPr>
      </w:pPr>
      <w:r>
        <w:rPr>
          <w:lang w:val="en-GB"/>
        </w:rPr>
        <w:br w:type="page"/>
      </w:r>
    </w:p>
    <w:p w14:paraId="687573ED" w14:textId="05747609" w:rsidR="007C1502" w:rsidRDefault="006B7EFC">
      <w:pPr>
        <w:rPr>
          <w:lang w:val="en-GB"/>
        </w:rPr>
      </w:pPr>
      <w:r>
        <w:rPr>
          <w:lang w:val="en-GB"/>
        </w:rPr>
        <w:lastRenderedPageBreak/>
        <w:t>Bibliography</w:t>
      </w:r>
    </w:p>
    <w:p w14:paraId="5FE0E50D" w14:textId="51BFFCE3" w:rsidR="006B7EFC" w:rsidRDefault="006B7EFC">
      <w:pPr>
        <w:rPr>
          <w:lang w:val="en-GB"/>
        </w:rPr>
      </w:pPr>
    </w:p>
    <w:p w14:paraId="61BC39EB" w14:textId="77777777" w:rsidR="006B7EFC" w:rsidRDefault="006B7EFC" w:rsidP="006B7EFC">
      <w:pPr>
        <w:rPr>
          <w:lang w:val="en-US"/>
        </w:rPr>
      </w:pPr>
      <w:r>
        <w:rPr>
          <w:lang w:val="en-US"/>
        </w:rPr>
        <w:t>Addey, Crystal, Divination and Theurgy in Neoplatonism, (London and New York: Routledge, 2019).</w:t>
      </w:r>
    </w:p>
    <w:p w14:paraId="0D06DD97" w14:textId="77777777" w:rsidR="006B7EFC" w:rsidRDefault="006B7EFC" w:rsidP="006B7EFC">
      <w:pPr>
        <w:rPr>
          <w:lang w:val="en-US"/>
        </w:rPr>
      </w:pPr>
    </w:p>
    <w:p w14:paraId="5B6FAEF0" w14:textId="77777777" w:rsidR="006B7EFC" w:rsidRPr="001C459C" w:rsidRDefault="006B7EFC" w:rsidP="006B7EFC">
      <w:pPr>
        <w:rPr>
          <w:lang w:val="en-US"/>
        </w:rPr>
      </w:pPr>
      <w:r>
        <w:rPr>
          <w:lang w:val="en-US"/>
        </w:rPr>
        <w:t xml:space="preserve">Addey, Crystal, “Oracles, Dreams, Astrology in Iamblichus’ </w:t>
      </w:r>
      <w:r w:rsidRPr="00201E91">
        <w:rPr>
          <w:lang w:val="en-US"/>
        </w:rPr>
        <w:t>De Mysteriis</w:t>
      </w:r>
      <w:r>
        <w:rPr>
          <w:lang w:val="en-US"/>
        </w:rPr>
        <w:t xml:space="preserve">” in Angela Voss and Patrick Curry (eds.), </w:t>
      </w:r>
      <w:r w:rsidRPr="00201E91">
        <w:rPr>
          <w:lang w:val="en-US"/>
        </w:rPr>
        <w:t>Seeing with Different Eyes: Essays on Astrology and Divination</w:t>
      </w:r>
      <w:r>
        <w:rPr>
          <w:lang w:val="en-US"/>
        </w:rPr>
        <w:t xml:space="preserve">, (Cambridge: Cambridge University Press, 2008) pp. 35-57). </w:t>
      </w:r>
    </w:p>
    <w:p w14:paraId="66971928" w14:textId="77777777" w:rsidR="006B7EFC" w:rsidRDefault="006B7EFC" w:rsidP="006B7EFC">
      <w:pPr>
        <w:rPr>
          <w:lang w:val="en-US"/>
        </w:rPr>
      </w:pPr>
    </w:p>
    <w:p w14:paraId="4DAD09EB" w14:textId="77777777" w:rsidR="006B7EFC" w:rsidRDefault="006B7EFC" w:rsidP="006B7EFC">
      <w:pPr>
        <w:rPr>
          <w:lang w:val="en-US"/>
        </w:rPr>
      </w:pPr>
      <w:proofErr w:type="spellStart"/>
      <w:r>
        <w:rPr>
          <w:lang w:val="en-US"/>
        </w:rPr>
        <w:t>Athanassiadi</w:t>
      </w:r>
      <w:proofErr w:type="spellEnd"/>
      <w:r>
        <w:rPr>
          <w:lang w:val="en-US"/>
        </w:rPr>
        <w:t xml:space="preserve">, </w:t>
      </w:r>
      <w:proofErr w:type="spellStart"/>
      <w:r>
        <w:rPr>
          <w:lang w:val="en-US"/>
        </w:rPr>
        <w:t>Polymnia</w:t>
      </w:r>
      <w:proofErr w:type="spellEnd"/>
      <w:r>
        <w:rPr>
          <w:lang w:val="en-US"/>
        </w:rPr>
        <w:t xml:space="preserve">, “Theurgy and Freelance Divination: The Testimony of Iamblichus”, </w:t>
      </w:r>
      <w:r w:rsidRPr="00B762E7">
        <w:rPr>
          <w:i/>
          <w:iCs/>
          <w:lang w:val="en-US"/>
        </w:rPr>
        <w:t>The Journal of Roman Studies</w:t>
      </w:r>
      <w:r>
        <w:rPr>
          <w:lang w:val="en-US"/>
        </w:rPr>
        <w:t xml:space="preserve">, Vol. 83 (1993), pp. 115 – 130. </w:t>
      </w:r>
    </w:p>
    <w:p w14:paraId="026255EA" w14:textId="77777777" w:rsidR="006B7EFC" w:rsidRDefault="006B7EFC" w:rsidP="006B7EFC">
      <w:pPr>
        <w:rPr>
          <w:lang w:val="en-US"/>
        </w:rPr>
      </w:pPr>
    </w:p>
    <w:p w14:paraId="1186A7CF" w14:textId="77777777" w:rsidR="006B7EFC" w:rsidRDefault="006B7EFC" w:rsidP="006B7EFC">
      <w:pPr>
        <w:rPr>
          <w:lang w:val="en-US"/>
        </w:rPr>
      </w:pPr>
      <w:proofErr w:type="spellStart"/>
      <w:r>
        <w:rPr>
          <w:lang w:val="en-US"/>
        </w:rPr>
        <w:t>Dodds</w:t>
      </w:r>
      <w:proofErr w:type="spellEnd"/>
      <w:r>
        <w:rPr>
          <w:lang w:val="en-US"/>
        </w:rPr>
        <w:t xml:space="preserve">, E. R., The Greeks and the Irrational, (Eastford, CT: Martino Fine Books, 2020). </w:t>
      </w:r>
    </w:p>
    <w:p w14:paraId="75E073B6" w14:textId="77777777" w:rsidR="006B7EFC" w:rsidRDefault="006B7EFC" w:rsidP="006B7EFC">
      <w:pPr>
        <w:rPr>
          <w:lang w:val="en-US"/>
        </w:rPr>
      </w:pPr>
    </w:p>
    <w:p w14:paraId="3EC3F0D9" w14:textId="77777777" w:rsidR="006B7EFC" w:rsidRDefault="006B7EFC" w:rsidP="006B7EFC">
      <w:pPr>
        <w:rPr>
          <w:lang w:val="en-US"/>
        </w:rPr>
      </w:pPr>
      <w:r>
        <w:rPr>
          <w:lang w:val="en-US"/>
        </w:rPr>
        <w:t xml:space="preserve">Flower, Michael </w:t>
      </w:r>
      <w:proofErr w:type="spellStart"/>
      <w:r>
        <w:rPr>
          <w:lang w:val="en-US"/>
        </w:rPr>
        <w:t>Attyah</w:t>
      </w:r>
      <w:proofErr w:type="spellEnd"/>
      <w:r>
        <w:rPr>
          <w:lang w:val="en-US"/>
        </w:rPr>
        <w:t xml:space="preserve">, </w:t>
      </w:r>
      <w:r w:rsidRPr="00876121">
        <w:rPr>
          <w:i/>
          <w:iCs/>
          <w:lang w:val="en-US"/>
        </w:rPr>
        <w:t>The Seer in Ancient Greece</w:t>
      </w:r>
      <w:r>
        <w:rPr>
          <w:lang w:val="en-US"/>
        </w:rPr>
        <w:t xml:space="preserve">, (Berkeley and Los Angeles: University of California Press, 2009). </w:t>
      </w:r>
    </w:p>
    <w:p w14:paraId="7DFB85AD" w14:textId="77777777" w:rsidR="006B7EFC" w:rsidRDefault="006B7EFC" w:rsidP="006B7EFC">
      <w:pPr>
        <w:rPr>
          <w:lang w:val="en-US"/>
        </w:rPr>
      </w:pPr>
    </w:p>
    <w:p w14:paraId="35443DAD" w14:textId="77777777" w:rsidR="006B7EFC" w:rsidRDefault="006B7EFC" w:rsidP="006B7EFC">
      <w:pPr>
        <w:rPr>
          <w:lang w:val="en-US"/>
        </w:rPr>
      </w:pPr>
      <w:r>
        <w:rPr>
          <w:lang w:val="en-US"/>
        </w:rPr>
        <w:t xml:space="preserve">Iamblichus, </w:t>
      </w:r>
      <w:r w:rsidRPr="00876121">
        <w:rPr>
          <w:i/>
          <w:iCs/>
          <w:lang w:val="en-US"/>
        </w:rPr>
        <w:t>De Mysteriis</w:t>
      </w:r>
      <w:r>
        <w:rPr>
          <w:lang w:val="en-US"/>
        </w:rPr>
        <w:t xml:space="preserve"> (</w:t>
      </w:r>
      <w:r w:rsidRPr="00876121">
        <w:rPr>
          <w:i/>
          <w:iCs/>
          <w:lang w:val="en-US"/>
        </w:rPr>
        <w:t>On the Mysteries</w:t>
      </w:r>
      <w:r>
        <w:rPr>
          <w:lang w:val="en-US"/>
        </w:rPr>
        <w:t xml:space="preserve">), </w:t>
      </w:r>
      <w:r w:rsidRPr="00876121">
        <w:rPr>
          <w:lang w:val="en-US"/>
        </w:rPr>
        <w:t>Emma</w:t>
      </w:r>
      <w:r>
        <w:rPr>
          <w:lang w:val="en-US"/>
        </w:rPr>
        <w:t xml:space="preserve"> C. Clarke,</w:t>
      </w:r>
      <w:r w:rsidRPr="00876121">
        <w:rPr>
          <w:lang w:val="en-US"/>
        </w:rPr>
        <w:t xml:space="preserve"> John M</w:t>
      </w:r>
      <w:r>
        <w:rPr>
          <w:lang w:val="en-US"/>
        </w:rPr>
        <w:t xml:space="preserve">. Dillon and Jackson P. Hershbell (eds.), (Atlanta: Society of Biblical Literature, 2003). </w:t>
      </w:r>
    </w:p>
    <w:p w14:paraId="15FEEB32" w14:textId="77777777" w:rsidR="006B7EFC" w:rsidRDefault="006B7EFC" w:rsidP="006B7EFC">
      <w:pPr>
        <w:rPr>
          <w:lang w:val="en-US"/>
        </w:rPr>
      </w:pPr>
    </w:p>
    <w:p w14:paraId="6F918C5E" w14:textId="77777777" w:rsidR="006B7EFC" w:rsidRDefault="006B7EFC" w:rsidP="006B7EFC">
      <w:pPr>
        <w:rPr>
          <w:lang w:val="en-US"/>
        </w:rPr>
      </w:pPr>
      <w:r w:rsidRPr="00665211">
        <w:rPr>
          <w:lang w:val="en-US"/>
        </w:rPr>
        <w:t xml:space="preserve">Shaw, </w:t>
      </w:r>
      <w:r>
        <w:rPr>
          <w:lang w:val="en-US"/>
        </w:rPr>
        <w:t xml:space="preserve">Gregory, </w:t>
      </w:r>
      <w:r w:rsidRPr="00665211">
        <w:rPr>
          <w:lang w:val="en-US"/>
        </w:rPr>
        <w:t>“Theurgy: ri</w:t>
      </w:r>
      <w:r>
        <w:rPr>
          <w:lang w:val="en-US"/>
        </w:rPr>
        <w:t xml:space="preserve">tuals of unification in the Neoplatonism of Iamblichus”, </w:t>
      </w:r>
      <w:r w:rsidRPr="00665211">
        <w:rPr>
          <w:i/>
          <w:iCs/>
          <w:lang w:val="en-US"/>
        </w:rPr>
        <w:t>Traditio</w:t>
      </w:r>
      <w:r>
        <w:rPr>
          <w:lang w:val="en-US"/>
        </w:rPr>
        <w:t>, Vol. 41 (1985), pp. 1-28.</w:t>
      </w:r>
    </w:p>
    <w:p w14:paraId="3DC2DC9F" w14:textId="77777777" w:rsidR="006B7EFC" w:rsidRDefault="006B7EFC" w:rsidP="006B7EFC">
      <w:pPr>
        <w:rPr>
          <w:lang w:val="en-US"/>
        </w:rPr>
      </w:pPr>
    </w:p>
    <w:p w14:paraId="77969DF2" w14:textId="77777777" w:rsidR="006B7EFC" w:rsidRDefault="006B7EFC" w:rsidP="006B7EFC">
      <w:pPr>
        <w:rPr>
          <w:lang w:val="en-US"/>
        </w:rPr>
      </w:pPr>
      <w:r>
        <w:rPr>
          <w:lang w:val="en-US"/>
        </w:rPr>
        <w:t xml:space="preserve">Struck, Peter T., Birth of the Symbol, (Princeton: Princeton University Press, 2004). </w:t>
      </w:r>
    </w:p>
    <w:p w14:paraId="6836331D" w14:textId="77777777" w:rsidR="006B7EFC" w:rsidRDefault="006B7EFC" w:rsidP="006B7EFC">
      <w:pPr>
        <w:rPr>
          <w:lang w:val="en-US"/>
        </w:rPr>
      </w:pPr>
    </w:p>
    <w:p w14:paraId="0253D673" w14:textId="77777777" w:rsidR="006B7EFC" w:rsidRPr="00876121" w:rsidRDefault="006B7EFC" w:rsidP="006B7EFC">
      <w:pPr>
        <w:rPr>
          <w:lang w:val="en-US"/>
        </w:rPr>
      </w:pPr>
    </w:p>
    <w:p w14:paraId="4D557026" w14:textId="77777777" w:rsidR="006B7EFC" w:rsidRPr="006B7EFC" w:rsidRDefault="006B7EFC">
      <w:pPr>
        <w:rPr>
          <w:lang w:val="en-US"/>
        </w:rPr>
      </w:pPr>
    </w:p>
    <w:sectPr w:rsidR="006B7EFC" w:rsidRPr="006B7EF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81AE15" w14:textId="77777777" w:rsidR="00A75AE9" w:rsidRDefault="00A75AE9" w:rsidP="009D7429">
      <w:r>
        <w:separator/>
      </w:r>
    </w:p>
  </w:endnote>
  <w:endnote w:type="continuationSeparator" w:id="0">
    <w:p w14:paraId="3E4FA271" w14:textId="77777777" w:rsidR="00A75AE9" w:rsidRDefault="00A75AE9" w:rsidP="009D74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496587"/>
      <w:docPartObj>
        <w:docPartGallery w:val="Page Numbers (Bottom of Page)"/>
        <w:docPartUnique/>
      </w:docPartObj>
    </w:sdtPr>
    <w:sdtEndPr>
      <w:rPr>
        <w:rStyle w:val="PageNumber"/>
      </w:rPr>
    </w:sdtEndPr>
    <w:sdtContent>
      <w:p w14:paraId="5FD8DA4A" w14:textId="0084C6D3" w:rsidR="009B539C" w:rsidRDefault="009B539C" w:rsidP="00325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192CD0" w14:textId="77777777" w:rsidR="009B539C" w:rsidRDefault="009B539C" w:rsidP="009B53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2541731"/>
      <w:docPartObj>
        <w:docPartGallery w:val="Page Numbers (Bottom of Page)"/>
        <w:docPartUnique/>
      </w:docPartObj>
    </w:sdtPr>
    <w:sdtEndPr>
      <w:rPr>
        <w:rStyle w:val="PageNumber"/>
      </w:rPr>
    </w:sdtEndPr>
    <w:sdtContent>
      <w:p w14:paraId="3E69C27E" w14:textId="6D1C9928" w:rsidR="009B539C" w:rsidRDefault="009B539C" w:rsidP="00325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DDB4B0" w14:textId="77777777" w:rsidR="009B539C" w:rsidRDefault="009B539C" w:rsidP="009B53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35306D" w14:textId="77777777" w:rsidR="00A75AE9" w:rsidRDefault="00A75AE9" w:rsidP="009D7429">
      <w:r>
        <w:separator/>
      </w:r>
    </w:p>
  </w:footnote>
  <w:footnote w:type="continuationSeparator" w:id="0">
    <w:p w14:paraId="6CB89142" w14:textId="77777777" w:rsidR="00A75AE9" w:rsidRDefault="00A75AE9" w:rsidP="009D7429">
      <w:r>
        <w:continuationSeparator/>
      </w:r>
    </w:p>
  </w:footnote>
  <w:footnote w:id="1">
    <w:p w14:paraId="5BD3C1D8" w14:textId="55950847" w:rsidR="00A47C81" w:rsidRPr="008A2F67" w:rsidRDefault="00A47C81" w:rsidP="006323CA">
      <w:pPr>
        <w:pStyle w:val="FootnoteText"/>
        <w:rPr>
          <w:lang w:val="en-US"/>
        </w:rPr>
      </w:pPr>
      <w:r>
        <w:rPr>
          <w:rStyle w:val="FootnoteReference"/>
        </w:rPr>
        <w:footnoteRef/>
      </w:r>
      <w:r>
        <w:t xml:space="preserve"> </w:t>
      </w:r>
      <w:r w:rsidR="00525AA3" w:rsidRPr="00513EA4">
        <w:rPr>
          <w:lang w:val="en-US"/>
        </w:rPr>
        <w:t>E</w:t>
      </w:r>
      <w:r w:rsidR="00525AA3">
        <w:rPr>
          <w:lang w:val="en-US"/>
        </w:rPr>
        <w:t xml:space="preserve">mma C. Clarke, John M. Dillon, and Jackson P. Hershbell, </w:t>
      </w:r>
      <w:r w:rsidR="00525AA3" w:rsidRPr="00513EA4">
        <w:rPr>
          <w:i/>
          <w:iCs/>
          <w:lang w:val="en-US"/>
        </w:rPr>
        <w:t>Iamblichus: De Mysteriis</w:t>
      </w:r>
      <w:r w:rsidR="00525AA3">
        <w:rPr>
          <w:lang w:val="en-US"/>
        </w:rPr>
        <w:t>, 1</w:t>
      </w:r>
      <w:r w:rsidR="00525AA3" w:rsidRPr="00513EA4">
        <w:rPr>
          <w:vertAlign w:val="superscript"/>
          <w:lang w:val="en-US"/>
        </w:rPr>
        <w:t>st</w:t>
      </w:r>
      <w:r w:rsidR="00525AA3">
        <w:rPr>
          <w:lang w:val="en-US"/>
        </w:rPr>
        <w:t xml:space="preserve"> </w:t>
      </w:r>
      <w:proofErr w:type="spellStart"/>
      <w:r w:rsidR="00525AA3">
        <w:rPr>
          <w:lang w:val="en-US"/>
        </w:rPr>
        <w:t>edn</w:t>
      </w:r>
      <w:proofErr w:type="spellEnd"/>
      <w:r w:rsidR="00525AA3">
        <w:rPr>
          <w:lang w:val="en-US"/>
        </w:rPr>
        <w:t>. (Atlanta: Society of Biblical Literature, 2003)</w:t>
      </w:r>
      <w:r w:rsidR="00525AA3">
        <w:rPr>
          <w:lang w:val="en-US"/>
        </w:rPr>
        <w:t xml:space="preserve">, </w:t>
      </w:r>
      <w:r>
        <w:rPr>
          <w:lang w:val="en-US"/>
        </w:rPr>
        <w:t xml:space="preserve">Introduction, p. </w:t>
      </w:r>
      <w:r>
        <w:rPr>
          <w:lang w:val="en-GB"/>
        </w:rPr>
        <w:t>XLVIII. For detailed information about the title and the book division of Iamblichus’ work.</w:t>
      </w:r>
    </w:p>
  </w:footnote>
  <w:footnote w:id="2">
    <w:p w14:paraId="5E9CE713" w14:textId="77777777" w:rsidR="00190B0C" w:rsidRPr="000C346B" w:rsidRDefault="00190B0C" w:rsidP="00190B0C">
      <w:pPr>
        <w:pStyle w:val="FootnoteText"/>
      </w:pPr>
      <w:r>
        <w:rPr>
          <w:rStyle w:val="FootnoteReference"/>
        </w:rPr>
        <w:footnoteRef/>
      </w:r>
      <w:r>
        <w:t xml:space="preserve"> </w:t>
      </w:r>
      <w:r w:rsidRPr="00513EA4">
        <w:rPr>
          <w:lang w:val="en-US"/>
        </w:rPr>
        <w:t>E</w:t>
      </w:r>
      <w:r>
        <w:rPr>
          <w:lang w:val="en-US"/>
        </w:rPr>
        <w:t xml:space="preserve">mma C. Clarke, John M. Dillon, and Jackson P. Hershbell, </w:t>
      </w:r>
      <w:r w:rsidRPr="00513EA4">
        <w:rPr>
          <w:i/>
          <w:iCs/>
          <w:lang w:val="en-US"/>
        </w:rPr>
        <w:t>Iamblichus: De Mysteriis</w:t>
      </w:r>
      <w:r>
        <w:rPr>
          <w:lang w:val="en-US"/>
        </w:rPr>
        <w:t>, 1</w:t>
      </w:r>
      <w:r w:rsidRPr="00513EA4">
        <w:rPr>
          <w:vertAlign w:val="superscript"/>
          <w:lang w:val="en-US"/>
        </w:rPr>
        <w:t>st</w:t>
      </w:r>
      <w:r>
        <w:rPr>
          <w:lang w:val="en-US"/>
        </w:rPr>
        <w:t xml:space="preserve"> </w:t>
      </w:r>
      <w:proofErr w:type="spellStart"/>
      <w:r>
        <w:rPr>
          <w:lang w:val="en-US"/>
        </w:rPr>
        <w:t>edn</w:t>
      </w:r>
      <w:proofErr w:type="spellEnd"/>
      <w:r>
        <w:rPr>
          <w:lang w:val="en-US"/>
        </w:rPr>
        <w:t xml:space="preserve">. (Atlanta: Society of Biblical Literature, 2003), Introduction, p. </w:t>
      </w:r>
      <w:r>
        <w:rPr>
          <w:lang w:val="en-GB"/>
        </w:rPr>
        <w:t>XXVII</w:t>
      </w:r>
    </w:p>
  </w:footnote>
  <w:footnote w:id="3">
    <w:p w14:paraId="78BD495E" w14:textId="11284740" w:rsidR="00A47C81" w:rsidRPr="00513EA4" w:rsidRDefault="00A47C81">
      <w:pPr>
        <w:pStyle w:val="FootnoteText"/>
        <w:rPr>
          <w:lang w:val="en-US"/>
        </w:rPr>
      </w:pPr>
      <w:r>
        <w:rPr>
          <w:rStyle w:val="FootnoteReference"/>
        </w:rPr>
        <w:footnoteRef/>
      </w:r>
      <w:r>
        <w:t xml:space="preserve"> </w:t>
      </w:r>
      <w:r w:rsidRPr="00513EA4">
        <w:rPr>
          <w:lang w:val="en-US"/>
        </w:rPr>
        <w:t>E</w:t>
      </w:r>
      <w:r>
        <w:rPr>
          <w:lang w:val="en-US"/>
        </w:rPr>
        <w:t xml:space="preserve">mma C. Clarke, John M. Dillon, and Jackson P. Hershbell, </w:t>
      </w:r>
      <w:r w:rsidRPr="00513EA4">
        <w:rPr>
          <w:i/>
          <w:iCs/>
          <w:lang w:val="en-US"/>
        </w:rPr>
        <w:t>Iamblichus: De Mysteriis</w:t>
      </w:r>
      <w:r>
        <w:rPr>
          <w:lang w:val="en-US"/>
        </w:rPr>
        <w:t>, 1</w:t>
      </w:r>
      <w:r w:rsidRPr="00513EA4">
        <w:rPr>
          <w:vertAlign w:val="superscript"/>
          <w:lang w:val="en-US"/>
        </w:rPr>
        <w:t>st</w:t>
      </w:r>
      <w:r>
        <w:rPr>
          <w:lang w:val="en-US"/>
        </w:rPr>
        <w:t xml:space="preserve"> </w:t>
      </w:r>
      <w:proofErr w:type="spellStart"/>
      <w:r>
        <w:rPr>
          <w:lang w:val="en-US"/>
        </w:rPr>
        <w:t>edn</w:t>
      </w:r>
      <w:proofErr w:type="spellEnd"/>
      <w:r>
        <w:rPr>
          <w:lang w:val="en-US"/>
        </w:rPr>
        <w:t>. (Atlanta: Society of Biblical Literature, 2003)</w:t>
      </w:r>
    </w:p>
  </w:footnote>
  <w:footnote w:id="4">
    <w:p w14:paraId="4EBD10C9" w14:textId="5CABBDF1" w:rsidR="001C459C" w:rsidRPr="001C459C" w:rsidRDefault="001C459C">
      <w:pPr>
        <w:pStyle w:val="FootnoteText"/>
        <w:rPr>
          <w:lang w:val="en-US"/>
        </w:rPr>
      </w:pPr>
      <w:r>
        <w:rPr>
          <w:rStyle w:val="FootnoteReference"/>
        </w:rPr>
        <w:footnoteRef/>
      </w:r>
      <w:r>
        <w:t xml:space="preserve"> </w:t>
      </w:r>
      <w:r w:rsidRPr="001C459C">
        <w:rPr>
          <w:lang w:val="en-US"/>
        </w:rPr>
        <w:t xml:space="preserve">Crystal </w:t>
      </w:r>
      <w:r>
        <w:rPr>
          <w:lang w:val="en-US"/>
        </w:rPr>
        <w:t xml:space="preserve">Addey, “Oracles, Dreams, Astrology in Iamblichus’ </w:t>
      </w:r>
      <w:r w:rsidRPr="001C459C">
        <w:rPr>
          <w:i/>
          <w:iCs/>
          <w:lang w:val="en-US"/>
        </w:rPr>
        <w:t>De Mysteriis</w:t>
      </w:r>
      <w:r>
        <w:rPr>
          <w:lang w:val="en-US"/>
        </w:rPr>
        <w:t xml:space="preserve">” in Angela Voss and Patrick Curry (eds.), </w:t>
      </w:r>
      <w:r w:rsidRPr="001C459C">
        <w:rPr>
          <w:i/>
          <w:iCs/>
          <w:lang w:val="en-US"/>
        </w:rPr>
        <w:t>Seeing with Different Eyes: Essays on Astrology and Divination</w:t>
      </w:r>
      <w:r>
        <w:rPr>
          <w:lang w:val="en-US"/>
        </w:rPr>
        <w:t xml:space="preserve">, (Cambridge: Cambridge University Press, 2008) pp. 35-57). </w:t>
      </w:r>
    </w:p>
  </w:footnote>
  <w:footnote w:id="5">
    <w:p w14:paraId="756CC546" w14:textId="777D7C2C" w:rsidR="00A47C81" w:rsidRPr="008677B2" w:rsidRDefault="00A47C81">
      <w:pPr>
        <w:pStyle w:val="FootnoteText"/>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XXII.</w:t>
      </w:r>
    </w:p>
  </w:footnote>
  <w:footnote w:id="6">
    <w:p w14:paraId="1EA1BD04" w14:textId="64FC3BB2" w:rsidR="00A47C81" w:rsidRPr="00513EA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XLVIII.</w:t>
      </w:r>
    </w:p>
  </w:footnote>
  <w:footnote w:id="7">
    <w:p w14:paraId="1E3C1A7F" w14:textId="77777777" w:rsidR="00A47C81" w:rsidRPr="002862A4" w:rsidRDefault="00A47C81" w:rsidP="006323CA">
      <w:pPr>
        <w:pStyle w:val="FootnoteText"/>
        <w:rPr>
          <w:lang w:val="en-US"/>
        </w:rPr>
      </w:pPr>
      <w:r>
        <w:rPr>
          <w:rStyle w:val="FootnoteReference"/>
        </w:rPr>
        <w:footnoteRef/>
      </w:r>
      <w:r>
        <w:t xml:space="preserve"> </w:t>
      </w:r>
      <w:r w:rsidRPr="002862A4">
        <w:rPr>
          <w:lang w:val="en-US"/>
        </w:rPr>
        <w:t>C</w:t>
      </w:r>
      <w:r>
        <w:rPr>
          <w:lang w:val="en-US"/>
        </w:rPr>
        <w:t>rystal Addey, Divination and Theurgy in Neoplatonism, 1</w:t>
      </w:r>
      <w:r w:rsidRPr="002862A4">
        <w:rPr>
          <w:vertAlign w:val="superscript"/>
          <w:lang w:val="en-US"/>
        </w:rPr>
        <w:t>st</w:t>
      </w:r>
      <w:r>
        <w:rPr>
          <w:lang w:val="en-US"/>
        </w:rPr>
        <w:t xml:space="preserve"> </w:t>
      </w:r>
      <w:proofErr w:type="spellStart"/>
      <w:r>
        <w:rPr>
          <w:lang w:val="en-US"/>
        </w:rPr>
        <w:t>edn</w:t>
      </w:r>
      <w:proofErr w:type="spellEnd"/>
      <w:r>
        <w:rPr>
          <w:lang w:val="en-US"/>
        </w:rPr>
        <w:t>. (Routledge, 2019), p. 278</w:t>
      </w:r>
    </w:p>
  </w:footnote>
  <w:footnote w:id="8">
    <w:p w14:paraId="02D141EC" w14:textId="77777777" w:rsidR="00A47C81" w:rsidRPr="009E4B9F" w:rsidRDefault="00A47C81" w:rsidP="006323CA">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XLIX</w:t>
      </w:r>
    </w:p>
  </w:footnote>
  <w:footnote w:id="9">
    <w:p w14:paraId="7758B2BB" w14:textId="519F59B5" w:rsidR="00A47C81" w:rsidRPr="002862A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5.</w:t>
      </w:r>
    </w:p>
  </w:footnote>
  <w:footnote w:id="10">
    <w:p w14:paraId="6BB15B51" w14:textId="5222F5E4" w:rsidR="00A47C81" w:rsidRPr="002862A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7.</w:t>
      </w:r>
    </w:p>
  </w:footnote>
  <w:footnote w:id="11">
    <w:p w14:paraId="67CE70F7" w14:textId="77777777" w:rsidR="00A47C81" w:rsidRPr="002862A4" w:rsidRDefault="00A47C81" w:rsidP="00282503">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 xml:space="preserve">5, 7. </w:t>
      </w:r>
    </w:p>
  </w:footnote>
  <w:footnote w:id="12">
    <w:p w14:paraId="5D407624" w14:textId="7D047B30" w:rsidR="00A47C81" w:rsidRPr="000C346B"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XXIX</w:t>
      </w:r>
    </w:p>
  </w:footnote>
  <w:footnote w:id="13">
    <w:p w14:paraId="62E84C50" w14:textId="4C46F923" w:rsidR="00A47C81" w:rsidRPr="008A2F67"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13.</w:t>
      </w:r>
    </w:p>
  </w:footnote>
  <w:footnote w:id="14">
    <w:p w14:paraId="3D445442" w14:textId="6CDF110F" w:rsidR="00A47C81" w:rsidRPr="008A2F67"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11.</w:t>
      </w:r>
    </w:p>
  </w:footnote>
  <w:footnote w:id="15">
    <w:p w14:paraId="3BBDAD30" w14:textId="17450467" w:rsidR="00A47C81" w:rsidRPr="00A74219"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w:t>
      </w:r>
      <w:r w:rsidRPr="00A74219">
        <w:rPr>
          <w:i/>
          <w:iCs/>
          <w:lang w:val="en-US"/>
        </w:rPr>
        <w:t>Introduction</w:t>
      </w:r>
      <w:r>
        <w:rPr>
          <w:lang w:val="en-US"/>
        </w:rPr>
        <w:t xml:space="preserve">, p. </w:t>
      </w:r>
      <w:r>
        <w:rPr>
          <w:lang w:val="en-GB"/>
        </w:rPr>
        <w:t>XLVIII.</w:t>
      </w:r>
    </w:p>
  </w:footnote>
  <w:footnote w:id="16">
    <w:p w14:paraId="30413036" w14:textId="2DD052A3" w:rsidR="00A47C81" w:rsidRPr="00A74219"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w:t>
      </w:r>
      <w:r w:rsidRPr="00A74219">
        <w:rPr>
          <w:i/>
          <w:iCs/>
          <w:lang w:val="en-US"/>
        </w:rPr>
        <w:t>Introduction</w:t>
      </w:r>
      <w:r>
        <w:rPr>
          <w:lang w:val="en-US"/>
        </w:rPr>
        <w:t xml:space="preserve">, p. </w:t>
      </w:r>
      <w:r>
        <w:rPr>
          <w:lang w:val="en-GB"/>
        </w:rPr>
        <w:t>XLIX.</w:t>
      </w:r>
    </w:p>
  </w:footnote>
  <w:footnote w:id="17">
    <w:p w14:paraId="1826650F" w14:textId="62ECA62B" w:rsidR="00A47C81" w:rsidRPr="00A74219" w:rsidRDefault="00A47C81">
      <w:pPr>
        <w:pStyle w:val="FootnoteText"/>
        <w:rPr>
          <w:lang w:val="en-US"/>
        </w:rPr>
      </w:pPr>
      <w:r>
        <w:rPr>
          <w:rStyle w:val="FootnoteReference"/>
        </w:rPr>
        <w:footnoteRef/>
      </w:r>
      <w:r>
        <w:t xml:space="preserve"> </w:t>
      </w:r>
      <w:proofErr w:type="spellStart"/>
      <w:r w:rsidRPr="00A74219">
        <w:rPr>
          <w:lang w:val="en-US"/>
        </w:rPr>
        <w:t>Pol</w:t>
      </w:r>
      <w:r>
        <w:rPr>
          <w:lang w:val="en-US"/>
        </w:rPr>
        <w:t>ymnia</w:t>
      </w:r>
      <w:proofErr w:type="spellEnd"/>
      <w:r>
        <w:rPr>
          <w:lang w:val="en-US"/>
        </w:rPr>
        <w:t xml:space="preserve"> </w:t>
      </w:r>
      <w:proofErr w:type="spellStart"/>
      <w:r>
        <w:rPr>
          <w:lang w:val="en-US"/>
        </w:rPr>
        <w:t>Athanassiadi</w:t>
      </w:r>
      <w:proofErr w:type="spellEnd"/>
      <w:r>
        <w:rPr>
          <w:lang w:val="en-US"/>
        </w:rPr>
        <w:t>, “</w:t>
      </w:r>
      <w:r w:rsidRPr="00A00E8D">
        <w:rPr>
          <w:lang w:val="en-US"/>
        </w:rPr>
        <w:t>Dreams, Theurgy and Freelance Divination: The Testimony of Iamblichus</w:t>
      </w:r>
      <w:r>
        <w:rPr>
          <w:i/>
          <w:iCs/>
          <w:lang w:val="en-US"/>
        </w:rPr>
        <w:t>”</w:t>
      </w:r>
      <w:r>
        <w:rPr>
          <w:lang w:val="en-US"/>
        </w:rPr>
        <w:t xml:space="preserve">, in </w:t>
      </w:r>
      <w:r w:rsidRPr="00A00E8D">
        <w:rPr>
          <w:i/>
          <w:iCs/>
          <w:lang w:val="en-US"/>
        </w:rPr>
        <w:t>The Journal of Roman Studies</w:t>
      </w:r>
      <w:r>
        <w:rPr>
          <w:lang w:val="en-US"/>
        </w:rPr>
        <w:t xml:space="preserve">, vol. 83 (1993), pp. 115-130, p. 128. </w:t>
      </w:r>
    </w:p>
  </w:footnote>
  <w:footnote w:id="18">
    <w:p w14:paraId="65364094" w14:textId="016C057E" w:rsidR="00A47C81" w:rsidRPr="00A00E8D" w:rsidRDefault="00A47C81">
      <w:pPr>
        <w:pStyle w:val="FootnoteText"/>
        <w:rPr>
          <w:lang w:val="en-US"/>
        </w:rPr>
      </w:pPr>
      <w:r>
        <w:rPr>
          <w:rStyle w:val="FootnoteReference"/>
        </w:rPr>
        <w:footnoteRef/>
      </w:r>
      <w:r>
        <w:t xml:space="preserve"> </w:t>
      </w:r>
      <w:proofErr w:type="spellStart"/>
      <w:r>
        <w:rPr>
          <w:lang w:val="en-US"/>
        </w:rPr>
        <w:t>Athanassiadi</w:t>
      </w:r>
      <w:proofErr w:type="spellEnd"/>
      <w:r>
        <w:rPr>
          <w:lang w:val="en-US"/>
        </w:rPr>
        <w:t>, “Dreams, Theurgy and Freelance Divination”, p. 128.</w:t>
      </w:r>
    </w:p>
  </w:footnote>
  <w:footnote w:id="19">
    <w:p w14:paraId="2BAC04DB" w14:textId="644A7ABA" w:rsidR="00A47C81" w:rsidRPr="00556BD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XXVI, for a brief summary of scholarship on the De Mysteriis in the 20</w:t>
      </w:r>
      <w:r w:rsidRPr="00556BDA">
        <w:rPr>
          <w:vertAlign w:val="superscript"/>
          <w:lang w:val="en-GB"/>
        </w:rPr>
        <w:t>th</w:t>
      </w:r>
      <w:r>
        <w:rPr>
          <w:lang w:val="en-GB"/>
        </w:rPr>
        <w:t xml:space="preserve"> century.</w:t>
      </w:r>
    </w:p>
  </w:footnote>
  <w:footnote w:id="20">
    <w:p w14:paraId="2C7F5554" w14:textId="4412FA1C" w:rsidR="00A47C81" w:rsidRPr="00A47C81" w:rsidRDefault="00A47C81">
      <w:pPr>
        <w:pStyle w:val="FootnoteText"/>
        <w:rPr>
          <w:lang w:val="en-US"/>
        </w:rPr>
      </w:pPr>
      <w:r>
        <w:rPr>
          <w:rStyle w:val="FootnoteReference"/>
        </w:rPr>
        <w:footnoteRef/>
      </w:r>
      <w:r>
        <w:t xml:space="preserve"> </w:t>
      </w:r>
      <w:r w:rsidRPr="00A47C81">
        <w:rPr>
          <w:lang w:val="en-US"/>
        </w:rPr>
        <w:t xml:space="preserve">E. R. </w:t>
      </w:r>
      <w:proofErr w:type="spellStart"/>
      <w:r w:rsidRPr="00A47C81">
        <w:rPr>
          <w:lang w:val="en-US"/>
        </w:rPr>
        <w:t>Dodds</w:t>
      </w:r>
      <w:proofErr w:type="spellEnd"/>
      <w:r w:rsidRPr="00A47C81">
        <w:rPr>
          <w:lang w:val="en-US"/>
        </w:rPr>
        <w:t>, The Gree</w:t>
      </w:r>
      <w:r>
        <w:rPr>
          <w:lang w:val="en-US"/>
        </w:rPr>
        <w:t>ks and the Irrational, (Eastford CT: Martino Fine Books, 2020), p. 287.</w:t>
      </w:r>
    </w:p>
  </w:footnote>
  <w:footnote w:id="21">
    <w:p w14:paraId="42EB7081" w14:textId="20676EF4" w:rsidR="00A47C81" w:rsidRPr="00556BD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75.</w:t>
      </w:r>
    </w:p>
  </w:footnote>
  <w:footnote w:id="22">
    <w:p w14:paraId="196BC7C5" w14:textId="77777777" w:rsidR="00A47C81" w:rsidRPr="00556BDA" w:rsidRDefault="00A47C81" w:rsidP="00282503">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119.</w:t>
      </w:r>
    </w:p>
  </w:footnote>
  <w:footnote w:id="23">
    <w:p w14:paraId="3D5F08CB" w14:textId="77777777" w:rsidR="00A47C81" w:rsidRPr="008F75EF" w:rsidRDefault="00A47C81" w:rsidP="00282503">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179.</w:t>
      </w:r>
    </w:p>
  </w:footnote>
  <w:footnote w:id="24">
    <w:p w14:paraId="7724E53C" w14:textId="1AFFDC5F" w:rsidR="00643FD1" w:rsidRPr="00643FD1" w:rsidRDefault="00643FD1">
      <w:pPr>
        <w:pStyle w:val="FootnoteText"/>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i/>
          <w:iCs/>
          <w:lang w:val="en-US"/>
        </w:rPr>
        <w:t xml:space="preserve">, </w:t>
      </w:r>
      <w:r>
        <w:rPr>
          <w:lang w:val="en-US"/>
        </w:rPr>
        <w:t>p. 121.</w:t>
      </w:r>
    </w:p>
  </w:footnote>
  <w:footnote w:id="25">
    <w:p w14:paraId="37CF15C9" w14:textId="5EA09923" w:rsidR="00A47C81" w:rsidRPr="002B5E38"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119.</w:t>
      </w:r>
    </w:p>
  </w:footnote>
  <w:footnote w:id="26">
    <w:p w14:paraId="5D676500" w14:textId="7284B19D" w:rsidR="00A47C81" w:rsidRPr="00F77BE5" w:rsidRDefault="00A47C81">
      <w:pPr>
        <w:pStyle w:val="FootnoteText"/>
        <w:rPr>
          <w:lang w:val="en-US"/>
        </w:rPr>
      </w:pPr>
      <w:r>
        <w:rPr>
          <w:rStyle w:val="FootnoteReference"/>
        </w:rPr>
        <w:footnoteRef/>
      </w:r>
      <w:r>
        <w:t xml:space="preserve"> </w:t>
      </w:r>
      <w:r w:rsidRPr="00F77BE5">
        <w:rPr>
          <w:lang w:val="en-US"/>
        </w:rPr>
        <w:t>Peter</w:t>
      </w:r>
      <w:r>
        <w:rPr>
          <w:lang w:val="en-US"/>
        </w:rPr>
        <w:t xml:space="preserve"> T. Struck, </w:t>
      </w:r>
      <w:r w:rsidRPr="00F77BE5">
        <w:rPr>
          <w:i/>
          <w:iCs/>
          <w:lang w:val="en-US"/>
        </w:rPr>
        <w:t>Birth of the Symbol</w:t>
      </w:r>
      <w:r>
        <w:rPr>
          <w:lang w:val="en-US"/>
        </w:rPr>
        <w:t>, (Princeton: Princeton University Press, 2004).</w:t>
      </w:r>
    </w:p>
  </w:footnote>
  <w:footnote w:id="27">
    <w:p w14:paraId="7E0EF0FC" w14:textId="6DB1AE23" w:rsidR="00A47C81" w:rsidRPr="00F77BE5" w:rsidRDefault="00A47C81">
      <w:pPr>
        <w:pStyle w:val="FootnoteText"/>
        <w:rPr>
          <w:lang w:val="en-US"/>
        </w:rPr>
      </w:pPr>
      <w:r>
        <w:rPr>
          <w:rStyle w:val="FootnoteReference"/>
        </w:rPr>
        <w:footnoteRef/>
      </w:r>
      <w:r>
        <w:t xml:space="preserve"> </w:t>
      </w:r>
      <w:r w:rsidRPr="00F77BE5">
        <w:rPr>
          <w:lang w:val="en-US"/>
        </w:rPr>
        <w:t xml:space="preserve">Struck, </w:t>
      </w:r>
      <w:r w:rsidRPr="00F77BE5">
        <w:rPr>
          <w:i/>
          <w:iCs/>
          <w:lang w:val="en-US"/>
        </w:rPr>
        <w:t>Birth of the Symbol</w:t>
      </w:r>
      <w:r>
        <w:rPr>
          <w:lang w:val="en-US"/>
        </w:rPr>
        <w:t>, p. 210.</w:t>
      </w:r>
    </w:p>
  </w:footnote>
  <w:footnote w:id="28">
    <w:p w14:paraId="50CCE605" w14:textId="77777777" w:rsidR="005F73D5" w:rsidRPr="005A1AB9" w:rsidRDefault="005F73D5" w:rsidP="005F73D5">
      <w:pPr>
        <w:pStyle w:val="FootnoteText"/>
        <w:rPr>
          <w:lang w:val="en-US"/>
        </w:rPr>
      </w:pPr>
      <w:r>
        <w:rPr>
          <w:rStyle w:val="FootnoteReference"/>
        </w:rPr>
        <w:footnoteRef/>
      </w:r>
      <w:r>
        <w:t xml:space="preserve"> </w:t>
      </w:r>
      <w:r w:rsidRPr="005A1AB9">
        <w:rPr>
          <w:lang w:val="en-US"/>
        </w:rPr>
        <w:t xml:space="preserve">Struck, </w:t>
      </w:r>
      <w:r w:rsidRPr="005A1AB9">
        <w:rPr>
          <w:i/>
          <w:iCs/>
          <w:lang w:val="en-US"/>
        </w:rPr>
        <w:t>Birth of the Symbol,</w:t>
      </w:r>
      <w:r w:rsidRPr="005A1AB9">
        <w:rPr>
          <w:lang w:val="en-US"/>
        </w:rPr>
        <w:t xml:space="preserve"> p</w:t>
      </w:r>
      <w:r>
        <w:rPr>
          <w:lang w:val="en-US"/>
        </w:rPr>
        <w:t>. 209.</w:t>
      </w:r>
    </w:p>
  </w:footnote>
  <w:footnote w:id="29">
    <w:p w14:paraId="0B44AD29" w14:textId="6E0A6529" w:rsidR="00A47C81" w:rsidRPr="005A1AB9" w:rsidRDefault="00A47C81">
      <w:pPr>
        <w:pStyle w:val="FootnoteText"/>
        <w:rPr>
          <w:lang w:val="en-US"/>
        </w:rPr>
      </w:pPr>
      <w:r>
        <w:rPr>
          <w:rStyle w:val="FootnoteReference"/>
        </w:rPr>
        <w:footnoteRef/>
      </w:r>
      <w:r>
        <w:t xml:space="preserve"> </w:t>
      </w:r>
      <w:r w:rsidRPr="005A1AB9">
        <w:rPr>
          <w:lang w:val="en-US"/>
        </w:rPr>
        <w:t xml:space="preserve">Struck, </w:t>
      </w:r>
      <w:r w:rsidRPr="005A1AB9">
        <w:rPr>
          <w:i/>
          <w:iCs/>
          <w:lang w:val="en-US"/>
        </w:rPr>
        <w:t>Birth of the Symbol</w:t>
      </w:r>
      <w:r w:rsidRPr="005A1AB9">
        <w:rPr>
          <w:lang w:val="en-US"/>
        </w:rPr>
        <w:t xml:space="preserve">, </w:t>
      </w:r>
      <w:r>
        <w:rPr>
          <w:lang w:val="en-US"/>
        </w:rPr>
        <w:t>p. 211.</w:t>
      </w:r>
    </w:p>
  </w:footnote>
  <w:footnote w:id="30">
    <w:p w14:paraId="64983BEF" w14:textId="0ADF88D3" w:rsidR="00A47C81" w:rsidRPr="005A1AB9"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161.</w:t>
      </w:r>
    </w:p>
  </w:footnote>
  <w:footnote w:id="31">
    <w:p w14:paraId="0FFD8EF7" w14:textId="24DE78EC" w:rsidR="00A47C81" w:rsidRPr="00BD7D22" w:rsidRDefault="00A47C81">
      <w:pPr>
        <w:pStyle w:val="FootnoteText"/>
        <w:rPr>
          <w:lang w:val="en-US"/>
        </w:rPr>
      </w:pPr>
      <w:r>
        <w:rPr>
          <w:rStyle w:val="FootnoteReference"/>
        </w:rPr>
        <w:footnoteRef/>
      </w:r>
      <w:r>
        <w:t xml:space="preserve"> </w:t>
      </w:r>
      <w:r w:rsidRPr="00BD7D22">
        <w:rPr>
          <w:lang w:val="en-US"/>
        </w:rPr>
        <w:t xml:space="preserve">Michael </w:t>
      </w:r>
      <w:proofErr w:type="spellStart"/>
      <w:r w:rsidRPr="00BD7D22">
        <w:rPr>
          <w:lang w:val="en-US"/>
        </w:rPr>
        <w:t>Attyah</w:t>
      </w:r>
      <w:proofErr w:type="spellEnd"/>
      <w:r w:rsidRPr="00BD7D22">
        <w:rPr>
          <w:lang w:val="en-US"/>
        </w:rPr>
        <w:t xml:space="preserve"> Flower, </w:t>
      </w:r>
      <w:r w:rsidRPr="00BD7D22">
        <w:rPr>
          <w:i/>
          <w:iCs/>
          <w:lang w:val="en-US"/>
        </w:rPr>
        <w:t>The Seer in Ancient Greece</w:t>
      </w:r>
      <w:r>
        <w:rPr>
          <w:lang w:val="en-US"/>
        </w:rPr>
        <w:t xml:space="preserve">, (Berkeley and Los Angeles: University of California Press, 2009), p. 105. </w:t>
      </w:r>
    </w:p>
  </w:footnote>
  <w:footnote w:id="32">
    <w:p w14:paraId="3EA21E33" w14:textId="524E870B" w:rsidR="00A47C81" w:rsidRPr="00BD7D22"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51.</w:t>
      </w:r>
    </w:p>
  </w:footnote>
  <w:footnote w:id="33">
    <w:p w14:paraId="57E49345" w14:textId="786C605B" w:rsidR="00A47C81" w:rsidRPr="00BD7D22" w:rsidRDefault="00A47C81">
      <w:pPr>
        <w:pStyle w:val="FootnoteText"/>
        <w:rPr>
          <w:lang w:val="en-US"/>
        </w:rPr>
      </w:pPr>
      <w:r>
        <w:rPr>
          <w:rStyle w:val="FootnoteReference"/>
        </w:rPr>
        <w:footnoteRef/>
      </w:r>
      <w:r>
        <w:t xml:space="preserve"> </w:t>
      </w:r>
      <w:r w:rsidRPr="00BD7D22">
        <w:rPr>
          <w:lang w:val="en-US"/>
        </w:rPr>
        <w:t>Flower, The Seer in Ancient Gree</w:t>
      </w:r>
      <w:r>
        <w:rPr>
          <w:lang w:val="en-US"/>
        </w:rPr>
        <w:t>ce, p. 106.</w:t>
      </w:r>
    </w:p>
  </w:footnote>
  <w:footnote w:id="34">
    <w:p w14:paraId="01261ADD" w14:textId="3E9F95AE" w:rsidR="00A47C81" w:rsidRPr="00BD7D22"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167.</w:t>
      </w:r>
    </w:p>
  </w:footnote>
  <w:footnote w:id="35">
    <w:p w14:paraId="1E65F089" w14:textId="1BE545A9" w:rsidR="00A47C81" w:rsidRPr="00BD7D22"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167.</w:t>
      </w:r>
    </w:p>
  </w:footnote>
  <w:footnote w:id="36">
    <w:p w14:paraId="31DA413F" w14:textId="0860683C" w:rsidR="00665211" w:rsidRPr="00665211" w:rsidRDefault="00665211">
      <w:pPr>
        <w:pStyle w:val="FootnoteText"/>
        <w:rPr>
          <w:lang w:val="en-US"/>
        </w:rPr>
      </w:pPr>
      <w:r>
        <w:rPr>
          <w:rStyle w:val="FootnoteReference"/>
        </w:rPr>
        <w:footnoteRef/>
      </w:r>
      <w:r>
        <w:t xml:space="preserve"> </w:t>
      </w:r>
      <w:r w:rsidRPr="00665211">
        <w:rPr>
          <w:lang w:val="en-US"/>
        </w:rPr>
        <w:t>Gregory Shaw, “Theurgy: ri</w:t>
      </w:r>
      <w:r>
        <w:rPr>
          <w:lang w:val="en-US"/>
        </w:rPr>
        <w:t xml:space="preserve">tuals of unification in the Neoplatonism of Iamblichus”, </w:t>
      </w:r>
      <w:r w:rsidRPr="00665211">
        <w:rPr>
          <w:i/>
          <w:iCs/>
          <w:lang w:val="en-US"/>
        </w:rPr>
        <w:t>Traditio</w:t>
      </w:r>
      <w:r>
        <w:rPr>
          <w:lang w:val="en-US"/>
        </w:rPr>
        <w:t>, Vol. 41 (1985), pp. 1-28.</w:t>
      </w:r>
    </w:p>
  </w:footnote>
  <w:footnote w:id="37">
    <w:p w14:paraId="795D1EBA" w14:textId="176C27C7" w:rsidR="000A5260" w:rsidRPr="000A5260" w:rsidRDefault="000A5260">
      <w:pPr>
        <w:pStyle w:val="FootnoteText"/>
        <w:rPr>
          <w:lang w:val="en-GB"/>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i/>
          <w:iCs/>
          <w:lang w:val="en-US"/>
        </w:rPr>
        <w:t xml:space="preserve">, </w:t>
      </w:r>
      <w:r w:rsidRPr="00643FD1">
        <w:rPr>
          <w:lang w:val="en-US"/>
        </w:rPr>
        <w:t>p. 53</w:t>
      </w:r>
      <w:r w:rsidR="00643FD1" w:rsidRPr="00643FD1">
        <w:rPr>
          <w:lang w:val="en-US"/>
        </w:rPr>
        <w:t>, 55</w:t>
      </w:r>
      <w:r>
        <w:rPr>
          <w:i/>
          <w:iCs/>
          <w:lang w:val="en-US"/>
        </w:rPr>
        <w:t>.</w:t>
      </w:r>
    </w:p>
  </w:footnote>
  <w:footnote w:id="38">
    <w:p w14:paraId="58B39AB1" w14:textId="77777777" w:rsidR="000E73AA" w:rsidRPr="002A41B4" w:rsidRDefault="000E73AA" w:rsidP="000E73AA">
      <w:pPr>
        <w:pStyle w:val="FootnoteText"/>
        <w:rPr>
          <w:lang w:val="en-US"/>
        </w:rPr>
      </w:pPr>
      <w:r>
        <w:rPr>
          <w:rStyle w:val="FootnoteReference"/>
        </w:rPr>
        <w:footnoteRef/>
      </w:r>
      <w:r>
        <w:t xml:space="preserve"> </w:t>
      </w:r>
      <w:proofErr w:type="spellStart"/>
      <w:r w:rsidRPr="002A41B4">
        <w:rPr>
          <w:lang w:val="en-US"/>
        </w:rPr>
        <w:t>Athanassiadi</w:t>
      </w:r>
      <w:proofErr w:type="spellEnd"/>
      <w:r w:rsidRPr="002A41B4">
        <w:rPr>
          <w:lang w:val="en-US"/>
        </w:rPr>
        <w:t>, “Dreams, Theurgy and Freelance Divination”</w:t>
      </w:r>
      <w:r>
        <w:rPr>
          <w:lang w:val="en-US"/>
        </w:rPr>
        <w:t>, p. 127.</w:t>
      </w:r>
    </w:p>
  </w:footnote>
  <w:footnote w:id="39">
    <w:p w14:paraId="10A765DF" w14:textId="643BCA0B" w:rsidR="00A47C81" w:rsidRPr="002A41B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177.</w:t>
      </w:r>
    </w:p>
  </w:footnote>
  <w:footnote w:id="40">
    <w:p w14:paraId="213C8107" w14:textId="1977F85F" w:rsidR="00A47C81" w:rsidRPr="002A41B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177.</w:t>
      </w:r>
    </w:p>
  </w:footnote>
  <w:footnote w:id="41">
    <w:p w14:paraId="7C1EC457" w14:textId="0B28AA13" w:rsidR="00A47C81" w:rsidRPr="002A41B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123.</w:t>
      </w:r>
    </w:p>
  </w:footnote>
  <w:footnote w:id="42">
    <w:p w14:paraId="47497D7F" w14:textId="1C722E3B" w:rsidR="00A47C81" w:rsidRPr="002A41B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123.</w:t>
      </w:r>
    </w:p>
  </w:footnote>
  <w:footnote w:id="43">
    <w:p w14:paraId="67BA0EEB" w14:textId="10C41497" w:rsidR="00A47C81" w:rsidRPr="002A41B4"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123.</w:t>
      </w:r>
    </w:p>
  </w:footnote>
  <w:footnote w:id="44">
    <w:p w14:paraId="0A1967FE" w14:textId="4F29A3B8"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129.</w:t>
      </w:r>
    </w:p>
  </w:footnote>
  <w:footnote w:id="45">
    <w:p w14:paraId="2143B129" w14:textId="25DE2BFF"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131.</w:t>
      </w:r>
    </w:p>
  </w:footnote>
  <w:footnote w:id="46">
    <w:p w14:paraId="5A764287" w14:textId="6C4C2B52"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179.</w:t>
      </w:r>
    </w:p>
  </w:footnote>
  <w:footnote w:id="47">
    <w:p w14:paraId="52D6B45A" w14:textId="1F4F35F5"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135.</w:t>
      </w:r>
    </w:p>
  </w:footnote>
  <w:footnote w:id="48">
    <w:p w14:paraId="2FD2B0C8" w14:textId="34F8FFBF"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137.</w:t>
      </w:r>
    </w:p>
  </w:footnote>
  <w:footnote w:id="49">
    <w:p w14:paraId="270E52C1" w14:textId="76E6B48D"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147.</w:t>
      </w:r>
    </w:p>
  </w:footnote>
  <w:footnote w:id="50">
    <w:p w14:paraId="5D60F5B3" w14:textId="48DFCC87"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155.</w:t>
      </w:r>
    </w:p>
  </w:footnote>
  <w:footnote w:id="51">
    <w:p w14:paraId="10D3E526" w14:textId="403229C5" w:rsidR="00A47C81" w:rsidRPr="00545C53" w:rsidRDefault="00A47C81">
      <w:pPr>
        <w:pStyle w:val="FootnoteText"/>
        <w:rPr>
          <w:lang w:val="en-US"/>
        </w:rPr>
      </w:pPr>
      <w:r>
        <w:rPr>
          <w:rStyle w:val="FootnoteReference"/>
        </w:rPr>
        <w:footnoteRef/>
      </w:r>
      <w:r>
        <w:t xml:space="preserve"> </w:t>
      </w:r>
      <w:r w:rsidRPr="00545C53">
        <w:rPr>
          <w:lang w:val="en-US"/>
        </w:rPr>
        <w:t xml:space="preserve">Addey, </w:t>
      </w:r>
      <w:r w:rsidRPr="00545C53">
        <w:rPr>
          <w:i/>
          <w:iCs/>
          <w:lang w:val="en-US"/>
        </w:rPr>
        <w:t>Divination and Theurgy in Neoplatonism</w:t>
      </w:r>
      <w:r>
        <w:rPr>
          <w:lang w:val="en-US"/>
        </w:rPr>
        <w:t>, p. 264.</w:t>
      </w:r>
    </w:p>
  </w:footnote>
  <w:footnote w:id="52">
    <w:p w14:paraId="4AF96328" w14:textId="5A7A12E8" w:rsidR="00A47C81" w:rsidRPr="00545C53" w:rsidRDefault="00A47C81">
      <w:pPr>
        <w:pStyle w:val="FootnoteText"/>
        <w:rPr>
          <w:lang w:val="en-US"/>
        </w:rPr>
      </w:pPr>
      <w:r>
        <w:rPr>
          <w:rStyle w:val="FootnoteReference"/>
        </w:rPr>
        <w:footnoteRef/>
      </w:r>
      <w:r>
        <w:t xml:space="preserve"> </w:t>
      </w:r>
      <w:r w:rsidRPr="00545C53">
        <w:rPr>
          <w:lang w:val="en-US"/>
        </w:rPr>
        <w:t>Addey, Divination and Theurgy in Neoplatonism</w:t>
      </w:r>
      <w:r>
        <w:rPr>
          <w:lang w:val="en-US"/>
        </w:rPr>
        <w:t>, p. 280-281.</w:t>
      </w:r>
    </w:p>
  </w:footnote>
  <w:footnote w:id="53">
    <w:p w14:paraId="0B68493B" w14:textId="0D9868D3" w:rsidR="00A47C81" w:rsidRPr="00545C53"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157.</w:t>
      </w:r>
    </w:p>
  </w:footnote>
  <w:footnote w:id="54">
    <w:p w14:paraId="71D20E0D" w14:textId="0A42598A" w:rsidR="00A47C81" w:rsidRPr="00E024E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157.</w:t>
      </w:r>
    </w:p>
  </w:footnote>
  <w:footnote w:id="55">
    <w:p w14:paraId="53399386" w14:textId="5893809F" w:rsidR="00A47C81" w:rsidRPr="00E024E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183.</w:t>
      </w:r>
    </w:p>
  </w:footnote>
  <w:footnote w:id="56">
    <w:p w14:paraId="201CD671" w14:textId="68E7C83F" w:rsidR="00A47C81" w:rsidRPr="00E024E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185.</w:t>
      </w:r>
    </w:p>
  </w:footnote>
  <w:footnote w:id="57">
    <w:p w14:paraId="030C65D2" w14:textId="177CD166" w:rsidR="00A47C81" w:rsidRPr="00E024E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191.</w:t>
      </w:r>
    </w:p>
  </w:footnote>
  <w:footnote w:id="58">
    <w:p w14:paraId="3AB60438" w14:textId="2B0B9ABE" w:rsidR="00A47C81" w:rsidRPr="00E024E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193.</w:t>
      </w:r>
    </w:p>
  </w:footnote>
  <w:footnote w:id="59">
    <w:p w14:paraId="01A158E8" w14:textId="312135C1" w:rsidR="00A47C81" w:rsidRPr="00E024E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189.</w:t>
      </w:r>
    </w:p>
  </w:footnote>
  <w:footnote w:id="60">
    <w:p w14:paraId="2656032F" w14:textId="4F14A5D5" w:rsidR="00A47C81" w:rsidRPr="00E024EA"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189.</w:t>
      </w:r>
    </w:p>
  </w:footnote>
  <w:footnote w:id="61">
    <w:p w14:paraId="16D85D87" w14:textId="192E22BF" w:rsidR="00A47C81" w:rsidRPr="00E024EA" w:rsidRDefault="00A47C81">
      <w:pPr>
        <w:pStyle w:val="FootnoteText"/>
        <w:rPr>
          <w:lang w:val="en-US"/>
        </w:rPr>
      </w:pPr>
      <w:r>
        <w:rPr>
          <w:rStyle w:val="FootnoteReference"/>
        </w:rPr>
        <w:footnoteRef/>
      </w:r>
      <w:r>
        <w:t xml:space="preserve"> </w:t>
      </w:r>
      <w:r w:rsidRPr="00E024EA">
        <w:rPr>
          <w:lang w:val="en-US"/>
        </w:rPr>
        <w:t xml:space="preserve">Addey, </w:t>
      </w:r>
      <w:r w:rsidRPr="00E024EA">
        <w:rPr>
          <w:i/>
          <w:iCs/>
          <w:lang w:val="en-US"/>
        </w:rPr>
        <w:t>Divination and Theurgy in Neoplatonism</w:t>
      </w:r>
      <w:r>
        <w:rPr>
          <w:lang w:val="en-US"/>
        </w:rPr>
        <w:t>, p. 274.</w:t>
      </w:r>
    </w:p>
  </w:footnote>
  <w:footnote w:id="62">
    <w:p w14:paraId="03978E72" w14:textId="4590CBAE" w:rsidR="00A570B3" w:rsidRPr="00A570B3" w:rsidRDefault="00A570B3">
      <w:pPr>
        <w:pStyle w:val="FootnoteText"/>
        <w:rPr>
          <w:lang w:val="en-US"/>
        </w:rPr>
      </w:pPr>
      <w:r>
        <w:rPr>
          <w:rStyle w:val="FootnoteReference"/>
        </w:rPr>
        <w:footnoteRef/>
      </w:r>
      <w:r>
        <w:t xml:space="preserve"> </w:t>
      </w:r>
      <w:r w:rsidRPr="00A570B3">
        <w:rPr>
          <w:lang w:val="en-US"/>
        </w:rPr>
        <w:t>Crystal</w:t>
      </w:r>
      <w:r>
        <w:rPr>
          <w:lang w:val="en-US"/>
        </w:rPr>
        <w:t xml:space="preserve">, Addey, </w:t>
      </w:r>
      <w:r>
        <w:rPr>
          <w:lang w:val="en-US"/>
        </w:rPr>
        <w:t xml:space="preserve">“Oracles, Dreams, Astrology in Iamblichus’ </w:t>
      </w:r>
      <w:r w:rsidRPr="001C459C">
        <w:rPr>
          <w:i/>
          <w:iCs/>
          <w:lang w:val="en-US"/>
        </w:rPr>
        <w:t>De Mysteriis</w:t>
      </w:r>
      <w:r>
        <w:rPr>
          <w:lang w:val="en-US"/>
        </w:rPr>
        <w:t xml:space="preserve">” in Angela Voss and Patrick Curry (eds.), </w:t>
      </w:r>
      <w:r w:rsidRPr="001C459C">
        <w:rPr>
          <w:i/>
          <w:iCs/>
          <w:lang w:val="en-US"/>
        </w:rPr>
        <w:t>Seeing with Different Eyes: Essays on Astrology and Divination</w:t>
      </w:r>
      <w:r>
        <w:rPr>
          <w:lang w:val="en-US"/>
        </w:rPr>
        <w:t xml:space="preserve">, (Cambridge: Cambridge University Press, 2008) pp. 35-57). </w:t>
      </w:r>
      <w:r>
        <w:rPr>
          <w:lang w:val="en-US"/>
        </w:rPr>
        <w:t>p. 1</w:t>
      </w:r>
    </w:p>
  </w:footnote>
  <w:footnote w:id="63">
    <w:p w14:paraId="11F25839" w14:textId="77F123CE" w:rsidR="00A47C81" w:rsidRPr="003B14BE" w:rsidRDefault="00A47C81">
      <w:pPr>
        <w:pStyle w:val="FootnoteText"/>
        <w:rPr>
          <w:lang w:val="en-US"/>
        </w:rPr>
      </w:pPr>
      <w:r>
        <w:rPr>
          <w:rStyle w:val="FootnoteReference"/>
        </w:rPr>
        <w:footnoteRef/>
      </w:r>
      <w:r>
        <w:t xml:space="preserve"> </w:t>
      </w:r>
      <w:r w:rsidRPr="003B14BE">
        <w:rPr>
          <w:lang w:val="en-US"/>
        </w:rPr>
        <w:t xml:space="preserve">Addey, </w:t>
      </w:r>
      <w:r w:rsidRPr="003B14BE">
        <w:rPr>
          <w:i/>
          <w:iCs/>
          <w:lang w:val="en-US"/>
        </w:rPr>
        <w:t>Divination and Theurgy in Neoplatonism</w:t>
      </w:r>
      <w:r>
        <w:rPr>
          <w:lang w:val="en-US"/>
        </w:rPr>
        <w:t>, p. 269.</w:t>
      </w:r>
    </w:p>
  </w:footnote>
  <w:footnote w:id="64">
    <w:p w14:paraId="089EABB6" w14:textId="3CCECAFD" w:rsidR="00A47C81" w:rsidRPr="00044AFA" w:rsidRDefault="00A47C81">
      <w:pPr>
        <w:pStyle w:val="FootnoteText"/>
        <w:rPr>
          <w:lang w:val="en-US"/>
        </w:rPr>
      </w:pPr>
      <w:r>
        <w:rPr>
          <w:rStyle w:val="FootnoteReference"/>
        </w:rPr>
        <w:footnoteRef/>
      </w:r>
      <w:r>
        <w:t xml:space="preserve"> </w:t>
      </w:r>
      <w:r w:rsidRPr="00044AFA">
        <w:rPr>
          <w:lang w:val="en-US"/>
        </w:rPr>
        <w:t xml:space="preserve">Addey, </w:t>
      </w:r>
      <w:r w:rsidRPr="00044AFA">
        <w:rPr>
          <w:i/>
          <w:iCs/>
          <w:lang w:val="en-US"/>
        </w:rPr>
        <w:t>Divination and Theurgy in Neoplatonism</w:t>
      </w:r>
      <w:r>
        <w:rPr>
          <w:lang w:val="en-US"/>
        </w:rPr>
        <w:t>, p. 274.</w:t>
      </w:r>
    </w:p>
  </w:footnote>
  <w:footnote w:id="65">
    <w:p w14:paraId="0DC74E42" w14:textId="6809826A" w:rsidR="00A47C81" w:rsidRPr="00044AFA" w:rsidRDefault="00A47C81">
      <w:pPr>
        <w:pStyle w:val="FootnoteText"/>
        <w:rPr>
          <w:lang w:val="en-US"/>
        </w:rPr>
      </w:pPr>
      <w:r>
        <w:rPr>
          <w:rStyle w:val="FootnoteReference"/>
        </w:rPr>
        <w:footnoteRef/>
      </w:r>
      <w:r>
        <w:t xml:space="preserve"> </w:t>
      </w:r>
      <w:r w:rsidRPr="00044AFA">
        <w:rPr>
          <w:lang w:val="en-US"/>
        </w:rPr>
        <w:t xml:space="preserve">Addey, </w:t>
      </w:r>
      <w:r w:rsidRPr="00044AFA">
        <w:rPr>
          <w:i/>
          <w:iCs/>
          <w:lang w:val="en-US"/>
        </w:rPr>
        <w:t>Divination and Theurgy in Neoplatonism</w:t>
      </w:r>
      <w:r>
        <w:rPr>
          <w:lang w:val="en-US"/>
        </w:rPr>
        <w:t>, p. 281.</w:t>
      </w:r>
    </w:p>
  </w:footnote>
  <w:footnote w:id="66">
    <w:p w14:paraId="1DDDA7B6" w14:textId="6E10742E" w:rsidR="00A47C81" w:rsidRPr="00044AFA" w:rsidRDefault="00A47C81">
      <w:pPr>
        <w:pStyle w:val="FootnoteText"/>
        <w:rPr>
          <w:lang w:val="en-US"/>
        </w:rPr>
      </w:pPr>
      <w:r>
        <w:rPr>
          <w:rStyle w:val="FootnoteReference"/>
        </w:rPr>
        <w:footnoteRef/>
      </w:r>
      <w:r>
        <w:t xml:space="preserve"> </w:t>
      </w:r>
      <w:r w:rsidRPr="00044AFA">
        <w:rPr>
          <w:lang w:val="en-US"/>
        </w:rPr>
        <w:t xml:space="preserve">Addey, </w:t>
      </w:r>
      <w:r w:rsidRPr="00044AFA">
        <w:rPr>
          <w:i/>
          <w:iCs/>
          <w:lang w:val="en-US"/>
        </w:rPr>
        <w:t>Divination and Theurgy in Neoplatonism</w:t>
      </w:r>
      <w:r>
        <w:rPr>
          <w:lang w:val="en-US"/>
        </w:rPr>
        <w:t>, p. 275.</w:t>
      </w:r>
    </w:p>
  </w:footnote>
  <w:footnote w:id="67">
    <w:p w14:paraId="39C38EF5" w14:textId="199409B5" w:rsidR="00665211" w:rsidRPr="00665211" w:rsidRDefault="00665211">
      <w:pPr>
        <w:pStyle w:val="FootnoteText"/>
        <w:rPr>
          <w:lang w:val="en-US"/>
        </w:rPr>
      </w:pPr>
      <w:r>
        <w:rPr>
          <w:rStyle w:val="FootnoteReference"/>
        </w:rPr>
        <w:footnoteRef/>
      </w:r>
      <w:r>
        <w:t xml:space="preserve"> </w:t>
      </w:r>
      <w:r w:rsidRPr="00665211">
        <w:rPr>
          <w:lang w:val="en-US"/>
        </w:rPr>
        <w:t xml:space="preserve">A similar line of thinking </w:t>
      </w:r>
      <w:r>
        <w:rPr>
          <w:lang w:val="en-US"/>
        </w:rPr>
        <w:t xml:space="preserve">is found in </w:t>
      </w:r>
      <w:r w:rsidRPr="00665211">
        <w:rPr>
          <w:lang w:val="en-US"/>
        </w:rPr>
        <w:t xml:space="preserve">Shaw, </w:t>
      </w:r>
      <w:r>
        <w:rPr>
          <w:lang w:val="en-US"/>
        </w:rPr>
        <w:t xml:space="preserve">Gregory, </w:t>
      </w:r>
      <w:r w:rsidRPr="00665211">
        <w:rPr>
          <w:lang w:val="en-US"/>
        </w:rPr>
        <w:t>“Theurgy: ri</w:t>
      </w:r>
      <w:r>
        <w:rPr>
          <w:lang w:val="en-US"/>
        </w:rPr>
        <w:t xml:space="preserve">tuals of unification in the Neoplatonism of Iamblichus”, </w:t>
      </w:r>
      <w:r w:rsidRPr="00665211">
        <w:rPr>
          <w:lang w:val="en-US"/>
        </w:rPr>
        <w:t>Traditio</w:t>
      </w:r>
      <w:r>
        <w:rPr>
          <w:lang w:val="en-US"/>
        </w:rPr>
        <w:t>, Vol. 41 (1985), pp. 1-28.</w:t>
      </w:r>
    </w:p>
  </w:footnote>
  <w:footnote w:id="68">
    <w:p w14:paraId="265E3420" w14:textId="68F83FC1" w:rsidR="00A47C81" w:rsidRPr="00044AFA" w:rsidRDefault="00A47C81">
      <w:pPr>
        <w:pStyle w:val="FootnoteText"/>
        <w:rPr>
          <w:lang w:val="en-US"/>
        </w:rPr>
      </w:pPr>
      <w:r>
        <w:rPr>
          <w:rStyle w:val="FootnoteReference"/>
        </w:rPr>
        <w:footnoteRef/>
      </w:r>
      <w:r>
        <w:t xml:space="preserve"> </w:t>
      </w:r>
      <w:r w:rsidRPr="00044AFA">
        <w:rPr>
          <w:lang w:val="en-US"/>
        </w:rPr>
        <w:t xml:space="preserve">Addey, </w:t>
      </w:r>
      <w:r w:rsidRPr="00044AFA">
        <w:rPr>
          <w:i/>
          <w:iCs/>
          <w:lang w:val="en-US"/>
        </w:rPr>
        <w:t>Divination and Theurgy in Neoplatonism</w:t>
      </w:r>
      <w:r>
        <w:rPr>
          <w:lang w:val="en-US"/>
        </w:rPr>
        <w:t>, p. 266 – p. 281.</w:t>
      </w:r>
    </w:p>
  </w:footnote>
  <w:footnote w:id="69">
    <w:p w14:paraId="2D13BFA6" w14:textId="16B2BFF5" w:rsidR="00A47C81" w:rsidRPr="00044AFA" w:rsidRDefault="00A47C81">
      <w:pPr>
        <w:pStyle w:val="FootnoteText"/>
        <w:rPr>
          <w:lang w:val="en-US"/>
        </w:rPr>
      </w:pPr>
      <w:r>
        <w:rPr>
          <w:rStyle w:val="FootnoteReference"/>
        </w:rPr>
        <w:footnoteRef/>
      </w:r>
      <w:r>
        <w:t xml:space="preserve"> </w:t>
      </w:r>
      <w:r w:rsidRPr="00044AFA">
        <w:rPr>
          <w:lang w:val="en-US"/>
        </w:rPr>
        <w:t xml:space="preserve">Addey, </w:t>
      </w:r>
      <w:r w:rsidRPr="00044AFA">
        <w:rPr>
          <w:i/>
          <w:iCs/>
          <w:lang w:val="en-US"/>
        </w:rPr>
        <w:t>Divination and Theurgy in Neoplatonism</w:t>
      </w:r>
      <w:r>
        <w:rPr>
          <w:lang w:val="en-US"/>
        </w:rPr>
        <w:t>, p. 266 – p. 281.</w:t>
      </w:r>
    </w:p>
  </w:footnote>
  <w:footnote w:id="70">
    <w:p w14:paraId="34DA1CE1" w14:textId="121781B1" w:rsidR="00A47C81" w:rsidRPr="00044AFA" w:rsidRDefault="00A47C81">
      <w:pPr>
        <w:pStyle w:val="FootnoteText"/>
        <w:rPr>
          <w:lang w:val="en-US"/>
        </w:rPr>
      </w:pPr>
      <w:r>
        <w:rPr>
          <w:rStyle w:val="FootnoteReference"/>
        </w:rPr>
        <w:footnoteRef/>
      </w:r>
      <w:r>
        <w:t xml:space="preserve"> </w:t>
      </w:r>
      <w:r w:rsidRPr="00044AFA">
        <w:rPr>
          <w:lang w:val="en-US"/>
        </w:rPr>
        <w:t xml:space="preserve">Addey, </w:t>
      </w:r>
      <w:r w:rsidRPr="00044AFA">
        <w:rPr>
          <w:i/>
          <w:iCs/>
          <w:lang w:val="en-US"/>
        </w:rPr>
        <w:t>Divination and Theurgy in Neoplatonism</w:t>
      </w:r>
      <w:r>
        <w:rPr>
          <w:lang w:val="en-US"/>
        </w:rPr>
        <w:t>, p. 277.</w:t>
      </w:r>
    </w:p>
  </w:footnote>
  <w:footnote w:id="71">
    <w:p w14:paraId="006968B7" w14:textId="4FCCB5C3" w:rsidR="00A47C81" w:rsidRPr="00044AFA" w:rsidRDefault="00A47C81">
      <w:pPr>
        <w:pStyle w:val="FootnoteText"/>
        <w:rPr>
          <w:lang w:val="en-US"/>
        </w:rPr>
      </w:pPr>
      <w:r>
        <w:rPr>
          <w:rStyle w:val="FootnoteReference"/>
        </w:rPr>
        <w:footnoteRef/>
      </w:r>
      <w:r>
        <w:t xml:space="preserve"> </w:t>
      </w:r>
      <w:r w:rsidRPr="00044AFA">
        <w:rPr>
          <w:lang w:val="en-US"/>
        </w:rPr>
        <w:t>Addey, Divination and Theurgy in Neoplatonism</w:t>
      </w:r>
      <w:r>
        <w:rPr>
          <w:lang w:val="en-US"/>
        </w:rPr>
        <w:t>, p. 266.</w:t>
      </w:r>
    </w:p>
  </w:footnote>
  <w:footnote w:id="72">
    <w:p w14:paraId="4DF7660B" w14:textId="15D1F720" w:rsidR="00A47C81" w:rsidRPr="00EA08D6"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167.</w:t>
      </w:r>
    </w:p>
  </w:footnote>
  <w:footnote w:id="73">
    <w:p w14:paraId="1F9A775B" w14:textId="3CA6F680" w:rsidR="00A47C81" w:rsidRPr="00EA08D6"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p. </w:t>
      </w:r>
      <w:r>
        <w:rPr>
          <w:lang w:val="en-GB"/>
        </w:rPr>
        <w:t>169.</w:t>
      </w:r>
    </w:p>
  </w:footnote>
  <w:footnote w:id="74">
    <w:p w14:paraId="45D2A747" w14:textId="12778F6F" w:rsidR="00A47C81" w:rsidRPr="00FB642C" w:rsidRDefault="00A47C81">
      <w:pPr>
        <w:pStyle w:val="FootnoteText"/>
        <w:rPr>
          <w:lang w:val="en-US"/>
        </w:rPr>
      </w:pPr>
      <w:r>
        <w:rPr>
          <w:rStyle w:val="FootnoteReference"/>
        </w:rPr>
        <w:footnoteRef/>
      </w:r>
      <w:r>
        <w:t xml:space="preserve"> </w:t>
      </w:r>
      <w:r w:rsidRPr="00513EA4">
        <w:rPr>
          <w:lang w:val="en-US"/>
        </w:rPr>
        <w:t>Clar</w:t>
      </w:r>
      <w:r>
        <w:rPr>
          <w:lang w:val="en-US"/>
        </w:rPr>
        <w:t xml:space="preserve">ke, Dillon and Hershbell, </w:t>
      </w:r>
      <w:r w:rsidRPr="00513EA4">
        <w:rPr>
          <w:i/>
          <w:iCs/>
          <w:lang w:val="en-US"/>
        </w:rPr>
        <w:t>Iamblichus: De Mysteriis</w:t>
      </w:r>
      <w:r>
        <w:rPr>
          <w:lang w:val="en-US"/>
        </w:rPr>
        <w:t xml:space="preserve">, Introduction, p. </w:t>
      </w:r>
      <w:r>
        <w:rPr>
          <w:lang w:val="en-GB"/>
        </w:rPr>
        <w:t>XX.</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86689"/>
    <w:multiLevelType w:val="hybridMultilevel"/>
    <w:tmpl w:val="4C76C2F0"/>
    <w:lvl w:ilvl="0" w:tplc="755A5D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B67"/>
    <w:rsid w:val="000306AC"/>
    <w:rsid w:val="0003390E"/>
    <w:rsid w:val="00044AFA"/>
    <w:rsid w:val="00080E4A"/>
    <w:rsid w:val="00090716"/>
    <w:rsid w:val="000A5260"/>
    <w:rsid w:val="000B184E"/>
    <w:rsid w:val="000C346B"/>
    <w:rsid w:val="000D1094"/>
    <w:rsid w:val="000D5B52"/>
    <w:rsid w:val="000E218E"/>
    <w:rsid w:val="000E4BE3"/>
    <w:rsid w:val="000E73AA"/>
    <w:rsid w:val="000F180B"/>
    <w:rsid w:val="00104AAE"/>
    <w:rsid w:val="00156557"/>
    <w:rsid w:val="001661BA"/>
    <w:rsid w:val="00167B96"/>
    <w:rsid w:val="00190B0C"/>
    <w:rsid w:val="001C459C"/>
    <w:rsid w:val="001C49F7"/>
    <w:rsid w:val="001E4FBF"/>
    <w:rsid w:val="00282503"/>
    <w:rsid w:val="002862A4"/>
    <w:rsid w:val="002A41B4"/>
    <w:rsid w:val="002B5E38"/>
    <w:rsid w:val="002D2DA1"/>
    <w:rsid w:val="00371185"/>
    <w:rsid w:val="003776C6"/>
    <w:rsid w:val="003A3731"/>
    <w:rsid w:val="003B14BE"/>
    <w:rsid w:val="003D01E6"/>
    <w:rsid w:val="0048398F"/>
    <w:rsid w:val="004A1DE0"/>
    <w:rsid w:val="004A6656"/>
    <w:rsid w:val="004A7098"/>
    <w:rsid w:val="004C1DC3"/>
    <w:rsid w:val="00513EA4"/>
    <w:rsid w:val="0052167B"/>
    <w:rsid w:val="00525AA3"/>
    <w:rsid w:val="00545C53"/>
    <w:rsid w:val="00554B67"/>
    <w:rsid w:val="00556BDA"/>
    <w:rsid w:val="005A1AB9"/>
    <w:rsid w:val="005B07EB"/>
    <w:rsid w:val="005C37F1"/>
    <w:rsid w:val="005F73D5"/>
    <w:rsid w:val="00603266"/>
    <w:rsid w:val="0060782A"/>
    <w:rsid w:val="00613D45"/>
    <w:rsid w:val="006323CA"/>
    <w:rsid w:val="00643B0C"/>
    <w:rsid w:val="00643FD1"/>
    <w:rsid w:val="00653573"/>
    <w:rsid w:val="00665211"/>
    <w:rsid w:val="00670554"/>
    <w:rsid w:val="00685494"/>
    <w:rsid w:val="006B7EFC"/>
    <w:rsid w:val="006C0EE5"/>
    <w:rsid w:val="006D1653"/>
    <w:rsid w:val="006D2DDE"/>
    <w:rsid w:val="0075442D"/>
    <w:rsid w:val="00777318"/>
    <w:rsid w:val="00784DF4"/>
    <w:rsid w:val="007954D0"/>
    <w:rsid w:val="007C1502"/>
    <w:rsid w:val="007C6660"/>
    <w:rsid w:val="007D2417"/>
    <w:rsid w:val="008521E0"/>
    <w:rsid w:val="00857D36"/>
    <w:rsid w:val="008677B2"/>
    <w:rsid w:val="008A2F67"/>
    <w:rsid w:val="008F75EF"/>
    <w:rsid w:val="0093334A"/>
    <w:rsid w:val="00943734"/>
    <w:rsid w:val="00965787"/>
    <w:rsid w:val="00975B67"/>
    <w:rsid w:val="0098375B"/>
    <w:rsid w:val="009B2B76"/>
    <w:rsid w:val="009B539C"/>
    <w:rsid w:val="009C38A0"/>
    <w:rsid w:val="009D7429"/>
    <w:rsid w:val="009E4B9F"/>
    <w:rsid w:val="009F4B19"/>
    <w:rsid w:val="00A00E8D"/>
    <w:rsid w:val="00A4551A"/>
    <w:rsid w:val="00A47C81"/>
    <w:rsid w:val="00A47C9D"/>
    <w:rsid w:val="00A50186"/>
    <w:rsid w:val="00A54A24"/>
    <w:rsid w:val="00A570B3"/>
    <w:rsid w:val="00A74219"/>
    <w:rsid w:val="00A75AE9"/>
    <w:rsid w:val="00AB5547"/>
    <w:rsid w:val="00AB7EA7"/>
    <w:rsid w:val="00AD4615"/>
    <w:rsid w:val="00AE741E"/>
    <w:rsid w:val="00B217F8"/>
    <w:rsid w:val="00B30418"/>
    <w:rsid w:val="00B759C9"/>
    <w:rsid w:val="00B82CD5"/>
    <w:rsid w:val="00B84373"/>
    <w:rsid w:val="00BD7D22"/>
    <w:rsid w:val="00BF6EEF"/>
    <w:rsid w:val="00C20C7B"/>
    <w:rsid w:val="00C56AC1"/>
    <w:rsid w:val="00C71A90"/>
    <w:rsid w:val="00CF79C7"/>
    <w:rsid w:val="00D13C25"/>
    <w:rsid w:val="00D17C73"/>
    <w:rsid w:val="00D45390"/>
    <w:rsid w:val="00D77B31"/>
    <w:rsid w:val="00DB53FE"/>
    <w:rsid w:val="00DF55DB"/>
    <w:rsid w:val="00E024EA"/>
    <w:rsid w:val="00E64D83"/>
    <w:rsid w:val="00E74DB5"/>
    <w:rsid w:val="00EA08D6"/>
    <w:rsid w:val="00ED0E8B"/>
    <w:rsid w:val="00F16699"/>
    <w:rsid w:val="00F20C4D"/>
    <w:rsid w:val="00F76955"/>
    <w:rsid w:val="00F77BE5"/>
    <w:rsid w:val="00F85EB5"/>
    <w:rsid w:val="00F97FCD"/>
    <w:rsid w:val="00FB642C"/>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6AEF73B"/>
  <w15:chartTrackingRefBased/>
  <w15:docId w15:val="{1B2F1A08-20F8-8B4A-8DE5-FD9F303C3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D7429"/>
    <w:rPr>
      <w:sz w:val="20"/>
      <w:szCs w:val="20"/>
    </w:rPr>
  </w:style>
  <w:style w:type="character" w:customStyle="1" w:styleId="FootnoteTextChar">
    <w:name w:val="Footnote Text Char"/>
    <w:basedOn w:val="DefaultParagraphFont"/>
    <w:link w:val="FootnoteText"/>
    <w:uiPriority w:val="99"/>
    <w:semiHidden/>
    <w:rsid w:val="009D7429"/>
    <w:rPr>
      <w:sz w:val="20"/>
      <w:szCs w:val="20"/>
    </w:rPr>
  </w:style>
  <w:style w:type="character" w:styleId="FootnoteReference">
    <w:name w:val="footnote reference"/>
    <w:basedOn w:val="DefaultParagraphFont"/>
    <w:uiPriority w:val="99"/>
    <w:semiHidden/>
    <w:unhideWhenUsed/>
    <w:rsid w:val="009D7429"/>
    <w:rPr>
      <w:vertAlign w:val="superscript"/>
    </w:rPr>
  </w:style>
  <w:style w:type="paragraph" w:styleId="ListParagraph">
    <w:name w:val="List Paragraph"/>
    <w:basedOn w:val="Normal"/>
    <w:uiPriority w:val="34"/>
    <w:qFormat/>
    <w:rsid w:val="00943734"/>
    <w:pPr>
      <w:ind w:left="720"/>
      <w:contextualSpacing/>
    </w:pPr>
  </w:style>
  <w:style w:type="paragraph" w:styleId="Footer">
    <w:name w:val="footer"/>
    <w:basedOn w:val="Normal"/>
    <w:link w:val="FooterChar"/>
    <w:uiPriority w:val="99"/>
    <w:unhideWhenUsed/>
    <w:rsid w:val="009B539C"/>
    <w:pPr>
      <w:tabs>
        <w:tab w:val="center" w:pos="4513"/>
        <w:tab w:val="right" w:pos="9026"/>
      </w:tabs>
    </w:pPr>
  </w:style>
  <w:style w:type="character" w:customStyle="1" w:styleId="FooterChar">
    <w:name w:val="Footer Char"/>
    <w:basedOn w:val="DefaultParagraphFont"/>
    <w:link w:val="Footer"/>
    <w:uiPriority w:val="99"/>
    <w:rsid w:val="009B539C"/>
  </w:style>
  <w:style w:type="character" w:styleId="PageNumber">
    <w:name w:val="page number"/>
    <w:basedOn w:val="DefaultParagraphFont"/>
    <w:uiPriority w:val="99"/>
    <w:semiHidden/>
    <w:unhideWhenUsed/>
    <w:rsid w:val="009B53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1331</TotalTime>
  <Pages>7</Pages>
  <Words>2461</Words>
  <Characters>12898</Characters>
  <Application>Microsoft Office Word</Application>
  <DocSecurity>0</DocSecurity>
  <Lines>204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Boglioli</dc:creator>
  <cp:keywords/>
  <dc:description/>
  <cp:lastModifiedBy>Stefania Boglioli</cp:lastModifiedBy>
  <cp:revision>32</cp:revision>
  <cp:lastPrinted>2021-03-20T07:53:00Z</cp:lastPrinted>
  <dcterms:created xsi:type="dcterms:W3CDTF">2021-03-16T15:10:00Z</dcterms:created>
  <dcterms:modified xsi:type="dcterms:W3CDTF">2021-03-20T10:23:00Z</dcterms:modified>
</cp:coreProperties>
</file>