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85C9B"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Gobbet 2</w:t>
      </w:r>
      <w:r>
        <w:rPr>
          <w:rStyle w:val="eop"/>
          <w:rFonts w:ascii="Calibri" w:hAnsi="Calibri" w:cs="Calibri"/>
          <w:sz w:val="22"/>
          <w:szCs w:val="22"/>
        </w:rPr>
        <w:t> </w:t>
      </w:r>
    </w:p>
    <w:p w14:paraId="0155803A"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Scene From Bayeux Tapestry; Harold swears an oath to </w:t>
      </w:r>
      <w:proofErr w:type="gramStart"/>
      <w:r>
        <w:rPr>
          <w:rStyle w:val="normaltextrun"/>
          <w:rFonts w:ascii="Calibri" w:hAnsi="Calibri" w:cs="Calibri"/>
          <w:sz w:val="22"/>
          <w:szCs w:val="22"/>
        </w:rPr>
        <w:t>William</w:t>
      </w:r>
      <w:proofErr w:type="gramEnd"/>
      <w:r>
        <w:rPr>
          <w:rStyle w:val="eop"/>
          <w:rFonts w:ascii="Calibri" w:hAnsi="Calibri" w:cs="Calibri"/>
          <w:sz w:val="22"/>
          <w:szCs w:val="22"/>
        </w:rPr>
        <w:t> </w:t>
      </w:r>
    </w:p>
    <w:p w14:paraId="4824E359"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A32A29A"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Bayeux Tapestry is an embroidered cloth depiction of the Normans conquest of England from the point of view of the Normans themself. It measures at close to 70 meters in length and a height of 50 centimetres with its creation being in the 11</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century. (Material description) There are several thoughts to who had commissioned a piece and its origin, it was found in Bayeux Cathedral, which was built by </w:t>
      </w:r>
      <w:proofErr w:type="spellStart"/>
      <w:r>
        <w:rPr>
          <w:rStyle w:val="normaltextrun"/>
          <w:rFonts w:ascii="Calibri" w:hAnsi="Calibri" w:cs="Calibri"/>
          <w:sz w:val="22"/>
          <w:szCs w:val="22"/>
        </w:rPr>
        <w:t>Odo</w:t>
      </w:r>
      <w:proofErr w:type="spellEnd"/>
      <w:r>
        <w:rPr>
          <w:rStyle w:val="normaltextrun"/>
          <w:rFonts w:ascii="Calibri" w:hAnsi="Calibri" w:cs="Calibri"/>
          <w:sz w:val="22"/>
          <w:szCs w:val="22"/>
        </w:rPr>
        <w:t xml:space="preserve">, William the Conqueror's half-brother who, following the Conquest, was named Earl of Kent and would be England's Regent for a time while his brother returned to Normandy. With several of his followers appearing on the tapestry and the Cathedral's construction starting in the 1070s it is thought that </w:t>
      </w:r>
      <w:proofErr w:type="spellStart"/>
      <w:r>
        <w:rPr>
          <w:rStyle w:val="normaltextrun"/>
          <w:rFonts w:ascii="Calibri" w:hAnsi="Calibri" w:cs="Calibri"/>
          <w:sz w:val="22"/>
          <w:szCs w:val="22"/>
        </w:rPr>
        <w:t>Odo</w:t>
      </w:r>
      <w:proofErr w:type="spellEnd"/>
      <w:r>
        <w:rPr>
          <w:rStyle w:val="normaltextrun"/>
          <w:rFonts w:ascii="Calibri" w:hAnsi="Calibri" w:cs="Calibri"/>
          <w:sz w:val="22"/>
          <w:szCs w:val="22"/>
        </w:rPr>
        <w:t xml:space="preserve"> commissioned this for the Cathedrals completion. </w:t>
      </w:r>
      <w:r>
        <w:rPr>
          <w:rStyle w:val="eop"/>
          <w:rFonts w:ascii="Calibri" w:hAnsi="Calibri" w:cs="Calibri"/>
          <w:sz w:val="22"/>
          <w:szCs w:val="22"/>
        </w:rPr>
        <w:t> </w:t>
      </w:r>
    </w:p>
    <w:p w14:paraId="1394C803"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DC9DB4E" w14:textId="13C8752D" w:rsidR="005F3ABE" w:rsidRDefault="005F3ABE" w:rsidP="005F3AB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The Bayeux Tapestry is one of several artifacts, that give an insight into the way the Normans viewed themselves. As such it is steeped in Norman Iconography, while following Harold Godwinson and William, Duke of Normandy as the protagonists. Showing the events that lead into the conquest of England and the death of Harold. The scene of focus is of Harold Swearing an Oath to William. Before this Harold spent time as the prisoner of Guy, Count of Ponthieu and was “freed” into William’s care. Then is taken along on campaign against Conan II the Duke of Brittany. After Harold is possibly knighted by William and gifted arms and armour and swearing an oath upon saintly relics. Though the Tapestry says, and Oath is sworn it is of an unknown nature. Though some discuss it was Harold renouncing his claim to the English throne to William. One could easily surmise this to be a way for the Normans to retell events to make them seem noble and Harold being an </w:t>
      </w:r>
      <w:proofErr w:type="spellStart"/>
      <w:r>
        <w:rPr>
          <w:rStyle w:val="normaltextrun"/>
          <w:rFonts w:ascii="Calibri" w:hAnsi="Calibri" w:cs="Calibri"/>
          <w:sz w:val="22"/>
          <w:szCs w:val="22"/>
        </w:rPr>
        <w:t>oathbreaker</w:t>
      </w:r>
      <w:proofErr w:type="spellEnd"/>
      <w:r>
        <w:rPr>
          <w:rStyle w:val="normaltextrun"/>
          <w:rFonts w:ascii="Calibri" w:hAnsi="Calibri" w:cs="Calibri"/>
          <w:sz w:val="22"/>
          <w:szCs w:val="22"/>
        </w:rPr>
        <w:t xml:space="preserve"> of saint's relics which would be a heinous thing, and a way to make the claim and conquest seem more legitimate to the nobility and the make the records see their view. As such it is quite easy to see this piece as a propaganda piece one of several ways, they tried to make the Conquest legitimate. Especially as the tapestry depicts in a later scene Harold being crowned by an excommunicated priest further delegitimising Harold. One cannot claim divine right to rule when you brake oath is sworn on saint’s relics and a denounced priest is one to lay the crown on you. As such this is would be an odd piece to take at face value. Though it is fantastic as a view into the Norman state of mind on politics and culture. After all, how one tells you the story is just as important as its content. </w:t>
      </w:r>
      <w:r>
        <w:rPr>
          <w:rStyle w:val="eop"/>
          <w:rFonts w:ascii="Calibri" w:hAnsi="Calibri" w:cs="Calibri"/>
          <w:sz w:val="22"/>
          <w:szCs w:val="22"/>
        </w:rPr>
        <w:t> </w:t>
      </w:r>
    </w:p>
    <w:p w14:paraId="0C43FAC5" w14:textId="26F80C9E" w:rsidR="005F3ABE" w:rsidRDefault="005F3ABE" w:rsidP="005F3ABE">
      <w:pPr>
        <w:pStyle w:val="paragraph"/>
        <w:spacing w:before="0" w:beforeAutospacing="0" w:after="0" w:afterAutospacing="0"/>
        <w:textAlignment w:val="baseline"/>
        <w:rPr>
          <w:rStyle w:val="eop"/>
          <w:rFonts w:ascii="Calibri" w:hAnsi="Calibri" w:cs="Calibri"/>
          <w:sz w:val="22"/>
          <w:szCs w:val="22"/>
        </w:rPr>
      </w:pPr>
    </w:p>
    <w:p w14:paraId="1508D3F4"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p>
    <w:p w14:paraId="53EF0C5D"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rPr>
        <w:t>Biblography</w:t>
      </w:r>
      <w:proofErr w:type="spellEnd"/>
      <w:r>
        <w:rPr>
          <w:rStyle w:val="eop"/>
          <w:rFonts w:ascii="Calibri" w:hAnsi="Calibri" w:cs="Calibri"/>
          <w:sz w:val="22"/>
          <w:szCs w:val="22"/>
        </w:rPr>
        <w:t> </w:t>
      </w:r>
    </w:p>
    <w:p w14:paraId="14BA1B23"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Hicks, C. (2011) </w:t>
      </w:r>
      <w:r>
        <w:rPr>
          <w:rStyle w:val="normaltextrun"/>
          <w:rFonts w:ascii="Calibri" w:hAnsi="Calibri" w:cs="Calibri"/>
          <w:i/>
          <w:iCs/>
          <w:sz w:val="22"/>
          <w:szCs w:val="22"/>
        </w:rPr>
        <w:t>The Bayeux Tapestry: The Life Story of a Masterpiece</w:t>
      </w:r>
      <w:r>
        <w:rPr>
          <w:rStyle w:val="normaltextrun"/>
          <w:rFonts w:ascii="Calibri" w:hAnsi="Calibri" w:cs="Calibri"/>
          <w:sz w:val="22"/>
          <w:szCs w:val="22"/>
        </w:rPr>
        <w:t>. Random House.</w:t>
      </w:r>
      <w:r>
        <w:rPr>
          <w:rStyle w:val="eop"/>
          <w:rFonts w:ascii="Calibri" w:hAnsi="Calibri" w:cs="Calibri"/>
          <w:sz w:val="22"/>
          <w:szCs w:val="22"/>
        </w:rPr>
        <w:t> </w:t>
      </w:r>
    </w:p>
    <w:p w14:paraId="42AFCEE7"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Jackson, S.E. (no date) ‘“Gens </w:t>
      </w:r>
      <w:proofErr w:type="spellStart"/>
      <w:r>
        <w:rPr>
          <w:rStyle w:val="normaltextrun"/>
          <w:rFonts w:ascii="Calibri" w:hAnsi="Calibri" w:cs="Calibri"/>
          <w:sz w:val="22"/>
          <w:szCs w:val="22"/>
        </w:rPr>
        <w:t>Anglorum</w:t>
      </w:r>
      <w:proofErr w:type="spellEnd"/>
      <w:r>
        <w:rPr>
          <w:rStyle w:val="normaltextrun"/>
          <w:rFonts w:ascii="Calibri" w:hAnsi="Calibri" w:cs="Calibri"/>
          <w:sz w:val="22"/>
          <w:szCs w:val="22"/>
        </w:rPr>
        <w:t>” &amp; “</w:t>
      </w:r>
      <w:proofErr w:type="spellStart"/>
      <w:r>
        <w:rPr>
          <w:rStyle w:val="normaltextrun"/>
          <w:rFonts w:ascii="Calibri" w:hAnsi="Calibri" w:cs="Calibri"/>
          <w:sz w:val="22"/>
          <w:szCs w:val="22"/>
        </w:rPr>
        <w:t>Normanitas</w:t>
      </w:r>
      <w:proofErr w:type="spellEnd"/>
      <w:r>
        <w:rPr>
          <w:rStyle w:val="normaltextrun"/>
          <w:rFonts w:ascii="Calibri" w:hAnsi="Calibri" w:cs="Calibri"/>
          <w:sz w:val="22"/>
          <w:szCs w:val="22"/>
        </w:rPr>
        <w:t>”: The Bayeux Tapestry and the Effects of the Norman Conquest on Language and the Arts’.</w:t>
      </w:r>
      <w:r>
        <w:rPr>
          <w:rStyle w:val="eop"/>
          <w:rFonts w:ascii="Calibri" w:hAnsi="Calibri" w:cs="Calibri"/>
          <w:sz w:val="22"/>
          <w:szCs w:val="22"/>
        </w:rPr>
        <w:t> </w:t>
      </w:r>
    </w:p>
    <w:p w14:paraId="6DA14ECE"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Lewis Michael J, Owen-Crocker Gale R, and </w:t>
      </w:r>
      <w:proofErr w:type="spellStart"/>
      <w:r>
        <w:rPr>
          <w:rStyle w:val="normaltextrun"/>
          <w:rFonts w:ascii="Calibri" w:hAnsi="Calibri" w:cs="Calibri"/>
          <w:sz w:val="22"/>
          <w:szCs w:val="22"/>
        </w:rPr>
        <w:t>Terkla</w:t>
      </w:r>
      <w:proofErr w:type="spellEnd"/>
      <w:r>
        <w:rPr>
          <w:rStyle w:val="normaltextrun"/>
          <w:rFonts w:ascii="Calibri" w:hAnsi="Calibri" w:cs="Calibri"/>
          <w:sz w:val="22"/>
          <w:szCs w:val="22"/>
        </w:rPr>
        <w:t xml:space="preserve"> Dan (eds) (2011) ‘The Bayeux tapestry new approaches: proceedings of a conference at the British Museum’, in. Oxford: Oxbow Books.</w:t>
      </w:r>
      <w:r>
        <w:rPr>
          <w:rStyle w:val="eop"/>
          <w:rFonts w:ascii="Calibri" w:hAnsi="Calibri" w:cs="Calibri"/>
          <w:sz w:val="22"/>
          <w:szCs w:val="22"/>
        </w:rPr>
        <w:t> </w:t>
      </w:r>
    </w:p>
    <w:p w14:paraId="60591B56"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Lewis, M.J. (no date) ‘IDENTITY AND STATUS IN THE BAYEUX TAPESTRY: THE ICONOGRAPHIC AND ARTEFACTUAL EVIDENCE’.</w:t>
      </w:r>
      <w:r>
        <w:rPr>
          <w:rStyle w:val="eop"/>
          <w:rFonts w:ascii="Calibri" w:hAnsi="Calibri" w:cs="Calibri"/>
          <w:sz w:val="22"/>
          <w:szCs w:val="22"/>
        </w:rPr>
        <w:t> </w:t>
      </w:r>
    </w:p>
    <w:p w14:paraId="557A9EAA"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Musset, L. (2005) </w:t>
      </w:r>
      <w:r>
        <w:rPr>
          <w:rStyle w:val="normaltextrun"/>
          <w:rFonts w:ascii="Calibri" w:hAnsi="Calibri" w:cs="Calibri"/>
          <w:i/>
          <w:iCs/>
          <w:sz w:val="22"/>
          <w:szCs w:val="22"/>
        </w:rPr>
        <w:t>The Bayeux Tapestry</w:t>
      </w:r>
      <w:r>
        <w:rPr>
          <w:rStyle w:val="normaltextrun"/>
          <w:rFonts w:ascii="Calibri" w:hAnsi="Calibri" w:cs="Calibri"/>
          <w:sz w:val="22"/>
          <w:szCs w:val="22"/>
        </w:rPr>
        <w:t>. Boydell Press.</w:t>
      </w:r>
      <w:r>
        <w:rPr>
          <w:rStyle w:val="eop"/>
          <w:rFonts w:ascii="Calibri" w:hAnsi="Calibri" w:cs="Calibri"/>
          <w:sz w:val="22"/>
          <w:szCs w:val="22"/>
        </w:rPr>
        <w:t> </w:t>
      </w:r>
    </w:p>
    <w:p w14:paraId="5C25B33A" w14:textId="77777777" w:rsidR="005F3ABE" w:rsidRDefault="005F3ABE" w:rsidP="005F3AB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sz w:val="22"/>
          <w:szCs w:val="22"/>
        </w:rPr>
        <w:t>The Bayeux Tapestry: New Approaches</w:t>
      </w:r>
      <w:r>
        <w:rPr>
          <w:rStyle w:val="normaltextrun"/>
          <w:rFonts w:ascii="Calibri" w:hAnsi="Calibri" w:cs="Calibri"/>
          <w:sz w:val="22"/>
          <w:szCs w:val="22"/>
        </w:rPr>
        <w:t xml:space="preserve"> (2011). Oxbow Books. Available at: </w:t>
      </w:r>
      <w:hyperlink r:id="rId4" w:tgtFrame="_blank" w:history="1">
        <w:r>
          <w:rPr>
            <w:rStyle w:val="normaltextrun"/>
            <w:rFonts w:ascii="Calibri" w:hAnsi="Calibri" w:cs="Calibri"/>
            <w:color w:val="0563C1"/>
            <w:sz w:val="22"/>
            <w:szCs w:val="22"/>
            <w:u w:val="single"/>
          </w:rPr>
          <w:t>https://www.jstor.org/stable/j.ctt1cd0nmw</w:t>
        </w:r>
      </w:hyperlink>
      <w:r>
        <w:rPr>
          <w:rStyle w:val="normaltextrun"/>
          <w:rFonts w:ascii="Calibri" w:hAnsi="Calibri" w:cs="Calibri"/>
          <w:sz w:val="22"/>
          <w:szCs w:val="22"/>
        </w:rPr>
        <w:t xml:space="preserve"> (Accessed: 7 February 2023).</w:t>
      </w:r>
      <w:r>
        <w:rPr>
          <w:rStyle w:val="eop"/>
          <w:rFonts w:ascii="Calibri" w:hAnsi="Calibri" w:cs="Calibri"/>
          <w:sz w:val="22"/>
          <w:szCs w:val="22"/>
        </w:rPr>
        <w:t> </w:t>
      </w:r>
    </w:p>
    <w:p w14:paraId="24815B29" w14:textId="77777777" w:rsidR="00AF239C" w:rsidRDefault="00AF239C"/>
    <w:sectPr w:rsidR="00AF23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ABE"/>
    <w:rsid w:val="005F3ABE"/>
    <w:rsid w:val="00AF2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80AE2"/>
  <w15:chartTrackingRefBased/>
  <w15:docId w15:val="{86C8BF7D-8037-4195-BDBE-F9C411238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F3A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F3ABE"/>
  </w:style>
  <w:style w:type="character" w:customStyle="1" w:styleId="eop">
    <w:name w:val="eop"/>
    <w:basedOn w:val="DefaultParagraphFont"/>
    <w:rsid w:val="005F3A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359326">
      <w:bodyDiv w:val="1"/>
      <w:marLeft w:val="0"/>
      <w:marRight w:val="0"/>
      <w:marTop w:val="0"/>
      <w:marBottom w:val="0"/>
      <w:divBdr>
        <w:top w:val="none" w:sz="0" w:space="0" w:color="auto"/>
        <w:left w:val="none" w:sz="0" w:space="0" w:color="auto"/>
        <w:bottom w:val="none" w:sz="0" w:space="0" w:color="auto"/>
        <w:right w:val="none" w:sz="0" w:space="0" w:color="auto"/>
      </w:divBdr>
      <w:divsChild>
        <w:div w:id="1563756289">
          <w:marLeft w:val="0"/>
          <w:marRight w:val="0"/>
          <w:marTop w:val="0"/>
          <w:marBottom w:val="0"/>
          <w:divBdr>
            <w:top w:val="none" w:sz="0" w:space="0" w:color="auto"/>
            <w:left w:val="none" w:sz="0" w:space="0" w:color="auto"/>
            <w:bottom w:val="none" w:sz="0" w:space="0" w:color="auto"/>
            <w:right w:val="none" w:sz="0" w:space="0" w:color="auto"/>
          </w:divBdr>
        </w:div>
        <w:div w:id="1272786679">
          <w:marLeft w:val="0"/>
          <w:marRight w:val="0"/>
          <w:marTop w:val="0"/>
          <w:marBottom w:val="0"/>
          <w:divBdr>
            <w:top w:val="none" w:sz="0" w:space="0" w:color="auto"/>
            <w:left w:val="none" w:sz="0" w:space="0" w:color="auto"/>
            <w:bottom w:val="none" w:sz="0" w:space="0" w:color="auto"/>
            <w:right w:val="none" w:sz="0" w:space="0" w:color="auto"/>
          </w:divBdr>
        </w:div>
        <w:div w:id="1596328066">
          <w:marLeft w:val="0"/>
          <w:marRight w:val="0"/>
          <w:marTop w:val="0"/>
          <w:marBottom w:val="0"/>
          <w:divBdr>
            <w:top w:val="none" w:sz="0" w:space="0" w:color="auto"/>
            <w:left w:val="none" w:sz="0" w:space="0" w:color="auto"/>
            <w:bottom w:val="none" w:sz="0" w:space="0" w:color="auto"/>
            <w:right w:val="none" w:sz="0" w:space="0" w:color="auto"/>
          </w:divBdr>
        </w:div>
        <w:div w:id="1972125199">
          <w:marLeft w:val="0"/>
          <w:marRight w:val="0"/>
          <w:marTop w:val="0"/>
          <w:marBottom w:val="0"/>
          <w:divBdr>
            <w:top w:val="none" w:sz="0" w:space="0" w:color="auto"/>
            <w:left w:val="none" w:sz="0" w:space="0" w:color="auto"/>
            <w:bottom w:val="none" w:sz="0" w:space="0" w:color="auto"/>
            <w:right w:val="none" w:sz="0" w:space="0" w:color="auto"/>
          </w:divBdr>
        </w:div>
        <w:div w:id="1426610262">
          <w:marLeft w:val="0"/>
          <w:marRight w:val="0"/>
          <w:marTop w:val="0"/>
          <w:marBottom w:val="0"/>
          <w:divBdr>
            <w:top w:val="none" w:sz="0" w:space="0" w:color="auto"/>
            <w:left w:val="none" w:sz="0" w:space="0" w:color="auto"/>
            <w:bottom w:val="none" w:sz="0" w:space="0" w:color="auto"/>
            <w:right w:val="none" w:sz="0" w:space="0" w:color="auto"/>
          </w:divBdr>
        </w:div>
        <w:div w:id="13115168">
          <w:marLeft w:val="0"/>
          <w:marRight w:val="0"/>
          <w:marTop w:val="0"/>
          <w:marBottom w:val="0"/>
          <w:divBdr>
            <w:top w:val="none" w:sz="0" w:space="0" w:color="auto"/>
            <w:left w:val="none" w:sz="0" w:space="0" w:color="auto"/>
            <w:bottom w:val="none" w:sz="0" w:space="0" w:color="auto"/>
            <w:right w:val="none" w:sz="0" w:space="0" w:color="auto"/>
          </w:divBdr>
        </w:div>
        <w:div w:id="410737590">
          <w:marLeft w:val="0"/>
          <w:marRight w:val="0"/>
          <w:marTop w:val="0"/>
          <w:marBottom w:val="0"/>
          <w:divBdr>
            <w:top w:val="none" w:sz="0" w:space="0" w:color="auto"/>
            <w:left w:val="none" w:sz="0" w:space="0" w:color="auto"/>
            <w:bottom w:val="none" w:sz="0" w:space="0" w:color="auto"/>
            <w:right w:val="none" w:sz="0" w:space="0" w:color="auto"/>
          </w:divBdr>
        </w:div>
        <w:div w:id="1766268174">
          <w:marLeft w:val="0"/>
          <w:marRight w:val="0"/>
          <w:marTop w:val="0"/>
          <w:marBottom w:val="0"/>
          <w:divBdr>
            <w:top w:val="none" w:sz="0" w:space="0" w:color="auto"/>
            <w:left w:val="none" w:sz="0" w:space="0" w:color="auto"/>
            <w:bottom w:val="none" w:sz="0" w:space="0" w:color="auto"/>
            <w:right w:val="none" w:sz="0" w:space="0" w:color="auto"/>
          </w:divBdr>
        </w:div>
        <w:div w:id="1030374699">
          <w:marLeft w:val="0"/>
          <w:marRight w:val="0"/>
          <w:marTop w:val="0"/>
          <w:marBottom w:val="0"/>
          <w:divBdr>
            <w:top w:val="none" w:sz="0" w:space="0" w:color="auto"/>
            <w:left w:val="none" w:sz="0" w:space="0" w:color="auto"/>
            <w:bottom w:val="none" w:sz="0" w:space="0" w:color="auto"/>
            <w:right w:val="none" w:sz="0" w:space="0" w:color="auto"/>
          </w:divBdr>
        </w:div>
        <w:div w:id="459227420">
          <w:marLeft w:val="0"/>
          <w:marRight w:val="0"/>
          <w:marTop w:val="0"/>
          <w:marBottom w:val="0"/>
          <w:divBdr>
            <w:top w:val="none" w:sz="0" w:space="0" w:color="auto"/>
            <w:left w:val="none" w:sz="0" w:space="0" w:color="auto"/>
            <w:bottom w:val="none" w:sz="0" w:space="0" w:color="auto"/>
            <w:right w:val="none" w:sz="0" w:space="0" w:color="auto"/>
          </w:divBdr>
        </w:div>
        <w:div w:id="1801221683">
          <w:marLeft w:val="0"/>
          <w:marRight w:val="0"/>
          <w:marTop w:val="0"/>
          <w:marBottom w:val="0"/>
          <w:divBdr>
            <w:top w:val="none" w:sz="0" w:space="0" w:color="auto"/>
            <w:left w:val="none" w:sz="0" w:space="0" w:color="auto"/>
            <w:bottom w:val="none" w:sz="0" w:space="0" w:color="auto"/>
            <w:right w:val="none" w:sz="0" w:space="0" w:color="auto"/>
          </w:divBdr>
        </w:div>
        <w:div w:id="1021318986">
          <w:marLeft w:val="0"/>
          <w:marRight w:val="0"/>
          <w:marTop w:val="0"/>
          <w:marBottom w:val="0"/>
          <w:divBdr>
            <w:top w:val="none" w:sz="0" w:space="0" w:color="auto"/>
            <w:left w:val="none" w:sz="0" w:space="0" w:color="auto"/>
            <w:bottom w:val="none" w:sz="0" w:space="0" w:color="auto"/>
            <w:right w:val="none" w:sz="0" w:space="0" w:color="auto"/>
          </w:divBdr>
        </w:div>
        <w:div w:id="2492383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jstor.org/stable/j.ctt1cd0nm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510</Words>
  <Characters>2912</Characters>
  <Application>Microsoft Office Word</Application>
  <DocSecurity>0</DocSecurity>
  <Lines>24</Lines>
  <Paragraphs>6</Paragraphs>
  <ScaleCrop>false</ScaleCrop>
  <Company/>
  <LinksUpToDate>false</LinksUpToDate>
  <CharactersWithSpaces>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Kameron Hancox</dc:creator>
  <cp:keywords/>
  <dc:description/>
  <cp:lastModifiedBy>Kameron Hancox</cp:lastModifiedBy>
  <cp:revision>1</cp:revision>
  <dcterms:created xsi:type="dcterms:W3CDTF">2023-02-15T23:20:00Z</dcterms:created>
  <dcterms:modified xsi:type="dcterms:W3CDTF">2023-02-15T23:21:00Z</dcterms:modified>
</cp:coreProperties>
</file>