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0325A" w14:textId="77777777" w:rsidR="008867FF" w:rsidRDefault="00673DBA">
      <w:pPr>
        <w:spacing w:after="160" w:line="259" w:lineRule="auto"/>
        <w:jc w:val="center"/>
        <w:rPr>
          <w:rFonts w:ascii="Comic Sans MS" w:eastAsia="Comic Sans MS" w:hAnsi="Comic Sans MS" w:cs="Comic Sans MS"/>
          <w:color w:val="000000"/>
          <w:sz w:val="22"/>
          <w:szCs w:val="22"/>
          <w:u w:val="single"/>
        </w:rPr>
      </w:pPr>
      <w:proofErr w:type="spellStart"/>
      <w:r>
        <w:rPr>
          <w:rFonts w:ascii="Comic Sans MS" w:eastAsia="Comic Sans MS" w:hAnsi="Comic Sans MS" w:cs="Comic Sans MS"/>
          <w:b/>
          <w:color w:val="000000"/>
          <w:sz w:val="22"/>
          <w:szCs w:val="22"/>
          <w:u w:val="single"/>
        </w:rPr>
        <w:t>Igdir</w:t>
      </w:r>
      <w:proofErr w:type="spellEnd"/>
      <w:r>
        <w:rPr>
          <w:rFonts w:ascii="Comic Sans MS" w:eastAsia="Comic Sans MS" w:hAnsi="Comic Sans MS" w:cs="Comic Sans MS"/>
          <w:b/>
          <w:color w:val="000000"/>
          <w:sz w:val="22"/>
          <w:szCs w:val="22"/>
          <w:u w:val="single"/>
        </w:rPr>
        <w:t xml:space="preserve"> Genocide Memorial</w:t>
      </w:r>
    </w:p>
    <w:p w14:paraId="27B0325B"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Memorial and Museum opened on the 5</w:t>
      </w:r>
      <w:r>
        <w:rPr>
          <w:rFonts w:ascii="Comic Sans MS" w:eastAsia="Comic Sans MS" w:hAnsi="Comic Sans MS" w:cs="Comic Sans MS"/>
          <w:color w:val="000000"/>
          <w:sz w:val="22"/>
          <w:szCs w:val="22"/>
          <w:vertAlign w:val="superscript"/>
        </w:rPr>
        <w:t>th</w:t>
      </w:r>
      <w:r>
        <w:rPr>
          <w:rFonts w:ascii="Comic Sans MS" w:eastAsia="Comic Sans MS" w:hAnsi="Comic Sans MS" w:cs="Comic Sans MS"/>
          <w:color w:val="000000"/>
          <w:sz w:val="22"/>
          <w:szCs w:val="22"/>
        </w:rPr>
        <w:t xml:space="preserve"> October 1999 in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Eastern Turkey.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was historically an Armenian stronghold but with the formation of the Turkish republic now sits within the Turkish </w:t>
      </w:r>
      <w:r>
        <w:rPr>
          <w:rFonts w:ascii="Comic Sans MS" w:eastAsia="Comic Sans MS" w:hAnsi="Comic Sans MS" w:cs="Comic Sans MS"/>
          <w:sz w:val="22"/>
          <w:szCs w:val="22"/>
        </w:rPr>
        <w:t>borders</w:t>
      </w:r>
      <w:r>
        <w:rPr>
          <w:rFonts w:ascii="Comic Sans MS" w:eastAsia="Comic Sans MS" w:hAnsi="Comic Sans MS" w:cs="Comic Sans MS"/>
          <w:color w:val="000000"/>
          <w:sz w:val="22"/>
          <w:szCs w:val="22"/>
        </w:rPr>
        <w:t xml:space="preserve">. </w:t>
      </w:r>
    </w:p>
    <w:p w14:paraId="27B0325C"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memorial was erected to memorialize the deaths of a reported 80,000 Turks specifically at the hands of Armenians between 1915-1920. The Memorial is the tallest monument in Turkey at a height of 43.5 </w:t>
      </w:r>
      <w:r>
        <w:rPr>
          <w:rFonts w:ascii="Comic Sans MS" w:eastAsia="Comic Sans MS" w:hAnsi="Comic Sans MS" w:cs="Comic Sans MS"/>
          <w:sz w:val="22"/>
          <w:szCs w:val="22"/>
        </w:rPr>
        <w:t>meters</w:t>
      </w:r>
      <w:r>
        <w:rPr>
          <w:rFonts w:ascii="Comic Sans MS" w:eastAsia="Comic Sans MS" w:hAnsi="Comic Sans MS" w:cs="Comic Sans MS"/>
          <w:color w:val="000000"/>
          <w:sz w:val="22"/>
          <w:szCs w:val="22"/>
        </w:rPr>
        <w:t>. In this short essay I will focus on the memorial, the design, its location and the intentions of the project.</w:t>
      </w:r>
    </w:p>
    <w:p w14:paraId="27B0325D" w14:textId="77777777" w:rsidR="008867FF" w:rsidRDefault="00673DBA">
      <w:pPr>
        <w:spacing w:after="160" w:line="259" w:lineRule="auto"/>
        <w:jc w:val="both"/>
        <w:rPr>
          <w:rFonts w:ascii="Calibri" w:eastAsia="Calibri" w:hAnsi="Calibri" w:cs="Calibri"/>
          <w:color w:val="000000"/>
          <w:sz w:val="22"/>
          <w:szCs w:val="22"/>
        </w:rPr>
      </w:pPr>
      <w:r>
        <w:rPr>
          <w:noProof/>
        </w:rPr>
        <mc:AlternateContent>
          <mc:Choice Requires="wps">
            <w:drawing>
              <wp:inline distT="0" distB="0" distL="114300" distR="114300" wp14:anchorId="27B03280" wp14:editId="27B03281">
                <wp:extent cx="1841500" cy="1326515"/>
                <wp:effectExtent l="0" t="0" r="0" b="0"/>
                <wp:docPr id="2" name="Rectangle 2"/>
                <wp:cNvGraphicFramePr/>
                <a:graphic xmlns:a="http://schemas.openxmlformats.org/drawingml/2006/main">
                  <a:graphicData uri="http://schemas.microsoft.com/office/word/2010/wordprocessingShape">
                    <wps:wsp>
                      <wps:cNvSpPr/>
                      <wps:spPr>
                        <a:xfrm>
                          <a:off x="4431600" y="3123093"/>
                          <a:ext cx="1828800" cy="1313815"/>
                        </a:xfrm>
                        <a:prstGeom prst="rect">
                          <a:avLst/>
                        </a:prstGeom>
                        <a:solidFill>
                          <a:srgbClr val="FFFFFF"/>
                        </a:solidFill>
                        <a:ln w="12700" cap="flat" cmpd="sng">
                          <a:solidFill>
                            <a:srgbClr val="000000"/>
                          </a:solidFill>
                          <a:prstDash val="solid"/>
                          <a:round/>
                          <a:headEnd type="none" w="sm" len="sm"/>
                          <a:tailEnd type="none" w="sm" len="sm"/>
                        </a:ln>
                      </wps:spPr>
                      <wps:txbx>
                        <w:txbxContent>
                          <w:p w14:paraId="27B03288" w14:textId="77777777" w:rsidR="008867FF" w:rsidRDefault="008867FF">
                            <w:pPr>
                              <w:textDirection w:val="btLr"/>
                            </w:pPr>
                          </w:p>
                        </w:txbxContent>
                      </wps:txbx>
                      <wps:bodyPr spcFirstLastPara="1" wrap="square" lIns="91425" tIns="91425" rIns="91425" bIns="91425" anchor="ctr" anchorCtr="0">
                        <a:noAutofit/>
                      </wps:bodyPr>
                    </wps:wsp>
                  </a:graphicData>
                </a:graphic>
              </wp:inline>
            </w:drawing>
          </mc:Choice>
          <mc:Fallback>
            <w:pict>
              <v:rect w14:anchorId="27B03280" id="Rectangle 2" o:spid="_x0000_s1026" style="width:145pt;height:104.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fPWEwIAAEIEAAAOAAAAZHJzL2Uyb0RvYy54bWysU9uO0zAQfUfiHyy/01zaXbpV0xXaUoS0&#10;YistfIDrOI0lxzYzbpP+PWOnbLuAhITwgzOTnJw5c1veD51hRwWona14Mck5U1a6Wtt9xb993byb&#10;c4ZB2FoYZ1XFTwr5/ertm2XvF6p0rTO1AkYkFhe9r3gbgl9kGcpWdQInzitLHxsHnQjkwj6rQfTE&#10;3pmszPPbrHdQe3BSIdLb9fiRrxJ/0ygZnpoGVWCm4qQtpBvSvYt3tlqKxR6Eb7U8yxD/oKIT2lLQ&#10;F6q1CIIdQP9G1WkJDl0TJtJ1mWsaLVXKgbIp8l+yeW6FVykXKg76lzLh/6OVX47PfgtUht7jAsmM&#10;WQwNdPFJ+thQ8dlsWtzmVL5TxadFOc3vpmPh1BCYJEAxL+fzCJCEKKbFdF7cRER2ofKA4ZNyHYtG&#10;xYE6kwomjo8YRuhPSIyMzuh6o41JDux3DwbYUVAXN+mc2V/BjGU9hS/fJyWCpqkxIpCoztcVR7tP&#10;AV/9gtfMeTp/Yo7K1gLbUUFiGAsA7mDrNEOtEvVHW7Nw8jTmloadRzXYcWYUrQYZCReENn/HUeGM&#10;pfpdmhKtMOwGIonmztWnLTD0cqNJ3KPAsBVAo1tQWBpnCvj9IIBEmM+W5uWumJU3NP/XDlw7u2tH&#10;WNk62hIZgLPReQhpa2I7rPtwCK7RqW0XMWe5NKip8eeliptw7SfUZfVXPwAAAP//AwBQSwMEFAAG&#10;AAgAAAAhAOcr5i3ZAAAABQEAAA8AAABkcnMvZG93bnJldi54bWxMj81OwzAQhO9IvIO1SNyoTZFQ&#10;E+JU5e+MSJGAm2svSai9jmKnDW/PwgUuqx3Navabaj0HLw44pj6ShsuFAoFko+up1fCyfbxYgUjZ&#10;kDM+Emr4wgTr+vSkMqWLR3rGQ5NbwSGUSqOhy3kopUy2w2DSIg5I7H3EMZjMcmylG82Rw4OXS6Wu&#10;ZTA98YfODHjXod03U9Bg/fD0/mDvp7fNsJ+L5vY1fsorrc/P5s0NiIxz/juGH3xGh5qZdnEil4TX&#10;wEXy72RvWSiWO17UqgBZV/I/ff0NAAD//wMAUEsBAi0AFAAGAAgAAAAhALaDOJL+AAAA4QEAABMA&#10;AAAAAAAAAAAAAAAAAAAAAFtDb250ZW50X1R5cGVzXS54bWxQSwECLQAUAAYACAAAACEAOP0h/9YA&#10;AACUAQAACwAAAAAAAAAAAAAAAAAvAQAAX3JlbHMvLnJlbHNQSwECLQAUAAYACAAAACEAHunz1hMC&#10;AABCBAAADgAAAAAAAAAAAAAAAAAuAgAAZHJzL2Uyb0RvYy54bWxQSwECLQAUAAYACAAAACEA5yvm&#10;LdkAAAAFAQAADwAAAAAAAAAAAAAAAABtBAAAZHJzL2Rvd25yZXYueG1sUEsFBgAAAAAEAAQA8wAA&#10;AHMFAAAAAA==&#10;" strokeweight="1pt">
                <v:stroke startarrowwidth="narrow" startarrowlength="short" endarrowwidth="narrow" endarrowlength="short" joinstyle="round"/>
                <v:textbox inset="2.53958mm,2.53958mm,2.53958mm,2.53958mm">
                  <w:txbxContent>
                    <w:p w14:paraId="27B03288" w14:textId="77777777" w:rsidR="008867FF" w:rsidRDefault="008867FF">
                      <w:pPr>
                        <w:textDirection w:val="btLr"/>
                      </w:pPr>
                    </w:p>
                  </w:txbxContent>
                </v:textbox>
                <w10:anchorlock/>
              </v:rect>
            </w:pict>
          </mc:Fallback>
        </mc:AlternateContent>
      </w:r>
      <w:r>
        <w:rPr>
          <w:noProof/>
        </w:rPr>
        <mc:AlternateContent>
          <mc:Choice Requires="wps">
            <w:drawing>
              <wp:inline distT="0" distB="0" distL="114300" distR="114300" wp14:anchorId="27B03282" wp14:editId="27B03283">
                <wp:extent cx="998855" cy="1323340"/>
                <wp:effectExtent l="0" t="0" r="0" b="0"/>
                <wp:docPr id="1" name="Rectangle 1"/>
                <wp:cNvGraphicFramePr/>
                <a:graphic xmlns:a="http://schemas.openxmlformats.org/drawingml/2006/main">
                  <a:graphicData uri="http://schemas.microsoft.com/office/word/2010/wordprocessingShape">
                    <wps:wsp>
                      <wps:cNvSpPr/>
                      <wps:spPr>
                        <a:xfrm>
                          <a:off x="4852923" y="3124680"/>
                          <a:ext cx="986155" cy="1310640"/>
                        </a:xfrm>
                        <a:prstGeom prst="rect">
                          <a:avLst/>
                        </a:prstGeom>
                        <a:solidFill>
                          <a:srgbClr val="FFFFFF"/>
                        </a:solidFill>
                        <a:ln w="12700" cap="flat" cmpd="sng">
                          <a:solidFill>
                            <a:srgbClr val="000000"/>
                          </a:solidFill>
                          <a:prstDash val="solid"/>
                          <a:round/>
                          <a:headEnd type="none" w="sm" len="sm"/>
                          <a:tailEnd type="none" w="sm" len="sm"/>
                        </a:ln>
                      </wps:spPr>
                      <wps:txbx>
                        <w:txbxContent>
                          <w:p w14:paraId="27B03289" w14:textId="77777777" w:rsidR="008867FF" w:rsidRDefault="008867FF">
                            <w:pPr>
                              <w:textDirection w:val="btLr"/>
                            </w:pPr>
                          </w:p>
                        </w:txbxContent>
                      </wps:txbx>
                      <wps:bodyPr spcFirstLastPara="1" wrap="square" lIns="91425" tIns="91425" rIns="91425" bIns="91425" anchor="ctr" anchorCtr="0">
                        <a:noAutofit/>
                      </wps:bodyPr>
                    </wps:wsp>
                  </a:graphicData>
                </a:graphic>
              </wp:inline>
            </w:drawing>
          </mc:Choice>
          <mc:Fallback>
            <w:pict>
              <v:rect w14:anchorId="27B03282" id="Rectangle 1" o:spid="_x0000_s1027" style="width:78.65pt;height:104.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rbHAIAAEgEAAAOAAAAZHJzL2Uyb0RvYy54bWysVNuO0zAQfUfiHyy/s7n0Qls1XaEtRUgr&#10;ttLCB7iO01hybDPjNunfM3bLtgtISIg8ODPJ5MyZOTNZ3g+dYUcFqJ2teHGXc6asdLW2+4p/+7p5&#10;N+MMg7C1MM6qip8U8vvV2zfL3i9U6VpnagWMQCwuel/xNgS/yDKUreoE3jmvLL1sHHQikAv7rAbR&#10;E3pnsjLPp1nvoPbgpEKkp+vzS75K+E2jZHhqGlSBmYoTt5BOSOcuntlqKRZ7EL7V8kJD/AOLTmhL&#10;SV+g1iIIdgD9G1SnJTh0TbiTrstc02ipUg1UTZH/Us1zK7xKtVBz0L+0Cf8frPxyfPZboDb0HhdI&#10;ZqxiaKCLd+LHhoqPZ5NyXo44O1V8VJTj6ezSODUEJilgPpsWkwlnkgKKUZFPxykguyJ5wPBJuY5F&#10;o+JAwqR+ieMjBspOoT9DYmJ0RtcbbUxyYL97MMCOgkTcpCvqRp+8CjOW9ZS+fJ+T0FLQMDVGBDI7&#10;X1cc7T4lfPUJ3iLn6foTcmS2FtieGSSE8+CAO9g6jVCrRP3R1iycPE25pVnnkQ12nBlFm0FGigtC&#10;m7/HUWnGUoVXTaIVht3ANNVSRKz4ZOfq0xYYernRxPFRYNgKoAEuKDsNNeX9fhBAXMxnS1MzL8Yl&#10;yRRuHbh1dreOsLJ1tCsyAGdn5yGk3YmqWPfhEFyjk3pXMhfWNK5JoctqxX249VPU9Qew+gEAAP//&#10;AwBQSwMEFAAGAAgAAAAhABAeqDDcAAAABQEAAA8AAABkcnMvZG93bnJldi54bWxMj81OwzAQhO9I&#10;vIO1SNyoQwu0TeNU5e9cESpBb669TULttRU7bXh7XC5wWWk0o5lvi+VgDTtiF1pHAm5HGTAk5XRL&#10;tYDN++vNDFiIkrQ0jlDANwZYlpcXhcy1O9EbHqtYs1RCIZcCmhh9znlQDVoZRs4jJW/vOitjkl3N&#10;dSdPqdwaPs6yB25lS2mhkR6fGlSHqrcClPHr7Yt67j9X/jDMq8cP98UnQlxfDasFsIhD/AvDGT+h&#10;Q5mYdq4nHZgRkB6Jv/fs3U8nwHYCxtnsDnhZ8P/05Q8AAAD//wMAUEsBAi0AFAAGAAgAAAAhALaD&#10;OJL+AAAA4QEAABMAAAAAAAAAAAAAAAAAAAAAAFtDb250ZW50X1R5cGVzXS54bWxQSwECLQAUAAYA&#10;CAAAACEAOP0h/9YAAACUAQAACwAAAAAAAAAAAAAAAAAvAQAAX3JlbHMvLnJlbHNQSwECLQAUAAYA&#10;CAAAACEAn/Pq2xwCAABIBAAADgAAAAAAAAAAAAAAAAAuAgAAZHJzL2Uyb0RvYy54bWxQSwECLQAU&#10;AAYACAAAACEAEB6oMNwAAAAFAQAADwAAAAAAAAAAAAAAAAB2BAAAZHJzL2Rvd25yZXYueG1sUEsF&#10;BgAAAAAEAAQA8wAAAH8FAAAAAA==&#10;" strokeweight="1pt">
                <v:stroke startarrowwidth="narrow" startarrowlength="short" endarrowwidth="narrow" endarrowlength="short" joinstyle="round"/>
                <v:textbox inset="2.53958mm,2.53958mm,2.53958mm,2.53958mm">
                  <w:txbxContent>
                    <w:p w14:paraId="27B03289" w14:textId="77777777" w:rsidR="008867FF" w:rsidRDefault="008867FF">
                      <w:pPr>
                        <w:textDirection w:val="btLr"/>
                      </w:pPr>
                    </w:p>
                  </w:txbxContent>
                </v:textbox>
                <w10:anchorlock/>
              </v:rect>
            </w:pict>
          </mc:Fallback>
        </mc:AlternateContent>
      </w:r>
      <w:r>
        <w:rPr>
          <w:noProof/>
        </w:rPr>
        <mc:AlternateContent>
          <mc:Choice Requires="wps">
            <w:drawing>
              <wp:inline distT="0" distB="0" distL="114300" distR="114300" wp14:anchorId="27B03284" wp14:editId="62B608D6">
                <wp:extent cx="2138680" cy="1326515"/>
                <wp:effectExtent l="0" t="0" r="0" b="0"/>
                <wp:docPr id="3" name="Rectangle 3"/>
                <wp:cNvGraphicFramePr/>
                <a:graphic xmlns:a="http://schemas.openxmlformats.org/drawingml/2006/main">
                  <a:graphicData uri="http://schemas.microsoft.com/office/word/2010/wordprocessingShape">
                    <wps:wsp>
                      <wps:cNvSpPr/>
                      <wps:spPr>
                        <a:xfrm>
                          <a:off x="4283010" y="3123093"/>
                          <a:ext cx="2125980" cy="1313815"/>
                        </a:xfrm>
                        <a:prstGeom prst="rect">
                          <a:avLst/>
                        </a:prstGeom>
                        <a:solidFill>
                          <a:srgbClr val="FFFFFF"/>
                        </a:solidFill>
                        <a:ln w="12700" cap="flat" cmpd="sng">
                          <a:solidFill>
                            <a:srgbClr val="000000"/>
                          </a:solidFill>
                          <a:prstDash val="solid"/>
                          <a:round/>
                          <a:headEnd type="none" w="sm" len="sm"/>
                          <a:tailEnd type="none" w="sm" len="sm"/>
                        </a:ln>
                      </wps:spPr>
                      <wps:txbx>
                        <w:txbxContent>
                          <w:p w14:paraId="27B0328A" w14:textId="77777777" w:rsidR="008867FF" w:rsidRDefault="008867FF">
                            <w:pPr>
                              <w:textDirection w:val="btLr"/>
                            </w:pPr>
                          </w:p>
                        </w:txbxContent>
                      </wps:txbx>
                      <wps:bodyPr spcFirstLastPara="1" wrap="square" lIns="91425" tIns="91425" rIns="91425" bIns="91425" anchor="ctr" anchorCtr="0">
                        <a:noAutofit/>
                      </wps:bodyPr>
                    </wps:wsp>
                  </a:graphicData>
                </a:graphic>
              </wp:inline>
            </w:drawing>
          </mc:Choice>
          <mc:Fallback>
            <w:pict>
              <v:rect w14:anchorId="27B03284" id="Rectangle 3" o:spid="_x0000_s1028" style="width:168.4pt;height:104.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xLgGAIAAEkEAAAOAAAAZHJzL2Uyb0RvYy54bWysVNuO0zAQfUfiHyy/01y6hbZqukJbipBW&#10;UGnhA1zHaSw5tplxm/TvGTtl2wUkJEQenJnk5MyZW1b3Q2fYSQFqZyteTHLOlJWu1vZQ8W9ft2/m&#10;nGEQthbGWVXxs0J+v379atX7pSpd60ytgBGJxWXvK96G4JdZhrJVncCJ88rSy8ZBJwK5cMhqED2x&#10;dyYr8/xt1juoPTipEOnpZnzJ14m/aZQMX5oGVWCm4qQtpBPSuY9ntl6J5QGEb7W8yBD/oKIT2lLQ&#10;Z6qNCIIdQf9G1WkJDl0TJtJ1mWsaLVXKgbIp8l+yeWqFVykXKg765zLh/6OVn09PfgdUht7jEsmM&#10;WQwNdPFO+thQ8btyPiV1nJ0rPi3Kab6YjoVTQ2CSAGVRzhZzAkhCFNNiOi9mEZFdqTxg+Khcx6JR&#10;caDOpIKJ0yOGEfoTEiOjM7reamOSA4f9gwF2EtTFbbou7C9gxrKewpfv8qhE0DQ1RgQyO19XHO0h&#10;BXzxCd4y5+n6E3NUthHYjgoSw1gAcEdbpxlqlag/2JqFs6cxtzTsPKrBjjOjaDXISLggtPk7jgpn&#10;LNXv2pRohWE/ME25lJErPtm7+rwDhl5uNWl8FBh2AmiCC4pOU01xvx8FkBbzydLYLIq7ckZrcOvA&#10;rbO/dYSVraNlkQE4G52HkJYndsW698fgGp26dxVzUU3zmvp/2a24ELd+Ql3/AOsfAAAA//8DAFBL&#10;AwQUAAYACAAAACEAViN4/9sAAAAFAQAADwAAAGRycy9kb3ducmV2LnhtbEyPzU7DMBCE70i8g7VI&#10;3KhDI1VtGqcqf2dEigS9ufaShNrrKHba8PYsXOAy0mpWM9+Um8k7ccIhdoEU3M4yEEgm2I4aBa+7&#10;p5sliJg0We0CoYIvjLCpLi9KXdhwphc81akRHEKx0AralPpCymha9DrOQo/E3kcYvE58Do20gz5z&#10;uHdynmUL6XVH3NDqHu9bNMd69AqM65/3j+ZhfN/2x2lV372FT5krdX01bdcgEk7p7xl+8BkdKmY6&#10;hJFsFE4BD0m/yl6eL3jGQcE8W65AVqX8T199AwAA//8DAFBLAQItABQABgAIAAAAIQC2gziS/gAA&#10;AOEBAAATAAAAAAAAAAAAAAAAAAAAAABbQ29udGVudF9UeXBlc10ueG1sUEsBAi0AFAAGAAgAAAAh&#10;ADj9If/WAAAAlAEAAAsAAAAAAAAAAAAAAAAALwEAAF9yZWxzLy5yZWxzUEsBAi0AFAAGAAgAAAAh&#10;ADKzEuAYAgAASQQAAA4AAAAAAAAAAAAAAAAALgIAAGRycy9lMm9Eb2MueG1sUEsBAi0AFAAGAAgA&#10;AAAhAFYjeP/bAAAABQEAAA8AAAAAAAAAAAAAAAAAcgQAAGRycy9kb3ducmV2LnhtbFBLBQYAAAAA&#10;BAAEAPMAAAB6BQAAAAA=&#10;" strokeweight="1pt">
                <v:stroke startarrowwidth="narrow" startarrowlength="short" endarrowwidth="narrow" endarrowlength="short" joinstyle="round"/>
                <v:textbox inset="2.53958mm,2.53958mm,2.53958mm,2.53958mm">
                  <w:txbxContent>
                    <w:p w14:paraId="27B0328A" w14:textId="77777777" w:rsidR="008867FF" w:rsidRDefault="008867FF">
                      <w:pPr>
                        <w:textDirection w:val="btLr"/>
                      </w:pPr>
                    </w:p>
                  </w:txbxContent>
                </v:textbox>
                <w10:anchorlock/>
              </v:rect>
            </w:pict>
          </mc:Fallback>
        </mc:AlternateContent>
      </w:r>
    </w:p>
    <w:p w14:paraId="27B0325E"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b/>
          <w:color w:val="000000"/>
          <w:sz w:val="22"/>
          <w:szCs w:val="22"/>
        </w:rPr>
        <w:t>Location and Background</w:t>
      </w:r>
    </w:p>
    <w:p w14:paraId="27B0325F"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Memorial stands on a plateau with mountains rising to the north and east. Sitting at an important junction between Turkey, Armenia and Iran. The looming Mount Ararat towers in the background, a significant cultural and religious area for Armenians and </w:t>
      </w:r>
      <w:proofErr w:type="spellStart"/>
      <w:r>
        <w:rPr>
          <w:rFonts w:ascii="Comic Sans MS" w:eastAsia="Comic Sans MS" w:hAnsi="Comic Sans MS" w:cs="Comic Sans MS"/>
          <w:color w:val="000000"/>
          <w:sz w:val="22"/>
          <w:szCs w:val="22"/>
        </w:rPr>
        <w:t>Christain's</w:t>
      </w:r>
      <w:proofErr w:type="spellEnd"/>
      <w:r>
        <w:rPr>
          <w:rFonts w:ascii="Comic Sans MS" w:eastAsia="Comic Sans MS" w:hAnsi="Comic Sans MS" w:cs="Comic Sans MS"/>
          <w:color w:val="000000"/>
          <w:sz w:val="22"/>
          <w:szCs w:val="22"/>
        </w:rPr>
        <w:t xml:space="preserve"> alike, the land is now part of the Turkish Republic. Armenians believe the mountain to be the final resting place of Noah's ark and holds an important place in the cultural history of not just Armenians but millions of Christians worldwide. </w:t>
      </w:r>
    </w:p>
    <w:p w14:paraId="27B03260"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Memorial commemorates massacres and persecutions committed by Armenians in 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province during World War One and during the Turkish-Armenian War.  In a calculated bid by the Turkish authorities to continually deny the Armenian genocide, deliberately distort official records and continue to spin their own narrative causes huge frictions between the nations to this day. </w:t>
      </w:r>
    </w:p>
    <w:p w14:paraId="27B03261"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Memorial stands in the shadow of Mount Ararat and just 35km from the Armenian capital Yerevan with its own genocide museum and memorial is a gross provocation to Armenian sentiments. To have two conflicting memorials of the same events within such proximity causes great pain to the Armenian people. The Turkish Government’s continued policy to deny the genocide is a sustained blocker for reconciliation and what was started by Ataturk is continued to this day. The official Turkish rejection of the genocidal memory argues that it is at odds with their national identity. The founding myth of the Turkish Republic emerging victorious in a heroic war of liberation after WW1 cannot be tarnished with presiding and subsequent events. To this day it is a crime punishable with </w:t>
      </w:r>
      <w:r>
        <w:rPr>
          <w:rFonts w:ascii="Comic Sans MS" w:eastAsia="Comic Sans MS" w:hAnsi="Comic Sans MS" w:cs="Comic Sans MS"/>
          <w:color w:val="000000"/>
          <w:sz w:val="22"/>
          <w:szCs w:val="22"/>
        </w:rPr>
        <w:lastRenderedPageBreak/>
        <w:t>imprisonment for mentioning the Armenian Genocide on the grounds of insulting ‘Turkishness’. Orhan Pamuk, a famous Turkish author was arrested and put on trial for this very reason in 2005, he broke article 301 which makes it illegal to insult Turkishness.</w:t>
      </w:r>
    </w:p>
    <w:p w14:paraId="27B03262"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b/>
          <w:color w:val="000000"/>
          <w:sz w:val="22"/>
          <w:szCs w:val="22"/>
        </w:rPr>
        <w:t>Structure</w:t>
      </w:r>
    </w:p>
    <w:p w14:paraId="27B03263"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Monument stands an imposing 43.5m tall at a focal point in the landscape and is built on an artificial hill with five Ottoman swords rising to form a circle. The dome beneath takes the form of Seljuk tombs and mausoleums of the past and the swords rise to form a star similar to that of the star on the Turkish Republics flag. Five military figures are carved into the swords’ hilts and face out towards the surrounding land with each craved soldier representing a different Turkic people, The Huns, </w:t>
      </w:r>
      <w:proofErr w:type="spellStart"/>
      <w:r>
        <w:rPr>
          <w:rFonts w:ascii="Comic Sans MS" w:eastAsia="Comic Sans MS" w:hAnsi="Comic Sans MS" w:cs="Comic Sans MS"/>
          <w:color w:val="000000"/>
          <w:sz w:val="22"/>
          <w:szCs w:val="22"/>
        </w:rPr>
        <w:t>Gok</w:t>
      </w:r>
      <w:proofErr w:type="spellEnd"/>
      <w:r>
        <w:rPr>
          <w:rFonts w:ascii="Comic Sans MS" w:eastAsia="Comic Sans MS" w:hAnsi="Comic Sans MS" w:cs="Comic Sans MS"/>
          <w:color w:val="000000"/>
          <w:sz w:val="22"/>
          <w:szCs w:val="22"/>
        </w:rPr>
        <w:t xml:space="preserve"> Turks, </w:t>
      </w:r>
      <w:proofErr w:type="spellStart"/>
      <w:r>
        <w:rPr>
          <w:rFonts w:ascii="Comic Sans MS" w:eastAsia="Comic Sans MS" w:hAnsi="Comic Sans MS" w:cs="Comic Sans MS"/>
          <w:color w:val="000000"/>
          <w:sz w:val="22"/>
          <w:szCs w:val="22"/>
        </w:rPr>
        <w:t>Selcuk</w:t>
      </w:r>
      <w:proofErr w:type="spellEnd"/>
      <w:r>
        <w:rPr>
          <w:rFonts w:ascii="Comic Sans MS" w:eastAsia="Comic Sans MS" w:hAnsi="Comic Sans MS" w:cs="Comic Sans MS"/>
          <w:color w:val="000000"/>
          <w:sz w:val="22"/>
          <w:szCs w:val="22"/>
        </w:rPr>
        <w:t xml:space="preserve">, Ottomans and the Turkish Republic. The structure was designed and constructed by an Azerbaijani architect, </w:t>
      </w:r>
      <w:proofErr w:type="spellStart"/>
      <w:r>
        <w:rPr>
          <w:rFonts w:ascii="Comic Sans MS" w:eastAsia="Comic Sans MS" w:hAnsi="Comic Sans MS" w:cs="Comic Sans MS"/>
          <w:color w:val="000000"/>
          <w:sz w:val="22"/>
          <w:szCs w:val="22"/>
        </w:rPr>
        <w:t>Cafer</w:t>
      </w:r>
      <w:proofErr w:type="spellEnd"/>
      <w:r>
        <w:rPr>
          <w:rFonts w:ascii="Comic Sans MS" w:eastAsia="Comic Sans MS" w:hAnsi="Comic Sans MS" w:cs="Comic Sans MS"/>
          <w:color w:val="000000"/>
          <w:sz w:val="22"/>
          <w:szCs w:val="22"/>
        </w:rPr>
        <w:t xml:space="preserve"> Gyasi. Azerbaijan and Turkey have close relations and a shared Turkic culture and </w:t>
      </w:r>
      <w:r>
        <w:rPr>
          <w:rFonts w:ascii="Comic Sans MS" w:eastAsia="Comic Sans MS" w:hAnsi="Comic Sans MS" w:cs="Comic Sans MS"/>
          <w:sz w:val="22"/>
          <w:szCs w:val="22"/>
        </w:rPr>
        <w:t>linguistics</w:t>
      </w:r>
      <w:r>
        <w:rPr>
          <w:rFonts w:ascii="Comic Sans MS" w:eastAsia="Comic Sans MS" w:hAnsi="Comic Sans MS" w:cs="Comic Sans MS"/>
          <w:color w:val="000000"/>
          <w:sz w:val="22"/>
          <w:szCs w:val="22"/>
        </w:rPr>
        <w:t xml:space="preserve">. Azerbaijani one of a few countries to deny the Armenian Genocide in a show of solidarity with their Turkish allies. </w:t>
      </w:r>
    </w:p>
    <w:p w14:paraId="27B03264"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Memorial was built to help reinforce the common Turkish narrative about this contentious event in a positive and nationalistic way. The carvings of past Turkic people, the prominent flying Turkish flags and the location show the visitors that the Turkish government </w:t>
      </w:r>
      <w:r>
        <w:rPr>
          <w:rFonts w:ascii="Comic Sans MS" w:eastAsia="Comic Sans MS" w:hAnsi="Comic Sans MS" w:cs="Comic Sans MS"/>
          <w:sz w:val="22"/>
          <w:szCs w:val="22"/>
        </w:rPr>
        <w:t>seems</w:t>
      </w:r>
      <w:r>
        <w:rPr>
          <w:rFonts w:ascii="Comic Sans MS" w:eastAsia="Comic Sans MS" w:hAnsi="Comic Sans MS" w:cs="Comic Sans MS"/>
          <w:color w:val="000000"/>
          <w:sz w:val="22"/>
          <w:szCs w:val="22"/>
        </w:rPr>
        <w:t xml:space="preserve"> to have no collective guilt for the crimes. It seems to me that the design is not only intended to minimize accountability for the genocide but also to cause gross offence to the Armenian people. The structure being so close to the Armenian capital shows me that this was built not to educate people but to eradicate the crimes. The structure itself is memorializing mass violence which also contributes to existing violence and tensions between the two countries. Many memorials help to build bridges and open dialogue between perpetrators and victims, like the Holocaust memorials in Poland and Berlin, but 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Memorial creates continued friction, division and polarization.</w:t>
      </w:r>
    </w:p>
    <w:p w14:paraId="27B03265"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b/>
          <w:color w:val="000000"/>
          <w:sz w:val="22"/>
          <w:szCs w:val="22"/>
        </w:rPr>
        <w:t>Purpose</w:t>
      </w:r>
    </w:p>
    <w:p w14:paraId="27B03266"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memorial is essentially a memory project but one which aims to erase the memory of the Armenian genocide. The memorial is historical </w:t>
      </w:r>
      <w:proofErr w:type="spellStart"/>
      <w:r>
        <w:rPr>
          <w:rFonts w:ascii="Comic Sans MS" w:eastAsia="Comic Sans MS" w:hAnsi="Comic Sans MS" w:cs="Comic Sans MS"/>
          <w:color w:val="000000"/>
          <w:sz w:val="22"/>
          <w:szCs w:val="22"/>
        </w:rPr>
        <w:t>negationism</w:t>
      </w:r>
      <w:proofErr w:type="spellEnd"/>
      <w:r>
        <w:rPr>
          <w:rFonts w:ascii="Comic Sans MS" w:eastAsia="Comic Sans MS" w:hAnsi="Comic Sans MS" w:cs="Comic Sans MS"/>
          <w:color w:val="000000"/>
          <w:sz w:val="22"/>
          <w:szCs w:val="22"/>
        </w:rPr>
        <w:t xml:space="preserve"> at its most obvious, the falsification of events and the imprinting of an alternative narrative. Used positive memory projects are powerful tools for reconciliation giving voices to the voiceless victims, to commemorate what those who perished cannot attest to. 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Memorial was built with the purpose of continued denial of the Armenian Genocide and to rewrite historically accurate records to help push a different Turkish narrative. David Tolbert, president of the International </w:t>
      </w:r>
      <w:proofErr w:type="spellStart"/>
      <w:r>
        <w:rPr>
          <w:rFonts w:ascii="Comic Sans MS" w:eastAsia="Comic Sans MS" w:hAnsi="Comic Sans MS" w:cs="Comic Sans MS"/>
          <w:color w:val="000000"/>
          <w:sz w:val="22"/>
          <w:szCs w:val="22"/>
        </w:rPr>
        <w:t>Center</w:t>
      </w:r>
      <w:proofErr w:type="spellEnd"/>
      <w:r>
        <w:rPr>
          <w:rFonts w:ascii="Comic Sans MS" w:eastAsia="Comic Sans MS" w:hAnsi="Comic Sans MS" w:cs="Comic Sans MS"/>
          <w:color w:val="000000"/>
          <w:sz w:val="22"/>
          <w:szCs w:val="22"/>
        </w:rPr>
        <w:t xml:space="preserve"> for Transitional Justice</w:t>
      </w:r>
      <w:r>
        <w:rPr>
          <w:rFonts w:ascii="Comic Sans MS" w:eastAsia="Comic Sans MS" w:hAnsi="Comic Sans MS" w:cs="Comic Sans MS"/>
          <w:sz w:val="22"/>
          <w:szCs w:val="22"/>
        </w:rPr>
        <w:t xml:space="preserve"> states,</w:t>
      </w:r>
    </w:p>
    <w:p w14:paraId="27B03267" w14:textId="77777777" w:rsidR="008867FF" w:rsidRDefault="00673DBA">
      <w:pPr>
        <w:spacing w:after="160" w:line="259" w:lineRule="auto"/>
        <w:rPr>
          <w:rFonts w:ascii="Comic Sans MS" w:eastAsia="Comic Sans MS" w:hAnsi="Comic Sans MS" w:cs="Comic Sans MS"/>
          <w:sz w:val="22"/>
          <w:szCs w:val="22"/>
        </w:rPr>
      </w:pPr>
      <w:r>
        <w:rPr>
          <w:rFonts w:ascii="Comic Sans MS" w:eastAsia="Comic Sans MS" w:hAnsi="Comic Sans MS" w:cs="Comic Sans MS"/>
          <w:color w:val="000000"/>
          <w:sz w:val="22"/>
          <w:szCs w:val="22"/>
        </w:rPr>
        <w:lastRenderedPageBreak/>
        <w:t xml:space="preserve"> </w:t>
      </w:r>
      <w:r>
        <w:rPr>
          <w:rFonts w:ascii="Comic Sans MS" w:eastAsia="Comic Sans MS" w:hAnsi="Comic Sans MS" w:cs="Comic Sans MS"/>
          <w:sz w:val="22"/>
          <w:szCs w:val="22"/>
        </w:rPr>
        <w:t>‘Such</w:t>
      </w:r>
      <w:r>
        <w:rPr>
          <w:rFonts w:ascii="Comic Sans MS" w:eastAsia="Comic Sans MS" w:hAnsi="Comic Sans MS" w:cs="Comic Sans MS"/>
          <w:color w:val="000000"/>
          <w:sz w:val="22"/>
          <w:szCs w:val="22"/>
        </w:rPr>
        <w:t xml:space="preserve"> denial not only damages the victims and their destroyed communities, it promises a future based on lies, sowing the seeds of future conflict, repression and suffering.</w:t>
      </w:r>
      <w:r>
        <w:rPr>
          <w:rFonts w:ascii="Comic Sans MS" w:eastAsia="Comic Sans MS" w:hAnsi="Comic Sans MS" w:cs="Comic Sans MS"/>
          <w:sz w:val="22"/>
          <w:szCs w:val="22"/>
        </w:rPr>
        <w:t xml:space="preserve">’ </w:t>
      </w:r>
      <w:r>
        <w:rPr>
          <w:rFonts w:ascii="Comic Sans MS" w:eastAsia="Comic Sans MS" w:hAnsi="Comic Sans MS" w:cs="Comic Sans MS"/>
          <w:sz w:val="22"/>
          <w:szCs w:val="22"/>
          <w:vertAlign w:val="superscript"/>
        </w:rPr>
        <w:footnoteReference w:id="1"/>
      </w:r>
    </w:p>
    <w:p w14:paraId="27B03268"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I believe it's very purpose is to divert attention away from the crimes committed against the Armenians and to denial completely the term genocide when discussing this period. The Turkish government has very complex and detailed apparatus in place to continue their own narrative and use government ‘fact checking’ sites to contradict what many eyewitnesses and foreign consulars at the time confirmed was genocide. </w:t>
      </w:r>
    </w:p>
    <w:p w14:paraId="27B03269"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 xml:space="preserve">From the very creation of the Turkish state with Ataturk we can see a strong nationalistic agenda that Ver berates in modern Turkey today. The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memorial is just one of many nationalistic monument's that help to form this view. The popular slogans used such as 'Turkey for Turks' and 'How happy is the one who says I am a Turk' </w:t>
      </w:r>
      <w:r>
        <w:rPr>
          <w:rFonts w:ascii="Comic Sans MS" w:eastAsia="Comic Sans MS" w:hAnsi="Comic Sans MS" w:cs="Comic Sans MS"/>
          <w:sz w:val="22"/>
          <w:szCs w:val="22"/>
        </w:rPr>
        <w:t>clearly</w:t>
      </w:r>
      <w:r>
        <w:rPr>
          <w:rFonts w:ascii="Comic Sans MS" w:eastAsia="Comic Sans MS" w:hAnsi="Comic Sans MS" w:cs="Comic Sans MS"/>
          <w:color w:val="000000"/>
          <w:sz w:val="22"/>
          <w:szCs w:val="22"/>
        </w:rPr>
        <w:t xml:space="preserve"> show the priority of the new government, and this has continued at a </w:t>
      </w:r>
      <w:r>
        <w:rPr>
          <w:rFonts w:ascii="Comic Sans MS" w:eastAsia="Comic Sans MS" w:hAnsi="Comic Sans MS" w:cs="Comic Sans MS"/>
          <w:sz w:val="22"/>
          <w:szCs w:val="22"/>
        </w:rPr>
        <w:t>detriment</w:t>
      </w:r>
      <w:r>
        <w:rPr>
          <w:rFonts w:ascii="Comic Sans MS" w:eastAsia="Comic Sans MS" w:hAnsi="Comic Sans MS" w:cs="Comic Sans MS"/>
          <w:color w:val="000000"/>
          <w:sz w:val="22"/>
          <w:szCs w:val="22"/>
        </w:rPr>
        <w:t xml:space="preserve"> to other </w:t>
      </w:r>
      <w:r>
        <w:rPr>
          <w:rFonts w:ascii="Comic Sans MS" w:eastAsia="Comic Sans MS" w:hAnsi="Comic Sans MS" w:cs="Comic Sans MS"/>
          <w:sz w:val="22"/>
          <w:szCs w:val="22"/>
        </w:rPr>
        <w:t>ethnic</w:t>
      </w:r>
      <w:r>
        <w:rPr>
          <w:rFonts w:ascii="Comic Sans MS" w:eastAsia="Comic Sans MS" w:hAnsi="Comic Sans MS" w:cs="Comic Sans MS"/>
          <w:color w:val="000000"/>
          <w:sz w:val="22"/>
          <w:szCs w:val="22"/>
        </w:rPr>
        <w:t xml:space="preserve"> groups to this day.</w:t>
      </w:r>
    </w:p>
    <w:p w14:paraId="27B0326A"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The wounds of the past will never begin to heal without acceptance of the events and, as the Turkish Government has continued to demonstrate, they are not going to change this stance anytime soon. As David Tolbert</w:t>
      </w:r>
      <w:r>
        <w:rPr>
          <w:rFonts w:ascii="Comic Sans MS" w:eastAsia="Comic Sans MS" w:hAnsi="Comic Sans MS" w:cs="Comic Sans MS"/>
          <w:sz w:val="22"/>
          <w:szCs w:val="22"/>
        </w:rPr>
        <w:t xml:space="preserve"> also mentions</w:t>
      </w:r>
      <w:r>
        <w:rPr>
          <w:rFonts w:ascii="Comic Sans MS" w:eastAsia="Comic Sans MS" w:hAnsi="Comic Sans MS" w:cs="Comic Sans MS"/>
          <w:color w:val="000000"/>
          <w:sz w:val="22"/>
          <w:szCs w:val="22"/>
        </w:rPr>
        <w:t xml:space="preserve"> </w:t>
      </w:r>
      <w:r>
        <w:rPr>
          <w:rFonts w:ascii="Comic Sans MS" w:eastAsia="Comic Sans MS" w:hAnsi="Comic Sans MS" w:cs="Comic Sans MS"/>
          <w:i/>
          <w:sz w:val="22"/>
          <w:szCs w:val="22"/>
        </w:rPr>
        <w:t>‘Denial is the final fortress of those who commit genocide and other mass crimes.</w:t>
      </w:r>
      <w:r>
        <w:rPr>
          <w:rFonts w:ascii="Comic Sans MS" w:eastAsia="Comic Sans MS" w:hAnsi="Comic Sans MS" w:cs="Comic Sans MS"/>
          <w:sz w:val="22"/>
          <w:szCs w:val="22"/>
        </w:rPr>
        <w:t>’</w:t>
      </w:r>
      <w:r>
        <w:rPr>
          <w:rFonts w:ascii="Comic Sans MS" w:eastAsia="Comic Sans MS" w:hAnsi="Comic Sans MS" w:cs="Comic Sans MS"/>
          <w:sz w:val="22"/>
          <w:szCs w:val="22"/>
          <w:vertAlign w:val="superscript"/>
        </w:rPr>
        <w:footnoteReference w:id="2"/>
      </w:r>
      <w:r>
        <w:rPr>
          <w:rFonts w:ascii="Comic Sans MS" w:eastAsia="Comic Sans MS" w:hAnsi="Comic Sans MS" w:cs="Comic Sans MS"/>
          <w:sz w:val="22"/>
          <w:szCs w:val="22"/>
        </w:rPr>
        <w:t xml:space="preserve"> </w:t>
      </w:r>
      <w:r>
        <w:rPr>
          <w:rFonts w:ascii="Comic Sans MS" w:eastAsia="Comic Sans MS" w:hAnsi="Comic Sans MS" w:cs="Comic Sans MS"/>
          <w:color w:val="000000"/>
          <w:sz w:val="22"/>
          <w:szCs w:val="22"/>
        </w:rPr>
        <w:t xml:space="preserve">Continued memorial projects such as </w:t>
      </w:r>
      <w:proofErr w:type="spellStart"/>
      <w:r>
        <w:rPr>
          <w:rFonts w:ascii="Comic Sans MS" w:eastAsia="Comic Sans MS" w:hAnsi="Comic Sans MS" w:cs="Comic Sans MS"/>
          <w:color w:val="000000"/>
          <w:sz w:val="22"/>
          <w:szCs w:val="22"/>
        </w:rPr>
        <w:t>Igdir</w:t>
      </w:r>
      <w:proofErr w:type="spellEnd"/>
      <w:r>
        <w:rPr>
          <w:rFonts w:ascii="Comic Sans MS" w:eastAsia="Comic Sans MS" w:hAnsi="Comic Sans MS" w:cs="Comic Sans MS"/>
          <w:color w:val="000000"/>
          <w:sz w:val="22"/>
          <w:szCs w:val="22"/>
        </w:rPr>
        <w:t xml:space="preserve"> continue to flaunt the general international acceptance that the events of 1915 were a genocide. With a change of government on the horizon will we finally see acceptance of guilt for these crimes and a chance for these two </w:t>
      </w:r>
      <w:proofErr w:type="spellStart"/>
      <w:r>
        <w:rPr>
          <w:rFonts w:ascii="Comic Sans MS" w:eastAsia="Comic Sans MS" w:hAnsi="Comic Sans MS" w:cs="Comic Sans MS"/>
          <w:sz w:val="22"/>
          <w:szCs w:val="22"/>
        </w:rPr>
        <w:t>neighbors</w:t>
      </w:r>
      <w:proofErr w:type="spellEnd"/>
      <w:r>
        <w:rPr>
          <w:rFonts w:ascii="Comic Sans MS" w:eastAsia="Comic Sans MS" w:hAnsi="Comic Sans MS" w:cs="Comic Sans MS"/>
          <w:color w:val="000000"/>
          <w:sz w:val="22"/>
          <w:szCs w:val="22"/>
        </w:rPr>
        <w:t xml:space="preserve"> to finally begin reconciliation?</w:t>
      </w:r>
    </w:p>
    <w:p w14:paraId="27B0326B" w14:textId="77777777" w:rsidR="008867FF" w:rsidRDefault="00673DBA">
      <w:pPr>
        <w:spacing w:after="160" w:line="259" w:lineRule="auto"/>
        <w:rPr>
          <w:rFonts w:ascii="Comic Sans MS" w:eastAsia="Comic Sans MS" w:hAnsi="Comic Sans MS" w:cs="Comic Sans MS"/>
          <w:color w:val="000000"/>
          <w:sz w:val="22"/>
          <w:szCs w:val="22"/>
        </w:rPr>
      </w:pPr>
      <w:r>
        <w:rPr>
          <w:rFonts w:ascii="Comic Sans MS" w:eastAsia="Comic Sans MS" w:hAnsi="Comic Sans MS" w:cs="Comic Sans MS"/>
          <w:color w:val="000000"/>
          <w:sz w:val="22"/>
          <w:szCs w:val="22"/>
        </w:rPr>
        <w:t>By Matthew Simpson</w:t>
      </w:r>
    </w:p>
    <w:p w14:paraId="27B0326C" w14:textId="77777777" w:rsidR="008867FF" w:rsidRDefault="008867FF">
      <w:pPr>
        <w:spacing w:after="160" w:line="259" w:lineRule="auto"/>
        <w:rPr>
          <w:rFonts w:ascii="Comic Sans MS" w:eastAsia="Comic Sans MS" w:hAnsi="Comic Sans MS" w:cs="Comic Sans MS"/>
          <w:sz w:val="22"/>
          <w:szCs w:val="22"/>
        </w:rPr>
      </w:pPr>
    </w:p>
    <w:p w14:paraId="27B0326E" w14:textId="77777777" w:rsidR="008867FF" w:rsidRDefault="008867FF">
      <w:pPr>
        <w:spacing w:after="160" w:line="259" w:lineRule="auto"/>
        <w:rPr>
          <w:rFonts w:ascii="Comic Sans MS" w:eastAsia="Comic Sans MS" w:hAnsi="Comic Sans MS" w:cs="Comic Sans MS"/>
          <w:sz w:val="22"/>
          <w:szCs w:val="22"/>
        </w:rPr>
      </w:pPr>
    </w:p>
    <w:p w14:paraId="27B0326F" w14:textId="77777777" w:rsidR="008867FF" w:rsidRDefault="008867FF">
      <w:pPr>
        <w:spacing w:after="160" w:line="259" w:lineRule="auto"/>
        <w:rPr>
          <w:rFonts w:ascii="Comic Sans MS" w:eastAsia="Comic Sans MS" w:hAnsi="Comic Sans MS" w:cs="Comic Sans MS"/>
          <w:sz w:val="22"/>
          <w:szCs w:val="22"/>
        </w:rPr>
      </w:pPr>
    </w:p>
    <w:p w14:paraId="27B03270" w14:textId="77777777" w:rsidR="008867FF" w:rsidRDefault="008867FF">
      <w:pPr>
        <w:spacing w:after="160" w:line="259" w:lineRule="auto"/>
        <w:rPr>
          <w:rFonts w:ascii="Comic Sans MS" w:eastAsia="Comic Sans MS" w:hAnsi="Comic Sans MS" w:cs="Comic Sans MS"/>
          <w:sz w:val="22"/>
          <w:szCs w:val="22"/>
        </w:rPr>
      </w:pPr>
    </w:p>
    <w:p w14:paraId="27B03271" w14:textId="77777777" w:rsidR="008867FF" w:rsidRDefault="008867FF">
      <w:pPr>
        <w:spacing w:after="160" w:line="259" w:lineRule="auto"/>
        <w:rPr>
          <w:rFonts w:ascii="Comic Sans MS" w:eastAsia="Comic Sans MS" w:hAnsi="Comic Sans MS" w:cs="Comic Sans MS"/>
          <w:sz w:val="22"/>
          <w:szCs w:val="22"/>
        </w:rPr>
      </w:pPr>
    </w:p>
    <w:p w14:paraId="27B03272" w14:textId="77777777" w:rsidR="008867FF" w:rsidRDefault="008867FF">
      <w:pPr>
        <w:spacing w:after="160" w:line="259" w:lineRule="auto"/>
        <w:rPr>
          <w:rFonts w:ascii="Comic Sans MS" w:eastAsia="Comic Sans MS" w:hAnsi="Comic Sans MS" w:cs="Comic Sans MS"/>
          <w:sz w:val="22"/>
          <w:szCs w:val="22"/>
        </w:rPr>
      </w:pPr>
    </w:p>
    <w:p w14:paraId="27B03273" w14:textId="77777777" w:rsidR="008867FF" w:rsidRDefault="008867FF">
      <w:pPr>
        <w:spacing w:after="160" w:line="259" w:lineRule="auto"/>
        <w:rPr>
          <w:rFonts w:ascii="Comic Sans MS" w:eastAsia="Comic Sans MS" w:hAnsi="Comic Sans MS" w:cs="Comic Sans MS"/>
          <w:sz w:val="22"/>
          <w:szCs w:val="22"/>
        </w:rPr>
      </w:pPr>
    </w:p>
    <w:p w14:paraId="27B03274" w14:textId="77777777" w:rsidR="008867FF" w:rsidRDefault="008867FF">
      <w:pPr>
        <w:spacing w:after="160" w:line="259" w:lineRule="auto"/>
        <w:rPr>
          <w:rFonts w:ascii="Comic Sans MS" w:eastAsia="Comic Sans MS" w:hAnsi="Comic Sans MS" w:cs="Comic Sans MS"/>
          <w:sz w:val="22"/>
          <w:szCs w:val="22"/>
        </w:rPr>
      </w:pPr>
    </w:p>
    <w:p w14:paraId="27B03275" w14:textId="77777777" w:rsidR="008867FF" w:rsidRDefault="008867FF">
      <w:pPr>
        <w:spacing w:after="160" w:line="259" w:lineRule="auto"/>
        <w:rPr>
          <w:rFonts w:ascii="Comic Sans MS" w:eastAsia="Comic Sans MS" w:hAnsi="Comic Sans MS" w:cs="Comic Sans MS"/>
          <w:sz w:val="22"/>
          <w:szCs w:val="22"/>
        </w:rPr>
      </w:pPr>
    </w:p>
    <w:p w14:paraId="27B03276" w14:textId="77777777" w:rsidR="008867FF" w:rsidRDefault="00673DBA">
      <w:pPr>
        <w:spacing w:after="160" w:line="259" w:lineRule="auto"/>
        <w:rPr>
          <w:rFonts w:ascii="Comic Sans MS" w:eastAsia="Comic Sans MS" w:hAnsi="Comic Sans MS" w:cs="Comic Sans MS"/>
          <w:b/>
          <w:sz w:val="22"/>
          <w:szCs w:val="22"/>
          <w:u w:val="single"/>
        </w:rPr>
      </w:pPr>
      <w:r>
        <w:rPr>
          <w:rFonts w:ascii="Comic Sans MS" w:eastAsia="Comic Sans MS" w:hAnsi="Comic Sans MS" w:cs="Comic Sans MS"/>
          <w:b/>
          <w:sz w:val="22"/>
          <w:szCs w:val="22"/>
          <w:u w:val="single"/>
        </w:rPr>
        <w:lastRenderedPageBreak/>
        <w:t>Bibliography</w:t>
      </w:r>
    </w:p>
    <w:p w14:paraId="27B03277" w14:textId="77777777" w:rsidR="008867FF" w:rsidRDefault="008867FF">
      <w:pPr>
        <w:spacing w:after="160" w:line="259" w:lineRule="auto"/>
        <w:rPr>
          <w:rFonts w:ascii="Comic Sans MS" w:eastAsia="Comic Sans MS" w:hAnsi="Comic Sans MS" w:cs="Comic Sans MS"/>
          <w:sz w:val="22"/>
          <w:szCs w:val="22"/>
        </w:rPr>
      </w:pPr>
    </w:p>
    <w:p w14:paraId="27B03278" w14:textId="77777777" w:rsidR="008867FF" w:rsidRDefault="00673DBA">
      <w:pPr>
        <w:spacing w:after="160" w:line="259" w:lineRule="auto"/>
        <w:rPr>
          <w:rFonts w:ascii="Comic Sans MS" w:eastAsia="Comic Sans MS" w:hAnsi="Comic Sans MS" w:cs="Comic Sans MS"/>
          <w:sz w:val="22"/>
          <w:szCs w:val="22"/>
        </w:rPr>
      </w:pPr>
      <w:r>
        <w:rPr>
          <w:rFonts w:ascii="Comic Sans MS" w:eastAsia="Comic Sans MS" w:hAnsi="Comic Sans MS" w:cs="Comic Sans MS"/>
          <w:sz w:val="22"/>
          <w:szCs w:val="22"/>
        </w:rPr>
        <w:t xml:space="preserve">Aida </w:t>
      </w:r>
      <w:proofErr w:type="spellStart"/>
      <w:r>
        <w:rPr>
          <w:rFonts w:ascii="Comic Sans MS" w:eastAsia="Comic Sans MS" w:hAnsi="Comic Sans MS" w:cs="Comic Sans MS"/>
          <w:sz w:val="22"/>
          <w:szCs w:val="22"/>
        </w:rPr>
        <w:t>Alayarian</w:t>
      </w:r>
      <w:proofErr w:type="spellEnd"/>
      <w:r>
        <w:rPr>
          <w:rFonts w:ascii="Comic Sans MS" w:eastAsia="Comic Sans MS" w:hAnsi="Comic Sans MS" w:cs="Comic Sans MS"/>
          <w:sz w:val="22"/>
          <w:szCs w:val="22"/>
        </w:rPr>
        <w:t xml:space="preserve"> - </w:t>
      </w:r>
      <w:r>
        <w:rPr>
          <w:rFonts w:ascii="Comic Sans MS" w:eastAsia="Comic Sans MS" w:hAnsi="Comic Sans MS" w:cs="Comic Sans MS"/>
          <w:i/>
          <w:sz w:val="22"/>
          <w:szCs w:val="22"/>
        </w:rPr>
        <w:t>Consequences of Denial: The Armenian Genocide</w:t>
      </w:r>
      <w:r>
        <w:rPr>
          <w:rFonts w:ascii="Comic Sans MS" w:eastAsia="Comic Sans MS" w:hAnsi="Comic Sans MS" w:cs="Comic Sans MS"/>
          <w:sz w:val="22"/>
          <w:szCs w:val="22"/>
        </w:rPr>
        <w:t xml:space="preserve">  - 2018 Routledge</w:t>
      </w:r>
    </w:p>
    <w:p w14:paraId="27B03279" w14:textId="77777777" w:rsidR="008867FF" w:rsidRDefault="00673DBA">
      <w:pPr>
        <w:spacing w:after="160" w:line="259" w:lineRule="auto"/>
        <w:rPr>
          <w:rFonts w:ascii="Comic Sans MS" w:eastAsia="Comic Sans MS" w:hAnsi="Comic Sans MS" w:cs="Comic Sans MS"/>
          <w:sz w:val="22"/>
          <w:szCs w:val="22"/>
        </w:rPr>
      </w:pPr>
      <w:proofErr w:type="spellStart"/>
      <w:r>
        <w:rPr>
          <w:rFonts w:ascii="Comic Sans MS" w:eastAsia="Comic Sans MS" w:hAnsi="Comic Sans MS" w:cs="Comic Sans MS"/>
          <w:sz w:val="22"/>
          <w:szCs w:val="22"/>
        </w:rPr>
        <w:t>Egemen</w:t>
      </w:r>
      <w:proofErr w:type="spellEnd"/>
      <w:r>
        <w:rPr>
          <w:rFonts w:ascii="Comic Sans MS" w:eastAsia="Comic Sans MS" w:hAnsi="Comic Sans MS" w:cs="Comic Sans MS"/>
          <w:sz w:val="22"/>
          <w:szCs w:val="22"/>
        </w:rPr>
        <w:t xml:space="preserve"> </w:t>
      </w:r>
      <w:proofErr w:type="spellStart"/>
      <w:r>
        <w:rPr>
          <w:rFonts w:ascii="Comic Sans MS" w:eastAsia="Comic Sans MS" w:hAnsi="Comic Sans MS" w:cs="Comic Sans MS"/>
          <w:sz w:val="22"/>
          <w:szCs w:val="22"/>
        </w:rPr>
        <w:t>Özbek</w:t>
      </w:r>
      <w:proofErr w:type="spellEnd"/>
      <w:r>
        <w:rPr>
          <w:rFonts w:ascii="Comic Sans MS" w:eastAsia="Comic Sans MS" w:hAnsi="Comic Sans MS" w:cs="Comic Sans MS"/>
          <w:sz w:val="22"/>
          <w:szCs w:val="22"/>
        </w:rPr>
        <w:t xml:space="preserve"> - </w:t>
      </w:r>
      <w:r>
        <w:rPr>
          <w:rFonts w:ascii="Comic Sans MS" w:eastAsia="Comic Sans MS" w:hAnsi="Comic Sans MS" w:cs="Comic Sans MS"/>
          <w:i/>
          <w:sz w:val="22"/>
          <w:szCs w:val="22"/>
        </w:rPr>
        <w:t xml:space="preserve">The Destruction of the Monument to Humanity: Historical Conflict and </w:t>
      </w:r>
      <w:proofErr w:type="spellStart"/>
      <w:r>
        <w:rPr>
          <w:rFonts w:ascii="Comic Sans MS" w:eastAsia="Comic Sans MS" w:hAnsi="Comic Sans MS" w:cs="Comic Sans MS"/>
          <w:i/>
          <w:sz w:val="22"/>
          <w:szCs w:val="22"/>
        </w:rPr>
        <w:t>Monumentalization</w:t>
      </w:r>
      <w:proofErr w:type="spellEnd"/>
      <w:r>
        <w:rPr>
          <w:rFonts w:ascii="Comic Sans MS" w:eastAsia="Comic Sans MS" w:hAnsi="Comic Sans MS" w:cs="Comic Sans MS"/>
          <w:sz w:val="22"/>
          <w:szCs w:val="22"/>
        </w:rPr>
        <w:t xml:space="preserve"> -Article From the journal International Public History</w:t>
      </w:r>
    </w:p>
    <w:p w14:paraId="27B0327A" w14:textId="77777777" w:rsidR="008867FF" w:rsidRDefault="00673DBA">
      <w:pPr>
        <w:spacing w:after="160" w:line="259" w:lineRule="auto"/>
        <w:rPr>
          <w:rFonts w:ascii="Comic Sans MS" w:eastAsia="Comic Sans MS" w:hAnsi="Comic Sans MS" w:cs="Comic Sans MS"/>
          <w:sz w:val="22"/>
          <w:szCs w:val="22"/>
        </w:rPr>
      </w:pPr>
      <w:r>
        <w:rPr>
          <w:rFonts w:ascii="Comic Sans MS" w:eastAsia="Comic Sans MS" w:hAnsi="Comic Sans MS" w:cs="Comic Sans MS"/>
          <w:sz w:val="22"/>
          <w:szCs w:val="22"/>
        </w:rPr>
        <w:t xml:space="preserve">Robert F </w:t>
      </w:r>
      <w:proofErr w:type="spellStart"/>
      <w:r>
        <w:rPr>
          <w:rFonts w:ascii="Comic Sans MS" w:eastAsia="Comic Sans MS" w:hAnsi="Comic Sans MS" w:cs="Comic Sans MS"/>
          <w:sz w:val="22"/>
          <w:szCs w:val="22"/>
        </w:rPr>
        <w:t>Melson</w:t>
      </w:r>
      <w:proofErr w:type="spellEnd"/>
      <w:r>
        <w:rPr>
          <w:rFonts w:ascii="Comic Sans MS" w:eastAsia="Comic Sans MS" w:hAnsi="Comic Sans MS" w:cs="Comic Sans MS"/>
          <w:sz w:val="22"/>
          <w:szCs w:val="22"/>
        </w:rPr>
        <w:t xml:space="preserve"> - </w:t>
      </w:r>
      <w:r>
        <w:rPr>
          <w:rFonts w:ascii="Comic Sans MS" w:eastAsia="Comic Sans MS" w:hAnsi="Comic Sans MS" w:cs="Comic Sans MS"/>
          <w:i/>
          <w:sz w:val="22"/>
          <w:szCs w:val="22"/>
        </w:rPr>
        <w:t>Revolution and Genocide</w:t>
      </w:r>
      <w:r>
        <w:rPr>
          <w:rFonts w:ascii="Comic Sans MS" w:eastAsia="Comic Sans MS" w:hAnsi="Comic Sans MS" w:cs="Comic Sans MS"/>
          <w:sz w:val="22"/>
          <w:szCs w:val="22"/>
        </w:rPr>
        <w:t xml:space="preserve"> - The </w:t>
      </w:r>
      <w:proofErr w:type="spellStart"/>
      <w:r>
        <w:rPr>
          <w:rFonts w:ascii="Comic Sans MS" w:eastAsia="Comic Sans MS" w:hAnsi="Comic Sans MS" w:cs="Comic Sans MS"/>
          <w:sz w:val="22"/>
          <w:szCs w:val="22"/>
        </w:rPr>
        <w:t>Univeristy</w:t>
      </w:r>
      <w:proofErr w:type="spellEnd"/>
      <w:r>
        <w:rPr>
          <w:rFonts w:ascii="Comic Sans MS" w:eastAsia="Comic Sans MS" w:hAnsi="Comic Sans MS" w:cs="Comic Sans MS"/>
          <w:sz w:val="22"/>
          <w:szCs w:val="22"/>
        </w:rPr>
        <w:t xml:space="preserve"> of </w:t>
      </w:r>
      <w:proofErr w:type="spellStart"/>
      <w:r>
        <w:rPr>
          <w:rFonts w:ascii="Comic Sans MS" w:eastAsia="Comic Sans MS" w:hAnsi="Comic Sans MS" w:cs="Comic Sans MS"/>
          <w:sz w:val="22"/>
          <w:szCs w:val="22"/>
        </w:rPr>
        <w:t>Chicao</w:t>
      </w:r>
      <w:proofErr w:type="spellEnd"/>
      <w:r>
        <w:rPr>
          <w:rFonts w:ascii="Comic Sans MS" w:eastAsia="Comic Sans MS" w:hAnsi="Comic Sans MS" w:cs="Comic Sans MS"/>
          <w:sz w:val="22"/>
          <w:szCs w:val="22"/>
        </w:rPr>
        <w:t xml:space="preserve"> Press - 1992</w:t>
      </w:r>
    </w:p>
    <w:p w14:paraId="27B0327B" w14:textId="77777777" w:rsidR="008867FF" w:rsidRDefault="00673DBA">
      <w:pPr>
        <w:spacing w:after="160" w:line="259" w:lineRule="auto"/>
        <w:rPr>
          <w:rFonts w:ascii="Comic Sans MS" w:eastAsia="Comic Sans MS" w:hAnsi="Comic Sans MS" w:cs="Comic Sans MS"/>
          <w:sz w:val="22"/>
          <w:szCs w:val="22"/>
        </w:rPr>
      </w:pPr>
      <w:r>
        <w:rPr>
          <w:rFonts w:ascii="Comic Sans MS" w:eastAsia="Comic Sans MS" w:hAnsi="Comic Sans MS" w:cs="Comic Sans MS"/>
          <w:sz w:val="22"/>
          <w:szCs w:val="22"/>
        </w:rPr>
        <w:t xml:space="preserve">Roger W. Smith, Eric </w:t>
      </w:r>
      <w:proofErr w:type="spellStart"/>
      <w:r>
        <w:rPr>
          <w:rFonts w:ascii="Comic Sans MS" w:eastAsia="Comic Sans MS" w:hAnsi="Comic Sans MS" w:cs="Comic Sans MS"/>
          <w:sz w:val="22"/>
          <w:szCs w:val="22"/>
        </w:rPr>
        <w:t>Markusen</w:t>
      </w:r>
      <w:proofErr w:type="spellEnd"/>
      <w:r>
        <w:rPr>
          <w:rFonts w:ascii="Comic Sans MS" w:eastAsia="Comic Sans MS" w:hAnsi="Comic Sans MS" w:cs="Comic Sans MS"/>
          <w:sz w:val="22"/>
          <w:szCs w:val="22"/>
        </w:rPr>
        <w:t xml:space="preserve">, Robert Jay </w:t>
      </w:r>
      <w:proofErr w:type="spellStart"/>
      <w:r>
        <w:rPr>
          <w:rFonts w:ascii="Comic Sans MS" w:eastAsia="Comic Sans MS" w:hAnsi="Comic Sans MS" w:cs="Comic Sans MS"/>
          <w:sz w:val="22"/>
          <w:szCs w:val="22"/>
        </w:rPr>
        <w:t>Lifton</w:t>
      </w:r>
      <w:proofErr w:type="spellEnd"/>
      <w:r>
        <w:rPr>
          <w:rFonts w:ascii="Comic Sans MS" w:eastAsia="Comic Sans MS" w:hAnsi="Comic Sans MS" w:cs="Comic Sans MS"/>
          <w:sz w:val="22"/>
          <w:szCs w:val="22"/>
        </w:rPr>
        <w:t xml:space="preserve"> - </w:t>
      </w:r>
      <w:r>
        <w:rPr>
          <w:rFonts w:ascii="Comic Sans MS" w:eastAsia="Comic Sans MS" w:hAnsi="Comic Sans MS" w:cs="Comic Sans MS"/>
          <w:i/>
          <w:sz w:val="22"/>
          <w:szCs w:val="22"/>
        </w:rPr>
        <w:t>Professional Ethics and the Denial of Armenian Genocide</w:t>
      </w:r>
      <w:r>
        <w:rPr>
          <w:rFonts w:ascii="Comic Sans MS" w:eastAsia="Comic Sans MS" w:hAnsi="Comic Sans MS" w:cs="Comic Sans MS"/>
          <w:sz w:val="22"/>
          <w:szCs w:val="22"/>
        </w:rPr>
        <w:t xml:space="preserve"> - Holocaust and Genocide Studies, Volume 9, Issue 1, Spring 1995, Pages 1–22</w:t>
      </w:r>
    </w:p>
    <w:p w14:paraId="27B0327C" w14:textId="77777777" w:rsidR="008867FF" w:rsidRDefault="00673DBA">
      <w:pPr>
        <w:spacing w:after="160" w:line="259" w:lineRule="auto"/>
        <w:rPr>
          <w:rFonts w:ascii="Comic Sans MS" w:eastAsia="Comic Sans MS" w:hAnsi="Comic Sans MS" w:cs="Comic Sans MS"/>
          <w:sz w:val="22"/>
          <w:szCs w:val="22"/>
        </w:rPr>
      </w:pPr>
      <w:r>
        <w:rPr>
          <w:rFonts w:ascii="Comic Sans MS" w:eastAsia="Comic Sans MS" w:hAnsi="Comic Sans MS" w:cs="Comic Sans MS"/>
          <w:sz w:val="22"/>
          <w:szCs w:val="22"/>
        </w:rPr>
        <w:t xml:space="preserve">Thomas Patrick - Remembering the Armenian Genocide 1915 - </w:t>
      </w:r>
      <w:proofErr w:type="spellStart"/>
      <w:r>
        <w:rPr>
          <w:rFonts w:ascii="Comic Sans MS" w:eastAsia="Comic Sans MS" w:hAnsi="Comic Sans MS" w:cs="Comic Sans MS"/>
          <w:sz w:val="22"/>
          <w:szCs w:val="22"/>
        </w:rPr>
        <w:t>Gwasg</w:t>
      </w:r>
      <w:proofErr w:type="spellEnd"/>
      <w:r>
        <w:rPr>
          <w:rFonts w:ascii="Comic Sans MS" w:eastAsia="Comic Sans MS" w:hAnsi="Comic Sans MS" w:cs="Comic Sans MS"/>
          <w:sz w:val="22"/>
          <w:szCs w:val="22"/>
        </w:rPr>
        <w:t xml:space="preserve"> </w:t>
      </w:r>
      <w:proofErr w:type="spellStart"/>
      <w:r>
        <w:rPr>
          <w:rFonts w:ascii="Comic Sans MS" w:eastAsia="Comic Sans MS" w:hAnsi="Comic Sans MS" w:cs="Comic Sans MS"/>
          <w:sz w:val="22"/>
          <w:szCs w:val="22"/>
        </w:rPr>
        <w:t>Crreg</w:t>
      </w:r>
      <w:proofErr w:type="spellEnd"/>
      <w:r>
        <w:rPr>
          <w:rFonts w:ascii="Comic Sans MS" w:eastAsia="Comic Sans MS" w:hAnsi="Comic Sans MS" w:cs="Comic Sans MS"/>
          <w:sz w:val="22"/>
          <w:szCs w:val="22"/>
        </w:rPr>
        <w:t xml:space="preserve"> </w:t>
      </w:r>
      <w:proofErr w:type="spellStart"/>
      <w:r>
        <w:rPr>
          <w:rFonts w:ascii="Comic Sans MS" w:eastAsia="Comic Sans MS" w:hAnsi="Comic Sans MS" w:cs="Comic Sans MS"/>
          <w:sz w:val="22"/>
          <w:szCs w:val="22"/>
        </w:rPr>
        <w:t>Gwalch</w:t>
      </w:r>
      <w:proofErr w:type="spellEnd"/>
      <w:r>
        <w:rPr>
          <w:rFonts w:ascii="Comic Sans MS" w:eastAsia="Comic Sans MS" w:hAnsi="Comic Sans MS" w:cs="Comic Sans MS"/>
          <w:sz w:val="22"/>
          <w:szCs w:val="22"/>
        </w:rPr>
        <w:t xml:space="preserve"> 2015</w:t>
      </w:r>
    </w:p>
    <w:p w14:paraId="27B0327D" w14:textId="77777777" w:rsidR="008867FF" w:rsidRDefault="008867FF">
      <w:pPr>
        <w:spacing w:after="160" w:line="259" w:lineRule="auto"/>
        <w:rPr>
          <w:rFonts w:ascii="Comic Sans MS" w:eastAsia="Comic Sans MS" w:hAnsi="Comic Sans MS" w:cs="Comic Sans MS"/>
          <w:sz w:val="22"/>
          <w:szCs w:val="22"/>
        </w:rPr>
      </w:pPr>
    </w:p>
    <w:p w14:paraId="27B0327E" w14:textId="77777777" w:rsidR="008867FF" w:rsidRDefault="008867FF">
      <w:pPr>
        <w:spacing w:after="160" w:line="259" w:lineRule="auto"/>
        <w:rPr>
          <w:rFonts w:ascii="Comic Sans MS" w:eastAsia="Comic Sans MS" w:hAnsi="Comic Sans MS" w:cs="Comic Sans MS"/>
          <w:sz w:val="22"/>
          <w:szCs w:val="22"/>
        </w:rPr>
      </w:pPr>
    </w:p>
    <w:p w14:paraId="27B0327F" w14:textId="77777777" w:rsidR="008867FF" w:rsidRDefault="008867FF">
      <w:pPr>
        <w:spacing w:after="160" w:line="259" w:lineRule="auto"/>
        <w:rPr>
          <w:rFonts w:ascii="Comic Sans MS" w:eastAsia="Comic Sans MS" w:hAnsi="Comic Sans MS" w:cs="Comic Sans MS"/>
          <w:sz w:val="22"/>
          <w:szCs w:val="22"/>
        </w:rPr>
      </w:pPr>
    </w:p>
    <w:sectPr w:rsidR="008867FF">
      <w:pgSz w:w="12240" w:h="15840"/>
      <w:pgMar w:top="1440" w:right="1440" w:bottom="1440" w:left="1440" w:header="360" w:footer="36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8A6C1" w14:textId="77777777" w:rsidR="00A87211" w:rsidRDefault="00A87211">
      <w:r>
        <w:separator/>
      </w:r>
    </w:p>
  </w:endnote>
  <w:endnote w:type="continuationSeparator" w:id="0">
    <w:p w14:paraId="1760D21C" w14:textId="77777777" w:rsidR="00A87211" w:rsidRDefault="00A87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68ABC" w14:textId="77777777" w:rsidR="00A87211" w:rsidRDefault="00A87211">
      <w:r>
        <w:separator/>
      </w:r>
    </w:p>
  </w:footnote>
  <w:footnote w:type="continuationSeparator" w:id="0">
    <w:p w14:paraId="2D5ABA88" w14:textId="77777777" w:rsidR="00A87211" w:rsidRDefault="00A87211">
      <w:r>
        <w:continuationSeparator/>
      </w:r>
    </w:p>
  </w:footnote>
  <w:footnote w:id="1">
    <w:p w14:paraId="27B03286" w14:textId="77777777" w:rsidR="008867FF" w:rsidRDefault="00673DBA">
      <w:r>
        <w:rPr>
          <w:vertAlign w:val="superscript"/>
        </w:rPr>
        <w:footnoteRef/>
      </w:r>
      <w:r>
        <w:t xml:space="preserve"> David Tolbert, president of the International </w:t>
      </w:r>
      <w:proofErr w:type="spellStart"/>
      <w:r>
        <w:t>Center</w:t>
      </w:r>
      <w:proofErr w:type="spellEnd"/>
      <w:r>
        <w:t xml:space="preserve"> for Transitional Justice - The Hague</w:t>
      </w:r>
    </w:p>
  </w:footnote>
  <w:footnote w:id="2">
    <w:p w14:paraId="27B03287" w14:textId="77777777" w:rsidR="008867FF" w:rsidRDefault="00673DBA">
      <w:r>
        <w:rPr>
          <w:vertAlign w:val="superscript"/>
        </w:rPr>
        <w:footnoteRef/>
      </w:r>
      <w:r>
        <w:t xml:space="preserve"> David Tolbert, president of the International </w:t>
      </w:r>
      <w:proofErr w:type="spellStart"/>
      <w:r>
        <w:t>Center</w:t>
      </w:r>
      <w:proofErr w:type="spellEnd"/>
      <w:r>
        <w:t xml:space="preserve"> for Transitional Justice - The Hague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81FEA"/>
    <w:multiLevelType w:val="hybridMultilevel"/>
    <w:tmpl w:val="56C8C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6529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7FF"/>
    <w:rsid w:val="001549E1"/>
    <w:rsid w:val="002A4A55"/>
    <w:rsid w:val="00325056"/>
    <w:rsid w:val="00341516"/>
    <w:rsid w:val="00453ABD"/>
    <w:rsid w:val="005F15D1"/>
    <w:rsid w:val="00673DBA"/>
    <w:rsid w:val="00846086"/>
    <w:rsid w:val="008867FF"/>
    <w:rsid w:val="009E01AA"/>
    <w:rsid w:val="00A87211"/>
    <w:rsid w:val="00AC4DB2"/>
    <w:rsid w:val="00B43CA8"/>
    <w:rsid w:val="00B77160"/>
    <w:rsid w:val="00C225FF"/>
    <w:rsid w:val="00ED60A2"/>
    <w:rsid w:val="00F511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0325A"/>
  <w15:docId w15:val="{A6469712-5D31-4D3A-8CA8-191B368B4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2A4A55"/>
    <w:rPr>
      <w:sz w:val="16"/>
      <w:szCs w:val="16"/>
    </w:rPr>
  </w:style>
  <w:style w:type="paragraph" w:styleId="CommentText">
    <w:name w:val="annotation text"/>
    <w:basedOn w:val="Normal"/>
    <w:link w:val="CommentTextChar"/>
    <w:uiPriority w:val="99"/>
    <w:unhideWhenUsed/>
    <w:rsid w:val="002A4A55"/>
  </w:style>
  <w:style w:type="character" w:customStyle="1" w:styleId="CommentTextChar">
    <w:name w:val="Comment Text Char"/>
    <w:basedOn w:val="DefaultParagraphFont"/>
    <w:link w:val="CommentText"/>
    <w:uiPriority w:val="99"/>
    <w:rsid w:val="002A4A55"/>
  </w:style>
  <w:style w:type="paragraph" w:styleId="CommentSubject">
    <w:name w:val="annotation subject"/>
    <w:basedOn w:val="CommentText"/>
    <w:next w:val="CommentText"/>
    <w:link w:val="CommentSubjectChar"/>
    <w:uiPriority w:val="99"/>
    <w:semiHidden/>
    <w:unhideWhenUsed/>
    <w:rsid w:val="002A4A55"/>
    <w:rPr>
      <w:b/>
      <w:bCs/>
    </w:rPr>
  </w:style>
  <w:style w:type="character" w:customStyle="1" w:styleId="CommentSubjectChar">
    <w:name w:val="Comment Subject Char"/>
    <w:basedOn w:val="CommentTextChar"/>
    <w:link w:val="CommentSubject"/>
    <w:uiPriority w:val="99"/>
    <w:semiHidden/>
    <w:rsid w:val="002A4A55"/>
    <w:rPr>
      <w:b/>
      <w:bCs/>
    </w:rPr>
  </w:style>
  <w:style w:type="paragraph" w:styleId="ListParagraph">
    <w:name w:val="List Paragraph"/>
    <w:basedOn w:val="Normal"/>
    <w:uiPriority w:val="34"/>
    <w:qFormat/>
    <w:rsid w:val="00453A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M4siYnMraktuI9qHUBnFnMnE7mQ==">AMUW2mVa54IMrXRd36W3ww5R2M4IrOk49dIqnQBZHOZQvephEipKc6XCL5bf/ZU6zRvt8TrkroxqwXziHmDyZtY1j5AljYQ9/EmgadWTgptkm0knvdioAng=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1094</Words>
  <Characters>6236</Characters>
  <Application>Microsoft Office Word</Application>
  <DocSecurity>0</DocSecurity>
  <Lines>51</Lines>
  <Paragraphs>14</Paragraphs>
  <ScaleCrop>false</ScaleCrop>
  <Company>University of Wales Trinity Saint David</Company>
  <LinksUpToDate>false</LinksUpToDate>
  <CharactersWithSpaces>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 Gryta</cp:lastModifiedBy>
  <cp:revision>3</cp:revision>
  <dcterms:created xsi:type="dcterms:W3CDTF">2023-03-24T08:22:00Z</dcterms:created>
  <dcterms:modified xsi:type="dcterms:W3CDTF">2023-03-24T08:23:00Z</dcterms:modified>
</cp:coreProperties>
</file>