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8958D7" w14:textId="58B118B7" w:rsidR="00044E7A" w:rsidRDefault="00044E7A">
      <w:pPr>
        <w:spacing w:line="360" w:lineRule="auto"/>
        <w:jc w:val="both"/>
        <w:rPr>
          <w:rFonts w:ascii="Arial" w:hAnsi="Arial" w:cs="Arial"/>
          <w:sz w:val="24"/>
          <w:szCs w:val="24"/>
        </w:rPr>
      </w:pPr>
    </w:p>
    <w:p w14:paraId="70220406" w14:textId="77777777" w:rsidR="00044E7A" w:rsidRDefault="00044E7A">
      <w:pPr>
        <w:spacing w:line="360" w:lineRule="auto"/>
        <w:jc w:val="both"/>
        <w:rPr>
          <w:rFonts w:ascii="Arial" w:hAnsi="Arial" w:cs="Arial"/>
          <w:sz w:val="24"/>
          <w:szCs w:val="24"/>
        </w:rPr>
      </w:pPr>
    </w:p>
    <w:p w14:paraId="640144CD" w14:textId="77777777" w:rsidR="00044E7A" w:rsidRDefault="00044E7A">
      <w:pPr>
        <w:spacing w:line="360" w:lineRule="auto"/>
        <w:jc w:val="both"/>
        <w:rPr>
          <w:rFonts w:ascii="Arial" w:hAnsi="Arial" w:cs="Arial"/>
          <w:sz w:val="24"/>
          <w:szCs w:val="24"/>
        </w:rPr>
      </w:pPr>
    </w:p>
    <w:p w14:paraId="1FB95899" w14:textId="77777777" w:rsidR="00044E7A" w:rsidRDefault="00044E7A">
      <w:pPr>
        <w:spacing w:line="360" w:lineRule="auto"/>
        <w:jc w:val="both"/>
        <w:rPr>
          <w:rFonts w:ascii="Arial" w:hAnsi="Arial" w:cs="Arial"/>
          <w:sz w:val="24"/>
          <w:szCs w:val="24"/>
        </w:rPr>
      </w:pPr>
    </w:p>
    <w:p w14:paraId="24889D2E" w14:textId="77777777" w:rsidR="00044E7A" w:rsidRDefault="00044E7A">
      <w:pPr>
        <w:spacing w:line="360" w:lineRule="auto"/>
        <w:jc w:val="both"/>
        <w:rPr>
          <w:rFonts w:ascii="Arial" w:hAnsi="Arial" w:cs="Arial"/>
          <w:sz w:val="24"/>
          <w:szCs w:val="24"/>
        </w:rPr>
      </w:pPr>
    </w:p>
    <w:p w14:paraId="2802BF03" w14:textId="77777777" w:rsidR="00044E7A" w:rsidRDefault="00044E7A">
      <w:pPr>
        <w:spacing w:line="360" w:lineRule="auto"/>
        <w:jc w:val="both"/>
        <w:rPr>
          <w:rFonts w:ascii="Arial" w:hAnsi="Arial" w:cs="Arial"/>
          <w:sz w:val="24"/>
          <w:szCs w:val="24"/>
        </w:rPr>
      </w:pPr>
    </w:p>
    <w:p w14:paraId="0C668CA4" w14:textId="77777777" w:rsidR="00044E7A" w:rsidRDefault="00000000">
      <w:pPr>
        <w:spacing w:after="240" w:line="360" w:lineRule="auto"/>
        <w:ind w:firstLine="720"/>
        <w:jc w:val="center"/>
        <w:rPr>
          <w:rFonts w:ascii="Arial" w:eastAsia="Times New Roman" w:hAnsi="Arial" w:cs="Arial"/>
          <w:b/>
          <w:bCs/>
          <w:sz w:val="24"/>
          <w:szCs w:val="24"/>
        </w:rPr>
      </w:pPr>
      <w:r>
        <w:rPr>
          <w:rFonts w:ascii="Arial" w:hAnsi="Arial" w:cs="Arial"/>
          <w:b/>
          <w:bCs/>
          <w:noProof/>
          <w:sz w:val="24"/>
          <w:szCs w:val="24"/>
          <w:lang w:val="en-US"/>
        </w:rPr>
        <w:drawing>
          <wp:inline distT="0" distB="0" distL="0" distR="0" wp14:anchorId="5B680729" wp14:editId="40E783BD">
            <wp:extent cx="1809750" cy="723900"/>
            <wp:effectExtent l="0" t="0" r="3810" b="0"/>
            <wp:docPr id="35113713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37135"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552E2C0B" w14:textId="77777777" w:rsidR="00044E7A" w:rsidRDefault="00000000">
      <w:pPr>
        <w:spacing w:after="240" w:line="360" w:lineRule="auto"/>
        <w:jc w:val="center"/>
        <w:rPr>
          <w:rFonts w:ascii="Arial" w:eastAsia="Times New Roman" w:hAnsi="Arial" w:cs="Arial"/>
          <w:b/>
          <w:bCs/>
          <w:sz w:val="24"/>
          <w:szCs w:val="24"/>
        </w:rPr>
      </w:pPr>
      <w:r>
        <w:rPr>
          <w:rFonts w:ascii="Arial" w:eastAsia="Times New Roman" w:hAnsi="Arial" w:cs="Arial"/>
          <w:b/>
          <w:bCs/>
          <w:sz w:val="24"/>
          <w:szCs w:val="24"/>
        </w:rPr>
        <w:t>Programme: Master of Business Administration</w:t>
      </w:r>
    </w:p>
    <w:p w14:paraId="675C923D" w14:textId="77777777" w:rsidR="00044E7A" w:rsidRDefault="00000000">
      <w:pPr>
        <w:spacing w:after="240" w:line="360" w:lineRule="auto"/>
        <w:jc w:val="center"/>
        <w:rPr>
          <w:rFonts w:ascii="Arial" w:eastAsia="Times New Roman" w:hAnsi="Arial" w:cs="Arial"/>
          <w:b/>
          <w:bCs/>
          <w:sz w:val="24"/>
          <w:szCs w:val="24"/>
        </w:rPr>
      </w:pPr>
      <w:r>
        <w:rPr>
          <w:rFonts w:ascii="Arial" w:eastAsia="Times New Roman" w:hAnsi="Arial" w:cs="Arial"/>
          <w:b/>
          <w:bCs/>
          <w:sz w:val="24"/>
          <w:szCs w:val="24"/>
        </w:rPr>
        <w:t>Module: Financial Management</w:t>
      </w:r>
    </w:p>
    <w:p w14:paraId="65630BBE" w14:textId="77777777" w:rsidR="00044E7A" w:rsidRDefault="00000000">
      <w:pPr>
        <w:spacing w:after="240" w:line="360" w:lineRule="auto"/>
        <w:jc w:val="center"/>
        <w:rPr>
          <w:rFonts w:ascii="Arial" w:eastAsia="Times New Roman" w:hAnsi="Arial" w:cs="Arial"/>
          <w:b/>
          <w:bCs/>
          <w:sz w:val="24"/>
          <w:szCs w:val="24"/>
        </w:rPr>
      </w:pPr>
      <w:r>
        <w:rPr>
          <w:rFonts w:ascii="Arial" w:eastAsia="Times New Roman" w:hAnsi="Arial" w:cs="Arial"/>
          <w:b/>
          <w:bCs/>
          <w:sz w:val="24"/>
          <w:szCs w:val="24"/>
        </w:rPr>
        <w:t>Module Code: LCMB7002</w:t>
      </w:r>
    </w:p>
    <w:p w14:paraId="23C67335" w14:textId="77777777" w:rsidR="00044E7A" w:rsidRDefault="00000000">
      <w:pPr>
        <w:spacing w:after="240" w:line="360" w:lineRule="auto"/>
        <w:jc w:val="center"/>
        <w:rPr>
          <w:rFonts w:ascii="Arial" w:eastAsia="Times New Roman" w:hAnsi="Arial" w:cs="Arial"/>
          <w:b/>
          <w:bCs/>
          <w:sz w:val="24"/>
          <w:szCs w:val="24"/>
          <w:lang w:val="en-US"/>
        </w:rPr>
      </w:pPr>
      <w:r>
        <w:rPr>
          <w:rFonts w:ascii="Arial" w:eastAsia="Times New Roman" w:hAnsi="Arial" w:cs="Arial"/>
          <w:b/>
          <w:bCs/>
          <w:sz w:val="24"/>
          <w:szCs w:val="24"/>
          <w:lang w:val="en-US"/>
        </w:rPr>
        <w:t>Module Lecturer: Dr Patrick Yeboah</w:t>
      </w:r>
    </w:p>
    <w:p w14:paraId="0F3E8369" w14:textId="77777777" w:rsidR="00044E7A" w:rsidRDefault="00000000">
      <w:pPr>
        <w:spacing w:after="240" w:line="360" w:lineRule="auto"/>
        <w:jc w:val="center"/>
        <w:rPr>
          <w:rFonts w:ascii="Arial" w:eastAsia="Times New Roman" w:hAnsi="Arial" w:cs="Arial"/>
          <w:b/>
          <w:bCs/>
          <w:i/>
          <w:sz w:val="24"/>
          <w:szCs w:val="24"/>
        </w:rPr>
      </w:pPr>
      <w:r>
        <w:rPr>
          <w:rFonts w:ascii="Arial" w:eastAsia="Times New Roman" w:hAnsi="Arial" w:cs="Arial"/>
          <w:b/>
          <w:bCs/>
          <w:i/>
          <w:sz w:val="24"/>
          <w:szCs w:val="24"/>
        </w:rPr>
        <w:t>Financial Performance Evaluation and Strategic Financial Management Analysis of InterContinental Hotels Group (IHG)</w:t>
      </w:r>
    </w:p>
    <w:p w14:paraId="6C440DBC" w14:textId="77777777" w:rsidR="00044E7A" w:rsidRDefault="00000000">
      <w:pPr>
        <w:spacing w:after="240" w:line="360" w:lineRule="auto"/>
        <w:jc w:val="center"/>
        <w:rPr>
          <w:rFonts w:ascii="Arial" w:eastAsia="Times New Roman" w:hAnsi="Arial" w:cs="Arial"/>
          <w:b/>
          <w:bCs/>
          <w:sz w:val="24"/>
          <w:szCs w:val="24"/>
        </w:rPr>
      </w:pPr>
      <w:r>
        <w:rPr>
          <w:rFonts w:ascii="Arial" w:eastAsia="Times New Roman" w:hAnsi="Arial" w:cs="Arial"/>
          <w:b/>
          <w:bCs/>
          <w:sz w:val="24"/>
          <w:szCs w:val="24"/>
        </w:rPr>
        <w:t xml:space="preserve">Student </w:t>
      </w:r>
      <w:r>
        <w:rPr>
          <w:rFonts w:ascii="Arial" w:eastAsia="Times New Roman" w:hAnsi="Arial" w:cs="Arial"/>
          <w:b/>
          <w:bCs/>
          <w:sz w:val="24"/>
          <w:szCs w:val="24"/>
          <w:lang w:val="en-US"/>
        </w:rPr>
        <w:t xml:space="preserve">Name: </w:t>
      </w:r>
      <w:proofErr w:type="spellStart"/>
      <w:r>
        <w:rPr>
          <w:rFonts w:ascii="Arial" w:eastAsia="Times New Roman" w:hAnsi="Arial" w:cs="Arial"/>
          <w:b/>
          <w:bCs/>
          <w:sz w:val="24"/>
          <w:szCs w:val="24"/>
        </w:rPr>
        <w:t>Jaynilkumar</w:t>
      </w:r>
      <w:proofErr w:type="spellEnd"/>
      <w:r>
        <w:rPr>
          <w:rFonts w:ascii="Arial" w:eastAsia="Times New Roman" w:hAnsi="Arial" w:cs="Arial"/>
          <w:b/>
          <w:bCs/>
          <w:sz w:val="24"/>
          <w:szCs w:val="24"/>
        </w:rPr>
        <w:t xml:space="preserve"> </w:t>
      </w:r>
      <w:proofErr w:type="spellStart"/>
      <w:r>
        <w:rPr>
          <w:rFonts w:ascii="Arial" w:eastAsia="Times New Roman" w:hAnsi="Arial" w:cs="Arial"/>
          <w:b/>
          <w:bCs/>
          <w:sz w:val="24"/>
          <w:szCs w:val="24"/>
        </w:rPr>
        <w:t>Rameshbhai</w:t>
      </w:r>
      <w:proofErr w:type="spellEnd"/>
      <w:r>
        <w:rPr>
          <w:rFonts w:ascii="Arial" w:eastAsia="Times New Roman" w:hAnsi="Arial" w:cs="Arial"/>
          <w:b/>
          <w:bCs/>
          <w:sz w:val="24"/>
          <w:szCs w:val="24"/>
        </w:rPr>
        <w:t xml:space="preserve"> </w:t>
      </w:r>
      <w:proofErr w:type="spellStart"/>
      <w:r>
        <w:rPr>
          <w:rFonts w:ascii="Arial" w:eastAsia="Times New Roman" w:hAnsi="Arial" w:cs="Arial"/>
          <w:b/>
          <w:bCs/>
          <w:sz w:val="24"/>
          <w:szCs w:val="24"/>
        </w:rPr>
        <w:t>Barot</w:t>
      </w:r>
      <w:proofErr w:type="spellEnd"/>
    </w:p>
    <w:p w14:paraId="09CFE727" w14:textId="77777777" w:rsidR="00044E7A" w:rsidRDefault="00000000">
      <w:pPr>
        <w:spacing w:after="240" w:line="360" w:lineRule="auto"/>
        <w:jc w:val="center"/>
        <w:rPr>
          <w:rFonts w:ascii="Arial" w:eastAsia="Times New Roman" w:hAnsi="Arial" w:cs="Arial"/>
          <w:b/>
          <w:bCs/>
          <w:sz w:val="24"/>
          <w:szCs w:val="24"/>
        </w:rPr>
      </w:pPr>
      <w:r>
        <w:rPr>
          <w:rFonts w:ascii="Arial" w:eastAsia="Times New Roman" w:hAnsi="Arial" w:cs="Arial"/>
          <w:b/>
          <w:bCs/>
          <w:sz w:val="24"/>
          <w:szCs w:val="24"/>
        </w:rPr>
        <w:t>Student ID:2537840</w:t>
      </w:r>
    </w:p>
    <w:p w14:paraId="07E36E68" w14:textId="022C5238" w:rsidR="00044E7A" w:rsidRDefault="00044E7A">
      <w:pPr>
        <w:spacing w:line="360" w:lineRule="auto"/>
        <w:jc w:val="both"/>
        <w:rPr>
          <w:rFonts w:ascii="Arial" w:hAnsi="Arial" w:cs="Arial"/>
          <w:b/>
          <w:bCs/>
          <w:sz w:val="24"/>
          <w:szCs w:val="24"/>
        </w:rPr>
      </w:pPr>
    </w:p>
    <w:p w14:paraId="6095930E" w14:textId="19D1D022" w:rsidR="00744DFC" w:rsidRDefault="00744DFC">
      <w:pPr>
        <w:spacing w:line="360" w:lineRule="auto"/>
        <w:jc w:val="both"/>
        <w:rPr>
          <w:rFonts w:ascii="Arial" w:hAnsi="Arial" w:cs="Arial"/>
          <w:b/>
          <w:bCs/>
          <w:sz w:val="24"/>
          <w:szCs w:val="24"/>
        </w:rPr>
      </w:pPr>
    </w:p>
    <w:p w14:paraId="7042AEFF" w14:textId="77777777" w:rsidR="00744DFC" w:rsidRDefault="00744DFC">
      <w:pPr>
        <w:spacing w:line="360" w:lineRule="auto"/>
        <w:jc w:val="both"/>
        <w:rPr>
          <w:rFonts w:ascii="Arial" w:hAnsi="Arial" w:cs="Arial"/>
          <w:b/>
          <w:bCs/>
          <w:sz w:val="24"/>
          <w:szCs w:val="24"/>
        </w:rPr>
      </w:pPr>
    </w:p>
    <w:p w14:paraId="46041837" w14:textId="77777777" w:rsidR="00744DFC" w:rsidRDefault="00744DFC">
      <w:pPr>
        <w:spacing w:line="360" w:lineRule="auto"/>
        <w:jc w:val="both"/>
        <w:rPr>
          <w:rFonts w:ascii="Arial" w:hAnsi="Arial" w:cs="Arial"/>
          <w:b/>
          <w:bCs/>
          <w:sz w:val="24"/>
          <w:szCs w:val="24"/>
        </w:rPr>
      </w:pPr>
    </w:p>
    <w:p w14:paraId="7C9E40E5" w14:textId="77777777" w:rsidR="00744DFC" w:rsidRDefault="00744DFC">
      <w:pPr>
        <w:spacing w:line="360" w:lineRule="auto"/>
        <w:jc w:val="both"/>
        <w:rPr>
          <w:rFonts w:ascii="Arial" w:hAnsi="Arial" w:cs="Arial"/>
          <w:b/>
          <w:bCs/>
          <w:sz w:val="24"/>
          <w:szCs w:val="24"/>
        </w:rPr>
      </w:pPr>
    </w:p>
    <w:sdt>
      <w:sdtPr>
        <w:rPr>
          <w:rFonts w:ascii="Arial" w:eastAsiaTheme="minorHAnsi" w:hAnsi="Arial" w:cs="Arial"/>
          <w:color w:val="auto"/>
          <w:kern w:val="2"/>
          <w:sz w:val="24"/>
          <w:szCs w:val="24"/>
          <w:lang w:val="en-IN"/>
          <w14:ligatures w14:val="standardContextual"/>
        </w:rPr>
        <w:id w:val="-1945450657"/>
        <w:docPartObj>
          <w:docPartGallery w:val="Table of Contents"/>
          <w:docPartUnique/>
        </w:docPartObj>
      </w:sdtPr>
      <w:sdtEndPr>
        <w:rPr>
          <w:b/>
          <w:bCs/>
        </w:rPr>
      </w:sdtEndPr>
      <w:sdtContent>
        <w:p w14:paraId="51DE0573" w14:textId="77777777" w:rsidR="00044E7A" w:rsidRDefault="00000000">
          <w:pPr>
            <w:pStyle w:val="TOCHeading1"/>
            <w:spacing w:line="360" w:lineRule="auto"/>
            <w:jc w:val="both"/>
            <w:rPr>
              <w:rFonts w:ascii="Arial" w:hAnsi="Arial" w:cs="Arial"/>
              <w:sz w:val="24"/>
              <w:szCs w:val="24"/>
            </w:rPr>
          </w:pPr>
          <w:r>
            <w:rPr>
              <w:rFonts w:ascii="Arial" w:hAnsi="Arial" w:cs="Arial"/>
              <w:sz w:val="24"/>
              <w:szCs w:val="24"/>
            </w:rPr>
            <w:t>Contents</w:t>
          </w:r>
        </w:p>
        <w:p w14:paraId="4D83FE85" w14:textId="77777777" w:rsidR="00044E7A" w:rsidRDefault="00000000">
          <w:pPr>
            <w:pStyle w:val="TOC1"/>
            <w:tabs>
              <w:tab w:val="right" w:leader="dot" w:pos="9016"/>
            </w:tabs>
            <w:jc w:val="both"/>
            <w:rPr>
              <w:rFonts w:ascii="Arial" w:eastAsiaTheme="minorEastAsia" w:hAnsi="Arial" w:cs="Arial"/>
              <w:sz w:val="24"/>
              <w:szCs w:val="24"/>
              <w:lang w:eastAsia="en-IN"/>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w:anchor="_Toc233702115" w:history="1">
            <w:r w:rsidR="00044E7A">
              <w:rPr>
                <w:rStyle w:val="Hyperlink"/>
                <w:rFonts w:ascii="Arial" w:hAnsi="Arial" w:cs="Arial"/>
                <w:sz w:val="24"/>
                <w:szCs w:val="24"/>
              </w:rPr>
              <w:t>Introduction</w:t>
            </w:r>
            <w:r w:rsidR="00044E7A">
              <w:rPr>
                <w:rFonts w:ascii="Arial" w:hAnsi="Arial" w:cs="Arial"/>
                <w:sz w:val="24"/>
                <w:szCs w:val="24"/>
              </w:rPr>
              <w:tab/>
            </w:r>
            <w:r w:rsidR="00044E7A">
              <w:rPr>
                <w:rFonts w:ascii="Arial" w:hAnsi="Arial" w:cs="Arial"/>
                <w:sz w:val="24"/>
                <w:szCs w:val="24"/>
              </w:rPr>
              <w:fldChar w:fldCharType="begin"/>
            </w:r>
            <w:r w:rsidR="00044E7A">
              <w:rPr>
                <w:rFonts w:ascii="Arial" w:hAnsi="Arial" w:cs="Arial"/>
                <w:sz w:val="24"/>
                <w:szCs w:val="24"/>
              </w:rPr>
              <w:instrText xml:space="preserve"> PAGEREF _Toc233702115 \h </w:instrText>
            </w:r>
            <w:r w:rsidR="00044E7A">
              <w:rPr>
                <w:rFonts w:ascii="Arial" w:hAnsi="Arial" w:cs="Arial"/>
                <w:sz w:val="24"/>
                <w:szCs w:val="24"/>
              </w:rPr>
            </w:r>
            <w:r w:rsidR="00044E7A">
              <w:rPr>
                <w:rFonts w:ascii="Arial" w:hAnsi="Arial" w:cs="Arial"/>
                <w:sz w:val="24"/>
                <w:szCs w:val="24"/>
              </w:rPr>
              <w:fldChar w:fldCharType="separate"/>
            </w:r>
            <w:r w:rsidR="00044E7A">
              <w:rPr>
                <w:rFonts w:ascii="Arial" w:hAnsi="Arial" w:cs="Arial"/>
                <w:sz w:val="24"/>
                <w:szCs w:val="24"/>
              </w:rPr>
              <w:t>3</w:t>
            </w:r>
            <w:r w:rsidR="00044E7A">
              <w:rPr>
                <w:rFonts w:ascii="Arial" w:hAnsi="Arial" w:cs="Arial"/>
                <w:sz w:val="24"/>
                <w:szCs w:val="24"/>
              </w:rPr>
              <w:fldChar w:fldCharType="end"/>
            </w:r>
          </w:hyperlink>
        </w:p>
        <w:p w14:paraId="5BC803D0" w14:textId="77777777" w:rsidR="00044E7A" w:rsidRDefault="00044E7A">
          <w:pPr>
            <w:pStyle w:val="TOC1"/>
            <w:tabs>
              <w:tab w:val="right" w:leader="dot" w:pos="9016"/>
            </w:tabs>
            <w:jc w:val="both"/>
            <w:rPr>
              <w:rFonts w:ascii="Arial" w:eastAsiaTheme="minorEastAsia" w:hAnsi="Arial" w:cs="Arial"/>
              <w:sz w:val="24"/>
              <w:szCs w:val="24"/>
              <w:lang w:eastAsia="en-IN"/>
            </w:rPr>
          </w:pPr>
          <w:hyperlink w:anchor="_Toc233702116" w:history="1">
            <w:r>
              <w:rPr>
                <w:rStyle w:val="Hyperlink"/>
                <w:rFonts w:ascii="Arial" w:hAnsi="Arial" w:cs="Arial"/>
                <w:sz w:val="24"/>
                <w:szCs w:val="24"/>
              </w:rPr>
              <w:t>1. Financial Health Check</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_Toc233702116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hyperlink>
        </w:p>
        <w:p w14:paraId="2347380D"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17" w:history="1">
            <w:r>
              <w:rPr>
                <w:rStyle w:val="Hyperlink"/>
                <w:rFonts w:ascii="Arial" w:hAnsi="Arial" w:cs="Arial"/>
                <w:sz w:val="24"/>
                <w:szCs w:val="24"/>
              </w:rPr>
              <w:t>1.1 Analysis of financial statements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_Toc233702117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hyperlink>
        </w:p>
        <w:p w14:paraId="7E3E1D5D"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18" w:history="1">
            <w:r>
              <w:rPr>
                <w:rStyle w:val="Hyperlink"/>
                <w:rFonts w:ascii="Arial" w:hAnsi="Arial" w:cs="Arial"/>
                <w:sz w:val="24"/>
                <w:szCs w:val="24"/>
              </w:rPr>
              <w:t>1.2 Ratio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_Toc233702118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hyperlink>
        </w:p>
        <w:p w14:paraId="2FF98667" w14:textId="77777777" w:rsidR="00044E7A" w:rsidRDefault="00044E7A">
          <w:pPr>
            <w:pStyle w:val="TOC3"/>
            <w:tabs>
              <w:tab w:val="right" w:leader="dot" w:pos="9016"/>
            </w:tabs>
            <w:jc w:val="both"/>
            <w:rPr>
              <w:rFonts w:ascii="Arial" w:eastAsiaTheme="minorEastAsia" w:hAnsi="Arial" w:cs="Arial"/>
              <w:sz w:val="24"/>
              <w:szCs w:val="24"/>
              <w:lang w:eastAsia="en-IN"/>
            </w:rPr>
          </w:pPr>
          <w:hyperlink w:anchor="_Toc233702119" w:history="1">
            <w:r>
              <w:rPr>
                <w:rStyle w:val="Hyperlink"/>
                <w:rFonts w:ascii="Arial" w:hAnsi="Arial" w:cs="Arial"/>
                <w:sz w:val="24"/>
                <w:szCs w:val="24"/>
              </w:rPr>
              <w:t>a) Analysis of profitability ratios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_Toc233702119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hyperlink>
        </w:p>
        <w:p w14:paraId="12A5DC96" w14:textId="77777777" w:rsidR="00044E7A" w:rsidRDefault="00044E7A">
          <w:pPr>
            <w:pStyle w:val="TOC3"/>
            <w:tabs>
              <w:tab w:val="right" w:leader="dot" w:pos="9016"/>
            </w:tabs>
            <w:jc w:val="both"/>
            <w:rPr>
              <w:rFonts w:ascii="Arial" w:eastAsiaTheme="minorEastAsia" w:hAnsi="Arial" w:cs="Arial"/>
              <w:sz w:val="24"/>
              <w:szCs w:val="24"/>
              <w:lang w:eastAsia="en-IN"/>
            </w:rPr>
          </w:pPr>
          <w:hyperlink w:anchor="_Toc233702120" w:history="1">
            <w:r>
              <w:rPr>
                <w:rStyle w:val="Hyperlink"/>
                <w:rFonts w:ascii="Arial" w:hAnsi="Arial" w:cs="Arial"/>
                <w:sz w:val="24"/>
                <w:szCs w:val="24"/>
              </w:rPr>
              <w:t>b) Analysis of efficiency ratios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_Toc233702120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hyperlink>
        </w:p>
        <w:p w14:paraId="000C1EB1" w14:textId="77777777" w:rsidR="00044E7A" w:rsidRDefault="00044E7A">
          <w:pPr>
            <w:pStyle w:val="TOC3"/>
            <w:tabs>
              <w:tab w:val="right" w:leader="dot" w:pos="9016"/>
            </w:tabs>
            <w:jc w:val="both"/>
            <w:rPr>
              <w:rFonts w:ascii="Arial" w:eastAsiaTheme="minorEastAsia" w:hAnsi="Arial" w:cs="Arial"/>
              <w:sz w:val="24"/>
              <w:szCs w:val="24"/>
              <w:lang w:eastAsia="en-IN"/>
            </w:rPr>
          </w:pPr>
          <w:hyperlink w:anchor="_Toc233702121" w:history="1">
            <w:r>
              <w:rPr>
                <w:rStyle w:val="Hyperlink"/>
                <w:rFonts w:ascii="Arial" w:hAnsi="Arial" w:cs="Arial"/>
                <w:sz w:val="24"/>
                <w:szCs w:val="24"/>
              </w:rPr>
              <w:t>c) Analysis of liquidity ratios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_Toc233702121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hyperlink>
        </w:p>
        <w:p w14:paraId="6C02289E" w14:textId="77777777" w:rsidR="00044E7A" w:rsidRDefault="00044E7A">
          <w:pPr>
            <w:pStyle w:val="TOC3"/>
            <w:tabs>
              <w:tab w:val="right" w:leader="dot" w:pos="9016"/>
            </w:tabs>
            <w:jc w:val="both"/>
            <w:rPr>
              <w:rFonts w:ascii="Arial" w:eastAsiaTheme="minorEastAsia" w:hAnsi="Arial" w:cs="Arial"/>
              <w:sz w:val="24"/>
              <w:szCs w:val="24"/>
              <w:lang w:eastAsia="en-IN"/>
            </w:rPr>
          </w:pPr>
          <w:hyperlink w:anchor="_Toc233702122" w:history="1">
            <w:r>
              <w:rPr>
                <w:rStyle w:val="Hyperlink"/>
                <w:rFonts w:ascii="Arial" w:hAnsi="Arial" w:cs="Arial"/>
                <w:sz w:val="24"/>
                <w:szCs w:val="24"/>
              </w:rPr>
              <w:t>d) Analysis of solvency ratios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_Toc233702122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hyperlink>
        </w:p>
        <w:p w14:paraId="29DD17B5" w14:textId="77777777" w:rsidR="00044E7A" w:rsidRDefault="00044E7A">
          <w:pPr>
            <w:pStyle w:val="TOC3"/>
            <w:tabs>
              <w:tab w:val="right" w:leader="dot" w:pos="9016"/>
            </w:tabs>
            <w:jc w:val="both"/>
            <w:rPr>
              <w:rFonts w:ascii="Arial" w:eastAsiaTheme="minorEastAsia" w:hAnsi="Arial" w:cs="Arial"/>
              <w:sz w:val="24"/>
              <w:szCs w:val="24"/>
              <w:lang w:eastAsia="en-IN"/>
            </w:rPr>
          </w:pPr>
          <w:hyperlink w:anchor="_Toc233702123" w:history="1">
            <w:r>
              <w:rPr>
                <w:rStyle w:val="Hyperlink"/>
                <w:rFonts w:ascii="Arial" w:hAnsi="Arial" w:cs="Arial"/>
                <w:sz w:val="24"/>
                <w:szCs w:val="24"/>
              </w:rPr>
              <w:t>e) Analysis of investment rations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_Toc233702123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hyperlink>
        </w:p>
        <w:p w14:paraId="21E34802" w14:textId="77777777" w:rsidR="00044E7A" w:rsidRDefault="00044E7A">
          <w:pPr>
            <w:pStyle w:val="TOC3"/>
            <w:tabs>
              <w:tab w:val="right" w:leader="dot" w:pos="9016"/>
            </w:tabs>
            <w:jc w:val="both"/>
            <w:rPr>
              <w:rFonts w:ascii="Arial" w:eastAsiaTheme="minorEastAsia" w:hAnsi="Arial" w:cs="Arial"/>
              <w:sz w:val="24"/>
              <w:szCs w:val="24"/>
              <w:lang w:eastAsia="en-IN"/>
            </w:rPr>
          </w:pPr>
          <w:hyperlink w:anchor="_Toc233702124" w:history="1">
            <w:r>
              <w:rPr>
                <w:rStyle w:val="Hyperlink"/>
                <w:rFonts w:ascii="Arial" w:hAnsi="Arial" w:cs="Arial"/>
                <w:sz w:val="24"/>
                <w:szCs w:val="24"/>
              </w:rPr>
              <w:t>f) Analysis of cash flow ratios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_Toc233702124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hyperlink>
        </w:p>
        <w:p w14:paraId="274E329F"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25" w:history="1">
            <w:r>
              <w:rPr>
                <w:rStyle w:val="Hyperlink"/>
                <w:rFonts w:ascii="Arial" w:hAnsi="Arial" w:cs="Arial"/>
                <w:sz w:val="24"/>
                <w:szCs w:val="24"/>
              </w:rPr>
              <w:t>1.3 Identification of trends, strengths and potential threats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_Toc233702125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hyperlink>
        </w:p>
        <w:p w14:paraId="7DF8B295"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26" w:history="1">
            <w:r>
              <w:rPr>
                <w:rStyle w:val="Hyperlink"/>
                <w:rFonts w:ascii="Arial" w:hAnsi="Arial" w:cs="Arial"/>
                <w:sz w:val="24"/>
                <w:szCs w:val="24"/>
              </w:rPr>
              <w:t>1.4 Comparison of liquidity ratios with industry benchmark</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_Toc233702126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hyperlink>
        </w:p>
        <w:p w14:paraId="48E80081" w14:textId="77777777" w:rsidR="00044E7A" w:rsidRDefault="00044E7A">
          <w:pPr>
            <w:pStyle w:val="TOC1"/>
            <w:tabs>
              <w:tab w:val="right" w:leader="dot" w:pos="9016"/>
            </w:tabs>
            <w:jc w:val="both"/>
            <w:rPr>
              <w:rFonts w:ascii="Arial" w:eastAsiaTheme="minorEastAsia" w:hAnsi="Arial" w:cs="Arial"/>
              <w:sz w:val="24"/>
              <w:szCs w:val="24"/>
              <w:lang w:eastAsia="en-IN"/>
            </w:rPr>
          </w:pPr>
          <w:hyperlink w:anchor="_Toc233702127" w:history="1">
            <w:r>
              <w:rPr>
                <w:rStyle w:val="Hyperlink"/>
                <w:rFonts w:ascii="Arial" w:hAnsi="Arial" w:cs="Arial"/>
                <w:sz w:val="24"/>
                <w:szCs w:val="24"/>
              </w:rPr>
              <w:t>2. Analysis of working capital management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_Toc233702127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hyperlink>
        </w:p>
        <w:p w14:paraId="076830CE"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28" w:history="1">
            <w:r>
              <w:rPr>
                <w:rStyle w:val="Hyperlink"/>
                <w:rFonts w:ascii="Arial" w:hAnsi="Arial" w:cs="Arial"/>
                <w:sz w:val="24"/>
                <w:szCs w:val="24"/>
              </w:rPr>
              <w:t>2.1 Cash Operating Cycle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_Toc233702128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hyperlink>
        </w:p>
        <w:p w14:paraId="4324FD71"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29" w:history="1">
            <w:r>
              <w:rPr>
                <w:rStyle w:val="Hyperlink"/>
                <w:rFonts w:ascii="Arial" w:hAnsi="Arial" w:cs="Arial"/>
                <w:sz w:val="24"/>
                <w:szCs w:val="24"/>
              </w:rPr>
              <w:t>2.2 Strategies to improve liquidity position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_Toc233702129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hyperlink>
        </w:p>
        <w:p w14:paraId="7D1BB123"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30" w:history="1">
            <w:r>
              <w:rPr>
                <w:rStyle w:val="Hyperlink"/>
                <w:rFonts w:ascii="Arial" w:hAnsi="Arial" w:cs="Arial"/>
                <w:sz w:val="24"/>
                <w:szCs w:val="24"/>
              </w:rPr>
              <w:t>2.3 Short-term vs Long-term financing options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_Toc233702130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hyperlink>
        </w:p>
        <w:p w14:paraId="2A678ACB" w14:textId="77777777" w:rsidR="00044E7A" w:rsidRDefault="00044E7A">
          <w:pPr>
            <w:pStyle w:val="TOC1"/>
            <w:tabs>
              <w:tab w:val="right" w:leader="dot" w:pos="9016"/>
            </w:tabs>
            <w:jc w:val="both"/>
            <w:rPr>
              <w:rFonts w:ascii="Arial" w:eastAsiaTheme="minorEastAsia" w:hAnsi="Arial" w:cs="Arial"/>
              <w:sz w:val="24"/>
              <w:szCs w:val="24"/>
              <w:lang w:eastAsia="en-IN"/>
            </w:rPr>
          </w:pPr>
          <w:hyperlink w:anchor="_Toc233702131" w:history="1">
            <w:r>
              <w:rPr>
                <w:rStyle w:val="Hyperlink"/>
                <w:rFonts w:ascii="Arial" w:hAnsi="Arial" w:cs="Arial"/>
                <w:sz w:val="24"/>
                <w:szCs w:val="24"/>
              </w:rPr>
              <w:t>3. Strategic financial restructuring plan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_Toc233702131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hyperlink>
        </w:p>
        <w:p w14:paraId="614469FB"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32" w:history="1">
            <w:r>
              <w:rPr>
                <w:rStyle w:val="Hyperlink"/>
                <w:rFonts w:ascii="Arial" w:hAnsi="Arial" w:cs="Arial"/>
                <w:sz w:val="24"/>
                <w:szCs w:val="24"/>
              </w:rPr>
              <w:t>3.1 Financial restructuring options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_Toc233702132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hyperlink>
        </w:p>
        <w:p w14:paraId="18A2B307"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33" w:history="1">
            <w:r>
              <w:rPr>
                <w:rStyle w:val="Hyperlink"/>
                <w:rFonts w:ascii="Arial" w:hAnsi="Arial" w:cs="Arial"/>
                <w:sz w:val="24"/>
                <w:szCs w:val="24"/>
              </w:rPr>
              <w:t>3.2 Impact on debt structure, shareholder’s value and operational flexibility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_Toc233702133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hyperlink>
        </w:p>
        <w:p w14:paraId="34BADC26"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34" w:history="1">
            <w:r>
              <w:rPr>
                <w:rStyle w:val="Hyperlink"/>
                <w:rFonts w:ascii="Arial" w:hAnsi="Arial" w:cs="Arial"/>
                <w:sz w:val="24"/>
                <w:szCs w:val="24"/>
              </w:rPr>
              <w:t>3.3 International and ethical considerations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_Toc233702134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hyperlink>
        </w:p>
        <w:p w14:paraId="7F9C7804" w14:textId="77777777" w:rsidR="00044E7A" w:rsidRDefault="00044E7A">
          <w:pPr>
            <w:pStyle w:val="TOC1"/>
            <w:tabs>
              <w:tab w:val="right" w:leader="dot" w:pos="9016"/>
            </w:tabs>
            <w:jc w:val="both"/>
            <w:rPr>
              <w:rFonts w:ascii="Arial" w:eastAsiaTheme="minorEastAsia" w:hAnsi="Arial" w:cs="Arial"/>
              <w:sz w:val="24"/>
              <w:szCs w:val="24"/>
              <w:lang w:eastAsia="en-IN"/>
            </w:rPr>
          </w:pPr>
          <w:hyperlink w:anchor="_Toc233702135" w:history="1">
            <w:r>
              <w:rPr>
                <w:rStyle w:val="Hyperlink"/>
                <w:rFonts w:ascii="Arial" w:hAnsi="Arial" w:cs="Arial"/>
                <w:sz w:val="24"/>
                <w:szCs w:val="24"/>
              </w:rPr>
              <w:t>4. Investment appraisal and capital budgeting</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_Toc233702135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hyperlink>
        </w:p>
        <w:p w14:paraId="30B525F8"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36" w:history="1">
            <w:r>
              <w:rPr>
                <w:rStyle w:val="Hyperlink"/>
                <w:rFonts w:ascii="Arial" w:hAnsi="Arial" w:cs="Arial"/>
                <w:sz w:val="24"/>
                <w:szCs w:val="24"/>
              </w:rPr>
              <w:t>4.1 Application of different investment appraisal techniques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_Toc233702136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hyperlink>
        </w:p>
        <w:p w14:paraId="307E5FF4"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37" w:history="1">
            <w:r>
              <w:rPr>
                <w:rStyle w:val="Hyperlink"/>
                <w:rFonts w:ascii="Arial" w:hAnsi="Arial" w:cs="Arial"/>
                <w:sz w:val="24"/>
                <w:szCs w:val="24"/>
              </w:rPr>
              <w:t>4.2 Recommendation of most profitable project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_Toc233702137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hyperlink>
        </w:p>
        <w:p w14:paraId="7B33EAB4"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38" w:history="1">
            <w:r>
              <w:rPr>
                <w:rStyle w:val="Hyperlink"/>
                <w:rFonts w:ascii="Arial" w:hAnsi="Arial" w:cs="Arial"/>
                <w:sz w:val="24"/>
                <w:szCs w:val="24"/>
              </w:rPr>
              <w:t>4.3 Decision relating to capital rationing</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_Toc233702138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hyperlink>
        </w:p>
        <w:p w14:paraId="11BFFE25" w14:textId="77777777" w:rsidR="00044E7A" w:rsidRDefault="00044E7A">
          <w:pPr>
            <w:pStyle w:val="TOC1"/>
            <w:tabs>
              <w:tab w:val="right" w:leader="dot" w:pos="9016"/>
            </w:tabs>
            <w:jc w:val="both"/>
            <w:rPr>
              <w:rFonts w:ascii="Arial" w:eastAsiaTheme="minorEastAsia" w:hAnsi="Arial" w:cs="Arial"/>
              <w:sz w:val="24"/>
              <w:szCs w:val="24"/>
              <w:lang w:eastAsia="en-IN"/>
            </w:rPr>
          </w:pPr>
          <w:hyperlink w:anchor="_Toc233702139" w:history="1">
            <w:r>
              <w:rPr>
                <w:rStyle w:val="Hyperlink"/>
                <w:rFonts w:ascii="Arial" w:hAnsi="Arial" w:cs="Arial"/>
                <w:sz w:val="24"/>
                <w:szCs w:val="24"/>
              </w:rPr>
              <w:t>5. Critical reflection on usage of AI</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_Toc233702139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hyperlink>
        </w:p>
        <w:p w14:paraId="0D858392" w14:textId="77777777" w:rsidR="00044E7A" w:rsidRDefault="00044E7A">
          <w:pPr>
            <w:pStyle w:val="TOC1"/>
            <w:tabs>
              <w:tab w:val="right" w:leader="dot" w:pos="9016"/>
            </w:tabs>
            <w:jc w:val="both"/>
            <w:rPr>
              <w:rFonts w:ascii="Arial" w:eastAsiaTheme="minorEastAsia" w:hAnsi="Arial" w:cs="Arial"/>
              <w:sz w:val="24"/>
              <w:szCs w:val="24"/>
              <w:lang w:eastAsia="en-IN"/>
            </w:rPr>
          </w:pPr>
          <w:hyperlink w:anchor="_Toc233702140" w:history="1">
            <w:r>
              <w:rPr>
                <w:rStyle w:val="Hyperlink"/>
                <w:rFonts w:ascii="Arial" w:hAnsi="Arial" w:cs="Arial"/>
                <w:sz w:val="24"/>
                <w:szCs w:val="24"/>
              </w:rPr>
              <w:t>6. References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_Toc233702140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19</w:t>
            </w:r>
            <w:r>
              <w:rPr>
                <w:rFonts w:ascii="Arial" w:hAnsi="Arial" w:cs="Arial"/>
                <w:sz w:val="24"/>
                <w:szCs w:val="24"/>
              </w:rPr>
              <w:fldChar w:fldCharType="end"/>
            </w:r>
          </w:hyperlink>
        </w:p>
        <w:p w14:paraId="56153F5F" w14:textId="77777777" w:rsidR="00044E7A" w:rsidRDefault="00044E7A">
          <w:pPr>
            <w:pStyle w:val="TOC1"/>
            <w:tabs>
              <w:tab w:val="right" w:leader="dot" w:pos="9016"/>
            </w:tabs>
            <w:jc w:val="both"/>
            <w:rPr>
              <w:rFonts w:ascii="Arial" w:eastAsiaTheme="minorEastAsia" w:hAnsi="Arial" w:cs="Arial"/>
              <w:sz w:val="24"/>
              <w:szCs w:val="24"/>
              <w:lang w:eastAsia="en-IN"/>
            </w:rPr>
          </w:pPr>
          <w:hyperlink w:anchor="_Toc233702141" w:history="1">
            <w:r>
              <w:rPr>
                <w:rStyle w:val="Hyperlink"/>
                <w:rFonts w:ascii="Arial" w:hAnsi="Arial" w:cs="Arial"/>
                <w:sz w:val="24"/>
                <w:szCs w:val="24"/>
              </w:rPr>
              <w:t>7. Appendix</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_Toc233702141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23</w:t>
            </w:r>
            <w:r>
              <w:rPr>
                <w:rFonts w:ascii="Arial" w:hAnsi="Arial" w:cs="Arial"/>
                <w:sz w:val="24"/>
                <w:szCs w:val="24"/>
              </w:rPr>
              <w:fldChar w:fldCharType="end"/>
            </w:r>
          </w:hyperlink>
        </w:p>
        <w:p w14:paraId="082CF65B"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42" w:history="1">
            <w:r>
              <w:rPr>
                <w:rStyle w:val="Hyperlink"/>
                <w:rFonts w:ascii="Arial" w:hAnsi="Arial" w:cs="Arial"/>
                <w:sz w:val="24"/>
                <w:szCs w:val="24"/>
              </w:rPr>
              <w:t>7.1 Analysis of financial statements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_Toc233702142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23</w:t>
            </w:r>
            <w:r>
              <w:rPr>
                <w:rFonts w:ascii="Arial" w:hAnsi="Arial" w:cs="Arial"/>
                <w:sz w:val="24"/>
                <w:szCs w:val="24"/>
              </w:rPr>
              <w:fldChar w:fldCharType="end"/>
            </w:r>
          </w:hyperlink>
        </w:p>
        <w:p w14:paraId="3FF3C88A"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43" w:history="1">
            <w:r>
              <w:rPr>
                <w:rStyle w:val="Hyperlink"/>
                <w:rFonts w:ascii="Arial" w:hAnsi="Arial" w:cs="Arial"/>
                <w:sz w:val="24"/>
                <w:szCs w:val="24"/>
              </w:rPr>
              <w:t>7.2 Ratio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_Toc233702143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23</w:t>
            </w:r>
            <w:r>
              <w:rPr>
                <w:rFonts w:ascii="Arial" w:hAnsi="Arial" w:cs="Arial"/>
                <w:sz w:val="24"/>
                <w:szCs w:val="24"/>
              </w:rPr>
              <w:fldChar w:fldCharType="end"/>
            </w:r>
          </w:hyperlink>
        </w:p>
        <w:p w14:paraId="06613AEA"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44" w:history="1">
            <w:r>
              <w:rPr>
                <w:rStyle w:val="Hyperlink"/>
                <w:rFonts w:ascii="Arial" w:hAnsi="Arial" w:cs="Arial"/>
                <w:sz w:val="24"/>
                <w:szCs w:val="24"/>
              </w:rPr>
              <w:t>7.3 Comparison of liquidity position with competitor</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_Toc233702144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25</w:t>
            </w:r>
            <w:r>
              <w:rPr>
                <w:rFonts w:ascii="Arial" w:hAnsi="Arial" w:cs="Arial"/>
                <w:sz w:val="24"/>
                <w:szCs w:val="24"/>
              </w:rPr>
              <w:fldChar w:fldCharType="end"/>
            </w:r>
          </w:hyperlink>
        </w:p>
        <w:p w14:paraId="5B1DE23F" w14:textId="77777777" w:rsidR="00044E7A" w:rsidRDefault="00044E7A">
          <w:pPr>
            <w:pStyle w:val="TOC2"/>
            <w:tabs>
              <w:tab w:val="right" w:leader="dot" w:pos="9016"/>
            </w:tabs>
            <w:jc w:val="both"/>
            <w:rPr>
              <w:rFonts w:ascii="Arial" w:eastAsiaTheme="minorEastAsia" w:hAnsi="Arial" w:cs="Arial"/>
              <w:sz w:val="24"/>
              <w:szCs w:val="24"/>
              <w:lang w:eastAsia="en-IN"/>
            </w:rPr>
          </w:pPr>
          <w:hyperlink w:anchor="_Toc233702145" w:history="1">
            <w:r>
              <w:rPr>
                <w:rStyle w:val="Hyperlink"/>
                <w:rFonts w:ascii="Arial" w:hAnsi="Arial" w:cs="Arial"/>
                <w:sz w:val="24"/>
                <w:szCs w:val="24"/>
              </w:rPr>
              <w:t>7.4 Application of investment appraisal techniques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_Toc233702145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26</w:t>
            </w:r>
            <w:r>
              <w:rPr>
                <w:rFonts w:ascii="Arial" w:hAnsi="Arial" w:cs="Arial"/>
                <w:sz w:val="24"/>
                <w:szCs w:val="24"/>
              </w:rPr>
              <w:fldChar w:fldCharType="end"/>
            </w:r>
          </w:hyperlink>
        </w:p>
        <w:p w14:paraId="247D706B" w14:textId="77777777" w:rsidR="00044E7A" w:rsidRDefault="00000000">
          <w:pPr>
            <w:spacing w:line="360" w:lineRule="auto"/>
            <w:jc w:val="both"/>
            <w:rPr>
              <w:rFonts w:ascii="Arial" w:hAnsi="Arial" w:cs="Arial"/>
              <w:sz w:val="24"/>
              <w:szCs w:val="24"/>
            </w:rPr>
          </w:pPr>
          <w:r>
            <w:rPr>
              <w:rFonts w:ascii="Arial" w:hAnsi="Arial" w:cs="Arial"/>
              <w:b/>
              <w:bCs/>
              <w:sz w:val="24"/>
              <w:szCs w:val="24"/>
            </w:rPr>
            <w:fldChar w:fldCharType="end"/>
          </w:r>
        </w:p>
      </w:sdtContent>
    </w:sdt>
    <w:p w14:paraId="7B4E7110" w14:textId="77777777" w:rsidR="00044E7A" w:rsidRDefault="00044E7A">
      <w:pPr>
        <w:spacing w:line="360" w:lineRule="auto"/>
        <w:jc w:val="both"/>
        <w:rPr>
          <w:rFonts w:ascii="Arial" w:hAnsi="Arial" w:cs="Arial"/>
          <w:sz w:val="24"/>
          <w:szCs w:val="24"/>
        </w:rPr>
      </w:pPr>
    </w:p>
    <w:p w14:paraId="432062F1" w14:textId="5F03CC46" w:rsidR="00044E7A" w:rsidRDefault="00000000" w:rsidP="00995185">
      <w:pPr>
        <w:spacing w:line="360" w:lineRule="auto"/>
        <w:jc w:val="both"/>
        <w:rPr>
          <w:rFonts w:ascii="Arial" w:hAnsi="Arial" w:cs="Arial"/>
          <w:sz w:val="24"/>
          <w:szCs w:val="24"/>
        </w:rPr>
      </w:pPr>
      <w:bookmarkStart w:id="0" w:name="_Toc233702115"/>
      <w:r>
        <w:rPr>
          <w:rFonts w:ascii="Arial" w:hAnsi="Arial" w:cs="Arial"/>
          <w:sz w:val="24"/>
          <w:szCs w:val="24"/>
        </w:rPr>
        <w:t>Introduction</w:t>
      </w:r>
      <w:bookmarkEnd w:id="0"/>
    </w:p>
    <w:p w14:paraId="4C807DFC"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The given report provides a comprehensive financial and non-financial analysis of </w:t>
      </w:r>
      <w:r>
        <w:rPr>
          <w:rFonts w:ascii="Arial" w:hAnsi="Arial" w:cs="Arial"/>
          <w:b/>
          <w:bCs/>
          <w:sz w:val="24"/>
          <w:szCs w:val="24"/>
        </w:rPr>
        <w:t xml:space="preserve">InterContinental Hotels Group (IHG), </w:t>
      </w:r>
      <w:r>
        <w:rPr>
          <w:rFonts w:ascii="Arial" w:hAnsi="Arial" w:cs="Arial"/>
          <w:sz w:val="24"/>
          <w:szCs w:val="24"/>
        </w:rPr>
        <w:t>which is one of the leading hospitality company across the globe, operating a portfolio of globally recognized hotel brands. Being a newly appointed CFO of the company, objective of preparing the given report is to analyse the financial position and performance of company during the 5-year period from 2021 to 2025. Analysis is focussed on examining the key financial statements of given period, ratio analysis, cash flow performance and comparison with industry benchmarks to assess company’s profitability, operational efficiency, solvency, liquidity and shareholder’s value creation. Specific focus has been given to identify strengths, weaknesses, and emerging financial risks which can have a impact on future growth of company. Findings of the given report provides a strong foundation for development of strategic financial recommendations and investment decisions to ensure competitiveness, long-term sustainability and value creation for stakeholders.</w:t>
      </w:r>
    </w:p>
    <w:p w14:paraId="786DFC7E" w14:textId="77777777" w:rsidR="00044E7A" w:rsidRDefault="00000000">
      <w:pPr>
        <w:pStyle w:val="Heading1"/>
        <w:spacing w:line="360" w:lineRule="auto"/>
        <w:jc w:val="both"/>
        <w:rPr>
          <w:rFonts w:ascii="Arial" w:hAnsi="Arial" w:cs="Arial"/>
          <w:sz w:val="24"/>
          <w:szCs w:val="24"/>
        </w:rPr>
      </w:pPr>
      <w:bookmarkStart w:id="1" w:name="_Toc233702116"/>
      <w:r>
        <w:rPr>
          <w:rFonts w:ascii="Arial" w:hAnsi="Arial" w:cs="Arial"/>
          <w:sz w:val="24"/>
          <w:szCs w:val="24"/>
        </w:rPr>
        <w:t>1. Financial Health Check</w:t>
      </w:r>
      <w:bookmarkEnd w:id="1"/>
    </w:p>
    <w:p w14:paraId="2E7C66B6" w14:textId="77777777" w:rsidR="00044E7A" w:rsidRDefault="00000000">
      <w:pPr>
        <w:pStyle w:val="Heading2"/>
        <w:spacing w:line="360" w:lineRule="auto"/>
        <w:jc w:val="both"/>
        <w:rPr>
          <w:rFonts w:ascii="Arial" w:hAnsi="Arial" w:cs="Arial"/>
          <w:sz w:val="24"/>
          <w:szCs w:val="24"/>
        </w:rPr>
      </w:pPr>
      <w:bookmarkStart w:id="2" w:name="_Toc233702117"/>
      <w:r>
        <w:rPr>
          <w:rFonts w:ascii="Arial" w:hAnsi="Arial" w:cs="Arial"/>
          <w:sz w:val="24"/>
          <w:szCs w:val="24"/>
        </w:rPr>
        <w:t>1.1 Analysis of financial statements</w:t>
      </w:r>
      <w:bookmarkEnd w:id="2"/>
    </w:p>
    <w:p w14:paraId="757D0E2F" w14:textId="77777777" w:rsidR="00044E7A" w:rsidRDefault="00000000">
      <w:pPr>
        <w:jc w:val="both"/>
        <w:rPr>
          <w:rFonts w:ascii="Arial" w:hAnsi="Arial" w:cs="Arial"/>
          <w:b/>
          <w:bCs/>
          <w:sz w:val="24"/>
          <w:szCs w:val="24"/>
        </w:rPr>
      </w:pPr>
      <w:r>
        <w:rPr>
          <w:rFonts w:ascii="Arial" w:hAnsi="Arial" w:cs="Arial"/>
          <w:sz w:val="24"/>
          <w:szCs w:val="24"/>
        </w:rPr>
        <w:t xml:space="preserve">Analysis of various components of financial statements is provided in </w:t>
      </w:r>
      <w:r>
        <w:rPr>
          <w:rFonts w:ascii="Arial" w:hAnsi="Arial" w:cs="Arial"/>
          <w:b/>
          <w:bCs/>
          <w:sz w:val="24"/>
          <w:szCs w:val="24"/>
        </w:rPr>
        <w:t>Appendix-1.</w:t>
      </w:r>
    </w:p>
    <w:p w14:paraId="59961882"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Analysis of financial statements of IHG during 2021 to 2025 indicates strong post-pandemic recovery and growth achieved by company in its financial performance. </w:t>
      </w:r>
      <w:r>
        <w:rPr>
          <w:rFonts w:ascii="Arial" w:hAnsi="Arial" w:cs="Arial"/>
          <w:b/>
          <w:bCs/>
          <w:sz w:val="24"/>
          <w:szCs w:val="24"/>
        </w:rPr>
        <w:t xml:space="preserve">Revenue of company increased from $2,907 million in the year 2021 to $5,189 million in the year 2025, </w:t>
      </w:r>
      <w:r>
        <w:rPr>
          <w:rFonts w:ascii="Arial" w:hAnsi="Arial" w:cs="Arial"/>
          <w:sz w:val="24"/>
          <w:szCs w:val="24"/>
        </w:rPr>
        <w:t xml:space="preserve">representing the cumulative growth of around 78%. Highest growth in revenue was achieved by company in 2022 of 33.88% and in 2023 of 18.81% as compared to previous year which was as a result of recovery of global travel demand and increased occupancy levels in the hospitality sector. </w:t>
      </w:r>
    </w:p>
    <w:p w14:paraId="6E3721BE" w14:textId="77777777" w:rsidR="00044E7A" w:rsidRDefault="00000000">
      <w:pPr>
        <w:spacing w:line="360" w:lineRule="auto"/>
        <w:jc w:val="both"/>
        <w:rPr>
          <w:rFonts w:ascii="Arial" w:hAnsi="Arial" w:cs="Arial"/>
          <w:b/>
          <w:bCs/>
          <w:sz w:val="24"/>
          <w:szCs w:val="24"/>
        </w:rPr>
      </w:pPr>
      <w:r>
        <w:rPr>
          <w:rFonts w:ascii="Arial" w:hAnsi="Arial" w:cs="Arial"/>
          <w:b/>
          <w:bCs/>
          <w:sz w:val="24"/>
          <w:szCs w:val="24"/>
        </w:rPr>
        <w:t xml:space="preserve">Operating profit also increased from $494 million in the year 2021 to $1,198 million in the year 2025 </w:t>
      </w:r>
      <w:r>
        <w:rPr>
          <w:rFonts w:ascii="Arial" w:hAnsi="Arial" w:cs="Arial"/>
          <w:sz w:val="24"/>
          <w:szCs w:val="24"/>
        </w:rPr>
        <w:t xml:space="preserve">which demonstrate effective cost management and improved operational efficiency. Similarly, </w:t>
      </w:r>
      <w:r>
        <w:rPr>
          <w:rFonts w:ascii="Arial" w:hAnsi="Arial" w:cs="Arial"/>
          <w:b/>
          <w:bCs/>
          <w:sz w:val="24"/>
          <w:szCs w:val="24"/>
        </w:rPr>
        <w:t xml:space="preserve">net profits earned by company almost </w:t>
      </w:r>
      <w:r>
        <w:rPr>
          <w:rFonts w:ascii="Arial" w:hAnsi="Arial" w:cs="Arial"/>
          <w:b/>
          <w:bCs/>
          <w:sz w:val="24"/>
          <w:szCs w:val="24"/>
        </w:rPr>
        <w:lastRenderedPageBreak/>
        <w:t xml:space="preserve">increased three times from $265 million in 2021 to $759 million in 2025 </w:t>
      </w:r>
      <w:r>
        <w:rPr>
          <w:rFonts w:ascii="Arial" w:hAnsi="Arial" w:cs="Arial"/>
          <w:sz w:val="24"/>
          <w:szCs w:val="24"/>
        </w:rPr>
        <w:t>(although a temporary decline in net profits was observed during the year 2024)</w:t>
      </w:r>
      <w:r>
        <w:rPr>
          <w:rFonts w:ascii="Arial" w:hAnsi="Arial" w:cs="Arial"/>
          <w:b/>
          <w:bCs/>
          <w:sz w:val="24"/>
          <w:szCs w:val="24"/>
        </w:rPr>
        <w:t>.</w:t>
      </w:r>
    </w:p>
    <w:p w14:paraId="54167327"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Balance sheet position of the company also improved in the five-year period. There was a </w:t>
      </w:r>
      <w:r>
        <w:rPr>
          <w:rFonts w:ascii="Arial" w:hAnsi="Arial" w:cs="Arial"/>
          <w:b/>
          <w:bCs/>
          <w:sz w:val="24"/>
          <w:szCs w:val="24"/>
        </w:rPr>
        <w:t xml:space="preserve">steady increase in shareholder’s equity from $1,474 million in the year 2021 to $2,736 million in the year 2025, </w:t>
      </w:r>
      <w:r>
        <w:rPr>
          <w:rFonts w:ascii="Arial" w:hAnsi="Arial" w:cs="Arial"/>
          <w:sz w:val="24"/>
          <w:szCs w:val="24"/>
        </w:rPr>
        <w:t xml:space="preserve">reflecting enhanced shareholder’s value. </w:t>
      </w:r>
    </w:p>
    <w:p w14:paraId="7C4C8631"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Total assets of the company also increased by around 12.57% in 2025, </w:t>
      </w:r>
      <w:r>
        <w:rPr>
          <w:rFonts w:ascii="Arial" w:hAnsi="Arial" w:cs="Arial"/>
          <w:sz w:val="24"/>
          <w:szCs w:val="24"/>
        </w:rPr>
        <w:t>which indicate continued investment in strategic initiatives and business expansion (</w:t>
      </w:r>
      <w:proofErr w:type="spellStart"/>
      <w:r>
        <w:rPr>
          <w:rFonts w:ascii="Arial" w:hAnsi="Arial" w:cs="Arial"/>
          <w:sz w:val="24"/>
          <w:szCs w:val="24"/>
        </w:rPr>
        <w:t>Arifaj</w:t>
      </w:r>
      <w:proofErr w:type="spellEnd"/>
      <w:r>
        <w:rPr>
          <w:rFonts w:ascii="Arial" w:hAnsi="Arial" w:cs="Arial"/>
          <w:sz w:val="24"/>
          <w:szCs w:val="24"/>
        </w:rPr>
        <w:t xml:space="preserve"> et al, 2023). </w:t>
      </w:r>
    </w:p>
    <w:p w14:paraId="1EC4FCA4"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Cash flow from operating activities remained positive during the entire period and reached </w:t>
      </w:r>
      <w:proofErr w:type="spellStart"/>
      <w:r>
        <w:rPr>
          <w:rFonts w:ascii="Arial" w:hAnsi="Arial" w:cs="Arial"/>
          <w:b/>
          <w:bCs/>
          <w:sz w:val="24"/>
          <w:szCs w:val="24"/>
        </w:rPr>
        <w:t>upto</w:t>
      </w:r>
      <w:proofErr w:type="spellEnd"/>
      <w:r>
        <w:rPr>
          <w:rFonts w:ascii="Arial" w:hAnsi="Arial" w:cs="Arial"/>
          <w:b/>
          <w:bCs/>
          <w:sz w:val="24"/>
          <w:szCs w:val="24"/>
        </w:rPr>
        <w:t xml:space="preserve"> $898 million by the end of 2025 </w:t>
      </w:r>
      <w:r>
        <w:rPr>
          <w:rFonts w:ascii="Arial" w:hAnsi="Arial" w:cs="Arial"/>
          <w:sz w:val="24"/>
          <w:szCs w:val="24"/>
        </w:rPr>
        <w:t xml:space="preserve">which indicate the strong ability of company in generating cash flows from its core business operations. </w:t>
      </w:r>
      <w:r>
        <w:rPr>
          <w:rFonts w:ascii="Arial" w:hAnsi="Arial" w:cs="Arial"/>
          <w:b/>
          <w:bCs/>
          <w:sz w:val="24"/>
          <w:szCs w:val="24"/>
        </w:rPr>
        <w:t xml:space="preserve"> </w:t>
      </w:r>
    </w:p>
    <w:p w14:paraId="061CD65B" w14:textId="77777777" w:rsidR="00044E7A" w:rsidRDefault="00000000">
      <w:pPr>
        <w:pStyle w:val="Heading2"/>
        <w:spacing w:line="360" w:lineRule="auto"/>
        <w:jc w:val="both"/>
        <w:rPr>
          <w:rFonts w:ascii="Arial" w:hAnsi="Arial" w:cs="Arial"/>
          <w:sz w:val="24"/>
          <w:szCs w:val="24"/>
        </w:rPr>
      </w:pPr>
      <w:bookmarkStart w:id="3" w:name="_Toc233702118"/>
      <w:r>
        <w:rPr>
          <w:rFonts w:ascii="Arial" w:hAnsi="Arial" w:cs="Arial"/>
          <w:sz w:val="24"/>
          <w:szCs w:val="24"/>
        </w:rPr>
        <w:t>1.2 Ratio analysis</w:t>
      </w:r>
      <w:bookmarkEnd w:id="3"/>
    </w:p>
    <w:p w14:paraId="1B580C12" w14:textId="77777777" w:rsidR="00044E7A" w:rsidRDefault="00000000">
      <w:pPr>
        <w:jc w:val="both"/>
        <w:rPr>
          <w:rFonts w:ascii="Arial" w:hAnsi="Arial" w:cs="Arial"/>
          <w:b/>
          <w:bCs/>
          <w:sz w:val="24"/>
          <w:szCs w:val="24"/>
        </w:rPr>
      </w:pPr>
      <w:r>
        <w:rPr>
          <w:rFonts w:ascii="Arial" w:hAnsi="Arial" w:cs="Arial"/>
          <w:sz w:val="24"/>
          <w:szCs w:val="24"/>
        </w:rPr>
        <w:t xml:space="preserve">Ratios under different categories is provided in </w:t>
      </w:r>
      <w:r>
        <w:rPr>
          <w:rFonts w:ascii="Arial" w:hAnsi="Arial" w:cs="Arial"/>
          <w:b/>
          <w:bCs/>
          <w:sz w:val="24"/>
          <w:szCs w:val="24"/>
        </w:rPr>
        <w:t>Appendix-2.</w:t>
      </w:r>
    </w:p>
    <w:p w14:paraId="1BD3CC0F" w14:textId="77777777" w:rsidR="00044E7A" w:rsidRDefault="00000000">
      <w:pPr>
        <w:pStyle w:val="Heading3"/>
        <w:spacing w:line="360" w:lineRule="auto"/>
        <w:jc w:val="both"/>
        <w:rPr>
          <w:rFonts w:ascii="Arial" w:hAnsi="Arial" w:cs="Arial"/>
          <w:sz w:val="24"/>
          <w:szCs w:val="24"/>
        </w:rPr>
      </w:pPr>
      <w:bookmarkStart w:id="4" w:name="_Toc233702119"/>
      <w:r>
        <w:rPr>
          <w:rFonts w:ascii="Arial" w:hAnsi="Arial" w:cs="Arial"/>
          <w:sz w:val="24"/>
          <w:szCs w:val="24"/>
        </w:rPr>
        <w:t>a) Analysis of profitability ratios</w:t>
      </w:r>
      <w:bookmarkEnd w:id="4"/>
    </w:p>
    <w:p w14:paraId="274813CC"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Operating profit margin of IHG increased from 16.99% in the year 2021 to 23.09% in the year 2025. </w:t>
      </w:r>
      <w:r>
        <w:rPr>
          <w:rFonts w:ascii="Arial" w:hAnsi="Arial" w:cs="Arial"/>
          <w:sz w:val="24"/>
          <w:szCs w:val="24"/>
        </w:rPr>
        <w:t>Although, there was a slight decline in margin 16.14% in the year 2022, but it improved significantly in the year 2023 and remained higher than 21% thereafter. Improvement in this ratio demonstrates increased average room rate, higher occupancy rates and effective cost management. Operating profit margin of more than 20% indicates strong operational efficiency of company and ability of converting revenue into operational earnings (</w:t>
      </w:r>
      <w:proofErr w:type="spellStart"/>
      <w:r>
        <w:rPr>
          <w:rFonts w:ascii="Arial" w:hAnsi="Arial" w:cs="Arial"/>
          <w:sz w:val="24"/>
          <w:szCs w:val="24"/>
        </w:rPr>
        <w:t>Bastias</w:t>
      </w:r>
      <w:proofErr w:type="spellEnd"/>
      <w:r>
        <w:rPr>
          <w:rFonts w:ascii="Arial" w:hAnsi="Arial" w:cs="Arial"/>
          <w:sz w:val="24"/>
          <w:szCs w:val="24"/>
        </w:rPr>
        <w:t>, 2022).</w:t>
      </w:r>
    </w:p>
    <w:p w14:paraId="132C435E"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Similarly, </w:t>
      </w:r>
      <w:r>
        <w:rPr>
          <w:rFonts w:ascii="Arial" w:hAnsi="Arial" w:cs="Arial"/>
          <w:b/>
          <w:bCs/>
          <w:sz w:val="24"/>
          <w:szCs w:val="24"/>
        </w:rPr>
        <w:t xml:space="preserve">net profit margin also increased from 9.12% in the year 2021 to 14.63% in the year 2025. </w:t>
      </w:r>
      <w:r>
        <w:rPr>
          <w:rFonts w:ascii="Arial" w:hAnsi="Arial" w:cs="Arial"/>
          <w:sz w:val="24"/>
          <w:szCs w:val="24"/>
        </w:rPr>
        <w:t xml:space="preserve">Ratio was at highest level in the year 2023 of 16.22%before slightly moderating in subsequent years. Overall upward trend in the ratio indicates ability of company in controlling its operational expenses and finance expenses while also improving shareholders returns. </w:t>
      </w:r>
    </w:p>
    <w:p w14:paraId="242120DA" w14:textId="77777777" w:rsidR="00044E7A" w:rsidRDefault="00000000">
      <w:pPr>
        <w:pStyle w:val="Heading3"/>
        <w:spacing w:line="360" w:lineRule="auto"/>
        <w:jc w:val="both"/>
        <w:rPr>
          <w:rFonts w:ascii="Arial" w:hAnsi="Arial" w:cs="Arial"/>
          <w:sz w:val="24"/>
          <w:szCs w:val="24"/>
        </w:rPr>
      </w:pPr>
      <w:bookmarkStart w:id="5" w:name="_Toc233702120"/>
      <w:r>
        <w:rPr>
          <w:rFonts w:ascii="Arial" w:hAnsi="Arial" w:cs="Arial"/>
          <w:sz w:val="24"/>
          <w:szCs w:val="24"/>
        </w:rPr>
        <w:t>b) Analysis of efficiency ratios</w:t>
      </w:r>
      <w:bookmarkEnd w:id="5"/>
    </w:p>
    <w:p w14:paraId="25F60B69"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Receivables collection period of company has reduced from 72.07 days in the year 2021 to around 58.59 days by the end of 2025, </w:t>
      </w:r>
      <w:r>
        <w:rPr>
          <w:rFonts w:ascii="Arial" w:hAnsi="Arial" w:cs="Arial"/>
          <w:sz w:val="24"/>
          <w:szCs w:val="24"/>
        </w:rPr>
        <w:t xml:space="preserve">Improvement in this ratio </w:t>
      </w:r>
      <w:r>
        <w:rPr>
          <w:rFonts w:ascii="Arial" w:hAnsi="Arial" w:cs="Arial"/>
          <w:sz w:val="24"/>
          <w:szCs w:val="24"/>
        </w:rPr>
        <w:lastRenderedPageBreak/>
        <w:t>indicates faster collection of outstanding dues from customers and better credit control measures implemented in business. Maintaining a credit period of less than 60 days improves liquidity position in business and it also reduces the risk of bad debts.</w:t>
      </w:r>
    </w:p>
    <w:p w14:paraId="6B20882B"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Payables payment period observed a substantial reduction from 386 days in 2021 to 33 days by the end of 2025. </w:t>
      </w:r>
      <w:r>
        <w:rPr>
          <w:rFonts w:ascii="Arial" w:hAnsi="Arial" w:cs="Arial"/>
          <w:sz w:val="24"/>
          <w:szCs w:val="24"/>
        </w:rPr>
        <w:t xml:space="preserve">This unusual high ratio in the year 2021 likely represents temporary deferrals at the time of covid-pandemic period. Post that, this ratio stabilized between 32 days to 46 days which indicate improved relationship with suppliers and company being able to return to normal payment practices. Although, shorter payment period to trade receivables may reduce short-term financing benefits, however it support in long-term operational stability of company and reduce short-term financing benefits. </w:t>
      </w:r>
    </w:p>
    <w:p w14:paraId="5A14CF55"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Inventory turnover ratio remained at a exceptionally high level during the entire five-year period ranging between 136 times in 2021 to 186 times in the year 2025. </w:t>
      </w:r>
      <w:r>
        <w:rPr>
          <w:rFonts w:ascii="Arial" w:hAnsi="Arial" w:cs="Arial"/>
          <w:sz w:val="24"/>
          <w:szCs w:val="24"/>
        </w:rPr>
        <w:t xml:space="preserve">This high inventory turnover ratio is the characteristic of hospitality sector where inventory mainly comprise of consumable supplies and food and beverages. This ratio indicate reducing the risk of stock obsolescence, efficient inventory management and minimising holding costs (Bora, 2025). </w:t>
      </w:r>
    </w:p>
    <w:p w14:paraId="6B62D781" w14:textId="77777777" w:rsidR="00044E7A" w:rsidRDefault="00000000">
      <w:pPr>
        <w:pStyle w:val="Heading3"/>
        <w:spacing w:line="360" w:lineRule="auto"/>
        <w:jc w:val="both"/>
        <w:rPr>
          <w:rFonts w:ascii="Arial" w:hAnsi="Arial" w:cs="Arial"/>
          <w:sz w:val="24"/>
          <w:szCs w:val="24"/>
        </w:rPr>
      </w:pPr>
      <w:bookmarkStart w:id="6" w:name="_Toc233702121"/>
      <w:r>
        <w:rPr>
          <w:rFonts w:ascii="Arial" w:hAnsi="Arial" w:cs="Arial"/>
          <w:sz w:val="24"/>
          <w:szCs w:val="24"/>
        </w:rPr>
        <w:t>c) Analysis of liquidity ratios</w:t>
      </w:r>
      <w:bookmarkEnd w:id="6"/>
    </w:p>
    <w:p w14:paraId="49F251B8"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Current ratio has reduced from 1.27 times in the year 2021 to 0.98 times in the year 2025. </w:t>
      </w:r>
      <w:r>
        <w:rPr>
          <w:rFonts w:ascii="Arial" w:hAnsi="Arial" w:cs="Arial"/>
          <w:sz w:val="24"/>
          <w:szCs w:val="24"/>
        </w:rPr>
        <w:t>Although, a ratio of more than 1 is considered to be adequate, gradual decline in this ratio suggests that current liabilities of company have increased at a faster pace as compared to current assets. The ratio has remained less than 1 from the year 2023 which indicate relatively tight short-term liquidity position in the business.</w:t>
      </w:r>
    </w:p>
    <w:p w14:paraId="7035E25F"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Quick ratio has also observed a similar trend (as that in case of current ratio), reducing from 1.27 times in 2021 to 0.97 times by 2025. </w:t>
      </w:r>
      <w:r>
        <w:rPr>
          <w:rFonts w:ascii="Arial" w:hAnsi="Arial" w:cs="Arial"/>
          <w:sz w:val="24"/>
          <w:szCs w:val="24"/>
        </w:rPr>
        <w:t xml:space="preserve">Since, inventory do not form significant part of current assets, therefore, quick ratio is closely equivalent to current ratio. Quick ratio of less than 1 implies that company may be dependent on continuous operating cash inflows for meeting its short-term obligations (Corvo et al, 2022). </w:t>
      </w:r>
    </w:p>
    <w:p w14:paraId="5E3A513E" w14:textId="77777777" w:rsidR="00044E7A" w:rsidRDefault="00000000">
      <w:pPr>
        <w:pStyle w:val="Heading3"/>
        <w:spacing w:line="360" w:lineRule="auto"/>
        <w:jc w:val="both"/>
        <w:rPr>
          <w:rFonts w:ascii="Arial" w:hAnsi="Arial" w:cs="Arial"/>
          <w:sz w:val="24"/>
          <w:szCs w:val="24"/>
        </w:rPr>
      </w:pPr>
      <w:bookmarkStart w:id="7" w:name="_Toc233702122"/>
      <w:r>
        <w:rPr>
          <w:rFonts w:ascii="Arial" w:hAnsi="Arial" w:cs="Arial"/>
          <w:sz w:val="24"/>
          <w:szCs w:val="24"/>
        </w:rPr>
        <w:lastRenderedPageBreak/>
        <w:t>d) Analysis of solvency ratios</w:t>
      </w:r>
      <w:bookmarkEnd w:id="7"/>
    </w:p>
    <w:p w14:paraId="7E4BA5BD"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Gearing ratio of company has steadily increased from 147.67% in the year 2021 to 184.31% by the end of 2025. </w:t>
      </w:r>
      <w:r>
        <w:rPr>
          <w:rFonts w:ascii="Arial" w:hAnsi="Arial" w:cs="Arial"/>
          <w:sz w:val="24"/>
          <w:szCs w:val="24"/>
        </w:rPr>
        <w:t xml:space="preserve">Upward trend in this ratio indicates increased reliance of company on long-term debt relative to shareholders funds. High gearing ratio can improve shareholders returns at the time of growth but it also increases financial risk and exposure of company to interest rate fluctuations. Increased debt burden of company is one of the key area of concern for management. </w:t>
      </w:r>
    </w:p>
    <w:p w14:paraId="37224B48"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However, </w:t>
      </w:r>
      <w:r>
        <w:rPr>
          <w:rFonts w:ascii="Arial" w:hAnsi="Arial" w:cs="Arial"/>
          <w:b/>
          <w:bCs/>
          <w:sz w:val="24"/>
          <w:szCs w:val="24"/>
        </w:rPr>
        <w:t xml:space="preserve">interest coverage ratio has improved from 3.36 times in 2021 to 5.93 times in 2025 and has been at highest level at 8.46 times in 2023. </w:t>
      </w:r>
      <w:r>
        <w:rPr>
          <w:rFonts w:ascii="Arial" w:hAnsi="Arial" w:cs="Arial"/>
          <w:sz w:val="24"/>
          <w:szCs w:val="24"/>
        </w:rPr>
        <w:t xml:space="preserve"> This ratio of company has at all the times remained at above the minimum acceptable threshold of two times and thus implying that operating profits earned in the business are sufficient to cover interest obligations.</w:t>
      </w:r>
    </w:p>
    <w:p w14:paraId="39AEDA4E" w14:textId="77777777" w:rsidR="00044E7A" w:rsidRDefault="00000000">
      <w:pPr>
        <w:pStyle w:val="Heading3"/>
        <w:spacing w:line="360" w:lineRule="auto"/>
        <w:jc w:val="both"/>
        <w:rPr>
          <w:rFonts w:ascii="Arial" w:hAnsi="Arial" w:cs="Arial"/>
          <w:sz w:val="24"/>
          <w:szCs w:val="24"/>
        </w:rPr>
      </w:pPr>
      <w:bookmarkStart w:id="8" w:name="_Toc233702123"/>
      <w:r>
        <w:rPr>
          <w:rFonts w:ascii="Arial" w:hAnsi="Arial" w:cs="Arial"/>
          <w:sz w:val="24"/>
          <w:szCs w:val="24"/>
        </w:rPr>
        <w:t>e) Analysis of investment rations</w:t>
      </w:r>
      <w:bookmarkEnd w:id="8"/>
    </w:p>
    <w:p w14:paraId="03F9B150"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Return on capital employed has significantly increased from 15.98% in the year 2021 to 36.92% in the year 2025 and has been at highest level at 40.64% in 2023. </w:t>
      </w:r>
      <w:r>
        <w:rPr>
          <w:rFonts w:ascii="Arial" w:hAnsi="Arial" w:cs="Arial"/>
          <w:sz w:val="24"/>
          <w:szCs w:val="24"/>
        </w:rPr>
        <w:t>Substantial improvement in this ratio reflects the ability of company in making efficient utilization of long-term capital and indicates that investment made by company are able to generate strong operating returns. This ratio of more than 30% is generally considered to be good and represents the ability of management to deploy capital effectively.</w:t>
      </w:r>
    </w:p>
    <w:p w14:paraId="1D140EC6"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Return on assets has also improved from 10.47% in the year 2021 to 22.41% in the year 2025. </w:t>
      </w:r>
      <w:r>
        <w:rPr>
          <w:rFonts w:ascii="Arial" w:hAnsi="Arial" w:cs="Arial"/>
          <w:sz w:val="24"/>
          <w:szCs w:val="24"/>
        </w:rPr>
        <w:t xml:space="preserve">Increase in this ratio indicates that company has been able to generate higher earnings from the assets deployed in business and has been able to utilize its resources effectively. </w:t>
      </w:r>
    </w:p>
    <w:p w14:paraId="25878B10"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Return on equity has increased from 17.98% in the year 2021 to 27.74% in the year 2025 and had been at highest level at 38.54% in the year 2023. </w:t>
      </w:r>
      <w:r>
        <w:rPr>
          <w:rFonts w:ascii="Arial" w:hAnsi="Arial" w:cs="Arial"/>
          <w:sz w:val="24"/>
          <w:szCs w:val="24"/>
        </w:rPr>
        <w:t>Strong return on equity indicates significant value creation made by company for its shareholders i.e., strong returns provided to investors.</w:t>
      </w:r>
    </w:p>
    <w:p w14:paraId="5BEEA314" w14:textId="77777777" w:rsidR="00044E7A" w:rsidRDefault="00000000">
      <w:pPr>
        <w:pStyle w:val="Heading3"/>
        <w:spacing w:line="360" w:lineRule="auto"/>
        <w:jc w:val="both"/>
        <w:rPr>
          <w:rFonts w:ascii="Arial" w:hAnsi="Arial" w:cs="Arial"/>
          <w:sz w:val="24"/>
          <w:szCs w:val="24"/>
        </w:rPr>
      </w:pPr>
      <w:bookmarkStart w:id="9" w:name="_Toc233702124"/>
      <w:r>
        <w:rPr>
          <w:rFonts w:ascii="Arial" w:hAnsi="Arial" w:cs="Arial"/>
          <w:sz w:val="24"/>
          <w:szCs w:val="24"/>
        </w:rPr>
        <w:lastRenderedPageBreak/>
        <w:t>f) Analysis of cash flow ratios</w:t>
      </w:r>
      <w:bookmarkEnd w:id="9"/>
    </w:p>
    <w:p w14:paraId="6CF30DEE"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Operating cash flow ratio of company has remained stable throughout the period between 37% to 42%. </w:t>
      </w:r>
      <w:r>
        <w:rPr>
          <w:rFonts w:ascii="Arial" w:hAnsi="Arial" w:cs="Arial"/>
          <w:sz w:val="24"/>
          <w:szCs w:val="24"/>
        </w:rPr>
        <w:t xml:space="preserve">Increase in this ratio from 39.16% in the year 2021 to 42.76% in the year 2025 indicates that company has been able to generate sufficient cash flows from operating business activities to support debt service commitments and working capital requirements. </w:t>
      </w:r>
    </w:p>
    <w:p w14:paraId="436A513B" w14:textId="77777777" w:rsidR="00044E7A" w:rsidRDefault="00000000">
      <w:pPr>
        <w:pStyle w:val="Heading2"/>
        <w:spacing w:line="360" w:lineRule="auto"/>
        <w:jc w:val="both"/>
        <w:rPr>
          <w:rFonts w:ascii="Arial" w:hAnsi="Arial" w:cs="Arial"/>
          <w:sz w:val="24"/>
          <w:szCs w:val="24"/>
        </w:rPr>
      </w:pPr>
      <w:bookmarkStart w:id="10" w:name="_Toc233702125"/>
      <w:r>
        <w:rPr>
          <w:rFonts w:ascii="Arial" w:hAnsi="Arial" w:cs="Arial"/>
          <w:sz w:val="24"/>
          <w:szCs w:val="24"/>
        </w:rPr>
        <w:t>1.3 Identification of trends, strengths and potential threats</w:t>
      </w:r>
      <w:bookmarkEnd w:id="10"/>
    </w:p>
    <w:p w14:paraId="60BB2251"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a) Trends</w:t>
      </w:r>
    </w:p>
    <w:p w14:paraId="06206E1F"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Financial analysis carried out above represents significant important trends in the performance of IHG during 2021 to 2025. Revenue consistently increased from $2,907 million in 2021 to $5,189 million in 2025 and operating profit and net profits of the company almost doubled during this period (Carangelo, 2023). </w:t>
      </w:r>
    </w:p>
    <w:p w14:paraId="252D55EF"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There was also a significant improvement in investment returns with return on capital employed increasing from 5.98% to 36.92% and return on equity from 17.98% to 27.74%. </w:t>
      </w:r>
    </w:p>
    <w:p w14:paraId="57466DEA"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b) Key strengths of company</w:t>
      </w:r>
    </w:p>
    <w:p w14:paraId="43F39DC6" w14:textId="77777777" w:rsidR="00044E7A" w:rsidRDefault="00000000">
      <w:pPr>
        <w:spacing w:line="360" w:lineRule="auto"/>
        <w:jc w:val="both"/>
        <w:rPr>
          <w:rFonts w:ascii="Arial" w:hAnsi="Arial" w:cs="Arial"/>
          <w:sz w:val="24"/>
          <w:szCs w:val="24"/>
        </w:rPr>
      </w:pPr>
      <w:r>
        <w:rPr>
          <w:rFonts w:ascii="Arial" w:hAnsi="Arial" w:cs="Arial"/>
          <w:sz w:val="24"/>
          <w:szCs w:val="24"/>
        </w:rPr>
        <w:t>Company has strong cash flow generation capability, robust profitability along with efficient receivables and inventory management. It is also able to provide excellent returns to its shareholders. Consistent growth achieved by company in shareholders' equity along with healthy interest coverage ratio indicated financial resilience in business.</w:t>
      </w:r>
    </w:p>
    <w:p w14:paraId="73F880C1"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c) Potential threats</w:t>
      </w:r>
    </w:p>
    <w:p w14:paraId="1F70656D"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Liquidity ratios of company are gradually declining which indicate pressures on short-term liquidity position of business. The company may face difficulties while making payments for short-term obligations. Further, gearing ratio has also increased significantly which reflect huge dependence of company on debt financing. It has a direct impact on profitability as higher gearing implies higher interest cost to company. External factors such as geopolitical uncertainty, economic downturns and </w:t>
      </w:r>
      <w:r>
        <w:rPr>
          <w:rFonts w:ascii="Arial" w:hAnsi="Arial" w:cs="Arial"/>
          <w:sz w:val="24"/>
          <w:szCs w:val="24"/>
        </w:rPr>
        <w:lastRenderedPageBreak/>
        <w:t xml:space="preserve">exchange rate fluctuations can adversely impact future profitability and growth of business. </w:t>
      </w:r>
    </w:p>
    <w:p w14:paraId="35EFBD12" w14:textId="77777777" w:rsidR="00044E7A" w:rsidRDefault="00000000">
      <w:pPr>
        <w:pStyle w:val="Heading2"/>
        <w:spacing w:line="360" w:lineRule="auto"/>
        <w:jc w:val="both"/>
        <w:rPr>
          <w:rFonts w:ascii="Arial" w:hAnsi="Arial" w:cs="Arial"/>
          <w:sz w:val="24"/>
          <w:szCs w:val="24"/>
        </w:rPr>
      </w:pPr>
      <w:bookmarkStart w:id="11" w:name="_Toc233702126"/>
      <w:r>
        <w:rPr>
          <w:rFonts w:ascii="Arial" w:hAnsi="Arial" w:cs="Arial"/>
          <w:sz w:val="24"/>
          <w:szCs w:val="24"/>
        </w:rPr>
        <w:t>1.4 Comparison of liquidity ratios with industry benchmark</w:t>
      </w:r>
      <w:bookmarkEnd w:id="11"/>
    </w:p>
    <w:p w14:paraId="49353767" w14:textId="77777777" w:rsidR="00044E7A" w:rsidRDefault="00000000">
      <w:pPr>
        <w:jc w:val="both"/>
        <w:rPr>
          <w:rFonts w:ascii="Arial" w:hAnsi="Arial" w:cs="Arial"/>
          <w:sz w:val="24"/>
          <w:szCs w:val="24"/>
        </w:rPr>
      </w:pPr>
      <w:r>
        <w:rPr>
          <w:rFonts w:ascii="Arial" w:hAnsi="Arial" w:cs="Arial"/>
          <w:sz w:val="24"/>
          <w:szCs w:val="24"/>
        </w:rPr>
        <w:t xml:space="preserve">Comparison of liquidity position with competitor is provided in </w:t>
      </w:r>
      <w:r>
        <w:rPr>
          <w:rFonts w:ascii="Arial" w:hAnsi="Arial" w:cs="Arial"/>
          <w:b/>
          <w:bCs/>
          <w:sz w:val="24"/>
          <w:szCs w:val="24"/>
        </w:rPr>
        <w:t>Appendix-3.</w:t>
      </w:r>
    </w:p>
    <w:p w14:paraId="199B386C"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Comparison of liquidity ratios of IHG with Marriott International indicates that company is performing relatively better in comparison to its key industry competitor. During 2025, Current ratio of IHG was 0.98 times while that of Marriot’s is 0.43 times and the quick ratio of company was 0.58 times while that of Marriot was 0.39 times. Similar results were observed during the year 2024 also. </w:t>
      </w:r>
    </w:p>
    <w:p w14:paraId="72D03E14"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Although, both the companies are operating below the traditional benchmark of 1 time which is considered to be common in case of hospitality sector, however strong liquidity ratios of IHG suggests that it is in the position to meet its short-term obligations and manage its working capital effectively and efficiently (Das, 2023). </w:t>
      </w:r>
    </w:p>
    <w:p w14:paraId="39EA83F8" w14:textId="77777777" w:rsidR="00044E7A" w:rsidRDefault="00000000">
      <w:pPr>
        <w:pStyle w:val="Heading1"/>
        <w:spacing w:line="360" w:lineRule="auto"/>
        <w:jc w:val="both"/>
        <w:rPr>
          <w:rFonts w:ascii="Arial" w:hAnsi="Arial" w:cs="Arial"/>
          <w:sz w:val="24"/>
          <w:szCs w:val="24"/>
        </w:rPr>
      </w:pPr>
      <w:bookmarkStart w:id="12" w:name="_Toc233702127"/>
      <w:r>
        <w:rPr>
          <w:rFonts w:ascii="Arial" w:hAnsi="Arial" w:cs="Arial"/>
          <w:sz w:val="24"/>
          <w:szCs w:val="24"/>
        </w:rPr>
        <w:t>2. Analysis of working capital management</w:t>
      </w:r>
      <w:bookmarkEnd w:id="12"/>
    </w:p>
    <w:p w14:paraId="74D5A0ED" w14:textId="77777777" w:rsidR="00044E7A" w:rsidRDefault="00000000">
      <w:pPr>
        <w:pStyle w:val="Heading2"/>
        <w:spacing w:line="360" w:lineRule="auto"/>
        <w:jc w:val="both"/>
        <w:rPr>
          <w:rFonts w:ascii="Arial" w:hAnsi="Arial" w:cs="Arial"/>
          <w:sz w:val="24"/>
          <w:szCs w:val="24"/>
        </w:rPr>
      </w:pPr>
      <w:bookmarkStart w:id="13" w:name="_Toc233702128"/>
      <w:r>
        <w:rPr>
          <w:rFonts w:ascii="Arial" w:hAnsi="Arial" w:cs="Arial"/>
          <w:sz w:val="24"/>
          <w:szCs w:val="24"/>
        </w:rPr>
        <w:t>2.1 Cash Operating Cycle</w:t>
      </w:r>
      <w:bookmarkEnd w:id="13"/>
    </w:p>
    <w:tbl>
      <w:tblPr>
        <w:tblW w:w="8964" w:type="dxa"/>
        <w:tblLook w:val="04A0" w:firstRow="1" w:lastRow="0" w:firstColumn="1" w:lastColumn="0" w:noHBand="0" w:noVBand="1"/>
      </w:tblPr>
      <w:tblGrid>
        <w:gridCol w:w="2999"/>
        <w:gridCol w:w="1193"/>
        <w:gridCol w:w="1193"/>
        <w:gridCol w:w="1193"/>
        <w:gridCol w:w="1193"/>
        <w:gridCol w:w="1193"/>
      </w:tblGrid>
      <w:tr w:rsidR="00044E7A" w14:paraId="13573DF9" w14:textId="77777777">
        <w:trPr>
          <w:trHeight w:val="535"/>
        </w:trPr>
        <w:tc>
          <w:tcPr>
            <w:tcW w:w="2999" w:type="dxa"/>
            <w:tcBorders>
              <w:top w:val="single" w:sz="4" w:space="0" w:color="auto"/>
              <w:left w:val="single" w:sz="4" w:space="0" w:color="auto"/>
              <w:bottom w:val="single" w:sz="4" w:space="0" w:color="auto"/>
              <w:right w:val="single" w:sz="4" w:space="0" w:color="auto"/>
            </w:tcBorders>
            <w:vAlign w:val="center"/>
          </w:tcPr>
          <w:p w14:paraId="428B8A2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Receivables collection period</w:t>
            </w:r>
          </w:p>
        </w:tc>
        <w:tc>
          <w:tcPr>
            <w:tcW w:w="1193" w:type="dxa"/>
            <w:tcBorders>
              <w:top w:val="single" w:sz="4" w:space="0" w:color="auto"/>
              <w:left w:val="nil"/>
              <w:bottom w:val="single" w:sz="4" w:space="0" w:color="auto"/>
              <w:right w:val="single" w:sz="4" w:space="0" w:color="auto"/>
            </w:tcBorders>
            <w:noWrap/>
            <w:vAlign w:val="center"/>
          </w:tcPr>
          <w:p w14:paraId="7E3FBCE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58.59</w:t>
            </w:r>
          </w:p>
        </w:tc>
        <w:tc>
          <w:tcPr>
            <w:tcW w:w="1193" w:type="dxa"/>
            <w:tcBorders>
              <w:top w:val="single" w:sz="4" w:space="0" w:color="auto"/>
              <w:left w:val="nil"/>
              <w:bottom w:val="single" w:sz="4" w:space="0" w:color="auto"/>
              <w:right w:val="single" w:sz="4" w:space="0" w:color="auto"/>
            </w:tcBorders>
            <w:noWrap/>
            <w:vAlign w:val="center"/>
          </w:tcPr>
          <w:p w14:paraId="6E3FCA3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58.20</w:t>
            </w:r>
          </w:p>
        </w:tc>
        <w:tc>
          <w:tcPr>
            <w:tcW w:w="1193" w:type="dxa"/>
            <w:tcBorders>
              <w:top w:val="single" w:sz="4" w:space="0" w:color="auto"/>
              <w:left w:val="nil"/>
              <w:bottom w:val="single" w:sz="4" w:space="0" w:color="auto"/>
              <w:right w:val="single" w:sz="4" w:space="0" w:color="auto"/>
            </w:tcBorders>
            <w:noWrap/>
            <w:vAlign w:val="center"/>
          </w:tcPr>
          <w:p w14:paraId="203E164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58.41</w:t>
            </w:r>
          </w:p>
        </w:tc>
        <w:tc>
          <w:tcPr>
            <w:tcW w:w="1193" w:type="dxa"/>
            <w:tcBorders>
              <w:top w:val="single" w:sz="4" w:space="0" w:color="auto"/>
              <w:left w:val="nil"/>
              <w:bottom w:val="single" w:sz="4" w:space="0" w:color="auto"/>
              <w:right w:val="single" w:sz="4" w:space="0" w:color="auto"/>
            </w:tcBorders>
            <w:noWrap/>
            <w:vAlign w:val="center"/>
          </w:tcPr>
          <w:p w14:paraId="08E9310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60.58</w:t>
            </w:r>
          </w:p>
        </w:tc>
        <w:tc>
          <w:tcPr>
            <w:tcW w:w="1193" w:type="dxa"/>
            <w:tcBorders>
              <w:top w:val="single" w:sz="4" w:space="0" w:color="auto"/>
              <w:left w:val="nil"/>
              <w:bottom w:val="single" w:sz="4" w:space="0" w:color="auto"/>
              <w:right w:val="single" w:sz="4" w:space="0" w:color="auto"/>
            </w:tcBorders>
            <w:noWrap/>
            <w:vAlign w:val="center"/>
          </w:tcPr>
          <w:p w14:paraId="7509C85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72.07</w:t>
            </w:r>
          </w:p>
        </w:tc>
      </w:tr>
      <w:tr w:rsidR="00044E7A" w14:paraId="69A27FBF" w14:textId="77777777">
        <w:trPr>
          <w:trHeight w:val="535"/>
        </w:trPr>
        <w:tc>
          <w:tcPr>
            <w:tcW w:w="2999" w:type="dxa"/>
            <w:tcBorders>
              <w:top w:val="nil"/>
              <w:left w:val="single" w:sz="4" w:space="0" w:color="auto"/>
              <w:bottom w:val="single" w:sz="4" w:space="0" w:color="auto"/>
              <w:right w:val="single" w:sz="4" w:space="0" w:color="auto"/>
            </w:tcBorders>
            <w:vAlign w:val="center"/>
          </w:tcPr>
          <w:p w14:paraId="14F12BE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Payables payment period</w:t>
            </w:r>
          </w:p>
        </w:tc>
        <w:tc>
          <w:tcPr>
            <w:tcW w:w="1193" w:type="dxa"/>
            <w:tcBorders>
              <w:top w:val="nil"/>
              <w:left w:val="nil"/>
              <w:bottom w:val="single" w:sz="4" w:space="0" w:color="auto"/>
              <w:right w:val="single" w:sz="4" w:space="0" w:color="auto"/>
            </w:tcBorders>
            <w:noWrap/>
            <w:vAlign w:val="center"/>
          </w:tcPr>
          <w:p w14:paraId="032D605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32.96</w:t>
            </w:r>
          </w:p>
        </w:tc>
        <w:tc>
          <w:tcPr>
            <w:tcW w:w="1193" w:type="dxa"/>
            <w:tcBorders>
              <w:top w:val="nil"/>
              <w:left w:val="nil"/>
              <w:bottom w:val="single" w:sz="4" w:space="0" w:color="auto"/>
              <w:right w:val="single" w:sz="4" w:space="0" w:color="auto"/>
            </w:tcBorders>
            <w:noWrap/>
            <w:vAlign w:val="center"/>
          </w:tcPr>
          <w:p w14:paraId="7ED47D0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38.21</w:t>
            </w:r>
          </w:p>
        </w:tc>
        <w:tc>
          <w:tcPr>
            <w:tcW w:w="1193" w:type="dxa"/>
            <w:tcBorders>
              <w:top w:val="nil"/>
              <w:left w:val="nil"/>
              <w:bottom w:val="single" w:sz="4" w:space="0" w:color="auto"/>
              <w:right w:val="single" w:sz="4" w:space="0" w:color="auto"/>
            </w:tcBorders>
            <w:noWrap/>
            <w:vAlign w:val="center"/>
          </w:tcPr>
          <w:p w14:paraId="38CE716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36.89</w:t>
            </w:r>
          </w:p>
        </w:tc>
        <w:tc>
          <w:tcPr>
            <w:tcW w:w="1193" w:type="dxa"/>
            <w:tcBorders>
              <w:top w:val="nil"/>
              <w:left w:val="nil"/>
              <w:bottom w:val="single" w:sz="4" w:space="0" w:color="auto"/>
              <w:right w:val="single" w:sz="4" w:space="0" w:color="auto"/>
            </w:tcBorders>
            <w:noWrap/>
            <w:vAlign w:val="center"/>
          </w:tcPr>
          <w:p w14:paraId="62E276B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45.63</w:t>
            </w:r>
          </w:p>
        </w:tc>
        <w:tc>
          <w:tcPr>
            <w:tcW w:w="1193" w:type="dxa"/>
            <w:tcBorders>
              <w:top w:val="nil"/>
              <w:left w:val="nil"/>
              <w:bottom w:val="single" w:sz="4" w:space="0" w:color="auto"/>
              <w:right w:val="single" w:sz="4" w:space="0" w:color="auto"/>
            </w:tcBorders>
            <w:noWrap/>
            <w:vAlign w:val="center"/>
          </w:tcPr>
          <w:p w14:paraId="24F1C1B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38.35</w:t>
            </w:r>
          </w:p>
        </w:tc>
      </w:tr>
      <w:tr w:rsidR="00044E7A" w14:paraId="2143C13C" w14:textId="77777777">
        <w:trPr>
          <w:trHeight w:val="298"/>
        </w:trPr>
        <w:tc>
          <w:tcPr>
            <w:tcW w:w="2999" w:type="dxa"/>
            <w:tcBorders>
              <w:top w:val="nil"/>
              <w:left w:val="single" w:sz="4" w:space="0" w:color="auto"/>
              <w:bottom w:val="single" w:sz="4" w:space="0" w:color="auto"/>
              <w:right w:val="single" w:sz="4" w:space="0" w:color="auto"/>
            </w:tcBorders>
            <w:vAlign w:val="center"/>
          </w:tcPr>
          <w:p w14:paraId="1A0BA78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Inventory turnover days</w:t>
            </w:r>
          </w:p>
        </w:tc>
        <w:tc>
          <w:tcPr>
            <w:tcW w:w="1193" w:type="dxa"/>
            <w:tcBorders>
              <w:top w:val="nil"/>
              <w:left w:val="nil"/>
              <w:bottom w:val="single" w:sz="4" w:space="0" w:color="auto"/>
              <w:right w:val="single" w:sz="4" w:space="0" w:color="auto"/>
            </w:tcBorders>
            <w:noWrap/>
            <w:vAlign w:val="center"/>
          </w:tcPr>
          <w:p w14:paraId="4C273B3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2.39</w:t>
            </w:r>
          </w:p>
        </w:tc>
        <w:tc>
          <w:tcPr>
            <w:tcW w:w="1193" w:type="dxa"/>
            <w:tcBorders>
              <w:top w:val="nil"/>
              <w:left w:val="nil"/>
              <w:bottom w:val="single" w:sz="4" w:space="0" w:color="auto"/>
              <w:right w:val="single" w:sz="4" w:space="0" w:color="auto"/>
            </w:tcBorders>
            <w:noWrap/>
            <w:vAlign w:val="center"/>
          </w:tcPr>
          <w:p w14:paraId="18177DE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1.96</w:t>
            </w:r>
          </w:p>
        </w:tc>
        <w:tc>
          <w:tcPr>
            <w:tcW w:w="1193" w:type="dxa"/>
            <w:tcBorders>
              <w:top w:val="nil"/>
              <w:left w:val="nil"/>
              <w:bottom w:val="single" w:sz="4" w:space="0" w:color="auto"/>
              <w:right w:val="single" w:sz="4" w:space="0" w:color="auto"/>
            </w:tcBorders>
            <w:noWrap/>
            <w:vAlign w:val="center"/>
          </w:tcPr>
          <w:p w14:paraId="5845E75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2.46</w:t>
            </w:r>
          </w:p>
        </w:tc>
        <w:tc>
          <w:tcPr>
            <w:tcW w:w="1193" w:type="dxa"/>
            <w:tcBorders>
              <w:top w:val="nil"/>
              <w:left w:val="nil"/>
              <w:bottom w:val="single" w:sz="4" w:space="0" w:color="auto"/>
              <w:right w:val="single" w:sz="4" w:space="0" w:color="auto"/>
            </w:tcBorders>
            <w:noWrap/>
            <w:vAlign w:val="center"/>
          </w:tcPr>
          <w:p w14:paraId="0CC938C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2.25</w:t>
            </w:r>
          </w:p>
        </w:tc>
        <w:tc>
          <w:tcPr>
            <w:tcW w:w="1193" w:type="dxa"/>
            <w:tcBorders>
              <w:top w:val="nil"/>
              <w:left w:val="nil"/>
              <w:bottom w:val="single" w:sz="4" w:space="0" w:color="auto"/>
              <w:right w:val="single" w:sz="4" w:space="0" w:color="auto"/>
            </w:tcBorders>
            <w:noWrap/>
            <w:vAlign w:val="center"/>
          </w:tcPr>
          <w:p w14:paraId="1E93A59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2.67</w:t>
            </w:r>
          </w:p>
        </w:tc>
      </w:tr>
      <w:tr w:rsidR="00044E7A" w14:paraId="007B38F4" w14:textId="77777777">
        <w:trPr>
          <w:trHeight w:val="298"/>
        </w:trPr>
        <w:tc>
          <w:tcPr>
            <w:tcW w:w="2999" w:type="dxa"/>
            <w:tcBorders>
              <w:top w:val="nil"/>
              <w:left w:val="single" w:sz="4" w:space="0" w:color="auto"/>
              <w:bottom w:val="single" w:sz="4" w:space="0" w:color="auto"/>
              <w:right w:val="single" w:sz="4" w:space="0" w:color="auto"/>
            </w:tcBorders>
            <w:vAlign w:val="center"/>
          </w:tcPr>
          <w:p w14:paraId="3F58E38D"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Cash operating cycle</w:t>
            </w:r>
          </w:p>
        </w:tc>
        <w:tc>
          <w:tcPr>
            <w:tcW w:w="1193" w:type="dxa"/>
            <w:tcBorders>
              <w:top w:val="nil"/>
              <w:left w:val="nil"/>
              <w:bottom w:val="single" w:sz="4" w:space="0" w:color="auto"/>
              <w:right w:val="single" w:sz="4" w:space="0" w:color="auto"/>
            </w:tcBorders>
            <w:noWrap/>
            <w:vAlign w:val="center"/>
          </w:tcPr>
          <w:p w14:paraId="501E805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28.02</w:t>
            </w:r>
          </w:p>
        </w:tc>
        <w:tc>
          <w:tcPr>
            <w:tcW w:w="1193" w:type="dxa"/>
            <w:tcBorders>
              <w:top w:val="nil"/>
              <w:left w:val="nil"/>
              <w:bottom w:val="single" w:sz="4" w:space="0" w:color="auto"/>
              <w:right w:val="single" w:sz="4" w:space="0" w:color="auto"/>
            </w:tcBorders>
            <w:noWrap/>
            <w:vAlign w:val="center"/>
          </w:tcPr>
          <w:p w14:paraId="3D2FA8C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21.95</w:t>
            </w:r>
          </w:p>
        </w:tc>
        <w:tc>
          <w:tcPr>
            <w:tcW w:w="1193" w:type="dxa"/>
            <w:tcBorders>
              <w:top w:val="nil"/>
              <w:left w:val="nil"/>
              <w:bottom w:val="single" w:sz="4" w:space="0" w:color="auto"/>
              <w:right w:val="single" w:sz="4" w:space="0" w:color="auto"/>
            </w:tcBorders>
            <w:noWrap/>
            <w:vAlign w:val="center"/>
          </w:tcPr>
          <w:p w14:paraId="686AEC8D"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23.98</w:t>
            </w:r>
          </w:p>
        </w:tc>
        <w:tc>
          <w:tcPr>
            <w:tcW w:w="1193" w:type="dxa"/>
            <w:tcBorders>
              <w:top w:val="nil"/>
              <w:left w:val="nil"/>
              <w:bottom w:val="single" w:sz="4" w:space="0" w:color="auto"/>
              <w:right w:val="single" w:sz="4" w:space="0" w:color="auto"/>
            </w:tcBorders>
            <w:noWrap/>
            <w:vAlign w:val="center"/>
          </w:tcPr>
          <w:p w14:paraId="6901CCA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17.21</w:t>
            </w:r>
          </w:p>
        </w:tc>
        <w:tc>
          <w:tcPr>
            <w:tcW w:w="1193" w:type="dxa"/>
            <w:tcBorders>
              <w:top w:val="nil"/>
              <w:left w:val="nil"/>
              <w:bottom w:val="single" w:sz="4" w:space="0" w:color="auto"/>
              <w:right w:val="single" w:sz="4" w:space="0" w:color="auto"/>
            </w:tcBorders>
            <w:noWrap/>
            <w:vAlign w:val="center"/>
          </w:tcPr>
          <w:p w14:paraId="05148D3E"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36.39</w:t>
            </w:r>
          </w:p>
        </w:tc>
      </w:tr>
    </w:tbl>
    <w:p w14:paraId="12448950" w14:textId="77777777" w:rsidR="00044E7A" w:rsidRDefault="00044E7A">
      <w:pPr>
        <w:jc w:val="both"/>
        <w:rPr>
          <w:rFonts w:ascii="Arial" w:hAnsi="Arial" w:cs="Arial"/>
          <w:sz w:val="24"/>
          <w:szCs w:val="24"/>
        </w:rPr>
      </w:pPr>
    </w:p>
    <w:p w14:paraId="6A547D08"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Cash operating cycle of IHG has improved significantly from 36 days in 2021 to 28 days in 2025, despite of certain fluctuations during the period. It was at lowest level in 2022 at 17.21 days before gradually increasing to 28 days in the year 2025. </w:t>
      </w:r>
    </w:p>
    <w:p w14:paraId="464D7F60"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Improvement in cash operating cycle is primarily as a result of reduction in the receivables collection period from 72 days in the year 2021 to around 58 days in the year 2025, implying effective debt collection practices adopted by company. Inventory turnover days also remained at a low level throughout the period, indicating effective inventory management practices adopted by company (European Investment Bank, 2023). </w:t>
      </w:r>
    </w:p>
    <w:p w14:paraId="261C5168" w14:textId="77777777" w:rsidR="00044E7A" w:rsidRDefault="00000000">
      <w:pPr>
        <w:spacing w:line="360" w:lineRule="auto"/>
        <w:jc w:val="both"/>
        <w:rPr>
          <w:rFonts w:ascii="Arial" w:hAnsi="Arial" w:cs="Arial"/>
          <w:sz w:val="24"/>
          <w:szCs w:val="24"/>
        </w:rPr>
      </w:pPr>
      <w:r>
        <w:rPr>
          <w:rFonts w:ascii="Arial" w:hAnsi="Arial" w:cs="Arial"/>
          <w:sz w:val="24"/>
          <w:szCs w:val="24"/>
        </w:rPr>
        <w:lastRenderedPageBreak/>
        <w:t xml:space="preserve">Overall, shorter cash operating cycle shows efficient working capital management on the part of business and its ability to convert operational activities into cash flows within a reasonable period of time.  </w:t>
      </w:r>
    </w:p>
    <w:p w14:paraId="276BB9DB" w14:textId="77777777" w:rsidR="00044E7A" w:rsidRDefault="00000000">
      <w:pPr>
        <w:pStyle w:val="Heading2"/>
        <w:spacing w:line="360" w:lineRule="auto"/>
        <w:jc w:val="both"/>
        <w:rPr>
          <w:rFonts w:ascii="Arial" w:hAnsi="Arial" w:cs="Arial"/>
          <w:sz w:val="24"/>
          <w:szCs w:val="24"/>
        </w:rPr>
      </w:pPr>
      <w:bookmarkStart w:id="14" w:name="_Toc233702129"/>
      <w:r>
        <w:rPr>
          <w:rFonts w:ascii="Arial" w:hAnsi="Arial" w:cs="Arial"/>
          <w:sz w:val="24"/>
          <w:szCs w:val="24"/>
        </w:rPr>
        <w:t>2.2 Strategies to improve liquidity position</w:t>
      </w:r>
      <w:bookmarkEnd w:id="14"/>
    </w:p>
    <w:p w14:paraId="6AC5CD70" w14:textId="77777777" w:rsidR="00044E7A" w:rsidRDefault="00000000">
      <w:pPr>
        <w:spacing w:line="360" w:lineRule="auto"/>
        <w:jc w:val="both"/>
        <w:rPr>
          <w:rFonts w:ascii="Arial" w:hAnsi="Arial" w:cs="Arial"/>
          <w:sz w:val="24"/>
          <w:szCs w:val="24"/>
        </w:rPr>
      </w:pPr>
      <w:r>
        <w:rPr>
          <w:rFonts w:ascii="Arial" w:hAnsi="Arial" w:cs="Arial"/>
          <w:sz w:val="24"/>
          <w:szCs w:val="24"/>
        </w:rPr>
        <w:t>Although IHG has been able to maintain strong operating cash flows, however its current ratio and quick ratio has observed a downward trend over a five-year period and thus indicating the need for improved working capital management. For improving liquidity, company should focus on further improving its receivables management by implementation of stricter credit controls, encouraging digital payment methods and accelerating invoice collections. Further reduction of receivables collection period would result in fast conversion of sales revenue into cash.</w:t>
      </w:r>
    </w:p>
    <w:p w14:paraId="41673B72"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Company should also optimize its supplier payment terms by negotiating for longer period of credits with its key suppliers in such a way that it do not impact supplier relationship. This will result in improvement of short-term cash availability and reduction of liquidity pressure. </w:t>
      </w:r>
    </w:p>
    <w:p w14:paraId="306064B3" w14:textId="77777777" w:rsidR="00044E7A" w:rsidRDefault="00000000">
      <w:pPr>
        <w:spacing w:line="360" w:lineRule="auto"/>
        <w:jc w:val="both"/>
        <w:rPr>
          <w:rFonts w:ascii="Arial" w:hAnsi="Arial" w:cs="Arial"/>
          <w:sz w:val="24"/>
          <w:szCs w:val="24"/>
        </w:rPr>
      </w:pPr>
      <w:r>
        <w:rPr>
          <w:rFonts w:ascii="Arial" w:hAnsi="Arial" w:cs="Arial"/>
          <w:sz w:val="24"/>
          <w:szCs w:val="24"/>
        </w:rPr>
        <w:t>Further, maintenance of efficient inventory management practices is also important to minimize funds which are tied up in inventory while ensuring uninterrupted business operations (European Investment Bank et al, 2022).</w:t>
      </w:r>
    </w:p>
    <w:p w14:paraId="7D03EA29" w14:textId="77777777" w:rsidR="00044E7A" w:rsidRDefault="00000000">
      <w:pPr>
        <w:pStyle w:val="Heading2"/>
        <w:spacing w:line="360" w:lineRule="auto"/>
        <w:jc w:val="both"/>
        <w:rPr>
          <w:rFonts w:ascii="Arial" w:hAnsi="Arial" w:cs="Arial"/>
          <w:sz w:val="24"/>
          <w:szCs w:val="24"/>
        </w:rPr>
      </w:pPr>
      <w:bookmarkStart w:id="15" w:name="_Toc233702130"/>
      <w:r>
        <w:rPr>
          <w:rFonts w:ascii="Arial" w:hAnsi="Arial" w:cs="Arial"/>
          <w:sz w:val="24"/>
          <w:szCs w:val="24"/>
        </w:rPr>
        <w:t>2.3 Short-term vs Long-term financing options</w:t>
      </w:r>
      <w:bookmarkEnd w:id="15"/>
    </w:p>
    <w:p w14:paraId="1A3B1D82" w14:textId="77777777" w:rsidR="00044E7A" w:rsidRDefault="00000000">
      <w:pPr>
        <w:spacing w:line="360" w:lineRule="auto"/>
        <w:jc w:val="both"/>
        <w:rPr>
          <w:rFonts w:ascii="Arial" w:hAnsi="Arial" w:cs="Arial"/>
          <w:sz w:val="24"/>
          <w:szCs w:val="24"/>
        </w:rPr>
      </w:pPr>
      <w:r>
        <w:rPr>
          <w:rFonts w:ascii="Arial" w:hAnsi="Arial" w:cs="Arial"/>
          <w:sz w:val="24"/>
          <w:szCs w:val="24"/>
        </w:rPr>
        <w:t>Financing decisions plays a important role in supporting growth, maintaining liquidity, and maximizing shareholders value. Being a company in hospitality sector, company should have a appropriate mix of long-term and short-term financing options, strategic expansion plans and working capital requirements.</w:t>
      </w:r>
    </w:p>
    <w:p w14:paraId="68E7CC61"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a) Short-term financing</w:t>
      </w:r>
    </w:p>
    <w:p w14:paraId="1F98A25F"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Short-term financing options include </w:t>
      </w:r>
      <w:r>
        <w:rPr>
          <w:rFonts w:ascii="Arial" w:hAnsi="Arial" w:cs="Arial"/>
          <w:b/>
          <w:bCs/>
          <w:i/>
          <w:iCs/>
          <w:sz w:val="24"/>
          <w:szCs w:val="24"/>
        </w:rPr>
        <w:t>trade credit, bank overdrafts, short-term bank loans, commercial paper and revolving credit facilities</w:t>
      </w:r>
      <w:r>
        <w:rPr>
          <w:rFonts w:ascii="Arial" w:hAnsi="Arial" w:cs="Arial"/>
          <w:sz w:val="24"/>
          <w:szCs w:val="24"/>
        </w:rPr>
        <w:t xml:space="preserve">. </w:t>
      </w:r>
    </w:p>
    <w:p w14:paraId="3D99D707"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These sources of finance are primarily used for meeting working capital requirements such as supplier payments, payroll, day-to-day operating expenses </w:t>
      </w:r>
      <w:r>
        <w:rPr>
          <w:rFonts w:ascii="Arial" w:hAnsi="Arial" w:cs="Arial"/>
          <w:sz w:val="24"/>
          <w:szCs w:val="24"/>
        </w:rPr>
        <w:lastRenderedPageBreak/>
        <w:t xml:space="preserve">and seasonal fluctuations in demand. </w:t>
      </w:r>
      <w:r>
        <w:rPr>
          <w:rFonts w:ascii="Arial" w:hAnsi="Arial" w:cs="Arial"/>
          <w:sz w:val="24"/>
          <w:szCs w:val="24"/>
          <w:u w:val="single"/>
        </w:rPr>
        <w:t>Main advantage of this form of financing</w:t>
      </w:r>
      <w:r>
        <w:rPr>
          <w:rFonts w:ascii="Arial" w:hAnsi="Arial" w:cs="Arial"/>
          <w:sz w:val="24"/>
          <w:szCs w:val="24"/>
        </w:rPr>
        <w:t xml:space="preserve"> is the flexibility provided by it. Companies can access the funds quickly for meeting temporary cash flow shortages. It generally has lower interest rates as compared to long-term financing and companies are also in the position to repay the funds quickly once their cash flow position improves.</w:t>
      </w:r>
    </w:p>
    <w:p w14:paraId="51DAEA14"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However, </w:t>
      </w:r>
      <w:r>
        <w:rPr>
          <w:rFonts w:ascii="Arial" w:hAnsi="Arial" w:cs="Arial"/>
          <w:sz w:val="24"/>
          <w:szCs w:val="24"/>
          <w:u w:val="single"/>
        </w:rPr>
        <w:t>it also has various risks</w:t>
      </w:r>
      <w:r>
        <w:rPr>
          <w:rFonts w:ascii="Arial" w:hAnsi="Arial" w:cs="Arial"/>
          <w:sz w:val="24"/>
          <w:szCs w:val="24"/>
        </w:rPr>
        <w:t xml:space="preserve">. For instance, frequent refinancing may be required which can expose the company to changing credit market conditions and fluctuations in interest rates. Further, excessive dependence of company on short-term financing can increase financial uncertainty and refinancing risk (European Investment Bank, 2022). </w:t>
      </w:r>
    </w:p>
    <w:p w14:paraId="5652E67E"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b) Long-term financing</w:t>
      </w:r>
    </w:p>
    <w:p w14:paraId="456158D3" w14:textId="77777777" w:rsidR="00044E7A" w:rsidRDefault="00000000">
      <w:pPr>
        <w:spacing w:line="360" w:lineRule="auto"/>
        <w:jc w:val="both"/>
        <w:rPr>
          <w:rFonts w:ascii="Arial" w:hAnsi="Arial" w:cs="Arial"/>
          <w:b/>
          <w:bCs/>
          <w:i/>
          <w:iCs/>
          <w:sz w:val="24"/>
          <w:szCs w:val="24"/>
        </w:rPr>
      </w:pPr>
      <w:r>
        <w:rPr>
          <w:rFonts w:ascii="Arial" w:hAnsi="Arial" w:cs="Arial"/>
          <w:sz w:val="24"/>
          <w:szCs w:val="24"/>
        </w:rPr>
        <w:t xml:space="preserve">Long-term financing options include </w:t>
      </w:r>
      <w:r>
        <w:rPr>
          <w:rFonts w:ascii="Arial" w:hAnsi="Arial" w:cs="Arial"/>
          <w:b/>
          <w:bCs/>
          <w:i/>
          <w:iCs/>
          <w:sz w:val="24"/>
          <w:szCs w:val="24"/>
        </w:rPr>
        <w:t>lease financing, long-term bank loans, bonds, ordinary share capital and preference shares.</w:t>
      </w:r>
    </w:p>
    <w:p w14:paraId="42996374"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These funds are primarily used for funding acquisitions, major capital investments, technology upgrades, hotel development projects and international expansion initiatives. </w:t>
      </w:r>
      <w:r>
        <w:rPr>
          <w:rFonts w:ascii="Arial" w:hAnsi="Arial" w:cs="Arial"/>
          <w:sz w:val="24"/>
          <w:szCs w:val="24"/>
          <w:u w:val="single"/>
        </w:rPr>
        <w:t xml:space="preserve">Main advantages of this form of financing include </w:t>
      </w:r>
      <w:r>
        <w:rPr>
          <w:rFonts w:ascii="Arial" w:hAnsi="Arial" w:cs="Arial"/>
          <w:sz w:val="24"/>
          <w:szCs w:val="24"/>
        </w:rPr>
        <w:t xml:space="preserve">is the financial stability provided by it. Repayment of funds are spread over multiple years and thus reducing immediate liquidity pressures on business and allowing management to focus on their long-term objectives. This type of financing is particularly relevant for companies in hospitality sector because brand expansion and hotel development projects generate returns spread over multiple years. </w:t>
      </w:r>
    </w:p>
    <w:p w14:paraId="118939F3"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However, </w:t>
      </w:r>
      <w:r>
        <w:rPr>
          <w:rFonts w:ascii="Arial" w:hAnsi="Arial" w:cs="Arial"/>
          <w:sz w:val="24"/>
          <w:szCs w:val="24"/>
          <w:u w:val="single"/>
        </w:rPr>
        <w:t xml:space="preserve">it also has various limitations. </w:t>
      </w:r>
      <w:r>
        <w:rPr>
          <w:rFonts w:ascii="Arial" w:hAnsi="Arial" w:cs="Arial"/>
          <w:sz w:val="24"/>
          <w:szCs w:val="24"/>
        </w:rPr>
        <w:t xml:space="preserve">It can be more expensive as compared to short-term borrowings because of higher interest cost. It also has fixed repayment obligations and gearing levels which shall be met regardless of financial performance of business (Ghosh &amp; Ghosh, 2022). </w:t>
      </w:r>
    </w:p>
    <w:p w14:paraId="5880ECD4"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Considering the financial position of IHG, it is recommended that the company should adopt a mixed approach. </w:t>
      </w:r>
      <w:r>
        <w:rPr>
          <w:rFonts w:ascii="Arial" w:hAnsi="Arial" w:cs="Arial"/>
          <w:sz w:val="24"/>
          <w:szCs w:val="24"/>
        </w:rPr>
        <w:t xml:space="preserve">This is because company has strong profitability and cash flow position currently but it is also facing the risk of increasing gearing level. Therefore, excessive reliance of company on additional long-term debt would further increase financial risk. Short-term financing should continue to be used for </w:t>
      </w:r>
      <w:r>
        <w:rPr>
          <w:rFonts w:ascii="Arial" w:hAnsi="Arial" w:cs="Arial"/>
          <w:sz w:val="24"/>
          <w:szCs w:val="24"/>
        </w:rPr>
        <w:lastRenderedPageBreak/>
        <w:t xml:space="preserve">meeting temporary liquidity needs and seasonal working capital requirements while long-term financing should be reserved by company for acquisition projects, strategic investments and expansion which are able to generate long-term benefits (Harris &amp; </w:t>
      </w:r>
      <w:proofErr w:type="spellStart"/>
      <w:r>
        <w:rPr>
          <w:rFonts w:ascii="Arial" w:hAnsi="Arial" w:cs="Arial"/>
          <w:sz w:val="24"/>
          <w:szCs w:val="24"/>
        </w:rPr>
        <w:t>Massri</w:t>
      </w:r>
      <w:proofErr w:type="spellEnd"/>
      <w:r>
        <w:rPr>
          <w:rFonts w:ascii="Arial" w:hAnsi="Arial" w:cs="Arial"/>
          <w:sz w:val="24"/>
          <w:szCs w:val="24"/>
        </w:rPr>
        <w:t>, 2021).</w:t>
      </w:r>
    </w:p>
    <w:p w14:paraId="650A5AC7" w14:textId="77777777" w:rsidR="00044E7A" w:rsidRDefault="00000000">
      <w:pPr>
        <w:pStyle w:val="Heading1"/>
        <w:spacing w:line="360" w:lineRule="auto"/>
        <w:jc w:val="both"/>
        <w:rPr>
          <w:rFonts w:ascii="Arial" w:hAnsi="Arial" w:cs="Arial"/>
          <w:sz w:val="24"/>
          <w:szCs w:val="24"/>
        </w:rPr>
      </w:pPr>
      <w:bookmarkStart w:id="16" w:name="_Toc233702131"/>
      <w:r>
        <w:rPr>
          <w:rFonts w:ascii="Arial" w:hAnsi="Arial" w:cs="Arial"/>
          <w:sz w:val="24"/>
          <w:szCs w:val="24"/>
        </w:rPr>
        <w:t>3. Strategic financial restructuring plan</w:t>
      </w:r>
      <w:bookmarkEnd w:id="16"/>
    </w:p>
    <w:p w14:paraId="5949755C" w14:textId="77777777" w:rsidR="00044E7A" w:rsidRDefault="00000000">
      <w:pPr>
        <w:pStyle w:val="Heading2"/>
        <w:spacing w:line="360" w:lineRule="auto"/>
        <w:jc w:val="both"/>
        <w:rPr>
          <w:rFonts w:ascii="Arial" w:hAnsi="Arial" w:cs="Arial"/>
          <w:sz w:val="24"/>
          <w:szCs w:val="24"/>
        </w:rPr>
      </w:pPr>
      <w:bookmarkStart w:id="17" w:name="_Toc233702132"/>
      <w:r>
        <w:rPr>
          <w:rFonts w:ascii="Arial" w:hAnsi="Arial" w:cs="Arial"/>
          <w:sz w:val="24"/>
          <w:szCs w:val="24"/>
        </w:rPr>
        <w:t>3.1 Financial restructuring options</w:t>
      </w:r>
      <w:bookmarkEnd w:id="17"/>
    </w:p>
    <w:p w14:paraId="722827EE"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Based on the financial performance and position of IHG, company should </w:t>
      </w:r>
      <w:r>
        <w:rPr>
          <w:rFonts w:ascii="Arial" w:hAnsi="Arial" w:cs="Arial"/>
          <w:b/>
          <w:bCs/>
          <w:sz w:val="24"/>
          <w:szCs w:val="24"/>
        </w:rPr>
        <w:t>implement balanced financial restructuring strategy</w:t>
      </w:r>
      <w:r>
        <w:rPr>
          <w:rFonts w:ascii="Arial" w:hAnsi="Arial" w:cs="Arial"/>
          <w:sz w:val="24"/>
          <w:szCs w:val="24"/>
        </w:rPr>
        <w:t xml:space="preserve"> for improving its capital structure, liquidity position and support in sustainable long-term growth. This can be done as follows:</w:t>
      </w:r>
    </w:p>
    <w:p w14:paraId="0990C9AE" w14:textId="77777777" w:rsidR="00044E7A" w:rsidRDefault="00000000">
      <w:pPr>
        <w:pStyle w:val="ListParagraph"/>
        <w:numPr>
          <w:ilvl w:val="0"/>
          <w:numId w:val="1"/>
        </w:numPr>
        <w:spacing w:line="360" w:lineRule="auto"/>
        <w:jc w:val="both"/>
        <w:rPr>
          <w:rFonts w:ascii="Arial" w:hAnsi="Arial" w:cs="Arial"/>
          <w:b/>
          <w:bCs/>
          <w:sz w:val="24"/>
          <w:szCs w:val="24"/>
          <w:u w:val="single"/>
        </w:rPr>
      </w:pPr>
      <w:r>
        <w:rPr>
          <w:rFonts w:ascii="Arial" w:hAnsi="Arial" w:cs="Arial"/>
          <w:b/>
          <w:bCs/>
          <w:sz w:val="24"/>
          <w:szCs w:val="24"/>
          <w:u w:val="single"/>
        </w:rPr>
        <w:t>Partial equity injection</w:t>
      </w:r>
      <w:r>
        <w:rPr>
          <w:rFonts w:ascii="Arial" w:hAnsi="Arial" w:cs="Arial"/>
          <w:sz w:val="24"/>
          <w:szCs w:val="24"/>
        </w:rPr>
        <w:t>: By way of selective issuance of new shares and retained earnings. Considering the company’s increasing level of shareholder’s equity and strong profitability, additional equity financing would reduce dependence of company debt capital, reduce its gearing level and improve the balance sheet without significantly impacting the operational performance.</w:t>
      </w:r>
    </w:p>
    <w:p w14:paraId="1295C133" w14:textId="77777777" w:rsidR="00044E7A" w:rsidRDefault="00000000">
      <w:pPr>
        <w:pStyle w:val="ListParagraph"/>
        <w:numPr>
          <w:ilvl w:val="0"/>
          <w:numId w:val="1"/>
        </w:numPr>
        <w:spacing w:line="360" w:lineRule="auto"/>
        <w:jc w:val="both"/>
        <w:rPr>
          <w:rFonts w:ascii="Arial" w:hAnsi="Arial" w:cs="Arial"/>
          <w:b/>
          <w:bCs/>
          <w:sz w:val="24"/>
          <w:szCs w:val="24"/>
          <w:u w:val="single"/>
        </w:rPr>
      </w:pPr>
      <w:r>
        <w:rPr>
          <w:rFonts w:ascii="Arial" w:hAnsi="Arial" w:cs="Arial"/>
          <w:b/>
          <w:bCs/>
          <w:sz w:val="24"/>
          <w:szCs w:val="24"/>
          <w:u w:val="single"/>
        </w:rPr>
        <w:t>Strategic divestiture of underperforming assets</w:t>
      </w:r>
      <w:r>
        <w:rPr>
          <w:rFonts w:ascii="Arial" w:hAnsi="Arial" w:cs="Arial"/>
          <w:sz w:val="24"/>
          <w:szCs w:val="24"/>
        </w:rPr>
        <w:t>: IHG follows a asset-light business model and therefore disposal of low-performing owned hotels would release the capital which can be used by company towards digital transformation, high-growth markets and brand expansion. It will improve return on assets while also providing additional liquidity.</w:t>
      </w:r>
    </w:p>
    <w:p w14:paraId="162182B8" w14:textId="77777777" w:rsidR="00044E7A" w:rsidRDefault="00000000">
      <w:pPr>
        <w:pStyle w:val="ListParagraph"/>
        <w:numPr>
          <w:ilvl w:val="0"/>
          <w:numId w:val="1"/>
        </w:numPr>
        <w:spacing w:line="360" w:lineRule="auto"/>
        <w:jc w:val="both"/>
        <w:rPr>
          <w:rFonts w:ascii="Arial" w:hAnsi="Arial" w:cs="Arial"/>
          <w:b/>
          <w:bCs/>
          <w:sz w:val="24"/>
          <w:szCs w:val="24"/>
          <w:u w:val="single"/>
        </w:rPr>
      </w:pPr>
      <w:r>
        <w:rPr>
          <w:rFonts w:ascii="Arial" w:hAnsi="Arial" w:cs="Arial"/>
          <w:b/>
          <w:bCs/>
          <w:sz w:val="24"/>
          <w:szCs w:val="24"/>
          <w:u w:val="single"/>
        </w:rPr>
        <w:t>Refinancing of existing long-term debt</w:t>
      </w:r>
      <w:r>
        <w:rPr>
          <w:rFonts w:ascii="Arial" w:hAnsi="Arial" w:cs="Arial"/>
          <w:sz w:val="24"/>
          <w:szCs w:val="24"/>
        </w:rPr>
        <w:t>: It would involve replacing high-cost borrowings with the available lower cost financing options. Considering the good interest coverage ratio of company, restructuring debt will improve profitability, reduce finance costs and minimize exposure of business to future increase in interest rates (Jawabreh et al, 2022).</w:t>
      </w:r>
    </w:p>
    <w:p w14:paraId="1EA0815F" w14:textId="77777777" w:rsidR="00044E7A" w:rsidRDefault="00000000">
      <w:pPr>
        <w:spacing w:line="360" w:lineRule="auto"/>
        <w:jc w:val="both"/>
        <w:rPr>
          <w:rFonts w:ascii="Arial" w:hAnsi="Arial" w:cs="Arial"/>
          <w:sz w:val="24"/>
          <w:szCs w:val="24"/>
        </w:rPr>
      </w:pPr>
      <w:r>
        <w:rPr>
          <w:rFonts w:ascii="Arial" w:hAnsi="Arial" w:cs="Arial"/>
          <w:sz w:val="24"/>
          <w:szCs w:val="24"/>
        </w:rPr>
        <w:t>Collectively, the above restructuring activities will improve the financial stability in business and enhance operational efficiency while also contributing to sustainable long-term value creation.</w:t>
      </w:r>
    </w:p>
    <w:p w14:paraId="0E8FD9A7" w14:textId="77777777" w:rsidR="00044E7A" w:rsidRDefault="00000000">
      <w:pPr>
        <w:pStyle w:val="Heading2"/>
        <w:spacing w:line="360" w:lineRule="auto"/>
        <w:jc w:val="both"/>
        <w:rPr>
          <w:rFonts w:ascii="Arial" w:hAnsi="Arial" w:cs="Arial"/>
          <w:sz w:val="24"/>
          <w:szCs w:val="24"/>
        </w:rPr>
      </w:pPr>
      <w:bookmarkStart w:id="18" w:name="_Toc233702133"/>
      <w:r>
        <w:rPr>
          <w:rFonts w:ascii="Arial" w:hAnsi="Arial" w:cs="Arial"/>
          <w:sz w:val="24"/>
          <w:szCs w:val="24"/>
        </w:rPr>
        <w:t>3.2 Impact on debt structure, shareholder’s value and operational flexibility</w:t>
      </w:r>
      <w:bookmarkEnd w:id="18"/>
    </w:p>
    <w:p w14:paraId="3F9DA1BA"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a) Impact on shareholder’s value</w:t>
      </w:r>
    </w:p>
    <w:p w14:paraId="1D52300B" w14:textId="77777777" w:rsidR="00044E7A" w:rsidRDefault="00000000">
      <w:pPr>
        <w:spacing w:line="360" w:lineRule="auto"/>
        <w:jc w:val="both"/>
        <w:rPr>
          <w:rFonts w:ascii="Arial" w:hAnsi="Arial" w:cs="Arial"/>
          <w:sz w:val="24"/>
          <w:szCs w:val="24"/>
        </w:rPr>
      </w:pPr>
      <w:r>
        <w:rPr>
          <w:rFonts w:ascii="Arial" w:hAnsi="Arial" w:cs="Arial"/>
          <w:sz w:val="24"/>
          <w:szCs w:val="24"/>
        </w:rPr>
        <w:lastRenderedPageBreak/>
        <w:t>The financial restructuring strategy recommended above is expected to provide long-term benefits to shareholders while also improving financial resilience of company. Partial introduction of equity share capital and retained earnings will reduce high gearing ratio of company and improve investor’s confidence. Although, the issuance of additional share capital may result in dilution of limited earnings in short-term, however, the reduced borrowing cost and enhanced financial stability are likely to improve the shareholders value over a period of time (Kumawat, 2024).</w:t>
      </w:r>
    </w:p>
    <w:p w14:paraId="7509D6CE"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b) Impact on operational flexibility</w:t>
      </w:r>
    </w:p>
    <w:p w14:paraId="1582A19D" w14:textId="77777777" w:rsidR="00044E7A" w:rsidRDefault="00000000">
      <w:pPr>
        <w:spacing w:line="360" w:lineRule="auto"/>
        <w:jc w:val="both"/>
        <w:rPr>
          <w:rFonts w:ascii="Arial" w:hAnsi="Arial" w:cs="Arial"/>
          <w:sz w:val="24"/>
          <w:szCs w:val="24"/>
        </w:rPr>
      </w:pPr>
      <w:r>
        <w:rPr>
          <w:rFonts w:ascii="Arial" w:hAnsi="Arial" w:cs="Arial"/>
          <w:sz w:val="24"/>
          <w:szCs w:val="24"/>
        </w:rPr>
        <w:t>Refinancing of debt capital will positively impact the capital structure of company by reducing interest expense. Reduced finance expense will consequently improve net profitability, cash flow position and increase the interest coverage of business and thereby lowering the financial risk. It will also improve the credit profile of company and its access to future financing at competitive interest rates.</w:t>
      </w:r>
    </w:p>
    <w:p w14:paraId="4F7EB26A" w14:textId="77777777" w:rsidR="00044E7A" w:rsidRDefault="00000000">
      <w:pPr>
        <w:spacing w:line="360" w:lineRule="auto"/>
        <w:jc w:val="both"/>
        <w:rPr>
          <w:rFonts w:ascii="Arial" w:hAnsi="Arial" w:cs="Arial"/>
          <w:sz w:val="24"/>
          <w:szCs w:val="24"/>
        </w:rPr>
      </w:pPr>
      <w:r>
        <w:rPr>
          <w:rFonts w:ascii="Arial" w:hAnsi="Arial" w:cs="Arial"/>
          <w:sz w:val="24"/>
          <w:szCs w:val="24"/>
        </w:rPr>
        <w:t>Strategic divestitures of under-performing hotel units would help in release of capital tied to under-performing assets and thereby allowing the management to invest the released capital in high-return opportunities such as sustainability initiatives, digital innovation and expansion into high-growth international markets. This reallocation of capital will improve asset utilization, overall operational efficiency and return on capital employed.</w:t>
      </w:r>
    </w:p>
    <w:p w14:paraId="4A8F770E" w14:textId="77777777" w:rsidR="00044E7A" w:rsidRDefault="00000000">
      <w:pPr>
        <w:spacing w:line="360" w:lineRule="auto"/>
        <w:jc w:val="both"/>
        <w:rPr>
          <w:rFonts w:ascii="Arial" w:hAnsi="Arial" w:cs="Arial"/>
          <w:sz w:val="24"/>
          <w:szCs w:val="24"/>
        </w:rPr>
      </w:pPr>
      <w:r>
        <w:rPr>
          <w:rFonts w:ascii="Arial" w:hAnsi="Arial" w:cs="Arial"/>
          <w:sz w:val="24"/>
          <w:szCs w:val="24"/>
        </w:rPr>
        <w:t>Further, implementation of asset-light strategy by way of franchise agreements and management contracts would significantly improve operational flexibility in business. The company would be in the position to expand internationally without making substantial investment in capital expenditure while also remaining adaptable to changes in market conditions (</w:t>
      </w:r>
      <w:proofErr w:type="spellStart"/>
      <w:r>
        <w:rPr>
          <w:rFonts w:ascii="Arial" w:hAnsi="Arial" w:cs="Arial"/>
          <w:sz w:val="24"/>
          <w:szCs w:val="24"/>
        </w:rPr>
        <w:t>Lührs</w:t>
      </w:r>
      <w:proofErr w:type="spellEnd"/>
      <w:r>
        <w:rPr>
          <w:rFonts w:ascii="Arial" w:hAnsi="Arial" w:cs="Arial"/>
          <w:sz w:val="24"/>
          <w:szCs w:val="24"/>
        </w:rPr>
        <w:t xml:space="preserve">, 2022). </w:t>
      </w:r>
    </w:p>
    <w:p w14:paraId="7CD73929"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Overall, the above provided restructuring plan would optimize capital structure, strengthen shareholder wealth, reduce financial and gearing risk and provide greater strategic flexibility to business for supporting in sustainable growth in a highly competitive global hospitality sector. </w:t>
      </w:r>
    </w:p>
    <w:p w14:paraId="67B8DB5E" w14:textId="77777777" w:rsidR="00044E7A" w:rsidRDefault="00000000">
      <w:pPr>
        <w:pStyle w:val="Heading2"/>
        <w:spacing w:line="360" w:lineRule="auto"/>
        <w:jc w:val="both"/>
        <w:rPr>
          <w:rFonts w:ascii="Arial" w:hAnsi="Arial" w:cs="Arial"/>
          <w:sz w:val="24"/>
          <w:szCs w:val="24"/>
        </w:rPr>
      </w:pPr>
      <w:bookmarkStart w:id="19" w:name="_Toc233702134"/>
      <w:r>
        <w:rPr>
          <w:rFonts w:ascii="Arial" w:hAnsi="Arial" w:cs="Arial"/>
          <w:sz w:val="24"/>
          <w:szCs w:val="24"/>
        </w:rPr>
        <w:lastRenderedPageBreak/>
        <w:t>3.3 International and ethical considerations</w:t>
      </w:r>
      <w:bookmarkEnd w:id="19"/>
    </w:p>
    <w:p w14:paraId="39C4A08E"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Being a multi-national company, </w:t>
      </w:r>
      <w:r>
        <w:rPr>
          <w:rFonts w:ascii="Arial" w:hAnsi="Arial" w:cs="Arial"/>
          <w:b/>
          <w:bCs/>
          <w:sz w:val="24"/>
          <w:szCs w:val="24"/>
        </w:rPr>
        <w:t xml:space="preserve">company should consider various international and ethical factors </w:t>
      </w:r>
      <w:r>
        <w:rPr>
          <w:rFonts w:ascii="Arial" w:hAnsi="Arial" w:cs="Arial"/>
          <w:sz w:val="24"/>
          <w:szCs w:val="24"/>
        </w:rPr>
        <w:t xml:space="preserve">while implementing above financial restructuring strategy. From the perspective of taxation, company should ensure that all the restructuring and financing decisions comply with international tax regulations such as ECD's Base Erosion and Profit Shifting framework and transfer pricing regulations. Tax compliance and transparency will help the company in reducing regulatory risk while also protecting reputation of business (Lee et al, 2022). </w:t>
      </w:r>
    </w:p>
    <w:p w14:paraId="475047A5" w14:textId="77777777" w:rsidR="00044E7A" w:rsidRDefault="00000000">
      <w:pPr>
        <w:spacing w:line="360" w:lineRule="auto"/>
        <w:jc w:val="both"/>
        <w:rPr>
          <w:rFonts w:ascii="Arial" w:hAnsi="Arial" w:cs="Arial"/>
          <w:sz w:val="24"/>
          <w:szCs w:val="24"/>
        </w:rPr>
      </w:pPr>
      <w:r>
        <w:rPr>
          <w:rFonts w:ascii="Arial" w:hAnsi="Arial" w:cs="Arial"/>
          <w:b/>
          <w:bCs/>
          <w:sz w:val="24"/>
          <w:szCs w:val="24"/>
        </w:rPr>
        <w:t>Currency risk shall be the other important consideration for company</w:t>
      </w:r>
      <w:r>
        <w:rPr>
          <w:rFonts w:ascii="Arial" w:hAnsi="Arial" w:cs="Arial"/>
          <w:sz w:val="24"/>
          <w:szCs w:val="24"/>
        </w:rPr>
        <w:t xml:space="preserve"> because of its global business operations. Fluctuations in foreign exchange rates can significantly impact costs, revenue and profitability. Therefore, the company should adopt appropriate hedging strategies for minimizing foreign exchange exposure. Similarly, increasing inflation can result in increasing utility, labour and other operating costs across international markets. Dynamic pricing strategies, effective cost control and periodic contract reviews will help in preserving profit margins at the time of high inflation (VG, 2026).</w:t>
      </w:r>
    </w:p>
    <w:p w14:paraId="6DD95988"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ESG (Environmental, Social, and Governance) considerations </w:t>
      </w:r>
      <w:r>
        <w:rPr>
          <w:rFonts w:ascii="Arial" w:hAnsi="Arial" w:cs="Arial"/>
          <w:sz w:val="24"/>
          <w:szCs w:val="24"/>
        </w:rPr>
        <w:t>shall be given due importance to the restructuring plan. Company shall continue investing in carbon emission reduction programmes, energy-efficient hotels, waste management, responsible sourcing and community development initiatives. Maintaining ethical labour practices, high standards of corporate governance and transparent communication with stakeholders will further improve brand reputation and strengthen investor confidence (Molina et al, 2023).</w:t>
      </w:r>
    </w:p>
    <w:p w14:paraId="464CB961" w14:textId="77777777" w:rsidR="00044E7A" w:rsidRDefault="00000000">
      <w:pPr>
        <w:pStyle w:val="Heading1"/>
        <w:spacing w:line="360" w:lineRule="auto"/>
        <w:jc w:val="both"/>
        <w:rPr>
          <w:rFonts w:ascii="Arial" w:hAnsi="Arial" w:cs="Arial"/>
          <w:sz w:val="24"/>
          <w:szCs w:val="24"/>
        </w:rPr>
      </w:pPr>
      <w:bookmarkStart w:id="20" w:name="_Toc233702135"/>
      <w:r>
        <w:rPr>
          <w:rFonts w:ascii="Arial" w:hAnsi="Arial" w:cs="Arial"/>
          <w:sz w:val="24"/>
          <w:szCs w:val="24"/>
        </w:rPr>
        <w:t>4. Investment appraisal and capital budgeting</w:t>
      </w:r>
      <w:bookmarkEnd w:id="20"/>
    </w:p>
    <w:p w14:paraId="0870AB90" w14:textId="77777777" w:rsidR="00044E7A" w:rsidRDefault="00000000">
      <w:pPr>
        <w:pStyle w:val="Heading2"/>
        <w:spacing w:line="360" w:lineRule="auto"/>
        <w:jc w:val="both"/>
        <w:rPr>
          <w:rFonts w:ascii="Arial" w:hAnsi="Arial" w:cs="Arial"/>
          <w:sz w:val="24"/>
          <w:szCs w:val="24"/>
        </w:rPr>
      </w:pPr>
      <w:bookmarkStart w:id="21" w:name="_Toc233702136"/>
      <w:r>
        <w:rPr>
          <w:rFonts w:ascii="Arial" w:hAnsi="Arial" w:cs="Arial"/>
          <w:sz w:val="24"/>
          <w:szCs w:val="24"/>
        </w:rPr>
        <w:t>4.1 Application of different investment appraisal techniques</w:t>
      </w:r>
      <w:bookmarkEnd w:id="21"/>
    </w:p>
    <w:p w14:paraId="65726750"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a) Payback period</w:t>
      </w:r>
    </w:p>
    <w:p w14:paraId="70F24426" w14:textId="77777777" w:rsidR="00044E7A" w:rsidRDefault="00000000">
      <w:pPr>
        <w:spacing w:line="360" w:lineRule="auto"/>
        <w:jc w:val="both"/>
        <w:rPr>
          <w:rFonts w:ascii="Arial" w:hAnsi="Arial" w:cs="Arial"/>
          <w:b/>
          <w:bCs/>
          <w:sz w:val="24"/>
          <w:szCs w:val="24"/>
        </w:rPr>
      </w:pPr>
      <w:r>
        <w:rPr>
          <w:rFonts w:ascii="Arial" w:hAnsi="Arial" w:cs="Arial"/>
          <w:sz w:val="24"/>
          <w:szCs w:val="24"/>
        </w:rPr>
        <w:t xml:space="preserve">Calculation of payback period is provided in </w:t>
      </w:r>
      <w:r>
        <w:rPr>
          <w:rFonts w:ascii="Arial" w:hAnsi="Arial" w:cs="Arial"/>
          <w:b/>
          <w:bCs/>
          <w:sz w:val="24"/>
          <w:szCs w:val="24"/>
        </w:rPr>
        <w:t>Appendix-4.</w:t>
      </w:r>
    </w:p>
    <w:p w14:paraId="192D48B6" w14:textId="77777777" w:rsidR="00044E7A" w:rsidRDefault="00000000">
      <w:pPr>
        <w:spacing w:line="360" w:lineRule="auto"/>
        <w:jc w:val="both"/>
        <w:rPr>
          <w:rFonts w:ascii="Arial" w:hAnsi="Arial" w:cs="Arial"/>
          <w:sz w:val="24"/>
          <w:szCs w:val="24"/>
        </w:rPr>
      </w:pPr>
      <w:r>
        <w:rPr>
          <w:rFonts w:ascii="Arial" w:hAnsi="Arial" w:cs="Arial"/>
          <w:sz w:val="24"/>
          <w:szCs w:val="24"/>
        </w:rPr>
        <w:t>In terms of the said calculation, payback period of the three projects are as follows:</w:t>
      </w:r>
    </w:p>
    <w:tbl>
      <w:tblPr>
        <w:tblStyle w:val="TableGrid"/>
        <w:tblW w:w="0" w:type="auto"/>
        <w:jc w:val="center"/>
        <w:tblLook w:val="04A0" w:firstRow="1" w:lastRow="0" w:firstColumn="1" w:lastColumn="0" w:noHBand="0" w:noVBand="1"/>
      </w:tblPr>
      <w:tblGrid>
        <w:gridCol w:w="1984"/>
        <w:gridCol w:w="1985"/>
      </w:tblGrid>
      <w:tr w:rsidR="00044E7A" w14:paraId="6DD94A81" w14:textId="77777777">
        <w:trPr>
          <w:jc w:val="center"/>
        </w:trPr>
        <w:tc>
          <w:tcPr>
            <w:tcW w:w="1984" w:type="dxa"/>
          </w:tcPr>
          <w:p w14:paraId="794B3EF6" w14:textId="77777777" w:rsidR="00044E7A" w:rsidRDefault="00000000">
            <w:pPr>
              <w:spacing w:after="0" w:line="360" w:lineRule="auto"/>
              <w:jc w:val="both"/>
              <w:rPr>
                <w:rFonts w:ascii="Arial" w:hAnsi="Arial" w:cs="Arial"/>
                <w:sz w:val="24"/>
                <w:szCs w:val="24"/>
              </w:rPr>
            </w:pPr>
            <w:r>
              <w:rPr>
                <w:rFonts w:ascii="Arial" w:hAnsi="Arial" w:cs="Arial"/>
                <w:sz w:val="24"/>
                <w:szCs w:val="24"/>
              </w:rPr>
              <w:lastRenderedPageBreak/>
              <w:t>Project A</w:t>
            </w:r>
          </w:p>
        </w:tc>
        <w:tc>
          <w:tcPr>
            <w:tcW w:w="1985" w:type="dxa"/>
          </w:tcPr>
          <w:p w14:paraId="56BB6332" w14:textId="77777777" w:rsidR="00044E7A" w:rsidRDefault="00000000">
            <w:pPr>
              <w:spacing w:after="0" w:line="360" w:lineRule="auto"/>
              <w:jc w:val="both"/>
              <w:rPr>
                <w:rFonts w:ascii="Arial" w:hAnsi="Arial" w:cs="Arial"/>
                <w:sz w:val="24"/>
                <w:szCs w:val="24"/>
              </w:rPr>
            </w:pPr>
            <w:r>
              <w:rPr>
                <w:rFonts w:ascii="Arial" w:hAnsi="Arial" w:cs="Arial"/>
                <w:sz w:val="24"/>
                <w:szCs w:val="24"/>
              </w:rPr>
              <w:t>4.5 years</w:t>
            </w:r>
          </w:p>
        </w:tc>
      </w:tr>
      <w:tr w:rsidR="00044E7A" w14:paraId="251A8232" w14:textId="77777777">
        <w:trPr>
          <w:jc w:val="center"/>
        </w:trPr>
        <w:tc>
          <w:tcPr>
            <w:tcW w:w="1984" w:type="dxa"/>
          </w:tcPr>
          <w:p w14:paraId="440C32CB"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B</w:t>
            </w:r>
          </w:p>
        </w:tc>
        <w:tc>
          <w:tcPr>
            <w:tcW w:w="1985" w:type="dxa"/>
          </w:tcPr>
          <w:p w14:paraId="2305805F" w14:textId="77777777" w:rsidR="00044E7A" w:rsidRDefault="00000000">
            <w:pPr>
              <w:spacing w:after="0" w:line="360" w:lineRule="auto"/>
              <w:jc w:val="both"/>
              <w:rPr>
                <w:rFonts w:ascii="Arial" w:hAnsi="Arial" w:cs="Arial"/>
                <w:sz w:val="24"/>
                <w:szCs w:val="24"/>
              </w:rPr>
            </w:pPr>
            <w:r>
              <w:rPr>
                <w:rFonts w:ascii="Arial" w:hAnsi="Arial" w:cs="Arial"/>
                <w:sz w:val="24"/>
                <w:szCs w:val="24"/>
              </w:rPr>
              <w:t>4.54 years</w:t>
            </w:r>
          </w:p>
        </w:tc>
      </w:tr>
      <w:tr w:rsidR="00044E7A" w14:paraId="022634D1" w14:textId="77777777">
        <w:trPr>
          <w:jc w:val="center"/>
        </w:trPr>
        <w:tc>
          <w:tcPr>
            <w:tcW w:w="1984" w:type="dxa"/>
          </w:tcPr>
          <w:p w14:paraId="05018F29"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C</w:t>
            </w:r>
          </w:p>
        </w:tc>
        <w:tc>
          <w:tcPr>
            <w:tcW w:w="1985" w:type="dxa"/>
          </w:tcPr>
          <w:p w14:paraId="27DDC6F4" w14:textId="77777777" w:rsidR="00044E7A" w:rsidRDefault="00000000">
            <w:pPr>
              <w:spacing w:after="0" w:line="360" w:lineRule="auto"/>
              <w:jc w:val="both"/>
              <w:rPr>
                <w:rFonts w:ascii="Arial" w:hAnsi="Arial" w:cs="Arial"/>
                <w:sz w:val="24"/>
                <w:szCs w:val="24"/>
              </w:rPr>
            </w:pPr>
            <w:r>
              <w:rPr>
                <w:rFonts w:ascii="Arial" w:hAnsi="Arial" w:cs="Arial"/>
                <w:sz w:val="24"/>
                <w:szCs w:val="24"/>
              </w:rPr>
              <w:t>3.6 years</w:t>
            </w:r>
          </w:p>
        </w:tc>
      </w:tr>
    </w:tbl>
    <w:p w14:paraId="0EC4F5EB" w14:textId="77777777" w:rsidR="00044E7A" w:rsidRDefault="00044E7A">
      <w:pPr>
        <w:spacing w:line="360" w:lineRule="auto"/>
        <w:jc w:val="both"/>
        <w:rPr>
          <w:rFonts w:ascii="Arial" w:hAnsi="Arial" w:cs="Arial"/>
          <w:sz w:val="24"/>
          <w:szCs w:val="24"/>
        </w:rPr>
      </w:pPr>
    </w:p>
    <w:p w14:paraId="351AF07F"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b) ARR</w:t>
      </w:r>
    </w:p>
    <w:p w14:paraId="6589047D" w14:textId="77777777" w:rsidR="00044E7A" w:rsidRDefault="00000000">
      <w:pPr>
        <w:spacing w:line="360" w:lineRule="auto"/>
        <w:jc w:val="both"/>
        <w:rPr>
          <w:rFonts w:ascii="Arial" w:hAnsi="Arial" w:cs="Arial"/>
          <w:b/>
          <w:bCs/>
          <w:sz w:val="24"/>
          <w:szCs w:val="24"/>
        </w:rPr>
      </w:pPr>
      <w:r>
        <w:rPr>
          <w:rFonts w:ascii="Arial" w:hAnsi="Arial" w:cs="Arial"/>
          <w:sz w:val="24"/>
          <w:szCs w:val="24"/>
        </w:rPr>
        <w:t xml:space="preserve">Calculation of ARR is provided in </w:t>
      </w:r>
      <w:r>
        <w:rPr>
          <w:rFonts w:ascii="Arial" w:hAnsi="Arial" w:cs="Arial"/>
          <w:b/>
          <w:bCs/>
          <w:sz w:val="24"/>
          <w:szCs w:val="24"/>
        </w:rPr>
        <w:t>Appendix-4.</w:t>
      </w:r>
    </w:p>
    <w:p w14:paraId="547E0CC5" w14:textId="77777777" w:rsidR="00044E7A" w:rsidRDefault="00000000">
      <w:pPr>
        <w:spacing w:line="360" w:lineRule="auto"/>
        <w:jc w:val="both"/>
        <w:rPr>
          <w:rFonts w:ascii="Arial" w:hAnsi="Arial" w:cs="Arial"/>
          <w:sz w:val="24"/>
          <w:szCs w:val="24"/>
        </w:rPr>
      </w:pPr>
      <w:r>
        <w:rPr>
          <w:rFonts w:ascii="Arial" w:hAnsi="Arial" w:cs="Arial"/>
          <w:sz w:val="24"/>
          <w:szCs w:val="24"/>
        </w:rPr>
        <w:t>In terms of the said calculation, ARR of the three projects are as follows:</w:t>
      </w:r>
    </w:p>
    <w:tbl>
      <w:tblPr>
        <w:tblStyle w:val="TableGrid"/>
        <w:tblW w:w="0" w:type="auto"/>
        <w:jc w:val="center"/>
        <w:tblLook w:val="04A0" w:firstRow="1" w:lastRow="0" w:firstColumn="1" w:lastColumn="0" w:noHBand="0" w:noVBand="1"/>
      </w:tblPr>
      <w:tblGrid>
        <w:gridCol w:w="1984"/>
        <w:gridCol w:w="1985"/>
      </w:tblGrid>
      <w:tr w:rsidR="00044E7A" w14:paraId="2EA02362" w14:textId="77777777">
        <w:trPr>
          <w:jc w:val="center"/>
        </w:trPr>
        <w:tc>
          <w:tcPr>
            <w:tcW w:w="1984" w:type="dxa"/>
          </w:tcPr>
          <w:p w14:paraId="02BCC7D9"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A</w:t>
            </w:r>
          </w:p>
        </w:tc>
        <w:tc>
          <w:tcPr>
            <w:tcW w:w="1985" w:type="dxa"/>
          </w:tcPr>
          <w:p w14:paraId="1F4B80FD" w14:textId="77777777" w:rsidR="00044E7A" w:rsidRDefault="00000000">
            <w:pPr>
              <w:spacing w:after="0" w:line="360" w:lineRule="auto"/>
              <w:jc w:val="both"/>
              <w:rPr>
                <w:rFonts w:ascii="Arial" w:hAnsi="Arial" w:cs="Arial"/>
                <w:sz w:val="24"/>
                <w:szCs w:val="24"/>
              </w:rPr>
            </w:pPr>
            <w:r>
              <w:rPr>
                <w:rFonts w:ascii="Arial" w:hAnsi="Arial" w:cs="Arial"/>
                <w:sz w:val="24"/>
                <w:szCs w:val="24"/>
              </w:rPr>
              <w:t>21.60%</w:t>
            </w:r>
          </w:p>
        </w:tc>
      </w:tr>
      <w:tr w:rsidR="00044E7A" w14:paraId="7926332F" w14:textId="77777777">
        <w:trPr>
          <w:jc w:val="center"/>
        </w:trPr>
        <w:tc>
          <w:tcPr>
            <w:tcW w:w="1984" w:type="dxa"/>
          </w:tcPr>
          <w:p w14:paraId="507A3D4B"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B</w:t>
            </w:r>
          </w:p>
        </w:tc>
        <w:tc>
          <w:tcPr>
            <w:tcW w:w="1985" w:type="dxa"/>
          </w:tcPr>
          <w:p w14:paraId="7C8E4627" w14:textId="77777777" w:rsidR="00044E7A" w:rsidRDefault="00000000">
            <w:pPr>
              <w:spacing w:after="0" w:line="360" w:lineRule="auto"/>
              <w:jc w:val="both"/>
              <w:rPr>
                <w:rFonts w:ascii="Arial" w:hAnsi="Arial" w:cs="Arial"/>
                <w:sz w:val="24"/>
                <w:szCs w:val="24"/>
              </w:rPr>
            </w:pPr>
            <w:r>
              <w:rPr>
                <w:rFonts w:ascii="Arial" w:hAnsi="Arial" w:cs="Arial"/>
                <w:sz w:val="24"/>
                <w:szCs w:val="24"/>
              </w:rPr>
              <w:t>22%</w:t>
            </w:r>
          </w:p>
        </w:tc>
      </w:tr>
      <w:tr w:rsidR="00044E7A" w14:paraId="312CE94F" w14:textId="77777777">
        <w:trPr>
          <w:jc w:val="center"/>
        </w:trPr>
        <w:tc>
          <w:tcPr>
            <w:tcW w:w="1984" w:type="dxa"/>
          </w:tcPr>
          <w:p w14:paraId="49869D5E"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C</w:t>
            </w:r>
          </w:p>
        </w:tc>
        <w:tc>
          <w:tcPr>
            <w:tcW w:w="1985" w:type="dxa"/>
          </w:tcPr>
          <w:p w14:paraId="4C4FEC66" w14:textId="77777777" w:rsidR="00044E7A" w:rsidRDefault="00000000">
            <w:pPr>
              <w:spacing w:after="0" w:line="360" w:lineRule="auto"/>
              <w:jc w:val="both"/>
              <w:rPr>
                <w:rFonts w:ascii="Arial" w:hAnsi="Arial" w:cs="Arial"/>
                <w:sz w:val="24"/>
                <w:szCs w:val="24"/>
              </w:rPr>
            </w:pPr>
            <w:r>
              <w:rPr>
                <w:rFonts w:ascii="Arial" w:hAnsi="Arial" w:cs="Arial"/>
                <w:sz w:val="24"/>
                <w:szCs w:val="24"/>
              </w:rPr>
              <w:t>26%</w:t>
            </w:r>
          </w:p>
        </w:tc>
      </w:tr>
    </w:tbl>
    <w:p w14:paraId="22FF56E4" w14:textId="77777777" w:rsidR="00044E7A" w:rsidRDefault="00044E7A">
      <w:pPr>
        <w:spacing w:line="360" w:lineRule="auto"/>
        <w:jc w:val="both"/>
        <w:rPr>
          <w:rFonts w:ascii="Arial" w:hAnsi="Arial" w:cs="Arial"/>
          <w:b/>
          <w:bCs/>
          <w:sz w:val="24"/>
          <w:szCs w:val="24"/>
          <w:u w:val="single"/>
        </w:rPr>
      </w:pPr>
    </w:p>
    <w:p w14:paraId="38B51E7A"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c) Net present value</w:t>
      </w:r>
    </w:p>
    <w:p w14:paraId="175F0A43" w14:textId="77777777" w:rsidR="00044E7A" w:rsidRDefault="00000000">
      <w:pPr>
        <w:spacing w:line="360" w:lineRule="auto"/>
        <w:jc w:val="both"/>
        <w:rPr>
          <w:rFonts w:ascii="Arial" w:hAnsi="Arial" w:cs="Arial"/>
          <w:b/>
          <w:bCs/>
          <w:sz w:val="24"/>
          <w:szCs w:val="24"/>
        </w:rPr>
      </w:pPr>
      <w:r>
        <w:rPr>
          <w:rFonts w:ascii="Arial" w:hAnsi="Arial" w:cs="Arial"/>
          <w:sz w:val="24"/>
          <w:szCs w:val="24"/>
        </w:rPr>
        <w:t xml:space="preserve">Calculation of NPV is provided in </w:t>
      </w:r>
      <w:r>
        <w:rPr>
          <w:rFonts w:ascii="Arial" w:hAnsi="Arial" w:cs="Arial"/>
          <w:b/>
          <w:bCs/>
          <w:sz w:val="24"/>
          <w:szCs w:val="24"/>
        </w:rPr>
        <w:t>Appendix-4.</w:t>
      </w:r>
    </w:p>
    <w:p w14:paraId="34195AF2" w14:textId="77777777" w:rsidR="00044E7A" w:rsidRDefault="00000000">
      <w:pPr>
        <w:spacing w:line="360" w:lineRule="auto"/>
        <w:jc w:val="both"/>
        <w:rPr>
          <w:rFonts w:ascii="Arial" w:hAnsi="Arial" w:cs="Arial"/>
          <w:sz w:val="24"/>
          <w:szCs w:val="24"/>
        </w:rPr>
      </w:pPr>
      <w:r>
        <w:rPr>
          <w:rFonts w:ascii="Arial" w:hAnsi="Arial" w:cs="Arial"/>
          <w:sz w:val="24"/>
          <w:szCs w:val="24"/>
        </w:rPr>
        <w:t>In terms of the said calculation, NPV of the three projects are as follows:</w:t>
      </w:r>
    </w:p>
    <w:tbl>
      <w:tblPr>
        <w:tblStyle w:val="TableGrid"/>
        <w:tblW w:w="0" w:type="auto"/>
        <w:jc w:val="center"/>
        <w:tblLook w:val="04A0" w:firstRow="1" w:lastRow="0" w:firstColumn="1" w:lastColumn="0" w:noHBand="0" w:noVBand="1"/>
      </w:tblPr>
      <w:tblGrid>
        <w:gridCol w:w="1984"/>
        <w:gridCol w:w="1985"/>
      </w:tblGrid>
      <w:tr w:rsidR="00044E7A" w14:paraId="1C6A0581" w14:textId="77777777">
        <w:trPr>
          <w:jc w:val="center"/>
        </w:trPr>
        <w:tc>
          <w:tcPr>
            <w:tcW w:w="1984" w:type="dxa"/>
          </w:tcPr>
          <w:p w14:paraId="4BC2CF01"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A</w:t>
            </w:r>
          </w:p>
        </w:tc>
        <w:tc>
          <w:tcPr>
            <w:tcW w:w="1985" w:type="dxa"/>
          </w:tcPr>
          <w:p w14:paraId="0B8C3215" w14:textId="77777777" w:rsidR="00044E7A" w:rsidRDefault="00000000">
            <w:pPr>
              <w:spacing w:after="0" w:line="360" w:lineRule="auto"/>
              <w:jc w:val="both"/>
              <w:rPr>
                <w:rFonts w:ascii="Arial" w:hAnsi="Arial" w:cs="Arial"/>
                <w:sz w:val="24"/>
                <w:szCs w:val="24"/>
              </w:rPr>
            </w:pPr>
            <w:r>
              <w:rPr>
                <w:rFonts w:ascii="Arial" w:eastAsia="Times New Roman" w:hAnsi="Arial" w:cs="Arial"/>
                <w:color w:val="000000"/>
                <w:kern w:val="0"/>
                <w:sz w:val="24"/>
                <w:szCs w:val="24"/>
                <w:lang w:eastAsia="en-IN"/>
                <w14:ligatures w14:val="none"/>
              </w:rPr>
              <w:t>-6.54 millions</w:t>
            </w:r>
          </w:p>
        </w:tc>
      </w:tr>
      <w:tr w:rsidR="00044E7A" w14:paraId="7377699D" w14:textId="77777777">
        <w:trPr>
          <w:jc w:val="center"/>
        </w:trPr>
        <w:tc>
          <w:tcPr>
            <w:tcW w:w="1984" w:type="dxa"/>
          </w:tcPr>
          <w:p w14:paraId="2A61F058"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B</w:t>
            </w:r>
          </w:p>
        </w:tc>
        <w:tc>
          <w:tcPr>
            <w:tcW w:w="1985" w:type="dxa"/>
          </w:tcPr>
          <w:p w14:paraId="0A4E2894" w14:textId="77777777" w:rsidR="00044E7A" w:rsidRDefault="00000000">
            <w:pPr>
              <w:spacing w:after="0" w:line="360" w:lineRule="auto"/>
              <w:jc w:val="both"/>
              <w:rPr>
                <w:rFonts w:ascii="Arial" w:hAnsi="Arial" w:cs="Arial"/>
                <w:sz w:val="24"/>
                <w:szCs w:val="24"/>
              </w:rPr>
            </w:pPr>
            <w:r>
              <w:rPr>
                <w:rFonts w:ascii="Arial" w:eastAsia="Times New Roman" w:hAnsi="Arial" w:cs="Arial"/>
                <w:color w:val="000000"/>
                <w:kern w:val="0"/>
                <w:sz w:val="24"/>
                <w:szCs w:val="24"/>
                <w:lang w:eastAsia="en-IN"/>
                <w14:ligatures w14:val="none"/>
              </w:rPr>
              <w:t>-6.08 millions</w:t>
            </w:r>
          </w:p>
        </w:tc>
      </w:tr>
      <w:tr w:rsidR="00044E7A" w14:paraId="18552AB3" w14:textId="77777777">
        <w:trPr>
          <w:jc w:val="center"/>
        </w:trPr>
        <w:tc>
          <w:tcPr>
            <w:tcW w:w="1984" w:type="dxa"/>
          </w:tcPr>
          <w:p w14:paraId="471BA08C"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C</w:t>
            </w:r>
          </w:p>
        </w:tc>
        <w:tc>
          <w:tcPr>
            <w:tcW w:w="1985" w:type="dxa"/>
          </w:tcPr>
          <w:p w14:paraId="09EB0616" w14:textId="77777777" w:rsidR="00044E7A" w:rsidRDefault="00000000">
            <w:pPr>
              <w:spacing w:after="0" w:line="360" w:lineRule="auto"/>
              <w:jc w:val="both"/>
              <w:rPr>
                <w:rFonts w:ascii="Arial" w:hAnsi="Arial" w:cs="Arial"/>
                <w:sz w:val="24"/>
                <w:szCs w:val="24"/>
              </w:rPr>
            </w:pPr>
            <w:r>
              <w:rPr>
                <w:rFonts w:ascii="Arial" w:eastAsia="Times New Roman" w:hAnsi="Arial" w:cs="Arial"/>
                <w:color w:val="000000"/>
                <w:kern w:val="0"/>
                <w:sz w:val="24"/>
                <w:szCs w:val="24"/>
                <w:lang w:eastAsia="en-IN"/>
                <w14:ligatures w14:val="none"/>
              </w:rPr>
              <w:t>0.86 millions</w:t>
            </w:r>
          </w:p>
        </w:tc>
      </w:tr>
    </w:tbl>
    <w:p w14:paraId="1653CB0E" w14:textId="77777777" w:rsidR="00044E7A" w:rsidRDefault="00044E7A">
      <w:pPr>
        <w:spacing w:line="360" w:lineRule="auto"/>
        <w:jc w:val="both"/>
        <w:rPr>
          <w:rFonts w:ascii="Arial" w:hAnsi="Arial" w:cs="Arial"/>
          <w:b/>
          <w:bCs/>
          <w:sz w:val="24"/>
          <w:szCs w:val="24"/>
          <w:u w:val="single"/>
        </w:rPr>
      </w:pPr>
    </w:p>
    <w:p w14:paraId="27A18A24"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d) Profitability index</w:t>
      </w:r>
    </w:p>
    <w:p w14:paraId="7B3D4770" w14:textId="77777777" w:rsidR="00044E7A" w:rsidRDefault="00000000">
      <w:pPr>
        <w:spacing w:line="360" w:lineRule="auto"/>
        <w:jc w:val="both"/>
        <w:rPr>
          <w:rFonts w:ascii="Arial" w:hAnsi="Arial" w:cs="Arial"/>
          <w:b/>
          <w:bCs/>
          <w:sz w:val="24"/>
          <w:szCs w:val="24"/>
        </w:rPr>
      </w:pPr>
      <w:r>
        <w:rPr>
          <w:rFonts w:ascii="Arial" w:hAnsi="Arial" w:cs="Arial"/>
          <w:sz w:val="24"/>
          <w:szCs w:val="24"/>
        </w:rPr>
        <w:t xml:space="preserve">Calculation of profitability index is provided in </w:t>
      </w:r>
      <w:r>
        <w:rPr>
          <w:rFonts w:ascii="Arial" w:hAnsi="Arial" w:cs="Arial"/>
          <w:b/>
          <w:bCs/>
          <w:sz w:val="24"/>
          <w:szCs w:val="24"/>
        </w:rPr>
        <w:t>Appendix-4.</w:t>
      </w:r>
    </w:p>
    <w:p w14:paraId="78EA9503" w14:textId="77777777" w:rsidR="00044E7A" w:rsidRDefault="00000000">
      <w:pPr>
        <w:spacing w:line="360" w:lineRule="auto"/>
        <w:jc w:val="both"/>
        <w:rPr>
          <w:rFonts w:ascii="Arial" w:hAnsi="Arial" w:cs="Arial"/>
          <w:sz w:val="24"/>
          <w:szCs w:val="24"/>
        </w:rPr>
      </w:pPr>
      <w:r>
        <w:rPr>
          <w:rFonts w:ascii="Arial" w:hAnsi="Arial" w:cs="Arial"/>
          <w:sz w:val="24"/>
          <w:szCs w:val="24"/>
        </w:rPr>
        <w:t>In terms of the said calculation, profitability index of the three projects are as follows:</w:t>
      </w:r>
    </w:p>
    <w:tbl>
      <w:tblPr>
        <w:tblStyle w:val="TableGrid"/>
        <w:tblW w:w="0" w:type="auto"/>
        <w:jc w:val="center"/>
        <w:tblLook w:val="04A0" w:firstRow="1" w:lastRow="0" w:firstColumn="1" w:lastColumn="0" w:noHBand="0" w:noVBand="1"/>
      </w:tblPr>
      <w:tblGrid>
        <w:gridCol w:w="1984"/>
        <w:gridCol w:w="1985"/>
      </w:tblGrid>
      <w:tr w:rsidR="00044E7A" w14:paraId="1940A5C0" w14:textId="77777777">
        <w:trPr>
          <w:jc w:val="center"/>
        </w:trPr>
        <w:tc>
          <w:tcPr>
            <w:tcW w:w="1984" w:type="dxa"/>
          </w:tcPr>
          <w:p w14:paraId="5A6381B5"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A</w:t>
            </w:r>
          </w:p>
        </w:tc>
        <w:tc>
          <w:tcPr>
            <w:tcW w:w="1985" w:type="dxa"/>
          </w:tcPr>
          <w:p w14:paraId="3673F311" w14:textId="77777777" w:rsidR="00044E7A" w:rsidRDefault="00000000">
            <w:pPr>
              <w:spacing w:after="0" w:line="360" w:lineRule="auto"/>
              <w:jc w:val="both"/>
              <w:rPr>
                <w:rFonts w:ascii="Arial" w:hAnsi="Arial" w:cs="Arial"/>
                <w:sz w:val="24"/>
                <w:szCs w:val="24"/>
              </w:rPr>
            </w:pPr>
            <w:r>
              <w:rPr>
                <w:rFonts w:ascii="Arial" w:hAnsi="Arial" w:cs="Arial"/>
                <w:sz w:val="24"/>
                <w:szCs w:val="24"/>
              </w:rPr>
              <w:t>0.87</w:t>
            </w:r>
          </w:p>
        </w:tc>
      </w:tr>
      <w:tr w:rsidR="00044E7A" w14:paraId="65FD5902" w14:textId="77777777">
        <w:trPr>
          <w:jc w:val="center"/>
        </w:trPr>
        <w:tc>
          <w:tcPr>
            <w:tcW w:w="1984" w:type="dxa"/>
          </w:tcPr>
          <w:p w14:paraId="602370AB"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B</w:t>
            </w:r>
          </w:p>
        </w:tc>
        <w:tc>
          <w:tcPr>
            <w:tcW w:w="1985" w:type="dxa"/>
          </w:tcPr>
          <w:p w14:paraId="4AA6399F" w14:textId="77777777" w:rsidR="00044E7A" w:rsidRDefault="00000000">
            <w:pPr>
              <w:spacing w:after="0" w:line="360" w:lineRule="auto"/>
              <w:jc w:val="both"/>
              <w:rPr>
                <w:rFonts w:ascii="Arial" w:hAnsi="Arial" w:cs="Arial"/>
                <w:sz w:val="24"/>
                <w:szCs w:val="24"/>
              </w:rPr>
            </w:pPr>
            <w:r>
              <w:rPr>
                <w:rFonts w:ascii="Arial" w:hAnsi="Arial" w:cs="Arial"/>
                <w:sz w:val="24"/>
                <w:szCs w:val="24"/>
              </w:rPr>
              <w:t>0.88</w:t>
            </w:r>
          </w:p>
        </w:tc>
      </w:tr>
      <w:tr w:rsidR="00044E7A" w14:paraId="1FEE5EA8" w14:textId="77777777">
        <w:trPr>
          <w:jc w:val="center"/>
        </w:trPr>
        <w:tc>
          <w:tcPr>
            <w:tcW w:w="1984" w:type="dxa"/>
          </w:tcPr>
          <w:p w14:paraId="434C902C"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C</w:t>
            </w:r>
          </w:p>
        </w:tc>
        <w:tc>
          <w:tcPr>
            <w:tcW w:w="1985" w:type="dxa"/>
          </w:tcPr>
          <w:p w14:paraId="6B43B7C8" w14:textId="77777777" w:rsidR="00044E7A" w:rsidRDefault="00000000">
            <w:pPr>
              <w:spacing w:after="0" w:line="360" w:lineRule="auto"/>
              <w:jc w:val="both"/>
              <w:rPr>
                <w:rFonts w:ascii="Arial" w:hAnsi="Arial" w:cs="Arial"/>
                <w:sz w:val="24"/>
                <w:szCs w:val="24"/>
              </w:rPr>
            </w:pPr>
            <w:r>
              <w:rPr>
                <w:rFonts w:ascii="Arial" w:hAnsi="Arial" w:cs="Arial"/>
                <w:sz w:val="24"/>
                <w:szCs w:val="24"/>
              </w:rPr>
              <w:t>1.02</w:t>
            </w:r>
          </w:p>
        </w:tc>
      </w:tr>
    </w:tbl>
    <w:p w14:paraId="16B21532" w14:textId="77777777" w:rsidR="00044E7A" w:rsidRDefault="00044E7A">
      <w:pPr>
        <w:spacing w:line="360" w:lineRule="auto"/>
        <w:jc w:val="both"/>
        <w:rPr>
          <w:rFonts w:ascii="Arial" w:hAnsi="Arial" w:cs="Arial"/>
          <w:b/>
          <w:bCs/>
          <w:sz w:val="24"/>
          <w:szCs w:val="24"/>
          <w:u w:val="single"/>
        </w:rPr>
      </w:pPr>
    </w:p>
    <w:p w14:paraId="48E3E18D"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e) IRR</w:t>
      </w:r>
    </w:p>
    <w:p w14:paraId="6950B583" w14:textId="77777777" w:rsidR="00044E7A" w:rsidRDefault="00000000">
      <w:pPr>
        <w:spacing w:line="360" w:lineRule="auto"/>
        <w:jc w:val="both"/>
        <w:rPr>
          <w:rFonts w:ascii="Arial" w:hAnsi="Arial" w:cs="Arial"/>
          <w:b/>
          <w:bCs/>
          <w:sz w:val="24"/>
          <w:szCs w:val="24"/>
        </w:rPr>
      </w:pPr>
      <w:r>
        <w:rPr>
          <w:rFonts w:ascii="Arial" w:hAnsi="Arial" w:cs="Arial"/>
          <w:sz w:val="24"/>
          <w:szCs w:val="24"/>
        </w:rPr>
        <w:t xml:space="preserve">Calculation of IRR is provided in </w:t>
      </w:r>
      <w:r>
        <w:rPr>
          <w:rFonts w:ascii="Arial" w:hAnsi="Arial" w:cs="Arial"/>
          <w:b/>
          <w:bCs/>
          <w:sz w:val="24"/>
          <w:szCs w:val="24"/>
        </w:rPr>
        <w:t>Appendix-4.</w:t>
      </w:r>
    </w:p>
    <w:p w14:paraId="585053E1" w14:textId="77777777" w:rsidR="00044E7A" w:rsidRDefault="00000000">
      <w:pPr>
        <w:spacing w:line="360" w:lineRule="auto"/>
        <w:jc w:val="both"/>
        <w:rPr>
          <w:rFonts w:ascii="Arial" w:hAnsi="Arial" w:cs="Arial"/>
          <w:sz w:val="24"/>
          <w:szCs w:val="24"/>
        </w:rPr>
      </w:pPr>
      <w:r>
        <w:rPr>
          <w:rFonts w:ascii="Arial" w:hAnsi="Arial" w:cs="Arial"/>
          <w:sz w:val="24"/>
          <w:szCs w:val="24"/>
        </w:rPr>
        <w:lastRenderedPageBreak/>
        <w:t>In terms of the said calculation, IRR of the three projects are as follows:</w:t>
      </w:r>
    </w:p>
    <w:tbl>
      <w:tblPr>
        <w:tblStyle w:val="TableGrid"/>
        <w:tblW w:w="0" w:type="auto"/>
        <w:jc w:val="center"/>
        <w:tblLook w:val="04A0" w:firstRow="1" w:lastRow="0" w:firstColumn="1" w:lastColumn="0" w:noHBand="0" w:noVBand="1"/>
      </w:tblPr>
      <w:tblGrid>
        <w:gridCol w:w="1984"/>
        <w:gridCol w:w="1985"/>
      </w:tblGrid>
      <w:tr w:rsidR="00044E7A" w14:paraId="3DEC6937" w14:textId="77777777">
        <w:trPr>
          <w:jc w:val="center"/>
        </w:trPr>
        <w:tc>
          <w:tcPr>
            <w:tcW w:w="1984" w:type="dxa"/>
          </w:tcPr>
          <w:p w14:paraId="1CAED128"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A</w:t>
            </w:r>
          </w:p>
        </w:tc>
        <w:tc>
          <w:tcPr>
            <w:tcW w:w="1985" w:type="dxa"/>
          </w:tcPr>
          <w:p w14:paraId="799AAD04" w14:textId="77777777" w:rsidR="00044E7A" w:rsidRDefault="00000000">
            <w:pPr>
              <w:spacing w:after="0" w:line="360" w:lineRule="auto"/>
              <w:jc w:val="both"/>
              <w:rPr>
                <w:rFonts w:ascii="Arial" w:hAnsi="Arial" w:cs="Arial"/>
                <w:sz w:val="24"/>
                <w:szCs w:val="24"/>
              </w:rPr>
            </w:pPr>
            <w:r>
              <w:rPr>
                <w:rFonts w:ascii="Arial" w:hAnsi="Arial" w:cs="Arial"/>
                <w:sz w:val="24"/>
                <w:szCs w:val="24"/>
              </w:rPr>
              <w:t>2.92%</w:t>
            </w:r>
          </w:p>
        </w:tc>
      </w:tr>
      <w:tr w:rsidR="00044E7A" w14:paraId="748DA938" w14:textId="77777777">
        <w:trPr>
          <w:jc w:val="center"/>
        </w:trPr>
        <w:tc>
          <w:tcPr>
            <w:tcW w:w="1984" w:type="dxa"/>
          </w:tcPr>
          <w:p w14:paraId="318D3913"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B</w:t>
            </w:r>
          </w:p>
        </w:tc>
        <w:tc>
          <w:tcPr>
            <w:tcW w:w="1985" w:type="dxa"/>
          </w:tcPr>
          <w:p w14:paraId="11D35C6E" w14:textId="77777777" w:rsidR="00044E7A" w:rsidRDefault="00000000">
            <w:pPr>
              <w:spacing w:after="0" w:line="360" w:lineRule="auto"/>
              <w:jc w:val="both"/>
              <w:rPr>
                <w:rFonts w:ascii="Arial" w:hAnsi="Arial" w:cs="Arial"/>
                <w:sz w:val="24"/>
                <w:szCs w:val="24"/>
              </w:rPr>
            </w:pPr>
            <w:r>
              <w:rPr>
                <w:rFonts w:ascii="Arial" w:hAnsi="Arial" w:cs="Arial"/>
                <w:sz w:val="24"/>
                <w:szCs w:val="24"/>
              </w:rPr>
              <w:t>3.60%</w:t>
            </w:r>
          </w:p>
        </w:tc>
      </w:tr>
      <w:tr w:rsidR="00044E7A" w14:paraId="7A9029E9" w14:textId="77777777">
        <w:trPr>
          <w:jc w:val="center"/>
        </w:trPr>
        <w:tc>
          <w:tcPr>
            <w:tcW w:w="1984" w:type="dxa"/>
          </w:tcPr>
          <w:p w14:paraId="79A1D18F" w14:textId="77777777" w:rsidR="00044E7A" w:rsidRDefault="00000000">
            <w:pPr>
              <w:spacing w:after="0" w:line="360" w:lineRule="auto"/>
              <w:jc w:val="both"/>
              <w:rPr>
                <w:rFonts w:ascii="Arial" w:hAnsi="Arial" w:cs="Arial"/>
                <w:sz w:val="24"/>
                <w:szCs w:val="24"/>
              </w:rPr>
            </w:pPr>
            <w:r>
              <w:rPr>
                <w:rFonts w:ascii="Arial" w:hAnsi="Arial" w:cs="Arial"/>
                <w:sz w:val="24"/>
                <w:szCs w:val="24"/>
              </w:rPr>
              <w:t>Project C</w:t>
            </w:r>
          </w:p>
        </w:tc>
        <w:tc>
          <w:tcPr>
            <w:tcW w:w="1985" w:type="dxa"/>
          </w:tcPr>
          <w:p w14:paraId="4FF163D8" w14:textId="77777777" w:rsidR="00044E7A" w:rsidRDefault="00000000">
            <w:pPr>
              <w:spacing w:after="0" w:line="360" w:lineRule="auto"/>
              <w:jc w:val="both"/>
              <w:rPr>
                <w:rFonts w:ascii="Arial" w:hAnsi="Arial" w:cs="Arial"/>
                <w:sz w:val="24"/>
                <w:szCs w:val="24"/>
              </w:rPr>
            </w:pPr>
            <w:r>
              <w:rPr>
                <w:rFonts w:ascii="Arial" w:hAnsi="Arial" w:cs="Arial"/>
                <w:sz w:val="24"/>
                <w:szCs w:val="24"/>
              </w:rPr>
              <w:t>9.46%</w:t>
            </w:r>
          </w:p>
        </w:tc>
      </w:tr>
    </w:tbl>
    <w:p w14:paraId="07A4C4B0" w14:textId="77777777" w:rsidR="00044E7A" w:rsidRDefault="00044E7A">
      <w:pPr>
        <w:spacing w:line="360" w:lineRule="auto"/>
        <w:jc w:val="both"/>
        <w:rPr>
          <w:rFonts w:ascii="Arial" w:hAnsi="Arial" w:cs="Arial"/>
          <w:b/>
          <w:bCs/>
          <w:sz w:val="24"/>
          <w:szCs w:val="24"/>
          <w:u w:val="single"/>
        </w:rPr>
      </w:pPr>
    </w:p>
    <w:p w14:paraId="571A3CEC" w14:textId="77777777" w:rsidR="00044E7A" w:rsidRDefault="00000000">
      <w:pPr>
        <w:pStyle w:val="Heading2"/>
        <w:spacing w:line="360" w:lineRule="auto"/>
        <w:jc w:val="both"/>
        <w:rPr>
          <w:rFonts w:ascii="Arial" w:hAnsi="Arial" w:cs="Arial"/>
          <w:sz w:val="24"/>
          <w:szCs w:val="24"/>
        </w:rPr>
      </w:pPr>
      <w:bookmarkStart w:id="22" w:name="_Toc233702137"/>
      <w:r>
        <w:rPr>
          <w:rFonts w:ascii="Arial" w:hAnsi="Arial" w:cs="Arial"/>
          <w:sz w:val="24"/>
          <w:szCs w:val="24"/>
        </w:rPr>
        <w:t>4.2 Recommendation of most profitable project</w:t>
      </w:r>
      <w:bookmarkEnd w:id="22"/>
    </w:p>
    <w:p w14:paraId="24A0114A"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a) Analysis based on financial factors</w:t>
      </w:r>
    </w:p>
    <w:p w14:paraId="2BC3F869"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Based on the application of different investment appraisal techniques to the given three projects, </w:t>
      </w:r>
      <w:r>
        <w:rPr>
          <w:rFonts w:ascii="Arial" w:hAnsi="Arial" w:cs="Arial"/>
          <w:b/>
          <w:bCs/>
          <w:sz w:val="24"/>
          <w:szCs w:val="24"/>
        </w:rPr>
        <w:t>Project-C appears to be the most appropriate investment in case of IHG.</w:t>
      </w:r>
      <w:r>
        <w:rPr>
          <w:rFonts w:ascii="Arial" w:hAnsi="Arial" w:cs="Arial"/>
          <w:sz w:val="24"/>
          <w:szCs w:val="24"/>
        </w:rPr>
        <w:t xml:space="preserve"> This is because this project is able to deliver the strongest financial outcome and is also able to create positive value for shareholders (</w:t>
      </w:r>
      <w:proofErr w:type="spellStart"/>
      <w:r>
        <w:rPr>
          <w:rFonts w:ascii="Arial" w:hAnsi="Arial" w:cs="Arial"/>
          <w:sz w:val="24"/>
          <w:szCs w:val="24"/>
        </w:rPr>
        <w:t>Velickovic</w:t>
      </w:r>
      <w:proofErr w:type="spellEnd"/>
      <w:r>
        <w:rPr>
          <w:rFonts w:ascii="Arial" w:hAnsi="Arial" w:cs="Arial"/>
          <w:sz w:val="24"/>
          <w:szCs w:val="24"/>
        </w:rPr>
        <w:t xml:space="preserve"> et al, 2023).</w:t>
      </w:r>
    </w:p>
    <w:p w14:paraId="181D9449"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Payback period for Project-C is 3.6 years in comparison to 4.4 years in case of Project-B and 4.5 years in case of Project-A. Shorter payback period results in lower investment risk as the company is able to recover its investment more quickly and thus reducing exposure to future market uncertainties and also improving liquidity position. As the companies in hospitality sector are sensitive to unexpected disruptions and economic cycles, faster recovery of initial investment amount is considered to be advantageous (MORDI, 2025). </w:t>
      </w:r>
    </w:p>
    <w:p w14:paraId="41CE7A94" w14:textId="77777777" w:rsidR="00044E7A" w:rsidRDefault="00000000">
      <w:pPr>
        <w:spacing w:line="360" w:lineRule="auto"/>
        <w:jc w:val="both"/>
        <w:rPr>
          <w:rFonts w:ascii="Arial" w:hAnsi="Arial" w:cs="Arial"/>
          <w:sz w:val="24"/>
          <w:szCs w:val="24"/>
        </w:rPr>
      </w:pPr>
      <w:r>
        <w:rPr>
          <w:rFonts w:ascii="Arial" w:hAnsi="Arial" w:cs="Arial"/>
          <w:b/>
          <w:bCs/>
          <w:sz w:val="24"/>
          <w:szCs w:val="24"/>
        </w:rPr>
        <w:t>In terms of ARR also, project C is best</w:t>
      </w:r>
      <w:r>
        <w:rPr>
          <w:rFonts w:ascii="Arial" w:hAnsi="Arial" w:cs="Arial"/>
          <w:sz w:val="24"/>
          <w:szCs w:val="24"/>
        </w:rPr>
        <w:t>. This project is able to generate the ARR of 26% as against the ARR of 22% in case of Project A and Project B. Higher ARR in case of Project C suggests that it will be able to provide higher average annual returns on the initial investment made and thus making it more attractive from the perspective of profitability.</w:t>
      </w:r>
    </w:p>
    <w:p w14:paraId="2941533D"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NPV method also supports Project C. </w:t>
      </w:r>
      <w:r>
        <w:rPr>
          <w:rFonts w:ascii="Arial" w:hAnsi="Arial" w:cs="Arial"/>
          <w:sz w:val="24"/>
          <w:szCs w:val="24"/>
        </w:rPr>
        <w:t xml:space="preserve">This project is able to generate a positive NPV of $0.86 million at the required rate of return of 8%, while the other two projects are generating negative NPV of $6.54 million and $6.08 million. As NPV has a direct impact on shareholder’s wealth, thus Project C appears to be the only investment which adds value to the company. Other projects having the negative NPV are not even able to recover the required rate of return on capital and thus should not be considered to be implemented. </w:t>
      </w:r>
    </w:p>
    <w:p w14:paraId="4A230BF9" w14:textId="77777777" w:rsidR="00044E7A" w:rsidRDefault="00000000">
      <w:pPr>
        <w:spacing w:line="360" w:lineRule="auto"/>
        <w:jc w:val="both"/>
        <w:rPr>
          <w:rFonts w:ascii="Arial" w:hAnsi="Arial" w:cs="Arial"/>
          <w:sz w:val="24"/>
          <w:szCs w:val="24"/>
        </w:rPr>
      </w:pPr>
      <w:r>
        <w:rPr>
          <w:rFonts w:ascii="Arial" w:hAnsi="Arial" w:cs="Arial"/>
          <w:b/>
          <w:bCs/>
          <w:sz w:val="24"/>
          <w:szCs w:val="24"/>
        </w:rPr>
        <w:lastRenderedPageBreak/>
        <w:t xml:space="preserve">Similarly, profitability index also supports that Project-C should be implemented. </w:t>
      </w:r>
      <w:r>
        <w:rPr>
          <w:rFonts w:ascii="Arial" w:hAnsi="Arial" w:cs="Arial"/>
          <w:sz w:val="24"/>
          <w:szCs w:val="24"/>
        </w:rPr>
        <w:t xml:space="preserve">This project has a profitability of 1.02, meaning thereby that for every $1 invested in a project, it will be able to generate $1.02. On the other hand, the other two projects (A &amp; B) have profitability index of lower than 1 i.e., 0.87 and 0.88 which indicates that cash inflows in case of these two projects are not sufficient to recover the initial investment (Martorell et al, 2025). </w:t>
      </w:r>
    </w:p>
    <w:p w14:paraId="3D8F2DDE"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IRR also indicates that Project-C is the preferred investment. </w:t>
      </w:r>
      <w:r>
        <w:rPr>
          <w:rFonts w:ascii="Arial" w:hAnsi="Arial" w:cs="Arial"/>
          <w:sz w:val="24"/>
          <w:szCs w:val="24"/>
        </w:rPr>
        <w:t xml:space="preserve">This project has a IRR of 9.46% which is higher than the required rate of return of company of 8% and thus making it to be financially acceptable. On the other hand, the other two projects A &amp; B have the IRR of only 2.92% and 3.60% which are significantly lower than the required rate of return of 8% and thus indicating that these two projects will not be able to provide added value to shareholders. </w:t>
      </w:r>
    </w:p>
    <w:p w14:paraId="38DF7265" w14:textId="77777777" w:rsidR="00044E7A" w:rsidRDefault="00000000">
      <w:pPr>
        <w:spacing w:line="360" w:lineRule="auto"/>
        <w:jc w:val="both"/>
        <w:rPr>
          <w:rFonts w:ascii="Arial" w:hAnsi="Arial" w:cs="Arial"/>
          <w:sz w:val="24"/>
          <w:szCs w:val="24"/>
        </w:rPr>
      </w:pPr>
      <w:r>
        <w:rPr>
          <w:rFonts w:ascii="Arial" w:hAnsi="Arial" w:cs="Arial"/>
          <w:b/>
          <w:bCs/>
          <w:sz w:val="24"/>
          <w:szCs w:val="24"/>
        </w:rPr>
        <w:t xml:space="preserve">Recommendation regarding acceptance of Project C is further supported by current financial performance of company. </w:t>
      </w:r>
      <w:r>
        <w:rPr>
          <w:rFonts w:ascii="Arial" w:hAnsi="Arial" w:cs="Arial"/>
          <w:sz w:val="24"/>
          <w:szCs w:val="24"/>
        </w:rPr>
        <w:t>Profitability of company has significantly improved during the past five years as indicated by increasing operating profit margin and return on capital employed. Strong operating cash flows generated by company along with increasing shareholders equity indicate that company has enough financial capacity for undertaking profitable strategic investments. Although, there has been a slight reduction in liquidity ratios of company (which is below the industry benchmark of 1), the efficient cash operating cycle of company and its stable cash generation ability will help it to finance value-adding investments while also maintaining financial stability in business. Selection of project which is able to generate higher returns will thus support in overall long-term growth and also maximise the utilization of available capital (</w:t>
      </w:r>
      <w:proofErr w:type="spellStart"/>
      <w:r>
        <w:rPr>
          <w:rFonts w:ascii="Arial" w:hAnsi="Arial" w:cs="Arial"/>
          <w:sz w:val="24"/>
          <w:szCs w:val="24"/>
        </w:rPr>
        <w:t>Purnamasari</w:t>
      </w:r>
      <w:proofErr w:type="spellEnd"/>
      <w:r>
        <w:rPr>
          <w:rFonts w:ascii="Arial" w:hAnsi="Arial" w:cs="Arial"/>
          <w:sz w:val="24"/>
          <w:szCs w:val="24"/>
        </w:rPr>
        <w:t xml:space="preserve"> &amp; </w:t>
      </w:r>
      <w:proofErr w:type="spellStart"/>
      <w:r>
        <w:rPr>
          <w:rFonts w:ascii="Arial" w:hAnsi="Arial" w:cs="Arial"/>
          <w:sz w:val="24"/>
          <w:szCs w:val="24"/>
        </w:rPr>
        <w:t>Adriza</w:t>
      </w:r>
      <w:proofErr w:type="spellEnd"/>
      <w:r>
        <w:rPr>
          <w:rFonts w:ascii="Arial" w:hAnsi="Arial" w:cs="Arial"/>
          <w:sz w:val="24"/>
          <w:szCs w:val="24"/>
        </w:rPr>
        <w:t xml:space="preserve">, 2024). </w:t>
      </w:r>
    </w:p>
    <w:p w14:paraId="6F3450E0"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b) Analysis based on non-financial factors</w:t>
      </w:r>
    </w:p>
    <w:p w14:paraId="450F8674"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In addition to the able financial factors, there are various </w:t>
      </w:r>
      <w:r>
        <w:rPr>
          <w:rFonts w:ascii="Arial" w:hAnsi="Arial" w:cs="Arial"/>
          <w:b/>
          <w:bCs/>
          <w:sz w:val="24"/>
          <w:szCs w:val="24"/>
        </w:rPr>
        <w:t xml:space="preserve">non-financial risks which shall also be considered before implementation of Project C. </w:t>
      </w:r>
      <w:r>
        <w:rPr>
          <w:rFonts w:ascii="Arial" w:hAnsi="Arial" w:cs="Arial"/>
          <w:sz w:val="24"/>
          <w:szCs w:val="24"/>
        </w:rPr>
        <w:t xml:space="preserve">As the company operates globally, changes in government regulations, visa restrictions, political instability, taxation policies and geopolitical conflicts could impact the performance of project, specifically if the investment requires global expansion. Fluctuations in </w:t>
      </w:r>
      <w:r>
        <w:rPr>
          <w:rFonts w:ascii="Arial" w:hAnsi="Arial" w:cs="Arial"/>
          <w:sz w:val="24"/>
          <w:szCs w:val="24"/>
        </w:rPr>
        <w:lastRenderedPageBreak/>
        <w:t xml:space="preserve">currency exchange rate could also impact project cost and future cash inflows which are generated from global business operations. </w:t>
      </w:r>
    </w:p>
    <w:p w14:paraId="7FA5EB53" w14:textId="77777777" w:rsidR="00044E7A" w:rsidRDefault="00000000">
      <w:pPr>
        <w:spacing w:line="360" w:lineRule="auto"/>
        <w:jc w:val="both"/>
        <w:rPr>
          <w:rFonts w:ascii="Arial" w:hAnsi="Arial" w:cs="Arial"/>
          <w:b/>
          <w:bCs/>
          <w:sz w:val="24"/>
          <w:szCs w:val="24"/>
        </w:rPr>
      </w:pPr>
      <w:r>
        <w:rPr>
          <w:rFonts w:ascii="Arial" w:hAnsi="Arial" w:cs="Arial"/>
          <w:b/>
          <w:bCs/>
          <w:sz w:val="24"/>
          <w:szCs w:val="24"/>
        </w:rPr>
        <w:t>Customer loyalty is the other important factor which is relevant in case of hospitality sector</w:t>
      </w:r>
      <w:r>
        <w:rPr>
          <w:rFonts w:ascii="Arial" w:hAnsi="Arial" w:cs="Arial"/>
          <w:sz w:val="24"/>
          <w:szCs w:val="24"/>
        </w:rPr>
        <w:t xml:space="preserve">. Success of any investment is highly dependent on not only financial returns but also on service quality, brand reputation, loyalty programme participation and customer satisfaction. Investments which improve sustainability initiatives, digital services, and guest experience are likely to enhance competitive advantage of company and its long-term relationship with customers. Further, ESG expectations continue to have a impact on investors decisions and customer relationships (Pavone et al, 2023). Therefore, </w:t>
      </w:r>
      <w:r>
        <w:rPr>
          <w:rFonts w:ascii="Arial" w:hAnsi="Arial" w:cs="Arial"/>
          <w:b/>
          <w:bCs/>
          <w:sz w:val="24"/>
          <w:szCs w:val="24"/>
        </w:rPr>
        <w:t>project C should be implemented in such a manner that it supports in responsible resource management, sustainable operations and ethical business practices.</w:t>
      </w:r>
    </w:p>
    <w:p w14:paraId="1B41D188" w14:textId="77777777" w:rsidR="00044E7A" w:rsidRDefault="00000000">
      <w:pPr>
        <w:pStyle w:val="Heading2"/>
        <w:spacing w:line="360" w:lineRule="auto"/>
        <w:jc w:val="both"/>
        <w:rPr>
          <w:rFonts w:ascii="Arial" w:hAnsi="Arial" w:cs="Arial"/>
          <w:sz w:val="24"/>
          <w:szCs w:val="24"/>
        </w:rPr>
      </w:pPr>
      <w:bookmarkStart w:id="23" w:name="_Toc233702138"/>
      <w:r>
        <w:rPr>
          <w:rFonts w:ascii="Arial" w:hAnsi="Arial" w:cs="Arial"/>
          <w:sz w:val="24"/>
          <w:szCs w:val="24"/>
        </w:rPr>
        <w:t>4.3 Decision relating to capital rationing</w:t>
      </w:r>
      <w:bookmarkEnd w:id="23"/>
    </w:p>
    <w:p w14:paraId="471003FB"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In the given case, if IHG can invest maximum of £100 million and if each project requires the initial investment amount of £50 million, then the company should consider implementing the combination of two projects in such a way both projects combined together are able to generate higher financial returns. </w:t>
      </w:r>
    </w:p>
    <w:p w14:paraId="4C758927" w14:textId="77777777" w:rsidR="00044E7A" w:rsidRDefault="00000000">
      <w:pPr>
        <w:spacing w:line="360" w:lineRule="auto"/>
        <w:jc w:val="both"/>
        <w:rPr>
          <w:rFonts w:ascii="Arial" w:hAnsi="Arial" w:cs="Arial"/>
          <w:sz w:val="24"/>
          <w:szCs w:val="24"/>
          <w:u w:val="single"/>
        </w:rPr>
      </w:pPr>
      <w:r>
        <w:rPr>
          <w:rFonts w:ascii="Arial" w:hAnsi="Arial" w:cs="Arial"/>
          <w:sz w:val="24"/>
          <w:szCs w:val="24"/>
          <w:u w:val="single"/>
        </w:rPr>
        <w:t>The three probable combinations in the instant case are as follows:</w:t>
      </w:r>
    </w:p>
    <w:tbl>
      <w:tblPr>
        <w:tblW w:w="8801" w:type="dxa"/>
        <w:tblInd w:w="137" w:type="dxa"/>
        <w:tblLook w:val="04A0" w:firstRow="1" w:lastRow="0" w:firstColumn="1" w:lastColumn="0" w:noHBand="0" w:noVBand="1"/>
      </w:tblPr>
      <w:tblGrid>
        <w:gridCol w:w="2679"/>
        <w:gridCol w:w="2708"/>
        <w:gridCol w:w="2126"/>
        <w:gridCol w:w="1288"/>
      </w:tblGrid>
      <w:tr w:rsidR="00044E7A" w14:paraId="2699DBA4" w14:textId="77777777">
        <w:trPr>
          <w:trHeight w:val="476"/>
        </w:trPr>
        <w:tc>
          <w:tcPr>
            <w:tcW w:w="2679" w:type="dxa"/>
            <w:tcBorders>
              <w:top w:val="single" w:sz="4" w:space="0" w:color="auto"/>
              <w:left w:val="single" w:sz="4" w:space="0" w:color="auto"/>
              <w:bottom w:val="single" w:sz="4" w:space="0" w:color="auto"/>
              <w:right w:val="single" w:sz="4" w:space="0" w:color="auto"/>
            </w:tcBorders>
            <w:vAlign w:val="center"/>
          </w:tcPr>
          <w:p w14:paraId="541B7642"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Combination of projects</w:t>
            </w:r>
          </w:p>
        </w:tc>
        <w:tc>
          <w:tcPr>
            <w:tcW w:w="2708" w:type="dxa"/>
            <w:tcBorders>
              <w:top w:val="single" w:sz="4" w:space="0" w:color="auto"/>
              <w:left w:val="nil"/>
              <w:bottom w:val="single" w:sz="4" w:space="0" w:color="auto"/>
              <w:right w:val="single" w:sz="4" w:space="0" w:color="auto"/>
            </w:tcBorders>
            <w:vAlign w:val="center"/>
          </w:tcPr>
          <w:p w14:paraId="3C949AB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Initial Investment (£m)</w:t>
            </w:r>
          </w:p>
        </w:tc>
        <w:tc>
          <w:tcPr>
            <w:tcW w:w="2126" w:type="dxa"/>
            <w:tcBorders>
              <w:top w:val="single" w:sz="4" w:space="0" w:color="auto"/>
              <w:left w:val="nil"/>
              <w:bottom w:val="single" w:sz="4" w:space="0" w:color="auto"/>
              <w:right w:val="single" w:sz="4" w:space="0" w:color="auto"/>
            </w:tcBorders>
            <w:vAlign w:val="center"/>
          </w:tcPr>
          <w:p w14:paraId="2BFF548A"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Total NPV (£m)</w:t>
            </w:r>
          </w:p>
        </w:tc>
        <w:tc>
          <w:tcPr>
            <w:tcW w:w="1288" w:type="dxa"/>
            <w:tcBorders>
              <w:top w:val="single" w:sz="4" w:space="0" w:color="auto"/>
              <w:left w:val="nil"/>
              <w:bottom w:val="single" w:sz="4" w:space="0" w:color="auto"/>
              <w:right w:val="single" w:sz="4" w:space="0" w:color="auto"/>
            </w:tcBorders>
            <w:vAlign w:val="center"/>
          </w:tcPr>
          <w:p w14:paraId="7D5AFC9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Total PI</w:t>
            </w:r>
          </w:p>
        </w:tc>
      </w:tr>
      <w:tr w:rsidR="00044E7A" w14:paraId="7ED17B44" w14:textId="77777777">
        <w:trPr>
          <w:trHeight w:val="300"/>
        </w:trPr>
        <w:tc>
          <w:tcPr>
            <w:tcW w:w="2679" w:type="dxa"/>
            <w:tcBorders>
              <w:top w:val="nil"/>
              <w:left w:val="single" w:sz="4" w:space="0" w:color="auto"/>
              <w:bottom w:val="single" w:sz="4" w:space="0" w:color="auto"/>
              <w:right w:val="single" w:sz="4" w:space="0" w:color="auto"/>
            </w:tcBorders>
            <w:vAlign w:val="center"/>
          </w:tcPr>
          <w:p w14:paraId="778BFCD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Project A &amp; B</w:t>
            </w:r>
          </w:p>
        </w:tc>
        <w:tc>
          <w:tcPr>
            <w:tcW w:w="2708" w:type="dxa"/>
            <w:tcBorders>
              <w:top w:val="nil"/>
              <w:left w:val="nil"/>
              <w:bottom w:val="single" w:sz="4" w:space="0" w:color="auto"/>
              <w:right w:val="single" w:sz="4" w:space="0" w:color="auto"/>
            </w:tcBorders>
            <w:vAlign w:val="center"/>
          </w:tcPr>
          <w:p w14:paraId="5070A5C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100</w:t>
            </w:r>
          </w:p>
        </w:tc>
        <w:tc>
          <w:tcPr>
            <w:tcW w:w="2126" w:type="dxa"/>
            <w:tcBorders>
              <w:top w:val="nil"/>
              <w:left w:val="nil"/>
              <w:bottom w:val="single" w:sz="4" w:space="0" w:color="auto"/>
              <w:right w:val="single" w:sz="4" w:space="0" w:color="auto"/>
            </w:tcBorders>
            <w:vAlign w:val="center"/>
          </w:tcPr>
          <w:p w14:paraId="0C94373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-12.62</w:t>
            </w:r>
          </w:p>
        </w:tc>
        <w:tc>
          <w:tcPr>
            <w:tcW w:w="1288" w:type="dxa"/>
            <w:tcBorders>
              <w:top w:val="nil"/>
              <w:left w:val="nil"/>
              <w:bottom w:val="single" w:sz="4" w:space="0" w:color="auto"/>
              <w:right w:val="single" w:sz="4" w:space="0" w:color="auto"/>
            </w:tcBorders>
            <w:vAlign w:val="center"/>
          </w:tcPr>
          <w:p w14:paraId="2D17A2E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1.75</w:t>
            </w:r>
          </w:p>
        </w:tc>
      </w:tr>
      <w:tr w:rsidR="00044E7A" w14:paraId="7E57E7D9" w14:textId="77777777">
        <w:trPr>
          <w:trHeight w:val="300"/>
        </w:trPr>
        <w:tc>
          <w:tcPr>
            <w:tcW w:w="2679" w:type="dxa"/>
            <w:tcBorders>
              <w:top w:val="nil"/>
              <w:left w:val="single" w:sz="4" w:space="0" w:color="auto"/>
              <w:bottom w:val="single" w:sz="4" w:space="0" w:color="auto"/>
              <w:right w:val="single" w:sz="4" w:space="0" w:color="auto"/>
            </w:tcBorders>
            <w:vAlign w:val="center"/>
          </w:tcPr>
          <w:p w14:paraId="4572C98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Project A &amp; C</w:t>
            </w:r>
          </w:p>
        </w:tc>
        <w:tc>
          <w:tcPr>
            <w:tcW w:w="2708" w:type="dxa"/>
            <w:tcBorders>
              <w:top w:val="nil"/>
              <w:left w:val="nil"/>
              <w:bottom w:val="single" w:sz="4" w:space="0" w:color="auto"/>
              <w:right w:val="single" w:sz="4" w:space="0" w:color="auto"/>
            </w:tcBorders>
            <w:vAlign w:val="center"/>
          </w:tcPr>
          <w:p w14:paraId="5FA91F9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100</w:t>
            </w:r>
          </w:p>
        </w:tc>
        <w:tc>
          <w:tcPr>
            <w:tcW w:w="2126" w:type="dxa"/>
            <w:tcBorders>
              <w:top w:val="nil"/>
              <w:left w:val="nil"/>
              <w:bottom w:val="single" w:sz="4" w:space="0" w:color="auto"/>
              <w:right w:val="single" w:sz="4" w:space="0" w:color="auto"/>
            </w:tcBorders>
            <w:vAlign w:val="center"/>
          </w:tcPr>
          <w:p w14:paraId="762EF4B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-5.68</w:t>
            </w:r>
          </w:p>
        </w:tc>
        <w:tc>
          <w:tcPr>
            <w:tcW w:w="1288" w:type="dxa"/>
            <w:tcBorders>
              <w:top w:val="nil"/>
              <w:left w:val="nil"/>
              <w:bottom w:val="single" w:sz="4" w:space="0" w:color="auto"/>
              <w:right w:val="single" w:sz="4" w:space="0" w:color="auto"/>
            </w:tcBorders>
            <w:vAlign w:val="center"/>
          </w:tcPr>
          <w:p w14:paraId="026F2E8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1.89</w:t>
            </w:r>
          </w:p>
        </w:tc>
      </w:tr>
      <w:tr w:rsidR="00044E7A" w14:paraId="5F9E583E" w14:textId="77777777">
        <w:trPr>
          <w:trHeight w:val="300"/>
        </w:trPr>
        <w:tc>
          <w:tcPr>
            <w:tcW w:w="2679" w:type="dxa"/>
            <w:tcBorders>
              <w:top w:val="nil"/>
              <w:left w:val="single" w:sz="4" w:space="0" w:color="auto"/>
              <w:bottom w:val="single" w:sz="4" w:space="0" w:color="auto"/>
              <w:right w:val="single" w:sz="4" w:space="0" w:color="auto"/>
            </w:tcBorders>
            <w:vAlign w:val="center"/>
          </w:tcPr>
          <w:p w14:paraId="0D6659A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Project B &amp; C</w:t>
            </w:r>
          </w:p>
        </w:tc>
        <w:tc>
          <w:tcPr>
            <w:tcW w:w="2708" w:type="dxa"/>
            <w:tcBorders>
              <w:top w:val="nil"/>
              <w:left w:val="nil"/>
              <w:bottom w:val="single" w:sz="4" w:space="0" w:color="auto"/>
              <w:right w:val="single" w:sz="4" w:space="0" w:color="auto"/>
            </w:tcBorders>
            <w:vAlign w:val="center"/>
          </w:tcPr>
          <w:p w14:paraId="2A8978B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100</w:t>
            </w:r>
          </w:p>
        </w:tc>
        <w:tc>
          <w:tcPr>
            <w:tcW w:w="2126" w:type="dxa"/>
            <w:tcBorders>
              <w:top w:val="nil"/>
              <w:left w:val="nil"/>
              <w:bottom w:val="single" w:sz="4" w:space="0" w:color="auto"/>
              <w:right w:val="single" w:sz="4" w:space="0" w:color="auto"/>
            </w:tcBorders>
            <w:vAlign w:val="center"/>
          </w:tcPr>
          <w:p w14:paraId="76E7D3C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-5.22</w:t>
            </w:r>
          </w:p>
        </w:tc>
        <w:tc>
          <w:tcPr>
            <w:tcW w:w="1288" w:type="dxa"/>
            <w:tcBorders>
              <w:top w:val="nil"/>
              <w:left w:val="nil"/>
              <w:bottom w:val="single" w:sz="4" w:space="0" w:color="auto"/>
              <w:right w:val="single" w:sz="4" w:space="0" w:color="auto"/>
            </w:tcBorders>
            <w:vAlign w:val="center"/>
          </w:tcPr>
          <w:p w14:paraId="36B52D7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1.9</w:t>
            </w:r>
          </w:p>
        </w:tc>
      </w:tr>
    </w:tbl>
    <w:p w14:paraId="58AC21D5" w14:textId="77777777" w:rsidR="00044E7A" w:rsidRDefault="00044E7A">
      <w:pPr>
        <w:spacing w:line="360" w:lineRule="auto"/>
        <w:jc w:val="both"/>
        <w:rPr>
          <w:rFonts w:ascii="Arial" w:hAnsi="Arial" w:cs="Arial"/>
          <w:b/>
          <w:bCs/>
          <w:sz w:val="24"/>
          <w:szCs w:val="24"/>
        </w:rPr>
      </w:pPr>
    </w:p>
    <w:p w14:paraId="5E9AC404"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The above combinations suggests that if more than one projects are taken then it is resulting into negative net present value. Even if the best-performing combination of Project B and Project C is considered then it is resulting into a overall negative NPV of –£5.22 million which imply that if both projects are implemented then it will result in reduction of shareholder’s value despite of larger value of investment made. It implies that increasing the value of investment to £100 million will not result in better financial outcomes but is resulting in destruction of value (Shou, 2022). </w:t>
      </w:r>
    </w:p>
    <w:p w14:paraId="725EACE9" w14:textId="77777777" w:rsidR="00044E7A" w:rsidRDefault="00000000">
      <w:pPr>
        <w:spacing w:line="360" w:lineRule="auto"/>
        <w:jc w:val="both"/>
        <w:rPr>
          <w:rFonts w:ascii="Arial" w:hAnsi="Arial" w:cs="Arial"/>
          <w:sz w:val="24"/>
          <w:szCs w:val="24"/>
        </w:rPr>
      </w:pPr>
      <w:r>
        <w:rPr>
          <w:rFonts w:ascii="Arial" w:hAnsi="Arial" w:cs="Arial"/>
          <w:sz w:val="24"/>
          <w:szCs w:val="24"/>
        </w:rPr>
        <w:lastRenderedPageBreak/>
        <w:t xml:space="preserve">Considering this, </w:t>
      </w:r>
      <w:r>
        <w:rPr>
          <w:rFonts w:ascii="Arial" w:hAnsi="Arial" w:cs="Arial"/>
          <w:b/>
          <w:bCs/>
          <w:sz w:val="24"/>
          <w:szCs w:val="24"/>
        </w:rPr>
        <w:t xml:space="preserve">it is recommended that company should implement one project only (Project C) instead of making full utilization of available capital. </w:t>
      </w:r>
    </w:p>
    <w:p w14:paraId="351C5038" w14:textId="77777777" w:rsidR="00044E7A" w:rsidRDefault="00000000">
      <w:pPr>
        <w:pStyle w:val="Heading1"/>
        <w:spacing w:line="360" w:lineRule="auto"/>
        <w:jc w:val="both"/>
        <w:rPr>
          <w:rFonts w:ascii="Arial" w:hAnsi="Arial" w:cs="Arial"/>
          <w:sz w:val="24"/>
          <w:szCs w:val="24"/>
        </w:rPr>
      </w:pPr>
      <w:bookmarkStart w:id="24" w:name="_Toc233702139"/>
      <w:r>
        <w:rPr>
          <w:rFonts w:ascii="Arial" w:hAnsi="Arial" w:cs="Arial"/>
          <w:sz w:val="24"/>
          <w:szCs w:val="24"/>
        </w:rPr>
        <w:t>5. Critical reflection on usage of AI</w:t>
      </w:r>
      <w:bookmarkEnd w:id="24"/>
    </w:p>
    <w:p w14:paraId="1A3E4BA3"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Preparation of this report involved the use of AI tools at various stages of analysis and presentation. AI was primarily used as a assistive tool only and sole reliance was not placed on this tool to ensure that all the analysis and conclusions are made after critical thinking. </w:t>
      </w:r>
    </w:p>
    <w:p w14:paraId="62E87724"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a) Disclosure of tools</w:t>
      </w:r>
    </w:p>
    <w:p w14:paraId="0B2F927F" w14:textId="77777777" w:rsidR="00044E7A" w:rsidRDefault="00000000">
      <w:pPr>
        <w:spacing w:line="360" w:lineRule="auto"/>
        <w:jc w:val="both"/>
        <w:rPr>
          <w:rFonts w:ascii="Arial" w:hAnsi="Arial" w:cs="Arial"/>
          <w:sz w:val="24"/>
          <w:szCs w:val="24"/>
        </w:rPr>
      </w:pPr>
      <w:r>
        <w:rPr>
          <w:rFonts w:ascii="Arial" w:hAnsi="Arial" w:cs="Arial"/>
          <w:sz w:val="24"/>
          <w:szCs w:val="24"/>
        </w:rPr>
        <w:t>AI tools such as Claude and Chat GPT were to take assistance in drafting certain sections of report in order to improve clarity of financial explanations. AI specifically supported in refinement of grammar, organization of content and summarization of financial theories. AI was also used to generate initial interpretation of financial data to gain possible analytical approaches. However, all the calculation of ratios and investment appraisal results were calculated independently on excel.</w:t>
      </w:r>
    </w:p>
    <w:p w14:paraId="3B13D3A0"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b) Critical evaluation of AI output</w:t>
      </w:r>
    </w:p>
    <w:p w14:paraId="02AA7187" w14:textId="77777777" w:rsidR="00044E7A" w:rsidRDefault="00000000">
      <w:pPr>
        <w:spacing w:line="360" w:lineRule="auto"/>
        <w:jc w:val="both"/>
        <w:rPr>
          <w:rFonts w:ascii="Arial" w:hAnsi="Arial" w:cs="Arial"/>
          <w:sz w:val="24"/>
          <w:szCs w:val="24"/>
        </w:rPr>
      </w:pPr>
      <w:r>
        <w:rPr>
          <w:rFonts w:ascii="Arial" w:hAnsi="Arial" w:cs="Arial"/>
          <w:sz w:val="24"/>
          <w:szCs w:val="24"/>
        </w:rPr>
        <w:t>Although, AI provided useful insights in the interpretation of data, however output generated from the usage of same was evaluated critically to ensure reliability and accuracy. Interpretations provided by AI were duly cross-checked against the established accounting and financial principles.</w:t>
      </w:r>
    </w:p>
    <w:p w14:paraId="5FD1F7B2"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Instances of hallucinations were identified where there were misinterpretation of financial relationships. Such errors were duly removed by referring to textbooks, lecture materials and credible financial sources. Logical mis-interpretation such as incorrect assumptions relating to viability of project or misalignment between different financial metrics were also carefully analysed. It was ensured that all the conclusions and recommendations provided in the report were academically sound and accurate. </w:t>
      </w:r>
    </w:p>
    <w:p w14:paraId="15185597"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c) Contribution analysis</w:t>
      </w:r>
    </w:p>
    <w:p w14:paraId="619837E1"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AI primarily contributed to the linguistic refinement and structuring of report. Certain explanations and summaries were generated by using AI which helped in improving </w:t>
      </w:r>
      <w:r>
        <w:rPr>
          <w:rFonts w:ascii="Arial" w:hAnsi="Arial" w:cs="Arial"/>
          <w:sz w:val="24"/>
          <w:szCs w:val="24"/>
        </w:rPr>
        <w:lastRenderedPageBreak/>
        <w:t xml:space="preserve">readability of content. However critical evaluation relating to financial performance of company based on ratio analysis, selection of most financially viable project based on investment appraisal techniques were developed independently. For instance, selection of only one project namely ‘Project-C’ under capital rationing was made by carrying out the detailed comparison of different financial metrics. Integration of different financial performance indicators such as liquidity, profitability and gearing while providing final recommendation reflects analytical thinking instead of AI generated conclusions. </w:t>
      </w:r>
    </w:p>
    <w:p w14:paraId="27A48B28"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d) Professional and ethical reflection</w:t>
      </w:r>
    </w:p>
    <w:p w14:paraId="6E7B3DE4" w14:textId="77777777" w:rsidR="00044E7A" w:rsidRDefault="00000000">
      <w:pPr>
        <w:spacing w:line="360" w:lineRule="auto"/>
        <w:jc w:val="both"/>
        <w:rPr>
          <w:rFonts w:ascii="Arial" w:hAnsi="Arial" w:cs="Arial"/>
          <w:sz w:val="24"/>
          <w:szCs w:val="24"/>
        </w:rPr>
      </w:pPr>
      <w:r>
        <w:rPr>
          <w:rFonts w:ascii="Arial" w:hAnsi="Arial" w:cs="Arial"/>
          <w:sz w:val="24"/>
          <w:szCs w:val="24"/>
        </w:rPr>
        <w:t>Use of AI while carrying out financial analysis raises important professional and ethical considerations. Transparency is important and it is also important to clearly disclose the extent to which such AI tools have been used while preparing the report, otherwise it could undermine professional credibility and academic integrity. Data privacy is the other area of concern, specifically when dealing with sensitive financial information. In the given report, only the data available in public domain and hypothetical data has been used while ensuring that no information of confidential nature is exposed to AI.</w:t>
      </w:r>
    </w:p>
    <w:p w14:paraId="09025528"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Further, there is also a huge risk that heavy reliance is placed on AI for executive level decision making. Although, AI has the ability to process large volume of data and provide useful insights quickly, however it lacks professional judgement, contextual understanding and ethical reasoning for complex financial decisions. Therefore, placing heavy reliance on AI can result in flawed strategic choices if output provided by AI are accepted without any critical evaluation. In view of the same, AI was only used as a supportive tool instead of a substitute for human expertise.   </w:t>
      </w:r>
    </w:p>
    <w:p w14:paraId="3989A6CA" w14:textId="77777777" w:rsidR="00044E7A" w:rsidRDefault="00044E7A">
      <w:pPr>
        <w:spacing w:line="360" w:lineRule="auto"/>
        <w:jc w:val="both"/>
        <w:rPr>
          <w:rFonts w:ascii="Arial" w:hAnsi="Arial" w:cs="Arial"/>
          <w:sz w:val="24"/>
          <w:szCs w:val="24"/>
        </w:rPr>
      </w:pPr>
    </w:p>
    <w:p w14:paraId="70D06341" w14:textId="77777777" w:rsidR="00044E7A" w:rsidRDefault="00044E7A">
      <w:pPr>
        <w:spacing w:line="360" w:lineRule="auto"/>
        <w:jc w:val="both"/>
        <w:rPr>
          <w:rFonts w:ascii="Arial" w:hAnsi="Arial" w:cs="Arial"/>
          <w:sz w:val="24"/>
          <w:szCs w:val="24"/>
        </w:rPr>
      </w:pPr>
    </w:p>
    <w:p w14:paraId="057CA695" w14:textId="77777777" w:rsidR="00044E7A" w:rsidRDefault="00044E7A">
      <w:pPr>
        <w:spacing w:line="360" w:lineRule="auto"/>
        <w:jc w:val="both"/>
        <w:rPr>
          <w:rFonts w:ascii="Arial" w:hAnsi="Arial" w:cs="Arial"/>
          <w:sz w:val="24"/>
          <w:szCs w:val="24"/>
        </w:rPr>
      </w:pPr>
    </w:p>
    <w:p w14:paraId="1A0F603F" w14:textId="77777777" w:rsidR="00044E7A" w:rsidRDefault="00044E7A">
      <w:pPr>
        <w:spacing w:line="360" w:lineRule="auto"/>
        <w:jc w:val="both"/>
        <w:rPr>
          <w:rFonts w:ascii="Arial" w:hAnsi="Arial" w:cs="Arial"/>
          <w:sz w:val="24"/>
          <w:szCs w:val="24"/>
        </w:rPr>
      </w:pPr>
    </w:p>
    <w:p w14:paraId="5AEC1A9D" w14:textId="77777777" w:rsidR="00044E7A" w:rsidRDefault="00044E7A">
      <w:pPr>
        <w:spacing w:line="360" w:lineRule="auto"/>
        <w:jc w:val="both"/>
        <w:rPr>
          <w:rFonts w:ascii="Arial" w:hAnsi="Arial" w:cs="Arial"/>
          <w:sz w:val="24"/>
          <w:szCs w:val="24"/>
        </w:rPr>
      </w:pPr>
    </w:p>
    <w:p w14:paraId="2EC5EF0C" w14:textId="77777777" w:rsidR="00044E7A" w:rsidRDefault="00044E7A">
      <w:pPr>
        <w:spacing w:line="360" w:lineRule="auto"/>
        <w:jc w:val="both"/>
        <w:rPr>
          <w:rFonts w:ascii="Arial" w:hAnsi="Arial" w:cs="Arial"/>
          <w:sz w:val="24"/>
          <w:szCs w:val="24"/>
        </w:rPr>
      </w:pPr>
    </w:p>
    <w:p w14:paraId="7A707C6B" w14:textId="77777777" w:rsidR="00044E7A" w:rsidRDefault="00044E7A">
      <w:pPr>
        <w:spacing w:line="360" w:lineRule="auto"/>
        <w:jc w:val="both"/>
        <w:rPr>
          <w:rFonts w:ascii="Arial" w:hAnsi="Arial" w:cs="Arial"/>
          <w:sz w:val="24"/>
          <w:szCs w:val="24"/>
        </w:rPr>
      </w:pPr>
    </w:p>
    <w:p w14:paraId="486205A3" w14:textId="77777777" w:rsidR="00044E7A" w:rsidRDefault="00044E7A">
      <w:pPr>
        <w:spacing w:line="360" w:lineRule="auto"/>
        <w:jc w:val="both"/>
        <w:rPr>
          <w:rFonts w:ascii="Arial" w:hAnsi="Arial" w:cs="Arial"/>
          <w:sz w:val="24"/>
          <w:szCs w:val="24"/>
        </w:rPr>
      </w:pPr>
    </w:p>
    <w:p w14:paraId="737F264A" w14:textId="77777777" w:rsidR="00044E7A" w:rsidRDefault="00044E7A">
      <w:pPr>
        <w:spacing w:line="360" w:lineRule="auto"/>
        <w:jc w:val="both"/>
        <w:rPr>
          <w:rFonts w:ascii="Arial" w:hAnsi="Arial" w:cs="Arial"/>
          <w:sz w:val="24"/>
          <w:szCs w:val="24"/>
        </w:rPr>
      </w:pPr>
    </w:p>
    <w:p w14:paraId="6FECCA2F" w14:textId="77777777" w:rsidR="00044E7A" w:rsidRDefault="00044E7A">
      <w:pPr>
        <w:spacing w:line="360" w:lineRule="auto"/>
        <w:jc w:val="both"/>
        <w:rPr>
          <w:rFonts w:ascii="Arial" w:hAnsi="Arial" w:cs="Arial"/>
          <w:sz w:val="24"/>
          <w:szCs w:val="24"/>
        </w:rPr>
      </w:pPr>
    </w:p>
    <w:p w14:paraId="6A155D17" w14:textId="77777777" w:rsidR="00044E7A" w:rsidRDefault="00044E7A">
      <w:pPr>
        <w:spacing w:line="360" w:lineRule="auto"/>
        <w:jc w:val="both"/>
        <w:rPr>
          <w:rFonts w:ascii="Arial" w:hAnsi="Arial" w:cs="Arial"/>
          <w:sz w:val="24"/>
          <w:szCs w:val="24"/>
        </w:rPr>
      </w:pPr>
    </w:p>
    <w:p w14:paraId="50A12A79" w14:textId="77777777" w:rsidR="00044E7A" w:rsidRDefault="00044E7A">
      <w:pPr>
        <w:spacing w:line="360" w:lineRule="auto"/>
        <w:jc w:val="both"/>
        <w:rPr>
          <w:rFonts w:ascii="Arial" w:hAnsi="Arial" w:cs="Arial"/>
          <w:sz w:val="24"/>
          <w:szCs w:val="24"/>
        </w:rPr>
      </w:pPr>
    </w:p>
    <w:p w14:paraId="51E74C1B" w14:textId="77777777" w:rsidR="00044E7A" w:rsidRDefault="00044E7A">
      <w:pPr>
        <w:spacing w:line="360" w:lineRule="auto"/>
        <w:jc w:val="both"/>
        <w:rPr>
          <w:rFonts w:ascii="Arial" w:hAnsi="Arial" w:cs="Arial"/>
          <w:sz w:val="24"/>
          <w:szCs w:val="24"/>
        </w:rPr>
      </w:pPr>
    </w:p>
    <w:p w14:paraId="315F9415" w14:textId="77777777" w:rsidR="00044E7A" w:rsidRDefault="00044E7A">
      <w:pPr>
        <w:spacing w:line="360" w:lineRule="auto"/>
        <w:jc w:val="both"/>
        <w:rPr>
          <w:rFonts w:ascii="Arial" w:hAnsi="Arial" w:cs="Arial"/>
          <w:sz w:val="24"/>
          <w:szCs w:val="24"/>
        </w:rPr>
      </w:pPr>
    </w:p>
    <w:p w14:paraId="3AC0AF2A" w14:textId="77777777" w:rsidR="00044E7A" w:rsidRDefault="00044E7A">
      <w:pPr>
        <w:spacing w:line="360" w:lineRule="auto"/>
        <w:jc w:val="both"/>
        <w:rPr>
          <w:rFonts w:ascii="Arial" w:hAnsi="Arial" w:cs="Arial"/>
          <w:sz w:val="24"/>
          <w:szCs w:val="24"/>
        </w:rPr>
      </w:pPr>
    </w:p>
    <w:p w14:paraId="0D0CA751" w14:textId="77777777" w:rsidR="00044E7A" w:rsidRDefault="00044E7A">
      <w:pPr>
        <w:spacing w:line="360" w:lineRule="auto"/>
        <w:jc w:val="both"/>
        <w:rPr>
          <w:rFonts w:ascii="Arial" w:hAnsi="Arial" w:cs="Arial"/>
          <w:sz w:val="24"/>
          <w:szCs w:val="24"/>
        </w:rPr>
      </w:pPr>
    </w:p>
    <w:p w14:paraId="397B85B9" w14:textId="77777777" w:rsidR="00044E7A" w:rsidRDefault="00044E7A">
      <w:pPr>
        <w:spacing w:line="360" w:lineRule="auto"/>
        <w:jc w:val="both"/>
        <w:rPr>
          <w:rFonts w:ascii="Arial" w:hAnsi="Arial" w:cs="Arial"/>
          <w:sz w:val="24"/>
          <w:szCs w:val="24"/>
        </w:rPr>
      </w:pPr>
    </w:p>
    <w:p w14:paraId="52C5E5FE" w14:textId="77777777" w:rsidR="00044E7A" w:rsidRDefault="00044E7A">
      <w:pPr>
        <w:spacing w:line="360" w:lineRule="auto"/>
        <w:jc w:val="both"/>
        <w:rPr>
          <w:rFonts w:ascii="Arial" w:hAnsi="Arial" w:cs="Arial"/>
          <w:sz w:val="24"/>
          <w:szCs w:val="24"/>
        </w:rPr>
      </w:pPr>
    </w:p>
    <w:p w14:paraId="0D152EAC" w14:textId="77777777" w:rsidR="00044E7A" w:rsidRDefault="00044E7A">
      <w:pPr>
        <w:spacing w:line="360" w:lineRule="auto"/>
        <w:jc w:val="both"/>
        <w:rPr>
          <w:rFonts w:ascii="Arial" w:hAnsi="Arial" w:cs="Arial"/>
          <w:sz w:val="24"/>
          <w:szCs w:val="24"/>
        </w:rPr>
      </w:pPr>
    </w:p>
    <w:p w14:paraId="00AC3775" w14:textId="77777777" w:rsidR="00044E7A" w:rsidRDefault="00044E7A">
      <w:pPr>
        <w:spacing w:line="360" w:lineRule="auto"/>
        <w:jc w:val="both"/>
        <w:rPr>
          <w:rFonts w:ascii="Arial" w:hAnsi="Arial" w:cs="Arial"/>
          <w:sz w:val="24"/>
          <w:szCs w:val="24"/>
        </w:rPr>
      </w:pPr>
    </w:p>
    <w:p w14:paraId="69D8351B" w14:textId="77777777" w:rsidR="00044E7A" w:rsidRDefault="00000000">
      <w:pPr>
        <w:pStyle w:val="Heading1"/>
        <w:spacing w:line="360" w:lineRule="auto"/>
        <w:jc w:val="both"/>
        <w:rPr>
          <w:rFonts w:ascii="Arial" w:hAnsi="Arial" w:cs="Arial"/>
          <w:sz w:val="24"/>
          <w:szCs w:val="24"/>
        </w:rPr>
      </w:pPr>
      <w:bookmarkStart w:id="25" w:name="_Toc233702140"/>
      <w:r>
        <w:rPr>
          <w:rFonts w:ascii="Arial" w:hAnsi="Arial" w:cs="Arial"/>
          <w:sz w:val="24"/>
          <w:szCs w:val="24"/>
        </w:rPr>
        <w:t>6. References</w:t>
      </w:r>
      <w:bookmarkEnd w:id="25"/>
    </w:p>
    <w:p w14:paraId="267A3017" w14:textId="77777777" w:rsidR="00044E7A" w:rsidRDefault="00000000">
      <w:pPr>
        <w:spacing w:line="360" w:lineRule="auto"/>
        <w:jc w:val="both"/>
        <w:rPr>
          <w:rFonts w:ascii="Arial" w:hAnsi="Arial" w:cs="Arial"/>
          <w:sz w:val="24"/>
          <w:szCs w:val="24"/>
        </w:rPr>
      </w:pPr>
      <w:proofErr w:type="spellStart"/>
      <w:r>
        <w:rPr>
          <w:rFonts w:ascii="Arial" w:hAnsi="Arial" w:cs="Arial"/>
          <w:sz w:val="24"/>
          <w:szCs w:val="24"/>
        </w:rPr>
        <w:t>Arifaj</w:t>
      </w:r>
      <w:proofErr w:type="spellEnd"/>
      <w:r>
        <w:rPr>
          <w:rFonts w:ascii="Arial" w:hAnsi="Arial" w:cs="Arial"/>
          <w:sz w:val="24"/>
          <w:szCs w:val="24"/>
        </w:rPr>
        <w:t xml:space="preserve">, A.H., </w:t>
      </w:r>
      <w:proofErr w:type="spellStart"/>
      <w:r>
        <w:rPr>
          <w:rFonts w:ascii="Arial" w:hAnsi="Arial" w:cs="Arial"/>
          <w:sz w:val="24"/>
          <w:szCs w:val="24"/>
        </w:rPr>
        <w:t>Berisha</w:t>
      </w:r>
      <w:proofErr w:type="spellEnd"/>
      <w:r>
        <w:rPr>
          <w:rFonts w:ascii="Arial" w:hAnsi="Arial" w:cs="Arial"/>
          <w:sz w:val="24"/>
          <w:szCs w:val="24"/>
        </w:rPr>
        <w:t>, V., Morina, F. and Avdyli, E., 2023. Exploring the impact of cash flow, company size, and debt on financial performance in corporations. </w:t>
      </w:r>
      <w:r>
        <w:rPr>
          <w:rFonts w:ascii="Arial" w:hAnsi="Arial" w:cs="Arial"/>
          <w:i/>
          <w:iCs/>
          <w:sz w:val="24"/>
          <w:szCs w:val="24"/>
        </w:rPr>
        <w:t>Investment Management &amp; Financial Innovations</w:t>
      </w:r>
      <w:r>
        <w:rPr>
          <w:rFonts w:ascii="Arial" w:hAnsi="Arial" w:cs="Arial"/>
          <w:sz w:val="24"/>
          <w:szCs w:val="24"/>
        </w:rPr>
        <w:t>, </w:t>
      </w:r>
      <w:r>
        <w:rPr>
          <w:rFonts w:ascii="Arial" w:hAnsi="Arial" w:cs="Arial"/>
          <w:i/>
          <w:iCs/>
          <w:sz w:val="24"/>
          <w:szCs w:val="24"/>
        </w:rPr>
        <w:t>20</w:t>
      </w:r>
      <w:r>
        <w:rPr>
          <w:rFonts w:ascii="Arial" w:hAnsi="Arial" w:cs="Arial"/>
          <w:sz w:val="24"/>
          <w:szCs w:val="24"/>
        </w:rPr>
        <w:t xml:space="preserve">(3), p.264. Available at: </w:t>
      </w:r>
      <w:hyperlink r:id="rId9" w:history="1">
        <w:r w:rsidR="00044E7A">
          <w:rPr>
            <w:rStyle w:val="Hyperlink"/>
            <w:rFonts w:ascii="Arial" w:hAnsi="Arial" w:cs="Arial"/>
            <w:sz w:val="24"/>
            <w:szCs w:val="24"/>
          </w:rPr>
          <w:t>https://journal.par.hr/images/issues/vol6no1/journal-6-1-december-2021-article6.pdf</w:t>
        </w:r>
      </w:hyperlink>
      <w:r>
        <w:rPr>
          <w:rFonts w:ascii="Arial" w:hAnsi="Arial" w:cs="Arial"/>
          <w:sz w:val="24"/>
          <w:szCs w:val="24"/>
        </w:rPr>
        <w:t xml:space="preserve">. </w:t>
      </w:r>
    </w:p>
    <w:p w14:paraId="3893BB25" w14:textId="77777777" w:rsidR="00044E7A" w:rsidRDefault="00000000">
      <w:pPr>
        <w:spacing w:line="360" w:lineRule="auto"/>
        <w:jc w:val="both"/>
        <w:rPr>
          <w:rFonts w:ascii="Arial" w:hAnsi="Arial" w:cs="Arial"/>
          <w:sz w:val="24"/>
          <w:szCs w:val="24"/>
        </w:rPr>
      </w:pPr>
      <w:proofErr w:type="spellStart"/>
      <w:r>
        <w:rPr>
          <w:rFonts w:ascii="Arial" w:hAnsi="Arial" w:cs="Arial"/>
          <w:sz w:val="24"/>
          <w:szCs w:val="24"/>
        </w:rPr>
        <w:t>Bastias</w:t>
      </w:r>
      <w:proofErr w:type="spellEnd"/>
      <w:r>
        <w:rPr>
          <w:rFonts w:ascii="Arial" w:hAnsi="Arial" w:cs="Arial"/>
          <w:sz w:val="24"/>
          <w:szCs w:val="24"/>
        </w:rPr>
        <w:t>, R.D.F., 2022. </w:t>
      </w:r>
      <w:r>
        <w:rPr>
          <w:rFonts w:ascii="Arial" w:hAnsi="Arial" w:cs="Arial"/>
          <w:i/>
          <w:iCs/>
          <w:sz w:val="24"/>
          <w:szCs w:val="24"/>
        </w:rPr>
        <w:t>Equity research-InterContinental Hotels Group</w:t>
      </w:r>
      <w:r>
        <w:rPr>
          <w:rFonts w:ascii="Arial" w:hAnsi="Arial" w:cs="Arial"/>
          <w:sz w:val="24"/>
          <w:szCs w:val="24"/>
        </w:rPr>
        <w:t xml:space="preserve"> (Doctoral dissertation, </w:t>
      </w:r>
      <w:proofErr w:type="spellStart"/>
      <w:r>
        <w:rPr>
          <w:rFonts w:ascii="Arial" w:hAnsi="Arial" w:cs="Arial"/>
          <w:sz w:val="24"/>
          <w:szCs w:val="24"/>
        </w:rPr>
        <w:t>Instituto</w:t>
      </w:r>
      <w:proofErr w:type="spellEnd"/>
      <w:r>
        <w:rPr>
          <w:rFonts w:ascii="Arial" w:hAnsi="Arial" w:cs="Arial"/>
          <w:sz w:val="24"/>
          <w:szCs w:val="24"/>
        </w:rPr>
        <w:t xml:space="preserve"> Superior de </w:t>
      </w:r>
      <w:proofErr w:type="spellStart"/>
      <w:r>
        <w:rPr>
          <w:rFonts w:ascii="Arial" w:hAnsi="Arial" w:cs="Arial"/>
          <w:sz w:val="24"/>
          <w:szCs w:val="24"/>
        </w:rPr>
        <w:t>Economia</w:t>
      </w:r>
      <w:proofErr w:type="spellEnd"/>
      <w:r>
        <w:rPr>
          <w:rFonts w:ascii="Arial" w:hAnsi="Arial" w:cs="Arial"/>
          <w:sz w:val="24"/>
          <w:szCs w:val="24"/>
        </w:rPr>
        <w:t xml:space="preserve"> e </w:t>
      </w:r>
      <w:proofErr w:type="spellStart"/>
      <w:r>
        <w:rPr>
          <w:rFonts w:ascii="Arial" w:hAnsi="Arial" w:cs="Arial"/>
          <w:sz w:val="24"/>
          <w:szCs w:val="24"/>
        </w:rPr>
        <w:t>Gestão</w:t>
      </w:r>
      <w:proofErr w:type="spellEnd"/>
      <w:r>
        <w:rPr>
          <w:rFonts w:ascii="Arial" w:hAnsi="Arial" w:cs="Arial"/>
          <w:sz w:val="24"/>
          <w:szCs w:val="24"/>
        </w:rPr>
        <w:t xml:space="preserve">). Available at: </w:t>
      </w:r>
      <w:hyperlink r:id="rId10" w:history="1">
        <w:r w:rsidR="00044E7A">
          <w:rPr>
            <w:rStyle w:val="Hyperlink"/>
            <w:rFonts w:ascii="Arial" w:hAnsi="Arial" w:cs="Arial"/>
            <w:sz w:val="24"/>
            <w:szCs w:val="24"/>
          </w:rPr>
          <w:t>https://www.proquest.com/openview/588cb496d7b0fad60884d9206b87515b/1?pq-origsite=gscholar&amp;cbl=2026366&amp;diss=y</w:t>
        </w:r>
      </w:hyperlink>
      <w:r>
        <w:rPr>
          <w:rFonts w:ascii="Arial" w:hAnsi="Arial" w:cs="Arial"/>
          <w:sz w:val="24"/>
          <w:szCs w:val="24"/>
        </w:rPr>
        <w:t xml:space="preserve">. </w:t>
      </w:r>
    </w:p>
    <w:p w14:paraId="167F5DA6" w14:textId="77777777" w:rsidR="00044E7A" w:rsidRDefault="00000000">
      <w:pPr>
        <w:spacing w:line="360" w:lineRule="auto"/>
        <w:jc w:val="both"/>
        <w:rPr>
          <w:rFonts w:ascii="Arial" w:hAnsi="Arial" w:cs="Arial"/>
          <w:sz w:val="24"/>
          <w:szCs w:val="24"/>
        </w:rPr>
      </w:pPr>
      <w:r>
        <w:rPr>
          <w:rFonts w:ascii="Arial" w:hAnsi="Arial" w:cs="Arial"/>
          <w:sz w:val="24"/>
          <w:szCs w:val="24"/>
        </w:rPr>
        <w:lastRenderedPageBreak/>
        <w:t>Bora, B., 2025. Comparison between net present value and internal rate of return. </w:t>
      </w:r>
      <w:r>
        <w:rPr>
          <w:rFonts w:ascii="Arial" w:hAnsi="Arial" w:cs="Arial"/>
          <w:i/>
          <w:iCs/>
          <w:sz w:val="24"/>
          <w:szCs w:val="24"/>
        </w:rPr>
        <w:t>International journal of research in finance and marketing</w:t>
      </w:r>
      <w:r>
        <w:rPr>
          <w:rFonts w:ascii="Arial" w:hAnsi="Arial" w:cs="Arial"/>
          <w:sz w:val="24"/>
          <w:szCs w:val="24"/>
        </w:rPr>
        <w:t>, </w:t>
      </w:r>
      <w:r>
        <w:rPr>
          <w:rFonts w:ascii="Arial" w:hAnsi="Arial" w:cs="Arial"/>
          <w:i/>
          <w:iCs/>
          <w:sz w:val="24"/>
          <w:szCs w:val="24"/>
        </w:rPr>
        <w:t>5</w:t>
      </w:r>
      <w:r>
        <w:rPr>
          <w:rFonts w:ascii="Arial" w:hAnsi="Arial" w:cs="Arial"/>
          <w:sz w:val="24"/>
          <w:szCs w:val="24"/>
        </w:rPr>
        <w:t xml:space="preserve">(12), pp.61-71. Available at: </w:t>
      </w:r>
      <w:hyperlink r:id="rId11" w:history="1">
        <w:r w:rsidR="00044E7A">
          <w:rPr>
            <w:rStyle w:val="Hyperlink"/>
            <w:rFonts w:ascii="Arial" w:hAnsi="Arial" w:cs="Arial"/>
            <w:sz w:val="24"/>
            <w:szCs w:val="24"/>
          </w:rPr>
          <w:t>https://www.emerald.com/md/article-abstract/35/2/86/281195/The-misapplication-of-capital-investment-appraisal?redirectedFrom=PDF</w:t>
        </w:r>
      </w:hyperlink>
      <w:r>
        <w:rPr>
          <w:rFonts w:ascii="Arial" w:hAnsi="Arial" w:cs="Arial"/>
          <w:sz w:val="24"/>
          <w:szCs w:val="24"/>
        </w:rPr>
        <w:t xml:space="preserve">. </w:t>
      </w:r>
    </w:p>
    <w:p w14:paraId="2F386FAA"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Corvo, L., Pastore, L., </w:t>
      </w:r>
      <w:proofErr w:type="spellStart"/>
      <w:r>
        <w:rPr>
          <w:rFonts w:ascii="Arial" w:hAnsi="Arial" w:cs="Arial"/>
          <w:sz w:val="24"/>
          <w:szCs w:val="24"/>
        </w:rPr>
        <w:t>Mastrodascio</w:t>
      </w:r>
      <w:proofErr w:type="spellEnd"/>
      <w:r>
        <w:rPr>
          <w:rFonts w:ascii="Arial" w:hAnsi="Arial" w:cs="Arial"/>
          <w:sz w:val="24"/>
          <w:szCs w:val="24"/>
        </w:rPr>
        <w:t xml:space="preserve">, M. and </w:t>
      </w:r>
      <w:proofErr w:type="spellStart"/>
      <w:r>
        <w:rPr>
          <w:rFonts w:ascii="Arial" w:hAnsi="Arial" w:cs="Arial"/>
          <w:sz w:val="24"/>
          <w:szCs w:val="24"/>
        </w:rPr>
        <w:t>Cepiku</w:t>
      </w:r>
      <w:proofErr w:type="spellEnd"/>
      <w:r>
        <w:rPr>
          <w:rFonts w:ascii="Arial" w:hAnsi="Arial" w:cs="Arial"/>
          <w:sz w:val="24"/>
          <w:szCs w:val="24"/>
        </w:rPr>
        <w:t>, D., 2022. The social return on investment model: a systematic literature review. </w:t>
      </w:r>
      <w:proofErr w:type="spellStart"/>
      <w:r>
        <w:rPr>
          <w:rFonts w:ascii="Arial" w:hAnsi="Arial" w:cs="Arial"/>
          <w:i/>
          <w:iCs/>
          <w:sz w:val="24"/>
          <w:szCs w:val="24"/>
        </w:rPr>
        <w:t>Meditari</w:t>
      </w:r>
      <w:proofErr w:type="spellEnd"/>
      <w:r>
        <w:rPr>
          <w:rFonts w:ascii="Arial" w:hAnsi="Arial" w:cs="Arial"/>
          <w:i/>
          <w:iCs/>
          <w:sz w:val="24"/>
          <w:szCs w:val="24"/>
        </w:rPr>
        <w:t xml:space="preserve"> Accountancy Research</w:t>
      </w:r>
      <w:r>
        <w:rPr>
          <w:rFonts w:ascii="Arial" w:hAnsi="Arial" w:cs="Arial"/>
          <w:sz w:val="24"/>
          <w:szCs w:val="24"/>
        </w:rPr>
        <w:t>, </w:t>
      </w:r>
      <w:r>
        <w:rPr>
          <w:rFonts w:ascii="Arial" w:hAnsi="Arial" w:cs="Arial"/>
          <w:i/>
          <w:iCs/>
          <w:sz w:val="24"/>
          <w:szCs w:val="24"/>
        </w:rPr>
        <w:t>30</w:t>
      </w:r>
      <w:r>
        <w:rPr>
          <w:rFonts w:ascii="Arial" w:hAnsi="Arial" w:cs="Arial"/>
          <w:sz w:val="24"/>
          <w:szCs w:val="24"/>
        </w:rPr>
        <w:t xml:space="preserve">(7), pp.49-86. Available at: </w:t>
      </w:r>
      <w:hyperlink r:id="rId12" w:history="1">
        <w:r w:rsidR="00044E7A">
          <w:rPr>
            <w:rStyle w:val="Hyperlink"/>
            <w:rFonts w:ascii="Arial" w:hAnsi="Arial" w:cs="Arial"/>
            <w:sz w:val="24"/>
            <w:szCs w:val="24"/>
          </w:rPr>
          <w:t>https://wol.iza.org/articles/estimating-the-return-to-schooling-using-the-mincer-equation/long</w:t>
        </w:r>
      </w:hyperlink>
      <w:r>
        <w:rPr>
          <w:rFonts w:ascii="Arial" w:hAnsi="Arial" w:cs="Arial"/>
          <w:sz w:val="24"/>
          <w:szCs w:val="24"/>
        </w:rPr>
        <w:t xml:space="preserve">. </w:t>
      </w:r>
    </w:p>
    <w:p w14:paraId="232095BD" w14:textId="77777777" w:rsidR="00044E7A" w:rsidRDefault="00000000">
      <w:pPr>
        <w:spacing w:line="360" w:lineRule="auto"/>
        <w:jc w:val="both"/>
        <w:rPr>
          <w:rFonts w:ascii="Arial" w:hAnsi="Arial" w:cs="Arial"/>
          <w:sz w:val="24"/>
          <w:szCs w:val="24"/>
        </w:rPr>
      </w:pPr>
      <w:r>
        <w:rPr>
          <w:rFonts w:ascii="Arial" w:hAnsi="Arial" w:cs="Arial"/>
          <w:sz w:val="24"/>
          <w:szCs w:val="24"/>
        </w:rPr>
        <w:t>Carangelo, E., 2023. </w:t>
      </w:r>
      <w:r>
        <w:rPr>
          <w:rFonts w:ascii="Arial" w:hAnsi="Arial" w:cs="Arial"/>
          <w:i/>
          <w:iCs/>
          <w:sz w:val="24"/>
          <w:szCs w:val="24"/>
        </w:rPr>
        <w:t>Examining Investment Policies and Procedures for Promoting Diversification in the Tourism Industry</w:t>
      </w:r>
      <w:r>
        <w:rPr>
          <w:rFonts w:ascii="Arial" w:hAnsi="Arial" w:cs="Arial"/>
          <w:sz w:val="24"/>
          <w:szCs w:val="24"/>
        </w:rPr>
        <w:t xml:space="preserve"> (Master's thesis, </w:t>
      </w:r>
      <w:proofErr w:type="spellStart"/>
      <w:r>
        <w:rPr>
          <w:rFonts w:ascii="Arial" w:hAnsi="Arial" w:cs="Arial"/>
          <w:sz w:val="24"/>
          <w:szCs w:val="24"/>
        </w:rPr>
        <w:t>Universidade</w:t>
      </w:r>
      <w:proofErr w:type="spellEnd"/>
      <w:r>
        <w:rPr>
          <w:rFonts w:ascii="Arial" w:hAnsi="Arial" w:cs="Arial"/>
          <w:sz w:val="24"/>
          <w:szCs w:val="24"/>
        </w:rPr>
        <w:t xml:space="preserve"> NOVA de </w:t>
      </w:r>
      <w:proofErr w:type="spellStart"/>
      <w:r>
        <w:rPr>
          <w:rFonts w:ascii="Arial" w:hAnsi="Arial" w:cs="Arial"/>
          <w:sz w:val="24"/>
          <w:szCs w:val="24"/>
        </w:rPr>
        <w:t>Lisboa</w:t>
      </w:r>
      <w:proofErr w:type="spellEnd"/>
      <w:r>
        <w:rPr>
          <w:rFonts w:ascii="Arial" w:hAnsi="Arial" w:cs="Arial"/>
          <w:sz w:val="24"/>
          <w:szCs w:val="24"/>
        </w:rPr>
        <w:t xml:space="preserve"> (Portugal)). Available at: </w:t>
      </w:r>
      <w:hyperlink r:id="rId13" w:history="1">
        <w:r w:rsidR="00044E7A">
          <w:rPr>
            <w:rStyle w:val="Hyperlink"/>
            <w:rFonts w:ascii="Arial" w:hAnsi="Arial" w:cs="Arial"/>
            <w:sz w:val="24"/>
            <w:szCs w:val="24"/>
          </w:rPr>
          <w:t>https://www.proquest.com/openview/cf283e29baf059eaf7fd0d35b8614a0f/1?pq-origsite=gscholar&amp;cbl=2026366&amp;diss=y</w:t>
        </w:r>
      </w:hyperlink>
      <w:r>
        <w:rPr>
          <w:rFonts w:ascii="Arial" w:hAnsi="Arial" w:cs="Arial"/>
          <w:sz w:val="24"/>
          <w:szCs w:val="24"/>
        </w:rPr>
        <w:t xml:space="preserve">. </w:t>
      </w:r>
    </w:p>
    <w:p w14:paraId="341D4A5A" w14:textId="77777777" w:rsidR="00044E7A" w:rsidRDefault="00000000">
      <w:pPr>
        <w:spacing w:line="360" w:lineRule="auto"/>
        <w:jc w:val="both"/>
        <w:rPr>
          <w:rFonts w:ascii="Arial" w:hAnsi="Arial" w:cs="Arial"/>
          <w:sz w:val="24"/>
          <w:szCs w:val="24"/>
        </w:rPr>
      </w:pPr>
      <w:r>
        <w:rPr>
          <w:rFonts w:ascii="Arial" w:hAnsi="Arial" w:cs="Arial"/>
          <w:sz w:val="24"/>
          <w:szCs w:val="24"/>
        </w:rPr>
        <w:t>Das, P.K., 2023. Ratio analysis for decision making, a study. </w:t>
      </w:r>
      <w:r>
        <w:rPr>
          <w:rFonts w:ascii="Arial" w:hAnsi="Arial" w:cs="Arial"/>
          <w:i/>
          <w:iCs/>
          <w:sz w:val="24"/>
          <w:szCs w:val="24"/>
        </w:rPr>
        <w:t>Brazilian Journal of Science</w:t>
      </w:r>
      <w:r>
        <w:rPr>
          <w:rFonts w:ascii="Arial" w:hAnsi="Arial" w:cs="Arial"/>
          <w:sz w:val="24"/>
          <w:szCs w:val="24"/>
        </w:rPr>
        <w:t>, </w:t>
      </w:r>
      <w:r>
        <w:rPr>
          <w:rFonts w:ascii="Arial" w:hAnsi="Arial" w:cs="Arial"/>
          <w:i/>
          <w:iCs/>
          <w:sz w:val="24"/>
          <w:szCs w:val="24"/>
        </w:rPr>
        <w:t>2</w:t>
      </w:r>
      <w:r>
        <w:rPr>
          <w:rFonts w:ascii="Arial" w:hAnsi="Arial" w:cs="Arial"/>
          <w:sz w:val="24"/>
          <w:szCs w:val="24"/>
        </w:rPr>
        <w:t xml:space="preserve">(5), pp.29-41. Available at: </w:t>
      </w:r>
      <w:hyperlink r:id="rId14" w:history="1">
        <w:r w:rsidR="00044E7A">
          <w:rPr>
            <w:rStyle w:val="Hyperlink"/>
            <w:rFonts w:ascii="Arial" w:hAnsi="Arial" w:cs="Arial"/>
            <w:sz w:val="24"/>
            <w:szCs w:val="24"/>
          </w:rPr>
          <w:t>https://periodicos.cerradopub.com.br/bjs/article/view/297</w:t>
        </w:r>
      </w:hyperlink>
      <w:r>
        <w:rPr>
          <w:rFonts w:ascii="Arial" w:hAnsi="Arial" w:cs="Arial"/>
          <w:sz w:val="24"/>
          <w:szCs w:val="24"/>
        </w:rPr>
        <w:t xml:space="preserve">. </w:t>
      </w:r>
    </w:p>
    <w:p w14:paraId="62BA3E9A" w14:textId="77777777" w:rsidR="00044E7A" w:rsidRDefault="00000000">
      <w:pPr>
        <w:spacing w:line="360" w:lineRule="auto"/>
        <w:jc w:val="both"/>
        <w:rPr>
          <w:rFonts w:ascii="Arial" w:hAnsi="Arial" w:cs="Arial"/>
          <w:sz w:val="24"/>
          <w:szCs w:val="24"/>
        </w:rPr>
      </w:pPr>
      <w:r>
        <w:rPr>
          <w:rFonts w:ascii="Arial" w:hAnsi="Arial" w:cs="Arial"/>
          <w:sz w:val="24"/>
          <w:szCs w:val="24"/>
        </w:rPr>
        <w:t>European Investment Bank ed., 2023. </w:t>
      </w:r>
      <w:r>
        <w:rPr>
          <w:rFonts w:ascii="Arial" w:hAnsi="Arial" w:cs="Arial"/>
          <w:i/>
          <w:iCs/>
          <w:sz w:val="24"/>
          <w:szCs w:val="24"/>
        </w:rPr>
        <w:t>The economic appraisal of investment projects at the EIB</w:t>
      </w:r>
      <w:r>
        <w:rPr>
          <w:rFonts w:ascii="Arial" w:hAnsi="Arial" w:cs="Arial"/>
          <w:sz w:val="24"/>
          <w:szCs w:val="24"/>
        </w:rPr>
        <w:t xml:space="preserve">. European Investment Bank. Available at: </w:t>
      </w:r>
      <w:hyperlink r:id="rId15" w:anchor="v=onepage&amp;q=investment%20appraisal%20techniques&amp;f=false" w:history="1">
        <w:r w:rsidR="00044E7A">
          <w:rPr>
            <w:rStyle w:val="Hyperlink"/>
            <w:rFonts w:ascii="Arial" w:hAnsi="Arial" w:cs="Arial"/>
            <w:sz w:val="24"/>
            <w:szCs w:val="24"/>
          </w:rPr>
          <w:t>https://books.google.co.in/books?hl=en&amp;lr=&amp;id=WCe9EAAAQBAJ&amp;oi=fnd&amp;pg=PT5&amp;dq=investment+appraisal+techniques&amp;ots=6yXhBUmfrW&amp;sig=Z4bLE1pIb6o0hD13iJ7vl6urf6E&amp;redir_esc=y#v=onepage&amp;q=investment%20appraisal%20techniques&amp;f=false</w:t>
        </w:r>
      </w:hyperlink>
      <w:r>
        <w:rPr>
          <w:rFonts w:ascii="Arial" w:hAnsi="Arial" w:cs="Arial"/>
          <w:sz w:val="24"/>
          <w:szCs w:val="24"/>
        </w:rPr>
        <w:t xml:space="preserve">. </w:t>
      </w:r>
    </w:p>
    <w:p w14:paraId="1E0086F8" w14:textId="77777777" w:rsidR="00044E7A" w:rsidRDefault="00000000">
      <w:pPr>
        <w:spacing w:line="360" w:lineRule="auto"/>
        <w:jc w:val="both"/>
        <w:rPr>
          <w:rFonts w:ascii="Arial" w:hAnsi="Arial" w:cs="Arial"/>
          <w:sz w:val="24"/>
          <w:szCs w:val="24"/>
        </w:rPr>
      </w:pPr>
      <w:proofErr w:type="spellStart"/>
      <w:r>
        <w:rPr>
          <w:rFonts w:ascii="Arial" w:hAnsi="Arial" w:cs="Arial"/>
          <w:sz w:val="24"/>
          <w:szCs w:val="24"/>
        </w:rPr>
        <w:t>Eyinade</w:t>
      </w:r>
      <w:proofErr w:type="spellEnd"/>
      <w:r>
        <w:rPr>
          <w:rFonts w:ascii="Arial" w:hAnsi="Arial" w:cs="Arial"/>
          <w:sz w:val="24"/>
          <w:szCs w:val="24"/>
        </w:rPr>
        <w:t xml:space="preserve">, W., </w:t>
      </w:r>
      <w:proofErr w:type="spellStart"/>
      <w:r>
        <w:rPr>
          <w:rFonts w:ascii="Arial" w:hAnsi="Arial" w:cs="Arial"/>
          <w:sz w:val="24"/>
          <w:szCs w:val="24"/>
        </w:rPr>
        <w:t>Ezeilo</w:t>
      </w:r>
      <w:proofErr w:type="spellEnd"/>
      <w:r>
        <w:rPr>
          <w:rFonts w:ascii="Arial" w:hAnsi="Arial" w:cs="Arial"/>
          <w:sz w:val="24"/>
          <w:szCs w:val="24"/>
        </w:rPr>
        <w:t xml:space="preserve">, O.J. and </w:t>
      </w:r>
      <w:proofErr w:type="spellStart"/>
      <w:r>
        <w:rPr>
          <w:rFonts w:ascii="Arial" w:hAnsi="Arial" w:cs="Arial"/>
          <w:sz w:val="24"/>
          <w:szCs w:val="24"/>
        </w:rPr>
        <w:t>Ogundeji</w:t>
      </w:r>
      <w:proofErr w:type="spellEnd"/>
      <w:r>
        <w:rPr>
          <w:rFonts w:ascii="Arial" w:hAnsi="Arial" w:cs="Arial"/>
          <w:sz w:val="24"/>
          <w:szCs w:val="24"/>
        </w:rPr>
        <w:t>, I.A., 2022. A framework for managing currency risk and exchange rate exposure in international energy investment portfolios. </w:t>
      </w:r>
      <w:r>
        <w:rPr>
          <w:rFonts w:ascii="Arial" w:hAnsi="Arial" w:cs="Arial"/>
          <w:i/>
          <w:iCs/>
          <w:sz w:val="24"/>
          <w:szCs w:val="24"/>
        </w:rPr>
        <w:t>International Journal of Scientific Research in Civil Engineering</w:t>
      </w:r>
      <w:r>
        <w:rPr>
          <w:rFonts w:ascii="Arial" w:hAnsi="Arial" w:cs="Arial"/>
          <w:sz w:val="24"/>
          <w:szCs w:val="24"/>
        </w:rPr>
        <w:t>, </w:t>
      </w:r>
      <w:r>
        <w:rPr>
          <w:rFonts w:ascii="Arial" w:hAnsi="Arial" w:cs="Arial"/>
          <w:i/>
          <w:iCs/>
          <w:sz w:val="24"/>
          <w:szCs w:val="24"/>
        </w:rPr>
        <w:t>6</w:t>
      </w:r>
      <w:r>
        <w:rPr>
          <w:rFonts w:ascii="Arial" w:hAnsi="Arial" w:cs="Arial"/>
          <w:sz w:val="24"/>
          <w:szCs w:val="24"/>
        </w:rPr>
        <w:t xml:space="preserve">(6), pp.218-230. Available at: </w:t>
      </w:r>
      <w:hyperlink r:id="rId16" w:history="1">
        <w:r w:rsidR="00044E7A">
          <w:rPr>
            <w:rStyle w:val="Hyperlink"/>
            <w:rFonts w:ascii="Arial" w:hAnsi="Arial" w:cs="Arial"/>
            <w:sz w:val="24"/>
            <w:szCs w:val="24"/>
          </w:rPr>
          <w:t>https://www.researchgate.net/profile/Onyinye-Ezeilo/publication/393453311_A_Framework_for_Managing_Currency_Risk_and_Exchange_Rate_Exposure_in_International_Energy_Investment_Portfolios/links/686af3d5b991270ef301dc5f/A-Framework-for-Managing-Currency-Risk-and-Exchange-Rate-Exposure-in-International-Energy-Investment-Portfolios.pdf</w:t>
        </w:r>
      </w:hyperlink>
      <w:r>
        <w:rPr>
          <w:rFonts w:ascii="Arial" w:hAnsi="Arial" w:cs="Arial"/>
          <w:sz w:val="24"/>
          <w:szCs w:val="24"/>
        </w:rPr>
        <w:t xml:space="preserve">. </w:t>
      </w:r>
    </w:p>
    <w:p w14:paraId="15469696" w14:textId="77777777" w:rsidR="00044E7A" w:rsidRDefault="00000000">
      <w:pPr>
        <w:spacing w:line="360" w:lineRule="auto"/>
        <w:jc w:val="both"/>
        <w:rPr>
          <w:rFonts w:ascii="Arial" w:hAnsi="Arial" w:cs="Arial"/>
          <w:sz w:val="24"/>
          <w:szCs w:val="24"/>
        </w:rPr>
      </w:pPr>
      <w:r>
        <w:rPr>
          <w:rFonts w:ascii="Arial" w:hAnsi="Arial" w:cs="Arial"/>
          <w:sz w:val="24"/>
          <w:szCs w:val="24"/>
        </w:rPr>
        <w:lastRenderedPageBreak/>
        <w:t>Gunawan, E., 2023. Liquidity Ratio Analysis in Financing Short Term Liabilities. </w:t>
      </w:r>
      <w:r>
        <w:rPr>
          <w:rFonts w:ascii="Arial" w:hAnsi="Arial" w:cs="Arial"/>
          <w:i/>
          <w:iCs/>
          <w:sz w:val="24"/>
          <w:szCs w:val="24"/>
        </w:rPr>
        <w:t>International Journal of Health, Economics, and Social Sciences (IJHESS)</w:t>
      </w:r>
      <w:r>
        <w:rPr>
          <w:rFonts w:ascii="Arial" w:hAnsi="Arial" w:cs="Arial"/>
          <w:sz w:val="24"/>
          <w:szCs w:val="24"/>
        </w:rPr>
        <w:t>, </w:t>
      </w:r>
      <w:r>
        <w:rPr>
          <w:rFonts w:ascii="Arial" w:hAnsi="Arial" w:cs="Arial"/>
          <w:i/>
          <w:iCs/>
          <w:sz w:val="24"/>
          <w:szCs w:val="24"/>
        </w:rPr>
        <w:t>5</w:t>
      </w:r>
      <w:r>
        <w:rPr>
          <w:rFonts w:ascii="Arial" w:hAnsi="Arial" w:cs="Arial"/>
          <w:sz w:val="24"/>
          <w:szCs w:val="24"/>
        </w:rPr>
        <w:t xml:space="preserve">(2), pp.157-162. Available at: </w:t>
      </w:r>
      <w:hyperlink r:id="rId17" w:history="1">
        <w:r w:rsidR="00044E7A">
          <w:rPr>
            <w:rStyle w:val="Hyperlink"/>
            <w:rFonts w:ascii="Arial" w:hAnsi="Arial" w:cs="Arial"/>
            <w:sz w:val="24"/>
            <w:szCs w:val="24"/>
          </w:rPr>
          <w:t>https://jurnal.unismuhpalu.ac.id/index.php/IJHESS/article/view/3611</w:t>
        </w:r>
      </w:hyperlink>
      <w:r>
        <w:rPr>
          <w:rFonts w:ascii="Arial" w:hAnsi="Arial" w:cs="Arial"/>
          <w:sz w:val="24"/>
          <w:szCs w:val="24"/>
        </w:rPr>
        <w:t xml:space="preserve">. </w:t>
      </w:r>
    </w:p>
    <w:p w14:paraId="500BBEB3"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Ghosh, S. and Bhattacharya, M., 2022. </w:t>
      </w:r>
      <w:proofErr w:type="spellStart"/>
      <w:r>
        <w:rPr>
          <w:rFonts w:ascii="Arial" w:hAnsi="Arial" w:cs="Arial"/>
          <w:sz w:val="24"/>
          <w:szCs w:val="24"/>
        </w:rPr>
        <w:t>Analyzing</w:t>
      </w:r>
      <w:proofErr w:type="spellEnd"/>
      <w:r>
        <w:rPr>
          <w:rFonts w:ascii="Arial" w:hAnsi="Arial" w:cs="Arial"/>
          <w:sz w:val="24"/>
          <w:szCs w:val="24"/>
        </w:rPr>
        <w:t xml:space="preserve"> the impact of COVID-19 on the financial performance of the hospitality and tourism industries: an ensemble MCDM approach in the Indian context. </w:t>
      </w:r>
      <w:r>
        <w:rPr>
          <w:rFonts w:ascii="Arial" w:hAnsi="Arial" w:cs="Arial"/>
          <w:i/>
          <w:iCs/>
          <w:sz w:val="24"/>
          <w:szCs w:val="24"/>
        </w:rPr>
        <w:t>International Journal of Contemporary Hospitality Management</w:t>
      </w:r>
      <w:r>
        <w:rPr>
          <w:rFonts w:ascii="Arial" w:hAnsi="Arial" w:cs="Arial"/>
          <w:sz w:val="24"/>
          <w:szCs w:val="24"/>
        </w:rPr>
        <w:t>, </w:t>
      </w:r>
      <w:r>
        <w:rPr>
          <w:rFonts w:ascii="Arial" w:hAnsi="Arial" w:cs="Arial"/>
          <w:i/>
          <w:iCs/>
          <w:sz w:val="24"/>
          <w:szCs w:val="24"/>
        </w:rPr>
        <w:t>34</w:t>
      </w:r>
      <w:r>
        <w:rPr>
          <w:rFonts w:ascii="Arial" w:hAnsi="Arial" w:cs="Arial"/>
          <w:sz w:val="24"/>
          <w:szCs w:val="24"/>
        </w:rPr>
        <w:t xml:space="preserve">(8), pp.3113-3142. Available at: </w:t>
      </w:r>
      <w:hyperlink r:id="rId18" w:history="1">
        <w:r w:rsidR="00044E7A">
          <w:rPr>
            <w:rStyle w:val="Hyperlink"/>
            <w:rFonts w:ascii="Arial" w:hAnsi="Arial" w:cs="Arial"/>
            <w:sz w:val="24"/>
            <w:szCs w:val="24"/>
          </w:rPr>
          <w:t>https://www.emerald.com/ijchm/article-abstract/34/8/3113/127191/Analyzing-the-impact-of-COVID-19-on-the-financial?redirectedFrom=fulltext</w:t>
        </w:r>
      </w:hyperlink>
      <w:r>
        <w:rPr>
          <w:rFonts w:ascii="Arial" w:hAnsi="Arial" w:cs="Arial"/>
          <w:sz w:val="24"/>
          <w:szCs w:val="24"/>
        </w:rPr>
        <w:t xml:space="preserve">. </w:t>
      </w:r>
    </w:p>
    <w:p w14:paraId="6D9FBA6F" w14:textId="77777777" w:rsidR="00044E7A" w:rsidRDefault="00000000">
      <w:pPr>
        <w:spacing w:line="360" w:lineRule="auto"/>
        <w:jc w:val="both"/>
        <w:rPr>
          <w:rFonts w:ascii="Arial" w:hAnsi="Arial" w:cs="Arial"/>
          <w:sz w:val="24"/>
          <w:szCs w:val="24"/>
        </w:rPr>
      </w:pPr>
      <w:r>
        <w:rPr>
          <w:rFonts w:ascii="Arial" w:hAnsi="Arial" w:cs="Arial"/>
          <w:sz w:val="24"/>
          <w:szCs w:val="24"/>
        </w:rPr>
        <w:t>Harris, E.P. and El-</w:t>
      </w:r>
      <w:proofErr w:type="spellStart"/>
      <w:r>
        <w:rPr>
          <w:rFonts w:ascii="Arial" w:hAnsi="Arial" w:cs="Arial"/>
          <w:sz w:val="24"/>
          <w:szCs w:val="24"/>
        </w:rPr>
        <w:t>Massri</w:t>
      </w:r>
      <w:proofErr w:type="spellEnd"/>
      <w:r>
        <w:rPr>
          <w:rFonts w:ascii="Arial" w:hAnsi="Arial" w:cs="Arial"/>
          <w:sz w:val="24"/>
          <w:szCs w:val="24"/>
        </w:rPr>
        <w:t>, M., 2021. Capital investment appraisal. In </w:t>
      </w:r>
      <w:r>
        <w:rPr>
          <w:rFonts w:ascii="Arial" w:hAnsi="Arial" w:cs="Arial"/>
          <w:i/>
          <w:iCs/>
          <w:sz w:val="24"/>
          <w:szCs w:val="24"/>
        </w:rPr>
        <w:t>Review of management accounting research</w:t>
      </w:r>
      <w:r>
        <w:rPr>
          <w:rFonts w:ascii="Arial" w:hAnsi="Arial" w:cs="Arial"/>
          <w:sz w:val="24"/>
          <w:szCs w:val="24"/>
        </w:rPr>
        <w:t xml:space="preserve"> (pp. 343-377). London: Palgrave Macmillan UK. Available at: </w:t>
      </w:r>
      <w:hyperlink r:id="rId19" w:history="1">
        <w:r w:rsidR="00044E7A">
          <w:rPr>
            <w:rStyle w:val="Hyperlink"/>
            <w:rFonts w:ascii="Arial" w:hAnsi="Arial" w:cs="Arial"/>
            <w:sz w:val="24"/>
            <w:szCs w:val="24"/>
          </w:rPr>
          <w:t>https://link.springer.com/chapter/10.1057/9780230353275_14</w:t>
        </w:r>
      </w:hyperlink>
      <w:r>
        <w:rPr>
          <w:rFonts w:ascii="Arial" w:hAnsi="Arial" w:cs="Arial"/>
          <w:sz w:val="24"/>
          <w:szCs w:val="24"/>
        </w:rPr>
        <w:t xml:space="preserve">. </w:t>
      </w:r>
    </w:p>
    <w:p w14:paraId="23C01343"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Jawabreh, O., </w:t>
      </w:r>
      <w:proofErr w:type="spellStart"/>
      <w:r>
        <w:rPr>
          <w:rFonts w:ascii="Arial" w:hAnsi="Arial" w:cs="Arial"/>
          <w:sz w:val="24"/>
          <w:szCs w:val="24"/>
        </w:rPr>
        <w:t>Shniekat</w:t>
      </w:r>
      <w:proofErr w:type="spellEnd"/>
      <w:r>
        <w:rPr>
          <w:rFonts w:ascii="Arial" w:hAnsi="Arial" w:cs="Arial"/>
          <w:sz w:val="24"/>
          <w:szCs w:val="24"/>
        </w:rPr>
        <w:t>, N., Saleh, M.M.A. and Ali, B., 2022. The strategic deployment of information systems attributes and financial performance in the hospitality industry. </w:t>
      </w:r>
      <w:r>
        <w:rPr>
          <w:rFonts w:ascii="Arial" w:hAnsi="Arial" w:cs="Arial"/>
          <w:i/>
          <w:iCs/>
          <w:sz w:val="24"/>
          <w:szCs w:val="24"/>
        </w:rPr>
        <w:t>Information Sciences Letters</w:t>
      </w:r>
      <w:r>
        <w:rPr>
          <w:rFonts w:ascii="Arial" w:hAnsi="Arial" w:cs="Arial"/>
          <w:sz w:val="24"/>
          <w:szCs w:val="24"/>
        </w:rPr>
        <w:t>, </w:t>
      </w:r>
      <w:r>
        <w:rPr>
          <w:rFonts w:ascii="Arial" w:hAnsi="Arial" w:cs="Arial"/>
          <w:i/>
          <w:iCs/>
          <w:sz w:val="24"/>
          <w:szCs w:val="24"/>
        </w:rPr>
        <w:t>11</w:t>
      </w:r>
      <w:r>
        <w:rPr>
          <w:rFonts w:ascii="Arial" w:hAnsi="Arial" w:cs="Arial"/>
          <w:sz w:val="24"/>
          <w:szCs w:val="24"/>
        </w:rPr>
        <w:t xml:space="preserve">(5), p.110504. Available at: </w:t>
      </w:r>
      <w:hyperlink r:id="rId20" w:history="1">
        <w:r w:rsidR="00044E7A">
          <w:rPr>
            <w:rStyle w:val="Hyperlink"/>
            <w:rFonts w:ascii="Arial" w:hAnsi="Arial" w:cs="Arial"/>
            <w:sz w:val="24"/>
            <w:szCs w:val="24"/>
          </w:rPr>
          <w:t>https://www.sciencedirect.com/science/article/pii/S0149718922001057</w:t>
        </w:r>
      </w:hyperlink>
      <w:r>
        <w:rPr>
          <w:rFonts w:ascii="Arial" w:hAnsi="Arial" w:cs="Arial"/>
          <w:sz w:val="24"/>
          <w:szCs w:val="24"/>
        </w:rPr>
        <w:t xml:space="preserve">. </w:t>
      </w:r>
    </w:p>
    <w:p w14:paraId="1AAFAA37"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Kumawat, A., Ratio Analysis: A Technique of Financial Statement Analysis. Available at: </w:t>
      </w:r>
      <w:hyperlink r:id="rId21" w:history="1">
        <w:r w:rsidR="00044E7A">
          <w:rPr>
            <w:rStyle w:val="Hyperlink"/>
            <w:rFonts w:ascii="Arial" w:hAnsi="Arial" w:cs="Arial"/>
            <w:sz w:val="24"/>
            <w:szCs w:val="24"/>
          </w:rPr>
          <w:t>https://www.ijmrsetm.com/admin/img/15_Ratio.pdf</w:t>
        </w:r>
      </w:hyperlink>
      <w:r>
        <w:rPr>
          <w:rFonts w:ascii="Arial" w:hAnsi="Arial" w:cs="Arial"/>
          <w:sz w:val="24"/>
          <w:szCs w:val="24"/>
        </w:rPr>
        <w:t xml:space="preserve">. </w:t>
      </w:r>
    </w:p>
    <w:p w14:paraId="6021AE49" w14:textId="77777777" w:rsidR="00044E7A" w:rsidRDefault="00000000">
      <w:pPr>
        <w:spacing w:line="360" w:lineRule="auto"/>
        <w:jc w:val="both"/>
        <w:rPr>
          <w:rFonts w:ascii="Arial" w:hAnsi="Arial" w:cs="Arial"/>
          <w:sz w:val="24"/>
          <w:szCs w:val="24"/>
        </w:rPr>
      </w:pPr>
      <w:proofErr w:type="spellStart"/>
      <w:r>
        <w:rPr>
          <w:rFonts w:ascii="Arial" w:hAnsi="Arial" w:cs="Arial"/>
          <w:sz w:val="24"/>
          <w:szCs w:val="24"/>
        </w:rPr>
        <w:t>Lührs</w:t>
      </w:r>
      <w:proofErr w:type="spellEnd"/>
      <w:r>
        <w:rPr>
          <w:rFonts w:ascii="Arial" w:hAnsi="Arial" w:cs="Arial"/>
          <w:sz w:val="24"/>
          <w:szCs w:val="24"/>
        </w:rPr>
        <w:t>, F., 2022. </w:t>
      </w:r>
      <w:r>
        <w:rPr>
          <w:rFonts w:ascii="Arial" w:hAnsi="Arial" w:cs="Arial"/>
          <w:i/>
          <w:iCs/>
          <w:sz w:val="24"/>
          <w:szCs w:val="24"/>
        </w:rPr>
        <w:t>Intercontinental Hotels Group-Pandemic Recovery Completed</w:t>
      </w:r>
      <w:r>
        <w:rPr>
          <w:rFonts w:ascii="Arial" w:hAnsi="Arial" w:cs="Arial"/>
          <w:sz w:val="24"/>
          <w:szCs w:val="24"/>
        </w:rPr>
        <w:t xml:space="preserve"> (Master's thesis, </w:t>
      </w:r>
      <w:proofErr w:type="spellStart"/>
      <w:r>
        <w:rPr>
          <w:rFonts w:ascii="Arial" w:hAnsi="Arial" w:cs="Arial"/>
          <w:sz w:val="24"/>
          <w:szCs w:val="24"/>
        </w:rPr>
        <w:t>Universidade</w:t>
      </w:r>
      <w:proofErr w:type="spellEnd"/>
      <w:r>
        <w:rPr>
          <w:rFonts w:ascii="Arial" w:hAnsi="Arial" w:cs="Arial"/>
          <w:sz w:val="24"/>
          <w:szCs w:val="24"/>
        </w:rPr>
        <w:t xml:space="preserve"> NOVA de </w:t>
      </w:r>
      <w:proofErr w:type="spellStart"/>
      <w:r>
        <w:rPr>
          <w:rFonts w:ascii="Arial" w:hAnsi="Arial" w:cs="Arial"/>
          <w:sz w:val="24"/>
          <w:szCs w:val="24"/>
        </w:rPr>
        <w:t>Lisboa</w:t>
      </w:r>
      <w:proofErr w:type="spellEnd"/>
      <w:r>
        <w:rPr>
          <w:rFonts w:ascii="Arial" w:hAnsi="Arial" w:cs="Arial"/>
          <w:sz w:val="24"/>
          <w:szCs w:val="24"/>
        </w:rPr>
        <w:t xml:space="preserve"> (Portugal)). Available at: </w:t>
      </w:r>
      <w:hyperlink r:id="rId22" w:history="1">
        <w:r w:rsidR="00044E7A">
          <w:rPr>
            <w:rStyle w:val="Hyperlink"/>
            <w:rFonts w:ascii="Arial" w:hAnsi="Arial" w:cs="Arial"/>
            <w:sz w:val="24"/>
            <w:szCs w:val="24"/>
          </w:rPr>
          <w:t>https://www.proquest.com/openview/90f48a1eb723c6eac8ed020c84a5929f/1?pq-origsite=gscholar&amp;cbl=2026366&amp;diss=y</w:t>
        </w:r>
      </w:hyperlink>
      <w:r>
        <w:rPr>
          <w:rFonts w:ascii="Arial" w:hAnsi="Arial" w:cs="Arial"/>
          <w:sz w:val="24"/>
          <w:szCs w:val="24"/>
        </w:rPr>
        <w:t xml:space="preserve">. </w:t>
      </w:r>
    </w:p>
    <w:p w14:paraId="07280A1A" w14:textId="77777777" w:rsidR="00044E7A" w:rsidRDefault="00000000">
      <w:pPr>
        <w:spacing w:line="360" w:lineRule="auto"/>
        <w:jc w:val="both"/>
        <w:rPr>
          <w:rFonts w:ascii="Arial" w:hAnsi="Arial" w:cs="Arial"/>
          <w:sz w:val="24"/>
          <w:szCs w:val="24"/>
        </w:rPr>
      </w:pPr>
      <w:r>
        <w:rPr>
          <w:rFonts w:ascii="Arial" w:hAnsi="Arial" w:cs="Arial"/>
          <w:sz w:val="24"/>
          <w:szCs w:val="24"/>
        </w:rPr>
        <w:t>Lee, S., Yeon, J. and Song, H.J., 2023. Current status and future perspective of the link of corporate social responsibility–corporate financial performance in the tourism and hospitality industry. </w:t>
      </w:r>
      <w:r>
        <w:rPr>
          <w:rFonts w:ascii="Arial" w:hAnsi="Arial" w:cs="Arial"/>
          <w:i/>
          <w:iCs/>
          <w:sz w:val="24"/>
          <w:szCs w:val="24"/>
        </w:rPr>
        <w:t>Tourism Economics</w:t>
      </w:r>
      <w:r>
        <w:rPr>
          <w:rFonts w:ascii="Arial" w:hAnsi="Arial" w:cs="Arial"/>
          <w:sz w:val="24"/>
          <w:szCs w:val="24"/>
        </w:rPr>
        <w:t>, </w:t>
      </w:r>
      <w:r>
        <w:rPr>
          <w:rFonts w:ascii="Arial" w:hAnsi="Arial" w:cs="Arial"/>
          <w:i/>
          <w:iCs/>
          <w:sz w:val="24"/>
          <w:szCs w:val="24"/>
        </w:rPr>
        <w:t>29</w:t>
      </w:r>
      <w:r>
        <w:rPr>
          <w:rFonts w:ascii="Arial" w:hAnsi="Arial" w:cs="Arial"/>
          <w:sz w:val="24"/>
          <w:szCs w:val="24"/>
        </w:rPr>
        <w:t xml:space="preserve">(7), pp.1703-1735. Available at: </w:t>
      </w:r>
      <w:hyperlink r:id="rId23" w:history="1">
        <w:r w:rsidR="00044E7A">
          <w:rPr>
            <w:rStyle w:val="Hyperlink"/>
            <w:rFonts w:ascii="Arial" w:hAnsi="Arial" w:cs="Arial"/>
            <w:sz w:val="24"/>
            <w:szCs w:val="24"/>
          </w:rPr>
          <w:t>https://journals.sagepub.com/doi/abs/10.1177/13548166221140505</w:t>
        </w:r>
      </w:hyperlink>
      <w:r>
        <w:rPr>
          <w:rFonts w:ascii="Arial" w:hAnsi="Arial" w:cs="Arial"/>
          <w:sz w:val="24"/>
          <w:szCs w:val="24"/>
        </w:rPr>
        <w:t xml:space="preserve">. </w:t>
      </w:r>
    </w:p>
    <w:p w14:paraId="26184A49"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Molina-Castillo, F.J., </w:t>
      </w:r>
      <w:proofErr w:type="spellStart"/>
      <w:r>
        <w:rPr>
          <w:rFonts w:ascii="Arial" w:hAnsi="Arial" w:cs="Arial"/>
          <w:sz w:val="24"/>
          <w:szCs w:val="24"/>
        </w:rPr>
        <w:t>Meroño-Cerdán</w:t>
      </w:r>
      <w:proofErr w:type="spellEnd"/>
      <w:r>
        <w:rPr>
          <w:rFonts w:ascii="Arial" w:hAnsi="Arial" w:cs="Arial"/>
          <w:sz w:val="24"/>
          <w:szCs w:val="24"/>
        </w:rPr>
        <w:t xml:space="preserve">, A.L., Lopez-Nicolas, C. and Fernandez-Espinar, L., 2023. Innovation and technology in hospitality sector: Outcome and </w:t>
      </w:r>
      <w:r>
        <w:rPr>
          <w:rFonts w:ascii="Arial" w:hAnsi="Arial" w:cs="Arial"/>
          <w:sz w:val="24"/>
          <w:szCs w:val="24"/>
        </w:rPr>
        <w:lastRenderedPageBreak/>
        <w:t>performance. </w:t>
      </w:r>
      <w:r>
        <w:rPr>
          <w:rFonts w:ascii="Arial" w:hAnsi="Arial" w:cs="Arial"/>
          <w:i/>
          <w:iCs/>
          <w:sz w:val="24"/>
          <w:szCs w:val="24"/>
        </w:rPr>
        <w:t>Businesses</w:t>
      </w:r>
      <w:r>
        <w:rPr>
          <w:rFonts w:ascii="Arial" w:hAnsi="Arial" w:cs="Arial"/>
          <w:sz w:val="24"/>
          <w:szCs w:val="24"/>
        </w:rPr>
        <w:t>, </w:t>
      </w:r>
      <w:r>
        <w:rPr>
          <w:rFonts w:ascii="Arial" w:hAnsi="Arial" w:cs="Arial"/>
          <w:i/>
          <w:iCs/>
          <w:sz w:val="24"/>
          <w:szCs w:val="24"/>
        </w:rPr>
        <w:t>3</w:t>
      </w:r>
      <w:r>
        <w:rPr>
          <w:rFonts w:ascii="Arial" w:hAnsi="Arial" w:cs="Arial"/>
          <w:sz w:val="24"/>
          <w:szCs w:val="24"/>
        </w:rPr>
        <w:t xml:space="preserve">(1), pp.198-219. Available at: </w:t>
      </w:r>
      <w:hyperlink r:id="rId24" w:history="1">
        <w:r w:rsidR="00044E7A">
          <w:rPr>
            <w:rStyle w:val="Hyperlink"/>
            <w:rFonts w:ascii="Arial" w:hAnsi="Arial" w:cs="Arial"/>
            <w:sz w:val="24"/>
            <w:szCs w:val="24"/>
          </w:rPr>
          <w:t>https://onlinelibrary.wiley.com/doi/abs/10.1002/csr.3200</w:t>
        </w:r>
      </w:hyperlink>
      <w:r>
        <w:rPr>
          <w:rFonts w:ascii="Arial" w:hAnsi="Arial" w:cs="Arial"/>
          <w:sz w:val="24"/>
          <w:szCs w:val="24"/>
        </w:rPr>
        <w:t xml:space="preserve">. </w:t>
      </w:r>
    </w:p>
    <w:p w14:paraId="0CE686E6" w14:textId="77777777" w:rsidR="00044E7A" w:rsidRDefault="00000000">
      <w:pPr>
        <w:spacing w:line="360" w:lineRule="auto"/>
        <w:jc w:val="both"/>
        <w:rPr>
          <w:rFonts w:ascii="Arial" w:hAnsi="Arial" w:cs="Arial"/>
          <w:sz w:val="24"/>
          <w:szCs w:val="24"/>
        </w:rPr>
      </w:pPr>
      <w:r>
        <w:rPr>
          <w:rFonts w:ascii="Arial" w:hAnsi="Arial" w:cs="Arial"/>
          <w:sz w:val="24"/>
          <w:szCs w:val="24"/>
        </w:rPr>
        <w:t>MORDI, A.K., JEROH, E. and EBIAGHAN, O.F., 2025. Financial flexibility in R&amp;D investment: A study of operating cash flow, earnings before interest and tax and gearing ratio. </w:t>
      </w:r>
      <w:r>
        <w:rPr>
          <w:rFonts w:ascii="Arial" w:hAnsi="Arial" w:cs="Arial"/>
          <w:i/>
          <w:iCs/>
          <w:sz w:val="24"/>
          <w:szCs w:val="24"/>
        </w:rPr>
        <w:t>Research Journal of Management Practice| ISSN</w:t>
      </w:r>
      <w:r>
        <w:rPr>
          <w:rFonts w:ascii="Arial" w:hAnsi="Arial" w:cs="Arial"/>
          <w:sz w:val="24"/>
          <w:szCs w:val="24"/>
        </w:rPr>
        <w:t>, </w:t>
      </w:r>
      <w:r>
        <w:rPr>
          <w:rFonts w:ascii="Arial" w:hAnsi="Arial" w:cs="Arial"/>
          <w:i/>
          <w:iCs/>
          <w:sz w:val="24"/>
          <w:szCs w:val="24"/>
        </w:rPr>
        <w:t>2782</w:t>
      </w:r>
      <w:r>
        <w:rPr>
          <w:rFonts w:ascii="Arial" w:hAnsi="Arial" w:cs="Arial"/>
          <w:sz w:val="24"/>
          <w:szCs w:val="24"/>
        </w:rPr>
        <w:t xml:space="preserve">, p.7674. Available at: </w:t>
      </w:r>
      <w:hyperlink r:id="rId25" w:history="1">
        <w:r w:rsidR="00044E7A">
          <w:rPr>
            <w:rStyle w:val="Hyperlink"/>
            <w:rFonts w:ascii="Arial" w:hAnsi="Arial" w:cs="Arial"/>
            <w:sz w:val="24"/>
            <w:szCs w:val="24"/>
          </w:rPr>
          <w:t>https://www.researchgate.net/profile/Kelvin-Adim-Mordi/publication/394032413_Financial_Flexibility_in_RD_Investment_A_Study_of_Operating_Cash_Flow_Earnings_before_Interest_and_Tax_and_Gearing_Ratio/links/68854a77253dcb78df887e25/Financial-Flexibility-in-R-D-Investment-A-Study-of-Operating-Cash-Flow-Earnings-before-Interest-and-Tax-and-Gearing-Ratio.pdf</w:t>
        </w:r>
      </w:hyperlink>
      <w:r>
        <w:rPr>
          <w:rFonts w:ascii="Arial" w:hAnsi="Arial" w:cs="Arial"/>
          <w:sz w:val="24"/>
          <w:szCs w:val="24"/>
        </w:rPr>
        <w:t xml:space="preserve">. </w:t>
      </w:r>
    </w:p>
    <w:p w14:paraId="02D1D7C3" w14:textId="77777777" w:rsidR="00044E7A" w:rsidRDefault="00000000">
      <w:pPr>
        <w:spacing w:line="360" w:lineRule="auto"/>
        <w:jc w:val="both"/>
        <w:rPr>
          <w:rFonts w:ascii="Arial" w:hAnsi="Arial" w:cs="Arial"/>
          <w:sz w:val="24"/>
          <w:szCs w:val="24"/>
        </w:rPr>
      </w:pPr>
      <w:r>
        <w:rPr>
          <w:rFonts w:ascii="Arial" w:hAnsi="Arial" w:cs="Arial"/>
          <w:sz w:val="24"/>
          <w:szCs w:val="24"/>
        </w:rPr>
        <w:t>Martorell Cunill, O., Otero, L., Durán Santomil, P. and Gil Lafuente, J., 2024. Analysis of the effect of growth strategies and hotel attributes on performance. </w:t>
      </w:r>
      <w:r>
        <w:rPr>
          <w:rFonts w:ascii="Arial" w:hAnsi="Arial" w:cs="Arial"/>
          <w:i/>
          <w:iCs/>
          <w:sz w:val="24"/>
          <w:szCs w:val="24"/>
        </w:rPr>
        <w:t>Management Decision</w:t>
      </w:r>
      <w:r>
        <w:rPr>
          <w:rFonts w:ascii="Arial" w:hAnsi="Arial" w:cs="Arial"/>
          <w:sz w:val="24"/>
          <w:szCs w:val="24"/>
        </w:rPr>
        <w:t>, </w:t>
      </w:r>
      <w:r>
        <w:rPr>
          <w:rFonts w:ascii="Arial" w:hAnsi="Arial" w:cs="Arial"/>
          <w:i/>
          <w:iCs/>
          <w:sz w:val="24"/>
          <w:szCs w:val="24"/>
        </w:rPr>
        <w:t>62</w:t>
      </w:r>
      <w:r>
        <w:rPr>
          <w:rFonts w:ascii="Arial" w:hAnsi="Arial" w:cs="Arial"/>
          <w:sz w:val="24"/>
          <w:szCs w:val="24"/>
        </w:rPr>
        <w:t xml:space="preserve">(7), pp.2233-2264. Available at: </w:t>
      </w:r>
      <w:hyperlink r:id="rId26" w:history="1">
        <w:r w:rsidR="00044E7A">
          <w:rPr>
            <w:rStyle w:val="Hyperlink"/>
            <w:rFonts w:ascii="Arial" w:hAnsi="Arial" w:cs="Arial"/>
            <w:sz w:val="24"/>
            <w:szCs w:val="24"/>
          </w:rPr>
          <w:t>https://www.mdpi.com/2071-1050/15/11/8775</w:t>
        </w:r>
      </w:hyperlink>
      <w:r>
        <w:rPr>
          <w:rFonts w:ascii="Arial" w:hAnsi="Arial" w:cs="Arial"/>
          <w:sz w:val="24"/>
          <w:szCs w:val="24"/>
        </w:rPr>
        <w:t xml:space="preserve">. </w:t>
      </w:r>
    </w:p>
    <w:p w14:paraId="474EFBC7" w14:textId="77777777" w:rsidR="00044E7A" w:rsidRDefault="00000000">
      <w:pPr>
        <w:spacing w:line="360" w:lineRule="auto"/>
        <w:jc w:val="both"/>
        <w:rPr>
          <w:rFonts w:ascii="Arial" w:hAnsi="Arial" w:cs="Arial"/>
          <w:sz w:val="24"/>
          <w:szCs w:val="24"/>
        </w:rPr>
      </w:pPr>
      <w:proofErr w:type="spellStart"/>
      <w:r>
        <w:rPr>
          <w:rFonts w:ascii="Arial" w:hAnsi="Arial" w:cs="Arial"/>
          <w:sz w:val="24"/>
          <w:szCs w:val="24"/>
        </w:rPr>
        <w:t>Purnamasari</w:t>
      </w:r>
      <w:proofErr w:type="spellEnd"/>
      <w:r>
        <w:rPr>
          <w:rFonts w:ascii="Arial" w:hAnsi="Arial" w:cs="Arial"/>
          <w:sz w:val="24"/>
          <w:szCs w:val="24"/>
        </w:rPr>
        <w:t xml:space="preserve">, P. and </w:t>
      </w:r>
      <w:proofErr w:type="spellStart"/>
      <w:r>
        <w:rPr>
          <w:rFonts w:ascii="Arial" w:hAnsi="Arial" w:cs="Arial"/>
          <w:sz w:val="24"/>
          <w:szCs w:val="24"/>
        </w:rPr>
        <w:t>Adriza</w:t>
      </w:r>
      <w:proofErr w:type="spellEnd"/>
      <w:r>
        <w:rPr>
          <w:rFonts w:ascii="Arial" w:hAnsi="Arial" w:cs="Arial"/>
          <w:sz w:val="24"/>
          <w:szCs w:val="24"/>
        </w:rPr>
        <w:t>, 2024. Capital budgeting techniques and financial performance: a comparison between SMEs and large listed firms. </w:t>
      </w:r>
      <w:r>
        <w:rPr>
          <w:rFonts w:ascii="Arial" w:hAnsi="Arial" w:cs="Arial"/>
          <w:i/>
          <w:iCs/>
          <w:sz w:val="24"/>
          <w:szCs w:val="24"/>
        </w:rPr>
        <w:t>Cogent Economics &amp; Finance</w:t>
      </w:r>
      <w:r>
        <w:rPr>
          <w:rFonts w:ascii="Arial" w:hAnsi="Arial" w:cs="Arial"/>
          <w:sz w:val="24"/>
          <w:szCs w:val="24"/>
        </w:rPr>
        <w:t>, </w:t>
      </w:r>
      <w:r>
        <w:rPr>
          <w:rFonts w:ascii="Arial" w:hAnsi="Arial" w:cs="Arial"/>
          <w:i/>
          <w:iCs/>
          <w:sz w:val="24"/>
          <w:szCs w:val="24"/>
        </w:rPr>
        <w:t>12</w:t>
      </w:r>
      <w:r>
        <w:rPr>
          <w:rFonts w:ascii="Arial" w:hAnsi="Arial" w:cs="Arial"/>
          <w:sz w:val="24"/>
          <w:szCs w:val="24"/>
        </w:rPr>
        <w:t xml:space="preserve">(1), p.2404707. Available at: </w:t>
      </w:r>
      <w:hyperlink r:id="rId27" w:history="1">
        <w:r w:rsidR="00044E7A">
          <w:rPr>
            <w:rStyle w:val="Hyperlink"/>
            <w:rFonts w:ascii="Arial" w:hAnsi="Arial" w:cs="Arial"/>
            <w:sz w:val="24"/>
            <w:szCs w:val="24"/>
          </w:rPr>
          <w:t>https://www.emerald.com/bpmj/article/29/8/163/258070</w:t>
        </w:r>
      </w:hyperlink>
      <w:r>
        <w:rPr>
          <w:rFonts w:ascii="Arial" w:hAnsi="Arial" w:cs="Arial"/>
          <w:sz w:val="24"/>
          <w:szCs w:val="24"/>
        </w:rPr>
        <w:t xml:space="preserve">. </w:t>
      </w:r>
    </w:p>
    <w:p w14:paraId="3C1DD404" w14:textId="77777777" w:rsidR="00044E7A" w:rsidRDefault="00000000">
      <w:pPr>
        <w:spacing w:line="360" w:lineRule="auto"/>
        <w:jc w:val="both"/>
        <w:rPr>
          <w:rFonts w:ascii="Arial" w:hAnsi="Arial" w:cs="Arial"/>
          <w:sz w:val="24"/>
          <w:szCs w:val="24"/>
        </w:rPr>
      </w:pPr>
      <w:r>
        <w:rPr>
          <w:rFonts w:ascii="Arial" w:hAnsi="Arial" w:cs="Arial"/>
          <w:sz w:val="24"/>
          <w:szCs w:val="24"/>
        </w:rPr>
        <w:t>Pavone, P., Migliaccio, G. and Simonetti, B., 2023. Investigating financial statements in hospitality: a quantitative approach: P. Pavone et al. </w:t>
      </w:r>
      <w:r>
        <w:rPr>
          <w:rFonts w:ascii="Arial" w:hAnsi="Arial" w:cs="Arial"/>
          <w:i/>
          <w:iCs/>
          <w:sz w:val="24"/>
          <w:szCs w:val="24"/>
        </w:rPr>
        <w:t>Quality &amp; Quantity</w:t>
      </w:r>
      <w:r>
        <w:rPr>
          <w:rFonts w:ascii="Arial" w:hAnsi="Arial" w:cs="Arial"/>
          <w:sz w:val="24"/>
          <w:szCs w:val="24"/>
        </w:rPr>
        <w:t>, </w:t>
      </w:r>
      <w:r>
        <w:rPr>
          <w:rFonts w:ascii="Arial" w:hAnsi="Arial" w:cs="Arial"/>
          <w:i/>
          <w:iCs/>
          <w:sz w:val="24"/>
          <w:szCs w:val="24"/>
        </w:rPr>
        <w:t>57</w:t>
      </w:r>
      <w:r>
        <w:rPr>
          <w:rFonts w:ascii="Arial" w:hAnsi="Arial" w:cs="Arial"/>
          <w:sz w:val="24"/>
          <w:szCs w:val="24"/>
        </w:rPr>
        <w:t xml:space="preserve">(Suppl 3), pp.383-407. Available at: </w:t>
      </w:r>
      <w:hyperlink r:id="rId28" w:history="1">
        <w:r w:rsidR="00044E7A">
          <w:rPr>
            <w:rStyle w:val="Hyperlink"/>
            <w:rFonts w:ascii="Arial" w:hAnsi="Arial" w:cs="Arial"/>
            <w:sz w:val="24"/>
            <w:szCs w:val="24"/>
          </w:rPr>
          <w:t>https://link.springer.com/article/10.1007/s11135-020-01086-3</w:t>
        </w:r>
      </w:hyperlink>
      <w:r>
        <w:rPr>
          <w:rFonts w:ascii="Arial" w:hAnsi="Arial" w:cs="Arial"/>
          <w:sz w:val="24"/>
          <w:szCs w:val="24"/>
        </w:rPr>
        <w:t xml:space="preserve">. </w:t>
      </w:r>
    </w:p>
    <w:p w14:paraId="5F5B7C50" w14:textId="77777777" w:rsidR="00044E7A" w:rsidRDefault="00000000">
      <w:pPr>
        <w:spacing w:line="360" w:lineRule="auto"/>
        <w:jc w:val="both"/>
        <w:rPr>
          <w:rFonts w:ascii="Arial" w:hAnsi="Arial" w:cs="Arial"/>
          <w:sz w:val="24"/>
          <w:szCs w:val="24"/>
        </w:rPr>
      </w:pPr>
      <w:r>
        <w:rPr>
          <w:rFonts w:ascii="Arial" w:hAnsi="Arial" w:cs="Arial"/>
          <w:sz w:val="24"/>
          <w:szCs w:val="24"/>
        </w:rPr>
        <w:t>Shou, T., 2022, July. A literature review on the net present value (NPV) valuation method. In </w:t>
      </w:r>
      <w:r>
        <w:rPr>
          <w:rFonts w:ascii="Arial" w:hAnsi="Arial" w:cs="Arial"/>
          <w:i/>
          <w:iCs/>
          <w:sz w:val="24"/>
          <w:szCs w:val="24"/>
        </w:rPr>
        <w:t>2022 2nd International Conference on Enterprise Management and Economic Development (ICEMED 2022)</w:t>
      </w:r>
      <w:r>
        <w:rPr>
          <w:rFonts w:ascii="Arial" w:hAnsi="Arial" w:cs="Arial"/>
          <w:sz w:val="24"/>
          <w:szCs w:val="24"/>
        </w:rPr>
        <w:t xml:space="preserve"> (pp. 826-830). Atlantis Press. Available at: </w:t>
      </w:r>
      <w:hyperlink r:id="rId29" w:history="1">
        <w:r w:rsidR="00044E7A">
          <w:rPr>
            <w:rStyle w:val="Hyperlink"/>
            <w:rFonts w:ascii="Arial" w:hAnsi="Arial" w:cs="Arial"/>
            <w:sz w:val="24"/>
            <w:szCs w:val="24"/>
          </w:rPr>
          <w:t>https://www.researchgate.net/profile/Thirunavukkarasu-Velnampy/publication/231590247_A_Study_on_Investment_Appraisal_and_Profitability/links/0912f506d81c759527000000/A-Study-on-Investment-Appraisal-and-Profitability.pdf</w:t>
        </w:r>
      </w:hyperlink>
      <w:r>
        <w:rPr>
          <w:rFonts w:ascii="Arial" w:hAnsi="Arial" w:cs="Arial"/>
          <w:sz w:val="24"/>
          <w:szCs w:val="24"/>
        </w:rPr>
        <w:t xml:space="preserve">. </w:t>
      </w:r>
    </w:p>
    <w:p w14:paraId="53BCE141" w14:textId="77777777" w:rsidR="00044E7A" w:rsidRDefault="00000000">
      <w:pPr>
        <w:spacing w:line="360" w:lineRule="auto"/>
        <w:jc w:val="both"/>
        <w:rPr>
          <w:rFonts w:ascii="Arial" w:hAnsi="Arial" w:cs="Arial"/>
          <w:sz w:val="24"/>
          <w:szCs w:val="24"/>
        </w:rPr>
      </w:pPr>
      <w:r>
        <w:rPr>
          <w:rFonts w:ascii="Arial" w:hAnsi="Arial" w:cs="Arial"/>
          <w:sz w:val="24"/>
          <w:szCs w:val="24"/>
        </w:rPr>
        <w:lastRenderedPageBreak/>
        <w:t xml:space="preserve">Sharma, P., Mehta, S.K., Dsouza, S. and </w:t>
      </w:r>
      <w:proofErr w:type="spellStart"/>
      <w:r>
        <w:rPr>
          <w:rFonts w:ascii="Arial" w:hAnsi="Arial" w:cs="Arial"/>
          <w:sz w:val="24"/>
          <w:szCs w:val="24"/>
        </w:rPr>
        <w:t>AlKhawaja</w:t>
      </w:r>
      <w:proofErr w:type="spellEnd"/>
      <w:r>
        <w:rPr>
          <w:rFonts w:ascii="Arial" w:hAnsi="Arial" w:cs="Arial"/>
          <w:sz w:val="24"/>
          <w:szCs w:val="24"/>
        </w:rPr>
        <w:t>, A., 2025. Drivers of working capital efficiency in Indian hospitality sector. </w:t>
      </w:r>
      <w:r>
        <w:rPr>
          <w:rFonts w:ascii="Arial" w:hAnsi="Arial" w:cs="Arial"/>
          <w:i/>
          <w:iCs/>
          <w:sz w:val="24"/>
          <w:szCs w:val="24"/>
        </w:rPr>
        <w:t>Investment Management &amp; Financial Innovations</w:t>
      </w:r>
      <w:r>
        <w:rPr>
          <w:rFonts w:ascii="Arial" w:hAnsi="Arial" w:cs="Arial"/>
          <w:sz w:val="24"/>
          <w:szCs w:val="24"/>
        </w:rPr>
        <w:t>, </w:t>
      </w:r>
      <w:r>
        <w:rPr>
          <w:rFonts w:ascii="Arial" w:hAnsi="Arial" w:cs="Arial"/>
          <w:i/>
          <w:iCs/>
          <w:sz w:val="24"/>
          <w:szCs w:val="24"/>
        </w:rPr>
        <w:t>22</w:t>
      </w:r>
      <w:r>
        <w:rPr>
          <w:rFonts w:ascii="Arial" w:hAnsi="Arial" w:cs="Arial"/>
          <w:sz w:val="24"/>
          <w:szCs w:val="24"/>
        </w:rPr>
        <w:t xml:space="preserve">(2), p.47. Available at: </w:t>
      </w:r>
      <w:hyperlink r:id="rId30" w:history="1">
        <w:r w:rsidR="00044E7A">
          <w:rPr>
            <w:rStyle w:val="Hyperlink"/>
            <w:rFonts w:ascii="Arial" w:hAnsi="Arial" w:cs="Arial"/>
            <w:sz w:val="24"/>
            <w:szCs w:val="24"/>
          </w:rPr>
          <w:t>https://www.proquest.com/openview/9e8924bf7194df6489c4de22f8c055ab/1?pq-origsite=gscholar&amp;cbl=4368392</w:t>
        </w:r>
      </w:hyperlink>
      <w:r>
        <w:rPr>
          <w:rFonts w:ascii="Arial" w:hAnsi="Arial" w:cs="Arial"/>
          <w:sz w:val="24"/>
          <w:szCs w:val="24"/>
        </w:rPr>
        <w:t xml:space="preserve">. </w:t>
      </w:r>
    </w:p>
    <w:p w14:paraId="101A4C70" w14:textId="77777777" w:rsidR="00044E7A" w:rsidRDefault="00000000">
      <w:pPr>
        <w:spacing w:line="360" w:lineRule="auto"/>
        <w:jc w:val="both"/>
        <w:rPr>
          <w:rFonts w:ascii="Arial" w:hAnsi="Arial" w:cs="Arial"/>
          <w:sz w:val="24"/>
          <w:szCs w:val="24"/>
        </w:rPr>
      </w:pPr>
      <w:proofErr w:type="spellStart"/>
      <w:r>
        <w:rPr>
          <w:rFonts w:ascii="Arial" w:hAnsi="Arial" w:cs="Arial"/>
          <w:sz w:val="24"/>
          <w:szCs w:val="24"/>
        </w:rPr>
        <w:t>Velickovic</w:t>
      </w:r>
      <w:proofErr w:type="spellEnd"/>
      <w:r>
        <w:rPr>
          <w:rFonts w:ascii="Arial" w:hAnsi="Arial" w:cs="Arial"/>
          <w:sz w:val="24"/>
          <w:szCs w:val="24"/>
        </w:rPr>
        <w:t>, G., Stanojevic, J. and Veselinovic, M., 2023. Managing Financial Performance toward Achievements in Sustainability Prospects: Comparative Analysis of the e-Commerce and Hospitality Industries. </w:t>
      </w:r>
      <w:r>
        <w:rPr>
          <w:rFonts w:ascii="Arial" w:hAnsi="Arial" w:cs="Arial"/>
          <w:i/>
          <w:iCs/>
          <w:sz w:val="24"/>
          <w:szCs w:val="24"/>
        </w:rPr>
        <w:t>Journal of Risk and Financial Management</w:t>
      </w:r>
      <w:r>
        <w:rPr>
          <w:rFonts w:ascii="Arial" w:hAnsi="Arial" w:cs="Arial"/>
          <w:sz w:val="24"/>
          <w:szCs w:val="24"/>
        </w:rPr>
        <w:t>, </w:t>
      </w:r>
      <w:r>
        <w:rPr>
          <w:rFonts w:ascii="Arial" w:hAnsi="Arial" w:cs="Arial"/>
          <w:i/>
          <w:iCs/>
          <w:sz w:val="24"/>
          <w:szCs w:val="24"/>
        </w:rPr>
        <w:t>16</w:t>
      </w:r>
      <w:r>
        <w:rPr>
          <w:rFonts w:ascii="Arial" w:hAnsi="Arial" w:cs="Arial"/>
          <w:sz w:val="24"/>
          <w:szCs w:val="24"/>
        </w:rPr>
        <w:t xml:space="preserve">(9), p.395. Available at: </w:t>
      </w:r>
      <w:hyperlink r:id="rId31" w:history="1">
        <w:r w:rsidR="00044E7A">
          <w:rPr>
            <w:rStyle w:val="Hyperlink"/>
            <w:rFonts w:ascii="Arial" w:hAnsi="Arial" w:cs="Arial"/>
            <w:sz w:val="24"/>
            <w:szCs w:val="24"/>
          </w:rPr>
          <w:t>https://www.mdpi.com/1911-8074/16/9/395</w:t>
        </w:r>
      </w:hyperlink>
      <w:r>
        <w:rPr>
          <w:rFonts w:ascii="Arial" w:hAnsi="Arial" w:cs="Arial"/>
          <w:sz w:val="24"/>
          <w:szCs w:val="24"/>
        </w:rPr>
        <w:t xml:space="preserve">. </w:t>
      </w:r>
    </w:p>
    <w:p w14:paraId="5BF325A6" w14:textId="77777777" w:rsidR="00044E7A" w:rsidRDefault="00000000">
      <w:pPr>
        <w:spacing w:line="360" w:lineRule="auto"/>
        <w:jc w:val="both"/>
        <w:rPr>
          <w:rFonts w:ascii="Arial" w:hAnsi="Arial" w:cs="Arial"/>
          <w:sz w:val="24"/>
          <w:szCs w:val="24"/>
        </w:rPr>
      </w:pPr>
      <w:r>
        <w:rPr>
          <w:rFonts w:ascii="Arial" w:hAnsi="Arial" w:cs="Arial"/>
          <w:sz w:val="24"/>
          <w:szCs w:val="24"/>
        </w:rPr>
        <w:t>VG, M.M. and Merlyn, S., A STUDY ON FINANCIAL PERFORMANCE ANALYSIS USING RATIO ANALYSIS WITH REFERENCE TO MAITRA MARKET RESEARCH PRIVATE LIMITED. </w:t>
      </w:r>
      <w:r>
        <w:rPr>
          <w:rFonts w:ascii="Arial" w:hAnsi="Arial" w:cs="Arial"/>
          <w:i/>
          <w:iCs/>
          <w:sz w:val="24"/>
          <w:szCs w:val="24"/>
        </w:rPr>
        <w:t>International Journal of Exclusive Global Research</w:t>
      </w:r>
      <w:r>
        <w:rPr>
          <w:rFonts w:ascii="Arial" w:hAnsi="Arial" w:cs="Arial"/>
          <w:sz w:val="24"/>
          <w:szCs w:val="24"/>
        </w:rPr>
        <w:t xml:space="preserve">, p.68. Available at: </w:t>
      </w:r>
      <w:hyperlink r:id="rId32" w:anchor="page=73" w:history="1">
        <w:r w:rsidR="00044E7A">
          <w:rPr>
            <w:rStyle w:val="Hyperlink"/>
            <w:rFonts w:ascii="Arial" w:hAnsi="Arial" w:cs="Arial"/>
            <w:sz w:val="24"/>
            <w:szCs w:val="24"/>
          </w:rPr>
          <w:t>https://ijegr.com/wp-content/uploads/2024/01/IJEGR-October-Volume-8-Issue-10-special-issue.pdf#page=73</w:t>
        </w:r>
      </w:hyperlink>
      <w:r>
        <w:rPr>
          <w:rFonts w:ascii="Arial" w:hAnsi="Arial" w:cs="Arial"/>
          <w:sz w:val="24"/>
          <w:szCs w:val="24"/>
        </w:rPr>
        <w:t xml:space="preserve">. </w:t>
      </w:r>
    </w:p>
    <w:p w14:paraId="19F83DA7" w14:textId="77777777" w:rsidR="00044E7A" w:rsidRDefault="00044E7A">
      <w:pPr>
        <w:spacing w:line="360" w:lineRule="auto"/>
        <w:jc w:val="both"/>
        <w:rPr>
          <w:rFonts w:ascii="Arial" w:hAnsi="Arial" w:cs="Arial"/>
          <w:sz w:val="24"/>
          <w:szCs w:val="24"/>
        </w:rPr>
      </w:pPr>
    </w:p>
    <w:p w14:paraId="6361FC2B" w14:textId="77777777" w:rsidR="00044E7A" w:rsidRDefault="00044E7A">
      <w:pPr>
        <w:spacing w:line="360" w:lineRule="auto"/>
        <w:jc w:val="both"/>
        <w:rPr>
          <w:rFonts w:ascii="Arial" w:hAnsi="Arial" w:cs="Arial"/>
          <w:sz w:val="24"/>
          <w:szCs w:val="24"/>
        </w:rPr>
      </w:pPr>
    </w:p>
    <w:p w14:paraId="4113E8EB" w14:textId="77777777" w:rsidR="00044E7A" w:rsidRDefault="00044E7A">
      <w:pPr>
        <w:spacing w:line="360" w:lineRule="auto"/>
        <w:jc w:val="both"/>
        <w:rPr>
          <w:rFonts w:ascii="Arial" w:hAnsi="Arial" w:cs="Arial"/>
          <w:sz w:val="24"/>
          <w:szCs w:val="24"/>
        </w:rPr>
      </w:pPr>
    </w:p>
    <w:p w14:paraId="33DB5D68" w14:textId="77777777" w:rsidR="00044E7A" w:rsidRDefault="00044E7A">
      <w:pPr>
        <w:spacing w:line="360" w:lineRule="auto"/>
        <w:jc w:val="both"/>
        <w:rPr>
          <w:rFonts w:ascii="Arial" w:hAnsi="Arial" w:cs="Arial"/>
          <w:sz w:val="24"/>
          <w:szCs w:val="24"/>
        </w:rPr>
      </w:pPr>
    </w:p>
    <w:p w14:paraId="019B370D" w14:textId="77777777" w:rsidR="00044E7A" w:rsidRDefault="00044E7A">
      <w:pPr>
        <w:spacing w:line="360" w:lineRule="auto"/>
        <w:jc w:val="both"/>
        <w:rPr>
          <w:rFonts w:ascii="Arial" w:hAnsi="Arial" w:cs="Arial"/>
          <w:sz w:val="24"/>
          <w:szCs w:val="24"/>
        </w:rPr>
      </w:pPr>
    </w:p>
    <w:p w14:paraId="3A9BA026" w14:textId="77777777" w:rsidR="00044E7A" w:rsidRDefault="00044E7A">
      <w:pPr>
        <w:spacing w:line="360" w:lineRule="auto"/>
        <w:jc w:val="both"/>
        <w:rPr>
          <w:rFonts w:ascii="Arial" w:hAnsi="Arial" w:cs="Arial"/>
          <w:sz w:val="24"/>
          <w:szCs w:val="24"/>
        </w:rPr>
      </w:pPr>
    </w:p>
    <w:p w14:paraId="7F5BB502" w14:textId="77777777" w:rsidR="00044E7A" w:rsidRDefault="00044E7A">
      <w:pPr>
        <w:spacing w:line="360" w:lineRule="auto"/>
        <w:jc w:val="both"/>
        <w:rPr>
          <w:rFonts w:ascii="Arial" w:hAnsi="Arial" w:cs="Arial"/>
          <w:sz w:val="24"/>
          <w:szCs w:val="24"/>
        </w:rPr>
      </w:pPr>
    </w:p>
    <w:p w14:paraId="7C3C05E8" w14:textId="77777777" w:rsidR="00044E7A" w:rsidRDefault="00044E7A">
      <w:pPr>
        <w:spacing w:line="360" w:lineRule="auto"/>
        <w:jc w:val="both"/>
        <w:rPr>
          <w:rFonts w:ascii="Arial" w:hAnsi="Arial" w:cs="Arial"/>
          <w:sz w:val="24"/>
          <w:szCs w:val="24"/>
        </w:rPr>
      </w:pPr>
    </w:p>
    <w:p w14:paraId="25BBA2F9" w14:textId="77777777" w:rsidR="00044E7A" w:rsidRDefault="00044E7A">
      <w:pPr>
        <w:spacing w:line="360" w:lineRule="auto"/>
        <w:jc w:val="both"/>
        <w:rPr>
          <w:rFonts w:ascii="Arial" w:hAnsi="Arial" w:cs="Arial"/>
          <w:sz w:val="24"/>
          <w:szCs w:val="24"/>
        </w:rPr>
      </w:pPr>
    </w:p>
    <w:p w14:paraId="2A67F084" w14:textId="77777777" w:rsidR="00044E7A" w:rsidRDefault="00044E7A">
      <w:pPr>
        <w:spacing w:line="360" w:lineRule="auto"/>
        <w:jc w:val="both"/>
        <w:rPr>
          <w:rFonts w:ascii="Arial" w:hAnsi="Arial" w:cs="Arial"/>
          <w:sz w:val="24"/>
          <w:szCs w:val="24"/>
        </w:rPr>
      </w:pPr>
    </w:p>
    <w:p w14:paraId="7082CB6C" w14:textId="77777777" w:rsidR="00044E7A" w:rsidRDefault="00044E7A">
      <w:pPr>
        <w:spacing w:line="360" w:lineRule="auto"/>
        <w:jc w:val="both"/>
        <w:rPr>
          <w:rFonts w:ascii="Arial" w:hAnsi="Arial" w:cs="Arial"/>
          <w:sz w:val="24"/>
          <w:szCs w:val="24"/>
        </w:rPr>
      </w:pPr>
    </w:p>
    <w:p w14:paraId="64C2D569" w14:textId="77777777" w:rsidR="00044E7A" w:rsidRDefault="00044E7A">
      <w:pPr>
        <w:spacing w:line="360" w:lineRule="auto"/>
        <w:jc w:val="both"/>
        <w:rPr>
          <w:rFonts w:ascii="Arial" w:hAnsi="Arial" w:cs="Arial"/>
          <w:sz w:val="24"/>
          <w:szCs w:val="24"/>
        </w:rPr>
      </w:pPr>
    </w:p>
    <w:p w14:paraId="2181FBA2" w14:textId="77777777" w:rsidR="00044E7A" w:rsidRDefault="00044E7A">
      <w:pPr>
        <w:spacing w:line="360" w:lineRule="auto"/>
        <w:jc w:val="both"/>
        <w:rPr>
          <w:rFonts w:ascii="Arial" w:hAnsi="Arial" w:cs="Arial"/>
          <w:sz w:val="24"/>
          <w:szCs w:val="24"/>
        </w:rPr>
      </w:pPr>
    </w:p>
    <w:p w14:paraId="129F2B34" w14:textId="77777777" w:rsidR="00044E7A" w:rsidRDefault="00000000">
      <w:pPr>
        <w:pStyle w:val="Heading1"/>
        <w:spacing w:line="360" w:lineRule="auto"/>
        <w:jc w:val="both"/>
        <w:rPr>
          <w:rFonts w:ascii="Arial" w:hAnsi="Arial" w:cs="Arial"/>
          <w:sz w:val="24"/>
          <w:szCs w:val="24"/>
        </w:rPr>
      </w:pPr>
      <w:bookmarkStart w:id="26" w:name="_Toc233702141"/>
      <w:r>
        <w:rPr>
          <w:rFonts w:ascii="Arial" w:hAnsi="Arial" w:cs="Arial"/>
          <w:sz w:val="24"/>
          <w:szCs w:val="24"/>
        </w:rPr>
        <w:lastRenderedPageBreak/>
        <w:t>7. Appendix</w:t>
      </w:r>
      <w:bookmarkEnd w:id="26"/>
    </w:p>
    <w:p w14:paraId="7F4929F3" w14:textId="77777777" w:rsidR="00044E7A" w:rsidRDefault="00000000">
      <w:pPr>
        <w:pStyle w:val="Heading2"/>
        <w:jc w:val="both"/>
        <w:rPr>
          <w:rFonts w:ascii="Arial" w:hAnsi="Arial" w:cs="Arial"/>
          <w:sz w:val="24"/>
          <w:szCs w:val="24"/>
        </w:rPr>
      </w:pPr>
      <w:bookmarkStart w:id="27" w:name="_Toc233702142"/>
      <w:r>
        <w:rPr>
          <w:rFonts w:ascii="Arial" w:hAnsi="Arial" w:cs="Arial"/>
          <w:sz w:val="24"/>
          <w:szCs w:val="24"/>
        </w:rPr>
        <w:t>7.1 Analysis of financial statements</w:t>
      </w:r>
      <w:bookmarkEnd w:id="27"/>
    </w:p>
    <w:tbl>
      <w:tblPr>
        <w:tblW w:w="9097" w:type="dxa"/>
        <w:tblLook w:val="04A0" w:firstRow="1" w:lastRow="0" w:firstColumn="1" w:lastColumn="0" w:noHBand="0" w:noVBand="1"/>
      </w:tblPr>
      <w:tblGrid>
        <w:gridCol w:w="3763"/>
        <w:gridCol w:w="1058"/>
        <w:gridCol w:w="1186"/>
        <w:gridCol w:w="1058"/>
        <w:gridCol w:w="1186"/>
        <w:gridCol w:w="846"/>
      </w:tblGrid>
      <w:tr w:rsidR="00044E7A" w14:paraId="6B159902" w14:textId="77777777">
        <w:trPr>
          <w:trHeight w:val="275"/>
        </w:trPr>
        <w:tc>
          <w:tcPr>
            <w:tcW w:w="3763" w:type="dxa"/>
            <w:tcBorders>
              <w:top w:val="single" w:sz="4" w:space="0" w:color="auto"/>
              <w:left w:val="single" w:sz="4" w:space="0" w:color="auto"/>
              <w:bottom w:val="single" w:sz="4" w:space="0" w:color="auto"/>
              <w:right w:val="single" w:sz="4" w:space="0" w:color="auto"/>
            </w:tcBorders>
            <w:shd w:val="clear" w:color="000000" w:fill="7B7B7B"/>
            <w:vAlign w:val="center"/>
          </w:tcPr>
          <w:p w14:paraId="34DB5B18"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Particulars</w:t>
            </w:r>
          </w:p>
        </w:tc>
        <w:tc>
          <w:tcPr>
            <w:tcW w:w="1058" w:type="dxa"/>
            <w:tcBorders>
              <w:top w:val="single" w:sz="4" w:space="0" w:color="auto"/>
              <w:left w:val="nil"/>
              <w:bottom w:val="single" w:sz="4" w:space="0" w:color="auto"/>
              <w:right w:val="single" w:sz="4" w:space="0" w:color="auto"/>
            </w:tcBorders>
            <w:shd w:val="clear" w:color="000000" w:fill="7B7B7B"/>
            <w:noWrap/>
            <w:vAlign w:val="center"/>
          </w:tcPr>
          <w:p w14:paraId="5E427F75"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2025</w:t>
            </w:r>
          </w:p>
        </w:tc>
        <w:tc>
          <w:tcPr>
            <w:tcW w:w="1186" w:type="dxa"/>
            <w:tcBorders>
              <w:top w:val="single" w:sz="4" w:space="0" w:color="auto"/>
              <w:left w:val="nil"/>
              <w:bottom w:val="single" w:sz="4" w:space="0" w:color="auto"/>
              <w:right w:val="single" w:sz="4" w:space="0" w:color="auto"/>
            </w:tcBorders>
            <w:shd w:val="clear" w:color="000000" w:fill="7B7B7B"/>
            <w:noWrap/>
            <w:vAlign w:val="center"/>
          </w:tcPr>
          <w:p w14:paraId="3820A03E"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2024</w:t>
            </w:r>
          </w:p>
        </w:tc>
        <w:tc>
          <w:tcPr>
            <w:tcW w:w="1058" w:type="dxa"/>
            <w:tcBorders>
              <w:top w:val="single" w:sz="4" w:space="0" w:color="auto"/>
              <w:left w:val="nil"/>
              <w:bottom w:val="single" w:sz="4" w:space="0" w:color="auto"/>
              <w:right w:val="single" w:sz="4" w:space="0" w:color="auto"/>
            </w:tcBorders>
            <w:shd w:val="clear" w:color="000000" w:fill="7B7B7B"/>
            <w:noWrap/>
            <w:vAlign w:val="center"/>
          </w:tcPr>
          <w:p w14:paraId="56B04436"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2023</w:t>
            </w:r>
          </w:p>
        </w:tc>
        <w:tc>
          <w:tcPr>
            <w:tcW w:w="1186" w:type="dxa"/>
            <w:tcBorders>
              <w:top w:val="single" w:sz="4" w:space="0" w:color="auto"/>
              <w:left w:val="nil"/>
              <w:bottom w:val="single" w:sz="4" w:space="0" w:color="auto"/>
              <w:right w:val="single" w:sz="4" w:space="0" w:color="auto"/>
            </w:tcBorders>
            <w:shd w:val="clear" w:color="000000" w:fill="7B7B7B"/>
            <w:noWrap/>
            <w:vAlign w:val="center"/>
          </w:tcPr>
          <w:p w14:paraId="4335B5B7"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2022</w:t>
            </w:r>
          </w:p>
        </w:tc>
        <w:tc>
          <w:tcPr>
            <w:tcW w:w="846" w:type="dxa"/>
            <w:tcBorders>
              <w:top w:val="single" w:sz="4" w:space="0" w:color="auto"/>
              <w:left w:val="nil"/>
              <w:bottom w:val="single" w:sz="4" w:space="0" w:color="auto"/>
              <w:right w:val="single" w:sz="4" w:space="0" w:color="auto"/>
            </w:tcBorders>
            <w:shd w:val="clear" w:color="000000" w:fill="7B7B7B"/>
            <w:noWrap/>
            <w:vAlign w:val="center"/>
          </w:tcPr>
          <w:p w14:paraId="7E890F1C"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2021</w:t>
            </w:r>
          </w:p>
        </w:tc>
      </w:tr>
      <w:tr w:rsidR="00044E7A" w14:paraId="3E34AD2F"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369BDB0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Turnover</w:t>
            </w:r>
          </w:p>
        </w:tc>
        <w:tc>
          <w:tcPr>
            <w:tcW w:w="1058" w:type="dxa"/>
            <w:tcBorders>
              <w:top w:val="nil"/>
              <w:left w:val="nil"/>
              <w:bottom w:val="single" w:sz="4" w:space="0" w:color="auto"/>
              <w:right w:val="single" w:sz="4" w:space="0" w:color="auto"/>
            </w:tcBorders>
            <w:noWrap/>
            <w:vAlign w:val="bottom"/>
          </w:tcPr>
          <w:p w14:paraId="142EC51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5,189 </w:t>
            </w:r>
          </w:p>
        </w:tc>
        <w:tc>
          <w:tcPr>
            <w:tcW w:w="1186" w:type="dxa"/>
            <w:tcBorders>
              <w:top w:val="nil"/>
              <w:left w:val="nil"/>
              <w:bottom w:val="single" w:sz="4" w:space="0" w:color="auto"/>
              <w:right w:val="single" w:sz="4" w:space="0" w:color="auto"/>
            </w:tcBorders>
            <w:noWrap/>
            <w:vAlign w:val="bottom"/>
          </w:tcPr>
          <w:p w14:paraId="614C78A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4,923 </w:t>
            </w:r>
          </w:p>
        </w:tc>
        <w:tc>
          <w:tcPr>
            <w:tcW w:w="1058" w:type="dxa"/>
            <w:tcBorders>
              <w:top w:val="nil"/>
              <w:left w:val="nil"/>
              <w:bottom w:val="single" w:sz="4" w:space="0" w:color="auto"/>
              <w:right w:val="single" w:sz="4" w:space="0" w:color="auto"/>
            </w:tcBorders>
            <w:noWrap/>
            <w:vAlign w:val="bottom"/>
          </w:tcPr>
          <w:p w14:paraId="4DBE2C7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4,624 </w:t>
            </w:r>
          </w:p>
        </w:tc>
        <w:tc>
          <w:tcPr>
            <w:tcW w:w="1186" w:type="dxa"/>
            <w:tcBorders>
              <w:top w:val="nil"/>
              <w:left w:val="nil"/>
              <w:bottom w:val="single" w:sz="4" w:space="0" w:color="auto"/>
              <w:right w:val="single" w:sz="4" w:space="0" w:color="auto"/>
            </w:tcBorders>
            <w:noWrap/>
            <w:vAlign w:val="bottom"/>
          </w:tcPr>
          <w:p w14:paraId="13BD6E4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3,892 </w:t>
            </w:r>
          </w:p>
        </w:tc>
        <w:tc>
          <w:tcPr>
            <w:tcW w:w="846" w:type="dxa"/>
            <w:tcBorders>
              <w:top w:val="nil"/>
              <w:left w:val="nil"/>
              <w:bottom w:val="single" w:sz="4" w:space="0" w:color="auto"/>
              <w:right w:val="single" w:sz="4" w:space="0" w:color="auto"/>
            </w:tcBorders>
            <w:noWrap/>
            <w:vAlign w:val="bottom"/>
          </w:tcPr>
          <w:p w14:paraId="653BB25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2,907 </w:t>
            </w:r>
          </w:p>
        </w:tc>
      </w:tr>
      <w:tr w:rsidR="00044E7A" w14:paraId="63B63EE8"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05E4C32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change in turnover</w:t>
            </w:r>
          </w:p>
        </w:tc>
        <w:tc>
          <w:tcPr>
            <w:tcW w:w="1058" w:type="dxa"/>
            <w:tcBorders>
              <w:top w:val="nil"/>
              <w:left w:val="nil"/>
              <w:bottom w:val="single" w:sz="4" w:space="0" w:color="auto"/>
              <w:right w:val="single" w:sz="4" w:space="0" w:color="auto"/>
            </w:tcBorders>
            <w:noWrap/>
            <w:vAlign w:val="bottom"/>
          </w:tcPr>
          <w:p w14:paraId="341FC2A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5.40%</w:t>
            </w:r>
          </w:p>
        </w:tc>
        <w:tc>
          <w:tcPr>
            <w:tcW w:w="1186" w:type="dxa"/>
            <w:tcBorders>
              <w:top w:val="nil"/>
              <w:left w:val="nil"/>
              <w:bottom w:val="single" w:sz="4" w:space="0" w:color="auto"/>
              <w:right w:val="single" w:sz="4" w:space="0" w:color="auto"/>
            </w:tcBorders>
            <w:noWrap/>
            <w:vAlign w:val="bottom"/>
          </w:tcPr>
          <w:p w14:paraId="417A5FF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6.47%</w:t>
            </w:r>
          </w:p>
        </w:tc>
        <w:tc>
          <w:tcPr>
            <w:tcW w:w="1058" w:type="dxa"/>
            <w:tcBorders>
              <w:top w:val="nil"/>
              <w:left w:val="nil"/>
              <w:bottom w:val="single" w:sz="4" w:space="0" w:color="auto"/>
              <w:right w:val="single" w:sz="4" w:space="0" w:color="auto"/>
            </w:tcBorders>
            <w:noWrap/>
            <w:vAlign w:val="bottom"/>
          </w:tcPr>
          <w:p w14:paraId="0EBFAF5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18.81%</w:t>
            </w:r>
          </w:p>
        </w:tc>
        <w:tc>
          <w:tcPr>
            <w:tcW w:w="1186" w:type="dxa"/>
            <w:tcBorders>
              <w:top w:val="nil"/>
              <w:left w:val="nil"/>
              <w:bottom w:val="single" w:sz="4" w:space="0" w:color="auto"/>
              <w:right w:val="single" w:sz="4" w:space="0" w:color="auto"/>
            </w:tcBorders>
            <w:noWrap/>
            <w:vAlign w:val="bottom"/>
          </w:tcPr>
          <w:p w14:paraId="6AB7649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33.88%</w:t>
            </w:r>
          </w:p>
        </w:tc>
        <w:tc>
          <w:tcPr>
            <w:tcW w:w="846" w:type="dxa"/>
            <w:tcBorders>
              <w:top w:val="nil"/>
              <w:left w:val="nil"/>
              <w:bottom w:val="single" w:sz="4" w:space="0" w:color="auto"/>
              <w:right w:val="single" w:sz="4" w:space="0" w:color="auto"/>
            </w:tcBorders>
            <w:noWrap/>
            <w:vAlign w:val="bottom"/>
          </w:tcPr>
          <w:p w14:paraId="1899EA1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14883933"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6198403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28E47A7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6039E93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28B4A43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350DC06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46" w:type="dxa"/>
            <w:tcBorders>
              <w:top w:val="nil"/>
              <w:left w:val="nil"/>
              <w:bottom w:val="single" w:sz="4" w:space="0" w:color="auto"/>
              <w:right w:val="single" w:sz="4" w:space="0" w:color="auto"/>
            </w:tcBorders>
            <w:noWrap/>
            <w:vAlign w:val="bottom"/>
          </w:tcPr>
          <w:p w14:paraId="6B9A2B9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1EE608F5"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4907031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Operating profit</w:t>
            </w:r>
          </w:p>
        </w:tc>
        <w:tc>
          <w:tcPr>
            <w:tcW w:w="1058" w:type="dxa"/>
            <w:tcBorders>
              <w:top w:val="nil"/>
              <w:left w:val="nil"/>
              <w:bottom w:val="single" w:sz="4" w:space="0" w:color="auto"/>
              <w:right w:val="single" w:sz="4" w:space="0" w:color="auto"/>
            </w:tcBorders>
            <w:noWrap/>
            <w:vAlign w:val="bottom"/>
          </w:tcPr>
          <w:p w14:paraId="2D0F421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1,198 </w:t>
            </w:r>
          </w:p>
        </w:tc>
        <w:tc>
          <w:tcPr>
            <w:tcW w:w="1186" w:type="dxa"/>
            <w:tcBorders>
              <w:top w:val="nil"/>
              <w:left w:val="nil"/>
              <w:bottom w:val="single" w:sz="4" w:space="0" w:color="auto"/>
              <w:right w:val="single" w:sz="4" w:space="0" w:color="auto"/>
            </w:tcBorders>
            <w:noWrap/>
            <w:vAlign w:val="bottom"/>
          </w:tcPr>
          <w:p w14:paraId="3D67E61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1,041 </w:t>
            </w:r>
          </w:p>
        </w:tc>
        <w:tc>
          <w:tcPr>
            <w:tcW w:w="1058" w:type="dxa"/>
            <w:tcBorders>
              <w:top w:val="nil"/>
              <w:left w:val="nil"/>
              <w:bottom w:val="single" w:sz="4" w:space="0" w:color="auto"/>
              <w:right w:val="single" w:sz="4" w:space="0" w:color="auto"/>
            </w:tcBorders>
            <w:noWrap/>
            <w:vAlign w:val="bottom"/>
          </w:tcPr>
          <w:p w14:paraId="55F2E9D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1,066 </w:t>
            </w:r>
          </w:p>
        </w:tc>
        <w:tc>
          <w:tcPr>
            <w:tcW w:w="1186" w:type="dxa"/>
            <w:tcBorders>
              <w:top w:val="nil"/>
              <w:left w:val="nil"/>
              <w:bottom w:val="single" w:sz="4" w:space="0" w:color="auto"/>
              <w:right w:val="single" w:sz="4" w:space="0" w:color="auto"/>
            </w:tcBorders>
            <w:noWrap/>
            <w:vAlign w:val="bottom"/>
          </w:tcPr>
          <w:p w14:paraId="630246C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628 </w:t>
            </w:r>
          </w:p>
        </w:tc>
        <w:tc>
          <w:tcPr>
            <w:tcW w:w="846" w:type="dxa"/>
            <w:tcBorders>
              <w:top w:val="nil"/>
              <w:left w:val="nil"/>
              <w:bottom w:val="single" w:sz="4" w:space="0" w:color="auto"/>
              <w:right w:val="single" w:sz="4" w:space="0" w:color="auto"/>
            </w:tcBorders>
            <w:noWrap/>
            <w:vAlign w:val="bottom"/>
          </w:tcPr>
          <w:p w14:paraId="69633B4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494 </w:t>
            </w:r>
          </w:p>
        </w:tc>
      </w:tr>
      <w:tr w:rsidR="00044E7A" w14:paraId="7598C0FE"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79F263A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change in operating profit</w:t>
            </w:r>
          </w:p>
        </w:tc>
        <w:tc>
          <w:tcPr>
            <w:tcW w:w="1058" w:type="dxa"/>
            <w:tcBorders>
              <w:top w:val="nil"/>
              <w:left w:val="nil"/>
              <w:bottom w:val="single" w:sz="4" w:space="0" w:color="auto"/>
              <w:right w:val="single" w:sz="4" w:space="0" w:color="auto"/>
            </w:tcBorders>
            <w:noWrap/>
            <w:vAlign w:val="bottom"/>
          </w:tcPr>
          <w:p w14:paraId="62E54CB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15.08%</w:t>
            </w:r>
          </w:p>
        </w:tc>
        <w:tc>
          <w:tcPr>
            <w:tcW w:w="1186" w:type="dxa"/>
            <w:tcBorders>
              <w:top w:val="nil"/>
              <w:left w:val="nil"/>
              <w:bottom w:val="single" w:sz="4" w:space="0" w:color="auto"/>
              <w:right w:val="single" w:sz="4" w:space="0" w:color="auto"/>
            </w:tcBorders>
            <w:noWrap/>
            <w:vAlign w:val="bottom"/>
          </w:tcPr>
          <w:p w14:paraId="11BDD77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-2.35%</w:t>
            </w:r>
          </w:p>
        </w:tc>
        <w:tc>
          <w:tcPr>
            <w:tcW w:w="1058" w:type="dxa"/>
            <w:tcBorders>
              <w:top w:val="nil"/>
              <w:left w:val="nil"/>
              <w:bottom w:val="single" w:sz="4" w:space="0" w:color="auto"/>
              <w:right w:val="single" w:sz="4" w:space="0" w:color="auto"/>
            </w:tcBorders>
            <w:noWrap/>
            <w:vAlign w:val="bottom"/>
          </w:tcPr>
          <w:p w14:paraId="3B008E4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69.75%</w:t>
            </w:r>
          </w:p>
        </w:tc>
        <w:tc>
          <w:tcPr>
            <w:tcW w:w="1186" w:type="dxa"/>
            <w:tcBorders>
              <w:top w:val="nil"/>
              <w:left w:val="nil"/>
              <w:bottom w:val="single" w:sz="4" w:space="0" w:color="auto"/>
              <w:right w:val="single" w:sz="4" w:space="0" w:color="auto"/>
            </w:tcBorders>
            <w:noWrap/>
            <w:vAlign w:val="bottom"/>
          </w:tcPr>
          <w:p w14:paraId="1F60338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27.13%</w:t>
            </w:r>
          </w:p>
        </w:tc>
        <w:tc>
          <w:tcPr>
            <w:tcW w:w="846" w:type="dxa"/>
            <w:tcBorders>
              <w:top w:val="nil"/>
              <w:left w:val="nil"/>
              <w:bottom w:val="single" w:sz="4" w:space="0" w:color="auto"/>
              <w:right w:val="single" w:sz="4" w:space="0" w:color="auto"/>
            </w:tcBorders>
            <w:noWrap/>
            <w:vAlign w:val="bottom"/>
          </w:tcPr>
          <w:p w14:paraId="48A4CEA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4964820C"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0030D8C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6CF9BBC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43A5F84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513246A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10CD81D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46" w:type="dxa"/>
            <w:tcBorders>
              <w:top w:val="nil"/>
              <w:left w:val="nil"/>
              <w:bottom w:val="single" w:sz="4" w:space="0" w:color="auto"/>
              <w:right w:val="single" w:sz="4" w:space="0" w:color="auto"/>
            </w:tcBorders>
            <w:noWrap/>
            <w:vAlign w:val="bottom"/>
          </w:tcPr>
          <w:p w14:paraId="36FAAA5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727F4C03"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2FDDEF0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Net profit</w:t>
            </w:r>
          </w:p>
        </w:tc>
        <w:tc>
          <w:tcPr>
            <w:tcW w:w="1058" w:type="dxa"/>
            <w:tcBorders>
              <w:top w:val="nil"/>
              <w:left w:val="nil"/>
              <w:bottom w:val="single" w:sz="4" w:space="0" w:color="auto"/>
              <w:right w:val="single" w:sz="4" w:space="0" w:color="auto"/>
            </w:tcBorders>
            <w:noWrap/>
            <w:vAlign w:val="bottom"/>
          </w:tcPr>
          <w:p w14:paraId="7027FC9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759 </w:t>
            </w:r>
          </w:p>
        </w:tc>
        <w:tc>
          <w:tcPr>
            <w:tcW w:w="1186" w:type="dxa"/>
            <w:tcBorders>
              <w:top w:val="nil"/>
              <w:left w:val="nil"/>
              <w:bottom w:val="single" w:sz="4" w:space="0" w:color="auto"/>
              <w:right w:val="single" w:sz="4" w:space="0" w:color="auto"/>
            </w:tcBorders>
            <w:noWrap/>
            <w:vAlign w:val="bottom"/>
          </w:tcPr>
          <w:p w14:paraId="4912224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628 </w:t>
            </w:r>
          </w:p>
        </w:tc>
        <w:tc>
          <w:tcPr>
            <w:tcW w:w="1058" w:type="dxa"/>
            <w:tcBorders>
              <w:top w:val="nil"/>
              <w:left w:val="nil"/>
              <w:bottom w:val="single" w:sz="4" w:space="0" w:color="auto"/>
              <w:right w:val="single" w:sz="4" w:space="0" w:color="auto"/>
            </w:tcBorders>
            <w:noWrap/>
            <w:vAlign w:val="bottom"/>
          </w:tcPr>
          <w:p w14:paraId="57B97CD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750 </w:t>
            </w:r>
          </w:p>
        </w:tc>
        <w:tc>
          <w:tcPr>
            <w:tcW w:w="1186" w:type="dxa"/>
            <w:tcBorders>
              <w:top w:val="nil"/>
              <w:left w:val="nil"/>
              <w:bottom w:val="single" w:sz="4" w:space="0" w:color="auto"/>
              <w:right w:val="single" w:sz="4" w:space="0" w:color="auto"/>
            </w:tcBorders>
            <w:noWrap/>
            <w:vAlign w:val="bottom"/>
          </w:tcPr>
          <w:p w14:paraId="01F6504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376 </w:t>
            </w:r>
          </w:p>
        </w:tc>
        <w:tc>
          <w:tcPr>
            <w:tcW w:w="846" w:type="dxa"/>
            <w:tcBorders>
              <w:top w:val="nil"/>
              <w:left w:val="nil"/>
              <w:bottom w:val="single" w:sz="4" w:space="0" w:color="auto"/>
              <w:right w:val="single" w:sz="4" w:space="0" w:color="auto"/>
            </w:tcBorders>
            <w:noWrap/>
            <w:vAlign w:val="bottom"/>
          </w:tcPr>
          <w:p w14:paraId="6172219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265 </w:t>
            </w:r>
          </w:p>
        </w:tc>
      </w:tr>
      <w:tr w:rsidR="00044E7A" w14:paraId="5E207F13"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1893FBB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change in net profit</w:t>
            </w:r>
          </w:p>
        </w:tc>
        <w:tc>
          <w:tcPr>
            <w:tcW w:w="1058" w:type="dxa"/>
            <w:tcBorders>
              <w:top w:val="nil"/>
              <w:left w:val="nil"/>
              <w:bottom w:val="single" w:sz="4" w:space="0" w:color="auto"/>
              <w:right w:val="single" w:sz="4" w:space="0" w:color="auto"/>
            </w:tcBorders>
            <w:noWrap/>
            <w:vAlign w:val="bottom"/>
          </w:tcPr>
          <w:p w14:paraId="002D43D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20.86%</w:t>
            </w:r>
          </w:p>
        </w:tc>
        <w:tc>
          <w:tcPr>
            <w:tcW w:w="1186" w:type="dxa"/>
            <w:tcBorders>
              <w:top w:val="nil"/>
              <w:left w:val="nil"/>
              <w:bottom w:val="single" w:sz="4" w:space="0" w:color="auto"/>
              <w:right w:val="single" w:sz="4" w:space="0" w:color="auto"/>
            </w:tcBorders>
            <w:noWrap/>
            <w:vAlign w:val="bottom"/>
          </w:tcPr>
          <w:p w14:paraId="638FB80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-16.27%</w:t>
            </w:r>
          </w:p>
        </w:tc>
        <w:tc>
          <w:tcPr>
            <w:tcW w:w="1058" w:type="dxa"/>
            <w:tcBorders>
              <w:top w:val="nil"/>
              <w:left w:val="nil"/>
              <w:bottom w:val="single" w:sz="4" w:space="0" w:color="auto"/>
              <w:right w:val="single" w:sz="4" w:space="0" w:color="auto"/>
            </w:tcBorders>
            <w:noWrap/>
            <w:vAlign w:val="bottom"/>
          </w:tcPr>
          <w:p w14:paraId="1B942EE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99.47%</w:t>
            </w:r>
          </w:p>
        </w:tc>
        <w:tc>
          <w:tcPr>
            <w:tcW w:w="1186" w:type="dxa"/>
            <w:tcBorders>
              <w:top w:val="nil"/>
              <w:left w:val="nil"/>
              <w:bottom w:val="single" w:sz="4" w:space="0" w:color="auto"/>
              <w:right w:val="single" w:sz="4" w:space="0" w:color="auto"/>
            </w:tcBorders>
            <w:noWrap/>
            <w:vAlign w:val="bottom"/>
          </w:tcPr>
          <w:p w14:paraId="1ED9136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41.89%</w:t>
            </w:r>
          </w:p>
        </w:tc>
        <w:tc>
          <w:tcPr>
            <w:tcW w:w="846" w:type="dxa"/>
            <w:tcBorders>
              <w:top w:val="nil"/>
              <w:left w:val="nil"/>
              <w:bottom w:val="single" w:sz="4" w:space="0" w:color="auto"/>
              <w:right w:val="single" w:sz="4" w:space="0" w:color="auto"/>
            </w:tcBorders>
            <w:noWrap/>
            <w:vAlign w:val="bottom"/>
          </w:tcPr>
          <w:p w14:paraId="08CA90C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698D49BC"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1FB7EDD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6E2D420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594BD5D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4D57B9A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397B058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46" w:type="dxa"/>
            <w:tcBorders>
              <w:top w:val="nil"/>
              <w:left w:val="nil"/>
              <w:bottom w:val="single" w:sz="4" w:space="0" w:color="auto"/>
              <w:right w:val="single" w:sz="4" w:space="0" w:color="auto"/>
            </w:tcBorders>
            <w:noWrap/>
            <w:vAlign w:val="bottom"/>
          </w:tcPr>
          <w:p w14:paraId="3F8EEFA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6FE70AA1"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6C52B09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Current assets</w:t>
            </w:r>
          </w:p>
        </w:tc>
        <w:tc>
          <w:tcPr>
            <w:tcW w:w="1058" w:type="dxa"/>
            <w:tcBorders>
              <w:top w:val="nil"/>
              <w:left w:val="nil"/>
              <w:bottom w:val="single" w:sz="4" w:space="0" w:color="auto"/>
              <w:right w:val="single" w:sz="4" w:space="0" w:color="auto"/>
            </w:tcBorders>
            <w:noWrap/>
            <w:vAlign w:val="bottom"/>
          </w:tcPr>
          <w:p w14:paraId="3B4DCEB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2,049 </w:t>
            </w:r>
          </w:p>
        </w:tc>
        <w:tc>
          <w:tcPr>
            <w:tcW w:w="1186" w:type="dxa"/>
            <w:tcBorders>
              <w:top w:val="nil"/>
              <w:left w:val="nil"/>
              <w:bottom w:val="single" w:sz="4" w:space="0" w:color="auto"/>
              <w:right w:val="single" w:sz="4" w:space="0" w:color="auto"/>
            </w:tcBorders>
            <w:noWrap/>
            <w:vAlign w:val="bottom"/>
          </w:tcPr>
          <w:p w14:paraId="330073D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1,869 </w:t>
            </w:r>
          </w:p>
        </w:tc>
        <w:tc>
          <w:tcPr>
            <w:tcW w:w="1058" w:type="dxa"/>
            <w:tcBorders>
              <w:top w:val="nil"/>
              <w:left w:val="nil"/>
              <w:bottom w:val="single" w:sz="4" w:space="0" w:color="auto"/>
              <w:right w:val="single" w:sz="4" w:space="0" w:color="auto"/>
            </w:tcBorders>
            <w:noWrap/>
            <w:vAlign w:val="bottom"/>
          </w:tcPr>
          <w:p w14:paraId="3368B06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2,129 </w:t>
            </w:r>
          </w:p>
        </w:tc>
        <w:tc>
          <w:tcPr>
            <w:tcW w:w="1186" w:type="dxa"/>
            <w:tcBorders>
              <w:top w:val="nil"/>
              <w:left w:val="nil"/>
              <w:bottom w:val="single" w:sz="4" w:space="0" w:color="auto"/>
              <w:right w:val="single" w:sz="4" w:space="0" w:color="auto"/>
            </w:tcBorders>
            <w:noWrap/>
            <w:vAlign w:val="bottom"/>
          </w:tcPr>
          <w:p w14:paraId="5244738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1,678 </w:t>
            </w:r>
          </w:p>
        </w:tc>
        <w:tc>
          <w:tcPr>
            <w:tcW w:w="846" w:type="dxa"/>
            <w:tcBorders>
              <w:top w:val="nil"/>
              <w:left w:val="nil"/>
              <w:bottom w:val="single" w:sz="4" w:space="0" w:color="auto"/>
              <w:right w:val="single" w:sz="4" w:space="0" w:color="auto"/>
            </w:tcBorders>
            <w:noWrap/>
            <w:vAlign w:val="bottom"/>
          </w:tcPr>
          <w:p w14:paraId="2711C60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2,066 </w:t>
            </w:r>
          </w:p>
        </w:tc>
      </w:tr>
      <w:tr w:rsidR="00044E7A" w14:paraId="7F8B69A8"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0D8FA7A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change in current assets</w:t>
            </w:r>
          </w:p>
        </w:tc>
        <w:tc>
          <w:tcPr>
            <w:tcW w:w="1058" w:type="dxa"/>
            <w:tcBorders>
              <w:top w:val="nil"/>
              <w:left w:val="nil"/>
              <w:bottom w:val="single" w:sz="4" w:space="0" w:color="auto"/>
              <w:right w:val="single" w:sz="4" w:space="0" w:color="auto"/>
            </w:tcBorders>
            <w:noWrap/>
            <w:vAlign w:val="bottom"/>
          </w:tcPr>
          <w:p w14:paraId="5B1F20C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9.63%</w:t>
            </w:r>
          </w:p>
        </w:tc>
        <w:tc>
          <w:tcPr>
            <w:tcW w:w="1186" w:type="dxa"/>
            <w:tcBorders>
              <w:top w:val="nil"/>
              <w:left w:val="nil"/>
              <w:bottom w:val="single" w:sz="4" w:space="0" w:color="auto"/>
              <w:right w:val="single" w:sz="4" w:space="0" w:color="auto"/>
            </w:tcBorders>
            <w:noWrap/>
            <w:vAlign w:val="bottom"/>
          </w:tcPr>
          <w:p w14:paraId="543A840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-12.21%</w:t>
            </w:r>
          </w:p>
        </w:tc>
        <w:tc>
          <w:tcPr>
            <w:tcW w:w="1058" w:type="dxa"/>
            <w:tcBorders>
              <w:top w:val="nil"/>
              <w:left w:val="nil"/>
              <w:bottom w:val="single" w:sz="4" w:space="0" w:color="auto"/>
              <w:right w:val="single" w:sz="4" w:space="0" w:color="auto"/>
            </w:tcBorders>
            <w:noWrap/>
            <w:vAlign w:val="bottom"/>
          </w:tcPr>
          <w:p w14:paraId="63E90BA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26.88%</w:t>
            </w:r>
          </w:p>
        </w:tc>
        <w:tc>
          <w:tcPr>
            <w:tcW w:w="1186" w:type="dxa"/>
            <w:tcBorders>
              <w:top w:val="nil"/>
              <w:left w:val="nil"/>
              <w:bottom w:val="single" w:sz="4" w:space="0" w:color="auto"/>
              <w:right w:val="single" w:sz="4" w:space="0" w:color="auto"/>
            </w:tcBorders>
            <w:noWrap/>
            <w:vAlign w:val="bottom"/>
          </w:tcPr>
          <w:p w14:paraId="7E70646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-18.78%</w:t>
            </w:r>
          </w:p>
        </w:tc>
        <w:tc>
          <w:tcPr>
            <w:tcW w:w="846" w:type="dxa"/>
            <w:tcBorders>
              <w:top w:val="nil"/>
              <w:left w:val="nil"/>
              <w:bottom w:val="single" w:sz="4" w:space="0" w:color="auto"/>
              <w:right w:val="single" w:sz="4" w:space="0" w:color="auto"/>
            </w:tcBorders>
            <w:noWrap/>
            <w:vAlign w:val="bottom"/>
          </w:tcPr>
          <w:p w14:paraId="38C8846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563988CA"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22614BD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09A8449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175D010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65FCE95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328FB3B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46" w:type="dxa"/>
            <w:tcBorders>
              <w:top w:val="nil"/>
              <w:left w:val="nil"/>
              <w:bottom w:val="single" w:sz="4" w:space="0" w:color="auto"/>
              <w:right w:val="single" w:sz="4" w:space="0" w:color="auto"/>
            </w:tcBorders>
            <w:noWrap/>
            <w:vAlign w:val="bottom"/>
          </w:tcPr>
          <w:p w14:paraId="4DEE9E3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19920AA7"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7841862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Current liabilities</w:t>
            </w:r>
          </w:p>
        </w:tc>
        <w:tc>
          <w:tcPr>
            <w:tcW w:w="1058" w:type="dxa"/>
            <w:tcBorders>
              <w:top w:val="nil"/>
              <w:left w:val="nil"/>
              <w:bottom w:val="single" w:sz="4" w:space="0" w:color="auto"/>
              <w:right w:val="single" w:sz="4" w:space="0" w:color="auto"/>
            </w:tcBorders>
            <w:noWrap/>
            <w:vAlign w:val="bottom"/>
          </w:tcPr>
          <w:p w14:paraId="04C5293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2,100 </w:t>
            </w:r>
          </w:p>
        </w:tc>
        <w:tc>
          <w:tcPr>
            <w:tcW w:w="1186" w:type="dxa"/>
            <w:tcBorders>
              <w:top w:val="nil"/>
              <w:left w:val="nil"/>
              <w:bottom w:val="single" w:sz="4" w:space="0" w:color="auto"/>
              <w:right w:val="single" w:sz="4" w:space="0" w:color="auto"/>
            </w:tcBorders>
            <w:noWrap/>
            <w:vAlign w:val="bottom"/>
          </w:tcPr>
          <w:p w14:paraId="1ACA032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1,928 </w:t>
            </w:r>
          </w:p>
        </w:tc>
        <w:tc>
          <w:tcPr>
            <w:tcW w:w="1058" w:type="dxa"/>
            <w:tcBorders>
              <w:top w:val="nil"/>
              <w:left w:val="nil"/>
              <w:bottom w:val="single" w:sz="4" w:space="0" w:color="auto"/>
              <w:right w:val="single" w:sz="4" w:space="0" w:color="auto"/>
            </w:tcBorders>
            <w:noWrap/>
            <w:vAlign w:val="bottom"/>
          </w:tcPr>
          <w:p w14:paraId="52E804E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2,190 </w:t>
            </w:r>
          </w:p>
        </w:tc>
        <w:tc>
          <w:tcPr>
            <w:tcW w:w="1186" w:type="dxa"/>
            <w:tcBorders>
              <w:top w:val="nil"/>
              <w:left w:val="nil"/>
              <w:bottom w:val="single" w:sz="4" w:space="0" w:color="auto"/>
              <w:right w:val="single" w:sz="4" w:space="0" w:color="auto"/>
            </w:tcBorders>
            <w:noWrap/>
            <w:vAlign w:val="bottom"/>
          </w:tcPr>
          <w:p w14:paraId="2A0FDC1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1,544 </w:t>
            </w:r>
          </w:p>
        </w:tc>
        <w:tc>
          <w:tcPr>
            <w:tcW w:w="846" w:type="dxa"/>
            <w:tcBorders>
              <w:top w:val="nil"/>
              <w:left w:val="nil"/>
              <w:bottom w:val="single" w:sz="4" w:space="0" w:color="auto"/>
              <w:right w:val="single" w:sz="4" w:space="0" w:color="auto"/>
            </w:tcBorders>
            <w:noWrap/>
            <w:vAlign w:val="bottom"/>
          </w:tcPr>
          <w:p w14:paraId="3D7A581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1,624 </w:t>
            </w:r>
          </w:p>
        </w:tc>
      </w:tr>
      <w:tr w:rsidR="00044E7A" w14:paraId="01F46E91"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12AF672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change in current liabilities</w:t>
            </w:r>
          </w:p>
        </w:tc>
        <w:tc>
          <w:tcPr>
            <w:tcW w:w="1058" w:type="dxa"/>
            <w:tcBorders>
              <w:top w:val="nil"/>
              <w:left w:val="nil"/>
              <w:bottom w:val="single" w:sz="4" w:space="0" w:color="auto"/>
              <w:right w:val="single" w:sz="4" w:space="0" w:color="auto"/>
            </w:tcBorders>
            <w:noWrap/>
            <w:vAlign w:val="bottom"/>
          </w:tcPr>
          <w:p w14:paraId="6E15561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8.92%</w:t>
            </w:r>
          </w:p>
        </w:tc>
        <w:tc>
          <w:tcPr>
            <w:tcW w:w="1186" w:type="dxa"/>
            <w:tcBorders>
              <w:top w:val="nil"/>
              <w:left w:val="nil"/>
              <w:bottom w:val="single" w:sz="4" w:space="0" w:color="auto"/>
              <w:right w:val="single" w:sz="4" w:space="0" w:color="auto"/>
            </w:tcBorders>
            <w:noWrap/>
            <w:vAlign w:val="bottom"/>
          </w:tcPr>
          <w:p w14:paraId="439504D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-11.96%</w:t>
            </w:r>
          </w:p>
        </w:tc>
        <w:tc>
          <w:tcPr>
            <w:tcW w:w="1058" w:type="dxa"/>
            <w:tcBorders>
              <w:top w:val="nil"/>
              <w:left w:val="nil"/>
              <w:bottom w:val="single" w:sz="4" w:space="0" w:color="auto"/>
              <w:right w:val="single" w:sz="4" w:space="0" w:color="auto"/>
            </w:tcBorders>
            <w:noWrap/>
            <w:vAlign w:val="bottom"/>
          </w:tcPr>
          <w:p w14:paraId="46E7FE2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41.84%</w:t>
            </w:r>
          </w:p>
        </w:tc>
        <w:tc>
          <w:tcPr>
            <w:tcW w:w="1186" w:type="dxa"/>
            <w:tcBorders>
              <w:top w:val="nil"/>
              <w:left w:val="nil"/>
              <w:bottom w:val="single" w:sz="4" w:space="0" w:color="auto"/>
              <w:right w:val="single" w:sz="4" w:space="0" w:color="auto"/>
            </w:tcBorders>
            <w:noWrap/>
            <w:vAlign w:val="bottom"/>
          </w:tcPr>
          <w:p w14:paraId="4D0D172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-4.93%</w:t>
            </w:r>
          </w:p>
        </w:tc>
        <w:tc>
          <w:tcPr>
            <w:tcW w:w="846" w:type="dxa"/>
            <w:tcBorders>
              <w:top w:val="nil"/>
              <w:left w:val="nil"/>
              <w:bottom w:val="single" w:sz="4" w:space="0" w:color="auto"/>
              <w:right w:val="single" w:sz="4" w:space="0" w:color="auto"/>
            </w:tcBorders>
            <w:noWrap/>
            <w:vAlign w:val="bottom"/>
          </w:tcPr>
          <w:p w14:paraId="0A3DDA8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4C09E53A"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1942732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2547E3F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5201CBA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29EDC93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224D01C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46" w:type="dxa"/>
            <w:tcBorders>
              <w:top w:val="nil"/>
              <w:left w:val="nil"/>
              <w:bottom w:val="single" w:sz="4" w:space="0" w:color="auto"/>
              <w:right w:val="single" w:sz="4" w:space="0" w:color="auto"/>
            </w:tcBorders>
            <w:noWrap/>
            <w:vAlign w:val="bottom"/>
          </w:tcPr>
          <w:p w14:paraId="7F49C4A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00EB7BC5"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32ABC28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Total assets</w:t>
            </w:r>
          </w:p>
        </w:tc>
        <w:tc>
          <w:tcPr>
            <w:tcW w:w="1058" w:type="dxa"/>
            <w:tcBorders>
              <w:top w:val="nil"/>
              <w:left w:val="nil"/>
              <w:bottom w:val="single" w:sz="4" w:space="0" w:color="auto"/>
              <w:right w:val="single" w:sz="4" w:space="0" w:color="auto"/>
            </w:tcBorders>
            <w:noWrap/>
            <w:vAlign w:val="bottom"/>
          </w:tcPr>
          <w:p w14:paraId="02519FF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5,345 </w:t>
            </w:r>
          </w:p>
        </w:tc>
        <w:tc>
          <w:tcPr>
            <w:tcW w:w="1186" w:type="dxa"/>
            <w:tcBorders>
              <w:top w:val="nil"/>
              <w:left w:val="nil"/>
              <w:bottom w:val="single" w:sz="4" w:space="0" w:color="auto"/>
              <w:right w:val="single" w:sz="4" w:space="0" w:color="auto"/>
            </w:tcBorders>
            <w:noWrap/>
            <w:vAlign w:val="bottom"/>
          </w:tcPr>
          <w:p w14:paraId="1071823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4,748 </w:t>
            </w:r>
          </w:p>
        </w:tc>
        <w:tc>
          <w:tcPr>
            <w:tcW w:w="1058" w:type="dxa"/>
            <w:tcBorders>
              <w:top w:val="nil"/>
              <w:left w:val="nil"/>
              <w:bottom w:val="single" w:sz="4" w:space="0" w:color="auto"/>
              <w:right w:val="single" w:sz="4" w:space="0" w:color="auto"/>
            </w:tcBorders>
            <w:noWrap/>
            <w:vAlign w:val="bottom"/>
          </w:tcPr>
          <w:p w14:paraId="6D9C80F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4,813 </w:t>
            </w:r>
          </w:p>
        </w:tc>
        <w:tc>
          <w:tcPr>
            <w:tcW w:w="1186" w:type="dxa"/>
            <w:tcBorders>
              <w:top w:val="nil"/>
              <w:left w:val="nil"/>
              <w:bottom w:val="single" w:sz="4" w:space="0" w:color="auto"/>
              <w:right w:val="single" w:sz="4" w:space="0" w:color="auto"/>
            </w:tcBorders>
            <w:noWrap/>
            <w:vAlign w:val="bottom"/>
          </w:tcPr>
          <w:p w14:paraId="280D966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4,216 </w:t>
            </w:r>
          </w:p>
        </w:tc>
        <w:tc>
          <w:tcPr>
            <w:tcW w:w="846" w:type="dxa"/>
            <w:tcBorders>
              <w:top w:val="nil"/>
              <w:left w:val="nil"/>
              <w:bottom w:val="single" w:sz="4" w:space="0" w:color="auto"/>
              <w:right w:val="single" w:sz="4" w:space="0" w:color="auto"/>
            </w:tcBorders>
            <w:noWrap/>
            <w:vAlign w:val="bottom"/>
          </w:tcPr>
          <w:p w14:paraId="2C4F7FE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4,716 </w:t>
            </w:r>
          </w:p>
        </w:tc>
      </w:tr>
      <w:tr w:rsidR="00044E7A" w14:paraId="2B3C369E"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64F7F1C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change in total assets</w:t>
            </w:r>
          </w:p>
        </w:tc>
        <w:tc>
          <w:tcPr>
            <w:tcW w:w="1058" w:type="dxa"/>
            <w:tcBorders>
              <w:top w:val="nil"/>
              <w:left w:val="nil"/>
              <w:bottom w:val="single" w:sz="4" w:space="0" w:color="auto"/>
              <w:right w:val="single" w:sz="4" w:space="0" w:color="auto"/>
            </w:tcBorders>
            <w:noWrap/>
            <w:vAlign w:val="bottom"/>
          </w:tcPr>
          <w:p w14:paraId="17036ED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12.57%</w:t>
            </w:r>
          </w:p>
        </w:tc>
        <w:tc>
          <w:tcPr>
            <w:tcW w:w="1186" w:type="dxa"/>
            <w:tcBorders>
              <w:top w:val="nil"/>
              <w:left w:val="nil"/>
              <w:bottom w:val="single" w:sz="4" w:space="0" w:color="auto"/>
              <w:right w:val="single" w:sz="4" w:space="0" w:color="auto"/>
            </w:tcBorders>
            <w:noWrap/>
            <w:vAlign w:val="bottom"/>
          </w:tcPr>
          <w:p w14:paraId="79C0ADC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-1.35%</w:t>
            </w:r>
          </w:p>
        </w:tc>
        <w:tc>
          <w:tcPr>
            <w:tcW w:w="1058" w:type="dxa"/>
            <w:tcBorders>
              <w:top w:val="nil"/>
              <w:left w:val="nil"/>
              <w:bottom w:val="single" w:sz="4" w:space="0" w:color="auto"/>
              <w:right w:val="single" w:sz="4" w:space="0" w:color="auto"/>
            </w:tcBorders>
            <w:noWrap/>
            <w:vAlign w:val="bottom"/>
          </w:tcPr>
          <w:p w14:paraId="6FD6E26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14.16%</w:t>
            </w:r>
          </w:p>
        </w:tc>
        <w:tc>
          <w:tcPr>
            <w:tcW w:w="1186" w:type="dxa"/>
            <w:tcBorders>
              <w:top w:val="nil"/>
              <w:left w:val="nil"/>
              <w:bottom w:val="single" w:sz="4" w:space="0" w:color="auto"/>
              <w:right w:val="single" w:sz="4" w:space="0" w:color="auto"/>
            </w:tcBorders>
            <w:noWrap/>
            <w:vAlign w:val="bottom"/>
          </w:tcPr>
          <w:p w14:paraId="21B7D3F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-10.60%</w:t>
            </w:r>
          </w:p>
        </w:tc>
        <w:tc>
          <w:tcPr>
            <w:tcW w:w="846" w:type="dxa"/>
            <w:tcBorders>
              <w:top w:val="nil"/>
              <w:left w:val="nil"/>
              <w:bottom w:val="single" w:sz="4" w:space="0" w:color="auto"/>
              <w:right w:val="single" w:sz="4" w:space="0" w:color="auto"/>
            </w:tcBorders>
            <w:noWrap/>
            <w:vAlign w:val="bottom"/>
          </w:tcPr>
          <w:p w14:paraId="244CA3F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519C2D03"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4008221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1310AC4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01AD735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762F754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15B2EB0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46" w:type="dxa"/>
            <w:tcBorders>
              <w:top w:val="nil"/>
              <w:left w:val="nil"/>
              <w:bottom w:val="single" w:sz="4" w:space="0" w:color="auto"/>
              <w:right w:val="single" w:sz="4" w:space="0" w:color="auto"/>
            </w:tcBorders>
            <w:noWrap/>
            <w:vAlign w:val="bottom"/>
          </w:tcPr>
          <w:p w14:paraId="0BEE576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6B2EDCCE"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6F77AC1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Shareholder's equity</w:t>
            </w:r>
          </w:p>
        </w:tc>
        <w:tc>
          <w:tcPr>
            <w:tcW w:w="1058" w:type="dxa"/>
            <w:tcBorders>
              <w:top w:val="nil"/>
              <w:left w:val="nil"/>
              <w:bottom w:val="single" w:sz="4" w:space="0" w:color="auto"/>
              <w:right w:val="single" w:sz="4" w:space="0" w:color="auto"/>
            </w:tcBorders>
            <w:noWrap/>
            <w:vAlign w:val="bottom"/>
          </w:tcPr>
          <w:p w14:paraId="5D11228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2,736 </w:t>
            </w:r>
          </w:p>
        </w:tc>
        <w:tc>
          <w:tcPr>
            <w:tcW w:w="1186" w:type="dxa"/>
            <w:tcBorders>
              <w:top w:val="nil"/>
              <w:left w:val="nil"/>
              <w:bottom w:val="single" w:sz="4" w:space="0" w:color="auto"/>
              <w:right w:val="single" w:sz="4" w:space="0" w:color="auto"/>
            </w:tcBorders>
            <w:noWrap/>
            <w:vAlign w:val="bottom"/>
          </w:tcPr>
          <w:p w14:paraId="756675C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2,308 </w:t>
            </w:r>
          </w:p>
        </w:tc>
        <w:tc>
          <w:tcPr>
            <w:tcW w:w="1058" w:type="dxa"/>
            <w:tcBorders>
              <w:top w:val="nil"/>
              <w:left w:val="nil"/>
              <w:bottom w:val="single" w:sz="4" w:space="0" w:color="auto"/>
              <w:right w:val="single" w:sz="4" w:space="0" w:color="auto"/>
            </w:tcBorders>
            <w:noWrap/>
            <w:vAlign w:val="bottom"/>
          </w:tcPr>
          <w:p w14:paraId="76C119D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1,946 </w:t>
            </w:r>
          </w:p>
        </w:tc>
        <w:tc>
          <w:tcPr>
            <w:tcW w:w="1186" w:type="dxa"/>
            <w:tcBorders>
              <w:top w:val="nil"/>
              <w:left w:val="nil"/>
              <w:bottom w:val="single" w:sz="4" w:space="0" w:color="auto"/>
              <w:right w:val="single" w:sz="4" w:space="0" w:color="auto"/>
            </w:tcBorders>
            <w:noWrap/>
            <w:vAlign w:val="bottom"/>
          </w:tcPr>
          <w:p w14:paraId="690A846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1,608 </w:t>
            </w:r>
          </w:p>
        </w:tc>
        <w:tc>
          <w:tcPr>
            <w:tcW w:w="846" w:type="dxa"/>
            <w:tcBorders>
              <w:top w:val="nil"/>
              <w:left w:val="nil"/>
              <w:bottom w:val="single" w:sz="4" w:space="0" w:color="auto"/>
              <w:right w:val="single" w:sz="4" w:space="0" w:color="auto"/>
            </w:tcBorders>
            <w:noWrap/>
            <w:vAlign w:val="bottom"/>
          </w:tcPr>
          <w:p w14:paraId="5386887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1,474 </w:t>
            </w:r>
          </w:p>
        </w:tc>
      </w:tr>
      <w:tr w:rsidR="00044E7A" w14:paraId="5E755260"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7FD9A9E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change in shareholder's equity</w:t>
            </w:r>
          </w:p>
        </w:tc>
        <w:tc>
          <w:tcPr>
            <w:tcW w:w="1058" w:type="dxa"/>
            <w:tcBorders>
              <w:top w:val="nil"/>
              <w:left w:val="nil"/>
              <w:bottom w:val="single" w:sz="4" w:space="0" w:color="auto"/>
              <w:right w:val="single" w:sz="4" w:space="0" w:color="auto"/>
            </w:tcBorders>
            <w:noWrap/>
            <w:vAlign w:val="bottom"/>
          </w:tcPr>
          <w:p w14:paraId="5C58898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18.54%</w:t>
            </w:r>
          </w:p>
        </w:tc>
        <w:tc>
          <w:tcPr>
            <w:tcW w:w="1186" w:type="dxa"/>
            <w:tcBorders>
              <w:top w:val="nil"/>
              <w:left w:val="nil"/>
              <w:bottom w:val="single" w:sz="4" w:space="0" w:color="auto"/>
              <w:right w:val="single" w:sz="4" w:space="0" w:color="auto"/>
            </w:tcBorders>
            <w:noWrap/>
            <w:vAlign w:val="bottom"/>
          </w:tcPr>
          <w:p w14:paraId="4BA165F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18.60%</w:t>
            </w:r>
          </w:p>
        </w:tc>
        <w:tc>
          <w:tcPr>
            <w:tcW w:w="1058" w:type="dxa"/>
            <w:tcBorders>
              <w:top w:val="nil"/>
              <w:left w:val="nil"/>
              <w:bottom w:val="single" w:sz="4" w:space="0" w:color="auto"/>
              <w:right w:val="single" w:sz="4" w:space="0" w:color="auto"/>
            </w:tcBorders>
            <w:noWrap/>
            <w:vAlign w:val="bottom"/>
          </w:tcPr>
          <w:p w14:paraId="09D2D2F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21.02%</w:t>
            </w:r>
          </w:p>
        </w:tc>
        <w:tc>
          <w:tcPr>
            <w:tcW w:w="1186" w:type="dxa"/>
            <w:tcBorders>
              <w:top w:val="nil"/>
              <w:left w:val="nil"/>
              <w:bottom w:val="single" w:sz="4" w:space="0" w:color="auto"/>
              <w:right w:val="single" w:sz="4" w:space="0" w:color="auto"/>
            </w:tcBorders>
            <w:noWrap/>
            <w:vAlign w:val="bottom"/>
          </w:tcPr>
          <w:p w14:paraId="77F2F8D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9.09%</w:t>
            </w:r>
          </w:p>
        </w:tc>
        <w:tc>
          <w:tcPr>
            <w:tcW w:w="846" w:type="dxa"/>
            <w:tcBorders>
              <w:top w:val="nil"/>
              <w:left w:val="nil"/>
              <w:bottom w:val="single" w:sz="4" w:space="0" w:color="auto"/>
              <w:right w:val="single" w:sz="4" w:space="0" w:color="auto"/>
            </w:tcBorders>
            <w:noWrap/>
            <w:vAlign w:val="bottom"/>
          </w:tcPr>
          <w:p w14:paraId="3F41E83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4C06D027"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55E61E0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781A63E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2778918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5774C43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35990ED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46" w:type="dxa"/>
            <w:tcBorders>
              <w:top w:val="nil"/>
              <w:left w:val="nil"/>
              <w:bottom w:val="single" w:sz="4" w:space="0" w:color="auto"/>
              <w:right w:val="single" w:sz="4" w:space="0" w:color="auto"/>
            </w:tcBorders>
            <w:noWrap/>
            <w:vAlign w:val="bottom"/>
          </w:tcPr>
          <w:p w14:paraId="4BDBD85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43EE23B6"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3C6C468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Cash flow from operating activities</w:t>
            </w:r>
          </w:p>
        </w:tc>
        <w:tc>
          <w:tcPr>
            <w:tcW w:w="1058" w:type="dxa"/>
            <w:tcBorders>
              <w:top w:val="nil"/>
              <w:left w:val="nil"/>
              <w:bottom w:val="single" w:sz="4" w:space="0" w:color="auto"/>
              <w:right w:val="single" w:sz="4" w:space="0" w:color="auto"/>
            </w:tcBorders>
            <w:noWrap/>
            <w:vAlign w:val="bottom"/>
          </w:tcPr>
          <w:p w14:paraId="20D990A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898 </w:t>
            </w:r>
          </w:p>
        </w:tc>
        <w:tc>
          <w:tcPr>
            <w:tcW w:w="1186" w:type="dxa"/>
            <w:tcBorders>
              <w:top w:val="nil"/>
              <w:left w:val="nil"/>
              <w:bottom w:val="single" w:sz="4" w:space="0" w:color="auto"/>
              <w:right w:val="single" w:sz="4" w:space="0" w:color="auto"/>
            </w:tcBorders>
            <w:noWrap/>
            <w:vAlign w:val="bottom"/>
          </w:tcPr>
          <w:p w14:paraId="558EABE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724 </w:t>
            </w:r>
          </w:p>
        </w:tc>
        <w:tc>
          <w:tcPr>
            <w:tcW w:w="1058" w:type="dxa"/>
            <w:tcBorders>
              <w:top w:val="nil"/>
              <w:left w:val="nil"/>
              <w:bottom w:val="single" w:sz="4" w:space="0" w:color="auto"/>
              <w:right w:val="single" w:sz="4" w:space="0" w:color="auto"/>
            </w:tcBorders>
            <w:noWrap/>
            <w:vAlign w:val="bottom"/>
          </w:tcPr>
          <w:p w14:paraId="5D64E1C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1,219 </w:t>
            </w:r>
          </w:p>
        </w:tc>
        <w:tc>
          <w:tcPr>
            <w:tcW w:w="1186" w:type="dxa"/>
            <w:tcBorders>
              <w:top w:val="nil"/>
              <w:left w:val="nil"/>
              <w:bottom w:val="single" w:sz="4" w:space="0" w:color="auto"/>
              <w:right w:val="single" w:sz="4" w:space="0" w:color="auto"/>
            </w:tcBorders>
            <w:noWrap/>
            <w:vAlign w:val="bottom"/>
          </w:tcPr>
          <w:p w14:paraId="02377A7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961 </w:t>
            </w:r>
          </w:p>
        </w:tc>
        <w:tc>
          <w:tcPr>
            <w:tcW w:w="846" w:type="dxa"/>
            <w:tcBorders>
              <w:top w:val="nil"/>
              <w:left w:val="nil"/>
              <w:bottom w:val="single" w:sz="4" w:space="0" w:color="auto"/>
              <w:right w:val="single" w:sz="4" w:space="0" w:color="auto"/>
            </w:tcBorders>
            <w:noWrap/>
            <w:vAlign w:val="bottom"/>
          </w:tcPr>
          <w:p w14:paraId="2562373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848 </w:t>
            </w:r>
          </w:p>
        </w:tc>
      </w:tr>
      <w:tr w:rsidR="00044E7A" w14:paraId="17160FFF"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21DCD3F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change in CFOA</w:t>
            </w:r>
          </w:p>
        </w:tc>
        <w:tc>
          <w:tcPr>
            <w:tcW w:w="1058" w:type="dxa"/>
            <w:tcBorders>
              <w:top w:val="nil"/>
              <w:left w:val="nil"/>
              <w:bottom w:val="single" w:sz="4" w:space="0" w:color="auto"/>
              <w:right w:val="single" w:sz="4" w:space="0" w:color="auto"/>
            </w:tcBorders>
            <w:noWrap/>
            <w:vAlign w:val="bottom"/>
          </w:tcPr>
          <w:p w14:paraId="2FBC4BD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24.03%</w:t>
            </w:r>
          </w:p>
        </w:tc>
        <w:tc>
          <w:tcPr>
            <w:tcW w:w="1186" w:type="dxa"/>
            <w:tcBorders>
              <w:top w:val="nil"/>
              <w:left w:val="nil"/>
              <w:bottom w:val="single" w:sz="4" w:space="0" w:color="auto"/>
              <w:right w:val="single" w:sz="4" w:space="0" w:color="auto"/>
            </w:tcBorders>
            <w:noWrap/>
            <w:vAlign w:val="bottom"/>
          </w:tcPr>
          <w:p w14:paraId="65B6A89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-40.61%</w:t>
            </w:r>
          </w:p>
        </w:tc>
        <w:tc>
          <w:tcPr>
            <w:tcW w:w="1058" w:type="dxa"/>
            <w:tcBorders>
              <w:top w:val="nil"/>
              <w:left w:val="nil"/>
              <w:bottom w:val="single" w:sz="4" w:space="0" w:color="auto"/>
              <w:right w:val="single" w:sz="4" w:space="0" w:color="auto"/>
            </w:tcBorders>
            <w:noWrap/>
            <w:vAlign w:val="bottom"/>
          </w:tcPr>
          <w:p w14:paraId="2B6F4E4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26.85%</w:t>
            </w:r>
          </w:p>
        </w:tc>
        <w:tc>
          <w:tcPr>
            <w:tcW w:w="1186" w:type="dxa"/>
            <w:tcBorders>
              <w:top w:val="nil"/>
              <w:left w:val="nil"/>
              <w:bottom w:val="single" w:sz="4" w:space="0" w:color="auto"/>
              <w:right w:val="single" w:sz="4" w:space="0" w:color="auto"/>
            </w:tcBorders>
            <w:noWrap/>
            <w:vAlign w:val="bottom"/>
          </w:tcPr>
          <w:p w14:paraId="681AB8F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13.33%</w:t>
            </w:r>
          </w:p>
        </w:tc>
        <w:tc>
          <w:tcPr>
            <w:tcW w:w="846" w:type="dxa"/>
            <w:tcBorders>
              <w:top w:val="nil"/>
              <w:left w:val="nil"/>
              <w:bottom w:val="single" w:sz="4" w:space="0" w:color="auto"/>
              <w:right w:val="single" w:sz="4" w:space="0" w:color="auto"/>
            </w:tcBorders>
            <w:noWrap/>
            <w:vAlign w:val="bottom"/>
          </w:tcPr>
          <w:p w14:paraId="64366D9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76AD8187"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4470659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26F5C49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3D83CF4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04B41C1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0CA60F1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46" w:type="dxa"/>
            <w:tcBorders>
              <w:top w:val="nil"/>
              <w:left w:val="nil"/>
              <w:bottom w:val="single" w:sz="4" w:space="0" w:color="auto"/>
              <w:right w:val="single" w:sz="4" w:space="0" w:color="auto"/>
            </w:tcBorders>
            <w:noWrap/>
            <w:vAlign w:val="bottom"/>
          </w:tcPr>
          <w:p w14:paraId="599CFD4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6DD83083"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794F181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Cash flow from investing activities</w:t>
            </w:r>
          </w:p>
        </w:tc>
        <w:tc>
          <w:tcPr>
            <w:tcW w:w="1058" w:type="dxa"/>
            <w:tcBorders>
              <w:top w:val="nil"/>
              <w:left w:val="nil"/>
              <w:bottom w:val="single" w:sz="4" w:space="0" w:color="auto"/>
              <w:right w:val="single" w:sz="4" w:space="0" w:color="auto"/>
            </w:tcBorders>
            <w:noWrap/>
            <w:vAlign w:val="bottom"/>
          </w:tcPr>
          <w:p w14:paraId="6A5C3AE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-190 </w:t>
            </w:r>
          </w:p>
        </w:tc>
        <w:tc>
          <w:tcPr>
            <w:tcW w:w="1186" w:type="dxa"/>
            <w:tcBorders>
              <w:top w:val="nil"/>
              <w:left w:val="nil"/>
              <w:bottom w:val="single" w:sz="4" w:space="0" w:color="auto"/>
              <w:right w:val="single" w:sz="4" w:space="0" w:color="auto"/>
            </w:tcBorders>
            <w:noWrap/>
            <w:vAlign w:val="bottom"/>
          </w:tcPr>
          <w:p w14:paraId="6F4C258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-99 </w:t>
            </w:r>
          </w:p>
        </w:tc>
        <w:tc>
          <w:tcPr>
            <w:tcW w:w="1058" w:type="dxa"/>
            <w:tcBorders>
              <w:top w:val="nil"/>
              <w:left w:val="nil"/>
              <w:bottom w:val="single" w:sz="4" w:space="0" w:color="auto"/>
              <w:right w:val="single" w:sz="4" w:space="0" w:color="auto"/>
            </w:tcBorders>
            <w:noWrap/>
            <w:vAlign w:val="bottom"/>
          </w:tcPr>
          <w:p w14:paraId="5747962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-137 </w:t>
            </w:r>
          </w:p>
        </w:tc>
        <w:tc>
          <w:tcPr>
            <w:tcW w:w="1186" w:type="dxa"/>
            <w:tcBorders>
              <w:top w:val="nil"/>
              <w:left w:val="nil"/>
              <w:bottom w:val="single" w:sz="4" w:space="0" w:color="auto"/>
              <w:right w:val="single" w:sz="4" w:space="0" w:color="auto"/>
            </w:tcBorders>
            <w:noWrap/>
            <w:vAlign w:val="bottom"/>
          </w:tcPr>
          <w:p w14:paraId="70597E7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-78 </w:t>
            </w:r>
          </w:p>
        </w:tc>
        <w:tc>
          <w:tcPr>
            <w:tcW w:w="846" w:type="dxa"/>
            <w:tcBorders>
              <w:top w:val="nil"/>
              <w:left w:val="nil"/>
              <w:bottom w:val="single" w:sz="4" w:space="0" w:color="auto"/>
              <w:right w:val="single" w:sz="4" w:space="0" w:color="auto"/>
            </w:tcBorders>
            <w:noWrap/>
            <w:vAlign w:val="bottom"/>
          </w:tcPr>
          <w:p w14:paraId="34564D1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-12 </w:t>
            </w:r>
          </w:p>
        </w:tc>
      </w:tr>
      <w:tr w:rsidR="00044E7A" w14:paraId="5F8CBFB0"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19CA048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change in CFIA</w:t>
            </w:r>
          </w:p>
        </w:tc>
        <w:tc>
          <w:tcPr>
            <w:tcW w:w="1058" w:type="dxa"/>
            <w:tcBorders>
              <w:top w:val="nil"/>
              <w:left w:val="nil"/>
              <w:bottom w:val="single" w:sz="4" w:space="0" w:color="auto"/>
              <w:right w:val="single" w:sz="4" w:space="0" w:color="auto"/>
            </w:tcBorders>
            <w:noWrap/>
            <w:vAlign w:val="bottom"/>
          </w:tcPr>
          <w:p w14:paraId="761CA17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91.92%</w:t>
            </w:r>
          </w:p>
        </w:tc>
        <w:tc>
          <w:tcPr>
            <w:tcW w:w="1186" w:type="dxa"/>
            <w:tcBorders>
              <w:top w:val="nil"/>
              <w:left w:val="nil"/>
              <w:bottom w:val="single" w:sz="4" w:space="0" w:color="auto"/>
              <w:right w:val="single" w:sz="4" w:space="0" w:color="auto"/>
            </w:tcBorders>
            <w:noWrap/>
            <w:vAlign w:val="bottom"/>
          </w:tcPr>
          <w:p w14:paraId="436AED5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-27.74%</w:t>
            </w:r>
          </w:p>
        </w:tc>
        <w:tc>
          <w:tcPr>
            <w:tcW w:w="1058" w:type="dxa"/>
            <w:tcBorders>
              <w:top w:val="nil"/>
              <w:left w:val="nil"/>
              <w:bottom w:val="single" w:sz="4" w:space="0" w:color="auto"/>
              <w:right w:val="single" w:sz="4" w:space="0" w:color="auto"/>
            </w:tcBorders>
            <w:noWrap/>
            <w:vAlign w:val="bottom"/>
          </w:tcPr>
          <w:p w14:paraId="78208C9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75.64%</w:t>
            </w:r>
          </w:p>
        </w:tc>
        <w:tc>
          <w:tcPr>
            <w:tcW w:w="1186" w:type="dxa"/>
            <w:tcBorders>
              <w:top w:val="nil"/>
              <w:left w:val="nil"/>
              <w:bottom w:val="single" w:sz="4" w:space="0" w:color="auto"/>
              <w:right w:val="single" w:sz="4" w:space="0" w:color="auto"/>
            </w:tcBorders>
            <w:noWrap/>
            <w:vAlign w:val="bottom"/>
          </w:tcPr>
          <w:p w14:paraId="13BEFA4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550.00%</w:t>
            </w:r>
          </w:p>
        </w:tc>
        <w:tc>
          <w:tcPr>
            <w:tcW w:w="846" w:type="dxa"/>
            <w:tcBorders>
              <w:top w:val="nil"/>
              <w:left w:val="nil"/>
              <w:bottom w:val="single" w:sz="4" w:space="0" w:color="auto"/>
              <w:right w:val="single" w:sz="4" w:space="0" w:color="auto"/>
            </w:tcBorders>
            <w:noWrap/>
            <w:vAlign w:val="bottom"/>
          </w:tcPr>
          <w:p w14:paraId="2093C22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0B419ACB"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35A2BB8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3EFFDAF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787F274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058" w:type="dxa"/>
            <w:tcBorders>
              <w:top w:val="nil"/>
              <w:left w:val="nil"/>
              <w:bottom w:val="single" w:sz="4" w:space="0" w:color="auto"/>
              <w:right w:val="single" w:sz="4" w:space="0" w:color="auto"/>
            </w:tcBorders>
            <w:noWrap/>
            <w:vAlign w:val="bottom"/>
          </w:tcPr>
          <w:p w14:paraId="4113369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186" w:type="dxa"/>
            <w:tcBorders>
              <w:top w:val="nil"/>
              <w:left w:val="nil"/>
              <w:bottom w:val="single" w:sz="4" w:space="0" w:color="auto"/>
              <w:right w:val="single" w:sz="4" w:space="0" w:color="auto"/>
            </w:tcBorders>
            <w:noWrap/>
            <w:vAlign w:val="bottom"/>
          </w:tcPr>
          <w:p w14:paraId="19234B9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46" w:type="dxa"/>
            <w:tcBorders>
              <w:top w:val="nil"/>
              <w:left w:val="nil"/>
              <w:bottom w:val="single" w:sz="4" w:space="0" w:color="auto"/>
              <w:right w:val="single" w:sz="4" w:space="0" w:color="auto"/>
            </w:tcBorders>
            <w:noWrap/>
            <w:vAlign w:val="bottom"/>
          </w:tcPr>
          <w:p w14:paraId="7A18249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7DFD42CE"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6EDC05A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Cash flow from Financing activities</w:t>
            </w:r>
          </w:p>
        </w:tc>
        <w:tc>
          <w:tcPr>
            <w:tcW w:w="1058" w:type="dxa"/>
            <w:tcBorders>
              <w:top w:val="nil"/>
              <w:left w:val="nil"/>
              <w:bottom w:val="single" w:sz="4" w:space="0" w:color="auto"/>
              <w:right w:val="single" w:sz="4" w:space="0" w:color="auto"/>
            </w:tcBorders>
            <w:noWrap/>
            <w:vAlign w:val="bottom"/>
          </w:tcPr>
          <w:p w14:paraId="09D2DD4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-614 </w:t>
            </w:r>
          </w:p>
        </w:tc>
        <w:tc>
          <w:tcPr>
            <w:tcW w:w="1186" w:type="dxa"/>
            <w:tcBorders>
              <w:top w:val="nil"/>
              <w:left w:val="nil"/>
              <w:bottom w:val="single" w:sz="4" w:space="0" w:color="auto"/>
              <w:right w:val="single" w:sz="4" w:space="0" w:color="auto"/>
            </w:tcBorders>
            <w:noWrap/>
            <w:vAlign w:val="bottom"/>
          </w:tcPr>
          <w:p w14:paraId="7980747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-894 </w:t>
            </w:r>
          </w:p>
        </w:tc>
        <w:tc>
          <w:tcPr>
            <w:tcW w:w="1058" w:type="dxa"/>
            <w:tcBorders>
              <w:top w:val="nil"/>
              <w:left w:val="nil"/>
              <w:bottom w:val="single" w:sz="4" w:space="0" w:color="auto"/>
              <w:right w:val="single" w:sz="4" w:space="0" w:color="auto"/>
            </w:tcBorders>
            <w:noWrap/>
            <w:vAlign w:val="bottom"/>
          </w:tcPr>
          <w:p w14:paraId="5000DA7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-417 </w:t>
            </w:r>
          </w:p>
        </w:tc>
        <w:tc>
          <w:tcPr>
            <w:tcW w:w="1186" w:type="dxa"/>
            <w:tcBorders>
              <w:top w:val="nil"/>
              <w:left w:val="nil"/>
              <w:bottom w:val="single" w:sz="4" w:space="0" w:color="auto"/>
              <w:right w:val="single" w:sz="4" w:space="0" w:color="auto"/>
            </w:tcBorders>
            <w:noWrap/>
            <w:vAlign w:val="bottom"/>
          </w:tcPr>
          <w:p w14:paraId="4BCABE8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-961 </w:t>
            </w:r>
          </w:p>
        </w:tc>
        <w:tc>
          <w:tcPr>
            <w:tcW w:w="846" w:type="dxa"/>
            <w:tcBorders>
              <w:top w:val="nil"/>
              <w:left w:val="nil"/>
              <w:bottom w:val="single" w:sz="4" w:space="0" w:color="auto"/>
              <w:right w:val="single" w:sz="4" w:space="0" w:color="auto"/>
            </w:tcBorders>
            <w:noWrap/>
            <w:vAlign w:val="bottom"/>
          </w:tcPr>
          <w:p w14:paraId="3BFD42E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-860 </w:t>
            </w:r>
          </w:p>
        </w:tc>
      </w:tr>
      <w:tr w:rsidR="00044E7A" w14:paraId="1D37CF26" w14:textId="77777777">
        <w:trPr>
          <w:trHeight w:val="275"/>
        </w:trPr>
        <w:tc>
          <w:tcPr>
            <w:tcW w:w="3763" w:type="dxa"/>
            <w:tcBorders>
              <w:top w:val="nil"/>
              <w:left w:val="single" w:sz="4" w:space="0" w:color="auto"/>
              <w:bottom w:val="single" w:sz="4" w:space="0" w:color="auto"/>
              <w:right w:val="single" w:sz="4" w:space="0" w:color="auto"/>
            </w:tcBorders>
            <w:noWrap/>
            <w:vAlign w:val="bottom"/>
          </w:tcPr>
          <w:p w14:paraId="77F8C85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change in CFFA</w:t>
            </w:r>
          </w:p>
        </w:tc>
        <w:tc>
          <w:tcPr>
            <w:tcW w:w="1058" w:type="dxa"/>
            <w:tcBorders>
              <w:top w:val="nil"/>
              <w:left w:val="nil"/>
              <w:bottom w:val="single" w:sz="4" w:space="0" w:color="auto"/>
              <w:right w:val="single" w:sz="4" w:space="0" w:color="auto"/>
            </w:tcBorders>
            <w:noWrap/>
            <w:vAlign w:val="bottom"/>
          </w:tcPr>
          <w:p w14:paraId="1E2A232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-31.32%</w:t>
            </w:r>
          </w:p>
        </w:tc>
        <w:tc>
          <w:tcPr>
            <w:tcW w:w="1186" w:type="dxa"/>
            <w:tcBorders>
              <w:top w:val="nil"/>
              <w:left w:val="nil"/>
              <w:bottom w:val="single" w:sz="4" w:space="0" w:color="auto"/>
              <w:right w:val="single" w:sz="4" w:space="0" w:color="auto"/>
            </w:tcBorders>
            <w:noWrap/>
            <w:vAlign w:val="bottom"/>
          </w:tcPr>
          <w:p w14:paraId="51931A2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114.39%</w:t>
            </w:r>
          </w:p>
        </w:tc>
        <w:tc>
          <w:tcPr>
            <w:tcW w:w="1058" w:type="dxa"/>
            <w:tcBorders>
              <w:top w:val="nil"/>
              <w:left w:val="nil"/>
              <w:bottom w:val="single" w:sz="4" w:space="0" w:color="auto"/>
              <w:right w:val="single" w:sz="4" w:space="0" w:color="auto"/>
            </w:tcBorders>
            <w:noWrap/>
            <w:vAlign w:val="bottom"/>
          </w:tcPr>
          <w:p w14:paraId="13604B7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-56.61%</w:t>
            </w:r>
          </w:p>
        </w:tc>
        <w:tc>
          <w:tcPr>
            <w:tcW w:w="1186" w:type="dxa"/>
            <w:tcBorders>
              <w:top w:val="nil"/>
              <w:left w:val="nil"/>
              <w:bottom w:val="single" w:sz="4" w:space="0" w:color="auto"/>
              <w:right w:val="single" w:sz="4" w:space="0" w:color="auto"/>
            </w:tcBorders>
            <w:noWrap/>
            <w:vAlign w:val="bottom"/>
          </w:tcPr>
          <w:p w14:paraId="703B547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11.74%</w:t>
            </w:r>
          </w:p>
        </w:tc>
        <w:tc>
          <w:tcPr>
            <w:tcW w:w="846" w:type="dxa"/>
            <w:tcBorders>
              <w:top w:val="nil"/>
              <w:left w:val="nil"/>
              <w:bottom w:val="single" w:sz="4" w:space="0" w:color="auto"/>
              <w:right w:val="single" w:sz="4" w:space="0" w:color="auto"/>
            </w:tcBorders>
            <w:noWrap/>
            <w:vAlign w:val="bottom"/>
          </w:tcPr>
          <w:p w14:paraId="2F24435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bl>
    <w:p w14:paraId="0112B249" w14:textId="77777777" w:rsidR="00044E7A" w:rsidRDefault="00044E7A">
      <w:pPr>
        <w:jc w:val="both"/>
        <w:rPr>
          <w:rFonts w:ascii="Arial" w:hAnsi="Arial" w:cs="Arial"/>
          <w:sz w:val="24"/>
          <w:szCs w:val="24"/>
        </w:rPr>
      </w:pPr>
    </w:p>
    <w:p w14:paraId="454E46F4" w14:textId="77777777" w:rsidR="00044E7A" w:rsidRDefault="00000000">
      <w:pPr>
        <w:pStyle w:val="Heading2"/>
        <w:jc w:val="both"/>
        <w:rPr>
          <w:rFonts w:ascii="Arial" w:hAnsi="Arial" w:cs="Arial"/>
          <w:sz w:val="24"/>
          <w:szCs w:val="24"/>
        </w:rPr>
      </w:pPr>
      <w:bookmarkStart w:id="28" w:name="_Toc233702143"/>
      <w:r>
        <w:rPr>
          <w:rFonts w:ascii="Arial" w:hAnsi="Arial" w:cs="Arial"/>
          <w:sz w:val="24"/>
          <w:szCs w:val="24"/>
        </w:rPr>
        <w:lastRenderedPageBreak/>
        <w:t>7.2 Ratio analysis</w:t>
      </w:r>
      <w:bookmarkEnd w:id="28"/>
    </w:p>
    <w:tbl>
      <w:tblPr>
        <w:tblW w:w="8900" w:type="dxa"/>
        <w:tblLook w:val="04A0" w:firstRow="1" w:lastRow="0" w:firstColumn="1" w:lastColumn="0" w:noHBand="0" w:noVBand="1"/>
      </w:tblPr>
      <w:tblGrid>
        <w:gridCol w:w="1231"/>
        <w:gridCol w:w="1346"/>
        <w:gridCol w:w="1490"/>
        <w:gridCol w:w="1035"/>
        <w:gridCol w:w="1035"/>
        <w:gridCol w:w="1035"/>
        <w:gridCol w:w="1035"/>
        <w:gridCol w:w="1035"/>
      </w:tblGrid>
      <w:tr w:rsidR="00044E7A" w14:paraId="558816BC" w14:textId="77777777">
        <w:trPr>
          <w:trHeight w:val="290"/>
        </w:trPr>
        <w:tc>
          <w:tcPr>
            <w:tcW w:w="1200" w:type="dxa"/>
            <w:tcBorders>
              <w:top w:val="single" w:sz="4" w:space="0" w:color="auto"/>
              <w:left w:val="single" w:sz="4" w:space="0" w:color="auto"/>
              <w:bottom w:val="single" w:sz="4" w:space="0" w:color="auto"/>
              <w:right w:val="single" w:sz="4" w:space="0" w:color="auto"/>
            </w:tcBorders>
            <w:shd w:val="clear" w:color="000000" w:fill="7B7B7B"/>
            <w:vAlign w:val="center"/>
          </w:tcPr>
          <w:p w14:paraId="6704CD77"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Ratio type</w:t>
            </w:r>
          </w:p>
        </w:tc>
        <w:tc>
          <w:tcPr>
            <w:tcW w:w="1540" w:type="dxa"/>
            <w:tcBorders>
              <w:top w:val="single" w:sz="4" w:space="0" w:color="auto"/>
              <w:left w:val="nil"/>
              <w:bottom w:val="single" w:sz="4" w:space="0" w:color="auto"/>
              <w:right w:val="single" w:sz="4" w:space="0" w:color="auto"/>
            </w:tcBorders>
            <w:shd w:val="clear" w:color="000000" w:fill="7B7B7B"/>
            <w:vAlign w:val="center"/>
          </w:tcPr>
          <w:p w14:paraId="3E4B36D5"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Ratio</w:t>
            </w:r>
          </w:p>
        </w:tc>
        <w:tc>
          <w:tcPr>
            <w:tcW w:w="2060" w:type="dxa"/>
            <w:tcBorders>
              <w:top w:val="single" w:sz="4" w:space="0" w:color="auto"/>
              <w:left w:val="nil"/>
              <w:bottom w:val="single" w:sz="4" w:space="0" w:color="auto"/>
              <w:right w:val="single" w:sz="4" w:space="0" w:color="auto"/>
            </w:tcBorders>
            <w:shd w:val="clear" w:color="000000" w:fill="7B7B7B"/>
            <w:vAlign w:val="center"/>
          </w:tcPr>
          <w:p w14:paraId="668352BB"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Particulars</w:t>
            </w:r>
          </w:p>
        </w:tc>
        <w:tc>
          <w:tcPr>
            <w:tcW w:w="820" w:type="dxa"/>
            <w:tcBorders>
              <w:top w:val="single" w:sz="4" w:space="0" w:color="auto"/>
              <w:left w:val="nil"/>
              <w:bottom w:val="single" w:sz="4" w:space="0" w:color="auto"/>
              <w:right w:val="single" w:sz="4" w:space="0" w:color="auto"/>
            </w:tcBorders>
            <w:shd w:val="clear" w:color="000000" w:fill="7B7B7B"/>
            <w:noWrap/>
            <w:vAlign w:val="center"/>
          </w:tcPr>
          <w:p w14:paraId="5709C977"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2025</w:t>
            </w:r>
          </w:p>
        </w:tc>
        <w:tc>
          <w:tcPr>
            <w:tcW w:w="820" w:type="dxa"/>
            <w:tcBorders>
              <w:top w:val="single" w:sz="4" w:space="0" w:color="auto"/>
              <w:left w:val="nil"/>
              <w:bottom w:val="single" w:sz="4" w:space="0" w:color="auto"/>
              <w:right w:val="single" w:sz="4" w:space="0" w:color="auto"/>
            </w:tcBorders>
            <w:shd w:val="clear" w:color="000000" w:fill="7B7B7B"/>
            <w:noWrap/>
            <w:vAlign w:val="center"/>
          </w:tcPr>
          <w:p w14:paraId="2D82CBE6"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2024</w:t>
            </w:r>
          </w:p>
        </w:tc>
        <w:tc>
          <w:tcPr>
            <w:tcW w:w="820" w:type="dxa"/>
            <w:tcBorders>
              <w:top w:val="single" w:sz="4" w:space="0" w:color="auto"/>
              <w:left w:val="nil"/>
              <w:bottom w:val="single" w:sz="4" w:space="0" w:color="auto"/>
              <w:right w:val="single" w:sz="4" w:space="0" w:color="auto"/>
            </w:tcBorders>
            <w:shd w:val="clear" w:color="000000" w:fill="7B7B7B"/>
            <w:noWrap/>
            <w:vAlign w:val="center"/>
          </w:tcPr>
          <w:p w14:paraId="0DD4FF17"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2023</w:t>
            </w:r>
          </w:p>
        </w:tc>
        <w:tc>
          <w:tcPr>
            <w:tcW w:w="820" w:type="dxa"/>
            <w:tcBorders>
              <w:top w:val="single" w:sz="4" w:space="0" w:color="auto"/>
              <w:left w:val="nil"/>
              <w:bottom w:val="single" w:sz="4" w:space="0" w:color="auto"/>
              <w:right w:val="single" w:sz="4" w:space="0" w:color="auto"/>
            </w:tcBorders>
            <w:shd w:val="clear" w:color="000000" w:fill="7B7B7B"/>
            <w:noWrap/>
            <w:vAlign w:val="center"/>
          </w:tcPr>
          <w:p w14:paraId="3F4AC23D"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2022</w:t>
            </w:r>
          </w:p>
        </w:tc>
        <w:tc>
          <w:tcPr>
            <w:tcW w:w="820" w:type="dxa"/>
            <w:tcBorders>
              <w:top w:val="single" w:sz="4" w:space="0" w:color="auto"/>
              <w:left w:val="nil"/>
              <w:bottom w:val="single" w:sz="4" w:space="0" w:color="auto"/>
              <w:right w:val="single" w:sz="4" w:space="0" w:color="auto"/>
            </w:tcBorders>
            <w:shd w:val="clear" w:color="000000" w:fill="7B7B7B"/>
            <w:noWrap/>
            <w:vAlign w:val="center"/>
          </w:tcPr>
          <w:p w14:paraId="320A706F"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2021</w:t>
            </w:r>
          </w:p>
        </w:tc>
      </w:tr>
      <w:tr w:rsidR="00044E7A" w14:paraId="1B946538" w14:textId="77777777">
        <w:trPr>
          <w:trHeight w:val="290"/>
        </w:trPr>
        <w:tc>
          <w:tcPr>
            <w:tcW w:w="1200" w:type="dxa"/>
            <w:vMerge w:val="restart"/>
            <w:tcBorders>
              <w:top w:val="nil"/>
              <w:left w:val="single" w:sz="4" w:space="0" w:color="auto"/>
              <w:bottom w:val="single" w:sz="4" w:space="0" w:color="auto"/>
              <w:right w:val="single" w:sz="4" w:space="0" w:color="auto"/>
            </w:tcBorders>
            <w:vAlign w:val="center"/>
          </w:tcPr>
          <w:p w14:paraId="60DCFDE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Profitability ratios</w:t>
            </w:r>
          </w:p>
        </w:tc>
        <w:tc>
          <w:tcPr>
            <w:tcW w:w="1540" w:type="dxa"/>
            <w:vMerge w:val="restart"/>
            <w:tcBorders>
              <w:top w:val="nil"/>
              <w:left w:val="single" w:sz="4" w:space="0" w:color="auto"/>
              <w:bottom w:val="single" w:sz="4" w:space="0" w:color="auto"/>
              <w:right w:val="single" w:sz="4" w:space="0" w:color="auto"/>
            </w:tcBorders>
            <w:vAlign w:val="center"/>
          </w:tcPr>
          <w:p w14:paraId="1905EF2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Operating profit ratio</w:t>
            </w:r>
          </w:p>
        </w:tc>
        <w:tc>
          <w:tcPr>
            <w:tcW w:w="2060" w:type="dxa"/>
            <w:tcBorders>
              <w:top w:val="nil"/>
              <w:left w:val="nil"/>
              <w:bottom w:val="single" w:sz="4" w:space="0" w:color="auto"/>
              <w:right w:val="single" w:sz="4" w:space="0" w:color="auto"/>
            </w:tcBorders>
            <w:vAlign w:val="center"/>
          </w:tcPr>
          <w:p w14:paraId="13B34E6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Operating profit</w:t>
            </w:r>
          </w:p>
        </w:tc>
        <w:tc>
          <w:tcPr>
            <w:tcW w:w="820" w:type="dxa"/>
            <w:tcBorders>
              <w:top w:val="nil"/>
              <w:left w:val="nil"/>
              <w:bottom w:val="single" w:sz="4" w:space="0" w:color="auto"/>
              <w:right w:val="single" w:sz="4" w:space="0" w:color="auto"/>
            </w:tcBorders>
            <w:noWrap/>
            <w:vAlign w:val="center"/>
          </w:tcPr>
          <w:p w14:paraId="60D4A77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1198</w:t>
            </w:r>
          </w:p>
        </w:tc>
        <w:tc>
          <w:tcPr>
            <w:tcW w:w="820" w:type="dxa"/>
            <w:tcBorders>
              <w:top w:val="nil"/>
              <w:left w:val="nil"/>
              <w:bottom w:val="single" w:sz="4" w:space="0" w:color="auto"/>
              <w:right w:val="single" w:sz="4" w:space="0" w:color="auto"/>
            </w:tcBorders>
            <w:noWrap/>
            <w:vAlign w:val="center"/>
          </w:tcPr>
          <w:p w14:paraId="5928F0A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1041</w:t>
            </w:r>
          </w:p>
        </w:tc>
        <w:tc>
          <w:tcPr>
            <w:tcW w:w="820" w:type="dxa"/>
            <w:tcBorders>
              <w:top w:val="nil"/>
              <w:left w:val="nil"/>
              <w:bottom w:val="single" w:sz="4" w:space="0" w:color="auto"/>
              <w:right w:val="single" w:sz="4" w:space="0" w:color="auto"/>
            </w:tcBorders>
            <w:noWrap/>
            <w:vAlign w:val="center"/>
          </w:tcPr>
          <w:p w14:paraId="12A4CC2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1066</w:t>
            </w:r>
          </w:p>
        </w:tc>
        <w:tc>
          <w:tcPr>
            <w:tcW w:w="820" w:type="dxa"/>
            <w:tcBorders>
              <w:top w:val="nil"/>
              <w:left w:val="nil"/>
              <w:bottom w:val="single" w:sz="4" w:space="0" w:color="auto"/>
              <w:right w:val="single" w:sz="4" w:space="0" w:color="auto"/>
            </w:tcBorders>
            <w:noWrap/>
            <w:vAlign w:val="center"/>
          </w:tcPr>
          <w:p w14:paraId="573992D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628</w:t>
            </w:r>
          </w:p>
        </w:tc>
        <w:tc>
          <w:tcPr>
            <w:tcW w:w="820" w:type="dxa"/>
            <w:tcBorders>
              <w:top w:val="nil"/>
              <w:left w:val="nil"/>
              <w:bottom w:val="single" w:sz="4" w:space="0" w:color="auto"/>
              <w:right w:val="single" w:sz="4" w:space="0" w:color="auto"/>
            </w:tcBorders>
            <w:noWrap/>
            <w:vAlign w:val="center"/>
          </w:tcPr>
          <w:p w14:paraId="56C340A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494</w:t>
            </w:r>
          </w:p>
        </w:tc>
      </w:tr>
      <w:tr w:rsidR="00044E7A" w14:paraId="4775244E"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26FBD64F"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26595AAF"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4CF8B81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Turnover</w:t>
            </w:r>
          </w:p>
        </w:tc>
        <w:tc>
          <w:tcPr>
            <w:tcW w:w="820" w:type="dxa"/>
            <w:tcBorders>
              <w:top w:val="nil"/>
              <w:left w:val="nil"/>
              <w:bottom w:val="single" w:sz="4" w:space="0" w:color="auto"/>
              <w:right w:val="single" w:sz="4" w:space="0" w:color="auto"/>
            </w:tcBorders>
            <w:noWrap/>
            <w:vAlign w:val="center"/>
          </w:tcPr>
          <w:p w14:paraId="7CBA9C3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5189</w:t>
            </w:r>
          </w:p>
        </w:tc>
        <w:tc>
          <w:tcPr>
            <w:tcW w:w="820" w:type="dxa"/>
            <w:tcBorders>
              <w:top w:val="nil"/>
              <w:left w:val="nil"/>
              <w:bottom w:val="single" w:sz="4" w:space="0" w:color="auto"/>
              <w:right w:val="single" w:sz="4" w:space="0" w:color="auto"/>
            </w:tcBorders>
            <w:noWrap/>
            <w:vAlign w:val="center"/>
          </w:tcPr>
          <w:p w14:paraId="1E072E9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4923</w:t>
            </w:r>
          </w:p>
        </w:tc>
        <w:tc>
          <w:tcPr>
            <w:tcW w:w="820" w:type="dxa"/>
            <w:tcBorders>
              <w:top w:val="nil"/>
              <w:left w:val="nil"/>
              <w:bottom w:val="single" w:sz="4" w:space="0" w:color="auto"/>
              <w:right w:val="single" w:sz="4" w:space="0" w:color="auto"/>
            </w:tcBorders>
            <w:noWrap/>
            <w:vAlign w:val="center"/>
          </w:tcPr>
          <w:p w14:paraId="149222A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4624</w:t>
            </w:r>
          </w:p>
        </w:tc>
        <w:tc>
          <w:tcPr>
            <w:tcW w:w="820" w:type="dxa"/>
            <w:tcBorders>
              <w:top w:val="nil"/>
              <w:left w:val="nil"/>
              <w:bottom w:val="single" w:sz="4" w:space="0" w:color="auto"/>
              <w:right w:val="single" w:sz="4" w:space="0" w:color="auto"/>
            </w:tcBorders>
            <w:noWrap/>
            <w:vAlign w:val="center"/>
          </w:tcPr>
          <w:p w14:paraId="4548406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3892</w:t>
            </w:r>
          </w:p>
        </w:tc>
        <w:tc>
          <w:tcPr>
            <w:tcW w:w="820" w:type="dxa"/>
            <w:tcBorders>
              <w:top w:val="nil"/>
              <w:left w:val="nil"/>
              <w:bottom w:val="single" w:sz="4" w:space="0" w:color="auto"/>
              <w:right w:val="single" w:sz="4" w:space="0" w:color="auto"/>
            </w:tcBorders>
            <w:noWrap/>
            <w:vAlign w:val="center"/>
          </w:tcPr>
          <w:p w14:paraId="7FDC74A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2907</w:t>
            </w:r>
          </w:p>
        </w:tc>
      </w:tr>
      <w:tr w:rsidR="00044E7A" w14:paraId="74882683"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73FEB02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0CB8D6FC"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2A1C3D1E"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OP ratio</w:t>
            </w:r>
          </w:p>
        </w:tc>
        <w:tc>
          <w:tcPr>
            <w:tcW w:w="820" w:type="dxa"/>
            <w:tcBorders>
              <w:top w:val="nil"/>
              <w:left w:val="nil"/>
              <w:bottom w:val="single" w:sz="4" w:space="0" w:color="auto"/>
              <w:right w:val="single" w:sz="4" w:space="0" w:color="auto"/>
            </w:tcBorders>
            <w:noWrap/>
            <w:vAlign w:val="center"/>
          </w:tcPr>
          <w:p w14:paraId="18616AE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23.09%</w:t>
            </w:r>
          </w:p>
        </w:tc>
        <w:tc>
          <w:tcPr>
            <w:tcW w:w="820" w:type="dxa"/>
            <w:tcBorders>
              <w:top w:val="nil"/>
              <w:left w:val="nil"/>
              <w:bottom w:val="single" w:sz="4" w:space="0" w:color="auto"/>
              <w:right w:val="single" w:sz="4" w:space="0" w:color="auto"/>
            </w:tcBorders>
            <w:noWrap/>
            <w:vAlign w:val="center"/>
          </w:tcPr>
          <w:p w14:paraId="6C4E48C6"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21.15%</w:t>
            </w:r>
          </w:p>
        </w:tc>
        <w:tc>
          <w:tcPr>
            <w:tcW w:w="820" w:type="dxa"/>
            <w:tcBorders>
              <w:top w:val="nil"/>
              <w:left w:val="nil"/>
              <w:bottom w:val="single" w:sz="4" w:space="0" w:color="auto"/>
              <w:right w:val="single" w:sz="4" w:space="0" w:color="auto"/>
            </w:tcBorders>
            <w:noWrap/>
            <w:vAlign w:val="center"/>
          </w:tcPr>
          <w:p w14:paraId="124ACA9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23.05%</w:t>
            </w:r>
          </w:p>
        </w:tc>
        <w:tc>
          <w:tcPr>
            <w:tcW w:w="820" w:type="dxa"/>
            <w:tcBorders>
              <w:top w:val="nil"/>
              <w:left w:val="nil"/>
              <w:bottom w:val="single" w:sz="4" w:space="0" w:color="auto"/>
              <w:right w:val="single" w:sz="4" w:space="0" w:color="auto"/>
            </w:tcBorders>
            <w:noWrap/>
            <w:vAlign w:val="center"/>
          </w:tcPr>
          <w:p w14:paraId="5A4BDE72"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16.14%</w:t>
            </w:r>
          </w:p>
        </w:tc>
        <w:tc>
          <w:tcPr>
            <w:tcW w:w="820" w:type="dxa"/>
            <w:tcBorders>
              <w:top w:val="nil"/>
              <w:left w:val="nil"/>
              <w:bottom w:val="single" w:sz="4" w:space="0" w:color="auto"/>
              <w:right w:val="single" w:sz="4" w:space="0" w:color="auto"/>
            </w:tcBorders>
            <w:noWrap/>
            <w:vAlign w:val="center"/>
          </w:tcPr>
          <w:p w14:paraId="2BA1AD75"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16.99%</w:t>
            </w:r>
          </w:p>
        </w:tc>
      </w:tr>
      <w:tr w:rsidR="00044E7A" w14:paraId="349859DA"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263A549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tcBorders>
              <w:top w:val="nil"/>
              <w:left w:val="nil"/>
              <w:bottom w:val="single" w:sz="4" w:space="0" w:color="auto"/>
              <w:right w:val="single" w:sz="4" w:space="0" w:color="auto"/>
            </w:tcBorders>
            <w:vAlign w:val="center"/>
          </w:tcPr>
          <w:p w14:paraId="26CC1F5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7FDC0BF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37C348F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59D2DD8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098A88C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22ADD4E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01CD1B2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30466651"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53BBC521"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val="restart"/>
            <w:tcBorders>
              <w:top w:val="nil"/>
              <w:left w:val="single" w:sz="4" w:space="0" w:color="auto"/>
              <w:bottom w:val="single" w:sz="4" w:space="0" w:color="auto"/>
              <w:right w:val="single" w:sz="4" w:space="0" w:color="auto"/>
            </w:tcBorders>
            <w:vAlign w:val="center"/>
          </w:tcPr>
          <w:p w14:paraId="6586780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Net profit margin</w:t>
            </w:r>
          </w:p>
        </w:tc>
        <w:tc>
          <w:tcPr>
            <w:tcW w:w="2060" w:type="dxa"/>
            <w:tcBorders>
              <w:top w:val="nil"/>
              <w:left w:val="nil"/>
              <w:bottom w:val="single" w:sz="4" w:space="0" w:color="auto"/>
              <w:right w:val="single" w:sz="4" w:space="0" w:color="auto"/>
            </w:tcBorders>
            <w:vAlign w:val="center"/>
          </w:tcPr>
          <w:p w14:paraId="72B773B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Net profit</w:t>
            </w:r>
          </w:p>
        </w:tc>
        <w:tc>
          <w:tcPr>
            <w:tcW w:w="820" w:type="dxa"/>
            <w:tcBorders>
              <w:top w:val="nil"/>
              <w:left w:val="nil"/>
              <w:bottom w:val="single" w:sz="4" w:space="0" w:color="auto"/>
              <w:right w:val="single" w:sz="4" w:space="0" w:color="auto"/>
            </w:tcBorders>
            <w:noWrap/>
            <w:vAlign w:val="center"/>
          </w:tcPr>
          <w:p w14:paraId="02E019A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759</w:t>
            </w:r>
          </w:p>
        </w:tc>
        <w:tc>
          <w:tcPr>
            <w:tcW w:w="820" w:type="dxa"/>
            <w:tcBorders>
              <w:top w:val="nil"/>
              <w:left w:val="nil"/>
              <w:bottom w:val="single" w:sz="4" w:space="0" w:color="auto"/>
              <w:right w:val="single" w:sz="4" w:space="0" w:color="auto"/>
            </w:tcBorders>
            <w:noWrap/>
            <w:vAlign w:val="center"/>
          </w:tcPr>
          <w:p w14:paraId="6A44655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628</w:t>
            </w:r>
          </w:p>
        </w:tc>
        <w:tc>
          <w:tcPr>
            <w:tcW w:w="820" w:type="dxa"/>
            <w:tcBorders>
              <w:top w:val="nil"/>
              <w:left w:val="nil"/>
              <w:bottom w:val="single" w:sz="4" w:space="0" w:color="auto"/>
              <w:right w:val="single" w:sz="4" w:space="0" w:color="auto"/>
            </w:tcBorders>
            <w:noWrap/>
            <w:vAlign w:val="center"/>
          </w:tcPr>
          <w:p w14:paraId="5CF0C6B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750</w:t>
            </w:r>
          </w:p>
        </w:tc>
        <w:tc>
          <w:tcPr>
            <w:tcW w:w="820" w:type="dxa"/>
            <w:tcBorders>
              <w:top w:val="nil"/>
              <w:left w:val="nil"/>
              <w:bottom w:val="single" w:sz="4" w:space="0" w:color="auto"/>
              <w:right w:val="single" w:sz="4" w:space="0" w:color="auto"/>
            </w:tcBorders>
            <w:noWrap/>
            <w:vAlign w:val="center"/>
          </w:tcPr>
          <w:p w14:paraId="1C048B5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376</w:t>
            </w:r>
          </w:p>
        </w:tc>
        <w:tc>
          <w:tcPr>
            <w:tcW w:w="820" w:type="dxa"/>
            <w:tcBorders>
              <w:top w:val="nil"/>
              <w:left w:val="nil"/>
              <w:bottom w:val="single" w:sz="4" w:space="0" w:color="auto"/>
              <w:right w:val="single" w:sz="4" w:space="0" w:color="auto"/>
            </w:tcBorders>
            <w:noWrap/>
            <w:vAlign w:val="center"/>
          </w:tcPr>
          <w:p w14:paraId="7561495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265</w:t>
            </w:r>
          </w:p>
        </w:tc>
      </w:tr>
      <w:tr w:rsidR="00044E7A" w14:paraId="7F492E25"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17D00CC4"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23867ECA"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79BADF1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Turnover</w:t>
            </w:r>
          </w:p>
        </w:tc>
        <w:tc>
          <w:tcPr>
            <w:tcW w:w="820" w:type="dxa"/>
            <w:tcBorders>
              <w:top w:val="nil"/>
              <w:left w:val="nil"/>
              <w:bottom w:val="single" w:sz="4" w:space="0" w:color="auto"/>
              <w:right w:val="single" w:sz="4" w:space="0" w:color="auto"/>
            </w:tcBorders>
            <w:noWrap/>
            <w:vAlign w:val="center"/>
          </w:tcPr>
          <w:p w14:paraId="110CD7F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5189</w:t>
            </w:r>
          </w:p>
        </w:tc>
        <w:tc>
          <w:tcPr>
            <w:tcW w:w="820" w:type="dxa"/>
            <w:tcBorders>
              <w:top w:val="nil"/>
              <w:left w:val="nil"/>
              <w:bottom w:val="single" w:sz="4" w:space="0" w:color="auto"/>
              <w:right w:val="single" w:sz="4" w:space="0" w:color="auto"/>
            </w:tcBorders>
            <w:noWrap/>
            <w:vAlign w:val="center"/>
          </w:tcPr>
          <w:p w14:paraId="34C6B09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4923</w:t>
            </w:r>
          </w:p>
        </w:tc>
        <w:tc>
          <w:tcPr>
            <w:tcW w:w="820" w:type="dxa"/>
            <w:tcBorders>
              <w:top w:val="nil"/>
              <w:left w:val="nil"/>
              <w:bottom w:val="single" w:sz="4" w:space="0" w:color="auto"/>
              <w:right w:val="single" w:sz="4" w:space="0" w:color="auto"/>
            </w:tcBorders>
            <w:noWrap/>
            <w:vAlign w:val="center"/>
          </w:tcPr>
          <w:p w14:paraId="45718D1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4624</w:t>
            </w:r>
          </w:p>
        </w:tc>
        <w:tc>
          <w:tcPr>
            <w:tcW w:w="820" w:type="dxa"/>
            <w:tcBorders>
              <w:top w:val="nil"/>
              <w:left w:val="nil"/>
              <w:bottom w:val="single" w:sz="4" w:space="0" w:color="auto"/>
              <w:right w:val="single" w:sz="4" w:space="0" w:color="auto"/>
            </w:tcBorders>
            <w:noWrap/>
            <w:vAlign w:val="center"/>
          </w:tcPr>
          <w:p w14:paraId="303E64F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3892</w:t>
            </w:r>
          </w:p>
        </w:tc>
        <w:tc>
          <w:tcPr>
            <w:tcW w:w="820" w:type="dxa"/>
            <w:tcBorders>
              <w:top w:val="nil"/>
              <w:left w:val="nil"/>
              <w:bottom w:val="single" w:sz="4" w:space="0" w:color="auto"/>
              <w:right w:val="single" w:sz="4" w:space="0" w:color="auto"/>
            </w:tcBorders>
            <w:noWrap/>
            <w:vAlign w:val="center"/>
          </w:tcPr>
          <w:p w14:paraId="64B4987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2907</w:t>
            </w:r>
          </w:p>
        </w:tc>
      </w:tr>
      <w:tr w:rsidR="00044E7A" w14:paraId="679972E2"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357C2E63"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780C69FF"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0F4B5A45"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NP ratio</w:t>
            </w:r>
          </w:p>
        </w:tc>
        <w:tc>
          <w:tcPr>
            <w:tcW w:w="820" w:type="dxa"/>
            <w:tcBorders>
              <w:top w:val="nil"/>
              <w:left w:val="nil"/>
              <w:bottom w:val="single" w:sz="4" w:space="0" w:color="auto"/>
              <w:right w:val="single" w:sz="4" w:space="0" w:color="auto"/>
            </w:tcBorders>
            <w:noWrap/>
            <w:vAlign w:val="center"/>
          </w:tcPr>
          <w:p w14:paraId="58D2BBA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14.63%</w:t>
            </w:r>
          </w:p>
        </w:tc>
        <w:tc>
          <w:tcPr>
            <w:tcW w:w="820" w:type="dxa"/>
            <w:tcBorders>
              <w:top w:val="nil"/>
              <w:left w:val="nil"/>
              <w:bottom w:val="single" w:sz="4" w:space="0" w:color="auto"/>
              <w:right w:val="single" w:sz="4" w:space="0" w:color="auto"/>
            </w:tcBorders>
            <w:noWrap/>
            <w:vAlign w:val="center"/>
          </w:tcPr>
          <w:p w14:paraId="277573B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12.76%</w:t>
            </w:r>
          </w:p>
        </w:tc>
        <w:tc>
          <w:tcPr>
            <w:tcW w:w="820" w:type="dxa"/>
            <w:tcBorders>
              <w:top w:val="nil"/>
              <w:left w:val="nil"/>
              <w:bottom w:val="single" w:sz="4" w:space="0" w:color="auto"/>
              <w:right w:val="single" w:sz="4" w:space="0" w:color="auto"/>
            </w:tcBorders>
            <w:noWrap/>
            <w:vAlign w:val="center"/>
          </w:tcPr>
          <w:p w14:paraId="5FE53E52"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16.22%</w:t>
            </w:r>
          </w:p>
        </w:tc>
        <w:tc>
          <w:tcPr>
            <w:tcW w:w="820" w:type="dxa"/>
            <w:tcBorders>
              <w:top w:val="nil"/>
              <w:left w:val="nil"/>
              <w:bottom w:val="single" w:sz="4" w:space="0" w:color="auto"/>
              <w:right w:val="single" w:sz="4" w:space="0" w:color="auto"/>
            </w:tcBorders>
            <w:noWrap/>
            <w:vAlign w:val="center"/>
          </w:tcPr>
          <w:p w14:paraId="7894BFE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9.66%</w:t>
            </w:r>
          </w:p>
        </w:tc>
        <w:tc>
          <w:tcPr>
            <w:tcW w:w="820" w:type="dxa"/>
            <w:tcBorders>
              <w:top w:val="nil"/>
              <w:left w:val="nil"/>
              <w:bottom w:val="single" w:sz="4" w:space="0" w:color="auto"/>
              <w:right w:val="single" w:sz="4" w:space="0" w:color="auto"/>
            </w:tcBorders>
            <w:noWrap/>
            <w:vAlign w:val="center"/>
          </w:tcPr>
          <w:p w14:paraId="7D9210B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9.12%</w:t>
            </w:r>
          </w:p>
        </w:tc>
      </w:tr>
      <w:tr w:rsidR="00044E7A" w14:paraId="3F78D453" w14:textId="77777777">
        <w:trPr>
          <w:trHeight w:val="290"/>
        </w:trPr>
        <w:tc>
          <w:tcPr>
            <w:tcW w:w="1200" w:type="dxa"/>
            <w:tcBorders>
              <w:top w:val="nil"/>
              <w:left w:val="single" w:sz="4" w:space="0" w:color="auto"/>
              <w:bottom w:val="single" w:sz="4" w:space="0" w:color="auto"/>
              <w:right w:val="single" w:sz="4" w:space="0" w:color="auto"/>
            </w:tcBorders>
            <w:vAlign w:val="center"/>
          </w:tcPr>
          <w:p w14:paraId="04D93FE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540" w:type="dxa"/>
            <w:tcBorders>
              <w:top w:val="nil"/>
              <w:left w:val="nil"/>
              <w:bottom w:val="single" w:sz="4" w:space="0" w:color="auto"/>
              <w:right w:val="single" w:sz="4" w:space="0" w:color="auto"/>
            </w:tcBorders>
            <w:vAlign w:val="center"/>
          </w:tcPr>
          <w:p w14:paraId="1D75B87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4833945D"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7DCF7E6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1C317F0D"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31E3E7C5"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0F3F467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097DF05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r>
      <w:tr w:rsidR="00044E7A" w14:paraId="32F7D0D8" w14:textId="77777777">
        <w:trPr>
          <w:trHeight w:val="290"/>
        </w:trPr>
        <w:tc>
          <w:tcPr>
            <w:tcW w:w="1200" w:type="dxa"/>
            <w:vMerge w:val="restart"/>
            <w:tcBorders>
              <w:top w:val="nil"/>
              <w:left w:val="single" w:sz="4" w:space="0" w:color="auto"/>
              <w:bottom w:val="single" w:sz="4" w:space="0" w:color="auto"/>
              <w:right w:val="single" w:sz="4" w:space="0" w:color="auto"/>
            </w:tcBorders>
            <w:vAlign w:val="center"/>
          </w:tcPr>
          <w:p w14:paraId="197654E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Efficiency ratios</w:t>
            </w:r>
          </w:p>
        </w:tc>
        <w:tc>
          <w:tcPr>
            <w:tcW w:w="1540" w:type="dxa"/>
            <w:vMerge w:val="restart"/>
            <w:tcBorders>
              <w:top w:val="nil"/>
              <w:left w:val="single" w:sz="4" w:space="0" w:color="auto"/>
              <w:bottom w:val="single" w:sz="4" w:space="0" w:color="auto"/>
              <w:right w:val="single" w:sz="4" w:space="0" w:color="auto"/>
            </w:tcBorders>
            <w:vAlign w:val="center"/>
          </w:tcPr>
          <w:p w14:paraId="6BA34F0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Receivables collection period</w:t>
            </w:r>
          </w:p>
        </w:tc>
        <w:tc>
          <w:tcPr>
            <w:tcW w:w="2060" w:type="dxa"/>
            <w:tcBorders>
              <w:top w:val="nil"/>
              <w:left w:val="nil"/>
              <w:bottom w:val="single" w:sz="4" w:space="0" w:color="auto"/>
              <w:right w:val="single" w:sz="4" w:space="0" w:color="auto"/>
            </w:tcBorders>
            <w:vAlign w:val="center"/>
          </w:tcPr>
          <w:p w14:paraId="731C5D3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Trade receivables</w:t>
            </w:r>
          </w:p>
        </w:tc>
        <w:tc>
          <w:tcPr>
            <w:tcW w:w="820" w:type="dxa"/>
            <w:tcBorders>
              <w:top w:val="nil"/>
              <w:left w:val="nil"/>
              <w:bottom w:val="single" w:sz="4" w:space="0" w:color="auto"/>
              <w:right w:val="single" w:sz="4" w:space="0" w:color="auto"/>
            </w:tcBorders>
            <w:noWrap/>
            <w:vAlign w:val="center"/>
          </w:tcPr>
          <w:p w14:paraId="2232044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833</w:t>
            </w:r>
          </w:p>
        </w:tc>
        <w:tc>
          <w:tcPr>
            <w:tcW w:w="820" w:type="dxa"/>
            <w:tcBorders>
              <w:top w:val="nil"/>
              <w:left w:val="nil"/>
              <w:bottom w:val="single" w:sz="4" w:space="0" w:color="auto"/>
              <w:right w:val="single" w:sz="4" w:space="0" w:color="auto"/>
            </w:tcBorders>
            <w:noWrap/>
            <w:vAlign w:val="center"/>
          </w:tcPr>
          <w:p w14:paraId="73DB72F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785</w:t>
            </w:r>
          </w:p>
        </w:tc>
        <w:tc>
          <w:tcPr>
            <w:tcW w:w="820" w:type="dxa"/>
            <w:tcBorders>
              <w:top w:val="nil"/>
              <w:left w:val="nil"/>
              <w:bottom w:val="single" w:sz="4" w:space="0" w:color="auto"/>
              <w:right w:val="single" w:sz="4" w:space="0" w:color="auto"/>
            </w:tcBorders>
            <w:noWrap/>
            <w:vAlign w:val="center"/>
          </w:tcPr>
          <w:p w14:paraId="44D6064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740</w:t>
            </w:r>
          </w:p>
        </w:tc>
        <w:tc>
          <w:tcPr>
            <w:tcW w:w="820" w:type="dxa"/>
            <w:tcBorders>
              <w:top w:val="nil"/>
              <w:left w:val="nil"/>
              <w:bottom w:val="single" w:sz="4" w:space="0" w:color="auto"/>
              <w:right w:val="single" w:sz="4" w:space="0" w:color="auto"/>
            </w:tcBorders>
            <w:noWrap/>
            <w:vAlign w:val="center"/>
          </w:tcPr>
          <w:p w14:paraId="61BCCE5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646</w:t>
            </w:r>
          </w:p>
        </w:tc>
        <w:tc>
          <w:tcPr>
            <w:tcW w:w="820" w:type="dxa"/>
            <w:tcBorders>
              <w:top w:val="nil"/>
              <w:left w:val="nil"/>
              <w:bottom w:val="single" w:sz="4" w:space="0" w:color="auto"/>
              <w:right w:val="single" w:sz="4" w:space="0" w:color="auto"/>
            </w:tcBorders>
            <w:noWrap/>
            <w:vAlign w:val="center"/>
          </w:tcPr>
          <w:p w14:paraId="234541B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574</w:t>
            </w:r>
          </w:p>
        </w:tc>
      </w:tr>
      <w:tr w:rsidR="00044E7A" w14:paraId="3363FED8"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6813B87F"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5799CBA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4226DEF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Turnover</w:t>
            </w:r>
          </w:p>
        </w:tc>
        <w:tc>
          <w:tcPr>
            <w:tcW w:w="820" w:type="dxa"/>
            <w:tcBorders>
              <w:top w:val="nil"/>
              <w:left w:val="nil"/>
              <w:bottom w:val="single" w:sz="4" w:space="0" w:color="auto"/>
              <w:right w:val="single" w:sz="4" w:space="0" w:color="auto"/>
            </w:tcBorders>
            <w:noWrap/>
            <w:vAlign w:val="center"/>
          </w:tcPr>
          <w:p w14:paraId="6844C25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5189</w:t>
            </w:r>
          </w:p>
        </w:tc>
        <w:tc>
          <w:tcPr>
            <w:tcW w:w="820" w:type="dxa"/>
            <w:tcBorders>
              <w:top w:val="nil"/>
              <w:left w:val="nil"/>
              <w:bottom w:val="single" w:sz="4" w:space="0" w:color="auto"/>
              <w:right w:val="single" w:sz="4" w:space="0" w:color="auto"/>
            </w:tcBorders>
            <w:noWrap/>
            <w:vAlign w:val="center"/>
          </w:tcPr>
          <w:p w14:paraId="30E11D5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4923</w:t>
            </w:r>
          </w:p>
        </w:tc>
        <w:tc>
          <w:tcPr>
            <w:tcW w:w="820" w:type="dxa"/>
            <w:tcBorders>
              <w:top w:val="nil"/>
              <w:left w:val="nil"/>
              <w:bottom w:val="single" w:sz="4" w:space="0" w:color="auto"/>
              <w:right w:val="single" w:sz="4" w:space="0" w:color="auto"/>
            </w:tcBorders>
            <w:noWrap/>
            <w:vAlign w:val="center"/>
          </w:tcPr>
          <w:p w14:paraId="472F44E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4624</w:t>
            </w:r>
          </w:p>
        </w:tc>
        <w:tc>
          <w:tcPr>
            <w:tcW w:w="820" w:type="dxa"/>
            <w:tcBorders>
              <w:top w:val="nil"/>
              <w:left w:val="nil"/>
              <w:bottom w:val="single" w:sz="4" w:space="0" w:color="auto"/>
              <w:right w:val="single" w:sz="4" w:space="0" w:color="auto"/>
            </w:tcBorders>
            <w:noWrap/>
            <w:vAlign w:val="center"/>
          </w:tcPr>
          <w:p w14:paraId="7B72675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3892</w:t>
            </w:r>
          </w:p>
        </w:tc>
        <w:tc>
          <w:tcPr>
            <w:tcW w:w="820" w:type="dxa"/>
            <w:tcBorders>
              <w:top w:val="nil"/>
              <w:left w:val="nil"/>
              <w:bottom w:val="single" w:sz="4" w:space="0" w:color="auto"/>
              <w:right w:val="single" w:sz="4" w:space="0" w:color="auto"/>
            </w:tcBorders>
            <w:noWrap/>
            <w:vAlign w:val="center"/>
          </w:tcPr>
          <w:p w14:paraId="6EF4761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2907</w:t>
            </w:r>
          </w:p>
        </w:tc>
      </w:tr>
      <w:tr w:rsidR="00044E7A" w14:paraId="6A8900D7" w14:textId="77777777">
        <w:trPr>
          <w:trHeight w:val="520"/>
        </w:trPr>
        <w:tc>
          <w:tcPr>
            <w:tcW w:w="1200" w:type="dxa"/>
            <w:vMerge/>
            <w:tcBorders>
              <w:top w:val="nil"/>
              <w:left w:val="single" w:sz="4" w:space="0" w:color="auto"/>
              <w:bottom w:val="single" w:sz="4" w:space="0" w:color="auto"/>
              <w:right w:val="single" w:sz="4" w:space="0" w:color="auto"/>
            </w:tcBorders>
            <w:vAlign w:val="center"/>
          </w:tcPr>
          <w:p w14:paraId="1E3462E3"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5AC25DB4"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6D91A7EA"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Receivables collection period</w:t>
            </w:r>
          </w:p>
        </w:tc>
        <w:tc>
          <w:tcPr>
            <w:tcW w:w="820" w:type="dxa"/>
            <w:tcBorders>
              <w:top w:val="nil"/>
              <w:left w:val="nil"/>
              <w:bottom w:val="single" w:sz="4" w:space="0" w:color="auto"/>
              <w:right w:val="single" w:sz="4" w:space="0" w:color="auto"/>
            </w:tcBorders>
            <w:noWrap/>
            <w:vAlign w:val="center"/>
          </w:tcPr>
          <w:p w14:paraId="07E3C0E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58.59</w:t>
            </w:r>
          </w:p>
        </w:tc>
        <w:tc>
          <w:tcPr>
            <w:tcW w:w="820" w:type="dxa"/>
            <w:tcBorders>
              <w:top w:val="nil"/>
              <w:left w:val="nil"/>
              <w:bottom w:val="single" w:sz="4" w:space="0" w:color="auto"/>
              <w:right w:val="single" w:sz="4" w:space="0" w:color="auto"/>
            </w:tcBorders>
            <w:noWrap/>
            <w:vAlign w:val="center"/>
          </w:tcPr>
          <w:p w14:paraId="476D4D4B"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58.20</w:t>
            </w:r>
          </w:p>
        </w:tc>
        <w:tc>
          <w:tcPr>
            <w:tcW w:w="820" w:type="dxa"/>
            <w:tcBorders>
              <w:top w:val="nil"/>
              <w:left w:val="nil"/>
              <w:bottom w:val="single" w:sz="4" w:space="0" w:color="auto"/>
              <w:right w:val="single" w:sz="4" w:space="0" w:color="auto"/>
            </w:tcBorders>
            <w:noWrap/>
            <w:vAlign w:val="center"/>
          </w:tcPr>
          <w:p w14:paraId="473B002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58.41</w:t>
            </w:r>
          </w:p>
        </w:tc>
        <w:tc>
          <w:tcPr>
            <w:tcW w:w="820" w:type="dxa"/>
            <w:tcBorders>
              <w:top w:val="nil"/>
              <w:left w:val="nil"/>
              <w:bottom w:val="single" w:sz="4" w:space="0" w:color="auto"/>
              <w:right w:val="single" w:sz="4" w:space="0" w:color="auto"/>
            </w:tcBorders>
            <w:noWrap/>
            <w:vAlign w:val="center"/>
          </w:tcPr>
          <w:p w14:paraId="3D80A936"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60.58</w:t>
            </w:r>
          </w:p>
        </w:tc>
        <w:tc>
          <w:tcPr>
            <w:tcW w:w="820" w:type="dxa"/>
            <w:tcBorders>
              <w:top w:val="nil"/>
              <w:left w:val="nil"/>
              <w:bottom w:val="single" w:sz="4" w:space="0" w:color="auto"/>
              <w:right w:val="single" w:sz="4" w:space="0" w:color="auto"/>
            </w:tcBorders>
            <w:noWrap/>
            <w:vAlign w:val="center"/>
          </w:tcPr>
          <w:p w14:paraId="0BE8517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72.07</w:t>
            </w:r>
          </w:p>
        </w:tc>
      </w:tr>
      <w:tr w:rsidR="00044E7A" w14:paraId="7F078469"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24F21911"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tcBorders>
              <w:top w:val="nil"/>
              <w:left w:val="nil"/>
              <w:bottom w:val="single" w:sz="4" w:space="0" w:color="auto"/>
              <w:right w:val="single" w:sz="4" w:space="0" w:color="auto"/>
            </w:tcBorders>
            <w:vAlign w:val="center"/>
          </w:tcPr>
          <w:p w14:paraId="76B8564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18D3997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08B4689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0C1D3F5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59131E2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4D78B78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2B267FF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1C847923"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5E6FA901"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val="restart"/>
            <w:tcBorders>
              <w:top w:val="nil"/>
              <w:left w:val="single" w:sz="4" w:space="0" w:color="auto"/>
              <w:bottom w:val="single" w:sz="4" w:space="0" w:color="auto"/>
              <w:right w:val="single" w:sz="4" w:space="0" w:color="auto"/>
            </w:tcBorders>
            <w:vAlign w:val="center"/>
          </w:tcPr>
          <w:p w14:paraId="7CB364C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Payables payment period</w:t>
            </w:r>
          </w:p>
        </w:tc>
        <w:tc>
          <w:tcPr>
            <w:tcW w:w="2060" w:type="dxa"/>
            <w:tcBorders>
              <w:top w:val="nil"/>
              <w:left w:val="nil"/>
              <w:bottom w:val="single" w:sz="4" w:space="0" w:color="auto"/>
              <w:right w:val="single" w:sz="4" w:space="0" w:color="auto"/>
            </w:tcBorders>
            <w:vAlign w:val="center"/>
          </w:tcPr>
          <w:p w14:paraId="092D0E5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Trade payables</w:t>
            </w:r>
          </w:p>
        </w:tc>
        <w:tc>
          <w:tcPr>
            <w:tcW w:w="820" w:type="dxa"/>
            <w:tcBorders>
              <w:top w:val="nil"/>
              <w:left w:val="nil"/>
              <w:bottom w:val="single" w:sz="4" w:space="0" w:color="auto"/>
              <w:right w:val="single" w:sz="4" w:space="0" w:color="auto"/>
            </w:tcBorders>
            <w:noWrap/>
            <w:vAlign w:val="center"/>
          </w:tcPr>
          <w:p w14:paraId="208BEB5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69</w:t>
            </w:r>
          </w:p>
        </w:tc>
        <w:tc>
          <w:tcPr>
            <w:tcW w:w="820" w:type="dxa"/>
            <w:tcBorders>
              <w:top w:val="nil"/>
              <w:left w:val="nil"/>
              <w:bottom w:val="single" w:sz="4" w:space="0" w:color="auto"/>
              <w:right w:val="single" w:sz="4" w:space="0" w:color="auto"/>
            </w:tcBorders>
            <w:noWrap/>
            <w:vAlign w:val="center"/>
          </w:tcPr>
          <w:p w14:paraId="32D0F46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78</w:t>
            </w:r>
          </w:p>
        </w:tc>
        <w:tc>
          <w:tcPr>
            <w:tcW w:w="820" w:type="dxa"/>
            <w:tcBorders>
              <w:top w:val="nil"/>
              <w:left w:val="nil"/>
              <w:bottom w:val="single" w:sz="4" w:space="0" w:color="auto"/>
              <w:right w:val="single" w:sz="4" w:space="0" w:color="auto"/>
            </w:tcBorders>
            <w:noWrap/>
            <w:vAlign w:val="center"/>
          </w:tcPr>
          <w:p w14:paraId="153CCDF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75</w:t>
            </w:r>
          </w:p>
        </w:tc>
        <w:tc>
          <w:tcPr>
            <w:tcW w:w="820" w:type="dxa"/>
            <w:tcBorders>
              <w:top w:val="nil"/>
              <w:left w:val="nil"/>
              <w:bottom w:val="single" w:sz="4" w:space="0" w:color="auto"/>
              <w:right w:val="single" w:sz="4" w:space="0" w:color="auto"/>
            </w:tcBorders>
            <w:noWrap/>
            <w:vAlign w:val="center"/>
          </w:tcPr>
          <w:p w14:paraId="58B544B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81</w:t>
            </w:r>
          </w:p>
        </w:tc>
        <w:tc>
          <w:tcPr>
            <w:tcW w:w="820" w:type="dxa"/>
            <w:tcBorders>
              <w:top w:val="nil"/>
              <w:left w:val="nil"/>
              <w:bottom w:val="single" w:sz="4" w:space="0" w:color="auto"/>
              <w:right w:val="single" w:sz="4" w:space="0" w:color="auto"/>
            </w:tcBorders>
            <w:noWrap/>
            <w:vAlign w:val="center"/>
          </w:tcPr>
          <w:p w14:paraId="3D19A96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57</w:t>
            </w:r>
          </w:p>
        </w:tc>
      </w:tr>
      <w:tr w:rsidR="00044E7A" w14:paraId="72F764E9"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2127E75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12E2D43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22F4132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Cost of sales</w:t>
            </w:r>
          </w:p>
        </w:tc>
        <w:tc>
          <w:tcPr>
            <w:tcW w:w="820" w:type="dxa"/>
            <w:tcBorders>
              <w:top w:val="nil"/>
              <w:left w:val="nil"/>
              <w:bottom w:val="single" w:sz="4" w:space="0" w:color="auto"/>
              <w:right w:val="single" w:sz="4" w:space="0" w:color="auto"/>
            </w:tcBorders>
            <w:noWrap/>
            <w:vAlign w:val="center"/>
          </w:tcPr>
          <w:p w14:paraId="088EA7F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764</w:t>
            </w:r>
          </w:p>
        </w:tc>
        <w:tc>
          <w:tcPr>
            <w:tcW w:w="820" w:type="dxa"/>
            <w:tcBorders>
              <w:top w:val="nil"/>
              <w:left w:val="nil"/>
              <w:bottom w:val="single" w:sz="4" w:space="0" w:color="auto"/>
              <w:right w:val="single" w:sz="4" w:space="0" w:color="auto"/>
            </w:tcBorders>
            <w:noWrap/>
            <w:vAlign w:val="center"/>
          </w:tcPr>
          <w:p w14:paraId="63CE737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745</w:t>
            </w:r>
          </w:p>
        </w:tc>
        <w:tc>
          <w:tcPr>
            <w:tcW w:w="820" w:type="dxa"/>
            <w:tcBorders>
              <w:top w:val="nil"/>
              <w:left w:val="nil"/>
              <w:bottom w:val="single" w:sz="4" w:space="0" w:color="auto"/>
              <w:right w:val="single" w:sz="4" w:space="0" w:color="auto"/>
            </w:tcBorders>
            <w:noWrap/>
            <w:vAlign w:val="center"/>
          </w:tcPr>
          <w:p w14:paraId="022F7F2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742</w:t>
            </w:r>
          </w:p>
        </w:tc>
        <w:tc>
          <w:tcPr>
            <w:tcW w:w="820" w:type="dxa"/>
            <w:tcBorders>
              <w:top w:val="nil"/>
              <w:left w:val="nil"/>
              <w:bottom w:val="single" w:sz="4" w:space="0" w:color="auto"/>
              <w:right w:val="single" w:sz="4" w:space="0" w:color="auto"/>
            </w:tcBorders>
            <w:noWrap/>
            <w:vAlign w:val="center"/>
          </w:tcPr>
          <w:p w14:paraId="732EEC5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648</w:t>
            </w:r>
          </w:p>
        </w:tc>
        <w:tc>
          <w:tcPr>
            <w:tcW w:w="820" w:type="dxa"/>
            <w:tcBorders>
              <w:top w:val="nil"/>
              <w:left w:val="nil"/>
              <w:bottom w:val="single" w:sz="4" w:space="0" w:color="auto"/>
              <w:right w:val="single" w:sz="4" w:space="0" w:color="auto"/>
            </w:tcBorders>
            <w:noWrap/>
            <w:vAlign w:val="center"/>
          </w:tcPr>
          <w:p w14:paraId="6A2D9D4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547</w:t>
            </w:r>
          </w:p>
        </w:tc>
      </w:tr>
      <w:tr w:rsidR="00044E7A" w14:paraId="034A3DE3" w14:textId="77777777">
        <w:trPr>
          <w:trHeight w:val="520"/>
        </w:trPr>
        <w:tc>
          <w:tcPr>
            <w:tcW w:w="1200" w:type="dxa"/>
            <w:vMerge/>
            <w:tcBorders>
              <w:top w:val="nil"/>
              <w:left w:val="single" w:sz="4" w:space="0" w:color="auto"/>
              <w:bottom w:val="single" w:sz="4" w:space="0" w:color="auto"/>
              <w:right w:val="single" w:sz="4" w:space="0" w:color="auto"/>
            </w:tcBorders>
            <w:vAlign w:val="center"/>
          </w:tcPr>
          <w:p w14:paraId="17E740B9"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1DAAB946"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39927185"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Payables payment period</w:t>
            </w:r>
          </w:p>
        </w:tc>
        <w:tc>
          <w:tcPr>
            <w:tcW w:w="820" w:type="dxa"/>
            <w:tcBorders>
              <w:top w:val="nil"/>
              <w:left w:val="nil"/>
              <w:bottom w:val="single" w:sz="4" w:space="0" w:color="auto"/>
              <w:right w:val="single" w:sz="4" w:space="0" w:color="auto"/>
            </w:tcBorders>
            <w:noWrap/>
            <w:vAlign w:val="center"/>
          </w:tcPr>
          <w:p w14:paraId="4219D2E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32.96</w:t>
            </w:r>
          </w:p>
        </w:tc>
        <w:tc>
          <w:tcPr>
            <w:tcW w:w="820" w:type="dxa"/>
            <w:tcBorders>
              <w:top w:val="nil"/>
              <w:left w:val="nil"/>
              <w:bottom w:val="single" w:sz="4" w:space="0" w:color="auto"/>
              <w:right w:val="single" w:sz="4" w:space="0" w:color="auto"/>
            </w:tcBorders>
            <w:noWrap/>
            <w:vAlign w:val="center"/>
          </w:tcPr>
          <w:p w14:paraId="73BCF51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38.21</w:t>
            </w:r>
          </w:p>
        </w:tc>
        <w:tc>
          <w:tcPr>
            <w:tcW w:w="820" w:type="dxa"/>
            <w:tcBorders>
              <w:top w:val="nil"/>
              <w:left w:val="nil"/>
              <w:bottom w:val="single" w:sz="4" w:space="0" w:color="auto"/>
              <w:right w:val="single" w:sz="4" w:space="0" w:color="auto"/>
            </w:tcBorders>
            <w:noWrap/>
            <w:vAlign w:val="center"/>
          </w:tcPr>
          <w:p w14:paraId="3313089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36.89</w:t>
            </w:r>
          </w:p>
        </w:tc>
        <w:tc>
          <w:tcPr>
            <w:tcW w:w="820" w:type="dxa"/>
            <w:tcBorders>
              <w:top w:val="nil"/>
              <w:left w:val="nil"/>
              <w:bottom w:val="single" w:sz="4" w:space="0" w:color="auto"/>
              <w:right w:val="single" w:sz="4" w:space="0" w:color="auto"/>
            </w:tcBorders>
            <w:noWrap/>
            <w:vAlign w:val="center"/>
          </w:tcPr>
          <w:p w14:paraId="7C3C3F5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45.63</w:t>
            </w:r>
          </w:p>
        </w:tc>
        <w:tc>
          <w:tcPr>
            <w:tcW w:w="820" w:type="dxa"/>
            <w:tcBorders>
              <w:top w:val="nil"/>
              <w:left w:val="nil"/>
              <w:bottom w:val="single" w:sz="4" w:space="0" w:color="auto"/>
              <w:right w:val="single" w:sz="4" w:space="0" w:color="auto"/>
            </w:tcBorders>
            <w:noWrap/>
            <w:vAlign w:val="center"/>
          </w:tcPr>
          <w:p w14:paraId="2E580F2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38.03</w:t>
            </w:r>
          </w:p>
        </w:tc>
      </w:tr>
      <w:tr w:rsidR="00044E7A" w14:paraId="34D133E8"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5234E476"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tcBorders>
              <w:top w:val="nil"/>
              <w:left w:val="nil"/>
              <w:bottom w:val="single" w:sz="4" w:space="0" w:color="auto"/>
              <w:right w:val="single" w:sz="4" w:space="0" w:color="auto"/>
            </w:tcBorders>
            <w:vAlign w:val="center"/>
          </w:tcPr>
          <w:p w14:paraId="522D692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33279EF6"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120A1A2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2899713B"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2199A6F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1EA75D5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15B3FBD7"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r>
      <w:tr w:rsidR="00044E7A" w14:paraId="3FFC977D" w14:textId="77777777">
        <w:trPr>
          <w:trHeight w:val="520"/>
        </w:trPr>
        <w:tc>
          <w:tcPr>
            <w:tcW w:w="1200" w:type="dxa"/>
            <w:vMerge/>
            <w:tcBorders>
              <w:top w:val="nil"/>
              <w:left w:val="single" w:sz="4" w:space="0" w:color="auto"/>
              <w:bottom w:val="single" w:sz="4" w:space="0" w:color="auto"/>
              <w:right w:val="single" w:sz="4" w:space="0" w:color="auto"/>
            </w:tcBorders>
            <w:vAlign w:val="center"/>
          </w:tcPr>
          <w:p w14:paraId="58C12C16"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val="restart"/>
            <w:tcBorders>
              <w:top w:val="nil"/>
              <w:left w:val="single" w:sz="4" w:space="0" w:color="auto"/>
              <w:bottom w:val="single" w:sz="4" w:space="0" w:color="000000"/>
              <w:right w:val="single" w:sz="4" w:space="0" w:color="auto"/>
            </w:tcBorders>
            <w:vAlign w:val="center"/>
          </w:tcPr>
          <w:p w14:paraId="05C53BE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Inventory turnover ratio</w:t>
            </w:r>
          </w:p>
        </w:tc>
        <w:tc>
          <w:tcPr>
            <w:tcW w:w="2060" w:type="dxa"/>
            <w:tcBorders>
              <w:top w:val="nil"/>
              <w:left w:val="nil"/>
              <w:bottom w:val="single" w:sz="4" w:space="0" w:color="auto"/>
              <w:right w:val="single" w:sz="4" w:space="0" w:color="auto"/>
            </w:tcBorders>
            <w:vAlign w:val="center"/>
          </w:tcPr>
          <w:p w14:paraId="7A980D0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Cost of goods sold</w:t>
            </w:r>
          </w:p>
        </w:tc>
        <w:tc>
          <w:tcPr>
            <w:tcW w:w="820" w:type="dxa"/>
            <w:tcBorders>
              <w:top w:val="nil"/>
              <w:left w:val="nil"/>
              <w:bottom w:val="single" w:sz="4" w:space="0" w:color="auto"/>
              <w:right w:val="single" w:sz="4" w:space="0" w:color="auto"/>
            </w:tcBorders>
            <w:noWrap/>
            <w:vAlign w:val="center"/>
          </w:tcPr>
          <w:p w14:paraId="3639501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764.00</w:t>
            </w:r>
          </w:p>
        </w:tc>
        <w:tc>
          <w:tcPr>
            <w:tcW w:w="820" w:type="dxa"/>
            <w:tcBorders>
              <w:top w:val="nil"/>
              <w:left w:val="nil"/>
              <w:bottom w:val="single" w:sz="4" w:space="0" w:color="auto"/>
              <w:right w:val="single" w:sz="4" w:space="0" w:color="auto"/>
            </w:tcBorders>
            <w:noWrap/>
            <w:vAlign w:val="center"/>
          </w:tcPr>
          <w:p w14:paraId="4FC1536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745.00</w:t>
            </w:r>
          </w:p>
        </w:tc>
        <w:tc>
          <w:tcPr>
            <w:tcW w:w="820" w:type="dxa"/>
            <w:tcBorders>
              <w:top w:val="nil"/>
              <w:left w:val="nil"/>
              <w:bottom w:val="single" w:sz="4" w:space="0" w:color="auto"/>
              <w:right w:val="single" w:sz="4" w:space="0" w:color="auto"/>
            </w:tcBorders>
            <w:noWrap/>
            <w:vAlign w:val="center"/>
          </w:tcPr>
          <w:p w14:paraId="46A944E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742.00</w:t>
            </w:r>
          </w:p>
        </w:tc>
        <w:tc>
          <w:tcPr>
            <w:tcW w:w="820" w:type="dxa"/>
            <w:tcBorders>
              <w:top w:val="nil"/>
              <w:left w:val="nil"/>
              <w:bottom w:val="single" w:sz="4" w:space="0" w:color="auto"/>
              <w:right w:val="single" w:sz="4" w:space="0" w:color="auto"/>
            </w:tcBorders>
            <w:noWrap/>
            <w:vAlign w:val="center"/>
          </w:tcPr>
          <w:p w14:paraId="66C4108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648.00</w:t>
            </w:r>
          </w:p>
        </w:tc>
        <w:tc>
          <w:tcPr>
            <w:tcW w:w="820" w:type="dxa"/>
            <w:tcBorders>
              <w:top w:val="nil"/>
              <w:left w:val="nil"/>
              <w:bottom w:val="single" w:sz="4" w:space="0" w:color="auto"/>
              <w:right w:val="single" w:sz="4" w:space="0" w:color="auto"/>
            </w:tcBorders>
            <w:noWrap/>
            <w:vAlign w:val="center"/>
          </w:tcPr>
          <w:p w14:paraId="0ABAEC0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547.00</w:t>
            </w:r>
          </w:p>
        </w:tc>
      </w:tr>
      <w:tr w:rsidR="00044E7A" w14:paraId="2ACBB91E"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584C67E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000000"/>
              <w:right w:val="single" w:sz="4" w:space="0" w:color="auto"/>
            </w:tcBorders>
            <w:vAlign w:val="center"/>
          </w:tcPr>
          <w:p w14:paraId="063C074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47F0054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Inventory</w:t>
            </w:r>
          </w:p>
        </w:tc>
        <w:tc>
          <w:tcPr>
            <w:tcW w:w="820" w:type="dxa"/>
            <w:tcBorders>
              <w:top w:val="nil"/>
              <w:left w:val="nil"/>
              <w:bottom w:val="single" w:sz="4" w:space="0" w:color="auto"/>
              <w:right w:val="single" w:sz="4" w:space="0" w:color="auto"/>
            </w:tcBorders>
            <w:noWrap/>
            <w:vAlign w:val="center"/>
          </w:tcPr>
          <w:p w14:paraId="5E06A65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5.00</w:t>
            </w:r>
          </w:p>
        </w:tc>
        <w:tc>
          <w:tcPr>
            <w:tcW w:w="820" w:type="dxa"/>
            <w:tcBorders>
              <w:top w:val="nil"/>
              <w:left w:val="nil"/>
              <w:bottom w:val="single" w:sz="4" w:space="0" w:color="auto"/>
              <w:right w:val="single" w:sz="4" w:space="0" w:color="auto"/>
            </w:tcBorders>
            <w:noWrap/>
            <w:vAlign w:val="center"/>
          </w:tcPr>
          <w:p w14:paraId="402850F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4.00</w:t>
            </w:r>
          </w:p>
        </w:tc>
        <w:tc>
          <w:tcPr>
            <w:tcW w:w="820" w:type="dxa"/>
            <w:tcBorders>
              <w:top w:val="nil"/>
              <w:left w:val="nil"/>
              <w:bottom w:val="single" w:sz="4" w:space="0" w:color="auto"/>
              <w:right w:val="single" w:sz="4" w:space="0" w:color="auto"/>
            </w:tcBorders>
            <w:noWrap/>
            <w:vAlign w:val="center"/>
          </w:tcPr>
          <w:p w14:paraId="65B7DDA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5.00</w:t>
            </w:r>
          </w:p>
        </w:tc>
        <w:tc>
          <w:tcPr>
            <w:tcW w:w="820" w:type="dxa"/>
            <w:tcBorders>
              <w:top w:val="nil"/>
              <w:left w:val="nil"/>
              <w:bottom w:val="single" w:sz="4" w:space="0" w:color="auto"/>
              <w:right w:val="single" w:sz="4" w:space="0" w:color="auto"/>
            </w:tcBorders>
            <w:noWrap/>
            <w:vAlign w:val="center"/>
          </w:tcPr>
          <w:p w14:paraId="59BEAD5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4.00</w:t>
            </w:r>
          </w:p>
        </w:tc>
        <w:tc>
          <w:tcPr>
            <w:tcW w:w="820" w:type="dxa"/>
            <w:tcBorders>
              <w:top w:val="nil"/>
              <w:left w:val="nil"/>
              <w:bottom w:val="single" w:sz="4" w:space="0" w:color="auto"/>
              <w:right w:val="single" w:sz="4" w:space="0" w:color="auto"/>
            </w:tcBorders>
            <w:noWrap/>
            <w:vAlign w:val="center"/>
          </w:tcPr>
          <w:p w14:paraId="030D283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4.00</w:t>
            </w:r>
          </w:p>
        </w:tc>
      </w:tr>
      <w:tr w:rsidR="00044E7A" w14:paraId="55944964" w14:textId="77777777">
        <w:trPr>
          <w:trHeight w:val="520"/>
        </w:trPr>
        <w:tc>
          <w:tcPr>
            <w:tcW w:w="1200" w:type="dxa"/>
            <w:vMerge/>
            <w:tcBorders>
              <w:top w:val="nil"/>
              <w:left w:val="single" w:sz="4" w:space="0" w:color="auto"/>
              <w:bottom w:val="single" w:sz="4" w:space="0" w:color="auto"/>
              <w:right w:val="single" w:sz="4" w:space="0" w:color="auto"/>
            </w:tcBorders>
            <w:vAlign w:val="center"/>
          </w:tcPr>
          <w:p w14:paraId="64897B2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000000"/>
              <w:right w:val="single" w:sz="4" w:space="0" w:color="auto"/>
            </w:tcBorders>
            <w:vAlign w:val="center"/>
          </w:tcPr>
          <w:p w14:paraId="09469469"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73B842AE"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Inventory turnover ratio</w:t>
            </w:r>
          </w:p>
        </w:tc>
        <w:tc>
          <w:tcPr>
            <w:tcW w:w="820" w:type="dxa"/>
            <w:tcBorders>
              <w:top w:val="nil"/>
              <w:left w:val="nil"/>
              <w:bottom w:val="single" w:sz="4" w:space="0" w:color="auto"/>
              <w:right w:val="single" w:sz="4" w:space="0" w:color="auto"/>
            </w:tcBorders>
            <w:noWrap/>
            <w:vAlign w:val="center"/>
          </w:tcPr>
          <w:p w14:paraId="7EE2F27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152.80</w:t>
            </w:r>
          </w:p>
        </w:tc>
        <w:tc>
          <w:tcPr>
            <w:tcW w:w="820" w:type="dxa"/>
            <w:tcBorders>
              <w:top w:val="nil"/>
              <w:left w:val="nil"/>
              <w:bottom w:val="single" w:sz="4" w:space="0" w:color="auto"/>
              <w:right w:val="single" w:sz="4" w:space="0" w:color="auto"/>
            </w:tcBorders>
            <w:noWrap/>
            <w:vAlign w:val="center"/>
          </w:tcPr>
          <w:p w14:paraId="637B9BC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186.25</w:t>
            </w:r>
          </w:p>
        </w:tc>
        <w:tc>
          <w:tcPr>
            <w:tcW w:w="820" w:type="dxa"/>
            <w:tcBorders>
              <w:top w:val="nil"/>
              <w:left w:val="nil"/>
              <w:bottom w:val="single" w:sz="4" w:space="0" w:color="auto"/>
              <w:right w:val="single" w:sz="4" w:space="0" w:color="auto"/>
            </w:tcBorders>
            <w:noWrap/>
            <w:vAlign w:val="center"/>
          </w:tcPr>
          <w:p w14:paraId="18154E6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148.40</w:t>
            </w:r>
          </w:p>
        </w:tc>
        <w:tc>
          <w:tcPr>
            <w:tcW w:w="820" w:type="dxa"/>
            <w:tcBorders>
              <w:top w:val="nil"/>
              <w:left w:val="nil"/>
              <w:bottom w:val="single" w:sz="4" w:space="0" w:color="auto"/>
              <w:right w:val="single" w:sz="4" w:space="0" w:color="auto"/>
            </w:tcBorders>
            <w:noWrap/>
            <w:vAlign w:val="center"/>
          </w:tcPr>
          <w:p w14:paraId="046DCF7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162.00</w:t>
            </w:r>
          </w:p>
        </w:tc>
        <w:tc>
          <w:tcPr>
            <w:tcW w:w="820" w:type="dxa"/>
            <w:tcBorders>
              <w:top w:val="nil"/>
              <w:left w:val="nil"/>
              <w:bottom w:val="single" w:sz="4" w:space="0" w:color="auto"/>
              <w:right w:val="single" w:sz="4" w:space="0" w:color="auto"/>
            </w:tcBorders>
            <w:noWrap/>
            <w:vAlign w:val="center"/>
          </w:tcPr>
          <w:p w14:paraId="03BBC57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136.75</w:t>
            </w:r>
          </w:p>
        </w:tc>
      </w:tr>
      <w:tr w:rsidR="00044E7A" w14:paraId="34989CE5"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34D05A45"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tcBorders>
              <w:top w:val="nil"/>
              <w:left w:val="nil"/>
              <w:bottom w:val="single" w:sz="4" w:space="0" w:color="auto"/>
              <w:right w:val="single" w:sz="4" w:space="0" w:color="auto"/>
            </w:tcBorders>
            <w:vAlign w:val="center"/>
          </w:tcPr>
          <w:p w14:paraId="3823D3D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5182E9F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2655D90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4672F16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42A2CCF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7A9CDD9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6EEDD1D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05E020CF" w14:textId="77777777">
        <w:trPr>
          <w:trHeight w:val="290"/>
        </w:trPr>
        <w:tc>
          <w:tcPr>
            <w:tcW w:w="1200" w:type="dxa"/>
            <w:vMerge w:val="restart"/>
            <w:tcBorders>
              <w:top w:val="nil"/>
              <w:left w:val="single" w:sz="4" w:space="0" w:color="auto"/>
              <w:bottom w:val="single" w:sz="4" w:space="0" w:color="auto"/>
              <w:right w:val="single" w:sz="4" w:space="0" w:color="auto"/>
            </w:tcBorders>
            <w:vAlign w:val="center"/>
          </w:tcPr>
          <w:p w14:paraId="5DC7CB0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Liquidity ratios</w:t>
            </w:r>
          </w:p>
        </w:tc>
        <w:tc>
          <w:tcPr>
            <w:tcW w:w="1540" w:type="dxa"/>
            <w:vMerge w:val="restart"/>
            <w:tcBorders>
              <w:top w:val="nil"/>
              <w:left w:val="single" w:sz="4" w:space="0" w:color="auto"/>
              <w:bottom w:val="single" w:sz="4" w:space="0" w:color="auto"/>
              <w:right w:val="single" w:sz="4" w:space="0" w:color="auto"/>
            </w:tcBorders>
            <w:vAlign w:val="center"/>
          </w:tcPr>
          <w:p w14:paraId="54C5344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Current ratio</w:t>
            </w:r>
          </w:p>
        </w:tc>
        <w:tc>
          <w:tcPr>
            <w:tcW w:w="2060" w:type="dxa"/>
            <w:tcBorders>
              <w:top w:val="nil"/>
              <w:left w:val="nil"/>
              <w:bottom w:val="single" w:sz="4" w:space="0" w:color="auto"/>
              <w:right w:val="single" w:sz="4" w:space="0" w:color="auto"/>
            </w:tcBorders>
            <w:vAlign w:val="center"/>
          </w:tcPr>
          <w:p w14:paraId="2C731BA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Current assets </w:t>
            </w:r>
          </w:p>
        </w:tc>
        <w:tc>
          <w:tcPr>
            <w:tcW w:w="820" w:type="dxa"/>
            <w:tcBorders>
              <w:top w:val="nil"/>
              <w:left w:val="nil"/>
              <w:bottom w:val="single" w:sz="4" w:space="0" w:color="auto"/>
              <w:right w:val="single" w:sz="4" w:space="0" w:color="auto"/>
            </w:tcBorders>
            <w:noWrap/>
            <w:vAlign w:val="center"/>
          </w:tcPr>
          <w:p w14:paraId="56F88E5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2049</w:t>
            </w:r>
          </w:p>
        </w:tc>
        <w:tc>
          <w:tcPr>
            <w:tcW w:w="820" w:type="dxa"/>
            <w:tcBorders>
              <w:top w:val="nil"/>
              <w:left w:val="nil"/>
              <w:bottom w:val="single" w:sz="4" w:space="0" w:color="auto"/>
              <w:right w:val="single" w:sz="4" w:space="0" w:color="auto"/>
            </w:tcBorders>
            <w:noWrap/>
            <w:vAlign w:val="center"/>
          </w:tcPr>
          <w:p w14:paraId="1878793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1869</w:t>
            </w:r>
          </w:p>
        </w:tc>
        <w:tc>
          <w:tcPr>
            <w:tcW w:w="820" w:type="dxa"/>
            <w:tcBorders>
              <w:top w:val="nil"/>
              <w:left w:val="nil"/>
              <w:bottom w:val="single" w:sz="4" w:space="0" w:color="auto"/>
              <w:right w:val="single" w:sz="4" w:space="0" w:color="auto"/>
            </w:tcBorders>
            <w:noWrap/>
            <w:vAlign w:val="center"/>
          </w:tcPr>
          <w:p w14:paraId="60CE166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2129</w:t>
            </w:r>
          </w:p>
        </w:tc>
        <w:tc>
          <w:tcPr>
            <w:tcW w:w="820" w:type="dxa"/>
            <w:tcBorders>
              <w:top w:val="nil"/>
              <w:left w:val="nil"/>
              <w:bottom w:val="single" w:sz="4" w:space="0" w:color="auto"/>
              <w:right w:val="single" w:sz="4" w:space="0" w:color="auto"/>
            </w:tcBorders>
            <w:noWrap/>
            <w:vAlign w:val="center"/>
          </w:tcPr>
          <w:p w14:paraId="5D3D6F5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1678</w:t>
            </w:r>
          </w:p>
        </w:tc>
        <w:tc>
          <w:tcPr>
            <w:tcW w:w="820" w:type="dxa"/>
            <w:tcBorders>
              <w:top w:val="nil"/>
              <w:left w:val="nil"/>
              <w:bottom w:val="single" w:sz="4" w:space="0" w:color="auto"/>
              <w:right w:val="single" w:sz="4" w:space="0" w:color="auto"/>
            </w:tcBorders>
            <w:noWrap/>
            <w:vAlign w:val="center"/>
          </w:tcPr>
          <w:p w14:paraId="18E4355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2066</w:t>
            </w:r>
          </w:p>
        </w:tc>
      </w:tr>
      <w:tr w:rsidR="00044E7A" w14:paraId="68792DCC"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02574785"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695F7422"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0DF72CC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Current liabilities</w:t>
            </w:r>
          </w:p>
        </w:tc>
        <w:tc>
          <w:tcPr>
            <w:tcW w:w="820" w:type="dxa"/>
            <w:tcBorders>
              <w:top w:val="nil"/>
              <w:left w:val="nil"/>
              <w:bottom w:val="single" w:sz="4" w:space="0" w:color="auto"/>
              <w:right w:val="single" w:sz="4" w:space="0" w:color="auto"/>
            </w:tcBorders>
            <w:noWrap/>
            <w:vAlign w:val="center"/>
          </w:tcPr>
          <w:p w14:paraId="5E7C778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2100</w:t>
            </w:r>
          </w:p>
        </w:tc>
        <w:tc>
          <w:tcPr>
            <w:tcW w:w="820" w:type="dxa"/>
            <w:tcBorders>
              <w:top w:val="nil"/>
              <w:left w:val="nil"/>
              <w:bottom w:val="single" w:sz="4" w:space="0" w:color="auto"/>
              <w:right w:val="single" w:sz="4" w:space="0" w:color="auto"/>
            </w:tcBorders>
            <w:noWrap/>
            <w:vAlign w:val="center"/>
          </w:tcPr>
          <w:p w14:paraId="68031FB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1928</w:t>
            </w:r>
          </w:p>
        </w:tc>
        <w:tc>
          <w:tcPr>
            <w:tcW w:w="820" w:type="dxa"/>
            <w:tcBorders>
              <w:top w:val="nil"/>
              <w:left w:val="nil"/>
              <w:bottom w:val="single" w:sz="4" w:space="0" w:color="auto"/>
              <w:right w:val="single" w:sz="4" w:space="0" w:color="auto"/>
            </w:tcBorders>
            <w:noWrap/>
            <w:vAlign w:val="center"/>
          </w:tcPr>
          <w:p w14:paraId="5AE53C0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2190</w:t>
            </w:r>
          </w:p>
        </w:tc>
        <w:tc>
          <w:tcPr>
            <w:tcW w:w="820" w:type="dxa"/>
            <w:tcBorders>
              <w:top w:val="nil"/>
              <w:left w:val="nil"/>
              <w:bottom w:val="single" w:sz="4" w:space="0" w:color="auto"/>
              <w:right w:val="single" w:sz="4" w:space="0" w:color="auto"/>
            </w:tcBorders>
            <w:noWrap/>
            <w:vAlign w:val="center"/>
          </w:tcPr>
          <w:p w14:paraId="273C8C0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1544</w:t>
            </w:r>
          </w:p>
        </w:tc>
        <w:tc>
          <w:tcPr>
            <w:tcW w:w="820" w:type="dxa"/>
            <w:tcBorders>
              <w:top w:val="nil"/>
              <w:left w:val="nil"/>
              <w:bottom w:val="single" w:sz="4" w:space="0" w:color="auto"/>
              <w:right w:val="single" w:sz="4" w:space="0" w:color="auto"/>
            </w:tcBorders>
            <w:noWrap/>
            <w:vAlign w:val="center"/>
          </w:tcPr>
          <w:p w14:paraId="58D46D7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1624</w:t>
            </w:r>
          </w:p>
        </w:tc>
      </w:tr>
      <w:tr w:rsidR="00044E7A" w14:paraId="1571D456"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0BDEDFB4"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0038A1C9"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17A341A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Current ratio</w:t>
            </w:r>
          </w:p>
        </w:tc>
        <w:tc>
          <w:tcPr>
            <w:tcW w:w="820" w:type="dxa"/>
            <w:tcBorders>
              <w:top w:val="nil"/>
              <w:left w:val="nil"/>
              <w:bottom w:val="single" w:sz="4" w:space="0" w:color="auto"/>
              <w:right w:val="single" w:sz="4" w:space="0" w:color="auto"/>
            </w:tcBorders>
            <w:noWrap/>
            <w:vAlign w:val="center"/>
          </w:tcPr>
          <w:p w14:paraId="6D19C4B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0.98</w:t>
            </w:r>
          </w:p>
        </w:tc>
        <w:tc>
          <w:tcPr>
            <w:tcW w:w="820" w:type="dxa"/>
            <w:tcBorders>
              <w:top w:val="nil"/>
              <w:left w:val="nil"/>
              <w:bottom w:val="single" w:sz="4" w:space="0" w:color="auto"/>
              <w:right w:val="single" w:sz="4" w:space="0" w:color="auto"/>
            </w:tcBorders>
            <w:noWrap/>
            <w:vAlign w:val="center"/>
          </w:tcPr>
          <w:p w14:paraId="109D433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0.97</w:t>
            </w:r>
          </w:p>
        </w:tc>
        <w:tc>
          <w:tcPr>
            <w:tcW w:w="820" w:type="dxa"/>
            <w:tcBorders>
              <w:top w:val="nil"/>
              <w:left w:val="nil"/>
              <w:bottom w:val="single" w:sz="4" w:space="0" w:color="auto"/>
              <w:right w:val="single" w:sz="4" w:space="0" w:color="auto"/>
            </w:tcBorders>
            <w:noWrap/>
            <w:vAlign w:val="center"/>
          </w:tcPr>
          <w:p w14:paraId="7C273AD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0.97</w:t>
            </w:r>
          </w:p>
        </w:tc>
        <w:tc>
          <w:tcPr>
            <w:tcW w:w="820" w:type="dxa"/>
            <w:tcBorders>
              <w:top w:val="nil"/>
              <w:left w:val="nil"/>
              <w:bottom w:val="single" w:sz="4" w:space="0" w:color="auto"/>
              <w:right w:val="single" w:sz="4" w:space="0" w:color="auto"/>
            </w:tcBorders>
            <w:noWrap/>
            <w:vAlign w:val="center"/>
          </w:tcPr>
          <w:p w14:paraId="080A137E"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1.09</w:t>
            </w:r>
          </w:p>
        </w:tc>
        <w:tc>
          <w:tcPr>
            <w:tcW w:w="820" w:type="dxa"/>
            <w:tcBorders>
              <w:top w:val="nil"/>
              <w:left w:val="nil"/>
              <w:bottom w:val="single" w:sz="4" w:space="0" w:color="auto"/>
              <w:right w:val="single" w:sz="4" w:space="0" w:color="auto"/>
            </w:tcBorders>
            <w:noWrap/>
            <w:vAlign w:val="center"/>
          </w:tcPr>
          <w:p w14:paraId="059A8F2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1.27</w:t>
            </w:r>
          </w:p>
        </w:tc>
      </w:tr>
      <w:tr w:rsidR="00044E7A" w14:paraId="5B0F58BA"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4AEB9792"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tcBorders>
              <w:top w:val="nil"/>
              <w:left w:val="nil"/>
              <w:bottom w:val="single" w:sz="4" w:space="0" w:color="auto"/>
              <w:right w:val="single" w:sz="4" w:space="0" w:color="auto"/>
            </w:tcBorders>
            <w:vAlign w:val="center"/>
          </w:tcPr>
          <w:p w14:paraId="4B229BF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09C57FF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78C9D8AD"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728A516A"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3F62575A"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3ABDFDA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25B9917E"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r>
      <w:tr w:rsidR="00044E7A" w14:paraId="32299397"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76CBBC1F"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val="restart"/>
            <w:tcBorders>
              <w:top w:val="nil"/>
              <w:left w:val="single" w:sz="4" w:space="0" w:color="auto"/>
              <w:bottom w:val="single" w:sz="4" w:space="0" w:color="auto"/>
              <w:right w:val="single" w:sz="4" w:space="0" w:color="auto"/>
            </w:tcBorders>
            <w:vAlign w:val="center"/>
          </w:tcPr>
          <w:p w14:paraId="00FCE85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Quick ratio</w:t>
            </w:r>
          </w:p>
        </w:tc>
        <w:tc>
          <w:tcPr>
            <w:tcW w:w="2060" w:type="dxa"/>
            <w:tcBorders>
              <w:top w:val="nil"/>
              <w:left w:val="nil"/>
              <w:bottom w:val="single" w:sz="4" w:space="0" w:color="auto"/>
              <w:right w:val="single" w:sz="4" w:space="0" w:color="auto"/>
            </w:tcBorders>
            <w:vAlign w:val="center"/>
          </w:tcPr>
          <w:p w14:paraId="016983C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Current assets</w:t>
            </w:r>
          </w:p>
        </w:tc>
        <w:tc>
          <w:tcPr>
            <w:tcW w:w="820" w:type="dxa"/>
            <w:tcBorders>
              <w:top w:val="nil"/>
              <w:left w:val="nil"/>
              <w:bottom w:val="single" w:sz="4" w:space="0" w:color="auto"/>
              <w:right w:val="single" w:sz="4" w:space="0" w:color="auto"/>
            </w:tcBorders>
            <w:noWrap/>
            <w:vAlign w:val="center"/>
          </w:tcPr>
          <w:p w14:paraId="47F0678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2049.00</w:t>
            </w:r>
          </w:p>
        </w:tc>
        <w:tc>
          <w:tcPr>
            <w:tcW w:w="820" w:type="dxa"/>
            <w:tcBorders>
              <w:top w:val="nil"/>
              <w:left w:val="nil"/>
              <w:bottom w:val="single" w:sz="4" w:space="0" w:color="auto"/>
              <w:right w:val="single" w:sz="4" w:space="0" w:color="auto"/>
            </w:tcBorders>
            <w:noWrap/>
            <w:vAlign w:val="center"/>
          </w:tcPr>
          <w:p w14:paraId="6CC0279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1869.00</w:t>
            </w:r>
          </w:p>
        </w:tc>
        <w:tc>
          <w:tcPr>
            <w:tcW w:w="820" w:type="dxa"/>
            <w:tcBorders>
              <w:top w:val="nil"/>
              <w:left w:val="nil"/>
              <w:bottom w:val="single" w:sz="4" w:space="0" w:color="auto"/>
              <w:right w:val="single" w:sz="4" w:space="0" w:color="auto"/>
            </w:tcBorders>
            <w:noWrap/>
            <w:vAlign w:val="center"/>
          </w:tcPr>
          <w:p w14:paraId="22BB243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2129.00</w:t>
            </w:r>
          </w:p>
        </w:tc>
        <w:tc>
          <w:tcPr>
            <w:tcW w:w="820" w:type="dxa"/>
            <w:tcBorders>
              <w:top w:val="nil"/>
              <w:left w:val="nil"/>
              <w:bottom w:val="single" w:sz="4" w:space="0" w:color="auto"/>
              <w:right w:val="single" w:sz="4" w:space="0" w:color="auto"/>
            </w:tcBorders>
            <w:noWrap/>
            <w:vAlign w:val="center"/>
          </w:tcPr>
          <w:p w14:paraId="00694EE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1678.00</w:t>
            </w:r>
          </w:p>
        </w:tc>
        <w:tc>
          <w:tcPr>
            <w:tcW w:w="820" w:type="dxa"/>
            <w:tcBorders>
              <w:top w:val="nil"/>
              <w:left w:val="nil"/>
              <w:bottom w:val="single" w:sz="4" w:space="0" w:color="auto"/>
              <w:right w:val="single" w:sz="4" w:space="0" w:color="auto"/>
            </w:tcBorders>
            <w:noWrap/>
            <w:vAlign w:val="center"/>
          </w:tcPr>
          <w:p w14:paraId="63042C6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2066.00</w:t>
            </w:r>
          </w:p>
        </w:tc>
      </w:tr>
      <w:tr w:rsidR="00044E7A" w14:paraId="026FB728"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000FD3FD"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7A443300"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256579A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Inventory</w:t>
            </w:r>
          </w:p>
        </w:tc>
        <w:tc>
          <w:tcPr>
            <w:tcW w:w="820" w:type="dxa"/>
            <w:tcBorders>
              <w:top w:val="nil"/>
              <w:left w:val="nil"/>
              <w:bottom w:val="single" w:sz="4" w:space="0" w:color="auto"/>
              <w:right w:val="single" w:sz="4" w:space="0" w:color="auto"/>
            </w:tcBorders>
            <w:noWrap/>
            <w:vAlign w:val="center"/>
          </w:tcPr>
          <w:p w14:paraId="40F86CC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5.00</w:t>
            </w:r>
          </w:p>
        </w:tc>
        <w:tc>
          <w:tcPr>
            <w:tcW w:w="820" w:type="dxa"/>
            <w:tcBorders>
              <w:top w:val="nil"/>
              <w:left w:val="nil"/>
              <w:bottom w:val="single" w:sz="4" w:space="0" w:color="auto"/>
              <w:right w:val="single" w:sz="4" w:space="0" w:color="auto"/>
            </w:tcBorders>
            <w:noWrap/>
            <w:vAlign w:val="center"/>
          </w:tcPr>
          <w:p w14:paraId="157122B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4.00</w:t>
            </w:r>
          </w:p>
        </w:tc>
        <w:tc>
          <w:tcPr>
            <w:tcW w:w="820" w:type="dxa"/>
            <w:tcBorders>
              <w:top w:val="nil"/>
              <w:left w:val="nil"/>
              <w:bottom w:val="single" w:sz="4" w:space="0" w:color="auto"/>
              <w:right w:val="single" w:sz="4" w:space="0" w:color="auto"/>
            </w:tcBorders>
            <w:noWrap/>
            <w:vAlign w:val="center"/>
          </w:tcPr>
          <w:p w14:paraId="304CE6C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5.00</w:t>
            </w:r>
          </w:p>
        </w:tc>
        <w:tc>
          <w:tcPr>
            <w:tcW w:w="820" w:type="dxa"/>
            <w:tcBorders>
              <w:top w:val="nil"/>
              <w:left w:val="nil"/>
              <w:bottom w:val="single" w:sz="4" w:space="0" w:color="auto"/>
              <w:right w:val="single" w:sz="4" w:space="0" w:color="auto"/>
            </w:tcBorders>
            <w:noWrap/>
            <w:vAlign w:val="center"/>
          </w:tcPr>
          <w:p w14:paraId="113EFBA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4.00</w:t>
            </w:r>
          </w:p>
        </w:tc>
        <w:tc>
          <w:tcPr>
            <w:tcW w:w="820" w:type="dxa"/>
            <w:tcBorders>
              <w:top w:val="nil"/>
              <w:left w:val="nil"/>
              <w:bottom w:val="single" w:sz="4" w:space="0" w:color="auto"/>
              <w:right w:val="single" w:sz="4" w:space="0" w:color="auto"/>
            </w:tcBorders>
            <w:noWrap/>
            <w:vAlign w:val="center"/>
          </w:tcPr>
          <w:p w14:paraId="3849CDF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4.00</w:t>
            </w:r>
          </w:p>
        </w:tc>
      </w:tr>
      <w:tr w:rsidR="00044E7A" w14:paraId="49434A43"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12D22A03"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23A27C93"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2B91E8D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Current </w:t>
            </w:r>
            <w:r>
              <w:rPr>
                <w:rFonts w:ascii="Arial" w:eastAsia="Times New Roman" w:hAnsi="Arial" w:cs="Arial"/>
                <w:color w:val="000000"/>
                <w:kern w:val="0"/>
                <w:sz w:val="24"/>
                <w:szCs w:val="24"/>
                <w:lang w:eastAsia="en-IN"/>
                <w14:ligatures w14:val="none"/>
              </w:rPr>
              <w:lastRenderedPageBreak/>
              <w:t>liabilities</w:t>
            </w:r>
          </w:p>
        </w:tc>
        <w:tc>
          <w:tcPr>
            <w:tcW w:w="820" w:type="dxa"/>
            <w:tcBorders>
              <w:top w:val="nil"/>
              <w:left w:val="nil"/>
              <w:bottom w:val="single" w:sz="4" w:space="0" w:color="auto"/>
              <w:right w:val="single" w:sz="4" w:space="0" w:color="auto"/>
            </w:tcBorders>
            <w:noWrap/>
            <w:vAlign w:val="center"/>
          </w:tcPr>
          <w:p w14:paraId="179D9CD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lastRenderedPageBreak/>
              <w:t>2100.0</w:t>
            </w:r>
            <w:r>
              <w:rPr>
                <w:rFonts w:ascii="Arial" w:eastAsia="Times New Roman" w:hAnsi="Arial" w:cs="Arial"/>
                <w:color w:val="000000"/>
                <w:kern w:val="0"/>
                <w:sz w:val="24"/>
                <w:szCs w:val="24"/>
                <w:lang w:eastAsia="en-IN"/>
                <w14:ligatures w14:val="none"/>
              </w:rPr>
              <w:lastRenderedPageBreak/>
              <w:t>0</w:t>
            </w:r>
          </w:p>
        </w:tc>
        <w:tc>
          <w:tcPr>
            <w:tcW w:w="820" w:type="dxa"/>
            <w:tcBorders>
              <w:top w:val="nil"/>
              <w:left w:val="nil"/>
              <w:bottom w:val="single" w:sz="4" w:space="0" w:color="auto"/>
              <w:right w:val="single" w:sz="4" w:space="0" w:color="auto"/>
            </w:tcBorders>
            <w:noWrap/>
            <w:vAlign w:val="center"/>
          </w:tcPr>
          <w:p w14:paraId="1496310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lastRenderedPageBreak/>
              <w:t>1928.0</w:t>
            </w:r>
            <w:r>
              <w:rPr>
                <w:rFonts w:ascii="Arial" w:eastAsia="Times New Roman" w:hAnsi="Arial" w:cs="Arial"/>
                <w:color w:val="000000"/>
                <w:kern w:val="0"/>
                <w:sz w:val="24"/>
                <w:szCs w:val="24"/>
                <w:lang w:eastAsia="en-IN"/>
                <w14:ligatures w14:val="none"/>
              </w:rPr>
              <w:lastRenderedPageBreak/>
              <w:t>0</w:t>
            </w:r>
          </w:p>
        </w:tc>
        <w:tc>
          <w:tcPr>
            <w:tcW w:w="820" w:type="dxa"/>
            <w:tcBorders>
              <w:top w:val="nil"/>
              <w:left w:val="nil"/>
              <w:bottom w:val="single" w:sz="4" w:space="0" w:color="auto"/>
              <w:right w:val="single" w:sz="4" w:space="0" w:color="auto"/>
            </w:tcBorders>
            <w:noWrap/>
            <w:vAlign w:val="center"/>
          </w:tcPr>
          <w:p w14:paraId="60E2D1D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lastRenderedPageBreak/>
              <w:t>2190.0</w:t>
            </w:r>
            <w:r>
              <w:rPr>
                <w:rFonts w:ascii="Arial" w:eastAsia="Times New Roman" w:hAnsi="Arial" w:cs="Arial"/>
                <w:color w:val="000000"/>
                <w:kern w:val="0"/>
                <w:sz w:val="24"/>
                <w:szCs w:val="24"/>
                <w:lang w:eastAsia="en-IN"/>
                <w14:ligatures w14:val="none"/>
              </w:rPr>
              <w:lastRenderedPageBreak/>
              <w:t>0</w:t>
            </w:r>
          </w:p>
        </w:tc>
        <w:tc>
          <w:tcPr>
            <w:tcW w:w="820" w:type="dxa"/>
            <w:tcBorders>
              <w:top w:val="nil"/>
              <w:left w:val="nil"/>
              <w:bottom w:val="single" w:sz="4" w:space="0" w:color="auto"/>
              <w:right w:val="single" w:sz="4" w:space="0" w:color="auto"/>
            </w:tcBorders>
            <w:noWrap/>
            <w:vAlign w:val="center"/>
          </w:tcPr>
          <w:p w14:paraId="78994D8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lastRenderedPageBreak/>
              <w:t>1544.0</w:t>
            </w:r>
            <w:r>
              <w:rPr>
                <w:rFonts w:ascii="Arial" w:eastAsia="Times New Roman" w:hAnsi="Arial" w:cs="Arial"/>
                <w:color w:val="000000"/>
                <w:kern w:val="0"/>
                <w:sz w:val="24"/>
                <w:szCs w:val="24"/>
                <w:lang w:eastAsia="en-IN"/>
                <w14:ligatures w14:val="none"/>
              </w:rPr>
              <w:lastRenderedPageBreak/>
              <w:t>0</w:t>
            </w:r>
          </w:p>
        </w:tc>
        <w:tc>
          <w:tcPr>
            <w:tcW w:w="820" w:type="dxa"/>
            <w:tcBorders>
              <w:top w:val="nil"/>
              <w:left w:val="nil"/>
              <w:bottom w:val="single" w:sz="4" w:space="0" w:color="auto"/>
              <w:right w:val="single" w:sz="4" w:space="0" w:color="auto"/>
            </w:tcBorders>
            <w:noWrap/>
            <w:vAlign w:val="center"/>
          </w:tcPr>
          <w:p w14:paraId="2C40B3E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lastRenderedPageBreak/>
              <w:t>1624.0</w:t>
            </w:r>
            <w:r>
              <w:rPr>
                <w:rFonts w:ascii="Arial" w:eastAsia="Times New Roman" w:hAnsi="Arial" w:cs="Arial"/>
                <w:color w:val="000000"/>
                <w:kern w:val="0"/>
                <w:sz w:val="24"/>
                <w:szCs w:val="24"/>
                <w:lang w:eastAsia="en-IN"/>
                <w14:ligatures w14:val="none"/>
              </w:rPr>
              <w:lastRenderedPageBreak/>
              <w:t>0</w:t>
            </w:r>
          </w:p>
        </w:tc>
      </w:tr>
      <w:tr w:rsidR="00044E7A" w14:paraId="1B356506"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3584CAE6"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4268BC3C"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470A2C1A"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Quick ratio</w:t>
            </w:r>
          </w:p>
        </w:tc>
        <w:tc>
          <w:tcPr>
            <w:tcW w:w="820" w:type="dxa"/>
            <w:tcBorders>
              <w:top w:val="nil"/>
              <w:left w:val="nil"/>
              <w:bottom w:val="single" w:sz="4" w:space="0" w:color="auto"/>
              <w:right w:val="single" w:sz="4" w:space="0" w:color="auto"/>
            </w:tcBorders>
            <w:noWrap/>
            <w:vAlign w:val="center"/>
          </w:tcPr>
          <w:p w14:paraId="6C4AC745"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0.97</w:t>
            </w:r>
          </w:p>
        </w:tc>
        <w:tc>
          <w:tcPr>
            <w:tcW w:w="820" w:type="dxa"/>
            <w:tcBorders>
              <w:top w:val="nil"/>
              <w:left w:val="nil"/>
              <w:bottom w:val="single" w:sz="4" w:space="0" w:color="auto"/>
              <w:right w:val="single" w:sz="4" w:space="0" w:color="auto"/>
            </w:tcBorders>
            <w:noWrap/>
            <w:vAlign w:val="center"/>
          </w:tcPr>
          <w:p w14:paraId="0BCB9C8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0.97</w:t>
            </w:r>
          </w:p>
        </w:tc>
        <w:tc>
          <w:tcPr>
            <w:tcW w:w="820" w:type="dxa"/>
            <w:tcBorders>
              <w:top w:val="nil"/>
              <w:left w:val="nil"/>
              <w:bottom w:val="single" w:sz="4" w:space="0" w:color="auto"/>
              <w:right w:val="single" w:sz="4" w:space="0" w:color="auto"/>
            </w:tcBorders>
            <w:noWrap/>
            <w:vAlign w:val="center"/>
          </w:tcPr>
          <w:p w14:paraId="1D3FACD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0.97</w:t>
            </w:r>
          </w:p>
        </w:tc>
        <w:tc>
          <w:tcPr>
            <w:tcW w:w="820" w:type="dxa"/>
            <w:tcBorders>
              <w:top w:val="nil"/>
              <w:left w:val="nil"/>
              <w:bottom w:val="single" w:sz="4" w:space="0" w:color="auto"/>
              <w:right w:val="single" w:sz="4" w:space="0" w:color="auto"/>
            </w:tcBorders>
            <w:noWrap/>
            <w:vAlign w:val="center"/>
          </w:tcPr>
          <w:p w14:paraId="2ED6CC36"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1.08</w:t>
            </w:r>
          </w:p>
        </w:tc>
        <w:tc>
          <w:tcPr>
            <w:tcW w:w="820" w:type="dxa"/>
            <w:tcBorders>
              <w:top w:val="nil"/>
              <w:left w:val="nil"/>
              <w:bottom w:val="single" w:sz="4" w:space="0" w:color="auto"/>
              <w:right w:val="single" w:sz="4" w:space="0" w:color="auto"/>
            </w:tcBorders>
            <w:noWrap/>
            <w:vAlign w:val="center"/>
          </w:tcPr>
          <w:p w14:paraId="0165031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1.27</w:t>
            </w:r>
          </w:p>
        </w:tc>
      </w:tr>
      <w:tr w:rsidR="00044E7A" w14:paraId="5E01B398" w14:textId="77777777">
        <w:trPr>
          <w:trHeight w:val="290"/>
        </w:trPr>
        <w:tc>
          <w:tcPr>
            <w:tcW w:w="1200" w:type="dxa"/>
            <w:tcBorders>
              <w:top w:val="nil"/>
              <w:left w:val="single" w:sz="4" w:space="0" w:color="auto"/>
              <w:bottom w:val="single" w:sz="4" w:space="0" w:color="auto"/>
              <w:right w:val="single" w:sz="4" w:space="0" w:color="auto"/>
            </w:tcBorders>
            <w:vAlign w:val="center"/>
          </w:tcPr>
          <w:p w14:paraId="6A7169D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540" w:type="dxa"/>
            <w:tcBorders>
              <w:top w:val="nil"/>
              <w:left w:val="nil"/>
              <w:bottom w:val="single" w:sz="4" w:space="0" w:color="auto"/>
              <w:right w:val="single" w:sz="4" w:space="0" w:color="auto"/>
            </w:tcBorders>
            <w:vAlign w:val="center"/>
          </w:tcPr>
          <w:p w14:paraId="1BF5B66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3C63816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5068538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4D58B58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5F3926A7"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2E8CC55D"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697C3B7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r>
      <w:tr w:rsidR="00044E7A" w14:paraId="78DBF041" w14:textId="77777777">
        <w:trPr>
          <w:trHeight w:val="290"/>
        </w:trPr>
        <w:tc>
          <w:tcPr>
            <w:tcW w:w="1200" w:type="dxa"/>
            <w:vMerge w:val="restart"/>
            <w:tcBorders>
              <w:top w:val="nil"/>
              <w:left w:val="single" w:sz="4" w:space="0" w:color="auto"/>
              <w:bottom w:val="single" w:sz="4" w:space="0" w:color="auto"/>
              <w:right w:val="single" w:sz="4" w:space="0" w:color="auto"/>
            </w:tcBorders>
            <w:vAlign w:val="center"/>
          </w:tcPr>
          <w:p w14:paraId="0253C1F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Gearing ratios</w:t>
            </w:r>
          </w:p>
        </w:tc>
        <w:tc>
          <w:tcPr>
            <w:tcW w:w="1540" w:type="dxa"/>
            <w:vMerge w:val="restart"/>
            <w:tcBorders>
              <w:top w:val="nil"/>
              <w:left w:val="single" w:sz="4" w:space="0" w:color="auto"/>
              <w:bottom w:val="single" w:sz="4" w:space="0" w:color="auto"/>
              <w:right w:val="single" w:sz="4" w:space="0" w:color="auto"/>
            </w:tcBorders>
            <w:vAlign w:val="center"/>
          </w:tcPr>
          <w:p w14:paraId="6245AC5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Gearing ratio</w:t>
            </w:r>
          </w:p>
        </w:tc>
        <w:tc>
          <w:tcPr>
            <w:tcW w:w="2060" w:type="dxa"/>
            <w:tcBorders>
              <w:top w:val="nil"/>
              <w:left w:val="nil"/>
              <w:bottom w:val="single" w:sz="4" w:space="0" w:color="auto"/>
              <w:right w:val="single" w:sz="4" w:space="0" w:color="auto"/>
            </w:tcBorders>
            <w:vAlign w:val="center"/>
          </w:tcPr>
          <w:p w14:paraId="25F2B1D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Non-current liabilities</w:t>
            </w:r>
          </w:p>
        </w:tc>
        <w:tc>
          <w:tcPr>
            <w:tcW w:w="820" w:type="dxa"/>
            <w:tcBorders>
              <w:top w:val="nil"/>
              <w:left w:val="nil"/>
              <w:bottom w:val="single" w:sz="4" w:space="0" w:color="auto"/>
              <w:right w:val="single" w:sz="4" w:space="0" w:color="auto"/>
            </w:tcBorders>
            <w:noWrap/>
            <w:vAlign w:val="center"/>
          </w:tcPr>
          <w:p w14:paraId="6A9CB90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5981</w:t>
            </w:r>
          </w:p>
        </w:tc>
        <w:tc>
          <w:tcPr>
            <w:tcW w:w="820" w:type="dxa"/>
            <w:tcBorders>
              <w:top w:val="nil"/>
              <w:left w:val="nil"/>
              <w:bottom w:val="single" w:sz="4" w:space="0" w:color="auto"/>
              <w:right w:val="single" w:sz="4" w:space="0" w:color="auto"/>
            </w:tcBorders>
            <w:noWrap/>
            <w:vAlign w:val="center"/>
          </w:tcPr>
          <w:p w14:paraId="197419E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5128</w:t>
            </w:r>
          </w:p>
        </w:tc>
        <w:tc>
          <w:tcPr>
            <w:tcW w:w="820" w:type="dxa"/>
            <w:tcBorders>
              <w:top w:val="nil"/>
              <w:left w:val="nil"/>
              <w:bottom w:val="single" w:sz="4" w:space="0" w:color="auto"/>
              <w:right w:val="single" w:sz="4" w:space="0" w:color="auto"/>
            </w:tcBorders>
            <w:noWrap/>
            <w:vAlign w:val="center"/>
          </w:tcPr>
          <w:p w14:paraId="1612F8F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4569</w:t>
            </w:r>
          </w:p>
        </w:tc>
        <w:tc>
          <w:tcPr>
            <w:tcW w:w="820" w:type="dxa"/>
            <w:tcBorders>
              <w:top w:val="nil"/>
              <w:left w:val="nil"/>
              <w:bottom w:val="single" w:sz="4" w:space="0" w:color="auto"/>
              <w:right w:val="single" w:sz="4" w:space="0" w:color="auto"/>
            </w:tcBorders>
            <w:noWrap/>
            <w:vAlign w:val="center"/>
          </w:tcPr>
          <w:p w14:paraId="70E5856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4280</w:t>
            </w:r>
          </w:p>
        </w:tc>
        <w:tc>
          <w:tcPr>
            <w:tcW w:w="820" w:type="dxa"/>
            <w:tcBorders>
              <w:top w:val="nil"/>
              <w:left w:val="nil"/>
              <w:bottom w:val="single" w:sz="4" w:space="0" w:color="auto"/>
              <w:right w:val="single" w:sz="4" w:space="0" w:color="auto"/>
            </w:tcBorders>
            <w:noWrap/>
            <w:vAlign w:val="center"/>
          </w:tcPr>
          <w:p w14:paraId="303B955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4566</w:t>
            </w:r>
          </w:p>
        </w:tc>
      </w:tr>
      <w:tr w:rsidR="00044E7A" w14:paraId="06510FFB"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289CF7C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28DA8B66"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6322966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Total capital employed</w:t>
            </w:r>
          </w:p>
        </w:tc>
        <w:tc>
          <w:tcPr>
            <w:tcW w:w="820" w:type="dxa"/>
            <w:tcBorders>
              <w:top w:val="nil"/>
              <w:left w:val="nil"/>
              <w:bottom w:val="single" w:sz="4" w:space="0" w:color="auto"/>
              <w:right w:val="single" w:sz="4" w:space="0" w:color="auto"/>
            </w:tcBorders>
            <w:noWrap/>
            <w:vAlign w:val="center"/>
          </w:tcPr>
          <w:p w14:paraId="40F1D3A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3245</w:t>
            </w:r>
          </w:p>
        </w:tc>
        <w:tc>
          <w:tcPr>
            <w:tcW w:w="820" w:type="dxa"/>
            <w:tcBorders>
              <w:top w:val="nil"/>
              <w:left w:val="nil"/>
              <w:bottom w:val="single" w:sz="4" w:space="0" w:color="auto"/>
              <w:right w:val="single" w:sz="4" w:space="0" w:color="auto"/>
            </w:tcBorders>
            <w:noWrap/>
            <w:vAlign w:val="center"/>
          </w:tcPr>
          <w:p w14:paraId="1851716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2820</w:t>
            </w:r>
          </w:p>
        </w:tc>
        <w:tc>
          <w:tcPr>
            <w:tcW w:w="820" w:type="dxa"/>
            <w:tcBorders>
              <w:top w:val="nil"/>
              <w:left w:val="nil"/>
              <w:bottom w:val="single" w:sz="4" w:space="0" w:color="auto"/>
              <w:right w:val="single" w:sz="4" w:space="0" w:color="auto"/>
            </w:tcBorders>
            <w:noWrap/>
            <w:vAlign w:val="center"/>
          </w:tcPr>
          <w:p w14:paraId="07785E0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2623</w:t>
            </w:r>
          </w:p>
        </w:tc>
        <w:tc>
          <w:tcPr>
            <w:tcW w:w="820" w:type="dxa"/>
            <w:tcBorders>
              <w:top w:val="nil"/>
              <w:left w:val="nil"/>
              <w:bottom w:val="single" w:sz="4" w:space="0" w:color="auto"/>
              <w:right w:val="single" w:sz="4" w:space="0" w:color="auto"/>
            </w:tcBorders>
            <w:noWrap/>
            <w:vAlign w:val="center"/>
          </w:tcPr>
          <w:p w14:paraId="2FBCE63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2672</w:t>
            </w:r>
          </w:p>
        </w:tc>
        <w:tc>
          <w:tcPr>
            <w:tcW w:w="820" w:type="dxa"/>
            <w:tcBorders>
              <w:top w:val="nil"/>
              <w:left w:val="nil"/>
              <w:bottom w:val="single" w:sz="4" w:space="0" w:color="auto"/>
              <w:right w:val="single" w:sz="4" w:space="0" w:color="auto"/>
            </w:tcBorders>
            <w:noWrap/>
            <w:vAlign w:val="center"/>
          </w:tcPr>
          <w:p w14:paraId="7CD8055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3092</w:t>
            </w:r>
          </w:p>
        </w:tc>
      </w:tr>
      <w:tr w:rsidR="00044E7A" w14:paraId="0882AC08"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6EDEC6F4"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73837660"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156124E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Gearing ratio</w:t>
            </w:r>
          </w:p>
        </w:tc>
        <w:tc>
          <w:tcPr>
            <w:tcW w:w="820" w:type="dxa"/>
            <w:tcBorders>
              <w:top w:val="nil"/>
              <w:left w:val="nil"/>
              <w:bottom w:val="single" w:sz="4" w:space="0" w:color="auto"/>
              <w:right w:val="single" w:sz="4" w:space="0" w:color="auto"/>
            </w:tcBorders>
            <w:noWrap/>
            <w:vAlign w:val="center"/>
          </w:tcPr>
          <w:p w14:paraId="4AD19EA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184.31%</w:t>
            </w:r>
          </w:p>
        </w:tc>
        <w:tc>
          <w:tcPr>
            <w:tcW w:w="820" w:type="dxa"/>
            <w:tcBorders>
              <w:top w:val="nil"/>
              <w:left w:val="nil"/>
              <w:bottom w:val="single" w:sz="4" w:space="0" w:color="auto"/>
              <w:right w:val="single" w:sz="4" w:space="0" w:color="auto"/>
            </w:tcBorders>
            <w:noWrap/>
            <w:vAlign w:val="center"/>
          </w:tcPr>
          <w:p w14:paraId="66BFC28E"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181.84%</w:t>
            </w:r>
          </w:p>
        </w:tc>
        <w:tc>
          <w:tcPr>
            <w:tcW w:w="820" w:type="dxa"/>
            <w:tcBorders>
              <w:top w:val="nil"/>
              <w:left w:val="nil"/>
              <w:bottom w:val="single" w:sz="4" w:space="0" w:color="auto"/>
              <w:right w:val="single" w:sz="4" w:space="0" w:color="auto"/>
            </w:tcBorders>
            <w:noWrap/>
            <w:vAlign w:val="center"/>
          </w:tcPr>
          <w:p w14:paraId="6597BEA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174.19%</w:t>
            </w:r>
          </w:p>
        </w:tc>
        <w:tc>
          <w:tcPr>
            <w:tcW w:w="820" w:type="dxa"/>
            <w:tcBorders>
              <w:top w:val="nil"/>
              <w:left w:val="nil"/>
              <w:bottom w:val="single" w:sz="4" w:space="0" w:color="auto"/>
              <w:right w:val="single" w:sz="4" w:space="0" w:color="auto"/>
            </w:tcBorders>
            <w:noWrap/>
            <w:vAlign w:val="center"/>
          </w:tcPr>
          <w:p w14:paraId="0979797D"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160.18%</w:t>
            </w:r>
          </w:p>
        </w:tc>
        <w:tc>
          <w:tcPr>
            <w:tcW w:w="820" w:type="dxa"/>
            <w:tcBorders>
              <w:top w:val="nil"/>
              <w:left w:val="nil"/>
              <w:bottom w:val="single" w:sz="4" w:space="0" w:color="auto"/>
              <w:right w:val="single" w:sz="4" w:space="0" w:color="auto"/>
            </w:tcBorders>
            <w:noWrap/>
            <w:vAlign w:val="center"/>
          </w:tcPr>
          <w:p w14:paraId="14367712"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147.67%</w:t>
            </w:r>
          </w:p>
        </w:tc>
      </w:tr>
      <w:tr w:rsidR="00044E7A" w14:paraId="5DE2A0D3"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180E751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tcBorders>
              <w:top w:val="nil"/>
              <w:left w:val="nil"/>
              <w:bottom w:val="single" w:sz="4" w:space="0" w:color="auto"/>
              <w:right w:val="single" w:sz="4" w:space="0" w:color="auto"/>
            </w:tcBorders>
            <w:vAlign w:val="center"/>
          </w:tcPr>
          <w:p w14:paraId="7DAFBAF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59A38E7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729E0A47"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33FD40D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15ACC26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1FA9FA6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56F7075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r>
      <w:tr w:rsidR="00044E7A" w14:paraId="5F563933"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5A40AC45"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val="restart"/>
            <w:tcBorders>
              <w:top w:val="nil"/>
              <w:left w:val="single" w:sz="4" w:space="0" w:color="auto"/>
              <w:bottom w:val="single" w:sz="4" w:space="0" w:color="auto"/>
              <w:right w:val="single" w:sz="4" w:space="0" w:color="auto"/>
            </w:tcBorders>
            <w:vAlign w:val="center"/>
          </w:tcPr>
          <w:p w14:paraId="7E1DC94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Interest coverage ratio</w:t>
            </w:r>
          </w:p>
        </w:tc>
        <w:tc>
          <w:tcPr>
            <w:tcW w:w="2060" w:type="dxa"/>
            <w:tcBorders>
              <w:top w:val="nil"/>
              <w:left w:val="nil"/>
              <w:bottom w:val="single" w:sz="4" w:space="0" w:color="auto"/>
              <w:right w:val="single" w:sz="4" w:space="0" w:color="auto"/>
            </w:tcBorders>
            <w:vAlign w:val="center"/>
          </w:tcPr>
          <w:p w14:paraId="57C080F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Net operating profit</w:t>
            </w:r>
          </w:p>
        </w:tc>
        <w:tc>
          <w:tcPr>
            <w:tcW w:w="820" w:type="dxa"/>
            <w:tcBorders>
              <w:top w:val="nil"/>
              <w:left w:val="nil"/>
              <w:bottom w:val="single" w:sz="4" w:space="0" w:color="auto"/>
              <w:right w:val="single" w:sz="4" w:space="0" w:color="auto"/>
            </w:tcBorders>
            <w:noWrap/>
            <w:vAlign w:val="center"/>
          </w:tcPr>
          <w:p w14:paraId="0F1F5BA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1198</w:t>
            </w:r>
          </w:p>
        </w:tc>
        <w:tc>
          <w:tcPr>
            <w:tcW w:w="820" w:type="dxa"/>
            <w:tcBorders>
              <w:top w:val="nil"/>
              <w:left w:val="nil"/>
              <w:bottom w:val="single" w:sz="4" w:space="0" w:color="auto"/>
              <w:right w:val="single" w:sz="4" w:space="0" w:color="auto"/>
            </w:tcBorders>
            <w:noWrap/>
            <w:vAlign w:val="center"/>
          </w:tcPr>
          <w:p w14:paraId="410C78D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1041</w:t>
            </w:r>
          </w:p>
        </w:tc>
        <w:tc>
          <w:tcPr>
            <w:tcW w:w="820" w:type="dxa"/>
            <w:tcBorders>
              <w:top w:val="nil"/>
              <w:left w:val="nil"/>
              <w:bottom w:val="single" w:sz="4" w:space="0" w:color="auto"/>
              <w:right w:val="single" w:sz="4" w:space="0" w:color="auto"/>
            </w:tcBorders>
            <w:noWrap/>
            <w:vAlign w:val="center"/>
          </w:tcPr>
          <w:p w14:paraId="168512D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1066</w:t>
            </w:r>
          </w:p>
        </w:tc>
        <w:tc>
          <w:tcPr>
            <w:tcW w:w="820" w:type="dxa"/>
            <w:tcBorders>
              <w:top w:val="nil"/>
              <w:left w:val="nil"/>
              <w:bottom w:val="single" w:sz="4" w:space="0" w:color="auto"/>
              <w:right w:val="single" w:sz="4" w:space="0" w:color="auto"/>
            </w:tcBorders>
            <w:noWrap/>
            <w:vAlign w:val="center"/>
          </w:tcPr>
          <w:p w14:paraId="0A30C58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628</w:t>
            </w:r>
          </w:p>
        </w:tc>
        <w:tc>
          <w:tcPr>
            <w:tcW w:w="820" w:type="dxa"/>
            <w:tcBorders>
              <w:top w:val="nil"/>
              <w:left w:val="nil"/>
              <w:bottom w:val="single" w:sz="4" w:space="0" w:color="auto"/>
              <w:right w:val="single" w:sz="4" w:space="0" w:color="auto"/>
            </w:tcBorders>
            <w:noWrap/>
            <w:vAlign w:val="center"/>
          </w:tcPr>
          <w:p w14:paraId="0C16BCD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494</w:t>
            </w:r>
          </w:p>
        </w:tc>
      </w:tr>
      <w:tr w:rsidR="00044E7A" w14:paraId="38F33E69"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09DD37D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06B4E711"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6511191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Interest charges</w:t>
            </w:r>
          </w:p>
        </w:tc>
        <w:tc>
          <w:tcPr>
            <w:tcW w:w="820" w:type="dxa"/>
            <w:tcBorders>
              <w:top w:val="nil"/>
              <w:left w:val="nil"/>
              <w:bottom w:val="single" w:sz="4" w:space="0" w:color="auto"/>
              <w:right w:val="single" w:sz="4" w:space="0" w:color="auto"/>
            </w:tcBorders>
            <w:noWrap/>
            <w:vAlign w:val="center"/>
          </w:tcPr>
          <w:p w14:paraId="5BFD789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202</w:t>
            </w:r>
          </w:p>
        </w:tc>
        <w:tc>
          <w:tcPr>
            <w:tcW w:w="820" w:type="dxa"/>
            <w:tcBorders>
              <w:top w:val="nil"/>
              <w:left w:val="nil"/>
              <w:bottom w:val="single" w:sz="4" w:space="0" w:color="auto"/>
              <w:right w:val="single" w:sz="4" w:space="0" w:color="auto"/>
            </w:tcBorders>
            <w:noWrap/>
            <w:vAlign w:val="center"/>
          </w:tcPr>
          <w:p w14:paraId="26088A9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178</w:t>
            </w:r>
          </w:p>
        </w:tc>
        <w:tc>
          <w:tcPr>
            <w:tcW w:w="820" w:type="dxa"/>
            <w:tcBorders>
              <w:top w:val="nil"/>
              <w:left w:val="nil"/>
              <w:bottom w:val="single" w:sz="4" w:space="0" w:color="auto"/>
              <w:right w:val="single" w:sz="4" w:space="0" w:color="auto"/>
            </w:tcBorders>
            <w:noWrap/>
            <w:vAlign w:val="center"/>
          </w:tcPr>
          <w:p w14:paraId="30B9396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126</w:t>
            </w:r>
          </w:p>
        </w:tc>
        <w:tc>
          <w:tcPr>
            <w:tcW w:w="820" w:type="dxa"/>
            <w:tcBorders>
              <w:top w:val="nil"/>
              <w:left w:val="nil"/>
              <w:bottom w:val="single" w:sz="4" w:space="0" w:color="auto"/>
              <w:right w:val="single" w:sz="4" w:space="0" w:color="auto"/>
            </w:tcBorders>
            <w:noWrap/>
            <w:vAlign w:val="center"/>
          </w:tcPr>
          <w:p w14:paraId="4CDC75B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118</w:t>
            </w:r>
          </w:p>
        </w:tc>
        <w:tc>
          <w:tcPr>
            <w:tcW w:w="820" w:type="dxa"/>
            <w:tcBorders>
              <w:top w:val="nil"/>
              <w:left w:val="nil"/>
              <w:bottom w:val="single" w:sz="4" w:space="0" w:color="auto"/>
              <w:right w:val="single" w:sz="4" w:space="0" w:color="auto"/>
            </w:tcBorders>
            <w:noWrap/>
            <w:vAlign w:val="center"/>
          </w:tcPr>
          <w:p w14:paraId="409BED8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147</w:t>
            </w:r>
          </w:p>
        </w:tc>
      </w:tr>
      <w:tr w:rsidR="00044E7A" w14:paraId="0AB313EF"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66AE2619"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41F872C3"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735768F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Interest coverage ratio</w:t>
            </w:r>
          </w:p>
        </w:tc>
        <w:tc>
          <w:tcPr>
            <w:tcW w:w="820" w:type="dxa"/>
            <w:tcBorders>
              <w:top w:val="nil"/>
              <w:left w:val="nil"/>
              <w:bottom w:val="single" w:sz="4" w:space="0" w:color="auto"/>
              <w:right w:val="single" w:sz="4" w:space="0" w:color="auto"/>
            </w:tcBorders>
            <w:noWrap/>
            <w:vAlign w:val="center"/>
          </w:tcPr>
          <w:p w14:paraId="7B62F2E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5.93</w:t>
            </w:r>
          </w:p>
        </w:tc>
        <w:tc>
          <w:tcPr>
            <w:tcW w:w="820" w:type="dxa"/>
            <w:tcBorders>
              <w:top w:val="nil"/>
              <w:left w:val="nil"/>
              <w:bottom w:val="single" w:sz="4" w:space="0" w:color="auto"/>
              <w:right w:val="single" w:sz="4" w:space="0" w:color="auto"/>
            </w:tcBorders>
            <w:noWrap/>
            <w:vAlign w:val="center"/>
          </w:tcPr>
          <w:p w14:paraId="1E0D1E5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5.85</w:t>
            </w:r>
          </w:p>
        </w:tc>
        <w:tc>
          <w:tcPr>
            <w:tcW w:w="820" w:type="dxa"/>
            <w:tcBorders>
              <w:top w:val="nil"/>
              <w:left w:val="nil"/>
              <w:bottom w:val="single" w:sz="4" w:space="0" w:color="auto"/>
              <w:right w:val="single" w:sz="4" w:space="0" w:color="auto"/>
            </w:tcBorders>
            <w:noWrap/>
            <w:vAlign w:val="center"/>
          </w:tcPr>
          <w:p w14:paraId="7851159D"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8.46</w:t>
            </w:r>
          </w:p>
        </w:tc>
        <w:tc>
          <w:tcPr>
            <w:tcW w:w="820" w:type="dxa"/>
            <w:tcBorders>
              <w:top w:val="nil"/>
              <w:left w:val="nil"/>
              <w:bottom w:val="single" w:sz="4" w:space="0" w:color="auto"/>
              <w:right w:val="single" w:sz="4" w:space="0" w:color="auto"/>
            </w:tcBorders>
            <w:noWrap/>
            <w:vAlign w:val="center"/>
          </w:tcPr>
          <w:p w14:paraId="59B72277"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5.32</w:t>
            </w:r>
          </w:p>
        </w:tc>
        <w:tc>
          <w:tcPr>
            <w:tcW w:w="820" w:type="dxa"/>
            <w:tcBorders>
              <w:top w:val="nil"/>
              <w:left w:val="nil"/>
              <w:bottom w:val="single" w:sz="4" w:space="0" w:color="auto"/>
              <w:right w:val="single" w:sz="4" w:space="0" w:color="auto"/>
            </w:tcBorders>
            <w:noWrap/>
            <w:vAlign w:val="center"/>
          </w:tcPr>
          <w:p w14:paraId="61B227F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3.36</w:t>
            </w:r>
          </w:p>
        </w:tc>
      </w:tr>
      <w:tr w:rsidR="00044E7A" w14:paraId="0EB946BE" w14:textId="77777777">
        <w:trPr>
          <w:trHeight w:val="290"/>
        </w:trPr>
        <w:tc>
          <w:tcPr>
            <w:tcW w:w="1200" w:type="dxa"/>
            <w:tcBorders>
              <w:top w:val="nil"/>
              <w:left w:val="single" w:sz="4" w:space="0" w:color="auto"/>
              <w:bottom w:val="single" w:sz="4" w:space="0" w:color="auto"/>
              <w:right w:val="single" w:sz="4" w:space="0" w:color="auto"/>
            </w:tcBorders>
            <w:vAlign w:val="center"/>
          </w:tcPr>
          <w:p w14:paraId="131060F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540" w:type="dxa"/>
            <w:tcBorders>
              <w:top w:val="nil"/>
              <w:left w:val="nil"/>
              <w:bottom w:val="single" w:sz="4" w:space="0" w:color="auto"/>
              <w:right w:val="single" w:sz="4" w:space="0" w:color="auto"/>
            </w:tcBorders>
            <w:vAlign w:val="center"/>
          </w:tcPr>
          <w:p w14:paraId="76648C7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0A6E906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4EA74032"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0156AA8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74D83017"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24B9CDA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0713693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r>
      <w:tr w:rsidR="00044E7A" w14:paraId="54BB26E7" w14:textId="77777777">
        <w:trPr>
          <w:trHeight w:val="290"/>
        </w:trPr>
        <w:tc>
          <w:tcPr>
            <w:tcW w:w="1200" w:type="dxa"/>
            <w:vMerge w:val="restart"/>
            <w:tcBorders>
              <w:top w:val="nil"/>
              <w:left w:val="single" w:sz="4" w:space="0" w:color="auto"/>
              <w:bottom w:val="single" w:sz="4" w:space="0" w:color="auto"/>
              <w:right w:val="single" w:sz="4" w:space="0" w:color="auto"/>
            </w:tcBorders>
            <w:vAlign w:val="center"/>
          </w:tcPr>
          <w:p w14:paraId="74DBAAF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Investment ratios</w:t>
            </w:r>
          </w:p>
        </w:tc>
        <w:tc>
          <w:tcPr>
            <w:tcW w:w="1540" w:type="dxa"/>
            <w:vMerge w:val="restart"/>
            <w:tcBorders>
              <w:top w:val="nil"/>
              <w:left w:val="single" w:sz="4" w:space="0" w:color="auto"/>
              <w:bottom w:val="single" w:sz="4" w:space="0" w:color="auto"/>
              <w:right w:val="single" w:sz="4" w:space="0" w:color="auto"/>
            </w:tcBorders>
            <w:vAlign w:val="center"/>
          </w:tcPr>
          <w:p w14:paraId="2A3B55B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Return on capital employed</w:t>
            </w:r>
          </w:p>
        </w:tc>
        <w:tc>
          <w:tcPr>
            <w:tcW w:w="2060" w:type="dxa"/>
            <w:tcBorders>
              <w:top w:val="nil"/>
              <w:left w:val="nil"/>
              <w:bottom w:val="single" w:sz="4" w:space="0" w:color="auto"/>
              <w:right w:val="single" w:sz="4" w:space="0" w:color="auto"/>
            </w:tcBorders>
            <w:vAlign w:val="center"/>
          </w:tcPr>
          <w:p w14:paraId="41545B7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Net operating profit</w:t>
            </w:r>
          </w:p>
        </w:tc>
        <w:tc>
          <w:tcPr>
            <w:tcW w:w="820" w:type="dxa"/>
            <w:tcBorders>
              <w:top w:val="nil"/>
              <w:left w:val="nil"/>
              <w:bottom w:val="single" w:sz="4" w:space="0" w:color="auto"/>
              <w:right w:val="single" w:sz="4" w:space="0" w:color="auto"/>
            </w:tcBorders>
            <w:noWrap/>
            <w:vAlign w:val="center"/>
          </w:tcPr>
          <w:p w14:paraId="5C45EC7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1198</w:t>
            </w:r>
          </w:p>
        </w:tc>
        <w:tc>
          <w:tcPr>
            <w:tcW w:w="820" w:type="dxa"/>
            <w:tcBorders>
              <w:top w:val="nil"/>
              <w:left w:val="nil"/>
              <w:bottom w:val="single" w:sz="4" w:space="0" w:color="auto"/>
              <w:right w:val="single" w:sz="4" w:space="0" w:color="auto"/>
            </w:tcBorders>
            <w:noWrap/>
            <w:vAlign w:val="center"/>
          </w:tcPr>
          <w:p w14:paraId="018CDA2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1041</w:t>
            </w:r>
          </w:p>
        </w:tc>
        <w:tc>
          <w:tcPr>
            <w:tcW w:w="820" w:type="dxa"/>
            <w:tcBorders>
              <w:top w:val="nil"/>
              <w:left w:val="nil"/>
              <w:bottom w:val="single" w:sz="4" w:space="0" w:color="auto"/>
              <w:right w:val="single" w:sz="4" w:space="0" w:color="auto"/>
            </w:tcBorders>
            <w:noWrap/>
            <w:vAlign w:val="center"/>
          </w:tcPr>
          <w:p w14:paraId="139A1D5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1066</w:t>
            </w:r>
          </w:p>
        </w:tc>
        <w:tc>
          <w:tcPr>
            <w:tcW w:w="820" w:type="dxa"/>
            <w:tcBorders>
              <w:top w:val="nil"/>
              <w:left w:val="nil"/>
              <w:bottom w:val="single" w:sz="4" w:space="0" w:color="auto"/>
              <w:right w:val="single" w:sz="4" w:space="0" w:color="auto"/>
            </w:tcBorders>
            <w:noWrap/>
            <w:vAlign w:val="center"/>
          </w:tcPr>
          <w:p w14:paraId="1A63EF7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628</w:t>
            </w:r>
          </w:p>
        </w:tc>
        <w:tc>
          <w:tcPr>
            <w:tcW w:w="820" w:type="dxa"/>
            <w:tcBorders>
              <w:top w:val="nil"/>
              <w:left w:val="nil"/>
              <w:bottom w:val="single" w:sz="4" w:space="0" w:color="auto"/>
              <w:right w:val="single" w:sz="4" w:space="0" w:color="auto"/>
            </w:tcBorders>
            <w:noWrap/>
            <w:vAlign w:val="center"/>
          </w:tcPr>
          <w:p w14:paraId="06E6864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494</w:t>
            </w:r>
          </w:p>
        </w:tc>
      </w:tr>
      <w:tr w:rsidR="00044E7A" w14:paraId="352FDC63"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2AD055D5"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15798960"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7297D5C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Total capital employed</w:t>
            </w:r>
          </w:p>
        </w:tc>
        <w:tc>
          <w:tcPr>
            <w:tcW w:w="820" w:type="dxa"/>
            <w:tcBorders>
              <w:top w:val="nil"/>
              <w:left w:val="nil"/>
              <w:bottom w:val="single" w:sz="4" w:space="0" w:color="auto"/>
              <w:right w:val="single" w:sz="4" w:space="0" w:color="auto"/>
            </w:tcBorders>
            <w:noWrap/>
            <w:vAlign w:val="center"/>
          </w:tcPr>
          <w:p w14:paraId="45F226F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3245</w:t>
            </w:r>
          </w:p>
        </w:tc>
        <w:tc>
          <w:tcPr>
            <w:tcW w:w="820" w:type="dxa"/>
            <w:tcBorders>
              <w:top w:val="nil"/>
              <w:left w:val="nil"/>
              <w:bottom w:val="single" w:sz="4" w:space="0" w:color="auto"/>
              <w:right w:val="single" w:sz="4" w:space="0" w:color="auto"/>
            </w:tcBorders>
            <w:noWrap/>
            <w:vAlign w:val="center"/>
          </w:tcPr>
          <w:p w14:paraId="75CC9CA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2820</w:t>
            </w:r>
          </w:p>
        </w:tc>
        <w:tc>
          <w:tcPr>
            <w:tcW w:w="820" w:type="dxa"/>
            <w:tcBorders>
              <w:top w:val="nil"/>
              <w:left w:val="nil"/>
              <w:bottom w:val="single" w:sz="4" w:space="0" w:color="auto"/>
              <w:right w:val="single" w:sz="4" w:space="0" w:color="auto"/>
            </w:tcBorders>
            <w:noWrap/>
            <w:vAlign w:val="center"/>
          </w:tcPr>
          <w:p w14:paraId="45A1A55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2623</w:t>
            </w:r>
          </w:p>
        </w:tc>
        <w:tc>
          <w:tcPr>
            <w:tcW w:w="820" w:type="dxa"/>
            <w:tcBorders>
              <w:top w:val="nil"/>
              <w:left w:val="nil"/>
              <w:bottom w:val="single" w:sz="4" w:space="0" w:color="auto"/>
              <w:right w:val="single" w:sz="4" w:space="0" w:color="auto"/>
            </w:tcBorders>
            <w:noWrap/>
            <w:vAlign w:val="center"/>
          </w:tcPr>
          <w:p w14:paraId="6551580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2672</w:t>
            </w:r>
          </w:p>
        </w:tc>
        <w:tc>
          <w:tcPr>
            <w:tcW w:w="820" w:type="dxa"/>
            <w:tcBorders>
              <w:top w:val="nil"/>
              <w:left w:val="nil"/>
              <w:bottom w:val="single" w:sz="4" w:space="0" w:color="auto"/>
              <w:right w:val="single" w:sz="4" w:space="0" w:color="auto"/>
            </w:tcBorders>
            <w:noWrap/>
            <w:vAlign w:val="center"/>
          </w:tcPr>
          <w:p w14:paraId="7CAA87F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3092</w:t>
            </w:r>
          </w:p>
        </w:tc>
      </w:tr>
      <w:tr w:rsidR="00044E7A" w14:paraId="52188CE6"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082695F7"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4B53C99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6869B42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ROCE</w:t>
            </w:r>
          </w:p>
        </w:tc>
        <w:tc>
          <w:tcPr>
            <w:tcW w:w="820" w:type="dxa"/>
            <w:tcBorders>
              <w:top w:val="nil"/>
              <w:left w:val="nil"/>
              <w:bottom w:val="single" w:sz="4" w:space="0" w:color="auto"/>
              <w:right w:val="single" w:sz="4" w:space="0" w:color="auto"/>
            </w:tcBorders>
            <w:noWrap/>
            <w:vAlign w:val="center"/>
          </w:tcPr>
          <w:p w14:paraId="3A30C6C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36.92%</w:t>
            </w:r>
          </w:p>
        </w:tc>
        <w:tc>
          <w:tcPr>
            <w:tcW w:w="820" w:type="dxa"/>
            <w:tcBorders>
              <w:top w:val="nil"/>
              <w:left w:val="nil"/>
              <w:bottom w:val="single" w:sz="4" w:space="0" w:color="auto"/>
              <w:right w:val="single" w:sz="4" w:space="0" w:color="auto"/>
            </w:tcBorders>
            <w:noWrap/>
            <w:vAlign w:val="center"/>
          </w:tcPr>
          <w:p w14:paraId="7C47C51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36.91%</w:t>
            </w:r>
          </w:p>
        </w:tc>
        <w:tc>
          <w:tcPr>
            <w:tcW w:w="820" w:type="dxa"/>
            <w:tcBorders>
              <w:top w:val="nil"/>
              <w:left w:val="nil"/>
              <w:bottom w:val="single" w:sz="4" w:space="0" w:color="auto"/>
              <w:right w:val="single" w:sz="4" w:space="0" w:color="auto"/>
            </w:tcBorders>
            <w:noWrap/>
            <w:vAlign w:val="center"/>
          </w:tcPr>
          <w:p w14:paraId="6861180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40.64%</w:t>
            </w:r>
          </w:p>
        </w:tc>
        <w:tc>
          <w:tcPr>
            <w:tcW w:w="820" w:type="dxa"/>
            <w:tcBorders>
              <w:top w:val="nil"/>
              <w:left w:val="nil"/>
              <w:bottom w:val="single" w:sz="4" w:space="0" w:color="auto"/>
              <w:right w:val="single" w:sz="4" w:space="0" w:color="auto"/>
            </w:tcBorders>
            <w:noWrap/>
            <w:vAlign w:val="center"/>
          </w:tcPr>
          <w:p w14:paraId="6FE3135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23.50%</w:t>
            </w:r>
          </w:p>
        </w:tc>
        <w:tc>
          <w:tcPr>
            <w:tcW w:w="820" w:type="dxa"/>
            <w:tcBorders>
              <w:top w:val="nil"/>
              <w:left w:val="nil"/>
              <w:bottom w:val="single" w:sz="4" w:space="0" w:color="auto"/>
              <w:right w:val="single" w:sz="4" w:space="0" w:color="auto"/>
            </w:tcBorders>
            <w:noWrap/>
            <w:vAlign w:val="center"/>
          </w:tcPr>
          <w:p w14:paraId="7568D74D"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15.98%</w:t>
            </w:r>
          </w:p>
        </w:tc>
      </w:tr>
      <w:tr w:rsidR="00044E7A" w14:paraId="1C16CF6A"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12E22B00"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tcBorders>
              <w:top w:val="nil"/>
              <w:left w:val="nil"/>
              <w:bottom w:val="single" w:sz="4" w:space="0" w:color="auto"/>
              <w:right w:val="single" w:sz="4" w:space="0" w:color="auto"/>
            </w:tcBorders>
            <w:vAlign w:val="center"/>
          </w:tcPr>
          <w:p w14:paraId="0998518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337B85A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24C4001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0E44155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64F3CA8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77AC822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300A742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465DB9D1"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321FE7C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val="restart"/>
            <w:tcBorders>
              <w:top w:val="nil"/>
              <w:left w:val="single" w:sz="4" w:space="0" w:color="auto"/>
              <w:bottom w:val="single" w:sz="4" w:space="0" w:color="auto"/>
              <w:right w:val="single" w:sz="4" w:space="0" w:color="auto"/>
            </w:tcBorders>
            <w:vAlign w:val="center"/>
          </w:tcPr>
          <w:p w14:paraId="0D0BA81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Return on assets</w:t>
            </w:r>
          </w:p>
        </w:tc>
        <w:tc>
          <w:tcPr>
            <w:tcW w:w="2060" w:type="dxa"/>
            <w:tcBorders>
              <w:top w:val="nil"/>
              <w:left w:val="nil"/>
              <w:bottom w:val="single" w:sz="4" w:space="0" w:color="auto"/>
              <w:right w:val="single" w:sz="4" w:space="0" w:color="auto"/>
            </w:tcBorders>
            <w:vAlign w:val="center"/>
          </w:tcPr>
          <w:p w14:paraId="133B67C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Net operating profit</w:t>
            </w:r>
          </w:p>
        </w:tc>
        <w:tc>
          <w:tcPr>
            <w:tcW w:w="820" w:type="dxa"/>
            <w:tcBorders>
              <w:top w:val="nil"/>
              <w:left w:val="nil"/>
              <w:bottom w:val="single" w:sz="4" w:space="0" w:color="auto"/>
              <w:right w:val="single" w:sz="4" w:space="0" w:color="auto"/>
            </w:tcBorders>
            <w:noWrap/>
            <w:vAlign w:val="center"/>
          </w:tcPr>
          <w:p w14:paraId="6909CBD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1198</w:t>
            </w:r>
          </w:p>
        </w:tc>
        <w:tc>
          <w:tcPr>
            <w:tcW w:w="820" w:type="dxa"/>
            <w:tcBorders>
              <w:top w:val="nil"/>
              <w:left w:val="nil"/>
              <w:bottom w:val="single" w:sz="4" w:space="0" w:color="auto"/>
              <w:right w:val="single" w:sz="4" w:space="0" w:color="auto"/>
            </w:tcBorders>
            <w:noWrap/>
            <w:vAlign w:val="center"/>
          </w:tcPr>
          <w:p w14:paraId="37DE8D1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1041</w:t>
            </w:r>
          </w:p>
        </w:tc>
        <w:tc>
          <w:tcPr>
            <w:tcW w:w="820" w:type="dxa"/>
            <w:tcBorders>
              <w:top w:val="nil"/>
              <w:left w:val="nil"/>
              <w:bottom w:val="single" w:sz="4" w:space="0" w:color="auto"/>
              <w:right w:val="single" w:sz="4" w:space="0" w:color="auto"/>
            </w:tcBorders>
            <w:noWrap/>
            <w:vAlign w:val="center"/>
          </w:tcPr>
          <w:p w14:paraId="6FD780D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1066</w:t>
            </w:r>
          </w:p>
        </w:tc>
        <w:tc>
          <w:tcPr>
            <w:tcW w:w="820" w:type="dxa"/>
            <w:tcBorders>
              <w:top w:val="nil"/>
              <w:left w:val="nil"/>
              <w:bottom w:val="single" w:sz="4" w:space="0" w:color="auto"/>
              <w:right w:val="single" w:sz="4" w:space="0" w:color="auto"/>
            </w:tcBorders>
            <w:noWrap/>
            <w:vAlign w:val="center"/>
          </w:tcPr>
          <w:p w14:paraId="3976E85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628</w:t>
            </w:r>
          </w:p>
        </w:tc>
        <w:tc>
          <w:tcPr>
            <w:tcW w:w="820" w:type="dxa"/>
            <w:tcBorders>
              <w:top w:val="nil"/>
              <w:left w:val="nil"/>
              <w:bottom w:val="single" w:sz="4" w:space="0" w:color="auto"/>
              <w:right w:val="single" w:sz="4" w:space="0" w:color="auto"/>
            </w:tcBorders>
            <w:noWrap/>
            <w:vAlign w:val="center"/>
          </w:tcPr>
          <w:p w14:paraId="21BC0D7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494</w:t>
            </w:r>
          </w:p>
        </w:tc>
      </w:tr>
      <w:tr w:rsidR="00044E7A" w14:paraId="3DEA617C"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14AE5F1F"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0083D3B9"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5C5E212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Total assets</w:t>
            </w:r>
          </w:p>
        </w:tc>
        <w:tc>
          <w:tcPr>
            <w:tcW w:w="820" w:type="dxa"/>
            <w:tcBorders>
              <w:top w:val="nil"/>
              <w:left w:val="nil"/>
              <w:bottom w:val="single" w:sz="4" w:space="0" w:color="auto"/>
              <w:right w:val="single" w:sz="4" w:space="0" w:color="auto"/>
            </w:tcBorders>
            <w:noWrap/>
            <w:vAlign w:val="center"/>
          </w:tcPr>
          <w:p w14:paraId="222B5AF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5345</w:t>
            </w:r>
          </w:p>
        </w:tc>
        <w:tc>
          <w:tcPr>
            <w:tcW w:w="820" w:type="dxa"/>
            <w:tcBorders>
              <w:top w:val="nil"/>
              <w:left w:val="nil"/>
              <w:bottom w:val="single" w:sz="4" w:space="0" w:color="auto"/>
              <w:right w:val="single" w:sz="4" w:space="0" w:color="auto"/>
            </w:tcBorders>
            <w:noWrap/>
            <w:vAlign w:val="center"/>
          </w:tcPr>
          <w:p w14:paraId="744DB40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4748</w:t>
            </w:r>
          </w:p>
        </w:tc>
        <w:tc>
          <w:tcPr>
            <w:tcW w:w="820" w:type="dxa"/>
            <w:tcBorders>
              <w:top w:val="nil"/>
              <w:left w:val="nil"/>
              <w:bottom w:val="single" w:sz="4" w:space="0" w:color="auto"/>
              <w:right w:val="single" w:sz="4" w:space="0" w:color="auto"/>
            </w:tcBorders>
            <w:noWrap/>
            <w:vAlign w:val="center"/>
          </w:tcPr>
          <w:p w14:paraId="640186B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4813</w:t>
            </w:r>
          </w:p>
        </w:tc>
        <w:tc>
          <w:tcPr>
            <w:tcW w:w="820" w:type="dxa"/>
            <w:tcBorders>
              <w:top w:val="nil"/>
              <w:left w:val="nil"/>
              <w:bottom w:val="single" w:sz="4" w:space="0" w:color="auto"/>
              <w:right w:val="single" w:sz="4" w:space="0" w:color="auto"/>
            </w:tcBorders>
            <w:noWrap/>
            <w:vAlign w:val="center"/>
          </w:tcPr>
          <w:p w14:paraId="299A815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4216</w:t>
            </w:r>
          </w:p>
        </w:tc>
        <w:tc>
          <w:tcPr>
            <w:tcW w:w="820" w:type="dxa"/>
            <w:tcBorders>
              <w:top w:val="nil"/>
              <w:left w:val="nil"/>
              <w:bottom w:val="single" w:sz="4" w:space="0" w:color="auto"/>
              <w:right w:val="single" w:sz="4" w:space="0" w:color="auto"/>
            </w:tcBorders>
            <w:noWrap/>
            <w:vAlign w:val="center"/>
          </w:tcPr>
          <w:p w14:paraId="27608C1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4716</w:t>
            </w:r>
          </w:p>
        </w:tc>
      </w:tr>
      <w:tr w:rsidR="00044E7A" w14:paraId="1918C873"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63AAAEC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2601101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11D33AD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ROA</w:t>
            </w:r>
          </w:p>
        </w:tc>
        <w:tc>
          <w:tcPr>
            <w:tcW w:w="820" w:type="dxa"/>
            <w:tcBorders>
              <w:top w:val="nil"/>
              <w:left w:val="nil"/>
              <w:bottom w:val="single" w:sz="4" w:space="0" w:color="auto"/>
              <w:right w:val="single" w:sz="4" w:space="0" w:color="auto"/>
            </w:tcBorders>
            <w:noWrap/>
            <w:vAlign w:val="center"/>
          </w:tcPr>
          <w:p w14:paraId="6F8526F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22.41%</w:t>
            </w:r>
          </w:p>
        </w:tc>
        <w:tc>
          <w:tcPr>
            <w:tcW w:w="820" w:type="dxa"/>
            <w:tcBorders>
              <w:top w:val="nil"/>
              <w:left w:val="nil"/>
              <w:bottom w:val="single" w:sz="4" w:space="0" w:color="auto"/>
              <w:right w:val="single" w:sz="4" w:space="0" w:color="auto"/>
            </w:tcBorders>
            <w:noWrap/>
            <w:vAlign w:val="center"/>
          </w:tcPr>
          <w:p w14:paraId="6233C76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21.93%</w:t>
            </w:r>
          </w:p>
        </w:tc>
        <w:tc>
          <w:tcPr>
            <w:tcW w:w="820" w:type="dxa"/>
            <w:tcBorders>
              <w:top w:val="nil"/>
              <w:left w:val="nil"/>
              <w:bottom w:val="single" w:sz="4" w:space="0" w:color="auto"/>
              <w:right w:val="single" w:sz="4" w:space="0" w:color="auto"/>
            </w:tcBorders>
            <w:noWrap/>
            <w:vAlign w:val="center"/>
          </w:tcPr>
          <w:p w14:paraId="7775FBA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22.15%</w:t>
            </w:r>
          </w:p>
        </w:tc>
        <w:tc>
          <w:tcPr>
            <w:tcW w:w="820" w:type="dxa"/>
            <w:tcBorders>
              <w:top w:val="nil"/>
              <w:left w:val="nil"/>
              <w:bottom w:val="single" w:sz="4" w:space="0" w:color="auto"/>
              <w:right w:val="single" w:sz="4" w:space="0" w:color="auto"/>
            </w:tcBorders>
            <w:noWrap/>
            <w:vAlign w:val="center"/>
          </w:tcPr>
          <w:p w14:paraId="0444472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14.90%</w:t>
            </w:r>
          </w:p>
        </w:tc>
        <w:tc>
          <w:tcPr>
            <w:tcW w:w="820" w:type="dxa"/>
            <w:tcBorders>
              <w:top w:val="nil"/>
              <w:left w:val="nil"/>
              <w:bottom w:val="single" w:sz="4" w:space="0" w:color="auto"/>
              <w:right w:val="single" w:sz="4" w:space="0" w:color="auto"/>
            </w:tcBorders>
            <w:noWrap/>
            <w:vAlign w:val="center"/>
          </w:tcPr>
          <w:p w14:paraId="4A6B7FF5"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10.47%</w:t>
            </w:r>
          </w:p>
        </w:tc>
      </w:tr>
      <w:tr w:rsidR="00044E7A" w14:paraId="535DEBC1"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66CEB393"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tcBorders>
              <w:top w:val="nil"/>
              <w:left w:val="nil"/>
              <w:bottom w:val="single" w:sz="4" w:space="0" w:color="auto"/>
              <w:right w:val="single" w:sz="4" w:space="0" w:color="auto"/>
            </w:tcBorders>
            <w:vAlign w:val="center"/>
          </w:tcPr>
          <w:p w14:paraId="22CBF96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062BA69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53A2648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17F6F33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77DE82D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2E4D57F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6834F9B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r>
      <w:tr w:rsidR="00044E7A" w14:paraId="6BA4BA3F"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552A1D02"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val="restart"/>
            <w:tcBorders>
              <w:top w:val="nil"/>
              <w:left w:val="single" w:sz="4" w:space="0" w:color="auto"/>
              <w:bottom w:val="single" w:sz="4" w:space="0" w:color="auto"/>
              <w:right w:val="single" w:sz="4" w:space="0" w:color="auto"/>
            </w:tcBorders>
            <w:vAlign w:val="center"/>
          </w:tcPr>
          <w:p w14:paraId="4BA7C40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Return on equity</w:t>
            </w:r>
          </w:p>
        </w:tc>
        <w:tc>
          <w:tcPr>
            <w:tcW w:w="2060" w:type="dxa"/>
            <w:tcBorders>
              <w:top w:val="nil"/>
              <w:left w:val="nil"/>
              <w:bottom w:val="single" w:sz="4" w:space="0" w:color="auto"/>
              <w:right w:val="single" w:sz="4" w:space="0" w:color="auto"/>
            </w:tcBorders>
            <w:vAlign w:val="center"/>
          </w:tcPr>
          <w:p w14:paraId="7E17DC0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Net profit after tax</w:t>
            </w:r>
          </w:p>
        </w:tc>
        <w:tc>
          <w:tcPr>
            <w:tcW w:w="820" w:type="dxa"/>
            <w:tcBorders>
              <w:top w:val="nil"/>
              <w:left w:val="nil"/>
              <w:bottom w:val="single" w:sz="4" w:space="0" w:color="auto"/>
              <w:right w:val="single" w:sz="4" w:space="0" w:color="auto"/>
            </w:tcBorders>
            <w:noWrap/>
            <w:vAlign w:val="center"/>
          </w:tcPr>
          <w:p w14:paraId="74615ED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759</w:t>
            </w:r>
          </w:p>
        </w:tc>
        <w:tc>
          <w:tcPr>
            <w:tcW w:w="820" w:type="dxa"/>
            <w:tcBorders>
              <w:top w:val="nil"/>
              <w:left w:val="nil"/>
              <w:bottom w:val="single" w:sz="4" w:space="0" w:color="auto"/>
              <w:right w:val="single" w:sz="4" w:space="0" w:color="auto"/>
            </w:tcBorders>
            <w:noWrap/>
            <w:vAlign w:val="center"/>
          </w:tcPr>
          <w:p w14:paraId="568178F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628</w:t>
            </w:r>
          </w:p>
        </w:tc>
        <w:tc>
          <w:tcPr>
            <w:tcW w:w="820" w:type="dxa"/>
            <w:tcBorders>
              <w:top w:val="nil"/>
              <w:left w:val="nil"/>
              <w:bottom w:val="single" w:sz="4" w:space="0" w:color="auto"/>
              <w:right w:val="single" w:sz="4" w:space="0" w:color="auto"/>
            </w:tcBorders>
            <w:noWrap/>
            <w:vAlign w:val="center"/>
          </w:tcPr>
          <w:p w14:paraId="400966A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750</w:t>
            </w:r>
          </w:p>
        </w:tc>
        <w:tc>
          <w:tcPr>
            <w:tcW w:w="820" w:type="dxa"/>
            <w:tcBorders>
              <w:top w:val="nil"/>
              <w:left w:val="nil"/>
              <w:bottom w:val="single" w:sz="4" w:space="0" w:color="auto"/>
              <w:right w:val="single" w:sz="4" w:space="0" w:color="auto"/>
            </w:tcBorders>
            <w:noWrap/>
            <w:vAlign w:val="center"/>
          </w:tcPr>
          <w:p w14:paraId="43B3075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376</w:t>
            </w:r>
          </w:p>
        </w:tc>
        <w:tc>
          <w:tcPr>
            <w:tcW w:w="820" w:type="dxa"/>
            <w:tcBorders>
              <w:top w:val="nil"/>
              <w:left w:val="nil"/>
              <w:bottom w:val="single" w:sz="4" w:space="0" w:color="auto"/>
              <w:right w:val="single" w:sz="4" w:space="0" w:color="auto"/>
            </w:tcBorders>
            <w:noWrap/>
            <w:vAlign w:val="center"/>
          </w:tcPr>
          <w:p w14:paraId="462DF1D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265</w:t>
            </w:r>
          </w:p>
        </w:tc>
      </w:tr>
      <w:tr w:rsidR="00044E7A" w14:paraId="25F4990E"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2989F29B"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2C2CF78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5421D4D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Shareholder's equity</w:t>
            </w:r>
          </w:p>
        </w:tc>
        <w:tc>
          <w:tcPr>
            <w:tcW w:w="820" w:type="dxa"/>
            <w:tcBorders>
              <w:top w:val="nil"/>
              <w:left w:val="nil"/>
              <w:bottom w:val="single" w:sz="4" w:space="0" w:color="auto"/>
              <w:right w:val="single" w:sz="4" w:space="0" w:color="auto"/>
            </w:tcBorders>
            <w:noWrap/>
            <w:vAlign w:val="center"/>
          </w:tcPr>
          <w:p w14:paraId="30EFC05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2736</w:t>
            </w:r>
          </w:p>
        </w:tc>
        <w:tc>
          <w:tcPr>
            <w:tcW w:w="820" w:type="dxa"/>
            <w:tcBorders>
              <w:top w:val="nil"/>
              <w:left w:val="nil"/>
              <w:bottom w:val="single" w:sz="4" w:space="0" w:color="auto"/>
              <w:right w:val="single" w:sz="4" w:space="0" w:color="auto"/>
            </w:tcBorders>
            <w:noWrap/>
            <w:vAlign w:val="center"/>
          </w:tcPr>
          <w:p w14:paraId="78B2507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2308</w:t>
            </w:r>
          </w:p>
        </w:tc>
        <w:tc>
          <w:tcPr>
            <w:tcW w:w="820" w:type="dxa"/>
            <w:tcBorders>
              <w:top w:val="nil"/>
              <w:left w:val="nil"/>
              <w:bottom w:val="single" w:sz="4" w:space="0" w:color="auto"/>
              <w:right w:val="single" w:sz="4" w:space="0" w:color="auto"/>
            </w:tcBorders>
            <w:noWrap/>
            <w:vAlign w:val="center"/>
          </w:tcPr>
          <w:p w14:paraId="6BC70D3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1946</w:t>
            </w:r>
          </w:p>
        </w:tc>
        <w:tc>
          <w:tcPr>
            <w:tcW w:w="820" w:type="dxa"/>
            <w:tcBorders>
              <w:top w:val="nil"/>
              <w:left w:val="nil"/>
              <w:bottom w:val="single" w:sz="4" w:space="0" w:color="auto"/>
              <w:right w:val="single" w:sz="4" w:space="0" w:color="auto"/>
            </w:tcBorders>
            <w:noWrap/>
            <w:vAlign w:val="center"/>
          </w:tcPr>
          <w:p w14:paraId="4E54267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1608</w:t>
            </w:r>
          </w:p>
        </w:tc>
        <w:tc>
          <w:tcPr>
            <w:tcW w:w="820" w:type="dxa"/>
            <w:tcBorders>
              <w:top w:val="nil"/>
              <w:left w:val="nil"/>
              <w:bottom w:val="single" w:sz="4" w:space="0" w:color="auto"/>
              <w:right w:val="single" w:sz="4" w:space="0" w:color="auto"/>
            </w:tcBorders>
            <w:noWrap/>
            <w:vAlign w:val="center"/>
          </w:tcPr>
          <w:p w14:paraId="0D558C5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1474</w:t>
            </w:r>
          </w:p>
        </w:tc>
      </w:tr>
      <w:tr w:rsidR="00044E7A" w14:paraId="79C94773"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33A06635"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2B7DDAF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16461C2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ROE</w:t>
            </w:r>
          </w:p>
        </w:tc>
        <w:tc>
          <w:tcPr>
            <w:tcW w:w="820" w:type="dxa"/>
            <w:tcBorders>
              <w:top w:val="nil"/>
              <w:left w:val="nil"/>
              <w:bottom w:val="single" w:sz="4" w:space="0" w:color="auto"/>
              <w:right w:val="single" w:sz="4" w:space="0" w:color="auto"/>
            </w:tcBorders>
            <w:noWrap/>
            <w:vAlign w:val="center"/>
          </w:tcPr>
          <w:p w14:paraId="1AB30FFD"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27.74%</w:t>
            </w:r>
          </w:p>
        </w:tc>
        <w:tc>
          <w:tcPr>
            <w:tcW w:w="820" w:type="dxa"/>
            <w:tcBorders>
              <w:top w:val="nil"/>
              <w:left w:val="nil"/>
              <w:bottom w:val="single" w:sz="4" w:space="0" w:color="auto"/>
              <w:right w:val="single" w:sz="4" w:space="0" w:color="auto"/>
            </w:tcBorders>
            <w:noWrap/>
            <w:vAlign w:val="center"/>
          </w:tcPr>
          <w:p w14:paraId="62790E2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27.21%</w:t>
            </w:r>
          </w:p>
        </w:tc>
        <w:tc>
          <w:tcPr>
            <w:tcW w:w="820" w:type="dxa"/>
            <w:tcBorders>
              <w:top w:val="nil"/>
              <w:left w:val="nil"/>
              <w:bottom w:val="single" w:sz="4" w:space="0" w:color="auto"/>
              <w:right w:val="single" w:sz="4" w:space="0" w:color="auto"/>
            </w:tcBorders>
            <w:noWrap/>
            <w:vAlign w:val="center"/>
          </w:tcPr>
          <w:p w14:paraId="59203B8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38.54%</w:t>
            </w:r>
          </w:p>
        </w:tc>
        <w:tc>
          <w:tcPr>
            <w:tcW w:w="820" w:type="dxa"/>
            <w:tcBorders>
              <w:top w:val="nil"/>
              <w:left w:val="nil"/>
              <w:bottom w:val="single" w:sz="4" w:space="0" w:color="auto"/>
              <w:right w:val="single" w:sz="4" w:space="0" w:color="auto"/>
            </w:tcBorders>
            <w:noWrap/>
            <w:vAlign w:val="center"/>
          </w:tcPr>
          <w:p w14:paraId="449818E2"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23.38%</w:t>
            </w:r>
          </w:p>
        </w:tc>
        <w:tc>
          <w:tcPr>
            <w:tcW w:w="820" w:type="dxa"/>
            <w:tcBorders>
              <w:top w:val="nil"/>
              <w:left w:val="nil"/>
              <w:bottom w:val="single" w:sz="4" w:space="0" w:color="auto"/>
              <w:right w:val="single" w:sz="4" w:space="0" w:color="auto"/>
            </w:tcBorders>
            <w:noWrap/>
            <w:vAlign w:val="center"/>
          </w:tcPr>
          <w:p w14:paraId="19FF7F7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17.98%</w:t>
            </w:r>
          </w:p>
        </w:tc>
      </w:tr>
      <w:tr w:rsidR="00044E7A" w14:paraId="5C8D59D8" w14:textId="77777777">
        <w:trPr>
          <w:trHeight w:val="290"/>
        </w:trPr>
        <w:tc>
          <w:tcPr>
            <w:tcW w:w="1200" w:type="dxa"/>
            <w:tcBorders>
              <w:top w:val="nil"/>
              <w:left w:val="single" w:sz="4" w:space="0" w:color="auto"/>
              <w:bottom w:val="single" w:sz="4" w:space="0" w:color="auto"/>
              <w:right w:val="single" w:sz="4" w:space="0" w:color="auto"/>
            </w:tcBorders>
            <w:vAlign w:val="center"/>
          </w:tcPr>
          <w:p w14:paraId="39C6FD7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540" w:type="dxa"/>
            <w:tcBorders>
              <w:top w:val="nil"/>
              <w:left w:val="nil"/>
              <w:bottom w:val="single" w:sz="4" w:space="0" w:color="auto"/>
              <w:right w:val="single" w:sz="4" w:space="0" w:color="auto"/>
            </w:tcBorders>
            <w:vAlign w:val="center"/>
          </w:tcPr>
          <w:p w14:paraId="21F68D4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2060" w:type="dxa"/>
            <w:tcBorders>
              <w:top w:val="nil"/>
              <w:left w:val="nil"/>
              <w:bottom w:val="single" w:sz="4" w:space="0" w:color="auto"/>
              <w:right w:val="single" w:sz="4" w:space="0" w:color="auto"/>
            </w:tcBorders>
            <w:vAlign w:val="center"/>
          </w:tcPr>
          <w:p w14:paraId="0A96CED6"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5689ACC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7AB526C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129C8E4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1B0A533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c>
          <w:tcPr>
            <w:tcW w:w="820" w:type="dxa"/>
            <w:tcBorders>
              <w:top w:val="nil"/>
              <w:left w:val="nil"/>
              <w:bottom w:val="single" w:sz="4" w:space="0" w:color="auto"/>
              <w:right w:val="single" w:sz="4" w:space="0" w:color="auto"/>
            </w:tcBorders>
            <w:noWrap/>
            <w:vAlign w:val="center"/>
          </w:tcPr>
          <w:p w14:paraId="76274BA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 </w:t>
            </w:r>
          </w:p>
        </w:tc>
      </w:tr>
      <w:tr w:rsidR="00044E7A" w14:paraId="49030F05" w14:textId="77777777">
        <w:trPr>
          <w:trHeight w:val="520"/>
        </w:trPr>
        <w:tc>
          <w:tcPr>
            <w:tcW w:w="1200" w:type="dxa"/>
            <w:vMerge w:val="restart"/>
            <w:tcBorders>
              <w:top w:val="nil"/>
              <w:left w:val="single" w:sz="4" w:space="0" w:color="auto"/>
              <w:bottom w:val="single" w:sz="4" w:space="0" w:color="auto"/>
              <w:right w:val="single" w:sz="4" w:space="0" w:color="auto"/>
            </w:tcBorders>
            <w:vAlign w:val="center"/>
          </w:tcPr>
          <w:p w14:paraId="35BCA52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Cash flow ratios</w:t>
            </w:r>
          </w:p>
        </w:tc>
        <w:tc>
          <w:tcPr>
            <w:tcW w:w="1540" w:type="dxa"/>
            <w:vMerge w:val="restart"/>
            <w:tcBorders>
              <w:top w:val="nil"/>
              <w:left w:val="single" w:sz="4" w:space="0" w:color="auto"/>
              <w:bottom w:val="single" w:sz="4" w:space="0" w:color="auto"/>
              <w:right w:val="single" w:sz="4" w:space="0" w:color="auto"/>
            </w:tcBorders>
            <w:vAlign w:val="center"/>
          </w:tcPr>
          <w:p w14:paraId="2117F83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Operating cash flow ratio</w:t>
            </w:r>
          </w:p>
        </w:tc>
        <w:tc>
          <w:tcPr>
            <w:tcW w:w="2060" w:type="dxa"/>
            <w:tcBorders>
              <w:top w:val="nil"/>
              <w:left w:val="nil"/>
              <w:bottom w:val="single" w:sz="4" w:space="0" w:color="auto"/>
              <w:right w:val="single" w:sz="4" w:space="0" w:color="auto"/>
            </w:tcBorders>
            <w:vAlign w:val="center"/>
          </w:tcPr>
          <w:p w14:paraId="2F9B5C2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Cash Flow from Operations</w:t>
            </w:r>
          </w:p>
        </w:tc>
        <w:tc>
          <w:tcPr>
            <w:tcW w:w="820" w:type="dxa"/>
            <w:tcBorders>
              <w:top w:val="nil"/>
              <w:left w:val="nil"/>
              <w:bottom w:val="single" w:sz="4" w:space="0" w:color="auto"/>
              <w:right w:val="single" w:sz="4" w:space="0" w:color="auto"/>
            </w:tcBorders>
            <w:noWrap/>
            <w:vAlign w:val="center"/>
          </w:tcPr>
          <w:p w14:paraId="762A569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898</w:t>
            </w:r>
          </w:p>
        </w:tc>
        <w:tc>
          <w:tcPr>
            <w:tcW w:w="820" w:type="dxa"/>
            <w:tcBorders>
              <w:top w:val="nil"/>
              <w:left w:val="nil"/>
              <w:bottom w:val="single" w:sz="4" w:space="0" w:color="auto"/>
              <w:right w:val="single" w:sz="4" w:space="0" w:color="auto"/>
            </w:tcBorders>
            <w:noWrap/>
            <w:vAlign w:val="center"/>
          </w:tcPr>
          <w:p w14:paraId="5149FC8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724</w:t>
            </w:r>
          </w:p>
        </w:tc>
        <w:tc>
          <w:tcPr>
            <w:tcW w:w="820" w:type="dxa"/>
            <w:tcBorders>
              <w:top w:val="nil"/>
              <w:left w:val="nil"/>
              <w:bottom w:val="single" w:sz="4" w:space="0" w:color="auto"/>
              <w:right w:val="single" w:sz="4" w:space="0" w:color="auto"/>
            </w:tcBorders>
            <w:noWrap/>
            <w:vAlign w:val="center"/>
          </w:tcPr>
          <w:p w14:paraId="1E69E77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893</w:t>
            </w:r>
          </w:p>
        </w:tc>
        <w:tc>
          <w:tcPr>
            <w:tcW w:w="820" w:type="dxa"/>
            <w:tcBorders>
              <w:top w:val="nil"/>
              <w:left w:val="nil"/>
              <w:bottom w:val="single" w:sz="4" w:space="0" w:color="auto"/>
              <w:right w:val="single" w:sz="4" w:space="0" w:color="auto"/>
            </w:tcBorders>
            <w:noWrap/>
            <w:vAlign w:val="center"/>
          </w:tcPr>
          <w:p w14:paraId="5FE195F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646</w:t>
            </w:r>
          </w:p>
        </w:tc>
        <w:tc>
          <w:tcPr>
            <w:tcW w:w="820" w:type="dxa"/>
            <w:tcBorders>
              <w:top w:val="nil"/>
              <w:left w:val="nil"/>
              <w:bottom w:val="single" w:sz="4" w:space="0" w:color="auto"/>
              <w:right w:val="single" w:sz="4" w:space="0" w:color="auto"/>
            </w:tcBorders>
            <w:noWrap/>
            <w:vAlign w:val="center"/>
          </w:tcPr>
          <w:p w14:paraId="6C425D5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636</w:t>
            </w:r>
          </w:p>
        </w:tc>
      </w:tr>
      <w:tr w:rsidR="00044E7A" w14:paraId="0987E11A" w14:textId="77777777">
        <w:trPr>
          <w:trHeight w:val="290"/>
        </w:trPr>
        <w:tc>
          <w:tcPr>
            <w:tcW w:w="1200" w:type="dxa"/>
            <w:vMerge/>
            <w:tcBorders>
              <w:top w:val="nil"/>
              <w:left w:val="single" w:sz="4" w:space="0" w:color="auto"/>
              <w:bottom w:val="single" w:sz="4" w:space="0" w:color="auto"/>
              <w:right w:val="single" w:sz="4" w:space="0" w:color="auto"/>
            </w:tcBorders>
            <w:vAlign w:val="center"/>
          </w:tcPr>
          <w:p w14:paraId="156412F4"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3B37CFD7"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672D439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Current Liabilities</w:t>
            </w:r>
          </w:p>
        </w:tc>
        <w:tc>
          <w:tcPr>
            <w:tcW w:w="820" w:type="dxa"/>
            <w:tcBorders>
              <w:top w:val="nil"/>
              <w:left w:val="nil"/>
              <w:bottom w:val="single" w:sz="4" w:space="0" w:color="auto"/>
              <w:right w:val="single" w:sz="4" w:space="0" w:color="auto"/>
            </w:tcBorders>
            <w:noWrap/>
            <w:vAlign w:val="center"/>
          </w:tcPr>
          <w:p w14:paraId="4E870BE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2100</w:t>
            </w:r>
          </w:p>
        </w:tc>
        <w:tc>
          <w:tcPr>
            <w:tcW w:w="820" w:type="dxa"/>
            <w:tcBorders>
              <w:top w:val="nil"/>
              <w:left w:val="nil"/>
              <w:bottom w:val="single" w:sz="4" w:space="0" w:color="auto"/>
              <w:right w:val="single" w:sz="4" w:space="0" w:color="auto"/>
            </w:tcBorders>
            <w:noWrap/>
            <w:vAlign w:val="center"/>
          </w:tcPr>
          <w:p w14:paraId="2DE0E6D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1928</w:t>
            </w:r>
          </w:p>
        </w:tc>
        <w:tc>
          <w:tcPr>
            <w:tcW w:w="820" w:type="dxa"/>
            <w:tcBorders>
              <w:top w:val="nil"/>
              <w:left w:val="nil"/>
              <w:bottom w:val="single" w:sz="4" w:space="0" w:color="auto"/>
              <w:right w:val="single" w:sz="4" w:space="0" w:color="auto"/>
            </w:tcBorders>
            <w:noWrap/>
            <w:vAlign w:val="center"/>
          </w:tcPr>
          <w:p w14:paraId="280500A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2190</w:t>
            </w:r>
          </w:p>
        </w:tc>
        <w:tc>
          <w:tcPr>
            <w:tcW w:w="820" w:type="dxa"/>
            <w:tcBorders>
              <w:top w:val="nil"/>
              <w:left w:val="nil"/>
              <w:bottom w:val="single" w:sz="4" w:space="0" w:color="auto"/>
              <w:right w:val="single" w:sz="4" w:space="0" w:color="auto"/>
            </w:tcBorders>
            <w:noWrap/>
            <w:vAlign w:val="center"/>
          </w:tcPr>
          <w:p w14:paraId="62F7D1A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1544</w:t>
            </w:r>
          </w:p>
        </w:tc>
        <w:tc>
          <w:tcPr>
            <w:tcW w:w="820" w:type="dxa"/>
            <w:tcBorders>
              <w:top w:val="nil"/>
              <w:left w:val="nil"/>
              <w:bottom w:val="single" w:sz="4" w:space="0" w:color="auto"/>
              <w:right w:val="single" w:sz="4" w:space="0" w:color="auto"/>
            </w:tcBorders>
            <w:noWrap/>
            <w:vAlign w:val="center"/>
          </w:tcPr>
          <w:p w14:paraId="5831CCB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1624</w:t>
            </w:r>
          </w:p>
        </w:tc>
      </w:tr>
      <w:tr w:rsidR="00044E7A" w14:paraId="77FC527A" w14:textId="77777777">
        <w:trPr>
          <w:trHeight w:val="520"/>
        </w:trPr>
        <w:tc>
          <w:tcPr>
            <w:tcW w:w="1200" w:type="dxa"/>
            <w:vMerge/>
            <w:tcBorders>
              <w:top w:val="nil"/>
              <w:left w:val="single" w:sz="4" w:space="0" w:color="auto"/>
              <w:bottom w:val="single" w:sz="4" w:space="0" w:color="auto"/>
              <w:right w:val="single" w:sz="4" w:space="0" w:color="auto"/>
            </w:tcBorders>
            <w:vAlign w:val="center"/>
          </w:tcPr>
          <w:p w14:paraId="3CD35AA4"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540" w:type="dxa"/>
            <w:vMerge/>
            <w:tcBorders>
              <w:top w:val="nil"/>
              <w:left w:val="single" w:sz="4" w:space="0" w:color="auto"/>
              <w:bottom w:val="single" w:sz="4" w:space="0" w:color="auto"/>
              <w:right w:val="single" w:sz="4" w:space="0" w:color="auto"/>
            </w:tcBorders>
            <w:vAlign w:val="center"/>
          </w:tcPr>
          <w:p w14:paraId="13492843"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60" w:type="dxa"/>
            <w:tcBorders>
              <w:top w:val="nil"/>
              <w:left w:val="nil"/>
              <w:bottom w:val="single" w:sz="4" w:space="0" w:color="auto"/>
              <w:right w:val="single" w:sz="4" w:space="0" w:color="auto"/>
            </w:tcBorders>
            <w:vAlign w:val="center"/>
          </w:tcPr>
          <w:p w14:paraId="789A4E4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Operating cash flow ratio</w:t>
            </w:r>
          </w:p>
        </w:tc>
        <w:tc>
          <w:tcPr>
            <w:tcW w:w="820" w:type="dxa"/>
            <w:tcBorders>
              <w:top w:val="nil"/>
              <w:left w:val="nil"/>
              <w:bottom w:val="single" w:sz="4" w:space="0" w:color="auto"/>
              <w:right w:val="single" w:sz="4" w:space="0" w:color="auto"/>
            </w:tcBorders>
            <w:noWrap/>
            <w:vAlign w:val="center"/>
          </w:tcPr>
          <w:p w14:paraId="52BA05F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42.76%</w:t>
            </w:r>
          </w:p>
        </w:tc>
        <w:tc>
          <w:tcPr>
            <w:tcW w:w="820" w:type="dxa"/>
            <w:tcBorders>
              <w:top w:val="nil"/>
              <w:left w:val="nil"/>
              <w:bottom w:val="single" w:sz="4" w:space="0" w:color="auto"/>
              <w:right w:val="single" w:sz="4" w:space="0" w:color="auto"/>
            </w:tcBorders>
            <w:noWrap/>
            <w:vAlign w:val="center"/>
          </w:tcPr>
          <w:p w14:paraId="458468B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37.55%</w:t>
            </w:r>
          </w:p>
        </w:tc>
        <w:tc>
          <w:tcPr>
            <w:tcW w:w="820" w:type="dxa"/>
            <w:tcBorders>
              <w:top w:val="nil"/>
              <w:left w:val="nil"/>
              <w:bottom w:val="single" w:sz="4" w:space="0" w:color="auto"/>
              <w:right w:val="single" w:sz="4" w:space="0" w:color="auto"/>
            </w:tcBorders>
            <w:noWrap/>
            <w:vAlign w:val="center"/>
          </w:tcPr>
          <w:p w14:paraId="03B1277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40.78%</w:t>
            </w:r>
          </w:p>
        </w:tc>
        <w:tc>
          <w:tcPr>
            <w:tcW w:w="820" w:type="dxa"/>
            <w:tcBorders>
              <w:top w:val="nil"/>
              <w:left w:val="nil"/>
              <w:bottom w:val="single" w:sz="4" w:space="0" w:color="auto"/>
              <w:right w:val="single" w:sz="4" w:space="0" w:color="auto"/>
            </w:tcBorders>
            <w:noWrap/>
            <w:vAlign w:val="center"/>
          </w:tcPr>
          <w:p w14:paraId="3E43DFEA"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41.84%</w:t>
            </w:r>
          </w:p>
        </w:tc>
        <w:tc>
          <w:tcPr>
            <w:tcW w:w="820" w:type="dxa"/>
            <w:tcBorders>
              <w:top w:val="nil"/>
              <w:left w:val="nil"/>
              <w:bottom w:val="single" w:sz="4" w:space="0" w:color="auto"/>
              <w:right w:val="single" w:sz="4" w:space="0" w:color="auto"/>
            </w:tcBorders>
            <w:noWrap/>
            <w:vAlign w:val="center"/>
          </w:tcPr>
          <w:p w14:paraId="4CF1EC1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39.16%</w:t>
            </w:r>
          </w:p>
        </w:tc>
      </w:tr>
    </w:tbl>
    <w:p w14:paraId="25F4FDC5" w14:textId="77777777" w:rsidR="00044E7A" w:rsidRDefault="00044E7A">
      <w:pPr>
        <w:jc w:val="both"/>
        <w:rPr>
          <w:rFonts w:ascii="Arial" w:hAnsi="Arial" w:cs="Arial"/>
          <w:sz w:val="24"/>
          <w:szCs w:val="24"/>
        </w:rPr>
      </w:pPr>
    </w:p>
    <w:p w14:paraId="42B83453" w14:textId="77777777" w:rsidR="00044E7A" w:rsidRDefault="00000000">
      <w:pPr>
        <w:pStyle w:val="Heading2"/>
        <w:jc w:val="both"/>
        <w:rPr>
          <w:rFonts w:ascii="Arial" w:hAnsi="Arial" w:cs="Arial"/>
          <w:sz w:val="24"/>
          <w:szCs w:val="24"/>
        </w:rPr>
      </w:pPr>
      <w:bookmarkStart w:id="29" w:name="_Toc233702144"/>
      <w:r>
        <w:rPr>
          <w:rFonts w:ascii="Arial" w:hAnsi="Arial" w:cs="Arial"/>
          <w:sz w:val="24"/>
          <w:szCs w:val="24"/>
        </w:rPr>
        <w:t>7.3 Comparison of liquidity position with competitor</w:t>
      </w:r>
      <w:bookmarkEnd w:id="29"/>
    </w:p>
    <w:tbl>
      <w:tblPr>
        <w:tblW w:w="8911" w:type="dxa"/>
        <w:tblLook w:val="04A0" w:firstRow="1" w:lastRow="0" w:firstColumn="1" w:lastColumn="0" w:noHBand="0" w:noVBand="1"/>
      </w:tblPr>
      <w:tblGrid>
        <w:gridCol w:w="2619"/>
        <w:gridCol w:w="1492"/>
        <w:gridCol w:w="1492"/>
        <w:gridCol w:w="1654"/>
        <w:gridCol w:w="1654"/>
      </w:tblGrid>
      <w:tr w:rsidR="00044E7A" w14:paraId="4E87CCB6" w14:textId="77777777">
        <w:trPr>
          <w:trHeight w:val="290"/>
        </w:trPr>
        <w:tc>
          <w:tcPr>
            <w:tcW w:w="2619" w:type="dxa"/>
            <w:vMerge w:val="restart"/>
            <w:tcBorders>
              <w:top w:val="nil"/>
              <w:left w:val="nil"/>
              <w:bottom w:val="single" w:sz="4" w:space="0" w:color="000000"/>
              <w:right w:val="single" w:sz="4" w:space="0" w:color="auto"/>
            </w:tcBorders>
            <w:shd w:val="clear" w:color="000000" w:fill="7B7B7B"/>
            <w:noWrap/>
            <w:vAlign w:val="center"/>
          </w:tcPr>
          <w:p w14:paraId="2FBC321D"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Ratio</w:t>
            </w:r>
          </w:p>
        </w:tc>
        <w:tc>
          <w:tcPr>
            <w:tcW w:w="2984" w:type="dxa"/>
            <w:gridSpan w:val="2"/>
            <w:tcBorders>
              <w:top w:val="single" w:sz="4" w:space="0" w:color="auto"/>
              <w:left w:val="nil"/>
              <w:bottom w:val="single" w:sz="4" w:space="0" w:color="auto"/>
              <w:right w:val="single" w:sz="4" w:space="0" w:color="000000"/>
            </w:tcBorders>
            <w:shd w:val="clear" w:color="000000" w:fill="7B7B7B"/>
            <w:noWrap/>
            <w:vAlign w:val="center"/>
          </w:tcPr>
          <w:p w14:paraId="61DB53D5"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IHG</w:t>
            </w:r>
          </w:p>
        </w:tc>
        <w:tc>
          <w:tcPr>
            <w:tcW w:w="3308" w:type="dxa"/>
            <w:gridSpan w:val="2"/>
            <w:tcBorders>
              <w:top w:val="single" w:sz="4" w:space="0" w:color="auto"/>
              <w:left w:val="nil"/>
              <w:bottom w:val="single" w:sz="4" w:space="0" w:color="auto"/>
              <w:right w:val="single" w:sz="4" w:space="0" w:color="000000"/>
            </w:tcBorders>
            <w:shd w:val="clear" w:color="000000" w:fill="7B7B7B"/>
            <w:noWrap/>
            <w:vAlign w:val="center"/>
          </w:tcPr>
          <w:p w14:paraId="362BEF4A"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Marriot</w:t>
            </w:r>
          </w:p>
        </w:tc>
      </w:tr>
      <w:tr w:rsidR="00044E7A" w14:paraId="72F567B7" w14:textId="77777777">
        <w:trPr>
          <w:trHeight w:val="260"/>
        </w:trPr>
        <w:tc>
          <w:tcPr>
            <w:tcW w:w="2619" w:type="dxa"/>
            <w:vMerge/>
            <w:tcBorders>
              <w:top w:val="nil"/>
              <w:left w:val="nil"/>
              <w:bottom w:val="single" w:sz="4" w:space="0" w:color="000000"/>
              <w:right w:val="single" w:sz="4" w:space="0" w:color="auto"/>
            </w:tcBorders>
            <w:vAlign w:val="center"/>
          </w:tcPr>
          <w:p w14:paraId="4AC5525C"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492" w:type="dxa"/>
            <w:tcBorders>
              <w:top w:val="nil"/>
              <w:left w:val="nil"/>
              <w:bottom w:val="single" w:sz="4" w:space="0" w:color="auto"/>
              <w:right w:val="single" w:sz="4" w:space="0" w:color="auto"/>
            </w:tcBorders>
            <w:shd w:val="clear" w:color="000000" w:fill="7B7B7B"/>
            <w:noWrap/>
            <w:vAlign w:val="center"/>
          </w:tcPr>
          <w:p w14:paraId="0EF57103"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2025</w:t>
            </w:r>
          </w:p>
        </w:tc>
        <w:tc>
          <w:tcPr>
            <w:tcW w:w="1492" w:type="dxa"/>
            <w:tcBorders>
              <w:top w:val="nil"/>
              <w:left w:val="nil"/>
              <w:bottom w:val="single" w:sz="4" w:space="0" w:color="auto"/>
              <w:right w:val="single" w:sz="4" w:space="0" w:color="auto"/>
            </w:tcBorders>
            <w:shd w:val="clear" w:color="000000" w:fill="7B7B7B"/>
            <w:noWrap/>
            <w:vAlign w:val="center"/>
          </w:tcPr>
          <w:p w14:paraId="78FD2E8B"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2024</w:t>
            </w:r>
          </w:p>
        </w:tc>
        <w:tc>
          <w:tcPr>
            <w:tcW w:w="1654" w:type="dxa"/>
            <w:tcBorders>
              <w:top w:val="nil"/>
              <w:left w:val="nil"/>
              <w:bottom w:val="single" w:sz="4" w:space="0" w:color="auto"/>
              <w:right w:val="single" w:sz="4" w:space="0" w:color="auto"/>
            </w:tcBorders>
            <w:shd w:val="clear" w:color="000000" w:fill="7B7B7B"/>
            <w:noWrap/>
            <w:vAlign w:val="center"/>
          </w:tcPr>
          <w:p w14:paraId="23EF7C04"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2025</w:t>
            </w:r>
          </w:p>
        </w:tc>
        <w:tc>
          <w:tcPr>
            <w:tcW w:w="1654" w:type="dxa"/>
            <w:tcBorders>
              <w:top w:val="nil"/>
              <w:left w:val="nil"/>
              <w:bottom w:val="single" w:sz="4" w:space="0" w:color="auto"/>
              <w:right w:val="single" w:sz="4" w:space="0" w:color="auto"/>
            </w:tcBorders>
            <w:shd w:val="clear" w:color="000000" w:fill="7B7B7B"/>
            <w:noWrap/>
            <w:vAlign w:val="center"/>
          </w:tcPr>
          <w:p w14:paraId="3575601F"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2024</w:t>
            </w:r>
          </w:p>
        </w:tc>
      </w:tr>
      <w:tr w:rsidR="00044E7A" w14:paraId="34839B11" w14:textId="77777777">
        <w:trPr>
          <w:trHeight w:val="260"/>
        </w:trPr>
        <w:tc>
          <w:tcPr>
            <w:tcW w:w="2619" w:type="dxa"/>
            <w:tcBorders>
              <w:top w:val="nil"/>
              <w:left w:val="single" w:sz="4" w:space="0" w:color="auto"/>
              <w:bottom w:val="single" w:sz="4" w:space="0" w:color="auto"/>
              <w:right w:val="single" w:sz="4" w:space="0" w:color="auto"/>
            </w:tcBorders>
            <w:vAlign w:val="center"/>
          </w:tcPr>
          <w:p w14:paraId="4B98CB3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Current assets </w:t>
            </w:r>
          </w:p>
        </w:tc>
        <w:tc>
          <w:tcPr>
            <w:tcW w:w="1492" w:type="dxa"/>
            <w:tcBorders>
              <w:top w:val="nil"/>
              <w:left w:val="nil"/>
              <w:bottom w:val="single" w:sz="4" w:space="0" w:color="auto"/>
              <w:right w:val="single" w:sz="4" w:space="0" w:color="auto"/>
            </w:tcBorders>
            <w:noWrap/>
            <w:vAlign w:val="center"/>
          </w:tcPr>
          <w:p w14:paraId="3FB9FBC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2049</w:t>
            </w:r>
          </w:p>
        </w:tc>
        <w:tc>
          <w:tcPr>
            <w:tcW w:w="1492" w:type="dxa"/>
            <w:tcBorders>
              <w:top w:val="nil"/>
              <w:left w:val="nil"/>
              <w:bottom w:val="single" w:sz="4" w:space="0" w:color="auto"/>
              <w:right w:val="single" w:sz="4" w:space="0" w:color="auto"/>
            </w:tcBorders>
            <w:noWrap/>
            <w:vAlign w:val="center"/>
          </w:tcPr>
          <w:p w14:paraId="5CFD4E4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1869</w:t>
            </w:r>
          </w:p>
        </w:tc>
        <w:tc>
          <w:tcPr>
            <w:tcW w:w="1654" w:type="dxa"/>
            <w:tcBorders>
              <w:top w:val="nil"/>
              <w:left w:val="nil"/>
              <w:bottom w:val="single" w:sz="4" w:space="0" w:color="auto"/>
              <w:right w:val="single" w:sz="4" w:space="0" w:color="auto"/>
            </w:tcBorders>
            <w:noWrap/>
            <w:vAlign w:val="center"/>
          </w:tcPr>
          <w:p w14:paraId="7CB1923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3584</w:t>
            </w:r>
          </w:p>
        </w:tc>
        <w:tc>
          <w:tcPr>
            <w:tcW w:w="1654" w:type="dxa"/>
            <w:tcBorders>
              <w:top w:val="nil"/>
              <w:left w:val="nil"/>
              <w:bottom w:val="single" w:sz="4" w:space="0" w:color="auto"/>
              <w:right w:val="single" w:sz="4" w:space="0" w:color="auto"/>
            </w:tcBorders>
            <w:noWrap/>
            <w:vAlign w:val="center"/>
          </w:tcPr>
          <w:p w14:paraId="4344768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3485</w:t>
            </w:r>
          </w:p>
        </w:tc>
      </w:tr>
      <w:tr w:rsidR="00044E7A" w14:paraId="4E77AB4B" w14:textId="77777777">
        <w:trPr>
          <w:trHeight w:val="260"/>
        </w:trPr>
        <w:tc>
          <w:tcPr>
            <w:tcW w:w="2619" w:type="dxa"/>
            <w:tcBorders>
              <w:top w:val="nil"/>
              <w:left w:val="single" w:sz="4" w:space="0" w:color="auto"/>
              <w:bottom w:val="single" w:sz="4" w:space="0" w:color="auto"/>
              <w:right w:val="single" w:sz="4" w:space="0" w:color="auto"/>
            </w:tcBorders>
            <w:vAlign w:val="center"/>
          </w:tcPr>
          <w:p w14:paraId="37E0B15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Current liabilities</w:t>
            </w:r>
          </w:p>
        </w:tc>
        <w:tc>
          <w:tcPr>
            <w:tcW w:w="1492" w:type="dxa"/>
            <w:tcBorders>
              <w:top w:val="nil"/>
              <w:left w:val="nil"/>
              <w:bottom w:val="single" w:sz="4" w:space="0" w:color="auto"/>
              <w:right w:val="single" w:sz="4" w:space="0" w:color="auto"/>
            </w:tcBorders>
            <w:noWrap/>
            <w:vAlign w:val="center"/>
          </w:tcPr>
          <w:p w14:paraId="4200527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2100</w:t>
            </w:r>
          </w:p>
        </w:tc>
        <w:tc>
          <w:tcPr>
            <w:tcW w:w="1492" w:type="dxa"/>
            <w:tcBorders>
              <w:top w:val="nil"/>
              <w:left w:val="nil"/>
              <w:bottom w:val="single" w:sz="4" w:space="0" w:color="auto"/>
              <w:right w:val="single" w:sz="4" w:space="0" w:color="auto"/>
            </w:tcBorders>
            <w:noWrap/>
            <w:vAlign w:val="center"/>
          </w:tcPr>
          <w:p w14:paraId="21685C6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1928</w:t>
            </w:r>
          </w:p>
        </w:tc>
        <w:tc>
          <w:tcPr>
            <w:tcW w:w="1654" w:type="dxa"/>
            <w:tcBorders>
              <w:top w:val="nil"/>
              <w:left w:val="nil"/>
              <w:bottom w:val="single" w:sz="4" w:space="0" w:color="auto"/>
              <w:right w:val="single" w:sz="4" w:space="0" w:color="auto"/>
            </w:tcBorders>
            <w:noWrap/>
            <w:vAlign w:val="center"/>
          </w:tcPr>
          <w:p w14:paraId="3BAC8AB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8398</w:t>
            </w:r>
          </w:p>
        </w:tc>
        <w:tc>
          <w:tcPr>
            <w:tcW w:w="1654" w:type="dxa"/>
            <w:tcBorders>
              <w:top w:val="nil"/>
              <w:left w:val="nil"/>
              <w:bottom w:val="single" w:sz="4" w:space="0" w:color="auto"/>
              <w:right w:val="single" w:sz="4" w:space="0" w:color="auto"/>
            </w:tcBorders>
            <w:noWrap/>
            <w:vAlign w:val="center"/>
          </w:tcPr>
          <w:p w14:paraId="655379E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8649</w:t>
            </w:r>
          </w:p>
        </w:tc>
      </w:tr>
      <w:tr w:rsidR="00044E7A" w14:paraId="63761854" w14:textId="77777777">
        <w:trPr>
          <w:trHeight w:val="260"/>
        </w:trPr>
        <w:tc>
          <w:tcPr>
            <w:tcW w:w="2619" w:type="dxa"/>
            <w:tcBorders>
              <w:top w:val="nil"/>
              <w:left w:val="single" w:sz="4" w:space="0" w:color="auto"/>
              <w:bottom w:val="single" w:sz="4" w:space="0" w:color="auto"/>
              <w:right w:val="single" w:sz="4" w:space="0" w:color="auto"/>
            </w:tcBorders>
            <w:vAlign w:val="center"/>
          </w:tcPr>
          <w:p w14:paraId="5FF32E1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Current ratio</w:t>
            </w:r>
          </w:p>
        </w:tc>
        <w:tc>
          <w:tcPr>
            <w:tcW w:w="1492" w:type="dxa"/>
            <w:tcBorders>
              <w:top w:val="nil"/>
              <w:left w:val="nil"/>
              <w:bottom w:val="single" w:sz="4" w:space="0" w:color="auto"/>
              <w:right w:val="single" w:sz="4" w:space="0" w:color="auto"/>
            </w:tcBorders>
            <w:noWrap/>
            <w:vAlign w:val="center"/>
          </w:tcPr>
          <w:p w14:paraId="0F3B298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0.98</w:t>
            </w:r>
          </w:p>
        </w:tc>
        <w:tc>
          <w:tcPr>
            <w:tcW w:w="1492" w:type="dxa"/>
            <w:tcBorders>
              <w:top w:val="nil"/>
              <w:left w:val="nil"/>
              <w:bottom w:val="single" w:sz="4" w:space="0" w:color="auto"/>
              <w:right w:val="single" w:sz="4" w:space="0" w:color="auto"/>
            </w:tcBorders>
            <w:noWrap/>
            <w:vAlign w:val="center"/>
          </w:tcPr>
          <w:p w14:paraId="6BB3FFD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0.97</w:t>
            </w:r>
          </w:p>
        </w:tc>
        <w:tc>
          <w:tcPr>
            <w:tcW w:w="1654" w:type="dxa"/>
            <w:tcBorders>
              <w:top w:val="nil"/>
              <w:left w:val="nil"/>
              <w:bottom w:val="single" w:sz="4" w:space="0" w:color="auto"/>
              <w:right w:val="single" w:sz="4" w:space="0" w:color="auto"/>
            </w:tcBorders>
            <w:noWrap/>
            <w:vAlign w:val="center"/>
          </w:tcPr>
          <w:p w14:paraId="736AF455"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0.43</w:t>
            </w:r>
          </w:p>
        </w:tc>
        <w:tc>
          <w:tcPr>
            <w:tcW w:w="1654" w:type="dxa"/>
            <w:tcBorders>
              <w:top w:val="nil"/>
              <w:left w:val="nil"/>
              <w:bottom w:val="single" w:sz="4" w:space="0" w:color="auto"/>
              <w:right w:val="single" w:sz="4" w:space="0" w:color="auto"/>
            </w:tcBorders>
            <w:noWrap/>
            <w:vAlign w:val="center"/>
          </w:tcPr>
          <w:p w14:paraId="692C4C4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0.40</w:t>
            </w:r>
          </w:p>
        </w:tc>
      </w:tr>
      <w:tr w:rsidR="00044E7A" w14:paraId="0C1896AA" w14:textId="77777777">
        <w:trPr>
          <w:trHeight w:val="260"/>
        </w:trPr>
        <w:tc>
          <w:tcPr>
            <w:tcW w:w="2619" w:type="dxa"/>
            <w:tcBorders>
              <w:top w:val="nil"/>
              <w:left w:val="single" w:sz="4" w:space="0" w:color="auto"/>
              <w:bottom w:val="single" w:sz="4" w:space="0" w:color="auto"/>
              <w:right w:val="single" w:sz="4" w:space="0" w:color="auto"/>
            </w:tcBorders>
            <w:vAlign w:val="center"/>
          </w:tcPr>
          <w:p w14:paraId="449029A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Current assets</w:t>
            </w:r>
          </w:p>
        </w:tc>
        <w:tc>
          <w:tcPr>
            <w:tcW w:w="1492" w:type="dxa"/>
            <w:tcBorders>
              <w:top w:val="nil"/>
              <w:left w:val="nil"/>
              <w:bottom w:val="single" w:sz="4" w:space="0" w:color="auto"/>
              <w:right w:val="single" w:sz="4" w:space="0" w:color="auto"/>
            </w:tcBorders>
            <w:noWrap/>
            <w:vAlign w:val="center"/>
          </w:tcPr>
          <w:p w14:paraId="6999DA8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2049.00</w:t>
            </w:r>
          </w:p>
        </w:tc>
        <w:tc>
          <w:tcPr>
            <w:tcW w:w="1492" w:type="dxa"/>
            <w:tcBorders>
              <w:top w:val="nil"/>
              <w:left w:val="nil"/>
              <w:bottom w:val="single" w:sz="4" w:space="0" w:color="auto"/>
              <w:right w:val="single" w:sz="4" w:space="0" w:color="auto"/>
            </w:tcBorders>
            <w:noWrap/>
            <w:vAlign w:val="center"/>
          </w:tcPr>
          <w:p w14:paraId="4E61737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1869.00</w:t>
            </w:r>
          </w:p>
        </w:tc>
        <w:tc>
          <w:tcPr>
            <w:tcW w:w="1654" w:type="dxa"/>
            <w:tcBorders>
              <w:top w:val="nil"/>
              <w:left w:val="nil"/>
              <w:bottom w:val="single" w:sz="4" w:space="0" w:color="auto"/>
              <w:right w:val="single" w:sz="4" w:space="0" w:color="auto"/>
            </w:tcBorders>
            <w:noWrap/>
            <w:vAlign w:val="center"/>
          </w:tcPr>
          <w:p w14:paraId="0B9770D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3584.00</w:t>
            </w:r>
          </w:p>
        </w:tc>
        <w:tc>
          <w:tcPr>
            <w:tcW w:w="1654" w:type="dxa"/>
            <w:tcBorders>
              <w:top w:val="nil"/>
              <w:left w:val="nil"/>
              <w:bottom w:val="single" w:sz="4" w:space="0" w:color="auto"/>
              <w:right w:val="single" w:sz="4" w:space="0" w:color="auto"/>
            </w:tcBorders>
            <w:noWrap/>
            <w:vAlign w:val="center"/>
          </w:tcPr>
          <w:p w14:paraId="4BD02B4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3485.00</w:t>
            </w:r>
          </w:p>
        </w:tc>
      </w:tr>
      <w:tr w:rsidR="00044E7A" w14:paraId="14C65FE6" w14:textId="77777777">
        <w:trPr>
          <w:trHeight w:val="260"/>
        </w:trPr>
        <w:tc>
          <w:tcPr>
            <w:tcW w:w="2619" w:type="dxa"/>
            <w:tcBorders>
              <w:top w:val="nil"/>
              <w:left w:val="single" w:sz="4" w:space="0" w:color="auto"/>
              <w:bottom w:val="single" w:sz="4" w:space="0" w:color="auto"/>
              <w:right w:val="single" w:sz="4" w:space="0" w:color="auto"/>
            </w:tcBorders>
            <w:vAlign w:val="center"/>
          </w:tcPr>
          <w:p w14:paraId="2658ABC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Inventory</w:t>
            </w:r>
          </w:p>
        </w:tc>
        <w:tc>
          <w:tcPr>
            <w:tcW w:w="1492" w:type="dxa"/>
            <w:tcBorders>
              <w:top w:val="nil"/>
              <w:left w:val="nil"/>
              <w:bottom w:val="single" w:sz="4" w:space="0" w:color="auto"/>
              <w:right w:val="single" w:sz="4" w:space="0" w:color="auto"/>
            </w:tcBorders>
            <w:noWrap/>
            <w:vAlign w:val="center"/>
          </w:tcPr>
          <w:p w14:paraId="32C20D9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833.00</w:t>
            </w:r>
          </w:p>
        </w:tc>
        <w:tc>
          <w:tcPr>
            <w:tcW w:w="1492" w:type="dxa"/>
            <w:tcBorders>
              <w:top w:val="nil"/>
              <w:left w:val="nil"/>
              <w:bottom w:val="single" w:sz="4" w:space="0" w:color="auto"/>
              <w:right w:val="single" w:sz="4" w:space="0" w:color="auto"/>
            </w:tcBorders>
            <w:noWrap/>
            <w:vAlign w:val="center"/>
          </w:tcPr>
          <w:p w14:paraId="598F303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785.00</w:t>
            </w:r>
          </w:p>
        </w:tc>
        <w:tc>
          <w:tcPr>
            <w:tcW w:w="1654" w:type="dxa"/>
            <w:tcBorders>
              <w:top w:val="nil"/>
              <w:left w:val="nil"/>
              <w:bottom w:val="single" w:sz="4" w:space="0" w:color="auto"/>
              <w:right w:val="single" w:sz="4" w:space="0" w:color="auto"/>
            </w:tcBorders>
            <w:noWrap/>
            <w:vAlign w:val="center"/>
          </w:tcPr>
          <w:p w14:paraId="6539A53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317.00</w:t>
            </w:r>
          </w:p>
        </w:tc>
        <w:tc>
          <w:tcPr>
            <w:tcW w:w="1654" w:type="dxa"/>
            <w:tcBorders>
              <w:top w:val="nil"/>
              <w:left w:val="nil"/>
              <w:bottom w:val="single" w:sz="4" w:space="0" w:color="auto"/>
              <w:right w:val="single" w:sz="4" w:space="0" w:color="auto"/>
            </w:tcBorders>
            <w:noWrap/>
            <w:vAlign w:val="center"/>
          </w:tcPr>
          <w:p w14:paraId="6F83224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294.00</w:t>
            </w:r>
          </w:p>
        </w:tc>
      </w:tr>
      <w:tr w:rsidR="00044E7A" w14:paraId="5E7A8326" w14:textId="77777777">
        <w:trPr>
          <w:trHeight w:val="260"/>
        </w:trPr>
        <w:tc>
          <w:tcPr>
            <w:tcW w:w="2619" w:type="dxa"/>
            <w:tcBorders>
              <w:top w:val="nil"/>
              <w:left w:val="single" w:sz="4" w:space="0" w:color="auto"/>
              <w:bottom w:val="single" w:sz="4" w:space="0" w:color="auto"/>
              <w:right w:val="single" w:sz="4" w:space="0" w:color="auto"/>
            </w:tcBorders>
            <w:vAlign w:val="center"/>
          </w:tcPr>
          <w:p w14:paraId="1959C24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Current liabilities</w:t>
            </w:r>
          </w:p>
        </w:tc>
        <w:tc>
          <w:tcPr>
            <w:tcW w:w="1492" w:type="dxa"/>
            <w:tcBorders>
              <w:top w:val="nil"/>
              <w:left w:val="nil"/>
              <w:bottom w:val="single" w:sz="4" w:space="0" w:color="auto"/>
              <w:right w:val="single" w:sz="4" w:space="0" w:color="auto"/>
            </w:tcBorders>
            <w:noWrap/>
            <w:vAlign w:val="center"/>
          </w:tcPr>
          <w:p w14:paraId="237E57A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2100.00</w:t>
            </w:r>
          </w:p>
        </w:tc>
        <w:tc>
          <w:tcPr>
            <w:tcW w:w="1492" w:type="dxa"/>
            <w:tcBorders>
              <w:top w:val="nil"/>
              <w:left w:val="nil"/>
              <w:bottom w:val="single" w:sz="4" w:space="0" w:color="auto"/>
              <w:right w:val="single" w:sz="4" w:space="0" w:color="auto"/>
            </w:tcBorders>
            <w:noWrap/>
            <w:vAlign w:val="center"/>
          </w:tcPr>
          <w:p w14:paraId="40F5C7A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1928.00</w:t>
            </w:r>
          </w:p>
        </w:tc>
        <w:tc>
          <w:tcPr>
            <w:tcW w:w="1654" w:type="dxa"/>
            <w:tcBorders>
              <w:top w:val="nil"/>
              <w:left w:val="nil"/>
              <w:bottom w:val="single" w:sz="4" w:space="0" w:color="auto"/>
              <w:right w:val="single" w:sz="4" w:space="0" w:color="auto"/>
            </w:tcBorders>
            <w:noWrap/>
            <w:vAlign w:val="center"/>
          </w:tcPr>
          <w:p w14:paraId="2FF8788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8398.00</w:t>
            </w:r>
          </w:p>
        </w:tc>
        <w:tc>
          <w:tcPr>
            <w:tcW w:w="1654" w:type="dxa"/>
            <w:tcBorders>
              <w:top w:val="nil"/>
              <w:left w:val="nil"/>
              <w:bottom w:val="single" w:sz="4" w:space="0" w:color="auto"/>
              <w:right w:val="single" w:sz="4" w:space="0" w:color="auto"/>
            </w:tcBorders>
            <w:noWrap/>
            <w:vAlign w:val="center"/>
          </w:tcPr>
          <w:p w14:paraId="6A33C0D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8649.00</w:t>
            </w:r>
          </w:p>
        </w:tc>
      </w:tr>
      <w:tr w:rsidR="00044E7A" w14:paraId="59BA562B" w14:textId="77777777">
        <w:trPr>
          <w:trHeight w:val="260"/>
        </w:trPr>
        <w:tc>
          <w:tcPr>
            <w:tcW w:w="2619" w:type="dxa"/>
            <w:tcBorders>
              <w:top w:val="nil"/>
              <w:left w:val="single" w:sz="4" w:space="0" w:color="auto"/>
              <w:bottom w:val="single" w:sz="4" w:space="0" w:color="auto"/>
              <w:right w:val="single" w:sz="4" w:space="0" w:color="auto"/>
            </w:tcBorders>
            <w:vAlign w:val="center"/>
          </w:tcPr>
          <w:p w14:paraId="1D0630B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Quick ratio</w:t>
            </w:r>
          </w:p>
        </w:tc>
        <w:tc>
          <w:tcPr>
            <w:tcW w:w="1492" w:type="dxa"/>
            <w:tcBorders>
              <w:top w:val="nil"/>
              <w:left w:val="nil"/>
              <w:bottom w:val="single" w:sz="4" w:space="0" w:color="auto"/>
              <w:right w:val="single" w:sz="4" w:space="0" w:color="auto"/>
            </w:tcBorders>
            <w:noWrap/>
            <w:vAlign w:val="center"/>
          </w:tcPr>
          <w:p w14:paraId="11884D4E"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0.58</w:t>
            </w:r>
          </w:p>
        </w:tc>
        <w:tc>
          <w:tcPr>
            <w:tcW w:w="1492" w:type="dxa"/>
            <w:tcBorders>
              <w:top w:val="nil"/>
              <w:left w:val="nil"/>
              <w:bottom w:val="single" w:sz="4" w:space="0" w:color="auto"/>
              <w:right w:val="single" w:sz="4" w:space="0" w:color="auto"/>
            </w:tcBorders>
            <w:noWrap/>
            <w:vAlign w:val="center"/>
          </w:tcPr>
          <w:p w14:paraId="350A54D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0.56</w:t>
            </w:r>
          </w:p>
        </w:tc>
        <w:tc>
          <w:tcPr>
            <w:tcW w:w="1654" w:type="dxa"/>
            <w:tcBorders>
              <w:top w:val="nil"/>
              <w:left w:val="nil"/>
              <w:bottom w:val="single" w:sz="4" w:space="0" w:color="auto"/>
              <w:right w:val="single" w:sz="4" w:space="0" w:color="auto"/>
            </w:tcBorders>
            <w:noWrap/>
            <w:vAlign w:val="center"/>
          </w:tcPr>
          <w:p w14:paraId="6866B6F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0.39</w:t>
            </w:r>
          </w:p>
        </w:tc>
        <w:tc>
          <w:tcPr>
            <w:tcW w:w="1654" w:type="dxa"/>
            <w:tcBorders>
              <w:top w:val="nil"/>
              <w:left w:val="nil"/>
              <w:bottom w:val="single" w:sz="4" w:space="0" w:color="auto"/>
              <w:right w:val="single" w:sz="4" w:space="0" w:color="auto"/>
            </w:tcBorders>
            <w:noWrap/>
            <w:vAlign w:val="center"/>
          </w:tcPr>
          <w:p w14:paraId="478523C7"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0.37</w:t>
            </w:r>
          </w:p>
        </w:tc>
      </w:tr>
    </w:tbl>
    <w:p w14:paraId="5C889765" w14:textId="77777777" w:rsidR="00044E7A" w:rsidRDefault="00044E7A">
      <w:pPr>
        <w:jc w:val="both"/>
        <w:rPr>
          <w:rFonts w:ascii="Arial" w:hAnsi="Arial" w:cs="Arial"/>
          <w:sz w:val="24"/>
          <w:szCs w:val="24"/>
        </w:rPr>
      </w:pPr>
    </w:p>
    <w:p w14:paraId="7F24ED7B" w14:textId="77777777" w:rsidR="00044E7A" w:rsidRDefault="00000000">
      <w:pPr>
        <w:pStyle w:val="Heading2"/>
        <w:jc w:val="both"/>
        <w:rPr>
          <w:rFonts w:ascii="Arial" w:hAnsi="Arial" w:cs="Arial"/>
          <w:sz w:val="24"/>
          <w:szCs w:val="24"/>
        </w:rPr>
      </w:pPr>
      <w:bookmarkStart w:id="30" w:name="_Toc233702145"/>
      <w:r>
        <w:rPr>
          <w:rFonts w:ascii="Arial" w:hAnsi="Arial" w:cs="Arial"/>
          <w:sz w:val="24"/>
          <w:szCs w:val="24"/>
        </w:rPr>
        <w:t>7.4 Application of investment appraisal techniques</w:t>
      </w:r>
      <w:bookmarkEnd w:id="30"/>
    </w:p>
    <w:p w14:paraId="46B7882F"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a) Payback period</w:t>
      </w:r>
    </w:p>
    <w:tbl>
      <w:tblPr>
        <w:tblW w:w="9006" w:type="dxa"/>
        <w:tblLook w:val="04A0" w:firstRow="1" w:lastRow="0" w:firstColumn="1" w:lastColumn="0" w:noHBand="0" w:noVBand="1"/>
      </w:tblPr>
      <w:tblGrid>
        <w:gridCol w:w="823"/>
        <w:gridCol w:w="1282"/>
        <w:gridCol w:w="1630"/>
        <w:gridCol w:w="1213"/>
        <w:gridCol w:w="1510"/>
        <w:gridCol w:w="1222"/>
        <w:gridCol w:w="1510"/>
      </w:tblGrid>
      <w:tr w:rsidR="00044E7A" w14:paraId="44935927" w14:textId="77777777">
        <w:trPr>
          <w:trHeight w:val="300"/>
        </w:trPr>
        <w:tc>
          <w:tcPr>
            <w:tcW w:w="823" w:type="dxa"/>
            <w:vMerge w:val="restart"/>
            <w:tcBorders>
              <w:top w:val="single" w:sz="8" w:space="0" w:color="auto"/>
              <w:left w:val="single" w:sz="8" w:space="0" w:color="auto"/>
              <w:bottom w:val="single" w:sz="4" w:space="0" w:color="auto"/>
              <w:right w:val="single" w:sz="8" w:space="0" w:color="auto"/>
            </w:tcBorders>
            <w:shd w:val="clear" w:color="000000" w:fill="808080"/>
            <w:noWrap/>
            <w:vAlign w:val="center"/>
          </w:tcPr>
          <w:p w14:paraId="09F060B3"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Year</w:t>
            </w:r>
          </w:p>
        </w:tc>
        <w:tc>
          <w:tcPr>
            <w:tcW w:w="2912" w:type="dxa"/>
            <w:gridSpan w:val="2"/>
            <w:tcBorders>
              <w:top w:val="single" w:sz="8" w:space="0" w:color="auto"/>
              <w:left w:val="nil"/>
              <w:bottom w:val="single" w:sz="4" w:space="0" w:color="auto"/>
              <w:right w:val="single" w:sz="8" w:space="0" w:color="000000"/>
            </w:tcBorders>
            <w:shd w:val="clear" w:color="000000" w:fill="808080"/>
            <w:noWrap/>
            <w:vAlign w:val="bottom"/>
          </w:tcPr>
          <w:p w14:paraId="65BA5C89"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Project A</w:t>
            </w:r>
          </w:p>
        </w:tc>
        <w:tc>
          <w:tcPr>
            <w:tcW w:w="2634" w:type="dxa"/>
            <w:gridSpan w:val="2"/>
            <w:tcBorders>
              <w:top w:val="single" w:sz="8" w:space="0" w:color="auto"/>
              <w:left w:val="nil"/>
              <w:bottom w:val="single" w:sz="4" w:space="0" w:color="auto"/>
              <w:right w:val="single" w:sz="8" w:space="0" w:color="000000"/>
            </w:tcBorders>
            <w:shd w:val="clear" w:color="000000" w:fill="808080"/>
            <w:noWrap/>
            <w:vAlign w:val="bottom"/>
          </w:tcPr>
          <w:p w14:paraId="397CE5BC"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Project B</w:t>
            </w:r>
          </w:p>
        </w:tc>
        <w:tc>
          <w:tcPr>
            <w:tcW w:w="2637" w:type="dxa"/>
            <w:gridSpan w:val="2"/>
            <w:tcBorders>
              <w:top w:val="single" w:sz="8" w:space="0" w:color="auto"/>
              <w:left w:val="nil"/>
              <w:bottom w:val="single" w:sz="4" w:space="0" w:color="auto"/>
              <w:right w:val="single" w:sz="8" w:space="0" w:color="000000"/>
            </w:tcBorders>
            <w:shd w:val="clear" w:color="000000" w:fill="808080"/>
            <w:noWrap/>
            <w:vAlign w:val="bottom"/>
          </w:tcPr>
          <w:p w14:paraId="078641B4"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Project C</w:t>
            </w:r>
          </w:p>
        </w:tc>
      </w:tr>
      <w:tr w:rsidR="00044E7A" w14:paraId="4F34A7CC" w14:textId="77777777">
        <w:trPr>
          <w:trHeight w:val="506"/>
        </w:trPr>
        <w:tc>
          <w:tcPr>
            <w:tcW w:w="823" w:type="dxa"/>
            <w:vMerge/>
            <w:tcBorders>
              <w:top w:val="single" w:sz="8" w:space="0" w:color="auto"/>
              <w:left w:val="single" w:sz="8" w:space="0" w:color="auto"/>
              <w:bottom w:val="single" w:sz="4" w:space="0" w:color="auto"/>
              <w:right w:val="single" w:sz="8" w:space="0" w:color="auto"/>
            </w:tcBorders>
            <w:vAlign w:val="center"/>
          </w:tcPr>
          <w:p w14:paraId="63D000F0"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282" w:type="dxa"/>
            <w:tcBorders>
              <w:top w:val="nil"/>
              <w:left w:val="nil"/>
              <w:bottom w:val="single" w:sz="4" w:space="0" w:color="auto"/>
              <w:right w:val="single" w:sz="4" w:space="0" w:color="auto"/>
            </w:tcBorders>
            <w:shd w:val="clear" w:color="000000" w:fill="808080"/>
            <w:vAlign w:val="center"/>
          </w:tcPr>
          <w:p w14:paraId="3DC0D3E0"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Cash inflows</w:t>
            </w:r>
          </w:p>
        </w:tc>
        <w:tc>
          <w:tcPr>
            <w:tcW w:w="1630" w:type="dxa"/>
            <w:tcBorders>
              <w:top w:val="nil"/>
              <w:left w:val="nil"/>
              <w:bottom w:val="single" w:sz="4" w:space="0" w:color="auto"/>
              <w:right w:val="single" w:sz="8" w:space="0" w:color="auto"/>
            </w:tcBorders>
            <w:shd w:val="clear" w:color="000000" w:fill="808080"/>
            <w:vAlign w:val="center"/>
          </w:tcPr>
          <w:p w14:paraId="298D064D"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Cumulative cash inflows</w:t>
            </w:r>
          </w:p>
        </w:tc>
        <w:tc>
          <w:tcPr>
            <w:tcW w:w="1213" w:type="dxa"/>
            <w:tcBorders>
              <w:top w:val="nil"/>
              <w:left w:val="nil"/>
              <w:bottom w:val="single" w:sz="4" w:space="0" w:color="auto"/>
              <w:right w:val="single" w:sz="4" w:space="0" w:color="auto"/>
            </w:tcBorders>
            <w:shd w:val="clear" w:color="000000" w:fill="808080"/>
            <w:vAlign w:val="center"/>
          </w:tcPr>
          <w:p w14:paraId="22378E38"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Cash inflows</w:t>
            </w:r>
          </w:p>
        </w:tc>
        <w:tc>
          <w:tcPr>
            <w:tcW w:w="1421" w:type="dxa"/>
            <w:tcBorders>
              <w:top w:val="nil"/>
              <w:left w:val="nil"/>
              <w:bottom w:val="single" w:sz="4" w:space="0" w:color="auto"/>
              <w:right w:val="single" w:sz="8" w:space="0" w:color="auto"/>
            </w:tcBorders>
            <w:shd w:val="clear" w:color="000000" w:fill="808080"/>
            <w:vAlign w:val="center"/>
          </w:tcPr>
          <w:p w14:paraId="4857B071"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Cumulative cash inflows</w:t>
            </w:r>
          </w:p>
        </w:tc>
        <w:tc>
          <w:tcPr>
            <w:tcW w:w="1222" w:type="dxa"/>
            <w:tcBorders>
              <w:top w:val="nil"/>
              <w:left w:val="nil"/>
              <w:bottom w:val="single" w:sz="4" w:space="0" w:color="auto"/>
              <w:right w:val="single" w:sz="4" w:space="0" w:color="auto"/>
            </w:tcBorders>
            <w:shd w:val="clear" w:color="000000" w:fill="808080"/>
            <w:vAlign w:val="center"/>
          </w:tcPr>
          <w:p w14:paraId="6718BE6F"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Cash inflows</w:t>
            </w:r>
          </w:p>
        </w:tc>
        <w:tc>
          <w:tcPr>
            <w:tcW w:w="1415" w:type="dxa"/>
            <w:tcBorders>
              <w:top w:val="nil"/>
              <w:left w:val="nil"/>
              <w:bottom w:val="single" w:sz="4" w:space="0" w:color="auto"/>
              <w:right w:val="single" w:sz="8" w:space="0" w:color="auto"/>
            </w:tcBorders>
            <w:shd w:val="clear" w:color="000000" w:fill="808080"/>
            <w:vAlign w:val="center"/>
          </w:tcPr>
          <w:p w14:paraId="3B4E8AEE"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Cumulative cash inflows</w:t>
            </w:r>
          </w:p>
        </w:tc>
      </w:tr>
      <w:tr w:rsidR="00044E7A" w14:paraId="38CB9703" w14:textId="77777777">
        <w:trPr>
          <w:trHeight w:val="268"/>
        </w:trPr>
        <w:tc>
          <w:tcPr>
            <w:tcW w:w="823" w:type="dxa"/>
            <w:tcBorders>
              <w:top w:val="nil"/>
              <w:left w:val="single" w:sz="8" w:space="0" w:color="auto"/>
              <w:bottom w:val="single" w:sz="4" w:space="0" w:color="auto"/>
              <w:right w:val="single" w:sz="8" w:space="0" w:color="auto"/>
            </w:tcBorders>
            <w:noWrap/>
            <w:vAlign w:val="bottom"/>
          </w:tcPr>
          <w:p w14:paraId="3216270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w:t>
            </w:r>
          </w:p>
        </w:tc>
        <w:tc>
          <w:tcPr>
            <w:tcW w:w="1282" w:type="dxa"/>
            <w:tcBorders>
              <w:top w:val="nil"/>
              <w:left w:val="nil"/>
              <w:bottom w:val="single" w:sz="4" w:space="0" w:color="auto"/>
              <w:right w:val="single" w:sz="4" w:space="0" w:color="auto"/>
            </w:tcBorders>
            <w:noWrap/>
            <w:vAlign w:val="bottom"/>
          </w:tcPr>
          <w:p w14:paraId="16E53E2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1630" w:type="dxa"/>
            <w:tcBorders>
              <w:top w:val="nil"/>
              <w:left w:val="nil"/>
              <w:bottom w:val="single" w:sz="4" w:space="0" w:color="auto"/>
              <w:right w:val="single" w:sz="8" w:space="0" w:color="auto"/>
            </w:tcBorders>
            <w:noWrap/>
            <w:vAlign w:val="bottom"/>
          </w:tcPr>
          <w:p w14:paraId="738DE72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1213" w:type="dxa"/>
            <w:tcBorders>
              <w:top w:val="nil"/>
              <w:left w:val="nil"/>
              <w:bottom w:val="single" w:sz="4" w:space="0" w:color="auto"/>
              <w:right w:val="single" w:sz="4" w:space="0" w:color="auto"/>
            </w:tcBorders>
            <w:noWrap/>
            <w:vAlign w:val="bottom"/>
          </w:tcPr>
          <w:p w14:paraId="25E9E1F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421" w:type="dxa"/>
            <w:tcBorders>
              <w:top w:val="nil"/>
              <w:left w:val="nil"/>
              <w:bottom w:val="single" w:sz="4" w:space="0" w:color="auto"/>
              <w:right w:val="single" w:sz="8" w:space="0" w:color="auto"/>
            </w:tcBorders>
            <w:noWrap/>
            <w:vAlign w:val="bottom"/>
          </w:tcPr>
          <w:p w14:paraId="188DB07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222" w:type="dxa"/>
            <w:tcBorders>
              <w:top w:val="nil"/>
              <w:left w:val="nil"/>
              <w:bottom w:val="single" w:sz="4" w:space="0" w:color="auto"/>
              <w:right w:val="single" w:sz="4" w:space="0" w:color="auto"/>
            </w:tcBorders>
            <w:noWrap/>
            <w:vAlign w:val="bottom"/>
          </w:tcPr>
          <w:p w14:paraId="0EB8B8B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415" w:type="dxa"/>
            <w:tcBorders>
              <w:top w:val="nil"/>
              <w:left w:val="nil"/>
              <w:bottom w:val="single" w:sz="4" w:space="0" w:color="auto"/>
              <w:right w:val="single" w:sz="8" w:space="0" w:color="auto"/>
            </w:tcBorders>
            <w:noWrap/>
            <w:vAlign w:val="bottom"/>
          </w:tcPr>
          <w:p w14:paraId="5F93811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r>
      <w:tr w:rsidR="00044E7A" w14:paraId="3506EA7D" w14:textId="77777777">
        <w:trPr>
          <w:trHeight w:val="268"/>
        </w:trPr>
        <w:tc>
          <w:tcPr>
            <w:tcW w:w="823" w:type="dxa"/>
            <w:tcBorders>
              <w:top w:val="nil"/>
              <w:left w:val="single" w:sz="8" w:space="0" w:color="auto"/>
              <w:bottom w:val="single" w:sz="4" w:space="0" w:color="auto"/>
              <w:right w:val="single" w:sz="8" w:space="0" w:color="auto"/>
            </w:tcBorders>
            <w:noWrap/>
            <w:vAlign w:val="bottom"/>
          </w:tcPr>
          <w:p w14:paraId="756D112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w:t>
            </w:r>
          </w:p>
        </w:tc>
        <w:tc>
          <w:tcPr>
            <w:tcW w:w="1282" w:type="dxa"/>
            <w:tcBorders>
              <w:top w:val="nil"/>
              <w:left w:val="nil"/>
              <w:bottom w:val="single" w:sz="4" w:space="0" w:color="auto"/>
              <w:right w:val="single" w:sz="4" w:space="0" w:color="auto"/>
            </w:tcBorders>
            <w:noWrap/>
            <w:vAlign w:val="bottom"/>
          </w:tcPr>
          <w:p w14:paraId="7437CE7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12</w:t>
            </w:r>
          </w:p>
        </w:tc>
        <w:tc>
          <w:tcPr>
            <w:tcW w:w="1630" w:type="dxa"/>
            <w:tcBorders>
              <w:top w:val="nil"/>
              <w:left w:val="nil"/>
              <w:bottom w:val="single" w:sz="4" w:space="0" w:color="auto"/>
              <w:right w:val="single" w:sz="8" w:space="0" w:color="auto"/>
            </w:tcBorders>
            <w:noWrap/>
            <w:vAlign w:val="bottom"/>
          </w:tcPr>
          <w:p w14:paraId="1BF7DE2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22</w:t>
            </w:r>
          </w:p>
        </w:tc>
        <w:tc>
          <w:tcPr>
            <w:tcW w:w="1213" w:type="dxa"/>
            <w:tcBorders>
              <w:top w:val="nil"/>
              <w:left w:val="nil"/>
              <w:bottom w:val="single" w:sz="4" w:space="0" w:color="auto"/>
              <w:right w:val="single" w:sz="4" w:space="0" w:color="auto"/>
            </w:tcBorders>
            <w:noWrap/>
            <w:vAlign w:val="bottom"/>
          </w:tcPr>
          <w:p w14:paraId="0F11756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421" w:type="dxa"/>
            <w:tcBorders>
              <w:top w:val="nil"/>
              <w:left w:val="nil"/>
              <w:bottom w:val="single" w:sz="4" w:space="0" w:color="auto"/>
              <w:right w:val="single" w:sz="8" w:space="0" w:color="auto"/>
            </w:tcBorders>
            <w:noWrap/>
            <w:vAlign w:val="bottom"/>
          </w:tcPr>
          <w:p w14:paraId="2BD29D7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22</w:t>
            </w:r>
          </w:p>
        </w:tc>
        <w:tc>
          <w:tcPr>
            <w:tcW w:w="1222" w:type="dxa"/>
            <w:tcBorders>
              <w:top w:val="nil"/>
              <w:left w:val="nil"/>
              <w:bottom w:val="single" w:sz="4" w:space="0" w:color="auto"/>
              <w:right w:val="single" w:sz="4" w:space="0" w:color="auto"/>
            </w:tcBorders>
            <w:noWrap/>
            <w:vAlign w:val="bottom"/>
          </w:tcPr>
          <w:p w14:paraId="49F04B1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1415" w:type="dxa"/>
            <w:tcBorders>
              <w:top w:val="nil"/>
              <w:left w:val="nil"/>
              <w:bottom w:val="single" w:sz="4" w:space="0" w:color="auto"/>
              <w:right w:val="single" w:sz="8" w:space="0" w:color="auto"/>
            </w:tcBorders>
            <w:noWrap/>
            <w:vAlign w:val="bottom"/>
          </w:tcPr>
          <w:p w14:paraId="227D1E7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15</w:t>
            </w:r>
          </w:p>
        </w:tc>
      </w:tr>
      <w:tr w:rsidR="00044E7A" w14:paraId="3073DA0D" w14:textId="77777777">
        <w:trPr>
          <w:trHeight w:val="268"/>
        </w:trPr>
        <w:tc>
          <w:tcPr>
            <w:tcW w:w="823" w:type="dxa"/>
            <w:tcBorders>
              <w:top w:val="nil"/>
              <w:left w:val="single" w:sz="8" w:space="0" w:color="auto"/>
              <w:bottom w:val="single" w:sz="4" w:space="0" w:color="auto"/>
              <w:right w:val="single" w:sz="8" w:space="0" w:color="auto"/>
            </w:tcBorders>
            <w:noWrap/>
            <w:vAlign w:val="bottom"/>
          </w:tcPr>
          <w:p w14:paraId="655E91C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w:t>
            </w:r>
          </w:p>
        </w:tc>
        <w:tc>
          <w:tcPr>
            <w:tcW w:w="1282" w:type="dxa"/>
            <w:tcBorders>
              <w:top w:val="nil"/>
              <w:left w:val="nil"/>
              <w:bottom w:val="single" w:sz="4" w:space="0" w:color="auto"/>
              <w:right w:val="single" w:sz="4" w:space="0" w:color="auto"/>
            </w:tcBorders>
            <w:noWrap/>
            <w:vAlign w:val="bottom"/>
          </w:tcPr>
          <w:p w14:paraId="780B6D5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14</w:t>
            </w:r>
          </w:p>
        </w:tc>
        <w:tc>
          <w:tcPr>
            <w:tcW w:w="1630" w:type="dxa"/>
            <w:tcBorders>
              <w:top w:val="nil"/>
              <w:left w:val="nil"/>
              <w:bottom w:val="single" w:sz="4" w:space="0" w:color="auto"/>
              <w:right w:val="single" w:sz="8" w:space="0" w:color="auto"/>
            </w:tcBorders>
            <w:noWrap/>
            <w:vAlign w:val="bottom"/>
          </w:tcPr>
          <w:p w14:paraId="696F5C1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36</w:t>
            </w:r>
          </w:p>
        </w:tc>
        <w:tc>
          <w:tcPr>
            <w:tcW w:w="1213" w:type="dxa"/>
            <w:tcBorders>
              <w:top w:val="nil"/>
              <w:left w:val="nil"/>
              <w:bottom w:val="single" w:sz="4" w:space="0" w:color="auto"/>
              <w:right w:val="single" w:sz="4" w:space="0" w:color="auto"/>
            </w:tcBorders>
            <w:noWrap/>
            <w:vAlign w:val="bottom"/>
          </w:tcPr>
          <w:p w14:paraId="702D510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421" w:type="dxa"/>
            <w:tcBorders>
              <w:top w:val="nil"/>
              <w:left w:val="nil"/>
              <w:bottom w:val="single" w:sz="4" w:space="0" w:color="auto"/>
              <w:right w:val="single" w:sz="8" w:space="0" w:color="auto"/>
            </w:tcBorders>
            <w:noWrap/>
            <w:vAlign w:val="bottom"/>
          </w:tcPr>
          <w:p w14:paraId="158B200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33</w:t>
            </w:r>
          </w:p>
        </w:tc>
        <w:tc>
          <w:tcPr>
            <w:tcW w:w="1222" w:type="dxa"/>
            <w:tcBorders>
              <w:top w:val="nil"/>
              <w:left w:val="nil"/>
              <w:bottom w:val="single" w:sz="4" w:space="0" w:color="auto"/>
              <w:right w:val="single" w:sz="4" w:space="0" w:color="auto"/>
            </w:tcBorders>
            <w:noWrap/>
            <w:vAlign w:val="bottom"/>
          </w:tcPr>
          <w:p w14:paraId="1557E73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w:t>
            </w:r>
          </w:p>
        </w:tc>
        <w:tc>
          <w:tcPr>
            <w:tcW w:w="1415" w:type="dxa"/>
            <w:tcBorders>
              <w:top w:val="nil"/>
              <w:left w:val="nil"/>
              <w:bottom w:val="single" w:sz="4" w:space="0" w:color="auto"/>
              <w:right w:val="single" w:sz="8" w:space="0" w:color="auto"/>
            </w:tcBorders>
            <w:noWrap/>
            <w:vAlign w:val="bottom"/>
          </w:tcPr>
          <w:p w14:paraId="684EC1F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35</w:t>
            </w:r>
          </w:p>
        </w:tc>
      </w:tr>
      <w:tr w:rsidR="00044E7A" w14:paraId="3FAAF623" w14:textId="77777777">
        <w:trPr>
          <w:trHeight w:val="268"/>
        </w:trPr>
        <w:tc>
          <w:tcPr>
            <w:tcW w:w="823" w:type="dxa"/>
            <w:tcBorders>
              <w:top w:val="nil"/>
              <w:left w:val="single" w:sz="8" w:space="0" w:color="auto"/>
              <w:bottom w:val="single" w:sz="4" w:space="0" w:color="auto"/>
              <w:right w:val="single" w:sz="8" w:space="0" w:color="auto"/>
            </w:tcBorders>
            <w:noWrap/>
            <w:vAlign w:val="bottom"/>
          </w:tcPr>
          <w:p w14:paraId="6780FCD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w:t>
            </w:r>
          </w:p>
        </w:tc>
        <w:tc>
          <w:tcPr>
            <w:tcW w:w="1282" w:type="dxa"/>
            <w:tcBorders>
              <w:top w:val="nil"/>
              <w:left w:val="nil"/>
              <w:bottom w:val="single" w:sz="4" w:space="0" w:color="auto"/>
              <w:right w:val="single" w:sz="4" w:space="0" w:color="auto"/>
            </w:tcBorders>
            <w:noWrap/>
            <w:vAlign w:val="bottom"/>
          </w:tcPr>
          <w:p w14:paraId="5A708EF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1630" w:type="dxa"/>
            <w:tcBorders>
              <w:top w:val="nil"/>
              <w:left w:val="nil"/>
              <w:bottom w:val="single" w:sz="4" w:space="0" w:color="auto"/>
              <w:right w:val="single" w:sz="8" w:space="0" w:color="auto"/>
            </w:tcBorders>
            <w:noWrap/>
            <w:vAlign w:val="bottom"/>
          </w:tcPr>
          <w:p w14:paraId="2B29387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46</w:t>
            </w:r>
          </w:p>
        </w:tc>
        <w:tc>
          <w:tcPr>
            <w:tcW w:w="1213" w:type="dxa"/>
            <w:tcBorders>
              <w:top w:val="nil"/>
              <w:left w:val="nil"/>
              <w:bottom w:val="single" w:sz="4" w:space="0" w:color="auto"/>
              <w:right w:val="single" w:sz="4" w:space="0" w:color="auto"/>
            </w:tcBorders>
            <w:noWrap/>
            <w:vAlign w:val="bottom"/>
          </w:tcPr>
          <w:p w14:paraId="67677FB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421" w:type="dxa"/>
            <w:tcBorders>
              <w:top w:val="nil"/>
              <w:left w:val="nil"/>
              <w:bottom w:val="single" w:sz="4" w:space="0" w:color="auto"/>
              <w:right w:val="single" w:sz="8" w:space="0" w:color="auto"/>
            </w:tcBorders>
            <w:noWrap/>
            <w:vAlign w:val="bottom"/>
          </w:tcPr>
          <w:p w14:paraId="089CB8C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44</w:t>
            </w:r>
          </w:p>
        </w:tc>
        <w:tc>
          <w:tcPr>
            <w:tcW w:w="1222" w:type="dxa"/>
            <w:tcBorders>
              <w:top w:val="nil"/>
              <w:left w:val="nil"/>
              <w:bottom w:val="single" w:sz="4" w:space="0" w:color="auto"/>
              <w:right w:val="single" w:sz="4" w:space="0" w:color="auto"/>
            </w:tcBorders>
            <w:noWrap/>
            <w:vAlign w:val="bottom"/>
          </w:tcPr>
          <w:p w14:paraId="7F695D7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25</w:t>
            </w:r>
          </w:p>
        </w:tc>
        <w:tc>
          <w:tcPr>
            <w:tcW w:w="1415" w:type="dxa"/>
            <w:tcBorders>
              <w:top w:val="nil"/>
              <w:left w:val="nil"/>
              <w:bottom w:val="single" w:sz="4" w:space="0" w:color="auto"/>
              <w:right w:val="single" w:sz="8" w:space="0" w:color="auto"/>
            </w:tcBorders>
            <w:noWrap/>
            <w:vAlign w:val="bottom"/>
          </w:tcPr>
          <w:p w14:paraId="0833A0C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60</w:t>
            </w:r>
          </w:p>
        </w:tc>
      </w:tr>
      <w:tr w:rsidR="00044E7A" w14:paraId="36C12736" w14:textId="77777777">
        <w:trPr>
          <w:trHeight w:val="279"/>
        </w:trPr>
        <w:tc>
          <w:tcPr>
            <w:tcW w:w="823" w:type="dxa"/>
            <w:tcBorders>
              <w:top w:val="nil"/>
              <w:left w:val="single" w:sz="8" w:space="0" w:color="auto"/>
              <w:bottom w:val="single" w:sz="8" w:space="0" w:color="auto"/>
              <w:right w:val="single" w:sz="8" w:space="0" w:color="auto"/>
            </w:tcBorders>
            <w:noWrap/>
            <w:vAlign w:val="bottom"/>
          </w:tcPr>
          <w:p w14:paraId="1CB1776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282" w:type="dxa"/>
            <w:tcBorders>
              <w:top w:val="nil"/>
              <w:left w:val="nil"/>
              <w:bottom w:val="single" w:sz="8" w:space="0" w:color="auto"/>
              <w:right w:val="single" w:sz="4" w:space="0" w:color="auto"/>
            </w:tcBorders>
            <w:noWrap/>
            <w:vAlign w:val="bottom"/>
          </w:tcPr>
          <w:p w14:paraId="5F3D95D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w:t>
            </w:r>
          </w:p>
        </w:tc>
        <w:tc>
          <w:tcPr>
            <w:tcW w:w="1630" w:type="dxa"/>
            <w:tcBorders>
              <w:top w:val="nil"/>
              <w:left w:val="nil"/>
              <w:bottom w:val="single" w:sz="8" w:space="0" w:color="auto"/>
              <w:right w:val="single" w:sz="8" w:space="0" w:color="auto"/>
            </w:tcBorders>
            <w:noWrap/>
            <w:vAlign w:val="bottom"/>
          </w:tcPr>
          <w:p w14:paraId="58AA052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54</w:t>
            </w:r>
          </w:p>
        </w:tc>
        <w:tc>
          <w:tcPr>
            <w:tcW w:w="1213" w:type="dxa"/>
            <w:tcBorders>
              <w:top w:val="nil"/>
              <w:left w:val="nil"/>
              <w:bottom w:val="single" w:sz="8" w:space="0" w:color="auto"/>
              <w:right w:val="single" w:sz="4" w:space="0" w:color="auto"/>
            </w:tcBorders>
            <w:noWrap/>
            <w:vAlign w:val="bottom"/>
          </w:tcPr>
          <w:p w14:paraId="0D94EE9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421" w:type="dxa"/>
            <w:tcBorders>
              <w:top w:val="nil"/>
              <w:left w:val="nil"/>
              <w:bottom w:val="single" w:sz="8" w:space="0" w:color="auto"/>
              <w:right w:val="single" w:sz="8" w:space="0" w:color="auto"/>
            </w:tcBorders>
            <w:noWrap/>
            <w:vAlign w:val="bottom"/>
          </w:tcPr>
          <w:p w14:paraId="25927BB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55</w:t>
            </w:r>
          </w:p>
        </w:tc>
        <w:tc>
          <w:tcPr>
            <w:tcW w:w="1222" w:type="dxa"/>
            <w:tcBorders>
              <w:top w:val="nil"/>
              <w:left w:val="nil"/>
              <w:bottom w:val="single" w:sz="8" w:space="0" w:color="auto"/>
              <w:right w:val="single" w:sz="4" w:space="0" w:color="auto"/>
            </w:tcBorders>
            <w:noWrap/>
            <w:vAlign w:val="bottom"/>
          </w:tcPr>
          <w:p w14:paraId="7F9FDE6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415" w:type="dxa"/>
            <w:tcBorders>
              <w:top w:val="nil"/>
              <w:left w:val="nil"/>
              <w:bottom w:val="single" w:sz="8" w:space="0" w:color="auto"/>
              <w:right w:val="single" w:sz="8" w:space="0" w:color="auto"/>
            </w:tcBorders>
            <w:noWrap/>
            <w:vAlign w:val="bottom"/>
          </w:tcPr>
          <w:p w14:paraId="33253DD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65</w:t>
            </w:r>
          </w:p>
        </w:tc>
      </w:tr>
    </w:tbl>
    <w:p w14:paraId="2B0A0382" w14:textId="77777777" w:rsidR="00044E7A" w:rsidRDefault="00044E7A">
      <w:pPr>
        <w:jc w:val="both"/>
        <w:rPr>
          <w:rFonts w:ascii="Arial" w:hAnsi="Arial" w:cs="Arial"/>
          <w:sz w:val="24"/>
          <w:szCs w:val="24"/>
        </w:rPr>
      </w:pPr>
    </w:p>
    <w:p w14:paraId="3A35513E"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Project A</w:t>
      </w:r>
    </w:p>
    <w:p w14:paraId="2A7A8826" w14:textId="77777777" w:rsidR="00044E7A" w:rsidRDefault="00000000">
      <w:pPr>
        <w:spacing w:line="360" w:lineRule="auto"/>
        <w:jc w:val="both"/>
        <w:rPr>
          <w:rFonts w:ascii="Arial" w:hAnsi="Arial" w:cs="Arial"/>
          <w:sz w:val="24"/>
          <w:szCs w:val="24"/>
        </w:rPr>
      </w:pPr>
      <w:r>
        <w:rPr>
          <w:rFonts w:ascii="Arial" w:hAnsi="Arial" w:cs="Arial"/>
          <w:sz w:val="24"/>
          <w:szCs w:val="24"/>
        </w:rPr>
        <w:t>4 years + (£50 - £46)/ £8</w:t>
      </w:r>
    </w:p>
    <w:p w14:paraId="39C5DE5D" w14:textId="77777777" w:rsidR="00044E7A" w:rsidRDefault="00000000">
      <w:pPr>
        <w:spacing w:line="360" w:lineRule="auto"/>
        <w:jc w:val="both"/>
        <w:rPr>
          <w:rFonts w:ascii="Arial" w:hAnsi="Arial" w:cs="Arial"/>
          <w:sz w:val="24"/>
          <w:szCs w:val="24"/>
        </w:rPr>
      </w:pPr>
      <w:r>
        <w:rPr>
          <w:rFonts w:ascii="Arial" w:hAnsi="Arial" w:cs="Arial"/>
          <w:sz w:val="24"/>
          <w:szCs w:val="24"/>
        </w:rPr>
        <w:t>= 4.5 years</w:t>
      </w:r>
    </w:p>
    <w:p w14:paraId="76F07757"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Project C</w:t>
      </w:r>
    </w:p>
    <w:p w14:paraId="021F317B" w14:textId="77777777" w:rsidR="00044E7A" w:rsidRDefault="00000000">
      <w:pPr>
        <w:spacing w:line="360" w:lineRule="auto"/>
        <w:jc w:val="both"/>
        <w:rPr>
          <w:rFonts w:ascii="Arial" w:hAnsi="Arial" w:cs="Arial"/>
          <w:sz w:val="24"/>
          <w:szCs w:val="24"/>
        </w:rPr>
      </w:pPr>
      <w:r>
        <w:rPr>
          <w:rFonts w:ascii="Arial" w:hAnsi="Arial" w:cs="Arial"/>
          <w:sz w:val="24"/>
          <w:szCs w:val="24"/>
        </w:rPr>
        <w:t>4 years + (£50 - £44)/ £11</w:t>
      </w:r>
    </w:p>
    <w:p w14:paraId="01B9EC51" w14:textId="77777777" w:rsidR="00044E7A" w:rsidRDefault="00000000">
      <w:pPr>
        <w:spacing w:line="360" w:lineRule="auto"/>
        <w:jc w:val="both"/>
        <w:rPr>
          <w:rFonts w:ascii="Arial" w:hAnsi="Arial" w:cs="Arial"/>
          <w:sz w:val="24"/>
          <w:szCs w:val="24"/>
        </w:rPr>
      </w:pPr>
      <w:r>
        <w:rPr>
          <w:rFonts w:ascii="Arial" w:hAnsi="Arial" w:cs="Arial"/>
          <w:sz w:val="24"/>
          <w:szCs w:val="24"/>
        </w:rPr>
        <w:t>= 4.54 years</w:t>
      </w:r>
    </w:p>
    <w:p w14:paraId="54AB8E7B"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Project C</w:t>
      </w:r>
    </w:p>
    <w:p w14:paraId="5485F838" w14:textId="77777777" w:rsidR="00044E7A" w:rsidRDefault="00000000">
      <w:pPr>
        <w:spacing w:line="360" w:lineRule="auto"/>
        <w:jc w:val="both"/>
        <w:rPr>
          <w:rFonts w:ascii="Arial" w:hAnsi="Arial" w:cs="Arial"/>
          <w:sz w:val="24"/>
          <w:szCs w:val="24"/>
        </w:rPr>
      </w:pPr>
      <w:r>
        <w:rPr>
          <w:rFonts w:ascii="Arial" w:hAnsi="Arial" w:cs="Arial"/>
          <w:sz w:val="24"/>
          <w:szCs w:val="24"/>
        </w:rPr>
        <w:t>3 years + (£50 - £35)/ £25</w:t>
      </w:r>
    </w:p>
    <w:p w14:paraId="329051FD" w14:textId="77777777" w:rsidR="00044E7A" w:rsidRDefault="00000000">
      <w:pPr>
        <w:spacing w:line="360" w:lineRule="auto"/>
        <w:jc w:val="both"/>
        <w:rPr>
          <w:rFonts w:ascii="Arial" w:hAnsi="Arial" w:cs="Arial"/>
          <w:sz w:val="24"/>
          <w:szCs w:val="24"/>
        </w:rPr>
      </w:pPr>
      <w:r>
        <w:rPr>
          <w:rFonts w:ascii="Arial" w:hAnsi="Arial" w:cs="Arial"/>
          <w:sz w:val="24"/>
          <w:szCs w:val="24"/>
        </w:rPr>
        <w:lastRenderedPageBreak/>
        <w:t>= 3.6 years</w:t>
      </w:r>
    </w:p>
    <w:p w14:paraId="65A621FD"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b) ARR</w:t>
      </w:r>
    </w:p>
    <w:tbl>
      <w:tblPr>
        <w:tblW w:w="9350" w:type="dxa"/>
        <w:tblLook w:val="04A0" w:firstRow="1" w:lastRow="0" w:firstColumn="1" w:lastColumn="0" w:noHBand="0" w:noVBand="1"/>
      </w:tblPr>
      <w:tblGrid>
        <w:gridCol w:w="3335"/>
        <w:gridCol w:w="1994"/>
        <w:gridCol w:w="2027"/>
        <w:gridCol w:w="1994"/>
      </w:tblGrid>
      <w:tr w:rsidR="00044E7A" w14:paraId="2FD29A30" w14:textId="77777777">
        <w:trPr>
          <w:trHeight w:val="241"/>
        </w:trPr>
        <w:tc>
          <w:tcPr>
            <w:tcW w:w="3335" w:type="dxa"/>
            <w:tcBorders>
              <w:top w:val="single" w:sz="8" w:space="0" w:color="auto"/>
              <w:left w:val="single" w:sz="8" w:space="0" w:color="auto"/>
              <w:bottom w:val="single" w:sz="4" w:space="0" w:color="auto"/>
              <w:right w:val="single" w:sz="4" w:space="0" w:color="auto"/>
            </w:tcBorders>
            <w:shd w:val="clear" w:color="000000" w:fill="808080"/>
            <w:noWrap/>
            <w:vAlign w:val="center"/>
          </w:tcPr>
          <w:p w14:paraId="3172C0E6"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994" w:type="dxa"/>
            <w:tcBorders>
              <w:top w:val="single" w:sz="8" w:space="0" w:color="auto"/>
              <w:left w:val="nil"/>
              <w:bottom w:val="single" w:sz="4" w:space="0" w:color="auto"/>
              <w:right w:val="single" w:sz="4" w:space="0" w:color="auto"/>
            </w:tcBorders>
            <w:shd w:val="clear" w:color="000000" w:fill="808080"/>
            <w:noWrap/>
            <w:vAlign w:val="center"/>
          </w:tcPr>
          <w:p w14:paraId="1A5F172A"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Project A</w:t>
            </w:r>
          </w:p>
        </w:tc>
        <w:tc>
          <w:tcPr>
            <w:tcW w:w="2027" w:type="dxa"/>
            <w:tcBorders>
              <w:top w:val="single" w:sz="8" w:space="0" w:color="auto"/>
              <w:left w:val="nil"/>
              <w:bottom w:val="single" w:sz="4" w:space="0" w:color="auto"/>
              <w:right w:val="single" w:sz="4" w:space="0" w:color="auto"/>
            </w:tcBorders>
            <w:shd w:val="clear" w:color="000000" w:fill="808080"/>
            <w:noWrap/>
            <w:vAlign w:val="center"/>
          </w:tcPr>
          <w:p w14:paraId="4D08776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Project B</w:t>
            </w:r>
          </w:p>
        </w:tc>
        <w:tc>
          <w:tcPr>
            <w:tcW w:w="1994" w:type="dxa"/>
            <w:tcBorders>
              <w:top w:val="single" w:sz="8" w:space="0" w:color="auto"/>
              <w:left w:val="nil"/>
              <w:bottom w:val="single" w:sz="4" w:space="0" w:color="auto"/>
              <w:right w:val="single" w:sz="8" w:space="0" w:color="auto"/>
            </w:tcBorders>
            <w:shd w:val="clear" w:color="000000" w:fill="808080"/>
            <w:noWrap/>
            <w:vAlign w:val="center"/>
          </w:tcPr>
          <w:p w14:paraId="58D99FC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Project C</w:t>
            </w:r>
          </w:p>
        </w:tc>
      </w:tr>
      <w:tr w:rsidR="00044E7A" w14:paraId="55900B60" w14:textId="77777777">
        <w:trPr>
          <w:trHeight w:val="241"/>
        </w:trPr>
        <w:tc>
          <w:tcPr>
            <w:tcW w:w="3335" w:type="dxa"/>
            <w:tcBorders>
              <w:top w:val="nil"/>
              <w:left w:val="single" w:sz="8" w:space="0" w:color="auto"/>
              <w:bottom w:val="single" w:sz="4" w:space="0" w:color="auto"/>
              <w:right w:val="single" w:sz="4" w:space="0" w:color="auto"/>
            </w:tcBorders>
            <w:noWrap/>
            <w:vAlign w:val="center"/>
          </w:tcPr>
          <w:p w14:paraId="3D71EC9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Initial investment</w:t>
            </w:r>
          </w:p>
        </w:tc>
        <w:tc>
          <w:tcPr>
            <w:tcW w:w="1994" w:type="dxa"/>
            <w:tcBorders>
              <w:top w:val="nil"/>
              <w:left w:val="nil"/>
              <w:bottom w:val="single" w:sz="4" w:space="0" w:color="auto"/>
              <w:right w:val="single" w:sz="4" w:space="0" w:color="auto"/>
            </w:tcBorders>
            <w:noWrap/>
            <w:vAlign w:val="center"/>
          </w:tcPr>
          <w:p w14:paraId="568D5B4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w:t>
            </w:r>
          </w:p>
        </w:tc>
        <w:tc>
          <w:tcPr>
            <w:tcW w:w="2027" w:type="dxa"/>
            <w:tcBorders>
              <w:top w:val="nil"/>
              <w:left w:val="nil"/>
              <w:bottom w:val="single" w:sz="4" w:space="0" w:color="auto"/>
              <w:right w:val="single" w:sz="4" w:space="0" w:color="auto"/>
            </w:tcBorders>
            <w:noWrap/>
            <w:vAlign w:val="center"/>
          </w:tcPr>
          <w:p w14:paraId="07F4970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w:t>
            </w:r>
          </w:p>
        </w:tc>
        <w:tc>
          <w:tcPr>
            <w:tcW w:w="1994" w:type="dxa"/>
            <w:tcBorders>
              <w:top w:val="nil"/>
              <w:left w:val="nil"/>
              <w:bottom w:val="single" w:sz="4" w:space="0" w:color="auto"/>
              <w:right w:val="single" w:sz="8" w:space="0" w:color="auto"/>
            </w:tcBorders>
            <w:noWrap/>
            <w:vAlign w:val="center"/>
          </w:tcPr>
          <w:p w14:paraId="4D51C8C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w:t>
            </w:r>
          </w:p>
        </w:tc>
      </w:tr>
      <w:tr w:rsidR="00044E7A" w14:paraId="46FF0A54" w14:textId="77777777">
        <w:trPr>
          <w:trHeight w:val="241"/>
        </w:trPr>
        <w:tc>
          <w:tcPr>
            <w:tcW w:w="3335" w:type="dxa"/>
            <w:tcBorders>
              <w:top w:val="nil"/>
              <w:left w:val="single" w:sz="8" w:space="0" w:color="auto"/>
              <w:bottom w:val="single" w:sz="4" w:space="0" w:color="auto"/>
              <w:right w:val="single" w:sz="4" w:space="0" w:color="auto"/>
            </w:tcBorders>
            <w:noWrap/>
            <w:vAlign w:val="center"/>
          </w:tcPr>
          <w:p w14:paraId="12114B9A" w14:textId="77777777" w:rsidR="00044E7A" w:rsidRDefault="00000000">
            <w:pPr>
              <w:spacing w:after="0" w:line="240" w:lineRule="auto"/>
              <w:jc w:val="both"/>
              <w:rPr>
                <w:rFonts w:ascii="Arial" w:eastAsia="Times New Roman" w:hAnsi="Arial" w:cs="Arial"/>
                <w:color w:val="000000"/>
                <w:kern w:val="0"/>
                <w:sz w:val="24"/>
                <w:szCs w:val="24"/>
                <w:u w:val="single"/>
                <w:lang w:eastAsia="en-IN"/>
                <w14:ligatures w14:val="none"/>
              </w:rPr>
            </w:pPr>
            <w:r>
              <w:rPr>
                <w:rFonts w:ascii="Arial" w:eastAsia="Times New Roman" w:hAnsi="Arial" w:cs="Arial"/>
                <w:color w:val="000000"/>
                <w:kern w:val="0"/>
                <w:sz w:val="24"/>
                <w:szCs w:val="24"/>
                <w:u w:val="single"/>
                <w:lang w:eastAsia="en-IN"/>
                <w14:ligatures w14:val="none"/>
              </w:rPr>
              <w:t>Cash inflows</w:t>
            </w:r>
          </w:p>
        </w:tc>
        <w:tc>
          <w:tcPr>
            <w:tcW w:w="1994" w:type="dxa"/>
            <w:tcBorders>
              <w:top w:val="nil"/>
              <w:left w:val="nil"/>
              <w:bottom w:val="single" w:sz="4" w:space="0" w:color="auto"/>
              <w:right w:val="single" w:sz="4" w:space="0" w:color="auto"/>
            </w:tcBorders>
            <w:noWrap/>
            <w:vAlign w:val="center"/>
          </w:tcPr>
          <w:p w14:paraId="3C8E11BC"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27" w:type="dxa"/>
            <w:tcBorders>
              <w:top w:val="nil"/>
              <w:left w:val="nil"/>
              <w:bottom w:val="single" w:sz="4" w:space="0" w:color="auto"/>
              <w:right w:val="single" w:sz="4" w:space="0" w:color="auto"/>
            </w:tcBorders>
            <w:noWrap/>
            <w:vAlign w:val="center"/>
          </w:tcPr>
          <w:p w14:paraId="314B3B61"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994" w:type="dxa"/>
            <w:tcBorders>
              <w:top w:val="nil"/>
              <w:left w:val="nil"/>
              <w:bottom w:val="single" w:sz="4" w:space="0" w:color="auto"/>
              <w:right w:val="single" w:sz="8" w:space="0" w:color="auto"/>
            </w:tcBorders>
            <w:noWrap/>
            <w:vAlign w:val="center"/>
          </w:tcPr>
          <w:p w14:paraId="2E31C92A"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r>
      <w:tr w:rsidR="00044E7A" w14:paraId="071F79E6" w14:textId="77777777">
        <w:trPr>
          <w:trHeight w:val="241"/>
        </w:trPr>
        <w:tc>
          <w:tcPr>
            <w:tcW w:w="3335" w:type="dxa"/>
            <w:tcBorders>
              <w:top w:val="nil"/>
              <w:left w:val="single" w:sz="8" w:space="0" w:color="auto"/>
              <w:bottom w:val="single" w:sz="4" w:space="0" w:color="auto"/>
              <w:right w:val="single" w:sz="4" w:space="0" w:color="auto"/>
            </w:tcBorders>
            <w:noWrap/>
            <w:vAlign w:val="center"/>
          </w:tcPr>
          <w:p w14:paraId="413C099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Year 1</w:t>
            </w:r>
          </w:p>
        </w:tc>
        <w:tc>
          <w:tcPr>
            <w:tcW w:w="1994" w:type="dxa"/>
            <w:tcBorders>
              <w:top w:val="nil"/>
              <w:left w:val="nil"/>
              <w:bottom w:val="single" w:sz="4" w:space="0" w:color="auto"/>
              <w:right w:val="single" w:sz="4" w:space="0" w:color="auto"/>
            </w:tcBorders>
            <w:noWrap/>
            <w:vAlign w:val="center"/>
          </w:tcPr>
          <w:p w14:paraId="3748ADD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2027" w:type="dxa"/>
            <w:tcBorders>
              <w:top w:val="nil"/>
              <w:left w:val="nil"/>
              <w:bottom w:val="single" w:sz="4" w:space="0" w:color="auto"/>
              <w:right w:val="single" w:sz="4" w:space="0" w:color="auto"/>
            </w:tcBorders>
            <w:noWrap/>
            <w:vAlign w:val="center"/>
          </w:tcPr>
          <w:p w14:paraId="7A42C01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994" w:type="dxa"/>
            <w:tcBorders>
              <w:top w:val="nil"/>
              <w:left w:val="nil"/>
              <w:bottom w:val="single" w:sz="4" w:space="0" w:color="auto"/>
              <w:right w:val="single" w:sz="8" w:space="0" w:color="auto"/>
            </w:tcBorders>
            <w:noWrap/>
            <w:vAlign w:val="center"/>
          </w:tcPr>
          <w:p w14:paraId="6DD107A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r>
      <w:tr w:rsidR="00044E7A" w14:paraId="7014F9C2" w14:textId="77777777">
        <w:trPr>
          <w:trHeight w:val="241"/>
        </w:trPr>
        <w:tc>
          <w:tcPr>
            <w:tcW w:w="3335" w:type="dxa"/>
            <w:tcBorders>
              <w:top w:val="nil"/>
              <w:left w:val="single" w:sz="8" w:space="0" w:color="auto"/>
              <w:bottom w:val="single" w:sz="4" w:space="0" w:color="auto"/>
              <w:right w:val="single" w:sz="4" w:space="0" w:color="auto"/>
            </w:tcBorders>
            <w:noWrap/>
            <w:vAlign w:val="center"/>
          </w:tcPr>
          <w:p w14:paraId="5D94132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Year 2</w:t>
            </w:r>
          </w:p>
        </w:tc>
        <w:tc>
          <w:tcPr>
            <w:tcW w:w="1994" w:type="dxa"/>
            <w:tcBorders>
              <w:top w:val="nil"/>
              <w:left w:val="nil"/>
              <w:bottom w:val="single" w:sz="4" w:space="0" w:color="auto"/>
              <w:right w:val="single" w:sz="4" w:space="0" w:color="auto"/>
            </w:tcBorders>
            <w:noWrap/>
            <w:vAlign w:val="center"/>
          </w:tcPr>
          <w:p w14:paraId="14AF3AD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12</w:t>
            </w:r>
          </w:p>
        </w:tc>
        <w:tc>
          <w:tcPr>
            <w:tcW w:w="2027" w:type="dxa"/>
            <w:tcBorders>
              <w:top w:val="nil"/>
              <w:left w:val="nil"/>
              <w:bottom w:val="single" w:sz="4" w:space="0" w:color="auto"/>
              <w:right w:val="single" w:sz="4" w:space="0" w:color="auto"/>
            </w:tcBorders>
            <w:noWrap/>
            <w:vAlign w:val="center"/>
          </w:tcPr>
          <w:p w14:paraId="217075F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994" w:type="dxa"/>
            <w:tcBorders>
              <w:top w:val="nil"/>
              <w:left w:val="nil"/>
              <w:bottom w:val="single" w:sz="4" w:space="0" w:color="auto"/>
              <w:right w:val="single" w:sz="8" w:space="0" w:color="auto"/>
            </w:tcBorders>
            <w:noWrap/>
            <w:vAlign w:val="center"/>
          </w:tcPr>
          <w:p w14:paraId="726A38E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r>
      <w:tr w:rsidR="00044E7A" w14:paraId="6157C825" w14:textId="77777777">
        <w:trPr>
          <w:trHeight w:val="241"/>
        </w:trPr>
        <w:tc>
          <w:tcPr>
            <w:tcW w:w="3335" w:type="dxa"/>
            <w:tcBorders>
              <w:top w:val="nil"/>
              <w:left w:val="single" w:sz="8" w:space="0" w:color="auto"/>
              <w:bottom w:val="single" w:sz="4" w:space="0" w:color="auto"/>
              <w:right w:val="single" w:sz="4" w:space="0" w:color="auto"/>
            </w:tcBorders>
            <w:noWrap/>
            <w:vAlign w:val="center"/>
          </w:tcPr>
          <w:p w14:paraId="6FBE889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Year 3</w:t>
            </w:r>
          </w:p>
        </w:tc>
        <w:tc>
          <w:tcPr>
            <w:tcW w:w="1994" w:type="dxa"/>
            <w:tcBorders>
              <w:top w:val="nil"/>
              <w:left w:val="nil"/>
              <w:bottom w:val="single" w:sz="4" w:space="0" w:color="auto"/>
              <w:right w:val="single" w:sz="4" w:space="0" w:color="auto"/>
            </w:tcBorders>
            <w:noWrap/>
            <w:vAlign w:val="center"/>
          </w:tcPr>
          <w:p w14:paraId="7B8A6E6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14</w:t>
            </w:r>
          </w:p>
        </w:tc>
        <w:tc>
          <w:tcPr>
            <w:tcW w:w="2027" w:type="dxa"/>
            <w:tcBorders>
              <w:top w:val="nil"/>
              <w:left w:val="nil"/>
              <w:bottom w:val="single" w:sz="4" w:space="0" w:color="auto"/>
              <w:right w:val="single" w:sz="4" w:space="0" w:color="auto"/>
            </w:tcBorders>
            <w:noWrap/>
            <w:vAlign w:val="center"/>
          </w:tcPr>
          <w:p w14:paraId="08BA612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994" w:type="dxa"/>
            <w:tcBorders>
              <w:top w:val="nil"/>
              <w:left w:val="nil"/>
              <w:bottom w:val="single" w:sz="4" w:space="0" w:color="auto"/>
              <w:right w:val="single" w:sz="8" w:space="0" w:color="auto"/>
            </w:tcBorders>
            <w:noWrap/>
            <w:vAlign w:val="center"/>
          </w:tcPr>
          <w:p w14:paraId="712CDE4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w:t>
            </w:r>
          </w:p>
        </w:tc>
      </w:tr>
      <w:tr w:rsidR="00044E7A" w14:paraId="2A4D4FBD" w14:textId="77777777">
        <w:trPr>
          <w:trHeight w:val="241"/>
        </w:trPr>
        <w:tc>
          <w:tcPr>
            <w:tcW w:w="3335" w:type="dxa"/>
            <w:tcBorders>
              <w:top w:val="nil"/>
              <w:left w:val="single" w:sz="8" w:space="0" w:color="auto"/>
              <w:bottom w:val="single" w:sz="4" w:space="0" w:color="auto"/>
              <w:right w:val="single" w:sz="4" w:space="0" w:color="auto"/>
            </w:tcBorders>
            <w:noWrap/>
            <w:vAlign w:val="center"/>
          </w:tcPr>
          <w:p w14:paraId="7FA60D9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Year 4</w:t>
            </w:r>
          </w:p>
        </w:tc>
        <w:tc>
          <w:tcPr>
            <w:tcW w:w="1994" w:type="dxa"/>
            <w:tcBorders>
              <w:top w:val="nil"/>
              <w:left w:val="nil"/>
              <w:bottom w:val="single" w:sz="4" w:space="0" w:color="auto"/>
              <w:right w:val="single" w:sz="4" w:space="0" w:color="auto"/>
            </w:tcBorders>
            <w:noWrap/>
            <w:vAlign w:val="center"/>
          </w:tcPr>
          <w:p w14:paraId="2063D45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2027" w:type="dxa"/>
            <w:tcBorders>
              <w:top w:val="nil"/>
              <w:left w:val="nil"/>
              <w:bottom w:val="single" w:sz="4" w:space="0" w:color="auto"/>
              <w:right w:val="single" w:sz="4" w:space="0" w:color="auto"/>
            </w:tcBorders>
            <w:noWrap/>
            <w:vAlign w:val="center"/>
          </w:tcPr>
          <w:p w14:paraId="30D4CA1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994" w:type="dxa"/>
            <w:tcBorders>
              <w:top w:val="nil"/>
              <w:left w:val="nil"/>
              <w:bottom w:val="single" w:sz="4" w:space="0" w:color="auto"/>
              <w:right w:val="single" w:sz="8" w:space="0" w:color="auto"/>
            </w:tcBorders>
            <w:noWrap/>
            <w:vAlign w:val="center"/>
          </w:tcPr>
          <w:p w14:paraId="6E5ABE8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25</w:t>
            </w:r>
          </w:p>
        </w:tc>
      </w:tr>
      <w:tr w:rsidR="00044E7A" w14:paraId="565CF3F3" w14:textId="77777777">
        <w:trPr>
          <w:trHeight w:val="241"/>
        </w:trPr>
        <w:tc>
          <w:tcPr>
            <w:tcW w:w="3335" w:type="dxa"/>
            <w:tcBorders>
              <w:top w:val="nil"/>
              <w:left w:val="single" w:sz="8" w:space="0" w:color="auto"/>
              <w:bottom w:val="single" w:sz="4" w:space="0" w:color="auto"/>
              <w:right w:val="single" w:sz="4" w:space="0" w:color="auto"/>
            </w:tcBorders>
            <w:noWrap/>
            <w:vAlign w:val="center"/>
          </w:tcPr>
          <w:p w14:paraId="72F8CCC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Year 5</w:t>
            </w:r>
          </w:p>
        </w:tc>
        <w:tc>
          <w:tcPr>
            <w:tcW w:w="1994" w:type="dxa"/>
            <w:tcBorders>
              <w:top w:val="nil"/>
              <w:left w:val="nil"/>
              <w:bottom w:val="single" w:sz="4" w:space="0" w:color="auto"/>
              <w:right w:val="single" w:sz="4" w:space="0" w:color="auto"/>
            </w:tcBorders>
            <w:noWrap/>
            <w:vAlign w:val="center"/>
          </w:tcPr>
          <w:p w14:paraId="4DD4638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w:t>
            </w:r>
          </w:p>
        </w:tc>
        <w:tc>
          <w:tcPr>
            <w:tcW w:w="2027" w:type="dxa"/>
            <w:tcBorders>
              <w:top w:val="nil"/>
              <w:left w:val="nil"/>
              <w:bottom w:val="single" w:sz="4" w:space="0" w:color="auto"/>
              <w:right w:val="single" w:sz="4" w:space="0" w:color="auto"/>
            </w:tcBorders>
            <w:noWrap/>
            <w:vAlign w:val="center"/>
          </w:tcPr>
          <w:p w14:paraId="67FA1FB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994" w:type="dxa"/>
            <w:tcBorders>
              <w:top w:val="nil"/>
              <w:left w:val="nil"/>
              <w:bottom w:val="single" w:sz="4" w:space="0" w:color="auto"/>
              <w:right w:val="single" w:sz="8" w:space="0" w:color="auto"/>
            </w:tcBorders>
            <w:noWrap/>
            <w:vAlign w:val="center"/>
          </w:tcPr>
          <w:p w14:paraId="019F466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r>
      <w:tr w:rsidR="00044E7A" w14:paraId="44CDB659" w14:textId="77777777">
        <w:trPr>
          <w:trHeight w:val="241"/>
        </w:trPr>
        <w:tc>
          <w:tcPr>
            <w:tcW w:w="3335" w:type="dxa"/>
            <w:tcBorders>
              <w:top w:val="nil"/>
              <w:left w:val="single" w:sz="8" w:space="0" w:color="auto"/>
              <w:bottom w:val="single" w:sz="4" w:space="0" w:color="auto"/>
              <w:right w:val="single" w:sz="4" w:space="0" w:color="auto"/>
            </w:tcBorders>
            <w:noWrap/>
            <w:vAlign w:val="center"/>
          </w:tcPr>
          <w:p w14:paraId="470787E5"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994" w:type="dxa"/>
            <w:tcBorders>
              <w:top w:val="nil"/>
              <w:left w:val="nil"/>
              <w:bottom w:val="single" w:sz="4" w:space="0" w:color="auto"/>
              <w:right w:val="single" w:sz="4" w:space="0" w:color="auto"/>
            </w:tcBorders>
            <w:noWrap/>
            <w:vAlign w:val="center"/>
          </w:tcPr>
          <w:p w14:paraId="06F54099"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27" w:type="dxa"/>
            <w:tcBorders>
              <w:top w:val="nil"/>
              <w:left w:val="nil"/>
              <w:bottom w:val="single" w:sz="4" w:space="0" w:color="auto"/>
              <w:right w:val="single" w:sz="4" w:space="0" w:color="auto"/>
            </w:tcBorders>
            <w:noWrap/>
            <w:vAlign w:val="center"/>
          </w:tcPr>
          <w:p w14:paraId="09BBF059"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994" w:type="dxa"/>
            <w:tcBorders>
              <w:top w:val="nil"/>
              <w:left w:val="nil"/>
              <w:bottom w:val="single" w:sz="4" w:space="0" w:color="auto"/>
              <w:right w:val="single" w:sz="8" w:space="0" w:color="auto"/>
            </w:tcBorders>
            <w:noWrap/>
            <w:vAlign w:val="center"/>
          </w:tcPr>
          <w:p w14:paraId="0A0033B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r>
      <w:tr w:rsidR="00044E7A" w14:paraId="5FCB10F3" w14:textId="77777777">
        <w:trPr>
          <w:trHeight w:val="483"/>
        </w:trPr>
        <w:tc>
          <w:tcPr>
            <w:tcW w:w="3335" w:type="dxa"/>
            <w:tcBorders>
              <w:top w:val="nil"/>
              <w:left w:val="single" w:sz="8" w:space="0" w:color="auto"/>
              <w:bottom w:val="single" w:sz="4" w:space="0" w:color="auto"/>
              <w:right w:val="single" w:sz="4" w:space="0" w:color="auto"/>
            </w:tcBorders>
            <w:vAlign w:val="center"/>
          </w:tcPr>
          <w:p w14:paraId="22D9424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Average annual cash inflows</w:t>
            </w:r>
          </w:p>
        </w:tc>
        <w:tc>
          <w:tcPr>
            <w:tcW w:w="1994" w:type="dxa"/>
            <w:tcBorders>
              <w:top w:val="nil"/>
              <w:left w:val="nil"/>
              <w:bottom w:val="single" w:sz="4" w:space="0" w:color="auto"/>
              <w:right w:val="single" w:sz="4" w:space="0" w:color="auto"/>
            </w:tcBorders>
            <w:noWrap/>
            <w:vAlign w:val="center"/>
          </w:tcPr>
          <w:p w14:paraId="03CFB43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10.8</w:t>
            </w:r>
          </w:p>
        </w:tc>
        <w:tc>
          <w:tcPr>
            <w:tcW w:w="2027" w:type="dxa"/>
            <w:tcBorders>
              <w:top w:val="nil"/>
              <w:left w:val="nil"/>
              <w:bottom w:val="single" w:sz="4" w:space="0" w:color="auto"/>
              <w:right w:val="single" w:sz="4" w:space="0" w:color="auto"/>
            </w:tcBorders>
            <w:noWrap/>
            <w:vAlign w:val="center"/>
          </w:tcPr>
          <w:p w14:paraId="5241A4C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994" w:type="dxa"/>
            <w:tcBorders>
              <w:top w:val="nil"/>
              <w:left w:val="nil"/>
              <w:bottom w:val="single" w:sz="4" w:space="0" w:color="auto"/>
              <w:right w:val="single" w:sz="8" w:space="0" w:color="auto"/>
            </w:tcBorders>
            <w:noWrap/>
            <w:vAlign w:val="center"/>
          </w:tcPr>
          <w:p w14:paraId="3B5C523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13</w:t>
            </w:r>
          </w:p>
        </w:tc>
      </w:tr>
      <w:tr w:rsidR="00044E7A" w14:paraId="3C03A092" w14:textId="77777777">
        <w:trPr>
          <w:trHeight w:val="241"/>
        </w:trPr>
        <w:tc>
          <w:tcPr>
            <w:tcW w:w="3335" w:type="dxa"/>
            <w:tcBorders>
              <w:top w:val="nil"/>
              <w:left w:val="single" w:sz="8" w:space="0" w:color="auto"/>
              <w:bottom w:val="single" w:sz="4" w:space="0" w:color="auto"/>
              <w:right w:val="single" w:sz="4" w:space="0" w:color="auto"/>
            </w:tcBorders>
            <w:noWrap/>
            <w:vAlign w:val="center"/>
          </w:tcPr>
          <w:p w14:paraId="0C56159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994" w:type="dxa"/>
            <w:tcBorders>
              <w:top w:val="nil"/>
              <w:left w:val="nil"/>
              <w:bottom w:val="single" w:sz="4" w:space="0" w:color="auto"/>
              <w:right w:val="single" w:sz="4" w:space="0" w:color="auto"/>
            </w:tcBorders>
            <w:noWrap/>
            <w:vAlign w:val="center"/>
          </w:tcPr>
          <w:p w14:paraId="5D8811FB"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2027" w:type="dxa"/>
            <w:tcBorders>
              <w:top w:val="nil"/>
              <w:left w:val="nil"/>
              <w:bottom w:val="single" w:sz="4" w:space="0" w:color="auto"/>
              <w:right w:val="single" w:sz="4" w:space="0" w:color="auto"/>
            </w:tcBorders>
            <w:noWrap/>
            <w:vAlign w:val="center"/>
          </w:tcPr>
          <w:p w14:paraId="4826C43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994" w:type="dxa"/>
            <w:tcBorders>
              <w:top w:val="nil"/>
              <w:left w:val="nil"/>
              <w:bottom w:val="single" w:sz="4" w:space="0" w:color="auto"/>
              <w:right w:val="single" w:sz="8" w:space="0" w:color="auto"/>
            </w:tcBorders>
            <w:noWrap/>
            <w:vAlign w:val="center"/>
          </w:tcPr>
          <w:p w14:paraId="1243543F"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r>
      <w:tr w:rsidR="00044E7A" w14:paraId="2D545AB9" w14:textId="77777777">
        <w:trPr>
          <w:trHeight w:val="734"/>
        </w:trPr>
        <w:tc>
          <w:tcPr>
            <w:tcW w:w="3335" w:type="dxa"/>
            <w:tcBorders>
              <w:top w:val="nil"/>
              <w:left w:val="single" w:sz="8" w:space="0" w:color="auto"/>
              <w:bottom w:val="single" w:sz="8" w:space="0" w:color="auto"/>
              <w:right w:val="single" w:sz="4" w:space="0" w:color="auto"/>
            </w:tcBorders>
            <w:vAlign w:val="center"/>
          </w:tcPr>
          <w:p w14:paraId="7233D6E7"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ARR (Average annual cash inflows/ Initial investment</w:t>
            </w:r>
          </w:p>
        </w:tc>
        <w:tc>
          <w:tcPr>
            <w:tcW w:w="1994" w:type="dxa"/>
            <w:tcBorders>
              <w:top w:val="nil"/>
              <w:left w:val="nil"/>
              <w:bottom w:val="single" w:sz="8" w:space="0" w:color="auto"/>
              <w:right w:val="single" w:sz="4" w:space="0" w:color="auto"/>
            </w:tcBorders>
            <w:noWrap/>
            <w:vAlign w:val="center"/>
          </w:tcPr>
          <w:p w14:paraId="49C8624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22%</w:t>
            </w:r>
          </w:p>
        </w:tc>
        <w:tc>
          <w:tcPr>
            <w:tcW w:w="2027" w:type="dxa"/>
            <w:tcBorders>
              <w:top w:val="nil"/>
              <w:left w:val="nil"/>
              <w:bottom w:val="single" w:sz="8" w:space="0" w:color="auto"/>
              <w:right w:val="single" w:sz="4" w:space="0" w:color="auto"/>
            </w:tcBorders>
            <w:noWrap/>
            <w:vAlign w:val="center"/>
          </w:tcPr>
          <w:p w14:paraId="276E986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22%</w:t>
            </w:r>
          </w:p>
        </w:tc>
        <w:tc>
          <w:tcPr>
            <w:tcW w:w="1994" w:type="dxa"/>
            <w:tcBorders>
              <w:top w:val="nil"/>
              <w:left w:val="nil"/>
              <w:bottom w:val="single" w:sz="8" w:space="0" w:color="auto"/>
              <w:right w:val="single" w:sz="8" w:space="0" w:color="auto"/>
            </w:tcBorders>
            <w:noWrap/>
            <w:vAlign w:val="center"/>
          </w:tcPr>
          <w:p w14:paraId="58D98F1E"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26%</w:t>
            </w:r>
          </w:p>
        </w:tc>
      </w:tr>
    </w:tbl>
    <w:p w14:paraId="18294978" w14:textId="77777777" w:rsidR="00044E7A" w:rsidRDefault="00044E7A">
      <w:pPr>
        <w:jc w:val="both"/>
        <w:rPr>
          <w:rFonts w:ascii="Arial" w:hAnsi="Arial" w:cs="Arial"/>
          <w:sz w:val="24"/>
          <w:szCs w:val="24"/>
        </w:rPr>
      </w:pPr>
    </w:p>
    <w:p w14:paraId="02F44768"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c) Net present value</w:t>
      </w:r>
    </w:p>
    <w:tbl>
      <w:tblPr>
        <w:tblW w:w="9457" w:type="dxa"/>
        <w:tblLook w:val="04A0" w:firstRow="1" w:lastRow="0" w:firstColumn="1" w:lastColumn="0" w:noHBand="0" w:noVBand="1"/>
      </w:tblPr>
      <w:tblGrid>
        <w:gridCol w:w="1270"/>
        <w:gridCol w:w="1134"/>
        <w:gridCol w:w="1491"/>
        <w:gridCol w:w="1043"/>
        <w:gridCol w:w="1088"/>
        <w:gridCol w:w="1043"/>
        <w:gridCol w:w="1192"/>
        <w:gridCol w:w="1247"/>
      </w:tblGrid>
      <w:tr w:rsidR="00044E7A" w14:paraId="44C2941A" w14:textId="77777777">
        <w:trPr>
          <w:trHeight w:val="294"/>
        </w:trPr>
        <w:tc>
          <w:tcPr>
            <w:tcW w:w="1270"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706406D8"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Year</w:t>
            </w:r>
          </w:p>
        </w:tc>
        <w:tc>
          <w:tcPr>
            <w:tcW w:w="1134"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486770CD"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PVF @ 8%</w:t>
            </w:r>
          </w:p>
        </w:tc>
        <w:tc>
          <w:tcPr>
            <w:tcW w:w="2509" w:type="dxa"/>
            <w:gridSpan w:val="2"/>
            <w:tcBorders>
              <w:top w:val="single" w:sz="4" w:space="0" w:color="auto"/>
              <w:left w:val="nil"/>
              <w:bottom w:val="single" w:sz="4" w:space="0" w:color="auto"/>
              <w:right w:val="single" w:sz="4" w:space="0" w:color="auto"/>
            </w:tcBorders>
            <w:shd w:val="clear" w:color="000000" w:fill="808080"/>
            <w:noWrap/>
            <w:vAlign w:val="bottom"/>
          </w:tcPr>
          <w:p w14:paraId="435F3B45"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Project A</w:t>
            </w:r>
          </w:p>
        </w:tc>
        <w:tc>
          <w:tcPr>
            <w:tcW w:w="2105" w:type="dxa"/>
            <w:gridSpan w:val="2"/>
            <w:tcBorders>
              <w:top w:val="single" w:sz="4" w:space="0" w:color="auto"/>
              <w:left w:val="nil"/>
              <w:bottom w:val="single" w:sz="4" w:space="0" w:color="auto"/>
              <w:right w:val="single" w:sz="4" w:space="0" w:color="auto"/>
            </w:tcBorders>
            <w:shd w:val="clear" w:color="000000" w:fill="808080"/>
            <w:noWrap/>
            <w:vAlign w:val="bottom"/>
          </w:tcPr>
          <w:p w14:paraId="377194E4"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Project B</w:t>
            </w:r>
          </w:p>
        </w:tc>
        <w:tc>
          <w:tcPr>
            <w:tcW w:w="2439" w:type="dxa"/>
            <w:gridSpan w:val="2"/>
            <w:tcBorders>
              <w:top w:val="single" w:sz="4" w:space="0" w:color="auto"/>
              <w:left w:val="nil"/>
              <w:bottom w:val="single" w:sz="4" w:space="0" w:color="auto"/>
              <w:right w:val="single" w:sz="4" w:space="0" w:color="auto"/>
            </w:tcBorders>
            <w:shd w:val="clear" w:color="000000" w:fill="808080"/>
            <w:noWrap/>
            <w:vAlign w:val="bottom"/>
          </w:tcPr>
          <w:p w14:paraId="1B69CBF7"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Project C</w:t>
            </w:r>
          </w:p>
        </w:tc>
      </w:tr>
      <w:tr w:rsidR="00044E7A" w14:paraId="5A88E30A" w14:textId="77777777">
        <w:trPr>
          <w:trHeight w:val="792"/>
        </w:trPr>
        <w:tc>
          <w:tcPr>
            <w:tcW w:w="1270" w:type="dxa"/>
            <w:vMerge/>
            <w:tcBorders>
              <w:top w:val="single" w:sz="4" w:space="0" w:color="auto"/>
              <w:left w:val="single" w:sz="4" w:space="0" w:color="auto"/>
              <w:bottom w:val="single" w:sz="4" w:space="0" w:color="auto"/>
              <w:right w:val="single" w:sz="4" w:space="0" w:color="auto"/>
            </w:tcBorders>
            <w:vAlign w:val="center"/>
          </w:tcPr>
          <w:p w14:paraId="77B88D52"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134" w:type="dxa"/>
            <w:vMerge/>
            <w:tcBorders>
              <w:top w:val="single" w:sz="4" w:space="0" w:color="auto"/>
              <w:left w:val="single" w:sz="4" w:space="0" w:color="auto"/>
              <w:bottom w:val="single" w:sz="4" w:space="0" w:color="auto"/>
              <w:right w:val="single" w:sz="4" w:space="0" w:color="auto"/>
            </w:tcBorders>
            <w:vAlign w:val="center"/>
          </w:tcPr>
          <w:p w14:paraId="7E1287DC"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491" w:type="dxa"/>
            <w:tcBorders>
              <w:top w:val="nil"/>
              <w:left w:val="nil"/>
              <w:bottom w:val="single" w:sz="4" w:space="0" w:color="auto"/>
              <w:right w:val="single" w:sz="4" w:space="0" w:color="auto"/>
            </w:tcBorders>
            <w:shd w:val="clear" w:color="000000" w:fill="808080"/>
            <w:vAlign w:val="center"/>
          </w:tcPr>
          <w:p w14:paraId="27F2F38A"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Cash inflows</w:t>
            </w:r>
          </w:p>
        </w:tc>
        <w:tc>
          <w:tcPr>
            <w:tcW w:w="1018" w:type="dxa"/>
            <w:tcBorders>
              <w:top w:val="nil"/>
              <w:left w:val="nil"/>
              <w:bottom w:val="single" w:sz="4" w:space="0" w:color="auto"/>
              <w:right w:val="single" w:sz="4" w:space="0" w:color="auto"/>
            </w:tcBorders>
            <w:shd w:val="clear" w:color="000000" w:fill="808080"/>
            <w:vAlign w:val="center"/>
          </w:tcPr>
          <w:p w14:paraId="2E75CF46"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 of cash inflows</w:t>
            </w:r>
          </w:p>
        </w:tc>
        <w:tc>
          <w:tcPr>
            <w:tcW w:w="1088" w:type="dxa"/>
            <w:tcBorders>
              <w:top w:val="nil"/>
              <w:left w:val="nil"/>
              <w:bottom w:val="single" w:sz="4" w:space="0" w:color="auto"/>
              <w:right w:val="single" w:sz="4" w:space="0" w:color="auto"/>
            </w:tcBorders>
            <w:shd w:val="clear" w:color="000000" w:fill="808080"/>
            <w:vAlign w:val="center"/>
          </w:tcPr>
          <w:p w14:paraId="789D779C"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Cash inflows</w:t>
            </w:r>
          </w:p>
        </w:tc>
        <w:tc>
          <w:tcPr>
            <w:tcW w:w="1017" w:type="dxa"/>
            <w:tcBorders>
              <w:top w:val="nil"/>
              <w:left w:val="nil"/>
              <w:bottom w:val="single" w:sz="4" w:space="0" w:color="auto"/>
              <w:right w:val="single" w:sz="4" w:space="0" w:color="auto"/>
            </w:tcBorders>
            <w:shd w:val="clear" w:color="000000" w:fill="808080"/>
            <w:vAlign w:val="center"/>
          </w:tcPr>
          <w:p w14:paraId="4C028AF1"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 of cash inflows</w:t>
            </w:r>
          </w:p>
        </w:tc>
        <w:tc>
          <w:tcPr>
            <w:tcW w:w="1192" w:type="dxa"/>
            <w:tcBorders>
              <w:top w:val="nil"/>
              <w:left w:val="nil"/>
              <w:bottom w:val="single" w:sz="4" w:space="0" w:color="auto"/>
              <w:right w:val="single" w:sz="4" w:space="0" w:color="auto"/>
            </w:tcBorders>
            <w:shd w:val="clear" w:color="000000" w:fill="808080"/>
            <w:vAlign w:val="center"/>
          </w:tcPr>
          <w:p w14:paraId="18990F5A"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Cash inflows</w:t>
            </w:r>
          </w:p>
        </w:tc>
        <w:tc>
          <w:tcPr>
            <w:tcW w:w="1247" w:type="dxa"/>
            <w:tcBorders>
              <w:top w:val="nil"/>
              <w:left w:val="nil"/>
              <w:bottom w:val="single" w:sz="4" w:space="0" w:color="auto"/>
              <w:right w:val="single" w:sz="4" w:space="0" w:color="auto"/>
            </w:tcBorders>
            <w:shd w:val="clear" w:color="000000" w:fill="808080"/>
            <w:vAlign w:val="center"/>
          </w:tcPr>
          <w:p w14:paraId="42EEB454"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 of cash inflows</w:t>
            </w:r>
          </w:p>
        </w:tc>
      </w:tr>
      <w:tr w:rsidR="00044E7A" w14:paraId="430E3AB2" w14:textId="77777777">
        <w:trPr>
          <w:trHeight w:val="263"/>
        </w:trPr>
        <w:tc>
          <w:tcPr>
            <w:tcW w:w="1270" w:type="dxa"/>
            <w:tcBorders>
              <w:top w:val="nil"/>
              <w:left w:val="single" w:sz="4" w:space="0" w:color="auto"/>
              <w:bottom w:val="single" w:sz="4" w:space="0" w:color="auto"/>
              <w:right w:val="single" w:sz="4" w:space="0" w:color="auto"/>
            </w:tcBorders>
            <w:noWrap/>
            <w:vAlign w:val="bottom"/>
          </w:tcPr>
          <w:p w14:paraId="507ADF6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w:t>
            </w:r>
          </w:p>
        </w:tc>
        <w:tc>
          <w:tcPr>
            <w:tcW w:w="1134" w:type="dxa"/>
            <w:tcBorders>
              <w:top w:val="nil"/>
              <w:left w:val="nil"/>
              <w:bottom w:val="single" w:sz="4" w:space="0" w:color="auto"/>
              <w:right w:val="single" w:sz="4" w:space="0" w:color="auto"/>
            </w:tcBorders>
            <w:noWrap/>
            <w:vAlign w:val="bottom"/>
          </w:tcPr>
          <w:p w14:paraId="14D889E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0.926</w:t>
            </w:r>
          </w:p>
        </w:tc>
        <w:tc>
          <w:tcPr>
            <w:tcW w:w="1491" w:type="dxa"/>
            <w:tcBorders>
              <w:top w:val="nil"/>
              <w:left w:val="nil"/>
              <w:bottom w:val="single" w:sz="4" w:space="0" w:color="auto"/>
              <w:right w:val="single" w:sz="4" w:space="0" w:color="auto"/>
            </w:tcBorders>
            <w:noWrap/>
            <w:vAlign w:val="bottom"/>
          </w:tcPr>
          <w:p w14:paraId="522EE11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1018" w:type="dxa"/>
            <w:tcBorders>
              <w:top w:val="nil"/>
              <w:left w:val="nil"/>
              <w:bottom w:val="single" w:sz="4" w:space="0" w:color="auto"/>
              <w:right w:val="single" w:sz="4" w:space="0" w:color="auto"/>
            </w:tcBorders>
            <w:noWrap/>
            <w:vAlign w:val="bottom"/>
          </w:tcPr>
          <w:p w14:paraId="6B7F2E5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9.26</w:t>
            </w:r>
          </w:p>
        </w:tc>
        <w:tc>
          <w:tcPr>
            <w:tcW w:w="1088" w:type="dxa"/>
            <w:tcBorders>
              <w:top w:val="nil"/>
              <w:left w:val="nil"/>
              <w:bottom w:val="single" w:sz="4" w:space="0" w:color="auto"/>
              <w:right w:val="single" w:sz="4" w:space="0" w:color="auto"/>
            </w:tcBorders>
            <w:noWrap/>
            <w:vAlign w:val="bottom"/>
          </w:tcPr>
          <w:p w14:paraId="09209AE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017" w:type="dxa"/>
            <w:tcBorders>
              <w:top w:val="nil"/>
              <w:left w:val="nil"/>
              <w:bottom w:val="single" w:sz="4" w:space="0" w:color="auto"/>
              <w:right w:val="single" w:sz="4" w:space="0" w:color="auto"/>
            </w:tcBorders>
            <w:noWrap/>
            <w:vAlign w:val="bottom"/>
          </w:tcPr>
          <w:p w14:paraId="42E3D38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10.19</w:t>
            </w:r>
          </w:p>
        </w:tc>
        <w:tc>
          <w:tcPr>
            <w:tcW w:w="1192" w:type="dxa"/>
            <w:tcBorders>
              <w:top w:val="nil"/>
              <w:left w:val="nil"/>
              <w:bottom w:val="single" w:sz="4" w:space="0" w:color="auto"/>
              <w:right w:val="single" w:sz="4" w:space="0" w:color="auto"/>
            </w:tcBorders>
            <w:noWrap/>
            <w:vAlign w:val="bottom"/>
          </w:tcPr>
          <w:p w14:paraId="3937D28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247" w:type="dxa"/>
            <w:tcBorders>
              <w:top w:val="nil"/>
              <w:left w:val="nil"/>
              <w:bottom w:val="single" w:sz="4" w:space="0" w:color="auto"/>
              <w:right w:val="single" w:sz="4" w:space="0" w:color="auto"/>
            </w:tcBorders>
            <w:noWrap/>
            <w:vAlign w:val="bottom"/>
          </w:tcPr>
          <w:p w14:paraId="2D94DDD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4.63</w:t>
            </w:r>
          </w:p>
        </w:tc>
      </w:tr>
      <w:tr w:rsidR="00044E7A" w14:paraId="35447C70" w14:textId="77777777">
        <w:trPr>
          <w:trHeight w:val="263"/>
        </w:trPr>
        <w:tc>
          <w:tcPr>
            <w:tcW w:w="1270" w:type="dxa"/>
            <w:tcBorders>
              <w:top w:val="nil"/>
              <w:left w:val="single" w:sz="4" w:space="0" w:color="auto"/>
              <w:bottom w:val="single" w:sz="4" w:space="0" w:color="auto"/>
              <w:right w:val="single" w:sz="4" w:space="0" w:color="auto"/>
            </w:tcBorders>
            <w:noWrap/>
            <w:vAlign w:val="bottom"/>
          </w:tcPr>
          <w:p w14:paraId="13EE991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w:t>
            </w:r>
          </w:p>
        </w:tc>
        <w:tc>
          <w:tcPr>
            <w:tcW w:w="1134" w:type="dxa"/>
            <w:tcBorders>
              <w:top w:val="nil"/>
              <w:left w:val="nil"/>
              <w:bottom w:val="single" w:sz="4" w:space="0" w:color="auto"/>
              <w:right w:val="single" w:sz="4" w:space="0" w:color="auto"/>
            </w:tcBorders>
            <w:noWrap/>
            <w:vAlign w:val="bottom"/>
          </w:tcPr>
          <w:p w14:paraId="43745D8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0.857</w:t>
            </w:r>
          </w:p>
        </w:tc>
        <w:tc>
          <w:tcPr>
            <w:tcW w:w="1491" w:type="dxa"/>
            <w:tcBorders>
              <w:top w:val="nil"/>
              <w:left w:val="nil"/>
              <w:bottom w:val="single" w:sz="4" w:space="0" w:color="auto"/>
              <w:right w:val="single" w:sz="4" w:space="0" w:color="auto"/>
            </w:tcBorders>
            <w:noWrap/>
            <w:vAlign w:val="bottom"/>
          </w:tcPr>
          <w:p w14:paraId="6233D64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12</w:t>
            </w:r>
          </w:p>
        </w:tc>
        <w:tc>
          <w:tcPr>
            <w:tcW w:w="1018" w:type="dxa"/>
            <w:tcBorders>
              <w:top w:val="nil"/>
              <w:left w:val="nil"/>
              <w:bottom w:val="single" w:sz="4" w:space="0" w:color="auto"/>
              <w:right w:val="single" w:sz="4" w:space="0" w:color="auto"/>
            </w:tcBorders>
            <w:noWrap/>
            <w:vAlign w:val="bottom"/>
          </w:tcPr>
          <w:p w14:paraId="79B07FB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10.29</w:t>
            </w:r>
          </w:p>
        </w:tc>
        <w:tc>
          <w:tcPr>
            <w:tcW w:w="1088" w:type="dxa"/>
            <w:tcBorders>
              <w:top w:val="nil"/>
              <w:left w:val="nil"/>
              <w:bottom w:val="single" w:sz="4" w:space="0" w:color="auto"/>
              <w:right w:val="single" w:sz="4" w:space="0" w:color="auto"/>
            </w:tcBorders>
            <w:noWrap/>
            <w:vAlign w:val="bottom"/>
          </w:tcPr>
          <w:p w14:paraId="032171F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017" w:type="dxa"/>
            <w:tcBorders>
              <w:top w:val="nil"/>
              <w:left w:val="nil"/>
              <w:bottom w:val="single" w:sz="4" w:space="0" w:color="auto"/>
              <w:right w:val="single" w:sz="4" w:space="0" w:color="auto"/>
            </w:tcBorders>
            <w:noWrap/>
            <w:vAlign w:val="bottom"/>
          </w:tcPr>
          <w:p w14:paraId="351DF7C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9.43</w:t>
            </w:r>
          </w:p>
        </w:tc>
        <w:tc>
          <w:tcPr>
            <w:tcW w:w="1192" w:type="dxa"/>
            <w:tcBorders>
              <w:top w:val="nil"/>
              <w:left w:val="nil"/>
              <w:bottom w:val="single" w:sz="4" w:space="0" w:color="auto"/>
              <w:right w:val="single" w:sz="4" w:space="0" w:color="auto"/>
            </w:tcBorders>
            <w:noWrap/>
            <w:vAlign w:val="bottom"/>
          </w:tcPr>
          <w:p w14:paraId="59B69DF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1247" w:type="dxa"/>
            <w:tcBorders>
              <w:top w:val="nil"/>
              <w:left w:val="nil"/>
              <w:bottom w:val="single" w:sz="4" w:space="0" w:color="auto"/>
              <w:right w:val="single" w:sz="4" w:space="0" w:color="auto"/>
            </w:tcBorders>
            <w:noWrap/>
            <w:vAlign w:val="bottom"/>
          </w:tcPr>
          <w:p w14:paraId="4DD6674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8.57</w:t>
            </w:r>
          </w:p>
        </w:tc>
      </w:tr>
      <w:tr w:rsidR="00044E7A" w14:paraId="682D94A7" w14:textId="77777777">
        <w:trPr>
          <w:trHeight w:val="263"/>
        </w:trPr>
        <w:tc>
          <w:tcPr>
            <w:tcW w:w="1270" w:type="dxa"/>
            <w:tcBorders>
              <w:top w:val="nil"/>
              <w:left w:val="single" w:sz="4" w:space="0" w:color="auto"/>
              <w:bottom w:val="single" w:sz="4" w:space="0" w:color="auto"/>
              <w:right w:val="single" w:sz="4" w:space="0" w:color="auto"/>
            </w:tcBorders>
            <w:noWrap/>
            <w:vAlign w:val="bottom"/>
          </w:tcPr>
          <w:p w14:paraId="1F669B4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w:t>
            </w:r>
          </w:p>
        </w:tc>
        <w:tc>
          <w:tcPr>
            <w:tcW w:w="1134" w:type="dxa"/>
            <w:tcBorders>
              <w:top w:val="nil"/>
              <w:left w:val="nil"/>
              <w:bottom w:val="single" w:sz="4" w:space="0" w:color="auto"/>
              <w:right w:val="single" w:sz="4" w:space="0" w:color="auto"/>
            </w:tcBorders>
            <w:noWrap/>
            <w:vAlign w:val="bottom"/>
          </w:tcPr>
          <w:p w14:paraId="3E5F83F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0.794</w:t>
            </w:r>
          </w:p>
        </w:tc>
        <w:tc>
          <w:tcPr>
            <w:tcW w:w="1491" w:type="dxa"/>
            <w:tcBorders>
              <w:top w:val="nil"/>
              <w:left w:val="nil"/>
              <w:bottom w:val="single" w:sz="4" w:space="0" w:color="auto"/>
              <w:right w:val="single" w:sz="4" w:space="0" w:color="auto"/>
            </w:tcBorders>
            <w:noWrap/>
            <w:vAlign w:val="bottom"/>
          </w:tcPr>
          <w:p w14:paraId="7155F1F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14</w:t>
            </w:r>
          </w:p>
        </w:tc>
        <w:tc>
          <w:tcPr>
            <w:tcW w:w="1018" w:type="dxa"/>
            <w:tcBorders>
              <w:top w:val="nil"/>
              <w:left w:val="nil"/>
              <w:bottom w:val="single" w:sz="4" w:space="0" w:color="auto"/>
              <w:right w:val="single" w:sz="4" w:space="0" w:color="auto"/>
            </w:tcBorders>
            <w:noWrap/>
            <w:vAlign w:val="bottom"/>
          </w:tcPr>
          <w:p w14:paraId="0930982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11.11</w:t>
            </w:r>
          </w:p>
        </w:tc>
        <w:tc>
          <w:tcPr>
            <w:tcW w:w="1088" w:type="dxa"/>
            <w:tcBorders>
              <w:top w:val="nil"/>
              <w:left w:val="nil"/>
              <w:bottom w:val="single" w:sz="4" w:space="0" w:color="auto"/>
              <w:right w:val="single" w:sz="4" w:space="0" w:color="auto"/>
            </w:tcBorders>
            <w:noWrap/>
            <w:vAlign w:val="bottom"/>
          </w:tcPr>
          <w:p w14:paraId="2848E62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017" w:type="dxa"/>
            <w:tcBorders>
              <w:top w:val="nil"/>
              <w:left w:val="nil"/>
              <w:bottom w:val="single" w:sz="4" w:space="0" w:color="auto"/>
              <w:right w:val="single" w:sz="4" w:space="0" w:color="auto"/>
            </w:tcBorders>
            <w:noWrap/>
            <w:vAlign w:val="bottom"/>
          </w:tcPr>
          <w:p w14:paraId="0FB260E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8.73</w:t>
            </w:r>
          </w:p>
        </w:tc>
        <w:tc>
          <w:tcPr>
            <w:tcW w:w="1192" w:type="dxa"/>
            <w:tcBorders>
              <w:top w:val="nil"/>
              <w:left w:val="nil"/>
              <w:bottom w:val="single" w:sz="4" w:space="0" w:color="auto"/>
              <w:right w:val="single" w:sz="4" w:space="0" w:color="auto"/>
            </w:tcBorders>
            <w:noWrap/>
            <w:vAlign w:val="bottom"/>
          </w:tcPr>
          <w:p w14:paraId="493C45A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w:t>
            </w:r>
          </w:p>
        </w:tc>
        <w:tc>
          <w:tcPr>
            <w:tcW w:w="1247" w:type="dxa"/>
            <w:tcBorders>
              <w:top w:val="nil"/>
              <w:left w:val="nil"/>
              <w:bottom w:val="single" w:sz="4" w:space="0" w:color="auto"/>
              <w:right w:val="single" w:sz="4" w:space="0" w:color="auto"/>
            </w:tcBorders>
            <w:noWrap/>
            <w:vAlign w:val="bottom"/>
          </w:tcPr>
          <w:p w14:paraId="2847DE7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15.88</w:t>
            </w:r>
          </w:p>
        </w:tc>
      </w:tr>
      <w:tr w:rsidR="00044E7A" w14:paraId="34D914C3" w14:textId="77777777">
        <w:trPr>
          <w:trHeight w:val="263"/>
        </w:trPr>
        <w:tc>
          <w:tcPr>
            <w:tcW w:w="1270" w:type="dxa"/>
            <w:tcBorders>
              <w:top w:val="nil"/>
              <w:left w:val="single" w:sz="4" w:space="0" w:color="auto"/>
              <w:bottom w:val="single" w:sz="4" w:space="0" w:color="auto"/>
              <w:right w:val="single" w:sz="4" w:space="0" w:color="auto"/>
            </w:tcBorders>
            <w:noWrap/>
            <w:vAlign w:val="bottom"/>
          </w:tcPr>
          <w:p w14:paraId="37ACB15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w:t>
            </w:r>
          </w:p>
        </w:tc>
        <w:tc>
          <w:tcPr>
            <w:tcW w:w="1134" w:type="dxa"/>
            <w:tcBorders>
              <w:top w:val="nil"/>
              <w:left w:val="nil"/>
              <w:bottom w:val="single" w:sz="4" w:space="0" w:color="auto"/>
              <w:right w:val="single" w:sz="4" w:space="0" w:color="auto"/>
            </w:tcBorders>
            <w:noWrap/>
            <w:vAlign w:val="bottom"/>
          </w:tcPr>
          <w:p w14:paraId="771B6AC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0.735</w:t>
            </w:r>
          </w:p>
        </w:tc>
        <w:tc>
          <w:tcPr>
            <w:tcW w:w="1491" w:type="dxa"/>
            <w:tcBorders>
              <w:top w:val="nil"/>
              <w:left w:val="nil"/>
              <w:bottom w:val="single" w:sz="4" w:space="0" w:color="auto"/>
              <w:right w:val="single" w:sz="4" w:space="0" w:color="auto"/>
            </w:tcBorders>
            <w:noWrap/>
            <w:vAlign w:val="bottom"/>
          </w:tcPr>
          <w:p w14:paraId="71DC6C3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1018" w:type="dxa"/>
            <w:tcBorders>
              <w:top w:val="nil"/>
              <w:left w:val="nil"/>
              <w:bottom w:val="single" w:sz="4" w:space="0" w:color="auto"/>
              <w:right w:val="single" w:sz="4" w:space="0" w:color="auto"/>
            </w:tcBorders>
            <w:noWrap/>
            <w:vAlign w:val="bottom"/>
          </w:tcPr>
          <w:p w14:paraId="303194D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7.35</w:t>
            </w:r>
          </w:p>
        </w:tc>
        <w:tc>
          <w:tcPr>
            <w:tcW w:w="1088" w:type="dxa"/>
            <w:tcBorders>
              <w:top w:val="nil"/>
              <w:left w:val="nil"/>
              <w:bottom w:val="single" w:sz="4" w:space="0" w:color="auto"/>
              <w:right w:val="single" w:sz="4" w:space="0" w:color="auto"/>
            </w:tcBorders>
            <w:noWrap/>
            <w:vAlign w:val="bottom"/>
          </w:tcPr>
          <w:p w14:paraId="7926C70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017" w:type="dxa"/>
            <w:tcBorders>
              <w:top w:val="nil"/>
              <w:left w:val="nil"/>
              <w:bottom w:val="single" w:sz="4" w:space="0" w:color="auto"/>
              <w:right w:val="single" w:sz="4" w:space="0" w:color="auto"/>
            </w:tcBorders>
            <w:noWrap/>
            <w:vAlign w:val="bottom"/>
          </w:tcPr>
          <w:p w14:paraId="5FAD4A3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8.09</w:t>
            </w:r>
          </w:p>
        </w:tc>
        <w:tc>
          <w:tcPr>
            <w:tcW w:w="1192" w:type="dxa"/>
            <w:tcBorders>
              <w:top w:val="nil"/>
              <w:left w:val="nil"/>
              <w:bottom w:val="single" w:sz="4" w:space="0" w:color="auto"/>
              <w:right w:val="single" w:sz="4" w:space="0" w:color="auto"/>
            </w:tcBorders>
            <w:noWrap/>
            <w:vAlign w:val="bottom"/>
          </w:tcPr>
          <w:p w14:paraId="16057D6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25</w:t>
            </w:r>
          </w:p>
        </w:tc>
        <w:tc>
          <w:tcPr>
            <w:tcW w:w="1247" w:type="dxa"/>
            <w:tcBorders>
              <w:top w:val="nil"/>
              <w:left w:val="nil"/>
              <w:bottom w:val="single" w:sz="4" w:space="0" w:color="auto"/>
              <w:right w:val="single" w:sz="4" w:space="0" w:color="auto"/>
            </w:tcBorders>
            <w:noWrap/>
            <w:vAlign w:val="bottom"/>
          </w:tcPr>
          <w:p w14:paraId="6BA85BD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18.38</w:t>
            </w:r>
          </w:p>
        </w:tc>
      </w:tr>
      <w:tr w:rsidR="00044E7A" w14:paraId="355213A0" w14:textId="77777777">
        <w:trPr>
          <w:trHeight w:val="263"/>
        </w:trPr>
        <w:tc>
          <w:tcPr>
            <w:tcW w:w="1270" w:type="dxa"/>
            <w:tcBorders>
              <w:top w:val="nil"/>
              <w:left w:val="single" w:sz="4" w:space="0" w:color="auto"/>
              <w:bottom w:val="single" w:sz="4" w:space="0" w:color="auto"/>
              <w:right w:val="single" w:sz="4" w:space="0" w:color="auto"/>
            </w:tcBorders>
            <w:noWrap/>
            <w:vAlign w:val="bottom"/>
          </w:tcPr>
          <w:p w14:paraId="06FE50D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134" w:type="dxa"/>
            <w:tcBorders>
              <w:top w:val="nil"/>
              <w:left w:val="nil"/>
              <w:bottom w:val="single" w:sz="4" w:space="0" w:color="auto"/>
              <w:right w:val="single" w:sz="4" w:space="0" w:color="auto"/>
            </w:tcBorders>
            <w:noWrap/>
            <w:vAlign w:val="bottom"/>
          </w:tcPr>
          <w:p w14:paraId="656FECF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0.681</w:t>
            </w:r>
          </w:p>
        </w:tc>
        <w:tc>
          <w:tcPr>
            <w:tcW w:w="1491" w:type="dxa"/>
            <w:tcBorders>
              <w:top w:val="nil"/>
              <w:left w:val="nil"/>
              <w:bottom w:val="single" w:sz="4" w:space="0" w:color="auto"/>
              <w:right w:val="single" w:sz="4" w:space="0" w:color="auto"/>
            </w:tcBorders>
            <w:noWrap/>
            <w:vAlign w:val="bottom"/>
          </w:tcPr>
          <w:p w14:paraId="11E2CE0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w:t>
            </w:r>
          </w:p>
        </w:tc>
        <w:tc>
          <w:tcPr>
            <w:tcW w:w="1018" w:type="dxa"/>
            <w:tcBorders>
              <w:top w:val="nil"/>
              <w:left w:val="nil"/>
              <w:bottom w:val="single" w:sz="4" w:space="0" w:color="auto"/>
              <w:right w:val="single" w:sz="4" w:space="0" w:color="auto"/>
            </w:tcBorders>
            <w:noWrap/>
            <w:vAlign w:val="bottom"/>
          </w:tcPr>
          <w:p w14:paraId="45066D2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5.44</w:t>
            </w:r>
          </w:p>
        </w:tc>
        <w:tc>
          <w:tcPr>
            <w:tcW w:w="1088" w:type="dxa"/>
            <w:tcBorders>
              <w:top w:val="nil"/>
              <w:left w:val="nil"/>
              <w:bottom w:val="single" w:sz="4" w:space="0" w:color="auto"/>
              <w:right w:val="single" w:sz="4" w:space="0" w:color="auto"/>
            </w:tcBorders>
            <w:noWrap/>
            <w:vAlign w:val="bottom"/>
          </w:tcPr>
          <w:p w14:paraId="229775F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017" w:type="dxa"/>
            <w:tcBorders>
              <w:top w:val="nil"/>
              <w:left w:val="nil"/>
              <w:bottom w:val="single" w:sz="4" w:space="0" w:color="auto"/>
              <w:right w:val="single" w:sz="4" w:space="0" w:color="auto"/>
            </w:tcBorders>
            <w:noWrap/>
            <w:vAlign w:val="bottom"/>
          </w:tcPr>
          <w:p w14:paraId="2795996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7.49</w:t>
            </w:r>
          </w:p>
        </w:tc>
        <w:tc>
          <w:tcPr>
            <w:tcW w:w="1192" w:type="dxa"/>
            <w:tcBorders>
              <w:top w:val="nil"/>
              <w:left w:val="nil"/>
              <w:bottom w:val="single" w:sz="4" w:space="0" w:color="auto"/>
              <w:right w:val="single" w:sz="4" w:space="0" w:color="auto"/>
            </w:tcBorders>
            <w:noWrap/>
            <w:vAlign w:val="bottom"/>
          </w:tcPr>
          <w:p w14:paraId="312A533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247" w:type="dxa"/>
            <w:tcBorders>
              <w:top w:val="nil"/>
              <w:left w:val="nil"/>
              <w:bottom w:val="single" w:sz="4" w:space="0" w:color="auto"/>
              <w:right w:val="single" w:sz="4" w:space="0" w:color="auto"/>
            </w:tcBorders>
            <w:noWrap/>
            <w:vAlign w:val="bottom"/>
          </w:tcPr>
          <w:p w14:paraId="3FC64BA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3.40</w:t>
            </w:r>
          </w:p>
        </w:tc>
      </w:tr>
      <w:tr w:rsidR="00044E7A" w14:paraId="2ACE2C0B" w14:textId="77777777">
        <w:trPr>
          <w:trHeight w:val="293"/>
        </w:trPr>
        <w:tc>
          <w:tcPr>
            <w:tcW w:w="3895" w:type="dxa"/>
            <w:gridSpan w:val="3"/>
            <w:tcBorders>
              <w:top w:val="nil"/>
              <w:left w:val="single" w:sz="4" w:space="0" w:color="auto"/>
              <w:bottom w:val="single" w:sz="4" w:space="0" w:color="auto"/>
              <w:right w:val="single" w:sz="4" w:space="0" w:color="auto"/>
            </w:tcBorders>
            <w:noWrap/>
            <w:vAlign w:val="center"/>
          </w:tcPr>
          <w:p w14:paraId="28C7AA8E"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Total cash inflows</w:t>
            </w:r>
          </w:p>
          <w:p w14:paraId="0EE6E3BA"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p w14:paraId="4ABB1DC0"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018" w:type="dxa"/>
            <w:tcBorders>
              <w:top w:val="nil"/>
              <w:left w:val="nil"/>
              <w:bottom w:val="single" w:sz="4" w:space="0" w:color="auto"/>
              <w:right w:val="single" w:sz="4" w:space="0" w:color="auto"/>
            </w:tcBorders>
            <w:noWrap/>
            <w:vAlign w:val="center"/>
          </w:tcPr>
          <w:p w14:paraId="07713E06"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43.46</w:t>
            </w:r>
          </w:p>
        </w:tc>
        <w:tc>
          <w:tcPr>
            <w:tcW w:w="1088" w:type="dxa"/>
            <w:tcBorders>
              <w:top w:val="nil"/>
              <w:left w:val="nil"/>
              <w:bottom w:val="single" w:sz="4" w:space="0" w:color="auto"/>
              <w:right w:val="single" w:sz="4" w:space="0" w:color="auto"/>
            </w:tcBorders>
            <w:noWrap/>
            <w:vAlign w:val="center"/>
          </w:tcPr>
          <w:p w14:paraId="1E65158B"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017" w:type="dxa"/>
            <w:tcBorders>
              <w:top w:val="nil"/>
              <w:left w:val="nil"/>
              <w:bottom w:val="single" w:sz="4" w:space="0" w:color="auto"/>
              <w:right w:val="single" w:sz="4" w:space="0" w:color="auto"/>
            </w:tcBorders>
            <w:noWrap/>
            <w:vAlign w:val="center"/>
          </w:tcPr>
          <w:p w14:paraId="26F8332A"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43.92</w:t>
            </w:r>
          </w:p>
        </w:tc>
        <w:tc>
          <w:tcPr>
            <w:tcW w:w="1192" w:type="dxa"/>
            <w:tcBorders>
              <w:top w:val="nil"/>
              <w:left w:val="nil"/>
              <w:bottom w:val="single" w:sz="4" w:space="0" w:color="auto"/>
              <w:right w:val="single" w:sz="4" w:space="0" w:color="auto"/>
            </w:tcBorders>
            <w:noWrap/>
            <w:vAlign w:val="center"/>
          </w:tcPr>
          <w:p w14:paraId="1ACF988B"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247" w:type="dxa"/>
            <w:tcBorders>
              <w:top w:val="nil"/>
              <w:left w:val="nil"/>
              <w:bottom w:val="single" w:sz="4" w:space="0" w:color="auto"/>
              <w:right w:val="single" w:sz="4" w:space="0" w:color="auto"/>
            </w:tcBorders>
            <w:noWrap/>
            <w:vAlign w:val="center"/>
          </w:tcPr>
          <w:p w14:paraId="291BCE82"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50.86</w:t>
            </w:r>
          </w:p>
        </w:tc>
      </w:tr>
      <w:tr w:rsidR="00044E7A" w14:paraId="3FFFD628" w14:textId="77777777">
        <w:trPr>
          <w:trHeight w:val="263"/>
        </w:trPr>
        <w:tc>
          <w:tcPr>
            <w:tcW w:w="3895" w:type="dxa"/>
            <w:gridSpan w:val="3"/>
            <w:tcBorders>
              <w:top w:val="nil"/>
              <w:left w:val="single" w:sz="4" w:space="0" w:color="auto"/>
              <w:bottom w:val="single" w:sz="4" w:space="0" w:color="auto"/>
              <w:right w:val="single" w:sz="4" w:space="0" w:color="auto"/>
            </w:tcBorders>
            <w:noWrap/>
            <w:vAlign w:val="center"/>
          </w:tcPr>
          <w:p w14:paraId="427C5B2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Less: Initial investment</w:t>
            </w:r>
          </w:p>
          <w:p w14:paraId="37C24ACD"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p w14:paraId="33BC6D92"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018" w:type="dxa"/>
            <w:tcBorders>
              <w:top w:val="nil"/>
              <w:left w:val="nil"/>
              <w:bottom w:val="single" w:sz="4" w:space="0" w:color="auto"/>
              <w:right w:val="single" w:sz="4" w:space="0" w:color="auto"/>
            </w:tcBorders>
            <w:noWrap/>
            <w:vAlign w:val="center"/>
          </w:tcPr>
          <w:p w14:paraId="5EC43E5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w:t>
            </w:r>
          </w:p>
        </w:tc>
        <w:tc>
          <w:tcPr>
            <w:tcW w:w="1088" w:type="dxa"/>
            <w:tcBorders>
              <w:top w:val="nil"/>
              <w:left w:val="nil"/>
              <w:bottom w:val="single" w:sz="4" w:space="0" w:color="auto"/>
              <w:right w:val="single" w:sz="4" w:space="0" w:color="auto"/>
            </w:tcBorders>
            <w:noWrap/>
            <w:vAlign w:val="center"/>
          </w:tcPr>
          <w:p w14:paraId="2999B587"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017" w:type="dxa"/>
            <w:tcBorders>
              <w:top w:val="nil"/>
              <w:left w:val="nil"/>
              <w:bottom w:val="single" w:sz="4" w:space="0" w:color="auto"/>
              <w:right w:val="single" w:sz="4" w:space="0" w:color="auto"/>
            </w:tcBorders>
            <w:noWrap/>
            <w:vAlign w:val="center"/>
          </w:tcPr>
          <w:p w14:paraId="08D5CEE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w:t>
            </w:r>
          </w:p>
        </w:tc>
        <w:tc>
          <w:tcPr>
            <w:tcW w:w="1192" w:type="dxa"/>
            <w:tcBorders>
              <w:top w:val="nil"/>
              <w:left w:val="nil"/>
              <w:bottom w:val="single" w:sz="4" w:space="0" w:color="auto"/>
              <w:right w:val="single" w:sz="4" w:space="0" w:color="auto"/>
            </w:tcBorders>
            <w:noWrap/>
            <w:vAlign w:val="center"/>
          </w:tcPr>
          <w:p w14:paraId="0D6FBCC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247" w:type="dxa"/>
            <w:tcBorders>
              <w:top w:val="nil"/>
              <w:left w:val="nil"/>
              <w:bottom w:val="single" w:sz="4" w:space="0" w:color="auto"/>
              <w:right w:val="single" w:sz="4" w:space="0" w:color="auto"/>
            </w:tcBorders>
            <w:noWrap/>
            <w:vAlign w:val="center"/>
          </w:tcPr>
          <w:p w14:paraId="12AADD7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w:t>
            </w:r>
          </w:p>
        </w:tc>
      </w:tr>
      <w:tr w:rsidR="00044E7A" w14:paraId="3CA236FD" w14:textId="77777777">
        <w:trPr>
          <w:trHeight w:val="263"/>
        </w:trPr>
        <w:tc>
          <w:tcPr>
            <w:tcW w:w="3895" w:type="dxa"/>
            <w:gridSpan w:val="3"/>
            <w:tcBorders>
              <w:top w:val="nil"/>
              <w:left w:val="single" w:sz="4" w:space="0" w:color="auto"/>
              <w:bottom w:val="single" w:sz="4" w:space="0" w:color="auto"/>
              <w:right w:val="single" w:sz="4" w:space="0" w:color="auto"/>
            </w:tcBorders>
            <w:noWrap/>
            <w:vAlign w:val="center"/>
          </w:tcPr>
          <w:p w14:paraId="54C79CE3"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Net present value</w:t>
            </w:r>
          </w:p>
          <w:p w14:paraId="08DAA0F0"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p w14:paraId="465CBCF4"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018" w:type="dxa"/>
            <w:tcBorders>
              <w:top w:val="nil"/>
              <w:left w:val="nil"/>
              <w:bottom w:val="single" w:sz="4" w:space="0" w:color="auto"/>
              <w:right w:val="single" w:sz="4" w:space="0" w:color="auto"/>
            </w:tcBorders>
            <w:noWrap/>
            <w:vAlign w:val="center"/>
          </w:tcPr>
          <w:p w14:paraId="6EC9A51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-6.54</w:t>
            </w:r>
          </w:p>
        </w:tc>
        <w:tc>
          <w:tcPr>
            <w:tcW w:w="1088" w:type="dxa"/>
            <w:tcBorders>
              <w:top w:val="nil"/>
              <w:left w:val="nil"/>
              <w:bottom w:val="single" w:sz="4" w:space="0" w:color="auto"/>
              <w:right w:val="single" w:sz="4" w:space="0" w:color="auto"/>
            </w:tcBorders>
            <w:noWrap/>
            <w:vAlign w:val="center"/>
          </w:tcPr>
          <w:p w14:paraId="48CF7C5C"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017" w:type="dxa"/>
            <w:tcBorders>
              <w:top w:val="nil"/>
              <w:left w:val="nil"/>
              <w:bottom w:val="single" w:sz="4" w:space="0" w:color="auto"/>
              <w:right w:val="single" w:sz="4" w:space="0" w:color="auto"/>
            </w:tcBorders>
            <w:noWrap/>
            <w:vAlign w:val="center"/>
          </w:tcPr>
          <w:p w14:paraId="5AE2ABF6"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-6.08</w:t>
            </w:r>
          </w:p>
        </w:tc>
        <w:tc>
          <w:tcPr>
            <w:tcW w:w="1192" w:type="dxa"/>
            <w:tcBorders>
              <w:top w:val="nil"/>
              <w:left w:val="nil"/>
              <w:bottom w:val="single" w:sz="4" w:space="0" w:color="auto"/>
              <w:right w:val="single" w:sz="4" w:space="0" w:color="auto"/>
            </w:tcBorders>
            <w:noWrap/>
            <w:vAlign w:val="center"/>
          </w:tcPr>
          <w:p w14:paraId="44EBF4B4"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247" w:type="dxa"/>
            <w:tcBorders>
              <w:top w:val="nil"/>
              <w:left w:val="nil"/>
              <w:bottom w:val="single" w:sz="4" w:space="0" w:color="auto"/>
              <w:right w:val="single" w:sz="4" w:space="0" w:color="auto"/>
            </w:tcBorders>
            <w:noWrap/>
            <w:vAlign w:val="center"/>
          </w:tcPr>
          <w:p w14:paraId="2B176C4B"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0.86</w:t>
            </w:r>
          </w:p>
        </w:tc>
      </w:tr>
    </w:tbl>
    <w:p w14:paraId="3624552A" w14:textId="77777777" w:rsidR="00044E7A" w:rsidRDefault="00044E7A">
      <w:pPr>
        <w:spacing w:line="360" w:lineRule="auto"/>
        <w:jc w:val="both"/>
        <w:rPr>
          <w:rFonts w:ascii="Arial" w:hAnsi="Arial" w:cs="Arial"/>
          <w:b/>
          <w:bCs/>
          <w:sz w:val="24"/>
          <w:szCs w:val="24"/>
          <w:u w:val="single"/>
        </w:rPr>
      </w:pPr>
    </w:p>
    <w:p w14:paraId="2AE3EA26"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d) Profitability index</w:t>
      </w:r>
    </w:p>
    <w:tbl>
      <w:tblPr>
        <w:tblW w:w="9452" w:type="dxa"/>
        <w:tblLook w:val="04A0" w:firstRow="1" w:lastRow="0" w:firstColumn="1" w:lastColumn="0" w:noHBand="0" w:noVBand="1"/>
      </w:tblPr>
      <w:tblGrid>
        <w:gridCol w:w="3821"/>
        <w:gridCol w:w="1866"/>
        <w:gridCol w:w="1899"/>
        <w:gridCol w:w="1866"/>
      </w:tblGrid>
      <w:tr w:rsidR="00044E7A" w14:paraId="07EE7A0D" w14:textId="77777777">
        <w:trPr>
          <w:trHeight w:val="249"/>
        </w:trPr>
        <w:tc>
          <w:tcPr>
            <w:tcW w:w="3821" w:type="dxa"/>
            <w:tcBorders>
              <w:top w:val="single" w:sz="4" w:space="0" w:color="auto"/>
              <w:left w:val="single" w:sz="4" w:space="0" w:color="auto"/>
              <w:bottom w:val="single" w:sz="4" w:space="0" w:color="auto"/>
              <w:right w:val="single" w:sz="4" w:space="0" w:color="auto"/>
            </w:tcBorders>
            <w:shd w:val="clear" w:color="000000" w:fill="AEAAAA"/>
            <w:noWrap/>
            <w:vAlign w:val="bottom"/>
          </w:tcPr>
          <w:p w14:paraId="049A8EF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w:t>
            </w:r>
          </w:p>
        </w:tc>
        <w:tc>
          <w:tcPr>
            <w:tcW w:w="1866" w:type="dxa"/>
            <w:tcBorders>
              <w:top w:val="single" w:sz="4" w:space="0" w:color="auto"/>
              <w:left w:val="nil"/>
              <w:bottom w:val="single" w:sz="4" w:space="0" w:color="auto"/>
              <w:right w:val="single" w:sz="4" w:space="0" w:color="auto"/>
            </w:tcBorders>
            <w:shd w:val="clear" w:color="000000" w:fill="AEAAAA"/>
            <w:noWrap/>
            <w:vAlign w:val="center"/>
          </w:tcPr>
          <w:p w14:paraId="386C824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Project A</w:t>
            </w:r>
          </w:p>
        </w:tc>
        <w:tc>
          <w:tcPr>
            <w:tcW w:w="1899" w:type="dxa"/>
            <w:tcBorders>
              <w:top w:val="single" w:sz="4" w:space="0" w:color="auto"/>
              <w:left w:val="nil"/>
              <w:bottom w:val="single" w:sz="4" w:space="0" w:color="auto"/>
              <w:right w:val="single" w:sz="4" w:space="0" w:color="auto"/>
            </w:tcBorders>
            <w:shd w:val="clear" w:color="000000" w:fill="AEAAAA"/>
            <w:noWrap/>
            <w:vAlign w:val="center"/>
          </w:tcPr>
          <w:p w14:paraId="35CF0675"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Project B</w:t>
            </w:r>
          </w:p>
        </w:tc>
        <w:tc>
          <w:tcPr>
            <w:tcW w:w="1866" w:type="dxa"/>
            <w:tcBorders>
              <w:top w:val="single" w:sz="4" w:space="0" w:color="auto"/>
              <w:left w:val="nil"/>
              <w:bottom w:val="single" w:sz="4" w:space="0" w:color="auto"/>
              <w:right w:val="single" w:sz="4" w:space="0" w:color="auto"/>
            </w:tcBorders>
            <w:shd w:val="clear" w:color="000000" w:fill="AEAAAA"/>
            <w:noWrap/>
            <w:vAlign w:val="center"/>
          </w:tcPr>
          <w:p w14:paraId="62378B7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Project C</w:t>
            </w:r>
          </w:p>
        </w:tc>
      </w:tr>
      <w:tr w:rsidR="00044E7A" w14:paraId="4600969E" w14:textId="77777777">
        <w:trPr>
          <w:trHeight w:val="249"/>
        </w:trPr>
        <w:tc>
          <w:tcPr>
            <w:tcW w:w="3821" w:type="dxa"/>
            <w:tcBorders>
              <w:top w:val="nil"/>
              <w:left w:val="single" w:sz="4" w:space="0" w:color="auto"/>
              <w:bottom w:val="single" w:sz="4" w:space="0" w:color="auto"/>
              <w:right w:val="single" w:sz="4" w:space="0" w:color="auto"/>
            </w:tcBorders>
            <w:noWrap/>
            <w:vAlign w:val="bottom"/>
          </w:tcPr>
          <w:p w14:paraId="62CCF71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Present value of cash inflows</w:t>
            </w:r>
          </w:p>
        </w:tc>
        <w:tc>
          <w:tcPr>
            <w:tcW w:w="1866" w:type="dxa"/>
            <w:tcBorders>
              <w:top w:val="nil"/>
              <w:left w:val="nil"/>
              <w:bottom w:val="single" w:sz="4" w:space="0" w:color="auto"/>
              <w:right w:val="single" w:sz="4" w:space="0" w:color="auto"/>
            </w:tcBorders>
            <w:noWrap/>
            <w:vAlign w:val="center"/>
          </w:tcPr>
          <w:p w14:paraId="6C2F702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43.46</w:t>
            </w:r>
          </w:p>
        </w:tc>
        <w:tc>
          <w:tcPr>
            <w:tcW w:w="1899" w:type="dxa"/>
            <w:tcBorders>
              <w:top w:val="nil"/>
              <w:left w:val="nil"/>
              <w:bottom w:val="single" w:sz="4" w:space="0" w:color="auto"/>
              <w:right w:val="single" w:sz="4" w:space="0" w:color="auto"/>
            </w:tcBorders>
            <w:noWrap/>
            <w:vAlign w:val="center"/>
          </w:tcPr>
          <w:p w14:paraId="72EDDF8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43.92</w:t>
            </w:r>
          </w:p>
        </w:tc>
        <w:tc>
          <w:tcPr>
            <w:tcW w:w="1866" w:type="dxa"/>
            <w:tcBorders>
              <w:top w:val="nil"/>
              <w:left w:val="nil"/>
              <w:bottom w:val="single" w:sz="4" w:space="0" w:color="auto"/>
              <w:right w:val="single" w:sz="4" w:space="0" w:color="auto"/>
            </w:tcBorders>
            <w:noWrap/>
            <w:vAlign w:val="center"/>
          </w:tcPr>
          <w:p w14:paraId="2AA639B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50.86</w:t>
            </w:r>
          </w:p>
        </w:tc>
      </w:tr>
      <w:tr w:rsidR="00044E7A" w14:paraId="6FB195A9" w14:textId="77777777">
        <w:trPr>
          <w:trHeight w:val="249"/>
        </w:trPr>
        <w:tc>
          <w:tcPr>
            <w:tcW w:w="3821" w:type="dxa"/>
            <w:tcBorders>
              <w:top w:val="nil"/>
              <w:left w:val="single" w:sz="4" w:space="0" w:color="auto"/>
              <w:bottom w:val="single" w:sz="4" w:space="0" w:color="auto"/>
              <w:right w:val="single" w:sz="4" w:space="0" w:color="auto"/>
            </w:tcBorders>
            <w:noWrap/>
            <w:vAlign w:val="bottom"/>
          </w:tcPr>
          <w:p w14:paraId="1F9EF84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Initial investment</w:t>
            </w:r>
          </w:p>
        </w:tc>
        <w:tc>
          <w:tcPr>
            <w:tcW w:w="1866" w:type="dxa"/>
            <w:tcBorders>
              <w:top w:val="nil"/>
              <w:left w:val="nil"/>
              <w:bottom w:val="single" w:sz="4" w:space="0" w:color="auto"/>
              <w:right w:val="single" w:sz="4" w:space="0" w:color="auto"/>
            </w:tcBorders>
            <w:noWrap/>
            <w:vAlign w:val="center"/>
          </w:tcPr>
          <w:p w14:paraId="30A77D3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w:t>
            </w:r>
          </w:p>
        </w:tc>
        <w:tc>
          <w:tcPr>
            <w:tcW w:w="1899" w:type="dxa"/>
            <w:tcBorders>
              <w:top w:val="nil"/>
              <w:left w:val="nil"/>
              <w:bottom w:val="single" w:sz="4" w:space="0" w:color="auto"/>
              <w:right w:val="single" w:sz="4" w:space="0" w:color="auto"/>
            </w:tcBorders>
            <w:noWrap/>
            <w:vAlign w:val="center"/>
          </w:tcPr>
          <w:p w14:paraId="247B23B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w:t>
            </w:r>
          </w:p>
        </w:tc>
        <w:tc>
          <w:tcPr>
            <w:tcW w:w="1866" w:type="dxa"/>
            <w:tcBorders>
              <w:top w:val="nil"/>
              <w:left w:val="nil"/>
              <w:bottom w:val="single" w:sz="4" w:space="0" w:color="auto"/>
              <w:right w:val="single" w:sz="4" w:space="0" w:color="auto"/>
            </w:tcBorders>
            <w:noWrap/>
            <w:vAlign w:val="center"/>
          </w:tcPr>
          <w:p w14:paraId="2314CAB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w:t>
            </w:r>
          </w:p>
        </w:tc>
      </w:tr>
      <w:tr w:rsidR="00044E7A" w14:paraId="0E023D6C" w14:textId="77777777">
        <w:trPr>
          <w:trHeight w:val="249"/>
        </w:trPr>
        <w:tc>
          <w:tcPr>
            <w:tcW w:w="3821" w:type="dxa"/>
            <w:tcBorders>
              <w:top w:val="nil"/>
              <w:left w:val="single" w:sz="4" w:space="0" w:color="auto"/>
              <w:bottom w:val="single" w:sz="4" w:space="0" w:color="auto"/>
              <w:right w:val="single" w:sz="4" w:space="0" w:color="auto"/>
            </w:tcBorders>
            <w:noWrap/>
            <w:vAlign w:val="bottom"/>
          </w:tcPr>
          <w:p w14:paraId="0AC763AB"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lastRenderedPageBreak/>
              <w:t>PI</w:t>
            </w:r>
          </w:p>
        </w:tc>
        <w:tc>
          <w:tcPr>
            <w:tcW w:w="1866" w:type="dxa"/>
            <w:tcBorders>
              <w:top w:val="nil"/>
              <w:left w:val="nil"/>
              <w:bottom w:val="single" w:sz="4" w:space="0" w:color="auto"/>
              <w:right w:val="single" w:sz="4" w:space="0" w:color="auto"/>
            </w:tcBorders>
            <w:noWrap/>
            <w:vAlign w:val="center"/>
          </w:tcPr>
          <w:p w14:paraId="1E47408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0.87</w:t>
            </w:r>
          </w:p>
        </w:tc>
        <w:tc>
          <w:tcPr>
            <w:tcW w:w="1899" w:type="dxa"/>
            <w:tcBorders>
              <w:top w:val="nil"/>
              <w:left w:val="nil"/>
              <w:bottom w:val="single" w:sz="4" w:space="0" w:color="auto"/>
              <w:right w:val="single" w:sz="4" w:space="0" w:color="auto"/>
            </w:tcBorders>
            <w:noWrap/>
            <w:vAlign w:val="center"/>
          </w:tcPr>
          <w:p w14:paraId="2E847296"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0.88</w:t>
            </w:r>
          </w:p>
        </w:tc>
        <w:tc>
          <w:tcPr>
            <w:tcW w:w="1866" w:type="dxa"/>
            <w:tcBorders>
              <w:top w:val="nil"/>
              <w:left w:val="nil"/>
              <w:bottom w:val="single" w:sz="4" w:space="0" w:color="auto"/>
              <w:right w:val="single" w:sz="4" w:space="0" w:color="auto"/>
            </w:tcBorders>
            <w:noWrap/>
            <w:vAlign w:val="center"/>
          </w:tcPr>
          <w:p w14:paraId="2A2CA6A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1.02</w:t>
            </w:r>
          </w:p>
        </w:tc>
      </w:tr>
    </w:tbl>
    <w:p w14:paraId="06FB092B" w14:textId="77777777" w:rsidR="00044E7A" w:rsidRDefault="00044E7A">
      <w:pPr>
        <w:spacing w:line="360" w:lineRule="auto"/>
        <w:jc w:val="both"/>
        <w:rPr>
          <w:rFonts w:ascii="Arial" w:hAnsi="Arial" w:cs="Arial"/>
          <w:b/>
          <w:bCs/>
          <w:sz w:val="24"/>
          <w:szCs w:val="24"/>
          <w:u w:val="single"/>
        </w:rPr>
      </w:pPr>
    </w:p>
    <w:p w14:paraId="679B5B2F"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e) IRR</w:t>
      </w:r>
    </w:p>
    <w:p w14:paraId="4E060C7D"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Project A</w:t>
      </w:r>
    </w:p>
    <w:tbl>
      <w:tblPr>
        <w:tblW w:w="9467" w:type="dxa"/>
        <w:tblLook w:val="04A0" w:firstRow="1" w:lastRow="0" w:firstColumn="1" w:lastColumn="0" w:noHBand="0" w:noVBand="1"/>
      </w:tblPr>
      <w:tblGrid>
        <w:gridCol w:w="2279"/>
        <w:gridCol w:w="1362"/>
        <w:gridCol w:w="1386"/>
        <w:gridCol w:w="1362"/>
        <w:gridCol w:w="1456"/>
        <w:gridCol w:w="1362"/>
        <w:gridCol w:w="260"/>
      </w:tblGrid>
      <w:tr w:rsidR="00044E7A" w14:paraId="31C7F475" w14:textId="77777777">
        <w:trPr>
          <w:gridAfter w:val="1"/>
          <w:wAfter w:w="260" w:type="dxa"/>
          <w:trHeight w:val="458"/>
        </w:trPr>
        <w:tc>
          <w:tcPr>
            <w:tcW w:w="2279"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5919FF42"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Year</w:t>
            </w:r>
          </w:p>
        </w:tc>
        <w:tc>
          <w:tcPr>
            <w:tcW w:w="1362"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55627DBD"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Cash inflows</w:t>
            </w:r>
          </w:p>
        </w:tc>
        <w:tc>
          <w:tcPr>
            <w:tcW w:w="1386"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3E7E91AE"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PVF @ 2%</w:t>
            </w:r>
          </w:p>
        </w:tc>
        <w:tc>
          <w:tcPr>
            <w:tcW w:w="1362"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18A787C5"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w:t>
            </w:r>
          </w:p>
        </w:tc>
        <w:tc>
          <w:tcPr>
            <w:tcW w:w="1456"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6E1055F3"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PVF @ 15%</w:t>
            </w:r>
          </w:p>
        </w:tc>
        <w:tc>
          <w:tcPr>
            <w:tcW w:w="1362"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03BE2CC3"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w:t>
            </w:r>
          </w:p>
        </w:tc>
      </w:tr>
      <w:tr w:rsidR="00044E7A" w14:paraId="66BAA29D" w14:textId="77777777">
        <w:trPr>
          <w:trHeight w:val="252"/>
        </w:trPr>
        <w:tc>
          <w:tcPr>
            <w:tcW w:w="2279" w:type="dxa"/>
            <w:vMerge/>
            <w:tcBorders>
              <w:top w:val="single" w:sz="4" w:space="0" w:color="auto"/>
              <w:left w:val="single" w:sz="4" w:space="0" w:color="auto"/>
              <w:bottom w:val="single" w:sz="4" w:space="0" w:color="auto"/>
              <w:right w:val="single" w:sz="4" w:space="0" w:color="auto"/>
            </w:tcBorders>
            <w:vAlign w:val="center"/>
          </w:tcPr>
          <w:p w14:paraId="5EF9E825"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62" w:type="dxa"/>
            <w:vMerge/>
            <w:tcBorders>
              <w:top w:val="single" w:sz="4" w:space="0" w:color="auto"/>
              <w:left w:val="single" w:sz="4" w:space="0" w:color="auto"/>
              <w:bottom w:val="single" w:sz="4" w:space="0" w:color="auto"/>
              <w:right w:val="single" w:sz="4" w:space="0" w:color="auto"/>
            </w:tcBorders>
            <w:vAlign w:val="center"/>
          </w:tcPr>
          <w:p w14:paraId="344BC3C3"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86" w:type="dxa"/>
            <w:vMerge/>
            <w:tcBorders>
              <w:top w:val="single" w:sz="4" w:space="0" w:color="auto"/>
              <w:left w:val="single" w:sz="4" w:space="0" w:color="auto"/>
              <w:bottom w:val="single" w:sz="4" w:space="0" w:color="auto"/>
              <w:right w:val="single" w:sz="4" w:space="0" w:color="auto"/>
            </w:tcBorders>
            <w:vAlign w:val="center"/>
          </w:tcPr>
          <w:p w14:paraId="59A1CE07"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62" w:type="dxa"/>
            <w:vMerge/>
            <w:tcBorders>
              <w:top w:val="single" w:sz="4" w:space="0" w:color="auto"/>
              <w:left w:val="single" w:sz="4" w:space="0" w:color="auto"/>
              <w:bottom w:val="single" w:sz="4" w:space="0" w:color="auto"/>
              <w:right w:val="single" w:sz="4" w:space="0" w:color="auto"/>
            </w:tcBorders>
            <w:vAlign w:val="center"/>
          </w:tcPr>
          <w:p w14:paraId="2F69D99B"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456" w:type="dxa"/>
            <w:vMerge/>
            <w:tcBorders>
              <w:top w:val="single" w:sz="4" w:space="0" w:color="auto"/>
              <w:left w:val="single" w:sz="4" w:space="0" w:color="auto"/>
              <w:bottom w:val="single" w:sz="4" w:space="0" w:color="auto"/>
              <w:right w:val="single" w:sz="4" w:space="0" w:color="auto"/>
            </w:tcBorders>
            <w:vAlign w:val="center"/>
          </w:tcPr>
          <w:p w14:paraId="0ACDDAD7"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62" w:type="dxa"/>
            <w:vMerge/>
            <w:tcBorders>
              <w:top w:val="single" w:sz="4" w:space="0" w:color="auto"/>
              <w:left w:val="single" w:sz="4" w:space="0" w:color="auto"/>
              <w:bottom w:val="single" w:sz="4" w:space="0" w:color="auto"/>
              <w:right w:val="single" w:sz="4" w:space="0" w:color="auto"/>
            </w:tcBorders>
            <w:vAlign w:val="center"/>
          </w:tcPr>
          <w:p w14:paraId="1651212E"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260" w:type="dxa"/>
            <w:tcBorders>
              <w:top w:val="nil"/>
              <w:left w:val="nil"/>
              <w:bottom w:val="nil"/>
              <w:right w:val="nil"/>
            </w:tcBorders>
            <w:noWrap/>
            <w:vAlign w:val="bottom"/>
          </w:tcPr>
          <w:p w14:paraId="4172A898"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r>
      <w:tr w:rsidR="00044E7A" w14:paraId="70186C1D" w14:textId="77777777">
        <w:trPr>
          <w:trHeight w:val="252"/>
        </w:trPr>
        <w:tc>
          <w:tcPr>
            <w:tcW w:w="2279" w:type="dxa"/>
            <w:tcBorders>
              <w:top w:val="nil"/>
              <w:left w:val="single" w:sz="4" w:space="0" w:color="auto"/>
              <w:bottom w:val="single" w:sz="4" w:space="0" w:color="auto"/>
              <w:right w:val="single" w:sz="4" w:space="0" w:color="auto"/>
            </w:tcBorders>
            <w:noWrap/>
            <w:vAlign w:val="center"/>
          </w:tcPr>
          <w:p w14:paraId="20FD413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w:t>
            </w:r>
          </w:p>
        </w:tc>
        <w:tc>
          <w:tcPr>
            <w:tcW w:w="1362" w:type="dxa"/>
            <w:tcBorders>
              <w:top w:val="nil"/>
              <w:left w:val="nil"/>
              <w:bottom w:val="single" w:sz="4" w:space="0" w:color="auto"/>
              <w:right w:val="single" w:sz="4" w:space="0" w:color="auto"/>
            </w:tcBorders>
            <w:noWrap/>
            <w:vAlign w:val="center"/>
          </w:tcPr>
          <w:p w14:paraId="2EBCCA0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1386" w:type="dxa"/>
            <w:tcBorders>
              <w:top w:val="nil"/>
              <w:left w:val="nil"/>
              <w:bottom w:val="single" w:sz="4" w:space="0" w:color="auto"/>
              <w:right w:val="single" w:sz="4" w:space="0" w:color="auto"/>
            </w:tcBorders>
            <w:noWrap/>
            <w:vAlign w:val="center"/>
          </w:tcPr>
          <w:p w14:paraId="1BA04F7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0.980</w:t>
            </w:r>
          </w:p>
        </w:tc>
        <w:tc>
          <w:tcPr>
            <w:tcW w:w="1362" w:type="dxa"/>
            <w:tcBorders>
              <w:top w:val="nil"/>
              <w:left w:val="nil"/>
              <w:bottom w:val="single" w:sz="4" w:space="0" w:color="auto"/>
              <w:right w:val="single" w:sz="4" w:space="0" w:color="auto"/>
            </w:tcBorders>
            <w:noWrap/>
            <w:vAlign w:val="center"/>
          </w:tcPr>
          <w:p w14:paraId="7015033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9.80</w:t>
            </w:r>
          </w:p>
        </w:tc>
        <w:tc>
          <w:tcPr>
            <w:tcW w:w="1456" w:type="dxa"/>
            <w:tcBorders>
              <w:top w:val="nil"/>
              <w:left w:val="nil"/>
              <w:bottom w:val="single" w:sz="4" w:space="0" w:color="auto"/>
              <w:right w:val="single" w:sz="4" w:space="0" w:color="auto"/>
            </w:tcBorders>
            <w:noWrap/>
            <w:vAlign w:val="center"/>
          </w:tcPr>
          <w:p w14:paraId="712901E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0.870</w:t>
            </w:r>
          </w:p>
        </w:tc>
        <w:tc>
          <w:tcPr>
            <w:tcW w:w="1362" w:type="dxa"/>
            <w:tcBorders>
              <w:top w:val="nil"/>
              <w:left w:val="nil"/>
              <w:bottom w:val="single" w:sz="4" w:space="0" w:color="auto"/>
              <w:right w:val="single" w:sz="4" w:space="0" w:color="auto"/>
            </w:tcBorders>
            <w:noWrap/>
            <w:vAlign w:val="center"/>
          </w:tcPr>
          <w:p w14:paraId="4D3C2D6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8.70</w:t>
            </w:r>
          </w:p>
        </w:tc>
        <w:tc>
          <w:tcPr>
            <w:tcW w:w="260" w:type="dxa"/>
            <w:vAlign w:val="center"/>
          </w:tcPr>
          <w:p w14:paraId="18A79554"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1B3021F5" w14:textId="77777777">
        <w:trPr>
          <w:trHeight w:val="252"/>
        </w:trPr>
        <w:tc>
          <w:tcPr>
            <w:tcW w:w="2279" w:type="dxa"/>
            <w:tcBorders>
              <w:top w:val="nil"/>
              <w:left w:val="single" w:sz="4" w:space="0" w:color="auto"/>
              <w:bottom w:val="single" w:sz="4" w:space="0" w:color="auto"/>
              <w:right w:val="single" w:sz="4" w:space="0" w:color="auto"/>
            </w:tcBorders>
            <w:noWrap/>
            <w:vAlign w:val="center"/>
          </w:tcPr>
          <w:p w14:paraId="73F8820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w:t>
            </w:r>
          </w:p>
        </w:tc>
        <w:tc>
          <w:tcPr>
            <w:tcW w:w="1362" w:type="dxa"/>
            <w:tcBorders>
              <w:top w:val="nil"/>
              <w:left w:val="nil"/>
              <w:bottom w:val="single" w:sz="4" w:space="0" w:color="auto"/>
              <w:right w:val="single" w:sz="4" w:space="0" w:color="auto"/>
            </w:tcBorders>
            <w:noWrap/>
            <w:vAlign w:val="center"/>
          </w:tcPr>
          <w:p w14:paraId="1FA048B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12</w:t>
            </w:r>
          </w:p>
        </w:tc>
        <w:tc>
          <w:tcPr>
            <w:tcW w:w="1386" w:type="dxa"/>
            <w:tcBorders>
              <w:top w:val="nil"/>
              <w:left w:val="nil"/>
              <w:bottom w:val="single" w:sz="4" w:space="0" w:color="auto"/>
              <w:right w:val="single" w:sz="4" w:space="0" w:color="auto"/>
            </w:tcBorders>
            <w:noWrap/>
            <w:vAlign w:val="center"/>
          </w:tcPr>
          <w:p w14:paraId="6313558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0.961</w:t>
            </w:r>
          </w:p>
        </w:tc>
        <w:tc>
          <w:tcPr>
            <w:tcW w:w="1362" w:type="dxa"/>
            <w:tcBorders>
              <w:top w:val="nil"/>
              <w:left w:val="nil"/>
              <w:bottom w:val="single" w:sz="4" w:space="0" w:color="auto"/>
              <w:right w:val="single" w:sz="4" w:space="0" w:color="auto"/>
            </w:tcBorders>
            <w:noWrap/>
            <w:vAlign w:val="center"/>
          </w:tcPr>
          <w:p w14:paraId="77C5C25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11.53</w:t>
            </w:r>
          </w:p>
        </w:tc>
        <w:tc>
          <w:tcPr>
            <w:tcW w:w="1456" w:type="dxa"/>
            <w:tcBorders>
              <w:top w:val="nil"/>
              <w:left w:val="nil"/>
              <w:bottom w:val="single" w:sz="4" w:space="0" w:color="auto"/>
              <w:right w:val="single" w:sz="4" w:space="0" w:color="auto"/>
            </w:tcBorders>
            <w:noWrap/>
            <w:vAlign w:val="center"/>
          </w:tcPr>
          <w:p w14:paraId="78BE2FD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0.756</w:t>
            </w:r>
          </w:p>
        </w:tc>
        <w:tc>
          <w:tcPr>
            <w:tcW w:w="1362" w:type="dxa"/>
            <w:tcBorders>
              <w:top w:val="nil"/>
              <w:left w:val="nil"/>
              <w:bottom w:val="single" w:sz="4" w:space="0" w:color="auto"/>
              <w:right w:val="single" w:sz="4" w:space="0" w:color="auto"/>
            </w:tcBorders>
            <w:noWrap/>
            <w:vAlign w:val="center"/>
          </w:tcPr>
          <w:p w14:paraId="333E450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9.07</w:t>
            </w:r>
          </w:p>
        </w:tc>
        <w:tc>
          <w:tcPr>
            <w:tcW w:w="260" w:type="dxa"/>
            <w:vAlign w:val="center"/>
          </w:tcPr>
          <w:p w14:paraId="76EA724E"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0FBBDCCA" w14:textId="77777777">
        <w:trPr>
          <w:trHeight w:val="252"/>
        </w:trPr>
        <w:tc>
          <w:tcPr>
            <w:tcW w:w="2279" w:type="dxa"/>
            <w:tcBorders>
              <w:top w:val="nil"/>
              <w:left w:val="single" w:sz="4" w:space="0" w:color="auto"/>
              <w:bottom w:val="single" w:sz="4" w:space="0" w:color="auto"/>
              <w:right w:val="single" w:sz="4" w:space="0" w:color="auto"/>
            </w:tcBorders>
            <w:noWrap/>
            <w:vAlign w:val="center"/>
          </w:tcPr>
          <w:p w14:paraId="2093852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w:t>
            </w:r>
          </w:p>
        </w:tc>
        <w:tc>
          <w:tcPr>
            <w:tcW w:w="1362" w:type="dxa"/>
            <w:tcBorders>
              <w:top w:val="nil"/>
              <w:left w:val="nil"/>
              <w:bottom w:val="single" w:sz="4" w:space="0" w:color="auto"/>
              <w:right w:val="single" w:sz="4" w:space="0" w:color="auto"/>
            </w:tcBorders>
            <w:noWrap/>
            <w:vAlign w:val="center"/>
          </w:tcPr>
          <w:p w14:paraId="5667F82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14</w:t>
            </w:r>
          </w:p>
        </w:tc>
        <w:tc>
          <w:tcPr>
            <w:tcW w:w="1386" w:type="dxa"/>
            <w:tcBorders>
              <w:top w:val="nil"/>
              <w:left w:val="nil"/>
              <w:bottom w:val="single" w:sz="4" w:space="0" w:color="auto"/>
              <w:right w:val="single" w:sz="4" w:space="0" w:color="auto"/>
            </w:tcBorders>
            <w:noWrap/>
            <w:vAlign w:val="center"/>
          </w:tcPr>
          <w:p w14:paraId="6DA7682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0.942</w:t>
            </w:r>
          </w:p>
        </w:tc>
        <w:tc>
          <w:tcPr>
            <w:tcW w:w="1362" w:type="dxa"/>
            <w:tcBorders>
              <w:top w:val="nil"/>
              <w:left w:val="nil"/>
              <w:bottom w:val="single" w:sz="4" w:space="0" w:color="auto"/>
              <w:right w:val="single" w:sz="4" w:space="0" w:color="auto"/>
            </w:tcBorders>
            <w:noWrap/>
            <w:vAlign w:val="center"/>
          </w:tcPr>
          <w:p w14:paraId="4A53694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13.19</w:t>
            </w:r>
          </w:p>
        </w:tc>
        <w:tc>
          <w:tcPr>
            <w:tcW w:w="1456" w:type="dxa"/>
            <w:tcBorders>
              <w:top w:val="nil"/>
              <w:left w:val="nil"/>
              <w:bottom w:val="single" w:sz="4" w:space="0" w:color="auto"/>
              <w:right w:val="single" w:sz="4" w:space="0" w:color="auto"/>
            </w:tcBorders>
            <w:noWrap/>
            <w:vAlign w:val="center"/>
          </w:tcPr>
          <w:p w14:paraId="7CFB6D3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0.658</w:t>
            </w:r>
          </w:p>
        </w:tc>
        <w:tc>
          <w:tcPr>
            <w:tcW w:w="1362" w:type="dxa"/>
            <w:tcBorders>
              <w:top w:val="nil"/>
              <w:left w:val="nil"/>
              <w:bottom w:val="single" w:sz="4" w:space="0" w:color="auto"/>
              <w:right w:val="single" w:sz="4" w:space="0" w:color="auto"/>
            </w:tcBorders>
            <w:noWrap/>
            <w:vAlign w:val="center"/>
          </w:tcPr>
          <w:p w14:paraId="549A94D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9.21</w:t>
            </w:r>
          </w:p>
        </w:tc>
        <w:tc>
          <w:tcPr>
            <w:tcW w:w="260" w:type="dxa"/>
            <w:vAlign w:val="center"/>
          </w:tcPr>
          <w:p w14:paraId="494C5092"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4C46BD9C" w14:textId="77777777">
        <w:trPr>
          <w:trHeight w:val="252"/>
        </w:trPr>
        <w:tc>
          <w:tcPr>
            <w:tcW w:w="2279" w:type="dxa"/>
            <w:tcBorders>
              <w:top w:val="nil"/>
              <w:left w:val="single" w:sz="4" w:space="0" w:color="auto"/>
              <w:bottom w:val="single" w:sz="4" w:space="0" w:color="auto"/>
              <w:right w:val="single" w:sz="4" w:space="0" w:color="auto"/>
            </w:tcBorders>
            <w:noWrap/>
            <w:vAlign w:val="center"/>
          </w:tcPr>
          <w:p w14:paraId="3511EC8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w:t>
            </w:r>
          </w:p>
        </w:tc>
        <w:tc>
          <w:tcPr>
            <w:tcW w:w="1362" w:type="dxa"/>
            <w:tcBorders>
              <w:top w:val="nil"/>
              <w:left w:val="nil"/>
              <w:bottom w:val="single" w:sz="4" w:space="0" w:color="auto"/>
              <w:right w:val="single" w:sz="4" w:space="0" w:color="auto"/>
            </w:tcBorders>
            <w:noWrap/>
            <w:vAlign w:val="center"/>
          </w:tcPr>
          <w:p w14:paraId="0BAAD06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1386" w:type="dxa"/>
            <w:tcBorders>
              <w:top w:val="nil"/>
              <w:left w:val="nil"/>
              <w:bottom w:val="single" w:sz="4" w:space="0" w:color="auto"/>
              <w:right w:val="single" w:sz="4" w:space="0" w:color="auto"/>
            </w:tcBorders>
            <w:noWrap/>
            <w:vAlign w:val="center"/>
          </w:tcPr>
          <w:p w14:paraId="3309DA7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0.924</w:t>
            </w:r>
          </w:p>
        </w:tc>
        <w:tc>
          <w:tcPr>
            <w:tcW w:w="1362" w:type="dxa"/>
            <w:tcBorders>
              <w:top w:val="nil"/>
              <w:left w:val="nil"/>
              <w:bottom w:val="single" w:sz="4" w:space="0" w:color="auto"/>
              <w:right w:val="single" w:sz="4" w:space="0" w:color="auto"/>
            </w:tcBorders>
            <w:noWrap/>
            <w:vAlign w:val="center"/>
          </w:tcPr>
          <w:p w14:paraId="1C0E889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9.24</w:t>
            </w:r>
          </w:p>
        </w:tc>
        <w:tc>
          <w:tcPr>
            <w:tcW w:w="1456" w:type="dxa"/>
            <w:tcBorders>
              <w:top w:val="nil"/>
              <w:left w:val="nil"/>
              <w:bottom w:val="single" w:sz="4" w:space="0" w:color="auto"/>
              <w:right w:val="single" w:sz="4" w:space="0" w:color="auto"/>
            </w:tcBorders>
            <w:noWrap/>
            <w:vAlign w:val="center"/>
          </w:tcPr>
          <w:p w14:paraId="749A79F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0.572</w:t>
            </w:r>
          </w:p>
        </w:tc>
        <w:tc>
          <w:tcPr>
            <w:tcW w:w="1362" w:type="dxa"/>
            <w:tcBorders>
              <w:top w:val="nil"/>
              <w:left w:val="nil"/>
              <w:bottom w:val="single" w:sz="4" w:space="0" w:color="auto"/>
              <w:right w:val="single" w:sz="4" w:space="0" w:color="auto"/>
            </w:tcBorders>
            <w:noWrap/>
            <w:vAlign w:val="center"/>
          </w:tcPr>
          <w:p w14:paraId="65450D2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5.72</w:t>
            </w:r>
          </w:p>
        </w:tc>
        <w:tc>
          <w:tcPr>
            <w:tcW w:w="260" w:type="dxa"/>
            <w:vAlign w:val="center"/>
          </w:tcPr>
          <w:p w14:paraId="2515B17D"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1AF2F2E8" w14:textId="77777777">
        <w:trPr>
          <w:trHeight w:val="252"/>
        </w:trPr>
        <w:tc>
          <w:tcPr>
            <w:tcW w:w="2279" w:type="dxa"/>
            <w:tcBorders>
              <w:top w:val="nil"/>
              <w:left w:val="single" w:sz="4" w:space="0" w:color="auto"/>
              <w:bottom w:val="single" w:sz="4" w:space="0" w:color="auto"/>
              <w:right w:val="single" w:sz="4" w:space="0" w:color="auto"/>
            </w:tcBorders>
            <w:noWrap/>
            <w:vAlign w:val="center"/>
          </w:tcPr>
          <w:p w14:paraId="50E4E22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362" w:type="dxa"/>
            <w:tcBorders>
              <w:top w:val="nil"/>
              <w:left w:val="nil"/>
              <w:bottom w:val="single" w:sz="4" w:space="0" w:color="auto"/>
              <w:right w:val="single" w:sz="4" w:space="0" w:color="auto"/>
            </w:tcBorders>
            <w:noWrap/>
            <w:vAlign w:val="center"/>
          </w:tcPr>
          <w:p w14:paraId="77C52C9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w:t>
            </w:r>
          </w:p>
        </w:tc>
        <w:tc>
          <w:tcPr>
            <w:tcW w:w="1386" w:type="dxa"/>
            <w:tcBorders>
              <w:top w:val="nil"/>
              <w:left w:val="nil"/>
              <w:bottom w:val="single" w:sz="4" w:space="0" w:color="auto"/>
              <w:right w:val="single" w:sz="4" w:space="0" w:color="auto"/>
            </w:tcBorders>
            <w:noWrap/>
            <w:vAlign w:val="center"/>
          </w:tcPr>
          <w:p w14:paraId="624C73B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0.906</w:t>
            </w:r>
          </w:p>
        </w:tc>
        <w:tc>
          <w:tcPr>
            <w:tcW w:w="1362" w:type="dxa"/>
            <w:tcBorders>
              <w:top w:val="nil"/>
              <w:left w:val="nil"/>
              <w:bottom w:val="single" w:sz="4" w:space="0" w:color="auto"/>
              <w:right w:val="single" w:sz="4" w:space="0" w:color="auto"/>
            </w:tcBorders>
            <w:noWrap/>
            <w:vAlign w:val="center"/>
          </w:tcPr>
          <w:p w14:paraId="29FF619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7.25</w:t>
            </w:r>
          </w:p>
        </w:tc>
        <w:tc>
          <w:tcPr>
            <w:tcW w:w="1456" w:type="dxa"/>
            <w:tcBorders>
              <w:top w:val="nil"/>
              <w:left w:val="nil"/>
              <w:bottom w:val="single" w:sz="4" w:space="0" w:color="auto"/>
              <w:right w:val="single" w:sz="4" w:space="0" w:color="auto"/>
            </w:tcBorders>
            <w:noWrap/>
            <w:vAlign w:val="center"/>
          </w:tcPr>
          <w:p w14:paraId="454F7CE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0.497</w:t>
            </w:r>
          </w:p>
        </w:tc>
        <w:tc>
          <w:tcPr>
            <w:tcW w:w="1362" w:type="dxa"/>
            <w:tcBorders>
              <w:top w:val="nil"/>
              <w:left w:val="nil"/>
              <w:bottom w:val="single" w:sz="4" w:space="0" w:color="auto"/>
              <w:right w:val="single" w:sz="4" w:space="0" w:color="auto"/>
            </w:tcBorders>
            <w:noWrap/>
            <w:vAlign w:val="center"/>
          </w:tcPr>
          <w:p w14:paraId="15767ED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3.98</w:t>
            </w:r>
          </w:p>
        </w:tc>
        <w:tc>
          <w:tcPr>
            <w:tcW w:w="260" w:type="dxa"/>
            <w:vAlign w:val="center"/>
          </w:tcPr>
          <w:p w14:paraId="7DED7D75"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19725808" w14:textId="77777777">
        <w:trPr>
          <w:trHeight w:val="252"/>
        </w:trPr>
        <w:tc>
          <w:tcPr>
            <w:tcW w:w="2279" w:type="dxa"/>
            <w:tcBorders>
              <w:top w:val="nil"/>
              <w:left w:val="single" w:sz="4" w:space="0" w:color="auto"/>
              <w:bottom w:val="single" w:sz="4" w:space="0" w:color="auto"/>
              <w:right w:val="single" w:sz="4" w:space="0" w:color="auto"/>
            </w:tcBorders>
            <w:noWrap/>
            <w:vAlign w:val="center"/>
          </w:tcPr>
          <w:p w14:paraId="755D7C6E"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Total cash inflows</w:t>
            </w:r>
          </w:p>
        </w:tc>
        <w:tc>
          <w:tcPr>
            <w:tcW w:w="1362" w:type="dxa"/>
            <w:tcBorders>
              <w:top w:val="nil"/>
              <w:left w:val="nil"/>
              <w:bottom w:val="single" w:sz="4" w:space="0" w:color="auto"/>
              <w:right w:val="single" w:sz="4" w:space="0" w:color="auto"/>
            </w:tcBorders>
            <w:noWrap/>
            <w:vAlign w:val="center"/>
          </w:tcPr>
          <w:p w14:paraId="1E7B731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54</w:t>
            </w:r>
          </w:p>
        </w:tc>
        <w:tc>
          <w:tcPr>
            <w:tcW w:w="1386" w:type="dxa"/>
            <w:tcBorders>
              <w:top w:val="nil"/>
              <w:left w:val="nil"/>
              <w:bottom w:val="single" w:sz="4" w:space="0" w:color="auto"/>
              <w:right w:val="single" w:sz="4" w:space="0" w:color="auto"/>
            </w:tcBorders>
            <w:noWrap/>
            <w:vAlign w:val="center"/>
          </w:tcPr>
          <w:p w14:paraId="00FBC96D"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362" w:type="dxa"/>
            <w:tcBorders>
              <w:top w:val="nil"/>
              <w:left w:val="nil"/>
              <w:bottom w:val="single" w:sz="4" w:space="0" w:color="auto"/>
              <w:right w:val="single" w:sz="4" w:space="0" w:color="auto"/>
            </w:tcBorders>
            <w:noWrap/>
            <w:vAlign w:val="center"/>
          </w:tcPr>
          <w:p w14:paraId="566AFC50"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51.01</w:t>
            </w:r>
          </w:p>
        </w:tc>
        <w:tc>
          <w:tcPr>
            <w:tcW w:w="1456" w:type="dxa"/>
            <w:tcBorders>
              <w:top w:val="nil"/>
              <w:left w:val="nil"/>
              <w:bottom w:val="single" w:sz="4" w:space="0" w:color="auto"/>
              <w:right w:val="single" w:sz="4" w:space="0" w:color="auto"/>
            </w:tcBorders>
            <w:noWrap/>
            <w:vAlign w:val="center"/>
          </w:tcPr>
          <w:p w14:paraId="615E7F39"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362" w:type="dxa"/>
            <w:tcBorders>
              <w:top w:val="nil"/>
              <w:left w:val="nil"/>
              <w:bottom w:val="single" w:sz="4" w:space="0" w:color="auto"/>
              <w:right w:val="single" w:sz="4" w:space="0" w:color="auto"/>
            </w:tcBorders>
            <w:noWrap/>
            <w:vAlign w:val="center"/>
          </w:tcPr>
          <w:p w14:paraId="0143A42C"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36.67</w:t>
            </w:r>
          </w:p>
        </w:tc>
        <w:tc>
          <w:tcPr>
            <w:tcW w:w="260" w:type="dxa"/>
            <w:vAlign w:val="center"/>
          </w:tcPr>
          <w:p w14:paraId="1AFDE622"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722438F4" w14:textId="77777777">
        <w:trPr>
          <w:trHeight w:val="252"/>
        </w:trPr>
        <w:tc>
          <w:tcPr>
            <w:tcW w:w="2279" w:type="dxa"/>
            <w:tcBorders>
              <w:top w:val="nil"/>
              <w:left w:val="single" w:sz="4" w:space="0" w:color="auto"/>
              <w:bottom w:val="single" w:sz="4" w:space="0" w:color="auto"/>
              <w:right w:val="single" w:sz="4" w:space="0" w:color="auto"/>
            </w:tcBorders>
            <w:noWrap/>
            <w:vAlign w:val="center"/>
          </w:tcPr>
          <w:p w14:paraId="52A7FA4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Less: Initial investment</w:t>
            </w:r>
          </w:p>
        </w:tc>
        <w:tc>
          <w:tcPr>
            <w:tcW w:w="1362" w:type="dxa"/>
            <w:tcBorders>
              <w:top w:val="nil"/>
              <w:left w:val="nil"/>
              <w:bottom w:val="single" w:sz="4" w:space="0" w:color="auto"/>
              <w:right w:val="single" w:sz="4" w:space="0" w:color="auto"/>
            </w:tcBorders>
            <w:noWrap/>
            <w:vAlign w:val="center"/>
          </w:tcPr>
          <w:p w14:paraId="1139E71A"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86" w:type="dxa"/>
            <w:tcBorders>
              <w:top w:val="nil"/>
              <w:left w:val="nil"/>
              <w:bottom w:val="single" w:sz="4" w:space="0" w:color="auto"/>
              <w:right w:val="single" w:sz="4" w:space="0" w:color="auto"/>
            </w:tcBorders>
            <w:noWrap/>
            <w:vAlign w:val="center"/>
          </w:tcPr>
          <w:p w14:paraId="75639620"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62" w:type="dxa"/>
            <w:tcBorders>
              <w:top w:val="nil"/>
              <w:left w:val="nil"/>
              <w:bottom w:val="single" w:sz="4" w:space="0" w:color="auto"/>
              <w:right w:val="single" w:sz="4" w:space="0" w:color="auto"/>
            </w:tcBorders>
            <w:noWrap/>
            <w:vAlign w:val="center"/>
          </w:tcPr>
          <w:p w14:paraId="088346F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50.00</w:t>
            </w:r>
          </w:p>
        </w:tc>
        <w:tc>
          <w:tcPr>
            <w:tcW w:w="1456" w:type="dxa"/>
            <w:tcBorders>
              <w:top w:val="nil"/>
              <w:left w:val="nil"/>
              <w:bottom w:val="single" w:sz="4" w:space="0" w:color="auto"/>
              <w:right w:val="single" w:sz="4" w:space="0" w:color="auto"/>
            </w:tcBorders>
            <w:noWrap/>
            <w:vAlign w:val="center"/>
          </w:tcPr>
          <w:p w14:paraId="2F46E0A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62" w:type="dxa"/>
            <w:tcBorders>
              <w:top w:val="nil"/>
              <w:left w:val="nil"/>
              <w:bottom w:val="single" w:sz="4" w:space="0" w:color="auto"/>
              <w:right w:val="single" w:sz="4" w:space="0" w:color="auto"/>
            </w:tcBorders>
            <w:noWrap/>
            <w:vAlign w:val="center"/>
          </w:tcPr>
          <w:p w14:paraId="4D26305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50.00</w:t>
            </w:r>
          </w:p>
        </w:tc>
        <w:tc>
          <w:tcPr>
            <w:tcW w:w="260" w:type="dxa"/>
            <w:vAlign w:val="center"/>
          </w:tcPr>
          <w:p w14:paraId="4D19CEED"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0D35B976" w14:textId="77777777">
        <w:trPr>
          <w:trHeight w:val="252"/>
        </w:trPr>
        <w:tc>
          <w:tcPr>
            <w:tcW w:w="2279" w:type="dxa"/>
            <w:tcBorders>
              <w:top w:val="nil"/>
              <w:left w:val="single" w:sz="4" w:space="0" w:color="auto"/>
              <w:bottom w:val="single" w:sz="4" w:space="0" w:color="auto"/>
              <w:right w:val="single" w:sz="4" w:space="0" w:color="auto"/>
            </w:tcBorders>
            <w:noWrap/>
            <w:vAlign w:val="center"/>
          </w:tcPr>
          <w:p w14:paraId="72A9E731"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Net present value</w:t>
            </w:r>
          </w:p>
        </w:tc>
        <w:tc>
          <w:tcPr>
            <w:tcW w:w="1362" w:type="dxa"/>
            <w:tcBorders>
              <w:top w:val="nil"/>
              <w:left w:val="nil"/>
              <w:bottom w:val="single" w:sz="4" w:space="0" w:color="auto"/>
              <w:right w:val="single" w:sz="4" w:space="0" w:color="auto"/>
            </w:tcBorders>
            <w:noWrap/>
            <w:vAlign w:val="center"/>
          </w:tcPr>
          <w:p w14:paraId="7B173B0F"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86" w:type="dxa"/>
            <w:tcBorders>
              <w:top w:val="nil"/>
              <w:left w:val="nil"/>
              <w:bottom w:val="single" w:sz="4" w:space="0" w:color="auto"/>
              <w:right w:val="single" w:sz="4" w:space="0" w:color="auto"/>
            </w:tcBorders>
            <w:noWrap/>
            <w:vAlign w:val="center"/>
          </w:tcPr>
          <w:p w14:paraId="45419CD2"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62" w:type="dxa"/>
            <w:tcBorders>
              <w:top w:val="nil"/>
              <w:left w:val="nil"/>
              <w:bottom w:val="single" w:sz="4" w:space="0" w:color="auto"/>
              <w:right w:val="single" w:sz="4" w:space="0" w:color="auto"/>
            </w:tcBorders>
            <w:noWrap/>
            <w:vAlign w:val="center"/>
          </w:tcPr>
          <w:p w14:paraId="0129ED3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1.01</w:t>
            </w:r>
          </w:p>
        </w:tc>
        <w:tc>
          <w:tcPr>
            <w:tcW w:w="1456" w:type="dxa"/>
            <w:tcBorders>
              <w:top w:val="nil"/>
              <w:left w:val="nil"/>
              <w:bottom w:val="single" w:sz="4" w:space="0" w:color="auto"/>
              <w:right w:val="single" w:sz="4" w:space="0" w:color="auto"/>
            </w:tcBorders>
            <w:noWrap/>
            <w:vAlign w:val="center"/>
          </w:tcPr>
          <w:p w14:paraId="407D66E3"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62" w:type="dxa"/>
            <w:tcBorders>
              <w:top w:val="nil"/>
              <w:left w:val="nil"/>
              <w:bottom w:val="single" w:sz="4" w:space="0" w:color="auto"/>
              <w:right w:val="single" w:sz="4" w:space="0" w:color="auto"/>
            </w:tcBorders>
            <w:noWrap/>
            <w:vAlign w:val="center"/>
          </w:tcPr>
          <w:p w14:paraId="25E0F67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-13.33</w:t>
            </w:r>
          </w:p>
        </w:tc>
        <w:tc>
          <w:tcPr>
            <w:tcW w:w="260" w:type="dxa"/>
            <w:vAlign w:val="center"/>
          </w:tcPr>
          <w:p w14:paraId="425D37E2"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bl>
    <w:p w14:paraId="6118ADF8" w14:textId="77777777" w:rsidR="00044E7A" w:rsidRDefault="00044E7A">
      <w:pPr>
        <w:spacing w:line="360" w:lineRule="auto"/>
        <w:jc w:val="both"/>
        <w:rPr>
          <w:rFonts w:ascii="Arial" w:hAnsi="Arial" w:cs="Arial"/>
          <w:b/>
          <w:bCs/>
          <w:sz w:val="24"/>
          <w:szCs w:val="24"/>
          <w:u w:val="single"/>
        </w:rPr>
      </w:pPr>
    </w:p>
    <w:p w14:paraId="0AD6F596" w14:textId="77777777" w:rsidR="00044E7A" w:rsidRDefault="00000000">
      <w:pPr>
        <w:spacing w:line="360" w:lineRule="auto"/>
        <w:jc w:val="both"/>
        <w:rPr>
          <w:rFonts w:ascii="Arial" w:hAnsi="Arial" w:cs="Arial"/>
          <w:sz w:val="24"/>
          <w:szCs w:val="24"/>
        </w:rPr>
      </w:pPr>
      <w:r>
        <w:rPr>
          <w:rFonts w:ascii="Arial" w:hAnsi="Arial" w:cs="Arial"/>
          <w:sz w:val="24"/>
          <w:szCs w:val="24"/>
        </w:rPr>
        <w:t>IRR = 2% + (£1.01 million/ £1.01 million – (-£13.33 million)) * (15% - 2%)</w:t>
      </w:r>
    </w:p>
    <w:p w14:paraId="739843F2"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 2.92% </w:t>
      </w:r>
    </w:p>
    <w:p w14:paraId="33738D8E"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t>Project B</w:t>
      </w:r>
    </w:p>
    <w:tbl>
      <w:tblPr>
        <w:tblW w:w="9237" w:type="dxa"/>
        <w:tblLook w:val="04A0" w:firstRow="1" w:lastRow="0" w:firstColumn="1" w:lastColumn="0" w:noHBand="0" w:noVBand="1"/>
      </w:tblPr>
      <w:tblGrid>
        <w:gridCol w:w="2223"/>
        <w:gridCol w:w="1329"/>
        <w:gridCol w:w="1352"/>
        <w:gridCol w:w="1329"/>
        <w:gridCol w:w="1421"/>
        <w:gridCol w:w="1329"/>
        <w:gridCol w:w="254"/>
      </w:tblGrid>
      <w:tr w:rsidR="00044E7A" w14:paraId="7F32CEEC" w14:textId="77777777">
        <w:trPr>
          <w:gridAfter w:val="1"/>
          <w:wAfter w:w="254" w:type="dxa"/>
          <w:trHeight w:val="458"/>
        </w:trPr>
        <w:tc>
          <w:tcPr>
            <w:tcW w:w="2223"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730A5720"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Year</w:t>
            </w:r>
          </w:p>
        </w:tc>
        <w:tc>
          <w:tcPr>
            <w:tcW w:w="1329"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6EBD5EF5"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Cash inflows</w:t>
            </w:r>
          </w:p>
        </w:tc>
        <w:tc>
          <w:tcPr>
            <w:tcW w:w="1352"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71F0D26A"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PVF @ 2%</w:t>
            </w:r>
          </w:p>
        </w:tc>
        <w:tc>
          <w:tcPr>
            <w:tcW w:w="1329"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3EC51EA0"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w:t>
            </w:r>
          </w:p>
        </w:tc>
        <w:tc>
          <w:tcPr>
            <w:tcW w:w="1421"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2B34AC2E"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PVF @ 15%</w:t>
            </w:r>
          </w:p>
        </w:tc>
        <w:tc>
          <w:tcPr>
            <w:tcW w:w="1329"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1EBE2233"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w:t>
            </w:r>
          </w:p>
        </w:tc>
      </w:tr>
      <w:tr w:rsidR="00044E7A" w14:paraId="70890D03" w14:textId="77777777">
        <w:trPr>
          <w:trHeight w:val="242"/>
        </w:trPr>
        <w:tc>
          <w:tcPr>
            <w:tcW w:w="2223" w:type="dxa"/>
            <w:vMerge/>
            <w:tcBorders>
              <w:top w:val="single" w:sz="4" w:space="0" w:color="auto"/>
              <w:left w:val="single" w:sz="4" w:space="0" w:color="auto"/>
              <w:bottom w:val="single" w:sz="4" w:space="0" w:color="auto"/>
              <w:right w:val="single" w:sz="4" w:space="0" w:color="auto"/>
            </w:tcBorders>
            <w:vAlign w:val="center"/>
          </w:tcPr>
          <w:p w14:paraId="5B39301D"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29" w:type="dxa"/>
            <w:vMerge/>
            <w:tcBorders>
              <w:top w:val="single" w:sz="4" w:space="0" w:color="auto"/>
              <w:left w:val="single" w:sz="4" w:space="0" w:color="auto"/>
              <w:bottom w:val="single" w:sz="4" w:space="0" w:color="auto"/>
              <w:right w:val="single" w:sz="4" w:space="0" w:color="auto"/>
            </w:tcBorders>
            <w:vAlign w:val="center"/>
          </w:tcPr>
          <w:p w14:paraId="3BF7B675"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52" w:type="dxa"/>
            <w:vMerge/>
            <w:tcBorders>
              <w:top w:val="single" w:sz="4" w:space="0" w:color="auto"/>
              <w:left w:val="single" w:sz="4" w:space="0" w:color="auto"/>
              <w:bottom w:val="single" w:sz="4" w:space="0" w:color="auto"/>
              <w:right w:val="single" w:sz="4" w:space="0" w:color="auto"/>
            </w:tcBorders>
            <w:vAlign w:val="center"/>
          </w:tcPr>
          <w:p w14:paraId="291F6BE4"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29" w:type="dxa"/>
            <w:vMerge/>
            <w:tcBorders>
              <w:top w:val="single" w:sz="4" w:space="0" w:color="auto"/>
              <w:left w:val="single" w:sz="4" w:space="0" w:color="auto"/>
              <w:bottom w:val="single" w:sz="4" w:space="0" w:color="auto"/>
              <w:right w:val="single" w:sz="4" w:space="0" w:color="auto"/>
            </w:tcBorders>
            <w:vAlign w:val="center"/>
          </w:tcPr>
          <w:p w14:paraId="357AC4F3"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421" w:type="dxa"/>
            <w:vMerge/>
            <w:tcBorders>
              <w:top w:val="single" w:sz="4" w:space="0" w:color="auto"/>
              <w:left w:val="single" w:sz="4" w:space="0" w:color="auto"/>
              <w:bottom w:val="single" w:sz="4" w:space="0" w:color="auto"/>
              <w:right w:val="single" w:sz="4" w:space="0" w:color="auto"/>
            </w:tcBorders>
            <w:vAlign w:val="center"/>
          </w:tcPr>
          <w:p w14:paraId="41E25DD1"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29" w:type="dxa"/>
            <w:vMerge/>
            <w:tcBorders>
              <w:top w:val="single" w:sz="4" w:space="0" w:color="auto"/>
              <w:left w:val="single" w:sz="4" w:space="0" w:color="auto"/>
              <w:bottom w:val="single" w:sz="4" w:space="0" w:color="auto"/>
              <w:right w:val="single" w:sz="4" w:space="0" w:color="auto"/>
            </w:tcBorders>
            <w:vAlign w:val="center"/>
          </w:tcPr>
          <w:p w14:paraId="2435F5F7"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254" w:type="dxa"/>
            <w:tcBorders>
              <w:top w:val="nil"/>
              <w:left w:val="nil"/>
              <w:bottom w:val="nil"/>
              <w:right w:val="nil"/>
            </w:tcBorders>
            <w:noWrap/>
            <w:vAlign w:val="bottom"/>
          </w:tcPr>
          <w:p w14:paraId="4529D2CE"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r>
      <w:tr w:rsidR="00044E7A" w14:paraId="51B32B32" w14:textId="77777777">
        <w:trPr>
          <w:trHeight w:val="242"/>
        </w:trPr>
        <w:tc>
          <w:tcPr>
            <w:tcW w:w="2223" w:type="dxa"/>
            <w:tcBorders>
              <w:top w:val="nil"/>
              <w:left w:val="single" w:sz="4" w:space="0" w:color="auto"/>
              <w:bottom w:val="single" w:sz="4" w:space="0" w:color="auto"/>
              <w:right w:val="single" w:sz="4" w:space="0" w:color="auto"/>
            </w:tcBorders>
            <w:noWrap/>
            <w:vAlign w:val="center"/>
          </w:tcPr>
          <w:p w14:paraId="54C526A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w:t>
            </w:r>
          </w:p>
        </w:tc>
        <w:tc>
          <w:tcPr>
            <w:tcW w:w="1329" w:type="dxa"/>
            <w:tcBorders>
              <w:top w:val="nil"/>
              <w:left w:val="nil"/>
              <w:bottom w:val="single" w:sz="4" w:space="0" w:color="auto"/>
              <w:right w:val="single" w:sz="4" w:space="0" w:color="auto"/>
            </w:tcBorders>
            <w:noWrap/>
            <w:vAlign w:val="center"/>
          </w:tcPr>
          <w:p w14:paraId="2A69749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352" w:type="dxa"/>
            <w:tcBorders>
              <w:top w:val="nil"/>
              <w:left w:val="nil"/>
              <w:bottom w:val="single" w:sz="4" w:space="0" w:color="auto"/>
              <w:right w:val="single" w:sz="4" w:space="0" w:color="auto"/>
            </w:tcBorders>
            <w:noWrap/>
            <w:vAlign w:val="center"/>
          </w:tcPr>
          <w:p w14:paraId="2AABACF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0.980</w:t>
            </w:r>
          </w:p>
        </w:tc>
        <w:tc>
          <w:tcPr>
            <w:tcW w:w="1329" w:type="dxa"/>
            <w:tcBorders>
              <w:top w:val="nil"/>
              <w:left w:val="nil"/>
              <w:bottom w:val="single" w:sz="4" w:space="0" w:color="auto"/>
              <w:right w:val="single" w:sz="4" w:space="0" w:color="auto"/>
            </w:tcBorders>
            <w:noWrap/>
            <w:vAlign w:val="center"/>
          </w:tcPr>
          <w:p w14:paraId="171731D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10.78</w:t>
            </w:r>
          </w:p>
        </w:tc>
        <w:tc>
          <w:tcPr>
            <w:tcW w:w="1421" w:type="dxa"/>
            <w:tcBorders>
              <w:top w:val="nil"/>
              <w:left w:val="nil"/>
              <w:bottom w:val="single" w:sz="4" w:space="0" w:color="auto"/>
              <w:right w:val="single" w:sz="4" w:space="0" w:color="auto"/>
            </w:tcBorders>
            <w:noWrap/>
            <w:vAlign w:val="center"/>
          </w:tcPr>
          <w:p w14:paraId="6FE08C4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0.870</w:t>
            </w:r>
          </w:p>
        </w:tc>
        <w:tc>
          <w:tcPr>
            <w:tcW w:w="1329" w:type="dxa"/>
            <w:tcBorders>
              <w:top w:val="nil"/>
              <w:left w:val="nil"/>
              <w:bottom w:val="single" w:sz="4" w:space="0" w:color="auto"/>
              <w:right w:val="single" w:sz="4" w:space="0" w:color="auto"/>
            </w:tcBorders>
            <w:noWrap/>
            <w:vAlign w:val="center"/>
          </w:tcPr>
          <w:p w14:paraId="1471707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9.57</w:t>
            </w:r>
          </w:p>
        </w:tc>
        <w:tc>
          <w:tcPr>
            <w:tcW w:w="254" w:type="dxa"/>
            <w:vAlign w:val="center"/>
          </w:tcPr>
          <w:p w14:paraId="5EF4000F"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73197D03" w14:textId="77777777">
        <w:trPr>
          <w:trHeight w:val="242"/>
        </w:trPr>
        <w:tc>
          <w:tcPr>
            <w:tcW w:w="2223" w:type="dxa"/>
            <w:tcBorders>
              <w:top w:val="nil"/>
              <w:left w:val="single" w:sz="4" w:space="0" w:color="auto"/>
              <w:bottom w:val="single" w:sz="4" w:space="0" w:color="auto"/>
              <w:right w:val="single" w:sz="4" w:space="0" w:color="auto"/>
            </w:tcBorders>
            <w:noWrap/>
            <w:vAlign w:val="center"/>
          </w:tcPr>
          <w:p w14:paraId="618CFEA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w:t>
            </w:r>
          </w:p>
        </w:tc>
        <w:tc>
          <w:tcPr>
            <w:tcW w:w="1329" w:type="dxa"/>
            <w:tcBorders>
              <w:top w:val="nil"/>
              <w:left w:val="nil"/>
              <w:bottom w:val="single" w:sz="4" w:space="0" w:color="auto"/>
              <w:right w:val="single" w:sz="4" w:space="0" w:color="auto"/>
            </w:tcBorders>
            <w:noWrap/>
            <w:vAlign w:val="center"/>
          </w:tcPr>
          <w:p w14:paraId="7911E5D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352" w:type="dxa"/>
            <w:tcBorders>
              <w:top w:val="nil"/>
              <w:left w:val="nil"/>
              <w:bottom w:val="single" w:sz="4" w:space="0" w:color="auto"/>
              <w:right w:val="single" w:sz="4" w:space="0" w:color="auto"/>
            </w:tcBorders>
            <w:noWrap/>
            <w:vAlign w:val="center"/>
          </w:tcPr>
          <w:p w14:paraId="3EAB6A8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0.961</w:t>
            </w:r>
          </w:p>
        </w:tc>
        <w:tc>
          <w:tcPr>
            <w:tcW w:w="1329" w:type="dxa"/>
            <w:tcBorders>
              <w:top w:val="nil"/>
              <w:left w:val="nil"/>
              <w:bottom w:val="single" w:sz="4" w:space="0" w:color="auto"/>
              <w:right w:val="single" w:sz="4" w:space="0" w:color="auto"/>
            </w:tcBorders>
            <w:noWrap/>
            <w:vAlign w:val="center"/>
          </w:tcPr>
          <w:p w14:paraId="5121CB6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10.57</w:t>
            </w:r>
          </w:p>
        </w:tc>
        <w:tc>
          <w:tcPr>
            <w:tcW w:w="1421" w:type="dxa"/>
            <w:tcBorders>
              <w:top w:val="nil"/>
              <w:left w:val="nil"/>
              <w:bottom w:val="single" w:sz="4" w:space="0" w:color="auto"/>
              <w:right w:val="single" w:sz="4" w:space="0" w:color="auto"/>
            </w:tcBorders>
            <w:noWrap/>
            <w:vAlign w:val="center"/>
          </w:tcPr>
          <w:p w14:paraId="18840D0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0.756</w:t>
            </w:r>
          </w:p>
        </w:tc>
        <w:tc>
          <w:tcPr>
            <w:tcW w:w="1329" w:type="dxa"/>
            <w:tcBorders>
              <w:top w:val="nil"/>
              <w:left w:val="nil"/>
              <w:bottom w:val="single" w:sz="4" w:space="0" w:color="auto"/>
              <w:right w:val="single" w:sz="4" w:space="0" w:color="auto"/>
            </w:tcBorders>
            <w:noWrap/>
            <w:vAlign w:val="center"/>
          </w:tcPr>
          <w:p w14:paraId="1CF46F4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8.32</w:t>
            </w:r>
          </w:p>
        </w:tc>
        <w:tc>
          <w:tcPr>
            <w:tcW w:w="254" w:type="dxa"/>
            <w:vAlign w:val="center"/>
          </w:tcPr>
          <w:p w14:paraId="685DD74C"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4B234A9A" w14:textId="77777777">
        <w:trPr>
          <w:trHeight w:val="242"/>
        </w:trPr>
        <w:tc>
          <w:tcPr>
            <w:tcW w:w="2223" w:type="dxa"/>
            <w:tcBorders>
              <w:top w:val="nil"/>
              <w:left w:val="single" w:sz="4" w:space="0" w:color="auto"/>
              <w:bottom w:val="single" w:sz="4" w:space="0" w:color="auto"/>
              <w:right w:val="single" w:sz="4" w:space="0" w:color="auto"/>
            </w:tcBorders>
            <w:noWrap/>
            <w:vAlign w:val="center"/>
          </w:tcPr>
          <w:p w14:paraId="33DDC65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w:t>
            </w:r>
          </w:p>
        </w:tc>
        <w:tc>
          <w:tcPr>
            <w:tcW w:w="1329" w:type="dxa"/>
            <w:tcBorders>
              <w:top w:val="nil"/>
              <w:left w:val="nil"/>
              <w:bottom w:val="single" w:sz="4" w:space="0" w:color="auto"/>
              <w:right w:val="single" w:sz="4" w:space="0" w:color="auto"/>
            </w:tcBorders>
            <w:noWrap/>
            <w:vAlign w:val="center"/>
          </w:tcPr>
          <w:p w14:paraId="5E0EC0F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352" w:type="dxa"/>
            <w:tcBorders>
              <w:top w:val="nil"/>
              <w:left w:val="nil"/>
              <w:bottom w:val="single" w:sz="4" w:space="0" w:color="auto"/>
              <w:right w:val="single" w:sz="4" w:space="0" w:color="auto"/>
            </w:tcBorders>
            <w:noWrap/>
            <w:vAlign w:val="center"/>
          </w:tcPr>
          <w:p w14:paraId="770D708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0.942</w:t>
            </w:r>
          </w:p>
        </w:tc>
        <w:tc>
          <w:tcPr>
            <w:tcW w:w="1329" w:type="dxa"/>
            <w:tcBorders>
              <w:top w:val="nil"/>
              <w:left w:val="nil"/>
              <w:bottom w:val="single" w:sz="4" w:space="0" w:color="auto"/>
              <w:right w:val="single" w:sz="4" w:space="0" w:color="auto"/>
            </w:tcBorders>
            <w:noWrap/>
            <w:vAlign w:val="center"/>
          </w:tcPr>
          <w:p w14:paraId="59A3296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10.37</w:t>
            </w:r>
          </w:p>
        </w:tc>
        <w:tc>
          <w:tcPr>
            <w:tcW w:w="1421" w:type="dxa"/>
            <w:tcBorders>
              <w:top w:val="nil"/>
              <w:left w:val="nil"/>
              <w:bottom w:val="single" w:sz="4" w:space="0" w:color="auto"/>
              <w:right w:val="single" w:sz="4" w:space="0" w:color="auto"/>
            </w:tcBorders>
            <w:noWrap/>
            <w:vAlign w:val="center"/>
          </w:tcPr>
          <w:p w14:paraId="6379764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0.658</w:t>
            </w:r>
          </w:p>
        </w:tc>
        <w:tc>
          <w:tcPr>
            <w:tcW w:w="1329" w:type="dxa"/>
            <w:tcBorders>
              <w:top w:val="nil"/>
              <w:left w:val="nil"/>
              <w:bottom w:val="single" w:sz="4" w:space="0" w:color="auto"/>
              <w:right w:val="single" w:sz="4" w:space="0" w:color="auto"/>
            </w:tcBorders>
            <w:noWrap/>
            <w:vAlign w:val="center"/>
          </w:tcPr>
          <w:p w14:paraId="45BBF57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7.23</w:t>
            </w:r>
          </w:p>
        </w:tc>
        <w:tc>
          <w:tcPr>
            <w:tcW w:w="254" w:type="dxa"/>
            <w:vAlign w:val="center"/>
          </w:tcPr>
          <w:p w14:paraId="56C47E04"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51B5D9C8" w14:textId="77777777">
        <w:trPr>
          <w:trHeight w:val="242"/>
        </w:trPr>
        <w:tc>
          <w:tcPr>
            <w:tcW w:w="2223" w:type="dxa"/>
            <w:tcBorders>
              <w:top w:val="nil"/>
              <w:left w:val="single" w:sz="4" w:space="0" w:color="auto"/>
              <w:bottom w:val="single" w:sz="4" w:space="0" w:color="auto"/>
              <w:right w:val="single" w:sz="4" w:space="0" w:color="auto"/>
            </w:tcBorders>
            <w:noWrap/>
            <w:vAlign w:val="center"/>
          </w:tcPr>
          <w:p w14:paraId="23F1C60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w:t>
            </w:r>
          </w:p>
        </w:tc>
        <w:tc>
          <w:tcPr>
            <w:tcW w:w="1329" w:type="dxa"/>
            <w:tcBorders>
              <w:top w:val="nil"/>
              <w:left w:val="nil"/>
              <w:bottom w:val="single" w:sz="4" w:space="0" w:color="auto"/>
              <w:right w:val="single" w:sz="4" w:space="0" w:color="auto"/>
            </w:tcBorders>
            <w:noWrap/>
            <w:vAlign w:val="center"/>
          </w:tcPr>
          <w:p w14:paraId="0D47748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352" w:type="dxa"/>
            <w:tcBorders>
              <w:top w:val="nil"/>
              <w:left w:val="nil"/>
              <w:bottom w:val="single" w:sz="4" w:space="0" w:color="auto"/>
              <w:right w:val="single" w:sz="4" w:space="0" w:color="auto"/>
            </w:tcBorders>
            <w:noWrap/>
            <w:vAlign w:val="center"/>
          </w:tcPr>
          <w:p w14:paraId="094D50E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0.924</w:t>
            </w:r>
          </w:p>
        </w:tc>
        <w:tc>
          <w:tcPr>
            <w:tcW w:w="1329" w:type="dxa"/>
            <w:tcBorders>
              <w:top w:val="nil"/>
              <w:left w:val="nil"/>
              <w:bottom w:val="single" w:sz="4" w:space="0" w:color="auto"/>
              <w:right w:val="single" w:sz="4" w:space="0" w:color="auto"/>
            </w:tcBorders>
            <w:noWrap/>
            <w:vAlign w:val="center"/>
          </w:tcPr>
          <w:p w14:paraId="7625982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10.16</w:t>
            </w:r>
          </w:p>
        </w:tc>
        <w:tc>
          <w:tcPr>
            <w:tcW w:w="1421" w:type="dxa"/>
            <w:tcBorders>
              <w:top w:val="nil"/>
              <w:left w:val="nil"/>
              <w:bottom w:val="single" w:sz="4" w:space="0" w:color="auto"/>
              <w:right w:val="single" w:sz="4" w:space="0" w:color="auto"/>
            </w:tcBorders>
            <w:noWrap/>
            <w:vAlign w:val="center"/>
          </w:tcPr>
          <w:p w14:paraId="1B4B72D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0.572</w:t>
            </w:r>
          </w:p>
        </w:tc>
        <w:tc>
          <w:tcPr>
            <w:tcW w:w="1329" w:type="dxa"/>
            <w:tcBorders>
              <w:top w:val="nil"/>
              <w:left w:val="nil"/>
              <w:bottom w:val="single" w:sz="4" w:space="0" w:color="auto"/>
              <w:right w:val="single" w:sz="4" w:space="0" w:color="auto"/>
            </w:tcBorders>
            <w:noWrap/>
            <w:vAlign w:val="center"/>
          </w:tcPr>
          <w:p w14:paraId="3880F45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6.29</w:t>
            </w:r>
          </w:p>
        </w:tc>
        <w:tc>
          <w:tcPr>
            <w:tcW w:w="254" w:type="dxa"/>
            <w:vAlign w:val="center"/>
          </w:tcPr>
          <w:p w14:paraId="4629EEAA"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5F0D69D9" w14:textId="77777777">
        <w:trPr>
          <w:trHeight w:val="242"/>
        </w:trPr>
        <w:tc>
          <w:tcPr>
            <w:tcW w:w="2223" w:type="dxa"/>
            <w:tcBorders>
              <w:top w:val="nil"/>
              <w:left w:val="single" w:sz="4" w:space="0" w:color="auto"/>
              <w:bottom w:val="single" w:sz="4" w:space="0" w:color="auto"/>
              <w:right w:val="single" w:sz="4" w:space="0" w:color="auto"/>
            </w:tcBorders>
            <w:noWrap/>
            <w:vAlign w:val="center"/>
          </w:tcPr>
          <w:p w14:paraId="4870A85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329" w:type="dxa"/>
            <w:tcBorders>
              <w:top w:val="nil"/>
              <w:left w:val="nil"/>
              <w:bottom w:val="single" w:sz="4" w:space="0" w:color="auto"/>
              <w:right w:val="single" w:sz="4" w:space="0" w:color="auto"/>
            </w:tcBorders>
            <w:noWrap/>
            <w:vAlign w:val="center"/>
          </w:tcPr>
          <w:p w14:paraId="24F6236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11</w:t>
            </w:r>
          </w:p>
        </w:tc>
        <w:tc>
          <w:tcPr>
            <w:tcW w:w="1352" w:type="dxa"/>
            <w:tcBorders>
              <w:top w:val="nil"/>
              <w:left w:val="nil"/>
              <w:bottom w:val="single" w:sz="4" w:space="0" w:color="auto"/>
              <w:right w:val="single" w:sz="4" w:space="0" w:color="auto"/>
            </w:tcBorders>
            <w:noWrap/>
            <w:vAlign w:val="center"/>
          </w:tcPr>
          <w:p w14:paraId="11B85F6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0.906</w:t>
            </w:r>
          </w:p>
        </w:tc>
        <w:tc>
          <w:tcPr>
            <w:tcW w:w="1329" w:type="dxa"/>
            <w:tcBorders>
              <w:top w:val="nil"/>
              <w:left w:val="nil"/>
              <w:bottom w:val="single" w:sz="4" w:space="0" w:color="auto"/>
              <w:right w:val="single" w:sz="4" w:space="0" w:color="auto"/>
            </w:tcBorders>
            <w:noWrap/>
            <w:vAlign w:val="center"/>
          </w:tcPr>
          <w:p w14:paraId="69302B4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9.96</w:t>
            </w:r>
          </w:p>
        </w:tc>
        <w:tc>
          <w:tcPr>
            <w:tcW w:w="1421" w:type="dxa"/>
            <w:tcBorders>
              <w:top w:val="nil"/>
              <w:left w:val="nil"/>
              <w:bottom w:val="single" w:sz="4" w:space="0" w:color="auto"/>
              <w:right w:val="single" w:sz="4" w:space="0" w:color="auto"/>
            </w:tcBorders>
            <w:noWrap/>
            <w:vAlign w:val="center"/>
          </w:tcPr>
          <w:p w14:paraId="77FA677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0.497</w:t>
            </w:r>
          </w:p>
        </w:tc>
        <w:tc>
          <w:tcPr>
            <w:tcW w:w="1329" w:type="dxa"/>
            <w:tcBorders>
              <w:top w:val="nil"/>
              <w:left w:val="nil"/>
              <w:bottom w:val="single" w:sz="4" w:space="0" w:color="auto"/>
              <w:right w:val="single" w:sz="4" w:space="0" w:color="auto"/>
            </w:tcBorders>
            <w:noWrap/>
            <w:vAlign w:val="center"/>
          </w:tcPr>
          <w:p w14:paraId="5C5F298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5.47</w:t>
            </w:r>
          </w:p>
        </w:tc>
        <w:tc>
          <w:tcPr>
            <w:tcW w:w="254" w:type="dxa"/>
            <w:vAlign w:val="center"/>
          </w:tcPr>
          <w:p w14:paraId="49C9D56C"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6B7ED0FA" w14:textId="77777777">
        <w:trPr>
          <w:trHeight w:val="242"/>
        </w:trPr>
        <w:tc>
          <w:tcPr>
            <w:tcW w:w="2223" w:type="dxa"/>
            <w:tcBorders>
              <w:top w:val="nil"/>
              <w:left w:val="single" w:sz="4" w:space="0" w:color="auto"/>
              <w:bottom w:val="single" w:sz="4" w:space="0" w:color="auto"/>
              <w:right w:val="single" w:sz="4" w:space="0" w:color="auto"/>
            </w:tcBorders>
            <w:noWrap/>
            <w:vAlign w:val="center"/>
          </w:tcPr>
          <w:p w14:paraId="20A28CF7"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Total cash inflows</w:t>
            </w:r>
          </w:p>
        </w:tc>
        <w:tc>
          <w:tcPr>
            <w:tcW w:w="1329" w:type="dxa"/>
            <w:tcBorders>
              <w:top w:val="nil"/>
              <w:left w:val="nil"/>
              <w:bottom w:val="single" w:sz="4" w:space="0" w:color="auto"/>
              <w:right w:val="single" w:sz="4" w:space="0" w:color="auto"/>
            </w:tcBorders>
            <w:noWrap/>
            <w:vAlign w:val="center"/>
          </w:tcPr>
          <w:p w14:paraId="17069F1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55</w:t>
            </w:r>
          </w:p>
        </w:tc>
        <w:tc>
          <w:tcPr>
            <w:tcW w:w="1352" w:type="dxa"/>
            <w:tcBorders>
              <w:top w:val="nil"/>
              <w:left w:val="nil"/>
              <w:bottom w:val="single" w:sz="4" w:space="0" w:color="auto"/>
              <w:right w:val="single" w:sz="4" w:space="0" w:color="auto"/>
            </w:tcBorders>
            <w:noWrap/>
            <w:vAlign w:val="center"/>
          </w:tcPr>
          <w:p w14:paraId="7413355C"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329" w:type="dxa"/>
            <w:tcBorders>
              <w:top w:val="nil"/>
              <w:left w:val="nil"/>
              <w:bottom w:val="single" w:sz="4" w:space="0" w:color="auto"/>
              <w:right w:val="single" w:sz="4" w:space="0" w:color="auto"/>
            </w:tcBorders>
            <w:noWrap/>
            <w:vAlign w:val="center"/>
          </w:tcPr>
          <w:p w14:paraId="1FF3071B"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51.85</w:t>
            </w:r>
          </w:p>
        </w:tc>
        <w:tc>
          <w:tcPr>
            <w:tcW w:w="1421" w:type="dxa"/>
            <w:tcBorders>
              <w:top w:val="nil"/>
              <w:left w:val="nil"/>
              <w:bottom w:val="single" w:sz="4" w:space="0" w:color="auto"/>
              <w:right w:val="single" w:sz="4" w:space="0" w:color="auto"/>
            </w:tcBorders>
            <w:noWrap/>
            <w:vAlign w:val="center"/>
          </w:tcPr>
          <w:p w14:paraId="496453E0"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329" w:type="dxa"/>
            <w:tcBorders>
              <w:top w:val="nil"/>
              <w:left w:val="nil"/>
              <w:bottom w:val="single" w:sz="4" w:space="0" w:color="auto"/>
              <w:right w:val="single" w:sz="4" w:space="0" w:color="auto"/>
            </w:tcBorders>
            <w:noWrap/>
            <w:vAlign w:val="center"/>
          </w:tcPr>
          <w:p w14:paraId="28F293A4"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36.87</w:t>
            </w:r>
          </w:p>
        </w:tc>
        <w:tc>
          <w:tcPr>
            <w:tcW w:w="254" w:type="dxa"/>
            <w:vAlign w:val="center"/>
          </w:tcPr>
          <w:p w14:paraId="7D16B731"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36DE1693" w14:textId="77777777">
        <w:trPr>
          <w:trHeight w:val="242"/>
        </w:trPr>
        <w:tc>
          <w:tcPr>
            <w:tcW w:w="2223" w:type="dxa"/>
            <w:tcBorders>
              <w:top w:val="nil"/>
              <w:left w:val="single" w:sz="4" w:space="0" w:color="auto"/>
              <w:bottom w:val="single" w:sz="4" w:space="0" w:color="auto"/>
              <w:right w:val="single" w:sz="4" w:space="0" w:color="auto"/>
            </w:tcBorders>
            <w:noWrap/>
            <w:vAlign w:val="center"/>
          </w:tcPr>
          <w:p w14:paraId="7B24028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Less: Initial investment</w:t>
            </w:r>
          </w:p>
        </w:tc>
        <w:tc>
          <w:tcPr>
            <w:tcW w:w="1329" w:type="dxa"/>
            <w:tcBorders>
              <w:top w:val="nil"/>
              <w:left w:val="nil"/>
              <w:bottom w:val="single" w:sz="4" w:space="0" w:color="auto"/>
              <w:right w:val="single" w:sz="4" w:space="0" w:color="auto"/>
            </w:tcBorders>
            <w:noWrap/>
            <w:vAlign w:val="center"/>
          </w:tcPr>
          <w:p w14:paraId="2F81CAB0"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52" w:type="dxa"/>
            <w:tcBorders>
              <w:top w:val="nil"/>
              <w:left w:val="nil"/>
              <w:bottom w:val="single" w:sz="4" w:space="0" w:color="auto"/>
              <w:right w:val="single" w:sz="4" w:space="0" w:color="auto"/>
            </w:tcBorders>
            <w:noWrap/>
            <w:vAlign w:val="center"/>
          </w:tcPr>
          <w:p w14:paraId="21498D1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29" w:type="dxa"/>
            <w:tcBorders>
              <w:top w:val="nil"/>
              <w:left w:val="nil"/>
              <w:bottom w:val="single" w:sz="4" w:space="0" w:color="auto"/>
              <w:right w:val="single" w:sz="4" w:space="0" w:color="auto"/>
            </w:tcBorders>
            <w:noWrap/>
            <w:vAlign w:val="center"/>
          </w:tcPr>
          <w:p w14:paraId="1DB68C5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50.00</w:t>
            </w:r>
          </w:p>
        </w:tc>
        <w:tc>
          <w:tcPr>
            <w:tcW w:w="1421" w:type="dxa"/>
            <w:tcBorders>
              <w:top w:val="nil"/>
              <w:left w:val="nil"/>
              <w:bottom w:val="single" w:sz="4" w:space="0" w:color="auto"/>
              <w:right w:val="single" w:sz="4" w:space="0" w:color="auto"/>
            </w:tcBorders>
            <w:noWrap/>
            <w:vAlign w:val="center"/>
          </w:tcPr>
          <w:p w14:paraId="7F31B48C"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29" w:type="dxa"/>
            <w:tcBorders>
              <w:top w:val="nil"/>
              <w:left w:val="nil"/>
              <w:bottom w:val="single" w:sz="4" w:space="0" w:color="auto"/>
              <w:right w:val="single" w:sz="4" w:space="0" w:color="auto"/>
            </w:tcBorders>
            <w:noWrap/>
            <w:vAlign w:val="center"/>
          </w:tcPr>
          <w:p w14:paraId="30E856B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50.00</w:t>
            </w:r>
          </w:p>
        </w:tc>
        <w:tc>
          <w:tcPr>
            <w:tcW w:w="254" w:type="dxa"/>
            <w:vAlign w:val="center"/>
          </w:tcPr>
          <w:p w14:paraId="5C54A8D7"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59DC03E5" w14:textId="77777777">
        <w:trPr>
          <w:trHeight w:val="242"/>
        </w:trPr>
        <w:tc>
          <w:tcPr>
            <w:tcW w:w="2223" w:type="dxa"/>
            <w:tcBorders>
              <w:top w:val="nil"/>
              <w:left w:val="single" w:sz="4" w:space="0" w:color="auto"/>
              <w:bottom w:val="single" w:sz="4" w:space="0" w:color="auto"/>
              <w:right w:val="single" w:sz="4" w:space="0" w:color="auto"/>
            </w:tcBorders>
            <w:noWrap/>
            <w:vAlign w:val="center"/>
          </w:tcPr>
          <w:p w14:paraId="0114D069"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Net present value</w:t>
            </w:r>
          </w:p>
        </w:tc>
        <w:tc>
          <w:tcPr>
            <w:tcW w:w="1329" w:type="dxa"/>
            <w:tcBorders>
              <w:top w:val="nil"/>
              <w:left w:val="nil"/>
              <w:bottom w:val="single" w:sz="4" w:space="0" w:color="auto"/>
              <w:right w:val="single" w:sz="4" w:space="0" w:color="auto"/>
            </w:tcBorders>
            <w:noWrap/>
            <w:vAlign w:val="center"/>
          </w:tcPr>
          <w:p w14:paraId="168BF8C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52" w:type="dxa"/>
            <w:tcBorders>
              <w:top w:val="nil"/>
              <w:left w:val="nil"/>
              <w:bottom w:val="single" w:sz="4" w:space="0" w:color="auto"/>
              <w:right w:val="single" w:sz="4" w:space="0" w:color="auto"/>
            </w:tcBorders>
            <w:noWrap/>
            <w:vAlign w:val="center"/>
          </w:tcPr>
          <w:p w14:paraId="12D4B435"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29" w:type="dxa"/>
            <w:tcBorders>
              <w:top w:val="nil"/>
              <w:left w:val="nil"/>
              <w:bottom w:val="single" w:sz="4" w:space="0" w:color="auto"/>
              <w:right w:val="single" w:sz="4" w:space="0" w:color="auto"/>
            </w:tcBorders>
            <w:noWrap/>
            <w:vAlign w:val="center"/>
          </w:tcPr>
          <w:p w14:paraId="05120B2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1.85</w:t>
            </w:r>
          </w:p>
        </w:tc>
        <w:tc>
          <w:tcPr>
            <w:tcW w:w="1421" w:type="dxa"/>
            <w:tcBorders>
              <w:top w:val="nil"/>
              <w:left w:val="nil"/>
              <w:bottom w:val="single" w:sz="4" w:space="0" w:color="auto"/>
              <w:right w:val="single" w:sz="4" w:space="0" w:color="auto"/>
            </w:tcBorders>
            <w:noWrap/>
            <w:vAlign w:val="center"/>
          </w:tcPr>
          <w:p w14:paraId="20432B68"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29" w:type="dxa"/>
            <w:tcBorders>
              <w:top w:val="nil"/>
              <w:left w:val="nil"/>
              <w:bottom w:val="single" w:sz="4" w:space="0" w:color="auto"/>
              <w:right w:val="single" w:sz="4" w:space="0" w:color="auto"/>
            </w:tcBorders>
            <w:noWrap/>
            <w:vAlign w:val="center"/>
          </w:tcPr>
          <w:p w14:paraId="4BE4E82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-13.13</w:t>
            </w:r>
          </w:p>
        </w:tc>
        <w:tc>
          <w:tcPr>
            <w:tcW w:w="254" w:type="dxa"/>
            <w:vAlign w:val="center"/>
          </w:tcPr>
          <w:p w14:paraId="27AAADD8"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bl>
    <w:p w14:paraId="688E4C85" w14:textId="77777777" w:rsidR="00044E7A" w:rsidRDefault="00044E7A">
      <w:pPr>
        <w:spacing w:line="360" w:lineRule="auto"/>
        <w:jc w:val="both"/>
        <w:rPr>
          <w:rFonts w:ascii="Arial" w:hAnsi="Arial" w:cs="Arial"/>
          <w:sz w:val="24"/>
          <w:szCs w:val="24"/>
        </w:rPr>
      </w:pPr>
    </w:p>
    <w:p w14:paraId="361A6C79" w14:textId="77777777" w:rsidR="00044E7A" w:rsidRDefault="00000000">
      <w:pPr>
        <w:spacing w:line="360" w:lineRule="auto"/>
        <w:jc w:val="both"/>
        <w:rPr>
          <w:rFonts w:ascii="Arial" w:hAnsi="Arial" w:cs="Arial"/>
          <w:sz w:val="24"/>
          <w:szCs w:val="24"/>
        </w:rPr>
      </w:pPr>
      <w:r>
        <w:rPr>
          <w:rFonts w:ascii="Arial" w:hAnsi="Arial" w:cs="Arial"/>
          <w:sz w:val="24"/>
          <w:szCs w:val="24"/>
        </w:rPr>
        <w:t>IRR = 2% + (£1.85 million/ £1.85 million – (-£13.13 million)) * (15% - 2%)</w:t>
      </w:r>
    </w:p>
    <w:p w14:paraId="2EC035D9"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 3.60% </w:t>
      </w:r>
    </w:p>
    <w:p w14:paraId="1EDEA225" w14:textId="77777777" w:rsidR="00044E7A" w:rsidRDefault="00000000">
      <w:pPr>
        <w:spacing w:line="360" w:lineRule="auto"/>
        <w:jc w:val="both"/>
        <w:rPr>
          <w:rFonts w:ascii="Arial" w:hAnsi="Arial" w:cs="Arial"/>
          <w:b/>
          <w:bCs/>
          <w:sz w:val="24"/>
          <w:szCs w:val="24"/>
          <w:u w:val="single"/>
        </w:rPr>
      </w:pPr>
      <w:r>
        <w:rPr>
          <w:rFonts w:ascii="Arial" w:hAnsi="Arial" w:cs="Arial"/>
          <w:b/>
          <w:bCs/>
          <w:sz w:val="24"/>
          <w:szCs w:val="24"/>
          <w:u w:val="single"/>
        </w:rPr>
        <w:lastRenderedPageBreak/>
        <w:t>Project C</w:t>
      </w:r>
    </w:p>
    <w:tbl>
      <w:tblPr>
        <w:tblW w:w="9290" w:type="dxa"/>
        <w:tblLook w:val="04A0" w:firstRow="1" w:lastRow="0" w:firstColumn="1" w:lastColumn="0" w:noHBand="0" w:noVBand="1"/>
      </w:tblPr>
      <w:tblGrid>
        <w:gridCol w:w="2238"/>
        <w:gridCol w:w="1337"/>
        <w:gridCol w:w="1359"/>
        <w:gridCol w:w="1337"/>
        <w:gridCol w:w="1430"/>
        <w:gridCol w:w="1337"/>
        <w:gridCol w:w="252"/>
      </w:tblGrid>
      <w:tr w:rsidR="00044E7A" w14:paraId="247EA521" w14:textId="77777777">
        <w:trPr>
          <w:gridAfter w:val="1"/>
          <w:wAfter w:w="252" w:type="dxa"/>
          <w:trHeight w:val="458"/>
        </w:trPr>
        <w:tc>
          <w:tcPr>
            <w:tcW w:w="2238"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5DFF36E3"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Year</w:t>
            </w:r>
          </w:p>
        </w:tc>
        <w:tc>
          <w:tcPr>
            <w:tcW w:w="1337"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22E98D51"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Cash inflows</w:t>
            </w:r>
          </w:p>
        </w:tc>
        <w:tc>
          <w:tcPr>
            <w:tcW w:w="1359"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74DF10A6"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PVF @ 2%</w:t>
            </w:r>
          </w:p>
        </w:tc>
        <w:tc>
          <w:tcPr>
            <w:tcW w:w="1337"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2C8EA14C"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w:t>
            </w:r>
          </w:p>
        </w:tc>
        <w:tc>
          <w:tcPr>
            <w:tcW w:w="1430"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76CEB726"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PVF @ 15%</w:t>
            </w:r>
          </w:p>
        </w:tc>
        <w:tc>
          <w:tcPr>
            <w:tcW w:w="1337" w:type="dxa"/>
            <w:vMerge w:val="restart"/>
            <w:tcBorders>
              <w:top w:val="single" w:sz="4" w:space="0" w:color="auto"/>
              <w:left w:val="single" w:sz="4" w:space="0" w:color="auto"/>
              <w:bottom w:val="single" w:sz="4" w:space="0" w:color="auto"/>
              <w:right w:val="single" w:sz="4" w:space="0" w:color="auto"/>
            </w:tcBorders>
            <w:shd w:val="clear" w:color="000000" w:fill="808080"/>
            <w:noWrap/>
            <w:vAlign w:val="center"/>
          </w:tcPr>
          <w:p w14:paraId="73552523" w14:textId="77777777" w:rsidR="00044E7A" w:rsidRDefault="00000000">
            <w:pPr>
              <w:spacing w:after="0" w:line="240" w:lineRule="auto"/>
              <w:jc w:val="both"/>
              <w:rPr>
                <w:rFonts w:ascii="Arial" w:eastAsia="Times New Roman" w:hAnsi="Arial" w:cs="Arial"/>
                <w:b/>
                <w:bCs/>
                <w:color w:val="FFFFFF"/>
                <w:kern w:val="0"/>
                <w:sz w:val="24"/>
                <w:szCs w:val="24"/>
                <w:lang w:eastAsia="en-IN"/>
                <w14:ligatures w14:val="none"/>
              </w:rPr>
            </w:pPr>
            <w:r>
              <w:rPr>
                <w:rFonts w:ascii="Arial" w:eastAsia="Times New Roman" w:hAnsi="Arial" w:cs="Arial"/>
                <w:b/>
                <w:bCs/>
                <w:color w:val="FFFFFF"/>
                <w:kern w:val="0"/>
                <w:sz w:val="24"/>
                <w:szCs w:val="24"/>
                <w:lang w:eastAsia="en-IN"/>
                <w14:ligatures w14:val="none"/>
              </w:rPr>
              <w:t>PV</w:t>
            </w:r>
          </w:p>
        </w:tc>
      </w:tr>
      <w:tr w:rsidR="00044E7A" w14:paraId="7AA71940" w14:textId="77777777">
        <w:trPr>
          <w:trHeight w:val="226"/>
        </w:trPr>
        <w:tc>
          <w:tcPr>
            <w:tcW w:w="2238" w:type="dxa"/>
            <w:vMerge/>
            <w:tcBorders>
              <w:top w:val="single" w:sz="4" w:space="0" w:color="auto"/>
              <w:left w:val="single" w:sz="4" w:space="0" w:color="auto"/>
              <w:bottom w:val="single" w:sz="4" w:space="0" w:color="auto"/>
              <w:right w:val="single" w:sz="4" w:space="0" w:color="auto"/>
            </w:tcBorders>
            <w:vAlign w:val="center"/>
          </w:tcPr>
          <w:p w14:paraId="2991AEBE"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37" w:type="dxa"/>
            <w:vMerge/>
            <w:tcBorders>
              <w:top w:val="single" w:sz="4" w:space="0" w:color="auto"/>
              <w:left w:val="single" w:sz="4" w:space="0" w:color="auto"/>
              <w:bottom w:val="single" w:sz="4" w:space="0" w:color="auto"/>
              <w:right w:val="single" w:sz="4" w:space="0" w:color="auto"/>
            </w:tcBorders>
            <w:vAlign w:val="center"/>
          </w:tcPr>
          <w:p w14:paraId="54E97B00"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59" w:type="dxa"/>
            <w:vMerge/>
            <w:tcBorders>
              <w:top w:val="single" w:sz="4" w:space="0" w:color="auto"/>
              <w:left w:val="single" w:sz="4" w:space="0" w:color="auto"/>
              <w:bottom w:val="single" w:sz="4" w:space="0" w:color="auto"/>
              <w:right w:val="single" w:sz="4" w:space="0" w:color="auto"/>
            </w:tcBorders>
            <w:vAlign w:val="center"/>
          </w:tcPr>
          <w:p w14:paraId="1C208FE3"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37" w:type="dxa"/>
            <w:vMerge/>
            <w:tcBorders>
              <w:top w:val="single" w:sz="4" w:space="0" w:color="auto"/>
              <w:left w:val="single" w:sz="4" w:space="0" w:color="auto"/>
              <w:bottom w:val="single" w:sz="4" w:space="0" w:color="auto"/>
              <w:right w:val="single" w:sz="4" w:space="0" w:color="auto"/>
            </w:tcBorders>
            <w:vAlign w:val="center"/>
          </w:tcPr>
          <w:p w14:paraId="283CA59F"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430" w:type="dxa"/>
            <w:vMerge/>
            <w:tcBorders>
              <w:top w:val="single" w:sz="4" w:space="0" w:color="auto"/>
              <w:left w:val="single" w:sz="4" w:space="0" w:color="auto"/>
              <w:bottom w:val="single" w:sz="4" w:space="0" w:color="auto"/>
              <w:right w:val="single" w:sz="4" w:space="0" w:color="auto"/>
            </w:tcBorders>
            <w:vAlign w:val="center"/>
          </w:tcPr>
          <w:p w14:paraId="39AA9A68"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1337" w:type="dxa"/>
            <w:vMerge/>
            <w:tcBorders>
              <w:top w:val="single" w:sz="4" w:space="0" w:color="auto"/>
              <w:left w:val="single" w:sz="4" w:space="0" w:color="auto"/>
              <w:bottom w:val="single" w:sz="4" w:space="0" w:color="auto"/>
              <w:right w:val="single" w:sz="4" w:space="0" w:color="auto"/>
            </w:tcBorders>
            <w:vAlign w:val="center"/>
          </w:tcPr>
          <w:p w14:paraId="60F252DC"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c>
          <w:tcPr>
            <w:tcW w:w="252" w:type="dxa"/>
            <w:tcBorders>
              <w:top w:val="nil"/>
              <w:left w:val="nil"/>
              <w:bottom w:val="nil"/>
              <w:right w:val="nil"/>
            </w:tcBorders>
            <w:noWrap/>
            <w:vAlign w:val="bottom"/>
          </w:tcPr>
          <w:p w14:paraId="4B619BE9" w14:textId="77777777" w:rsidR="00044E7A" w:rsidRDefault="00044E7A">
            <w:pPr>
              <w:spacing w:after="0" w:line="240" w:lineRule="auto"/>
              <w:jc w:val="both"/>
              <w:rPr>
                <w:rFonts w:ascii="Arial" w:eastAsia="Times New Roman" w:hAnsi="Arial" w:cs="Arial"/>
                <w:b/>
                <w:bCs/>
                <w:color w:val="FFFFFF"/>
                <w:kern w:val="0"/>
                <w:sz w:val="24"/>
                <w:szCs w:val="24"/>
                <w:lang w:eastAsia="en-IN"/>
                <w14:ligatures w14:val="none"/>
              </w:rPr>
            </w:pPr>
          </w:p>
        </w:tc>
      </w:tr>
      <w:tr w:rsidR="00044E7A" w14:paraId="6B16C6E6" w14:textId="77777777">
        <w:trPr>
          <w:trHeight w:val="226"/>
        </w:trPr>
        <w:tc>
          <w:tcPr>
            <w:tcW w:w="2238" w:type="dxa"/>
            <w:tcBorders>
              <w:top w:val="nil"/>
              <w:left w:val="single" w:sz="4" w:space="0" w:color="auto"/>
              <w:bottom w:val="single" w:sz="4" w:space="0" w:color="auto"/>
              <w:right w:val="single" w:sz="4" w:space="0" w:color="auto"/>
            </w:tcBorders>
            <w:noWrap/>
            <w:vAlign w:val="center"/>
          </w:tcPr>
          <w:p w14:paraId="7780A3C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w:t>
            </w:r>
          </w:p>
        </w:tc>
        <w:tc>
          <w:tcPr>
            <w:tcW w:w="1337" w:type="dxa"/>
            <w:tcBorders>
              <w:top w:val="nil"/>
              <w:left w:val="nil"/>
              <w:bottom w:val="single" w:sz="4" w:space="0" w:color="auto"/>
              <w:right w:val="single" w:sz="4" w:space="0" w:color="auto"/>
            </w:tcBorders>
            <w:noWrap/>
            <w:vAlign w:val="center"/>
          </w:tcPr>
          <w:p w14:paraId="1D173EE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359" w:type="dxa"/>
            <w:tcBorders>
              <w:top w:val="nil"/>
              <w:left w:val="nil"/>
              <w:bottom w:val="single" w:sz="4" w:space="0" w:color="auto"/>
              <w:right w:val="single" w:sz="4" w:space="0" w:color="auto"/>
            </w:tcBorders>
            <w:noWrap/>
            <w:vAlign w:val="center"/>
          </w:tcPr>
          <w:p w14:paraId="1FD47C9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0.980</w:t>
            </w:r>
          </w:p>
        </w:tc>
        <w:tc>
          <w:tcPr>
            <w:tcW w:w="1337" w:type="dxa"/>
            <w:tcBorders>
              <w:top w:val="nil"/>
              <w:left w:val="nil"/>
              <w:bottom w:val="single" w:sz="4" w:space="0" w:color="auto"/>
              <w:right w:val="single" w:sz="4" w:space="0" w:color="auto"/>
            </w:tcBorders>
            <w:noWrap/>
            <w:vAlign w:val="center"/>
          </w:tcPr>
          <w:p w14:paraId="35BC2C1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4.90</w:t>
            </w:r>
          </w:p>
        </w:tc>
        <w:tc>
          <w:tcPr>
            <w:tcW w:w="1430" w:type="dxa"/>
            <w:tcBorders>
              <w:top w:val="nil"/>
              <w:left w:val="nil"/>
              <w:bottom w:val="single" w:sz="4" w:space="0" w:color="auto"/>
              <w:right w:val="single" w:sz="4" w:space="0" w:color="auto"/>
            </w:tcBorders>
            <w:noWrap/>
            <w:vAlign w:val="center"/>
          </w:tcPr>
          <w:p w14:paraId="0EF4E8B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0.870</w:t>
            </w:r>
          </w:p>
        </w:tc>
        <w:tc>
          <w:tcPr>
            <w:tcW w:w="1337" w:type="dxa"/>
            <w:tcBorders>
              <w:top w:val="nil"/>
              <w:left w:val="nil"/>
              <w:bottom w:val="single" w:sz="4" w:space="0" w:color="auto"/>
              <w:right w:val="single" w:sz="4" w:space="0" w:color="auto"/>
            </w:tcBorders>
            <w:noWrap/>
            <w:vAlign w:val="center"/>
          </w:tcPr>
          <w:p w14:paraId="648FA2D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4.35</w:t>
            </w:r>
          </w:p>
        </w:tc>
        <w:tc>
          <w:tcPr>
            <w:tcW w:w="252" w:type="dxa"/>
            <w:vAlign w:val="center"/>
          </w:tcPr>
          <w:p w14:paraId="756627EE"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3B7FD82B" w14:textId="77777777">
        <w:trPr>
          <w:trHeight w:val="226"/>
        </w:trPr>
        <w:tc>
          <w:tcPr>
            <w:tcW w:w="2238" w:type="dxa"/>
            <w:tcBorders>
              <w:top w:val="nil"/>
              <w:left w:val="single" w:sz="4" w:space="0" w:color="auto"/>
              <w:bottom w:val="single" w:sz="4" w:space="0" w:color="auto"/>
              <w:right w:val="single" w:sz="4" w:space="0" w:color="auto"/>
            </w:tcBorders>
            <w:noWrap/>
            <w:vAlign w:val="center"/>
          </w:tcPr>
          <w:p w14:paraId="63D9660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w:t>
            </w:r>
          </w:p>
        </w:tc>
        <w:tc>
          <w:tcPr>
            <w:tcW w:w="1337" w:type="dxa"/>
            <w:tcBorders>
              <w:top w:val="nil"/>
              <w:left w:val="nil"/>
              <w:bottom w:val="single" w:sz="4" w:space="0" w:color="auto"/>
              <w:right w:val="single" w:sz="4" w:space="0" w:color="auto"/>
            </w:tcBorders>
            <w:noWrap/>
            <w:vAlign w:val="center"/>
          </w:tcPr>
          <w:p w14:paraId="262D14B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w:t>
            </w:r>
          </w:p>
        </w:tc>
        <w:tc>
          <w:tcPr>
            <w:tcW w:w="1359" w:type="dxa"/>
            <w:tcBorders>
              <w:top w:val="nil"/>
              <w:left w:val="nil"/>
              <w:bottom w:val="single" w:sz="4" w:space="0" w:color="auto"/>
              <w:right w:val="single" w:sz="4" w:space="0" w:color="auto"/>
            </w:tcBorders>
            <w:noWrap/>
            <w:vAlign w:val="center"/>
          </w:tcPr>
          <w:p w14:paraId="2A8033A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0.961</w:t>
            </w:r>
          </w:p>
        </w:tc>
        <w:tc>
          <w:tcPr>
            <w:tcW w:w="1337" w:type="dxa"/>
            <w:tcBorders>
              <w:top w:val="nil"/>
              <w:left w:val="nil"/>
              <w:bottom w:val="single" w:sz="4" w:space="0" w:color="auto"/>
              <w:right w:val="single" w:sz="4" w:space="0" w:color="auto"/>
            </w:tcBorders>
            <w:noWrap/>
            <w:vAlign w:val="center"/>
          </w:tcPr>
          <w:p w14:paraId="13497318"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9.61</w:t>
            </w:r>
          </w:p>
        </w:tc>
        <w:tc>
          <w:tcPr>
            <w:tcW w:w="1430" w:type="dxa"/>
            <w:tcBorders>
              <w:top w:val="nil"/>
              <w:left w:val="nil"/>
              <w:bottom w:val="single" w:sz="4" w:space="0" w:color="auto"/>
              <w:right w:val="single" w:sz="4" w:space="0" w:color="auto"/>
            </w:tcBorders>
            <w:noWrap/>
            <w:vAlign w:val="center"/>
          </w:tcPr>
          <w:p w14:paraId="03D11DC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0.756</w:t>
            </w:r>
          </w:p>
        </w:tc>
        <w:tc>
          <w:tcPr>
            <w:tcW w:w="1337" w:type="dxa"/>
            <w:tcBorders>
              <w:top w:val="nil"/>
              <w:left w:val="nil"/>
              <w:bottom w:val="single" w:sz="4" w:space="0" w:color="auto"/>
              <w:right w:val="single" w:sz="4" w:space="0" w:color="auto"/>
            </w:tcBorders>
            <w:noWrap/>
            <w:vAlign w:val="center"/>
          </w:tcPr>
          <w:p w14:paraId="086F849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7.56</w:t>
            </w:r>
          </w:p>
        </w:tc>
        <w:tc>
          <w:tcPr>
            <w:tcW w:w="252" w:type="dxa"/>
            <w:vAlign w:val="center"/>
          </w:tcPr>
          <w:p w14:paraId="393EDBB7"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6AB9394F" w14:textId="77777777">
        <w:trPr>
          <w:trHeight w:val="226"/>
        </w:trPr>
        <w:tc>
          <w:tcPr>
            <w:tcW w:w="2238" w:type="dxa"/>
            <w:tcBorders>
              <w:top w:val="nil"/>
              <w:left w:val="single" w:sz="4" w:space="0" w:color="auto"/>
              <w:bottom w:val="single" w:sz="4" w:space="0" w:color="auto"/>
              <w:right w:val="single" w:sz="4" w:space="0" w:color="auto"/>
            </w:tcBorders>
            <w:noWrap/>
            <w:vAlign w:val="center"/>
          </w:tcPr>
          <w:p w14:paraId="3294B78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3</w:t>
            </w:r>
          </w:p>
        </w:tc>
        <w:tc>
          <w:tcPr>
            <w:tcW w:w="1337" w:type="dxa"/>
            <w:tcBorders>
              <w:top w:val="nil"/>
              <w:left w:val="nil"/>
              <w:bottom w:val="single" w:sz="4" w:space="0" w:color="auto"/>
              <w:right w:val="single" w:sz="4" w:space="0" w:color="auto"/>
            </w:tcBorders>
            <w:noWrap/>
            <w:vAlign w:val="center"/>
          </w:tcPr>
          <w:p w14:paraId="0E524C1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20</w:t>
            </w:r>
          </w:p>
        </w:tc>
        <w:tc>
          <w:tcPr>
            <w:tcW w:w="1359" w:type="dxa"/>
            <w:tcBorders>
              <w:top w:val="nil"/>
              <w:left w:val="nil"/>
              <w:bottom w:val="single" w:sz="4" w:space="0" w:color="auto"/>
              <w:right w:val="single" w:sz="4" w:space="0" w:color="auto"/>
            </w:tcBorders>
            <w:noWrap/>
            <w:vAlign w:val="center"/>
          </w:tcPr>
          <w:p w14:paraId="063E5DE9"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0.942</w:t>
            </w:r>
          </w:p>
        </w:tc>
        <w:tc>
          <w:tcPr>
            <w:tcW w:w="1337" w:type="dxa"/>
            <w:tcBorders>
              <w:top w:val="nil"/>
              <w:left w:val="nil"/>
              <w:bottom w:val="single" w:sz="4" w:space="0" w:color="auto"/>
              <w:right w:val="single" w:sz="4" w:space="0" w:color="auto"/>
            </w:tcBorders>
            <w:noWrap/>
            <w:vAlign w:val="center"/>
          </w:tcPr>
          <w:p w14:paraId="21A56CAB"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18.85</w:t>
            </w:r>
          </w:p>
        </w:tc>
        <w:tc>
          <w:tcPr>
            <w:tcW w:w="1430" w:type="dxa"/>
            <w:tcBorders>
              <w:top w:val="nil"/>
              <w:left w:val="nil"/>
              <w:bottom w:val="single" w:sz="4" w:space="0" w:color="auto"/>
              <w:right w:val="single" w:sz="4" w:space="0" w:color="auto"/>
            </w:tcBorders>
            <w:noWrap/>
            <w:vAlign w:val="center"/>
          </w:tcPr>
          <w:p w14:paraId="6246985D"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0.658</w:t>
            </w:r>
          </w:p>
        </w:tc>
        <w:tc>
          <w:tcPr>
            <w:tcW w:w="1337" w:type="dxa"/>
            <w:tcBorders>
              <w:top w:val="nil"/>
              <w:left w:val="nil"/>
              <w:bottom w:val="single" w:sz="4" w:space="0" w:color="auto"/>
              <w:right w:val="single" w:sz="4" w:space="0" w:color="auto"/>
            </w:tcBorders>
            <w:noWrap/>
            <w:vAlign w:val="center"/>
          </w:tcPr>
          <w:p w14:paraId="4950031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13.15</w:t>
            </w:r>
          </w:p>
        </w:tc>
        <w:tc>
          <w:tcPr>
            <w:tcW w:w="252" w:type="dxa"/>
            <w:vAlign w:val="center"/>
          </w:tcPr>
          <w:p w14:paraId="1D94A636"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4701C996" w14:textId="77777777">
        <w:trPr>
          <w:trHeight w:val="226"/>
        </w:trPr>
        <w:tc>
          <w:tcPr>
            <w:tcW w:w="2238" w:type="dxa"/>
            <w:tcBorders>
              <w:top w:val="nil"/>
              <w:left w:val="single" w:sz="4" w:space="0" w:color="auto"/>
              <w:bottom w:val="single" w:sz="4" w:space="0" w:color="auto"/>
              <w:right w:val="single" w:sz="4" w:space="0" w:color="auto"/>
            </w:tcBorders>
            <w:noWrap/>
            <w:vAlign w:val="center"/>
          </w:tcPr>
          <w:p w14:paraId="5ED887C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w:t>
            </w:r>
          </w:p>
        </w:tc>
        <w:tc>
          <w:tcPr>
            <w:tcW w:w="1337" w:type="dxa"/>
            <w:tcBorders>
              <w:top w:val="nil"/>
              <w:left w:val="nil"/>
              <w:bottom w:val="single" w:sz="4" w:space="0" w:color="auto"/>
              <w:right w:val="single" w:sz="4" w:space="0" w:color="auto"/>
            </w:tcBorders>
            <w:noWrap/>
            <w:vAlign w:val="center"/>
          </w:tcPr>
          <w:p w14:paraId="33DDD5B4"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25</w:t>
            </w:r>
          </w:p>
        </w:tc>
        <w:tc>
          <w:tcPr>
            <w:tcW w:w="1359" w:type="dxa"/>
            <w:tcBorders>
              <w:top w:val="nil"/>
              <w:left w:val="nil"/>
              <w:bottom w:val="single" w:sz="4" w:space="0" w:color="auto"/>
              <w:right w:val="single" w:sz="4" w:space="0" w:color="auto"/>
            </w:tcBorders>
            <w:noWrap/>
            <w:vAlign w:val="center"/>
          </w:tcPr>
          <w:p w14:paraId="605C304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0.924</w:t>
            </w:r>
          </w:p>
        </w:tc>
        <w:tc>
          <w:tcPr>
            <w:tcW w:w="1337" w:type="dxa"/>
            <w:tcBorders>
              <w:top w:val="nil"/>
              <w:left w:val="nil"/>
              <w:bottom w:val="single" w:sz="4" w:space="0" w:color="auto"/>
              <w:right w:val="single" w:sz="4" w:space="0" w:color="auto"/>
            </w:tcBorders>
            <w:noWrap/>
            <w:vAlign w:val="center"/>
          </w:tcPr>
          <w:p w14:paraId="4BB433F6"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23.10</w:t>
            </w:r>
          </w:p>
        </w:tc>
        <w:tc>
          <w:tcPr>
            <w:tcW w:w="1430" w:type="dxa"/>
            <w:tcBorders>
              <w:top w:val="nil"/>
              <w:left w:val="nil"/>
              <w:bottom w:val="single" w:sz="4" w:space="0" w:color="auto"/>
              <w:right w:val="single" w:sz="4" w:space="0" w:color="auto"/>
            </w:tcBorders>
            <w:noWrap/>
            <w:vAlign w:val="center"/>
          </w:tcPr>
          <w:p w14:paraId="5B3A31F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0.572</w:t>
            </w:r>
          </w:p>
        </w:tc>
        <w:tc>
          <w:tcPr>
            <w:tcW w:w="1337" w:type="dxa"/>
            <w:tcBorders>
              <w:top w:val="nil"/>
              <w:left w:val="nil"/>
              <w:bottom w:val="single" w:sz="4" w:space="0" w:color="auto"/>
              <w:right w:val="single" w:sz="4" w:space="0" w:color="auto"/>
            </w:tcBorders>
            <w:noWrap/>
            <w:vAlign w:val="center"/>
          </w:tcPr>
          <w:p w14:paraId="629CBE0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14.29</w:t>
            </w:r>
          </w:p>
        </w:tc>
        <w:tc>
          <w:tcPr>
            <w:tcW w:w="252" w:type="dxa"/>
            <w:vAlign w:val="center"/>
          </w:tcPr>
          <w:p w14:paraId="3232194F"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1B69C92B" w14:textId="77777777">
        <w:trPr>
          <w:trHeight w:val="226"/>
        </w:trPr>
        <w:tc>
          <w:tcPr>
            <w:tcW w:w="2238" w:type="dxa"/>
            <w:tcBorders>
              <w:top w:val="nil"/>
              <w:left w:val="single" w:sz="4" w:space="0" w:color="auto"/>
              <w:bottom w:val="single" w:sz="4" w:space="0" w:color="auto"/>
              <w:right w:val="single" w:sz="4" w:space="0" w:color="auto"/>
            </w:tcBorders>
            <w:noWrap/>
            <w:vAlign w:val="center"/>
          </w:tcPr>
          <w:p w14:paraId="2A9F49D3"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337" w:type="dxa"/>
            <w:tcBorders>
              <w:top w:val="nil"/>
              <w:left w:val="nil"/>
              <w:bottom w:val="single" w:sz="4" w:space="0" w:color="auto"/>
              <w:right w:val="single" w:sz="4" w:space="0" w:color="auto"/>
            </w:tcBorders>
            <w:noWrap/>
            <w:vAlign w:val="center"/>
          </w:tcPr>
          <w:p w14:paraId="3BDFDE52"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w:t>
            </w:r>
          </w:p>
        </w:tc>
        <w:tc>
          <w:tcPr>
            <w:tcW w:w="1359" w:type="dxa"/>
            <w:tcBorders>
              <w:top w:val="nil"/>
              <w:left w:val="nil"/>
              <w:bottom w:val="single" w:sz="4" w:space="0" w:color="auto"/>
              <w:right w:val="single" w:sz="4" w:space="0" w:color="auto"/>
            </w:tcBorders>
            <w:noWrap/>
            <w:vAlign w:val="center"/>
          </w:tcPr>
          <w:p w14:paraId="1660D23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0.906</w:t>
            </w:r>
          </w:p>
        </w:tc>
        <w:tc>
          <w:tcPr>
            <w:tcW w:w="1337" w:type="dxa"/>
            <w:tcBorders>
              <w:top w:val="nil"/>
              <w:left w:val="nil"/>
              <w:bottom w:val="single" w:sz="4" w:space="0" w:color="auto"/>
              <w:right w:val="single" w:sz="4" w:space="0" w:color="auto"/>
            </w:tcBorders>
            <w:noWrap/>
            <w:vAlign w:val="center"/>
          </w:tcPr>
          <w:p w14:paraId="1B6E884A"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4.53</w:t>
            </w:r>
          </w:p>
        </w:tc>
        <w:tc>
          <w:tcPr>
            <w:tcW w:w="1430" w:type="dxa"/>
            <w:tcBorders>
              <w:top w:val="nil"/>
              <w:left w:val="nil"/>
              <w:bottom w:val="single" w:sz="4" w:space="0" w:color="auto"/>
              <w:right w:val="single" w:sz="4" w:space="0" w:color="auto"/>
            </w:tcBorders>
            <w:noWrap/>
            <w:vAlign w:val="center"/>
          </w:tcPr>
          <w:p w14:paraId="7A6F4AB5"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0.497</w:t>
            </w:r>
          </w:p>
        </w:tc>
        <w:tc>
          <w:tcPr>
            <w:tcW w:w="1337" w:type="dxa"/>
            <w:tcBorders>
              <w:top w:val="nil"/>
              <w:left w:val="nil"/>
              <w:bottom w:val="single" w:sz="4" w:space="0" w:color="auto"/>
              <w:right w:val="single" w:sz="4" w:space="0" w:color="auto"/>
            </w:tcBorders>
            <w:noWrap/>
            <w:vAlign w:val="center"/>
          </w:tcPr>
          <w:p w14:paraId="1A91FB11"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2.49</w:t>
            </w:r>
          </w:p>
        </w:tc>
        <w:tc>
          <w:tcPr>
            <w:tcW w:w="252" w:type="dxa"/>
            <w:vAlign w:val="center"/>
          </w:tcPr>
          <w:p w14:paraId="6D5971A5"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4A60D115" w14:textId="77777777">
        <w:trPr>
          <w:trHeight w:val="226"/>
        </w:trPr>
        <w:tc>
          <w:tcPr>
            <w:tcW w:w="2238" w:type="dxa"/>
            <w:tcBorders>
              <w:top w:val="nil"/>
              <w:left w:val="single" w:sz="4" w:space="0" w:color="auto"/>
              <w:bottom w:val="single" w:sz="4" w:space="0" w:color="auto"/>
              <w:right w:val="single" w:sz="4" w:space="0" w:color="auto"/>
            </w:tcBorders>
            <w:noWrap/>
            <w:vAlign w:val="center"/>
          </w:tcPr>
          <w:p w14:paraId="445744C5"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Total cash inflows</w:t>
            </w:r>
          </w:p>
        </w:tc>
        <w:tc>
          <w:tcPr>
            <w:tcW w:w="1337" w:type="dxa"/>
            <w:tcBorders>
              <w:top w:val="nil"/>
              <w:left w:val="nil"/>
              <w:bottom w:val="single" w:sz="4" w:space="0" w:color="auto"/>
              <w:right w:val="single" w:sz="4" w:space="0" w:color="auto"/>
            </w:tcBorders>
            <w:noWrap/>
            <w:vAlign w:val="center"/>
          </w:tcPr>
          <w:p w14:paraId="62F624B6"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65</w:t>
            </w:r>
          </w:p>
        </w:tc>
        <w:tc>
          <w:tcPr>
            <w:tcW w:w="1359" w:type="dxa"/>
            <w:tcBorders>
              <w:top w:val="nil"/>
              <w:left w:val="nil"/>
              <w:bottom w:val="single" w:sz="4" w:space="0" w:color="auto"/>
              <w:right w:val="single" w:sz="4" w:space="0" w:color="auto"/>
            </w:tcBorders>
            <w:noWrap/>
            <w:vAlign w:val="center"/>
          </w:tcPr>
          <w:p w14:paraId="17EB5095"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337" w:type="dxa"/>
            <w:tcBorders>
              <w:top w:val="nil"/>
              <w:left w:val="nil"/>
              <w:bottom w:val="single" w:sz="4" w:space="0" w:color="auto"/>
              <w:right w:val="single" w:sz="4" w:space="0" w:color="auto"/>
            </w:tcBorders>
            <w:noWrap/>
            <w:vAlign w:val="center"/>
          </w:tcPr>
          <w:p w14:paraId="397F1E46"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60.98</w:t>
            </w:r>
          </w:p>
        </w:tc>
        <w:tc>
          <w:tcPr>
            <w:tcW w:w="1430" w:type="dxa"/>
            <w:tcBorders>
              <w:top w:val="nil"/>
              <w:left w:val="nil"/>
              <w:bottom w:val="single" w:sz="4" w:space="0" w:color="auto"/>
              <w:right w:val="single" w:sz="4" w:space="0" w:color="auto"/>
            </w:tcBorders>
            <w:noWrap/>
            <w:vAlign w:val="center"/>
          </w:tcPr>
          <w:p w14:paraId="5CB93B78" w14:textId="77777777" w:rsidR="00044E7A" w:rsidRDefault="00044E7A">
            <w:pPr>
              <w:spacing w:after="0" w:line="240" w:lineRule="auto"/>
              <w:jc w:val="both"/>
              <w:rPr>
                <w:rFonts w:ascii="Arial" w:eastAsia="Times New Roman" w:hAnsi="Arial" w:cs="Arial"/>
                <w:b/>
                <w:bCs/>
                <w:color w:val="000000"/>
                <w:kern w:val="0"/>
                <w:sz w:val="24"/>
                <w:szCs w:val="24"/>
                <w:lang w:eastAsia="en-IN"/>
                <w14:ligatures w14:val="none"/>
              </w:rPr>
            </w:pPr>
          </w:p>
        </w:tc>
        <w:tc>
          <w:tcPr>
            <w:tcW w:w="1337" w:type="dxa"/>
            <w:tcBorders>
              <w:top w:val="nil"/>
              <w:left w:val="nil"/>
              <w:bottom w:val="single" w:sz="4" w:space="0" w:color="auto"/>
              <w:right w:val="single" w:sz="4" w:space="0" w:color="auto"/>
            </w:tcBorders>
            <w:noWrap/>
            <w:vAlign w:val="center"/>
          </w:tcPr>
          <w:p w14:paraId="492B54D8"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41.84</w:t>
            </w:r>
          </w:p>
        </w:tc>
        <w:tc>
          <w:tcPr>
            <w:tcW w:w="252" w:type="dxa"/>
            <w:vAlign w:val="center"/>
          </w:tcPr>
          <w:p w14:paraId="1E62ABAD"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446A5FF5" w14:textId="77777777">
        <w:trPr>
          <w:trHeight w:val="226"/>
        </w:trPr>
        <w:tc>
          <w:tcPr>
            <w:tcW w:w="2238" w:type="dxa"/>
            <w:tcBorders>
              <w:top w:val="nil"/>
              <w:left w:val="single" w:sz="4" w:space="0" w:color="auto"/>
              <w:bottom w:val="single" w:sz="4" w:space="0" w:color="auto"/>
              <w:right w:val="single" w:sz="4" w:space="0" w:color="auto"/>
            </w:tcBorders>
            <w:noWrap/>
            <w:vAlign w:val="center"/>
          </w:tcPr>
          <w:p w14:paraId="7F41E62C"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Less: Initial investment</w:t>
            </w:r>
          </w:p>
        </w:tc>
        <w:tc>
          <w:tcPr>
            <w:tcW w:w="1337" w:type="dxa"/>
            <w:tcBorders>
              <w:top w:val="nil"/>
              <w:left w:val="nil"/>
              <w:bottom w:val="single" w:sz="4" w:space="0" w:color="auto"/>
              <w:right w:val="single" w:sz="4" w:space="0" w:color="auto"/>
            </w:tcBorders>
            <w:noWrap/>
            <w:vAlign w:val="center"/>
          </w:tcPr>
          <w:p w14:paraId="1E281422"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59" w:type="dxa"/>
            <w:tcBorders>
              <w:top w:val="nil"/>
              <w:left w:val="nil"/>
              <w:bottom w:val="single" w:sz="4" w:space="0" w:color="auto"/>
              <w:right w:val="single" w:sz="4" w:space="0" w:color="auto"/>
            </w:tcBorders>
            <w:noWrap/>
            <w:vAlign w:val="center"/>
          </w:tcPr>
          <w:p w14:paraId="0299106E"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37" w:type="dxa"/>
            <w:tcBorders>
              <w:top w:val="nil"/>
              <w:left w:val="nil"/>
              <w:bottom w:val="single" w:sz="4" w:space="0" w:color="auto"/>
              <w:right w:val="single" w:sz="4" w:space="0" w:color="auto"/>
            </w:tcBorders>
            <w:noWrap/>
            <w:vAlign w:val="center"/>
          </w:tcPr>
          <w:p w14:paraId="451808A7"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50.00</w:t>
            </w:r>
          </w:p>
        </w:tc>
        <w:tc>
          <w:tcPr>
            <w:tcW w:w="1430" w:type="dxa"/>
            <w:tcBorders>
              <w:top w:val="nil"/>
              <w:left w:val="nil"/>
              <w:bottom w:val="single" w:sz="4" w:space="0" w:color="auto"/>
              <w:right w:val="single" w:sz="4" w:space="0" w:color="auto"/>
            </w:tcBorders>
            <w:noWrap/>
            <w:vAlign w:val="center"/>
          </w:tcPr>
          <w:p w14:paraId="4610CD74"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37" w:type="dxa"/>
            <w:tcBorders>
              <w:top w:val="nil"/>
              <w:left w:val="nil"/>
              <w:bottom w:val="single" w:sz="4" w:space="0" w:color="auto"/>
              <w:right w:val="single" w:sz="4" w:space="0" w:color="auto"/>
            </w:tcBorders>
            <w:noWrap/>
            <w:vAlign w:val="center"/>
          </w:tcPr>
          <w:p w14:paraId="0DA6C35F"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50.00</w:t>
            </w:r>
          </w:p>
        </w:tc>
        <w:tc>
          <w:tcPr>
            <w:tcW w:w="252" w:type="dxa"/>
            <w:vAlign w:val="center"/>
          </w:tcPr>
          <w:p w14:paraId="51A1BA06"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r w:rsidR="00044E7A" w14:paraId="0CE686E9" w14:textId="77777777">
        <w:trPr>
          <w:trHeight w:val="226"/>
        </w:trPr>
        <w:tc>
          <w:tcPr>
            <w:tcW w:w="2238" w:type="dxa"/>
            <w:tcBorders>
              <w:top w:val="nil"/>
              <w:left w:val="single" w:sz="4" w:space="0" w:color="auto"/>
              <w:bottom w:val="single" w:sz="4" w:space="0" w:color="auto"/>
              <w:right w:val="single" w:sz="4" w:space="0" w:color="auto"/>
            </w:tcBorders>
            <w:noWrap/>
            <w:vAlign w:val="center"/>
          </w:tcPr>
          <w:p w14:paraId="3FF0036F" w14:textId="77777777" w:rsidR="00044E7A" w:rsidRDefault="00000000">
            <w:pPr>
              <w:spacing w:after="0" w:line="24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Net present value</w:t>
            </w:r>
          </w:p>
        </w:tc>
        <w:tc>
          <w:tcPr>
            <w:tcW w:w="1337" w:type="dxa"/>
            <w:tcBorders>
              <w:top w:val="nil"/>
              <w:left w:val="nil"/>
              <w:bottom w:val="single" w:sz="4" w:space="0" w:color="auto"/>
              <w:right w:val="single" w:sz="4" w:space="0" w:color="auto"/>
            </w:tcBorders>
            <w:noWrap/>
            <w:vAlign w:val="center"/>
          </w:tcPr>
          <w:p w14:paraId="75C09376"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59" w:type="dxa"/>
            <w:tcBorders>
              <w:top w:val="nil"/>
              <w:left w:val="nil"/>
              <w:bottom w:val="single" w:sz="4" w:space="0" w:color="auto"/>
              <w:right w:val="single" w:sz="4" w:space="0" w:color="auto"/>
            </w:tcBorders>
            <w:noWrap/>
            <w:vAlign w:val="center"/>
          </w:tcPr>
          <w:p w14:paraId="77E60369"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37" w:type="dxa"/>
            <w:tcBorders>
              <w:top w:val="nil"/>
              <w:left w:val="nil"/>
              <w:bottom w:val="single" w:sz="4" w:space="0" w:color="auto"/>
              <w:right w:val="single" w:sz="4" w:space="0" w:color="auto"/>
            </w:tcBorders>
            <w:noWrap/>
            <w:vAlign w:val="center"/>
          </w:tcPr>
          <w:p w14:paraId="4E1DC290"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10.98</w:t>
            </w:r>
          </w:p>
        </w:tc>
        <w:tc>
          <w:tcPr>
            <w:tcW w:w="1430" w:type="dxa"/>
            <w:tcBorders>
              <w:top w:val="nil"/>
              <w:left w:val="nil"/>
              <w:bottom w:val="single" w:sz="4" w:space="0" w:color="auto"/>
              <w:right w:val="single" w:sz="4" w:space="0" w:color="auto"/>
            </w:tcBorders>
            <w:noWrap/>
            <w:vAlign w:val="center"/>
          </w:tcPr>
          <w:p w14:paraId="66BDEC0C" w14:textId="77777777" w:rsidR="00044E7A" w:rsidRDefault="00044E7A">
            <w:pPr>
              <w:spacing w:after="0" w:line="240" w:lineRule="auto"/>
              <w:jc w:val="both"/>
              <w:rPr>
                <w:rFonts w:ascii="Arial" w:eastAsia="Times New Roman" w:hAnsi="Arial" w:cs="Arial"/>
                <w:color w:val="000000"/>
                <w:kern w:val="0"/>
                <w:sz w:val="24"/>
                <w:szCs w:val="24"/>
                <w:lang w:eastAsia="en-IN"/>
                <w14:ligatures w14:val="none"/>
              </w:rPr>
            </w:pPr>
          </w:p>
        </w:tc>
        <w:tc>
          <w:tcPr>
            <w:tcW w:w="1337" w:type="dxa"/>
            <w:tcBorders>
              <w:top w:val="nil"/>
              <w:left w:val="nil"/>
              <w:bottom w:val="single" w:sz="4" w:space="0" w:color="auto"/>
              <w:right w:val="single" w:sz="4" w:space="0" w:color="auto"/>
            </w:tcBorders>
            <w:noWrap/>
            <w:vAlign w:val="center"/>
          </w:tcPr>
          <w:p w14:paraId="1F156B1E" w14:textId="77777777" w:rsidR="00044E7A" w:rsidRDefault="00000000">
            <w:pPr>
              <w:spacing w:after="0" w:line="24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-8.16</w:t>
            </w:r>
          </w:p>
        </w:tc>
        <w:tc>
          <w:tcPr>
            <w:tcW w:w="252" w:type="dxa"/>
            <w:vAlign w:val="center"/>
          </w:tcPr>
          <w:p w14:paraId="13BB20D0" w14:textId="77777777" w:rsidR="00044E7A" w:rsidRDefault="00044E7A">
            <w:pPr>
              <w:spacing w:after="0" w:line="240" w:lineRule="auto"/>
              <w:jc w:val="both"/>
              <w:rPr>
                <w:rFonts w:ascii="Arial" w:eastAsia="Times New Roman" w:hAnsi="Arial" w:cs="Arial"/>
                <w:kern w:val="0"/>
                <w:sz w:val="24"/>
                <w:szCs w:val="24"/>
                <w:lang w:eastAsia="en-IN"/>
                <w14:ligatures w14:val="none"/>
              </w:rPr>
            </w:pPr>
          </w:p>
        </w:tc>
      </w:tr>
    </w:tbl>
    <w:p w14:paraId="02D246BB" w14:textId="77777777" w:rsidR="00044E7A" w:rsidRDefault="00044E7A">
      <w:pPr>
        <w:spacing w:line="360" w:lineRule="auto"/>
        <w:jc w:val="both"/>
        <w:rPr>
          <w:rFonts w:ascii="Arial" w:hAnsi="Arial" w:cs="Arial"/>
          <w:b/>
          <w:bCs/>
          <w:sz w:val="24"/>
          <w:szCs w:val="24"/>
          <w:u w:val="single"/>
        </w:rPr>
      </w:pPr>
    </w:p>
    <w:p w14:paraId="57F01C3E" w14:textId="77777777" w:rsidR="00044E7A" w:rsidRDefault="00000000">
      <w:pPr>
        <w:spacing w:line="360" w:lineRule="auto"/>
        <w:jc w:val="both"/>
        <w:rPr>
          <w:rFonts w:ascii="Arial" w:hAnsi="Arial" w:cs="Arial"/>
          <w:sz w:val="24"/>
          <w:szCs w:val="24"/>
        </w:rPr>
      </w:pPr>
      <w:r>
        <w:rPr>
          <w:rFonts w:ascii="Arial" w:hAnsi="Arial" w:cs="Arial"/>
          <w:sz w:val="24"/>
          <w:szCs w:val="24"/>
        </w:rPr>
        <w:t>IRR = 2% + (£10.98 million/ £10.98 million – (-£8.16 million)) * (15% - 2%)</w:t>
      </w:r>
    </w:p>
    <w:p w14:paraId="31786C17" w14:textId="77777777" w:rsidR="00044E7A" w:rsidRDefault="00000000">
      <w:pPr>
        <w:spacing w:line="360" w:lineRule="auto"/>
        <w:jc w:val="both"/>
        <w:rPr>
          <w:rFonts w:ascii="Arial" w:hAnsi="Arial" w:cs="Arial"/>
          <w:sz w:val="24"/>
          <w:szCs w:val="24"/>
        </w:rPr>
      </w:pPr>
      <w:r>
        <w:rPr>
          <w:rFonts w:ascii="Arial" w:hAnsi="Arial" w:cs="Arial"/>
          <w:sz w:val="24"/>
          <w:szCs w:val="24"/>
        </w:rPr>
        <w:t xml:space="preserve">= 9.46% </w:t>
      </w:r>
    </w:p>
    <w:p w14:paraId="73D7789B" w14:textId="77777777" w:rsidR="00044E7A" w:rsidRDefault="00044E7A">
      <w:pPr>
        <w:spacing w:line="360" w:lineRule="auto"/>
        <w:jc w:val="both"/>
        <w:rPr>
          <w:rFonts w:ascii="Arial" w:hAnsi="Arial" w:cs="Arial"/>
          <w:b/>
          <w:bCs/>
          <w:sz w:val="24"/>
          <w:szCs w:val="24"/>
          <w:u w:val="single"/>
        </w:rPr>
      </w:pPr>
    </w:p>
    <w:p w14:paraId="2C3AD2BD" w14:textId="77777777" w:rsidR="00044E7A" w:rsidRDefault="00044E7A">
      <w:pPr>
        <w:spacing w:line="360" w:lineRule="auto"/>
        <w:jc w:val="both"/>
        <w:rPr>
          <w:rFonts w:ascii="Arial" w:hAnsi="Arial" w:cs="Arial"/>
          <w:sz w:val="24"/>
          <w:szCs w:val="24"/>
        </w:rPr>
      </w:pPr>
    </w:p>
    <w:p w14:paraId="67B35D05" w14:textId="77777777" w:rsidR="00044E7A" w:rsidRDefault="00044E7A">
      <w:pPr>
        <w:spacing w:line="360" w:lineRule="auto"/>
        <w:jc w:val="both"/>
        <w:rPr>
          <w:rFonts w:ascii="Arial" w:hAnsi="Arial" w:cs="Arial"/>
          <w:sz w:val="24"/>
          <w:szCs w:val="24"/>
        </w:rPr>
      </w:pPr>
    </w:p>
    <w:p w14:paraId="67048A24" w14:textId="77777777" w:rsidR="00044E7A" w:rsidRDefault="00044E7A">
      <w:pPr>
        <w:jc w:val="both"/>
        <w:rPr>
          <w:rFonts w:ascii="Arial" w:hAnsi="Arial" w:cs="Arial"/>
          <w:sz w:val="24"/>
          <w:szCs w:val="24"/>
        </w:rPr>
      </w:pPr>
    </w:p>
    <w:p w14:paraId="3434748D" w14:textId="77777777" w:rsidR="00044E7A" w:rsidRDefault="00044E7A">
      <w:pPr>
        <w:jc w:val="both"/>
        <w:rPr>
          <w:rFonts w:ascii="Arial" w:hAnsi="Arial" w:cs="Arial"/>
          <w:sz w:val="24"/>
          <w:szCs w:val="24"/>
        </w:rPr>
      </w:pPr>
    </w:p>
    <w:sectPr w:rsidR="00044E7A">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A37C8" w14:textId="77777777" w:rsidR="005E0690" w:rsidRDefault="005E0690">
      <w:pPr>
        <w:spacing w:line="240" w:lineRule="auto"/>
      </w:pPr>
      <w:r>
        <w:separator/>
      </w:r>
    </w:p>
  </w:endnote>
  <w:endnote w:type="continuationSeparator" w:id="0">
    <w:p w14:paraId="665A7E51" w14:textId="77777777" w:rsidR="005E0690" w:rsidRDefault="005E06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hruti">
    <w:panose1 w:val="020B0502040204020203"/>
    <w:charset w:val="01"/>
    <w:family w:val="roman"/>
    <w:pitch w:val="variable"/>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7723248"/>
      <w:docPartObj>
        <w:docPartGallery w:val="Page Numbers (Bottom of Page)"/>
        <w:docPartUnique/>
      </w:docPartObj>
    </w:sdtPr>
    <w:sdtEndPr>
      <w:rPr>
        <w:noProof/>
      </w:rPr>
    </w:sdtEndPr>
    <w:sdtContent>
      <w:p w14:paraId="0C76FE9D" w14:textId="77777777" w:rsidR="00D93421" w:rsidRDefault="00D93421">
        <w:pPr>
          <w:pStyle w:val="Footer"/>
          <w:jc w:val="right"/>
        </w:pPr>
      </w:p>
      <w:p w14:paraId="4B23AB14" w14:textId="04DF7ACF" w:rsidR="00D93421" w:rsidRDefault="00D934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EC6C75" w14:textId="68F99DB2" w:rsidR="00044E7A" w:rsidRDefault="00044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0E13D" w14:textId="77777777" w:rsidR="005E0690" w:rsidRDefault="005E0690">
      <w:pPr>
        <w:spacing w:after="0"/>
      </w:pPr>
      <w:r>
        <w:separator/>
      </w:r>
    </w:p>
  </w:footnote>
  <w:footnote w:type="continuationSeparator" w:id="0">
    <w:p w14:paraId="0B062024" w14:textId="77777777" w:rsidR="005E0690" w:rsidRDefault="005E069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F326F"/>
    <w:multiLevelType w:val="multilevel"/>
    <w:tmpl w:val="01AF326F"/>
    <w:lvl w:ilvl="0">
      <w:start w:val="1"/>
      <w:numFmt w:val="lowerLetter"/>
      <w:lvlText w:val="%1)"/>
      <w:lvlJc w:val="left"/>
      <w:pPr>
        <w:ind w:left="420" w:hanging="360"/>
      </w:pPr>
      <w:rPr>
        <w:rFonts w:hint="default"/>
      </w:rPr>
    </w:lvl>
    <w:lvl w:ilvl="1">
      <w:start w:val="1"/>
      <w:numFmt w:val="lowerLetter"/>
      <w:lvlText w:val="%2."/>
      <w:lvlJc w:val="left"/>
      <w:pPr>
        <w:ind w:left="1140" w:hanging="360"/>
      </w:pPr>
    </w:lvl>
    <w:lvl w:ilvl="2">
      <w:start w:val="1"/>
      <w:numFmt w:val="lowerRoman"/>
      <w:lvlText w:val="%3."/>
      <w:lvlJc w:val="right"/>
      <w:pPr>
        <w:ind w:left="1860" w:hanging="180"/>
      </w:pPr>
    </w:lvl>
    <w:lvl w:ilvl="3">
      <w:start w:val="1"/>
      <w:numFmt w:val="decimal"/>
      <w:lvlText w:val="%4."/>
      <w:lvlJc w:val="left"/>
      <w:pPr>
        <w:ind w:left="2580" w:hanging="360"/>
      </w:pPr>
    </w:lvl>
    <w:lvl w:ilvl="4">
      <w:start w:val="1"/>
      <w:numFmt w:val="lowerLetter"/>
      <w:lvlText w:val="%5."/>
      <w:lvlJc w:val="left"/>
      <w:pPr>
        <w:ind w:left="3300" w:hanging="360"/>
      </w:pPr>
    </w:lvl>
    <w:lvl w:ilvl="5">
      <w:start w:val="1"/>
      <w:numFmt w:val="lowerRoman"/>
      <w:lvlText w:val="%6."/>
      <w:lvlJc w:val="right"/>
      <w:pPr>
        <w:ind w:left="4020" w:hanging="180"/>
      </w:pPr>
    </w:lvl>
    <w:lvl w:ilvl="6">
      <w:start w:val="1"/>
      <w:numFmt w:val="decimal"/>
      <w:lvlText w:val="%7."/>
      <w:lvlJc w:val="left"/>
      <w:pPr>
        <w:ind w:left="4740" w:hanging="360"/>
      </w:pPr>
    </w:lvl>
    <w:lvl w:ilvl="7">
      <w:start w:val="1"/>
      <w:numFmt w:val="lowerLetter"/>
      <w:lvlText w:val="%8."/>
      <w:lvlJc w:val="left"/>
      <w:pPr>
        <w:ind w:left="5460" w:hanging="360"/>
      </w:pPr>
    </w:lvl>
    <w:lvl w:ilvl="8">
      <w:start w:val="1"/>
      <w:numFmt w:val="lowerRoman"/>
      <w:lvlText w:val="%9."/>
      <w:lvlJc w:val="right"/>
      <w:pPr>
        <w:ind w:left="6180" w:hanging="180"/>
      </w:pPr>
    </w:lvl>
  </w:abstractNum>
  <w:num w:numId="1" w16cid:durableId="2047022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embedSystemFonts/>
  <w:bordersDoNotSurroundHeader/>
  <w:bordersDoNotSurroundFooter/>
  <w:proofState w:spelling="clean" w:grammar="clean"/>
  <w:defaultTabStop w:val="720"/>
  <w:drawingGridVerticalSpacing w:val="156"/>
  <w:displayHorizontalDrawingGridEvery w:val="0"/>
  <w:displayVerticalDrawingGridEvery w:val="2"/>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24CF417D"/>
    <w:rsid w:val="00044E7A"/>
    <w:rsid w:val="000969F6"/>
    <w:rsid w:val="00293BA0"/>
    <w:rsid w:val="00422286"/>
    <w:rsid w:val="00495A7E"/>
    <w:rsid w:val="00513504"/>
    <w:rsid w:val="005E0690"/>
    <w:rsid w:val="00670F82"/>
    <w:rsid w:val="006752DB"/>
    <w:rsid w:val="00744DFC"/>
    <w:rsid w:val="00995185"/>
    <w:rsid w:val="009E45C0"/>
    <w:rsid w:val="00BD722D"/>
    <w:rsid w:val="00D93421"/>
    <w:rsid w:val="24CF417D"/>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E02EE2"/>
  <w15:docId w15:val="{D2797EF7-2606-4837-BC85-5183D7EBA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unhideWhenUsed="1" w:qFormat="1"/>
    <w:lsdException w:name="heading 3"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toc 3" w:uiPriority="39" w:unhideWhenUsed="1" w:qFormat="1"/>
    <w:lsdException w:name="footer" w:uiPriority="99"/>
    <w:lsdException w:name="caption" w:semiHidden="1" w:unhideWhenUsed="1" w:qFormat="1"/>
    <w:lsdException w:name="Title" w:qFormat="1"/>
    <w:lsdException w:name="Default Paragraph Font" w:semiHidden="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259" w:lineRule="auto"/>
    </w:pPr>
    <w:rPr>
      <w:rFonts w:eastAsiaTheme="minorHAnsi"/>
      <w:kern w:val="2"/>
      <w:sz w:val="22"/>
      <w:szCs w:val="22"/>
      <w:lang w:val="en-IN"/>
      <w14:ligatures w14:val="standardContextual"/>
    </w:rPr>
  </w:style>
  <w:style w:type="paragraph" w:styleId="Heading1">
    <w:name w:val="heading 1"/>
    <w:basedOn w:val="Normal"/>
    <w:next w:val="Normal"/>
    <w:uiPriority w:val="9"/>
    <w:qFormat/>
    <w:pPr>
      <w:keepNext/>
      <w:keepLines/>
      <w:spacing w:before="360" w:after="80"/>
      <w:outlineLvl w:val="0"/>
    </w:pPr>
    <w:rPr>
      <w:rFonts w:asciiTheme="majorHAnsi" w:eastAsiaTheme="majorEastAsia" w:hAnsiTheme="majorHAnsi" w:cstheme="majorBidi"/>
      <w:color w:val="2D53A0" w:themeColor="accent1" w:themeShade="BF"/>
      <w:sz w:val="40"/>
      <w:szCs w:val="40"/>
    </w:rPr>
  </w:style>
  <w:style w:type="paragraph" w:styleId="Heading2">
    <w:name w:val="heading 2"/>
    <w:basedOn w:val="Normal"/>
    <w:next w:val="Normal"/>
    <w:uiPriority w:val="9"/>
    <w:unhideWhenUsed/>
    <w:qFormat/>
    <w:pPr>
      <w:keepNext/>
      <w:keepLines/>
      <w:spacing w:before="160" w:after="80"/>
      <w:outlineLvl w:val="1"/>
    </w:pPr>
    <w:rPr>
      <w:rFonts w:asciiTheme="majorHAnsi" w:eastAsiaTheme="majorEastAsia" w:hAnsiTheme="majorHAnsi" w:cstheme="majorBidi"/>
      <w:color w:val="2D53A0" w:themeColor="accent1" w:themeShade="BF"/>
      <w:sz w:val="32"/>
      <w:szCs w:val="32"/>
    </w:rPr>
  </w:style>
  <w:style w:type="paragraph" w:styleId="Heading3">
    <w:name w:val="heading 3"/>
    <w:basedOn w:val="Normal"/>
    <w:next w:val="Normal"/>
    <w:uiPriority w:val="9"/>
    <w:unhideWhenUsed/>
    <w:qFormat/>
    <w:pPr>
      <w:keepNext/>
      <w:keepLines/>
      <w:spacing w:before="160" w:after="80"/>
      <w:outlineLvl w:val="2"/>
    </w:pPr>
    <w:rPr>
      <w:rFonts w:eastAsiaTheme="majorEastAsia" w:cstheme="majorBidi"/>
      <w:color w:val="2D53A0"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uiPriority w:val="99"/>
    <w:unhideWhenUsed/>
    <w:qFormat/>
    <w:rPr>
      <w:color w:val="0026E5" w:themeColor="hyperlink"/>
      <w:u w:val="singl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paragraph" w:styleId="TOC3">
    <w:name w:val="toc 3"/>
    <w:basedOn w:val="Normal"/>
    <w:next w:val="Normal"/>
    <w:uiPriority w:val="39"/>
    <w:unhideWhenUsed/>
    <w:qFormat/>
    <w:pPr>
      <w:spacing w:after="100"/>
      <w:ind w:left="440"/>
    </w:pPr>
  </w:style>
  <w:style w:type="paragraph" w:customStyle="1" w:styleId="TOCHeading1">
    <w:name w:val="TOC Heading1"/>
    <w:basedOn w:val="Heading1"/>
    <w:next w:val="Normal"/>
    <w:uiPriority w:val="39"/>
    <w:unhideWhenUsed/>
    <w:qFormat/>
    <w:pPr>
      <w:spacing w:before="240" w:after="0"/>
      <w:outlineLvl w:val="9"/>
    </w:pPr>
    <w:rPr>
      <w:kern w:val="0"/>
      <w:sz w:val="32"/>
      <w:szCs w:val="32"/>
      <w:lang w:val="en-US"/>
      <w14:ligatures w14:val="none"/>
    </w:rPr>
  </w:style>
  <w:style w:type="paragraph" w:styleId="ListParagraph">
    <w:name w:val="List Paragraph"/>
    <w:basedOn w:val="Normal"/>
    <w:uiPriority w:val="34"/>
    <w:qFormat/>
    <w:pPr>
      <w:ind w:left="720"/>
      <w:contextualSpacing/>
    </w:pPr>
  </w:style>
  <w:style w:type="character" w:customStyle="1" w:styleId="FooterChar">
    <w:name w:val="Footer Char"/>
    <w:basedOn w:val="DefaultParagraphFont"/>
    <w:link w:val="Footer"/>
    <w:uiPriority w:val="99"/>
    <w:rsid w:val="00D93421"/>
    <w:rPr>
      <w:rFonts w:eastAsiaTheme="minorHAnsi"/>
      <w:kern w:val="2"/>
      <w:sz w:val="18"/>
      <w:szCs w:val="18"/>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proquest.com/openview/cf283e29baf059eaf7fd0d35b8614a0f/1?pq-origsite=gscholar&amp;cbl=2026366&amp;diss=y" TargetMode="External" /><Relationship Id="rId18" Type="http://schemas.openxmlformats.org/officeDocument/2006/relationships/hyperlink" Target="https://www.emerald.com/ijchm/article-abstract/34/8/3113/127191/Analyzing-the-impact-of-COVID-19-on-the-financial?redirectedFrom=fulltext" TargetMode="External" /><Relationship Id="rId26" Type="http://schemas.openxmlformats.org/officeDocument/2006/relationships/hyperlink" Target="https://www.mdpi.com/2071-1050/15/11/8775" TargetMode="External" /><Relationship Id="rId3" Type="http://schemas.openxmlformats.org/officeDocument/2006/relationships/styles" Target="styles.xml" /><Relationship Id="rId21" Type="http://schemas.openxmlformats.org/officeDocument/2006/relationships/hyperlink" Target="https://www.ijmrsetm.com/admin/img/15_Ratio.pdf" TargetMode="External" /><Relationship Id="rId34"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ol.iza.org/articles/estimating-the-return-to-schooling-using-the-mincer-equation/long" TargetMode="External" /><Relationship Id="rId17" Type="http://schemas.openxmlformats.org/officeDocument/2006/relationships/hyperlink" Target="https://jurnal.unismuhpalu.ac.id/index.php/IJHESS/article/view/3611" TargetMode="External" /><Relationship Id="rId25" Type="http://schemas.openxmlformats.org/officeDocument/2006/relationships/hyperlink" Target="https://www.researchgate.net/profile/Kelvin-Adim-Mordi/publication/394032413_Financial_Flexibility_in_RD_Investment_A_Study_of_Operating_Cash_Flow_Earnings_before_Interest_and_Tax_and_Gearing_Ratio/links/68854a77253dcb78df887e25/Financial-Flexibility-in-R-D-Investment-A-Study-of-Operating-Cash-Flow-Earnings-before-Interest-and-Tax-and-Gearing-Ratio.pdf" TargetMode="External" /><Relationship Id="rId33"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www.researchgate.net/profile/Onyinye-Ezeilo/publication/393453311_A_Framework_for_Managing_Currency_Risk_and_Exchange_Rate_Exposure_in_International_Energy_Investment_Portfolios/links/686af3d5b991270ef301dc5f/A-Framework-for-Managing-Currency-Risk-and-Exchange-Rate-Exposure-in-International-Energy-Investment-Portfolios.pdf" TargetMode="External" /><Relationship Id="rId20" Type="http://schemas.openxmlformats.org/officeDocument/2006/relationships/hyperlink" Target="https://www.sciencedirect.com/science/article/pii/S0149718922001057" TargetMode="External" /><Relationship Id="rId29" Type="http://schemas.openxmlformats.org/officeDocument/2006/relationships/hyperlink" Target="https://www.researchgate.net/profile/Thirunavukkarasu-Velnampy/publication/231590247_A_Study_on_Investment_Appraisal_and_Profitability/links/0912f506d81c759527000000/A-Study-on-Investment-Appraisal-and-Profitability.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merald.com/md/article-abstract/35/2/86/281195/The-misapplication-of-capital-investment-appraisal?redirectedFrom=PDF" TargetMode="External" /><Relationship Id="rId24" Type="http://schemas.openxmlformats.org/officeDocument/2006/relationships/hyperlink" Target="https://onlinelibrary.wiley.com/doi/abs/10.1002/csr.3200" TargetMode="External" /><Relationship Id="rId32" Type="http://schemas.openxmlformats.org/officeDocument/2006/relationships/hyperlink" Target="https://ijegr.com/wp-content/uploads/2024/01/IJEGR-October-Volume-8-Issue-10-special-issue.pdf" TargetMode="External" /><Relationship Id="rId5" Type="http://schemas.openxmlformats.org/officeDocument/2006/relationships/webSettings" Target="webSettings.xml" /><Relationship Id="rId15" Type="http://schemas.openxmlformats.org/officeDocument/2006/relationships/hyperlink" Target="https://books.google.co.in/books?hl=en&amp;lr=&amp;id=WCe9EAAAQBAJ&amp;oi=fnd&amp;pg=PT5&amp;dq=investment+appraisal+techniques&amp;ots=6yXhBUmfrW&amp;sig=Z4bLE1pIb6o0hD13iJ7vl6urf6E&amp;redir_esc=y" TargetMode="External" /><Relationship Id="rId23" Type="http://schemas.openxmlformats.org/officeDocument/2006/relationships/hyperlink" Target="https://journals.sagepub.com/doi/abs/10.1177/13548166221140505" TargetMode="External" /><Relationship Id="rId28" Type="http://schemas.openxmlformats.org/officeDocument/2006/relationships/hyperlink" Target="https://link.springer.com/article/10.1007/s11135-020-01086-3" TargetMode="External" /><Relationship Id="rId10" Type="http://schemas.openxmlformats.org/officeDocument/2006/relationships/hyperlink" Target="https://www.proquest.com/openview/588cb496d7b0fad60884d9206b87515b/1?pq-origsite=gscholar&amp;cbl=2026366&amp;diss=y" TargetMode="External" /><Relationship Id="rId19" Type="http://schemas.openxmlformats.org/officeDocument/2006/relationships/hyperlink" Target="https://link.springer.com/chapter/10.1057/9780230353275_14" TargetMode="External" /><Relationship Id="rId31" Type="http://schemas.openxmlformats.org/officeDocument/2006/relationships/hyperlink" Target="https://www.mdpi.com/1911-8074/16/9/395" TargetMode="External" /><Relationship Id="rId4" Type="http://schemas.openxmlformats.org/officeDocument/2006/relationships/settings" Target="settings.xml" /><Relationship Id="rId9" Type="http://schemas.openxmlformats.org/officeDocument/2006/relationships/hyperlink" Target="https://journal.par.hr/images/issues/vol6no1/journal-6-1-december-2021-article6.pdf" TargetMode="External" /><Relationship Id="rId14" Type="http://schemas.openxmlformats.org/officeDocument/2006/relationships/hyperlink" Target="https://periodicos.cerradopub.com.br/bjs/article/view/297" TargetMode="External" /><Relationship Id="rId22" Type="http://schemas.openxmlformats.org/officeDocument/2006/relationships/hyperlink" Target="https://www.proquest.com/openview/90f48a1eb723c6eac8ed020c84a5929f/1?pq-origsite=gscholar&amp;cbl=2026366&amp;diss=y" TargetMode="External" /><Relationship Id="rId27" Type="http://schemas.openxmlformats.org/officeDocument/2006/relationships/hyperlink" Target="https://www.emerald.com/bpmj/article/29/8/163/258070" TargetMode="External" /><Relationship Id="rId30" Type="http://schemas.openxmlformats.org/officeDocument/2006/relationships/hyperlink" Target="https://www.proquest.com/openview/9e8924bf7194df6489c4de22f8c055ab/1?pq-origsite=gscholar&amp;cbl=4368392" TargetMode="External" /><Relationship Id="rId35" Type="http://schemas.openxmlformats.org/officeDocument/2006/relationships/theme" Target="theme/theme1.xml" /></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8154</Words>
  <Characters>46482</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Jaynil Barot</dc:creator>
  <cp:lastModifiedBy>Jaynil Barot</cp:lastModifiedBy>
  <cp:revision>4</cp:revision>
  <dcterms:created xsi:type="dcterms:W3CDTF">2026-07-23T23:16:00Z</dcterms:created>
  <dcterms:modified xsi:type="dcterms:W3CDTF">2026-07-23T23:19:00Z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E7E2386363854C12B50A39DA1C9556A4_11</vt:lpwstr>
  </property>
  <property fmtid="{D5CDD505-2E9C-101B-9397-08002B2CF9AE}" pid="4" name="KSOTemplateDocerSaveRecord">
    <vt:lpwstr>eyJoZGlkIjoiZTUzZTNhZDA5MWQ4OWIyNWEyY2ExYzllMWJmYzBjYTAifQ==</vt:lpwstr>
  </property>
</Properties>
</file>