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8BCE1" w14:textId="2ED4E60D" w:rsidR="001B1DB7" w:rsidRDefault="001B1DB7">
      <w:r w:rsidRPr="001B1DB7">
        <w:rPr>
          <w:noProof/>
        </w:rPr>
        <w:drawing>
          <wp:inline distT="0" distB="0" distL="0" distR="0" wp14:anchorId="5CA82837" wp14:editId="09EEF25F">
            <wp:extent cx="2514600" cy="1384300"/>
            <wp:effectExtent l="0" t="0" r="0" b="6350"/>
            <wp:docPr id="1958610088"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14600" cy="1384300"/>
                    </a:xfrm>
                    <a:prstGeom prst="rect">
                      <a:avLst/>
                    </a:prstGeom>
                    <a:noFill/>
                    <a:ln>
                      <a:noFill/>
                    </a:ln>
                  </pic:spPr>
                </pic:pic>
              </a:graphicData>
            </a:graphic>
          </wp:inline>
        </w:drawing>
      </w:r>
    </w:p>
    <w:p w14:paraId="07F00C6D" w14:textId="03EB68EE" w:rsidR="001B1DB7" w:rsidRDefault="001B1DB7">
      <w:r>
        <w:t>Module name:</w:t>
      </w:r>
      <w:r w:rsidR="00A12A33">
        <w:t xml:space="preserve"> </w:t>
      </w:r>
      <w:r w:rsidR="00F6299E">
        <w:t>C</w:t>
      </w:r>
      <w:r w:rsidR="009545C4">
        <w:t>hangemakers, Building</w:t>
      </w:r>
      <w:r w:rsidR="000D72D4">
        <w:t xml:space="preserve"> your own personal bend </w:t>
      </w:r>
    </w:p>
    <w:p w14:paraId="1D732793" w14:textId="7E0C7D75" w:rsidR="001B1DB7" w:rsidRDefault="001B1DB7">
      <w:r>
        <w:t>Module code:</w:t>
      </w:r>
      <w:r w:rsidR="00050BA1">
        <w:t xml:space="preserve"> </w:t>
      </w:r>
      <w:r>
        <w:t>BMHP5015</w:t>
      </w:r>
    </w:p>
    <w:p w14:paraId="3193E73E" w14:textId="16E224C4" w:rsidR="00B45E31" w:rsidRPr="00B45E31" w:rsidRDefault="00B45E31" w:rsidP="00B45E31">
      <w:r w:rsidRPr="00B45E31">
        <w:t>Student name: Gifty Mary Opoku</w:t>
      </w:r>
    </w:p>
    <w:p w14:paraId="121AFDFB" w14:textId="77777777" w:rsidR="00B45E31" w:rsidRPr="00B45E31" w:rsidRDefault="00B45E31" w:rsidP="00B45E31">
      <w:r w:rsidRPr="00B45E31">
        <w:t>Student ID:2416544</w:t>
      </w:r>
    </w:p>
    <w:p w14:paraId="308E5276" w14:textId="77777777" w:rsidR="00B45E31" w:rsidRPr="00B45E31" w:rsidRDefault="00B45E31" w:rsidP="00B45E31">
      <w:r w:rsidRPr="00B45E31">
        <w:t>Lecturer's name: Brian Mashumba</w:t>
      </w:r>
    </w:p>
    <w:p w14:paraId="08E5F96F" w14:textId="5EFE4F42" w:rsidR="001B1DB7" w:rsidRDefault="001B1DB7"/>
    <w:p w14:paraId="18D62111" w14:textId="77777777" w:rsidR="001B1DB7" w:rsidRPr="001B1DB7" w:rsidRDefault="001B1DB7" w:rsidP="001B1DB7">
      <w:pPr>
        <w:rPr>
          <w:b/>
          <w:bCs/>
        </w:rPr>
      </w:pPr>
      <w:r w:rsidRPr="001B1DB7">
        <w:rPr>
          <w:b/>
          <w:bCs/>
        </w:rPr>
        <w:t>Assessment Component 1 – BMHP5015</w:t>
      </w:r>
    </w:p>
    <w:p w14:paraId="69BF51EE" w14:textId="77777777" w:rsidR="001B1DB7" w:rsidRPr="001B1DB7" w:rsidRDefault="001B1DB7" w:rsidP="001B1DB7">
      <w:pPr>
        <w:rPr>
          <w:b/>
          <w:bCs/>
        </w:rPr>
      </w:pPr>
      <w:r w:rsidRPr="001B1DB7">
        <w:rPr>
          <w:b/>
          <w:bCs/>
        </w:rPr>
        <w:t>Introduction — approximately 180 words</w:t>
      </w:r>
    </w:p>
    <w:p w14:paraId="6BB6FF9C" w14:textId="257716FB" w:rsidR="001B1DB7" w:rsidRPr="001B1DB7" w:rsidRDefault="00C96A74" w:rsidP="001B1DB7">
      <w:r>
        <w:t>This assignment reviews what I've learned across the four units of the module and explores how the skills and knowledge I gained can aid my future growth in health and social care. I will adopt a reflective approach, highlighting key ideas, examining how they have shifted my understanding, and outlining steps I can take moving forward.</w:t>
      </w:r>
    </w:p>
    <w:p w14:paraId="15E88BDE" w14:textId="77777777" w:rsidR="00730FB0" w:rsidRDefault="002E0ADD" w:rsidP="001B1DB7">
      <w:r>
        <w:t>In Unit 1, Brand You, I will discuss personal values, professional identity, personal branding, and the importance of managing a digital footprint</w:t>
      </w:r>
    </w:p>
    <w:p w14:paraId="60EBEB22" w14:textId="39EB60AC" w:rsidR="00730FB0" w:rsidRDefault="002E0ADD" w:rsidP="001B1DB7">
      <w:r>
        <w:t xml:space="preserve"> Unit 2, It’s a Small World, will focus on global connections, cultural awareness, health inequalities, and the social determinants of health.</w:t>
      </w:r>
    </w:p>
    <w:p w14:paraId="3D8C61C8" w14:textId="115765E0" w:rsidR="00C9735B" w:rsidRDefault="002E0ADD" w:rsidP="001B1DB7">
      <w:r>
        <w:t xml:space="preserve"> My reflection on Unit 3, Opportunity Knocks, will examine opportunity recognition, networking, employability, goal-setting, and self-efficacy.</w:t>
      </w:r>
    </w:p>
    <w:p w14:paraId="6678EFF1" w14:textId="12E6DBD6" w:rsidR="001B1DB7" w:rsidRPr="001B1DB7" w:rsidRDefault="002E0ADD" w:rsidP="001B1DB7">
      <w:r>
        <w:t xml:space="preserve"> Unit 4, The Pursuit of Happiness, will consider wellbeing, motivation, relationships, and the need to maintain a sustainable balance between personal and professional responsibilities.</w:t>
      </w:r>
    </w:p>
    <w:p w14:paraId="4899DC86" w14:textId="77777777" w:rsidR="001B1DB7" w:rsidRPr="001B1DB7" w:rsidRDefault="001B1DB7" w:rsidP="001B1DB7">
      <w:r w:rsidRPr="001B1DB7">
        <w:t>Throughout the assignment, I will connect my reflections to academic literature and examples from the online activities. This will allow me to move beyond simply describing the units and critically consider how my learning can influence my behaviour and future practice.</w:t>
      </w:r>
    </w:p>
    <w:p w14:paraId="51ADD0B4" w14:textId="77777777" w:rsidR="001B1DB7" w:rsidRPr="001B1DB7" w:rsidRDefault="00000000" w:rsidP="001B1DB7">
      <w:r>
        <w:pict w14:anchorId="37CFF4C0">
          <v:rect id="_x0000_i1025" style="width:0;height:1.5pt" o:hralign="center" o:hrstd="t" o:hr="t" fillcolor="#a0a0a0" stroked="f"/>
        </w:pict>
      </w:r>
    </w:p>
    <w:p w14:paraId="142C62EF" w14:textId="77777777" w:rsidR="001B1DB7" w:rsidRPr="001B1DB7" w:rsidRDefault="001B1DB7" w:rsidP="001B1DB7">
      <w:pPr>
        <w:rPr>
          <w:b/>
          <w:bCs/>
        </w:rPr>
      </w:pPr>
      <w:r w:rsidRPr="001B1DB7">
        <w:rPr>
          <w:b/>
          <w:bCs/>
        </w:rPr>
        <w:t>Task 1 – Unit 1: Brand You</w:t>
      </w:r>
    </w:p>
    <w:p w14:paraId="05DC20A0" w14:textId="4F91AF86" w:rsidR="001B1DB7" w:rsidRPr="001B1DB7" w:rsidRDefault="001B1DB7" w:rsidP="001B1DB7">
      <w:r w:rsidRPr="001B1DB7">
        <w:lastRenderedPageBreak/>
        <w:t xml:space="preserve">Unit 1 introduced me to the idea that a personal brand is the impression </w:t>
      </w:r>
      <w:r w:rsidR="00465F50">
        <w:t>others form of an individual’s values, behaviour, communication,</w:t>
      </w:r>
      <w:r w:rsidRPr="001B1DB7">
        <w:t xml:space="preserve"> and achievements. Before studying this unit, I associated branding mainly with businesses and products. However, I now understand that individuals also communicate a brand through their appearance, actions, online presence and professional relationships. Shepherd (2005) explains that personal branding involves applying </w:t>
      </w:r>
      <w:r w:rsidR="00465F50">
        <w:t>marketing principles</w:t>
      </w:r>
      <w:r w:rsidRPr="001B1DB7">
        <w:t xml:space="preserve"> to how individuals present and differentiate themselves.</w:t>
      </w:r>
    </w:p>
    <w:p w14:paraId="68DC5DA2" w14:textId="1FFD1EF9" w:rsidR="001B1DB7" w:rsidRPr="001B1DB7" w:rsidRDefault="000F0A45" w:rsidP="001B1DB7">
      <w:r>
        <w:t>My initial idea that influenced my learning was self-awareness. During the values or strengths activity, I identified values such as compassion, honesty, and reliability, along with strengths like communication, patience, and teamwork. This helped me realise that an effective personal brand should be rooted in genuine qualities rather than an artificial image. In health and social care, authenticity is especially vital because service users need to trust professionals. My personal brand should therefore convey that I am respectful, dependable, and committed to person-centred care.</w:t>
      </w:r>
    </w:p>
    <w:p w14:paraId="690102F0" w14:textId="640ADA4E" w:rsidR="001B1DB7" w:rsidRPr="001B1DB7" w:rsidRDefault="00FB163E" w:rsidP="001B1DB7">
      <w:r>
        <w:t xml:space="preserve">The second concept was my digital footprint. The online profile activity </w:t>
      </w:r>
      <w:r w:rsidR="003E40C4">
        <w:t>prompted me to consider what an employer or placement provider might find when</w:t>
      </w:r>
      <w:r>
        <w:t xml:space="preserve"> searching for me online. Labrecque, Markos, and Milne (2011) explain that online personal branding involves managing identity, visibility, and the impressions created by different audiences. I realised that photographs, comments, and shared material can influence professional credibility. Consequently, I plan to review my privacy settings, use respectful language, and ensure that publicly available information aligns with the professional image I wish to project.</w:t>
      </w:r>
    </w:p>
    <w:p w14:paraId="66DAB163" w14:textId="457F986E" w:rsidR="001B1DB7" w:rsidRPr="001B1DB7" w:rsidRDefault="001B1DB7" w:rsidP="001B1DB7">
      <w:r w:rsidRPr="001B1DB7">
        <w:t xml:space="preserve">The third concept was a </w:t>
      </w:r>
      <w:r w:rsidRPr="001B1DB7">
        <w:rPr>
          <w:b/>
          <w:bCs/>
        </w:rPr>
        <w:t>personal value proposition</w:t>
      </w:r>
      <w:r w:rsidRPr="001B1DB7">
        <w:t>. This means communicating the combination of skills, qualities and experiences that I can offer. My developing value proposition is that I am a caring and responsible student who is willing to learn and work effectively with people from different backgrounds. However, I also recognised that I need more evidence to support this statement. I plan to develop my brand through volunteering, training, placement experience and reflective learning.</w:t>
      </w:r>
    </w:p>
    <w:p w14:paraId="1874D2A2" w14:textId="7536F3D6" w:rsidR="001B1DB7" w:rsidRPr="001C1B21" w:rsidRDefault="001B1DB7" w:rsidP="001B1DB7">
      <w:r w:rsidRPr="001B1DB7">
        <w:t>Overall, Unit 1 taught me that personal branding is not only self-promotion. It requires consistency between what I say, what I do and how I treat others. I will apply this learning by communicating professionally and building a reputation based on ethical behaviour and reliable practice</w:t>
      </w:r>
    </w:p>
    <w:p w14:paraId="6CE9F54E" w14:textId="77777777" w:rsidR="001C1B21" w:rsidRDefault="001C1B21" w:rsidP="001B1DB7">
      <w:pPr>
        <w:rPr>
          <w:b/>
          <w:bCs/>
        </w:rPr>
      </w:pPr>
    </w:p>
    <w:p w14:paraId="216D9F44" w14:textId="77777777" w:rsidR="001C1B21" w:rsidRDefault="001C1B21" w:rsidP="001B1DB7">
      <w:pPr>
        <w:rPr>
          <w:b/>
          <w:bCs/>
        </w:rPr>
      </w:pPr>
    </w:p>
    <w:p w14:paraId="2906F85D" w14:textId="784569C0" w:rsidR="001C1B21" w:rsidRPr="001C1B21" w:rsidRDefault="001C1B21" w:rsidP="001C1B21">
      <w:r w:rsidRPr="001C1B21">
        <w:lastRenderedPageBreak/>
        <w:drawing>
          <wp:inline distT="0" distB="0" distL="0" distR="0" wp14:anchorId="10F52E89" wp14:editId="583551E6">
            <wp:extent cx="5731510" cy="2821305"/>
            <wp:effectExtent l="0" t="0" r="2540" b="0"/>
            <wp:docPr id="12225356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821305"/>
                    </a:xfrm>
                    <a:prstGeom prst="rect">
                      <a:avLst/>
                    </a:prstGeom>
                    <a:noFill/>
                    <a:ln>
                      <a:noFill/>
                    </a:ln>
                  </pic:spPr>
                </pic:pic>
              </a:graphicData>
            </a:graphic>
          </wp:inline>
        </w:drawing>
      </w:r>
    </w:p>
    <w:p w14:paraId="277D7834" w14:textId="296FADE6" w:rsidR="001C1B21" w:rsidRDefault="001C1B21" w:rsidP="001B1DB7"/>
    <w:p w14:paraId="785A07AE" w14:textId="13CB3800" w:rsidR="00E07BA6" w:rsidRPr="00E07BA6" w:rsidRDefault="00E07BA6" w:rsidP="00E07BA6">
      <w:r w:rsidRPr="00E07BA6">
        <w:drawing>
          <wp:inline distT="0" distB="0" distL="0" distR="0" wp14:anchorId="3A08A2CB" wp14:editId="27F8B8A2">
            <wp:extent cx="5731510" cy="2633345"/>
            <wp:effectExtent l="0" t="0" r="2540" b="0"/>
            <wp:docPr id="15101642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633345"/>
                    </a:xfrm>
                    <a:prstGeom prst="rect">
                      <a:avLst/>
                    </a:prstGeom>
                    <a:noFill/>
                    <a:ln>
                      <a:noFill/>
                    </a:ln>
                  </pic:spPr>
                </pic:pic>
              </a:graphicData>
            </a:graphic>
          </wp:inline>
        </w:drawing>
      </w:r>
    </w:p>
    <w:p w14:paraId="480ADE39" w14:textId="77777777" w:rsidR="00E07BA6" w:rsidRDefault="00E07BA6" w:rsidP="001B1DB7"/>
    <w:p w14:paraId="54EBA886" w14:textId="77777777" w:rsidR="00E07BA6" w:rsidRDefault="00E07BA6" w:rsidP="001B1DB7"/>
    <w:p w14:paraId="5CCFD794" w14:textId="77777777" w:rsidR="00E07BA6" w:rsidRPr="001B1DB7" w:rsidRDefault="00E07BA6" w:rsidP="001B1DB7"/>
    <w:p w14:paraId="54C13D35" w14:textId="579BFF2F" w:rsidR="001B1DB7" w:rsidRPr="001B1DB7" w:rsidRDefault="004C351A" w:rsidP="001B1DB7">
      <w:r>
        <w:t xml:space="preserve">Shepherd explores the conceptual and ethical questions related to personal branding, while Labrecque, Markos, and Milne investigate how identity and audience perceptions are handled online. </w:t>
      </w:r>
    </w:p>
    <w:p w14:paraId="1456087A" w14:textId="77777777" w:rsidR="001B1DB7" w:rsidRPr="001B1DB7" w:rsidRDefault="00000000" w:rsidP="001B1DB7">
      <w:r>
        <w:pict w14:anchorId="3FED3AAC">
          <v:rect id="_x0000_i1026" style="width:0;height:1.5pt" o:hralign="center" o:hrstd="t" o:hr="t" fillcolor="#a0a0a0" stroked="f"/>
        </w:pict>
      </w:r>
    </w:p>
    <w:p w14:paraId="438FEB37" w14:textId="77777777" w:rsidR="001B1DB7" w:rsidRPr="001B1DB7" w:rsidRDefault="001B1DB7" w:rsidP="001B1DB7">
      <w:pPr>
        <w:rPr>
          <w:b/>
          <w:bCs/>
        </w:rPr>
      </w:pPr>
      <w:r w:rsidRPr="001B1DB7">
        <w:rPr>
          <w:b/>
          <w:bCs/>
        </w:rPr>
        <w:t>Task 2 – Reflection on Unit 2: It’s a Small World</w:t>
      </w:r>
    </w:p>
    <w:p w14:paraId="033F6DFB" w14:textId="0CA9EF30" w:rsidR="001B1DB7" w:rsidRPr="001B1DB7" w:rsidRDefault="001D3C0A" w:rsidP="001B1DB7">
      <w:r>
        <w:t xml:space="preserve">Unit 2 heightened my awareness that health and social care operate within a connected world. Before completing this unit, I mainly viewed health at the individual level. I now </w:t>
      </w:r>
      <w:r>
        <w:lastRenderedPageBreak/>
        <w:t>recognise that health outcomes can be affected by global movement, economic conditions, culture, government policy, employment, education, and access to resources.</w:t>
      </w:r>
    </w:p>
    <w:p w14:paraId="336AF739" w14:textId="19DC9640" w:rsidR="001B1DB7" w:rsidRPr="001B1DB7" w:rsidRDefault="009F441E" w:rsidP="001B1DB7">
      <w:r>
        <w:t>A key topic was the social determinants of health, including non-medical factors like economic stability, education, and neighbourhood environment. The World Health Organisation describes these as the conditions in which people are born, grow, live, work, and age, as well as their access to money, power, and resources (World Health Organisation, 2025). This helps explain why simply advising someone to “make healthier choices” might be inadequate. Additionally, factors such as poor housing, job insecurity, and social isolation can affect both physical and mental health. As a result, I recognised that health and social care professionals need to consider the wider context of an individual's life, rather than blaming personal failure for poor health.</w:t>
      </w:r>
    </w:p>
    <w:p w14:paraId="0E3E3252" w14:textId="117DC19C" w:rsidR="00127F6C" w:rsidRDefault="009F6267" w:rsidP="001B1DB7">
      <w:r>
        <w:t xml:space="preserve">A second topic was global interdependence. Infectious diseases, migration, climate events, and </w:t>
      </w:r>
      <w:r w:rsidR="00244DDB">
        <w:t>supply chain shortages can affect</w:t>
      </w:r>
      <w:r>
        <w:t xml:space="preserve"> health services across borders</w:t>
      </w:r>
      <w:r w:rsidR="00127F6C">
        <w:t>.</w:t>
      </w:r>
    </w:p>
    <w:p w14:paraId="299B12AA" w14:textId="66815939" w:rsidR="001B1DB7" w:rsidRPr="001B1DB7" w:rsidRDefault="009B7D9D" w:rsidP="001B1DB7">
      <w:r>
        <w:t xml:space="preserve"> Frenk et al (2010) emphasise that health professionals require education that equips them to operate effectively within interconnected health systems. This underscored for me the importance of international cooperation, information exchange, and coordinated efforts to tackle health issues.</w:t>
      </w:r>
    </w:p>
    <w:p w14:paraId="3D27BCC7" w14:textId="41F853C2" w:rsidR="001B1DB7" w:rsidRPr="001B1DB7" w:rsidRDefault="00A91F82" w:rsidP="001B1DB7">
      <w:r>
        <w:t>The third topic was culture and communication. Using the name of a cultural-awareness activity, I reflected on how beliefs, language, religion, family structures, and past experiences can influence an individual’s understanding of health and care. I initially believed that treating everyone the same was always fair. Now, I realise that equality doesn't always mean providing the same treatment. Professionals may need to adapt their communication, offer an interpreter, involve family members with consent, or respond thoughtfully to cultural and religious preferences.</w:t>
      </w:r>
    </w:p>
    <w:p w14:paraId="388200E6" w14:textId="215B3102" w:rsidR="001B1DB7" w:rsidRPr="001B1DB7" w:rsidRDefault="00B37586" w:rsidP="001B1DB7">
      <w:r>
        <w:t>The unit also encouraged me to challenge stereotypes. Cultural awareness does not mean making assumptions about someone because they belong to a particular group. Instead, I should ask respectful questions, listen attentively, and recognise each person as an individual.</w:t>
      </w:r>
    </w:p>
    <w:p w14:paraId="4DFE4206" w14:textId="2D1DA6BD" w:rsidR="006C7C0B" w:rsidRPr="001B1DB7" w:rsidRDefault="00CB1DC0" w:rsidP="001B1DB7">
      <w:r>
        <w:t xml:space="preserve">Overall, Unit 2 helped me link local practice with global issues. In my future work, I will consider social inequalities, communicate inclusively, and stay open to learning from people whose experiences differ from my own. This will support more respectful, </w:t>
      </w:r>
      <w:r w:rsidR="006C7C0B">
        <w:t>equitable</w:t>
      </w:r>
    </w:p>
    <w:p w14:paraId="18784C24" w14:textId="1B3441AA" w:rsidR="001B1DB7" w:rsidRDefault="001B1DB7" w:rsidP="001B1DB7">
      <w:r w:rsidRPr="001B1DB7">
        <w:t>The WHO identifies living and working conditions</w:t>
      </w:r>
      <w:r w:rsidR="00EA47A1">
        <w:t>, as well as access to resources,</w:t>
      </w:r>
      <w:r w:rsidRPr="001B1DB7">
        <w:t xml:space="preserve"> as major influences on avoidable health inequalities. Frenk et al. argue that professional education must respond to increasingly interdependent health systems. </w:t>
      </w:r>
    </w:p>
    <w:p w14:paraId="457939C9" w14:textId="24EE3935" w:rsidR="006C7C0B" w:rsidRPr="006C7C0B" w:rsidRDefault="006C7C0B" w:rsidP="006C7C0B">
      <w:r w:rsidRPr="006C7C0B">
        <w:lastRenderedPageBreak/>
        <w:drawing>
          <wp:inline distT="0" distB="0" distL="0" distR="0" wp14:anchorId="43F5BDA5" wp14:editId="530D0629">
            <wp:extent cx="5731510" cy="651510"/>
            <wp:effectExtent l="0" t="0" r="2540" b="0"/>
            <wp:docPr id="20415958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51510"/>
                    </a:xfrm>
                    <a:prstGeom prst="rect">
                      <a:avLst/>
                    </a:prstGeom>
                    <a:noFill/>
                    <a:ln>
                      <a:noFill/>
                    </a:ln>
                  </pic:spPr>
                </pic:pic>
              </a:graphicData>
            </a:graphic>
          </wp:inline>
        </w:drawing>
      </w:r>
    </w:p>
    <w:p w14:paraId="2B1BD77A" w14:textId="77777777" w:rsidR="006C7C0B" w:rsidRDefault="006C7C0B" w:rsidP="001B1DB7"/>
    <w:p w14:paraId="6213D5F0" w14:textId="77777777" w:rsidR="006C7C0B" w:rsidRDefault="006C7C0B" w:rsidP="001B1DB7"/>
    <w:p w14:paraId="4EED4252" w14:textId="77777777" w:rsidR="006C7C0B" w:rsidRPr="001B1DB7" w:rsidRDefault="006C7C0B" w:rsidP="001B1DB7"/>
    <w:p w14:paraId="5A0DBE5E" w14:textId="77777777" w:rsidR="001B1DB7" w:rsidRPr="001B1DB7" w:rsidRDefault="00000000" w:rsidP="001B1DB7">
      <w:r>
        <w:pict w14:anchorId="0AF0B8EC">
          <v:rect id="_x0000_i1027" style="width:0;height:1.5pt" o:hralign="center" o:hrstd="t" o:hr="t" fillcolor="#a0a0a0" stroked="f"/>
        </w:pict>
      </w:r>
    </w:p>
    <w:p w14:paraId="5C4D0C51" w14:textId="77777777" w:rsidR="001B1DB7" w:rsidRPr="001B1DB7" w:rsidRDefault="001B1DB7" w:rsidP="001B1DB7">
      <w:pPr>
        <w:rPr>
          <w:b/>
          <w:bCs/>
        </w:rPr>
      </w:pPr>
      <w:r w:rsidRPr="001B1DB7">
        <w:rPr>
          <w:b/>
          <w:bCs/>
        </w:rPr>
        <w:t>Task 3 – Reflection on Unit 3: Opportunity Knocks</w:t>
      </w:r>
    </w:p>
    <w:p w14:paraId="12DE560C" w14:textId="679A1F69" w:rsidR="001B1DB7" w:rsidRPr="001B1DB7" w:rsidRDefault="009831F3" w:rsidP="001B1DB7">
      <w:r>
        <w:t xml:space="preserve">Unit 3 taught me that opportunities are not always obvious </w:t>
      </w:r>
      <w:r w:rsidR="00E42FF7">
        <w:t>in the form of</w:t>
      </w:r>
      <w:r>
        <w:t xml:space="preserve"> direct job offers. They also include volunteering, training, placements, university activities, mentoring, networking, and feedback. Previously, I often thought opportunities depended heavily on luck. Now, I understand I can actively prepare for and recognise these chances and make good use of them.</w:t>
      </w:r>
    </w:p>
    <w:p w14:paraId="7697BCEF" w14:textId="14FD12B9" w:rsidR="001B1DB7" w:rsidRPr="001B1DB7" w:rsidRDefault="00835ACB" w:rsidP="001B1DB7">
      <w:r>
        <w:t>The opportunity-mapping or career-planning activity prompted me to explore the opportunities I currently have. I identified a volunteering role, short course, placement, university society or professional event that could enhance my skills in communication, teamwork or leadership. This experience showed me that professional growth can start before graduation. Kolb (1984) describes learning as a cycle involving experience, reflection, conceptual understanding, and active experimentation. Thus, attending an activity is not enough; I need to reflect on the experience and apply the lessons learned to improve my future performance.</w:t>
      </w:r>
    </w:p>
    <w:p w14:paraId="36380DF8" w14:textId="23105B45" w:rsidR="001B1DB7" w:rsidRPr="001B1DB7" w:rsidRDefault="00004046" w:rsidP="001B1DB7">
      <w:r>
        <w:t xml:space="preserve">Another key idea was graduate capital. Tomlinson (2017) </w:t>
      </w:r>
      <w:r w:rsidR="008A481C">
        <w:t>notes that employability encompasses various forms of capital, including</w:t>
      </w:r>
      <w:r>
        <w:t xml:space="preserve"> human, social, cultural, identity, and psychological capital. Human capital pertains to knowledge and skills, whereas social capital involves relationships and networks. This helped me </w:t>
      </w:r>
      <w:r w:rsidR="008A481C">
        <w:t>realise</w:t>
      </w:r>
      <w:r>
        <w:t xml:space="preserve"> that earning a qualification is important, but not enough by itself. I also need to gain practical experience, build professional confidence, and connect with people who can offer advice or introduce me to opportunities.</w:t>
      </w:r>
    </w:p>
    <w:p w14:paraId="1F7CA15D" w14:textId="4B1D724F" w:rsidR="001B1DB7" w:rsidRPr="001B1DB7" w:rsidRDefault="005209F6" w:rsidP="001B1DB7">
      <w:r>
        <w:t>The unit also expanded my understanding of self-efficacy, which is an individual’s belief in their ability to successfully perform specific actions (Bandura, 1997). I realised that I sometimes avoid opportunities when I feel that other applicants may have more experience. However, avoiding activities stops me from gaining experience that would boost my confidence. I will therefore approach unfamiliar opportunities as chances to learn rather than as tests I must pass perfectly.</w:t>
      </w:r>
    </w:p>
    <w:p w14:paraId="0E5579C3" w14:textId="77777777" w:rsidR="00283688" w:rsidRDefault="00652B2C" w:rsidP="001B1DB7">
      <w:r>
        <w:t xml:space="preserve">To put this learning into practice, I set a goal </w:t>
      </w:r>
      <w:r w:rsidR="00283688">
        <w:t>to insert a genuine one</w:t>
      </w:r>
      <w:r>
        <w:t>.</w:t>
      </w:r>
    </w:p>
    <w:p w14:paraId="0B471E17" w14:textId="02A851C4" w:rsidR="001B1DB7" w:rsidRPr="001B1DB7" w:rsidRDefault="00652B2C" w:rsidP="001B1DB7">
      <w:r>
        <w:lastRenderedPageBreak/>
        <w:t xml:space="preserve"> My plan is to </w:t>
      </w:r>
      <w:r w:rsidR="00940C75">
        <w:t>act based on realistic data, and I will monitor my progress by tracking applications submitted, training completed, and feedback received</w:t>
      </w:r>
      <w:r>
        <w:t>. Additionally, I will keep a reflective journal of new experiences.</w:t>
      </w:r>
    </w:p>
    <w:p w14:paraId="425A1FC3" w14:textId="3E5362A9" w:rsidR="001B1DB7" w:rsidRPr="001B1DB7" w:rsidRDefault="00E12F91" w:rsidP="001B1DB7">
      <w:r>
        <w:t>Overall, Unit 3 changed my understanding from waiting for opportunities to actively creating and preparing for them. In health and social care, this approach will help me stay informed, respond to evolving service needs, and take responsibility for ongoing professional development.</w:t>
      </w:r>
    </w:p>
    <w:p w14:paraId="150B542E" w14:textId="07560D14" w:rsidR="00C162AE" w:rsidRDefault="00C162AE" w:rsidP="00C162AE">
      <w:pPr>
        <w:rPr>
          <w:b/>
          <w:bCs/>
        </w:rPr>
      </w:pPr>
      <w:r w:rsidRPr="00C162AE">
        <w:rPr>
          <w:b/>
          <w:bCs/>
          <w:noProof/>
        </w:rPr>
        <w:drawing>
          <wp:inline distT="0" distB="0" distL="0" distR="0" wp14:anchorId="3309ABA9" wp14:editId="4D919885">
            <wp:extent cx="5731510" cy="984250"/>
            <wp:effectExtent l="0" t="0" r="2540" b="6350"/>
            <wp:docPr id="1044894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984250"/>
                    </a:xfrm>
                    <a:prstGeom prst="rect">
                      <a:avLst/>
                    </a:prstGeom>
                    <a:noFill/>
                    <a:ln>
                      <a:noFill/>
                    </a:ln>
                  </pic:spPr>
                </pic:pic>
              </a:graphicData>
            </a:graphic>
          </wp:inline>
        </w:drawing>
      </w:r>
    </w:p>
    <w:p w14:paraId="7A22A72E" w14:textId="0AF9B9DC" w:rsidR="00815E21" w:rsidRPr="00C162AE" w:rsidRDefault="00974E69" w:rsidP="00C162AE">
      <w:pPr>
        <w:rPr>
          <w:b/>
          <w:bCs/>
        </w:rPr>
      </w:pPr>
      <w:r w:rsidRPr="00CA6E16">
        <w:rPr>
          <w:b/>
          <w:bCs/>
          <w:noProof/>
          <w:sz w:val="28"/>
          <w:szCs w:val="28"/>
        </w:rPr>
        <w:drawing>
          <wp:inline distT="0" distB="0" distL="0" distR="0" wp14:anchorId="259DF002" wp14:editId="7CDF0D4D">
            <wp:extent cx="5731510" cy="965200"/>
            <wp:effectExtent l="0" t="0" r="2540" b="6350"/>
            <wp:docPr id="11872584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965200"/>
                    </a:xfrm>
                    <a:prstGeom prst="rect">
                      <a:avLst/>
                    </a:prstGeom>
                    <a:noFill/>
                    <a:ln>
                      <a:noFill/>
                    </a:ln>
                  </pic:spPr>
                </pic:pic>
              </a:graphicData>
            </a:graphic>
          </wp:inline>
        </w:drawing>
      </w:r>
    </w:p>
    <w:p w14:paraId="62AAAB87" w14:textId="015CAE00" w:rsidR="009473AB" w:rsidRPr="001B1DB7" w:rsidRDefault="00E214BC" w:rsidP="001B1DB7">
      <w:r w:rsidRPr="00E214BC">
        <w:drawing>
          <wp:inline distT="0" distB="0" distL="0" distR="0" wp14:anchorId="1AFBAAAE" wp14:editId="31E2C007">
            <wp:extent cx="5731510" cy="645160"/>
            <wp:effectExtent l="0" t="0" r="2540" b="2540"/>
            <wp:docPr id="10238563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645160"/>
                    </a:xfrm>
                    <a:prstGeom prst="rect">
                      <a:avLst/>
                    </a:prstGeom>
                    <a:noFill/>
                    <a:ln>
                      <a:noFill/>
                    </a:ln>
                  </pic:spPr>
                </pic:pic>
              </a:graphicData>
            </a:graphic>
          </wp:inline>
        </w:drawing>
      </w:r>
    </w:p>
    <w:p w14:paraId="7B591F06" w14:textId="77777777" w:rsidR="001B1DB7" w:rsidRPr="001B1DB7" w:rsidRDefault="001B1DB7" w:rsidP="001B1DB7">
      <w:r w:rsidRPr="001B1DB7">
        <w:t xml:space="preserve">Tomlinson’s graduate-capital model connects employability with several forms of personal and professional resources, while Bandura links self-efficacy with a person’s belief in their capability to take effective action. </w:t>
      </w:r>
    </w:p>
    <w:p w14:paraId="250834B3" w14:textId="77777777" w:rsidR="001B1DB7" w:rsidRPr="001B1DB7" w:rsidRDefault="00000000" w:rsidP="001B1DB7">
      <w:r>
        <w:pict w14:anchorId="4FF2E071">
          <v:rect id="_x0000_i1028" style="width:0;height:1.5pt" o:hralign="center" o:hrstd="t" o:hr="t" fillcolor="#a0a0a0" stroked="f"/>
        </w:pict>
      </w:r>
    </w:p>
    <w:p w14:paraId="46DA72E5" w14:textId="77777777" w:rsidR="001B1DB7" w:rsidRPr="001B1DB7" w:rsidRDefault="001B1DB7" w:rsidP="001B1DB7">
      <w:pPr>
        <w:rPr>
          <w:b/>
          <w:bCs/>
        </w:rPr>
      </w:pPr>
      <w:r w:rsidRPr="001B1DB7">
        <w:rPr>
          <w:b/>
          <w:bCs/>
        </w:rPr>
        <w:t>Task 4 – Reflection on Unit 4: The Pursuit of Happiness</w:t>
      </w:r>
    </w:p>
    <w:p w14:paraId="45769A0D" w14:textId="18C25B90" w:rsidR="001B1DB7" w:rsidRPr="001B1DB7" w:rsidRDefault="00244DDB" w:rsidP="001B1DB7">
      <w:r>
        <w:t>Unit 4 encouraged me to think critically about happiness and well-being. Before completing the unit, I tended to see happiness as a positive emotion that comes from enjoyable experiences. I now understand that well-being is more comprehensive and can include meaningful activities, supportive relationships, motivation, achievement, and the ability to handle challenges.</w:t>
      </w:r>
    </w:p>
    <w:p w14:paraId="7200BCE9" w14:textId="5313984A" w:rsidR="001B1DB7" w:rsidRPr="001B1DB7" w:rsidRDefault="00AF78BA" w:rsidP="001B1DB7">
      <w:r>
        <w:t xml:space="preserve">One useful framework was Seligman’s PERMA model. PERMA represents positive emotion, engagement, relationships, meaning, and accomplishment (Seligman, 2011). During </w:t>
      </w:r>
      <w:r w:rsidR="008E36BC">
        <w:t xml:space="preserve">the </w:t>
      </w:r>
      <w:r>
        <w:t xml:space="preserve">name of PERMA/wellbeing activity, I reflected on which elements were strongest and which needed development. I identified relationships </w:t>
      </w:r>
      <w:r w:rsidR="00D02582">
        <w:t>and meaning as strengths</w:t>
      </w:r>
      <w:r>
        <w:t xml:space="preserve"> because </w:t>
      </w:r>
      <w:r w:rsidR="00D02582">
        <w:t>of a brief,</w:t>
      </w:r>
      <w:r>
        <w:t xml:space="preserve"> genuine explanation. However, I recognised that I need to enhance engagement, positive emotion, or balance through real </w:t>
      </w:r>
      <w:r w:rsidR="008E36BC">
        <w:t>action</w:t>
      </w:r>
      <w:r>
        <w:t xml:space="preserve">. The framework </w:t>
      </w:r>
      <w:r>
        <w:lastRenderedPageBreak/>
        <w:t>demonstrated that well-being cannot be sustained through positive thinking alone; it requires habits and environments that support different aspects of life.</w:t>
      </w:r>
    </w:p>
    <w:p w14:paraId="215C2ED5" w14:textId="027873E3" w:rsidR="001B1DB7" w:rsidRPr="001B1DB7" w:rsidRDefault="00164AAA" w:rsidP="001B1DB7">
      <w:r>
        <w:t xml:space="preserve">I also examined motivation. Ryan and Deci (2000) state that well-being and internal motivation flourish through autonomy, competence, and relatedness. I link autonomy with making meaningful choices, competence with feeling capable, and relatedness with supportive relationships. This relates to my education because I am more motivated when I understand the purpose of tasks, receive helpful feedback, and feel connected to classmates. It also applies to person-centred care, where service users should participate in </w:t>
      </w:r>
      <w:r w:rsidR="00C70784">
        <w:t>decision-making rather than passively receive decisions</w:t>
      </w:r>
      <w:r>
        <w:t>.</w:t>
      </w:r>
    </w:p>
    <w:p w14:paraId="687D6257" w14:textId="6254F206" w:rsidR="001B1DB7" w:rsidRPr="001B1DB7" w:rsidRDefault="008B0FD3" w:rsidP="001B1DB7">
      <w:r>
        <w:t>The unit prompted me to consider wellbeing in health and social care roles. Caring duties can be emotionally demanding, and neglecting stress management might impact both staff and those they support. Hall et al. (2016) demonstrated a link between healthcare staff wellbeing, burnout, and patient safety. Therefore, prioritising my well-being is not selfish. Setting boundaries, seeking supervision, getting adequate rest, and asking for help can enable me to provide safer, more compassionate care.</w:t>
      </w:r>
      <w:r w:rsidR="00F70C82">
        <w:t xml:space="preserve">  </w:t>
      </w:r>
    </w:p>
    <w:p w14:paraId="2D328FF4" w14:textId="242ACBA3" w:rsidR="001B1DB7" w:rsidRPr="001B1DB7" w:rsidRDefault="006F4A8E" w:rsidP="001B1DB7">
      <w:r>
        <w:t xml:space="preserve">During this module, I enhanced my self-awareness and gained a sharper view of my future professional identity. I learned to manage my personal brand, integrate global and cultural influences, </w:t>
      </w:r>
      <w:r w:rsidR="007C43ED">
        <w:t>identify development opportunities, and prioritise</w:t>
      </w:r>
      <w:r>
        <w:t xml:space="preserve"> my well-being. These aspects are interconnected: establishing a credible professional identity depends on ongoing learning, cultural respect, and sustainable work practices.</w:t>
      </w:r>
    </w:p>
    <w:p w14:paraId="6A5500DC" w14:textId="13586276" w:rsidR="00371EEB" w:rsidRPr="001B1DB7" w:rsidRDefault="00D007EE" w:rsidP="001B1DB7">
      <w:r>
        <w:t xml:space="preserve">Moving forward, I intend to regularly reflect on my progress, set realistic goals, seek feedback, maintain professional conduct online, and establish routines that support my well-being. These actions will help shape me into a responsible and reflective health and social care </w:t>
      </w:r>
      <w:r w:rsidR="00263197">
        <w:t>professional.</w:t>
      </w:r>
    </w:p>
    <w:p w14:paraId="15C220EA" w14:textId="25A1547A" w:rsidR="001B1DB7" w:rsidRDefault="00FB6161" w:rsidP="001B1DB7">
      <w:r>
        <w:t>The PERMA model illustrates well-being through five components that foster human flourishing: positive emotions, engagement, relationships, meaning, and achievement.</w:t>
      </w:r>
    </w:p>
    <w:p w14:paraId="7D56B056" w14:textId="7C808D5F" w:rsidR="00523275" w:rsidRDefault="00B54FBD" w:rsidP="001B1DB7">
      <w:r>
        <w:t>Self-Determination Theory directly connects to well-being by suggesting that humans have three fundamental psychological needs: autonomy, competence, and relatedness</w:t>
      </w:r>
    </w:p>
    <w:p w14:paraId="03D5D290" w14:textId="54F5004C" w:rsidR="00523275" w:rsidRPr="00CB3397" w:rsidRDefault="00BA51C6" w:rsidP="001B1DB7">
      <w:pPr>
        <w:rPr>
          <w:sz w:val="32"/>
          <w:szCs w:val="32"/>
        </w:rPr>
      </w:pPr>
      <w:r w:rsidRPr="00C42AA7">
        <w:rPr>
          <w:sz w:val="32"/>
          <w:szCs w:val="32"/>
        </w:rPr>
        <w:drawing>
          <wp:inline distT="0" distB="0" distL="0" distR="0" wp14:anchorId="5BE14F54" wp14:editId="0B31B875">
            <wp:extent cx="5731510" cy="561975"/>
            <wp:effectExtent l="0" t="0" r="2540" b="9525"/>
            <wp:docPr id="10339730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61975"/>
                    </a:xfrm>
                    <a:prstGeom prst="rect">
                      <a:avLst/>
                    </a:prstGeom>
                    <a:noFill/>
                    <a:ln>
                      <a:noFill/>
                    </a:ln>
                  </pic:spPr>
                </pic:pic>
              </a:graphicData>
            </a:graphic>
          </wp:inline>
        </w:drawing>
      </w:r>
    </w:p>
    <w:p w14:paraId="7FE9DC3D" w14:textId="09D18D10" w:rsidR="00533156" w:rsidRPr="00533156" w:rsidRDefault="00533156" w:rsidP="00533156">
      <w:r w:rsidRPr="00533156">
        <w:drawing>
          <wp:inline distT="0" distB="0" distL="0" distR="0" wp14:anchorId="7A1482C6" wp14:editId="386DDC77">
            <wp:extent cx="5731510" cy="681355"/>
            <wp:effectExtent l="0" t="0" r="2540" b="4445"/>
            <wp:docPr id="3271144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681355"/>
                    </a:xfrm>
                    <a:prstGeom prst="rect">
                      <a:avLst/>
                    </a:prstGeom>
                    <a:noFill/>
                    <a:ln>
                      <a:noFill/>
                    </a:ln>
                  </pic:spPr>
                </pic:pic>
              </a:graphicData>
            </a:graphic>
          </wp:inline>
        </w:drawing>
      </w:r>
    </w:p>
    <w:p w14:paraId="0216C747" w14:textId="250EBA08" w:rsidR="00BA51C6" w:rsidRPr="001B1DB7" w:rsidRDefault="00BA51C6" w:rsidP="001B1DB7"/>
    <w:p w14:paraId="537562E9" w14:textId="77777777" w:rsidR="001B1DB7" w:rsidRPr="001B1DB7" w:rsidRDefault="00000000" w:rsidP="001B1DB7">
      <w:r>
        <w:pict w14:anchorId="33993D6C">
          <v:rect id="_x0000_i1029" style="width:0;height:1.5pt" o:hralign="center" o:hrstd="t" o:hr="t" fillcolor="#a0a0a0" stroked="f"/>
        </w:pict>
      </w:r>
    </w:p>
    <w:p w14:paraId="59605D6F" w14:textId="77777777" w:rsidR="001B1DB7" w:rsidRPr="001B1DB7" w:rsidRDefault="001B1DB7" w:rsidP="001B1DB7">
      <w:pPr>
        <w:rPr>
          <w:b/>
          <w:bCs/>
        </w:rPr>
      </w:pPr>
      <w:r w:rsidRPr="001B1DB7">
        <w:rPr>
          <w:b/>
          <w:bCs/>
        </w:rPr>
        <w:lastRenderedPageBreak/>
        <w:t>Conclusion — approximately 175 words</w:t>
      </w:r>
    </w:p>
    <w:p w14:paraId="41904618" w14:textId="77777777" w:rsidR="009E66FD" w:rsidRDefault="00CD71C3" w:rsidP="001B1DB7">
      <w:r>
        <w:t xml:space="preserve">This assignment has reflected on the most important lessons I learned from the four units. Unit 1 taught me that developing a personal brand requires self-awareness, authenticity, and consistent professional behaviour. I also recognised the importance of managing my digital footprint. </w:t>
      </w:r>
    </w:p>
    <w:p w14:paraId="60ED4E87" w14:textId="4E6987EC" w:rsidR="001B1DB7" w:rsidRPr="001B1DB7" w:rsidRDefault="00CD71C3" w:rsidP="001B1DB7">
      <w:r>
        <w:t>Unit 2 helped me understand that health is influenced by global connections, cultural experiences, and broader social conditions. This learning will motivate me to avoid assumptions and consider each service user’s individual circumstances.</w:t>
      </w:r>
    </w:p>
    <w:p w14:paraId="6338B486" w14:textId="77777777" w:rsidR="00553804" w:rsidRDefault="000A1A05" w:rsidP="001B1DB7">
      <w:r>
        <w:t xml:space="preserve">Unit 3 demonstrated that I can actively participate in my development by recognising opportunities, fostering professional relationships, and setting realistic goals. It also clarified that confidence </w:t>
      </w:r>
      <w:r w:rsidR="003C66F7">
        <w:t>could</w:t>
      </w:r>
      <w:r>
        <w:t xml:space="preserve"> grow through experience and reflection.</w:t>
      </w:r>
    </w:p>
    <w:p w14:paraId="0AEA7DC4" w14:textId="3C4CA3E7" w:rsidR="001B1DB7" w:rsidRPr="001B1DB7" w:rsidRDefault="000A1A05" w:rsidP="001B1DB7">
      <w:r>
        <w:t xml:space="preserve"> Unit 4 broadened my understanding of happiness by illustrating that </w:t>
      </w:r>
      <w:r w:rsidR="005C1F1D">
        <w:t>well-being</w:t>
      </w:r>
      <w:r>
        <w:t xml:space="preserve"> includes positive emotions, engagement, relationships, meaning, and achievement.</w:t>
      </w:r>
    </w:p>
    <w:p w14:paraId="60E7912E" w14:textId="26D83A5A" w:rsidR="001B1DB7" w:rsidRPr="001B1DB7" w:rsidRDefault="000E05D7" w:rsidP="001B1DB7">
      <w:r>
        <w:t>The units have increased my awareness of my values, responsibilities, strengths, and areas for growth. In my future role in health and social care, I intend to communicate respectfully, continue enhancing my knowledge, actively seek feedback, and prioritise my wellbeing. These steps will support ethical, compassionate, and person-centred practice.</w:t>
      </w:r>
    </w:p>
    <w:p w14:paraId="2EB98EC5" w14:textId="77777777" w:rsidR="001B1DB7" w:rsidRPr="001B1DB7" w:rsidRDefault="001B1DB7" w:rsidP="001B1DB7">
      <w:pPr>
        <w:rPr>
          <w:b/>
          <w:bCs/>
        </w:rPr>
      </w:pPr>
      <w:r w:rsidRPr="001B1DB7">
        <w:rPr>
          <w:b/>
          <w:bCs/>
        </w:rPr>
        <w:t>Harvard Reference List</w:t>
      </w:r>
    </w:p>
    <w:p w14:paraId="1FA6D51D" w14:textId="6B130CD0" w:rsidR="001B1DB7" w:rsidRPr="001B1DB7" w:rsidRDefault="001B1DB7" w:rsidP="001B1DB7">
      <w:r w:rsidRPr="001B1DB7">
        <w:t>Bandura, A. (1997)</w:t>
      </w:r>
      <w:r w:rsidR="00AF128A">
        <w:t>.</w:t>
      </w:r>
      <w:r w:rsidRPr="001B1DB7">
        <w:t xml:space="preserve"> </w:t>
      </w:r>
      <w:r w:rsidRPr="001B1DB7">
        <w:rPr>
          <w:i/>
          <w:iCs/>
        </w:rPr>
        <w:t>Self-efficacy: The exercise of control</w:t>
      </w:r>
      <w:r w:rsidRPr="001B1DB7">
        <w:t>. New York: W.H. Freeman.</w:t>
      </w:r>
    </w:p>
    <w:p w14:paraId="5E4A8031" w14:textId="77777777" w:rsidR="001B1DB7" w:rsidRPr="001B1DB7" w:rsidRDefault="001B1DB7" w:rsidP="001B1DB7">
      <w:r w:rsidRPr="001B1DB7">
        <w:t xml:space="preserve">Frenk, J. et al. (2010) ‘Health professionals for a new century: Transforming education to strengthen health systems in an interdependent world’, </w:t>
      </w:r>
      <w:r w:rsidRPr="001B1DB7">
        <w:rPr>
          <w:i/>
          <w:iCs/>
        </w:rPr>
        <w:t>The Lancet</w:t>
      </w:r>
      <w:r w:rsidRPr="001B1DB7">
        <w:t>, 376(9756), pp. 1923–1958. doi: 10.1016/S0140-6736(10)61854-5.</w:t>
      </w:r>
    </w:p>
    <w:p w14:paraId="6B24BCA7" w14:textId="77777777" w:rsidR="001B1DB7" w:rsidRPr="001B1DB7" w:rsidRDefault="001B1DB7" w:rsidP="001B1DB7">
      <w:r w:rsidRPr="001B1DB7">
        <w:t xml:space="preserve">Hall, L.H., Johnson, J., Watt, I., Tsipa, A. and O’Connor, D.B. (2016) ‘Healthcare staff wellbeing, burnout, and patient safety: A systematic review’, </w:t>
      </w:r>
      <w:r w:rsidRPr="001B1DB7">
        <w:rPr>
          <w:i/>
          <w:iCs/>
        </w:rPr>
        <w:t>PLOS ONE</w:t>
      </w:r>
      <w:r w:rsidRPr="001B1DB7">
        <w:t>, 11(7), article e0159015. doi: 10.1371/journal.pone.0159015.</w:t>
      </w:r>
    </w:p>
    <w:p w14:paraId="7B663F3C" w14:textId="498B3052" w:rsidR="001B1DB7" w:rsidRPr="001B1DB7" w:rsidRDefault="001B1DB7" w:rsidP="001B1DB7">
      <w:r w:rsidRPr="001B1DB7">
        <w:t>Kolb, D.A. (1984)</w:t>
      </w:r>
      <w:r w:rsidR="003D4F3B">
        <w:t>.</w:t>
      </w:r>
      <w:r w:rsidRPr="001B1DB7">
        <w:t xml:space="preserve"> </w:t>
      </w:r>
      <w:r w:rsidRPr="001B1DB7">
        <w:rPr>
          <w:i/>
          <w:iCs/>
        </w:rPr>
        <w:t>Experiential learning: Experience as the source of learning and development</w:t>
      </w:r>
      <w:r w:rsidRPr="001B1DB7">
        <w:t>. Englewood Cliffs, NJ: Prentice Hall.</w:t>
      </w:r>
    </w:p>
    <w:p w14:paraId="3A73C0CB" w14:textId="6203F309" w:rsidR="00E139DD" w:rsidRPr="001B1DB7" w:rsidRDefault="001B1DB7" w:rsidP="001B1DB7">
      <w:r w:rsidRPr="001B1DB7">
        <w:t xml:space="preserve">Labrecque, L.I., Markos, E. and Milne, G.R. (2011) ‘Online personal branding: Processes, challenges, and implications’, </w:t>
      </w:r>
      <w:r w:rsidRPr="001B1DB7">
        <w:rPr>
          <w:i/>
          <w:iCs/>
        </w:rPr>
        <w:t>Journal of Interactive Marketing</w:t>
      </w:r>
      <w:r w:rsidRPr="001B1DB7">
        <w:t>, 25(1), pp. 37–50. doi: 10.1016/j.intmar.2010.09.00</w:t>
      </w:r>
    </w:p>
    <w:p w14:paraId="17ADC18F" w14:textId="5EC00F90" w:rsidR="001B1DB7" w:rsidRPr="001B1DB7" w:rsidRDefault="00EB436F" w:rsidP="001B1DB7">
      <w:r>
        <w:t>Ryan, R. M. and Deci, E. L. (2000) ‘Self-determination theory and the facilitation of intrinsic motivation, social development, and well-being’, American Psychologist, 55(1), pp. 68–78. doi: 10.1037/0003-066X.55.1.68.</w:t>
      </w:r>
    </w:p>
    <w:p w14:paraId="7FE74697" w14:textId="46226920" w:rsidR="001B1DB7" w:rsidRPr="001B1DB7" w:rsidRDefault="001B1DB7" w:rsidP="001B1DB7">
      <w:r w:rsidRPr="001B1DB7">
        <w:lastRenderedPageBreak/>
        <w:t>Seligman, M.E.P. (2011)</w:t>
      </w:r>
      <w:r w:rsidR="00B2527D">
        <w:t>.</w:t>
      </w:r>
      <w:r w:rsidRPr="001B1DB7">
        <w:t xml:space="preserve"> </w:t>
      </w:r>
      <w:r w:rsidRPr="001B1DB7">
        <w:rPr>
          <w:i/>
          <w:iCs/>
        </w:rPr>
        <w:t>Flourish: A visionary new understanding of happiness and well-being</w:t>
      </w:r>
      <w:r w:rsidRPr="001B1DB7">
        <w:t>. New York: Free Press.</w:t>
      </w:r>
    </w:p>
    <w:p w14:paraId="668BFF2C" w14:textId="39A6EADD" w:rsidR="001B1DB7" w:rsidRPr="001B1DB7" w:rsidRDefault="001B1DB7" w:rsidP="001B1DB7">
      <w:r w:rsidRPr="001B1DB7">
        <w:t xml:space="preserve">Shepherd, I.D.H. (2005) ‘From cattle and Coke to Charlie: Meeting the challenge of </w:t>
      </w:r>
      <w:r w:rsidR="00B2527D" w:rsidRPr="001B1DB7">
        <w:t>self-marketing</w:t>
      </w:r>
      <w:r w:rsidRPr="001B1DB7">
        <w:t xml:space="preserve"> and personal branding’, </w:t>
      </w:r>
      <w:r w:rsidRPr="001B1DB7">
        <w:rPr>
          <w:i/>
          <w:iCs/>
        </w:rPr>
        <w:t>Journal of Marketing Management</w:t>
      </w:r>
      <w:r w:rsidRPr="001B1DB7">
        <w:t>, 21(5–6), pp. 589–606. doi: 10.1362/0267257054307381.</w:t>
      </w:r>
    </w:p>
    <w:p w14:paraId="23C91F9D" w14:textId="77777777" w:rsidR="001B1DB7" w:rsidRDefault="001B1DB7" w:rsidP="001B1DB7">
      <w:r w:rsidRPr="001B1DB7">
        <w:t xml:space="preserve">Tomlinson, M. (2017) ‘Forms of graduate capital and their relationship to graduate employability’, </w:t>
      </w:r>
      <w:r w:rsidRPr="001B1DB7">
        <w:rPr>
          <w:i/>
          <w:iCs/>
        </w:rPr>
        <w:t>Education + Training</w:t>
      </w:r>
      <w:r w:rsidRPr="001B1DB7">
        <w:t>, 59(4), pp. 338–352. doi: 10.1108/ET-05-2016-0090.</w:t>
      </w:r>
    </w:p>
    <w:p w14:paraId="70E7B92D" w14:textId="41A5C198" w:rsidR="00E208DD" w:rsidRDefault="008D3115" w:rsidP="00E208DD">
      <w:r w:rsidRPr="008D3115">
        <w:t>Ryan, R. M. and Deci, E. L. (2000) ‘Self-determination theory and the facilitation of intrinsic motivation, social development, and well-being’, American Psychologist, 55(1), pp. 68–78. doi: 10.1037/0003-066X.55.1.68.</w:t>
      </w:r>
    </w:p>
    <w:p w14:paraId="15CEEA78" w14:textId="7491F11E" w:rsidR="003E0F3D" w:rsidRPr="008D3115" w:rsidRDefault="00E208DD" w:rsidP="008D3115">
      <w:r w:rsidRPr="00E139DD">
        <w:t xml:space="preserve">University of Pennsylvania (2024). </w:t>
      </w:r>
      <w:r>
        <w:rPr>
          <w:i/>
          <w:iCs/>
        </w:rPr>
        <w:t>PermaTM theory of well-being and PermaTM workshops | Positive Psychology Centre</w:t>
      </w:r>
      <w:r w:rsidRPr="00E139DD">
        <w:t xml:space="preserve">. [online] </w:t>
      </w:r>
      <w:r w:rsidRPr="00E139DD">
        <w:rPr>
          <w:i/>
          <w:iCs/>
        </w:rPr>
        <w:t>Upenn.edu</w:t>
      </w:r>
      <w:r w:rsidRPr="00E139DD">
        <w:t>. University of Pennsylvania. Available at: https://ppc.sas.upenn.edu/learn-more/perma-theory-well-being-and-perma-workshops [Accessed 29 July 2026]</w:t>
      </w:r>
    </w:p>
    <w:p w14:paraId="131E3DCD" w14:textId="47E6643E" w:rsidR="001B1DB7" w:rsidRPr="001B1DB7" w:rsidRDefault="001B1DB7" w:rsidP="001B1DB7">
      <w:r w:rsidRPr="001B1DB7">
        <w:t xml:space="preserve">World Health </w:t>
      </w:r>
      <w:r w:rsidR="00B2527D">
        <w:t>Organisation (2025).</w:t>
      </w:r>
      <w:r w:rsidRPr="001B1DB7">
        <w:t xml:space="preserve"> </w:t>
      </w:r>
      <w:r w:rsidRPr="001B1DB7">
        <w:rPr>
          <w:i/>
          <w:iCs/>
        </w:rPr>
        <w:t>World report on social determinants of health equity</w:t>
      </w:r>
      <w:r w:rsidRPr="001B1DB7">
        <w:t xml:space="preserve">. Geneva: World Health </w:t>
      </w:r>
      <w:r w:rsidR="00B2527D">
        <w:t>Organisation</w:t>
      </w:r>
      <w:r w:rsidRPr="001B1DB7">
        <w:t xml:space="preserve">. Available from the World Health </w:t>
      </w:r>
      <w:r w:rsidR="00B2527D">
        <w:t>Organisation</w:t>
      </w:r>
      <w:r w:rsidRPr="001B1DB7">
        <w:t xml:space="preserve"> website (Accessed: 17 July 2026).</w:t>
      </w:r>
    </w:p>
    <w:p w14:paraId="0A359900" w14:textId="77777777" w:rsidR="001B1DB7" w:rsidRPr="001B1DB7" w:rsidRDefault="001B1DB7" w:rsidP="001B1DB7">
      <w:pPr>
        <w:rPr>
          <w:vanish/>
        </w:rPr>
      </w:pPr>
      <w:r w:rsidRPr="001B1DB7">
        <w:rPr>
          <w:vanish/>
        </w:rPr>
        <w:t>Top of Form</w:t>
      </w:r>
    </w:p>
    <w:p w14:paraId="453B38F7" w14:textId="77777777" w:rsidR="001B1DB7" w:rsidRPr="001B1DB7" w:rsidRDefault="001B1DB7" w:rsidP="001B1DB7"/>
    <w:p w14:paraId="0C053CC4" w14:textId="77777777" w:rsidR="001B1DB7" w:rsidRPr="001B1DB7" w:rsidRDefault="001B1DB7" w:rsidP="001B1DB7">
      <w:pPr>
        <w:rPr>
          <w:vanish/>
        </w:rPr>
      </w:pPr>
      <w:r w:rsidRPr="001B1DB7">
        <w:rPr>
          <w:vanish/>
        </w:rPr>
        <w:t>Bottom of Form</w:t>
      </w:r>
    </w:p>
    <w:p w14:paraId="24C85464" w14:textId="47244CFF" w:rsidR="001B1DB7" w:rsidRDefault="001B1DB7"/>
    <w:p w14:paraId="56AAA5CE" w14:textId="77777777" w:rsidR="001B1DB7" w:rsidRDefault="001B1DB7">
      <w:r>
        <w:br w:type="page"/>
      </w:r>
    </w:p>
    <w:p w14:paraId="5E498FF3" w14:textId="77777777" w:rsidR="001B1DB7" w:rsidRDefault="001B1DB7"/>
    <w:p w14:paraId="4151CB49" w14:textId="5B1D7BBD" w:rsidR="001B1DB7" w:rsidRDefault="001B1DB7"/>
    <w:sectPr w:rsidR="001B1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DB7"/>
    <w:rsid w:val="00002F43"/>
    <w:rsid w:val="00004046"/>
    <w:rsid w:val="00011510"/>
    <w:rsid w:val="000224A3"/>
    <w:rsid w:val="00023906"/>
    <w:rsid w:val="00026F22"/>
    <w:rsid w:val="00036DAA"/>
    <w:rsid w:val="00050BA1"/>
    <w:rsid w:val="0009202E"/>
    <w:rsid w:val="000A1A05"/>
    <w:rsid w:val="000A248F"/>
    <w:rsid w:val="000D72D4"/>
    <w:rsid w:val="000E05D7"/>
    <w:rsid w:val="000E3ABA"/>
    <w:rsid w:val="000F0A45"/>
    <w:rsid w:val="000F403F"/>
    <w:rsid w:val="00127F6C"/>
    <w:rsid w:val="00131563"/>
    <w:rsid w:val="00164AAA"/>
    <w:rsid w:val="001926E1"/>
    <w:rsid w:val="001B1DB7"/>
    <w:rsid w:val="001C1B21"/>
    <w:rsid w:val="001D3C0A"/>
    <w:rsid w:val="00216C31"/>
    <w:rsid w:val="00244CA2"/>
    <w:rsid w:val="00244DDB"/>
    <w:rsid w:val="0024777A"/>
    <w:rsid w:val="00263197"/>
    <w:rsid w:val="00275C2A"/>
    <w:rsid w:val="00283688"/>
    <w:rsid w:val="00295D57"/>
    <w:rsid w:val="00296D9B"/>
    <w:rsid w:val="002A33FA"/>
    <w:rsid w:val="002B3F78"/>
    <w:rsid w:val="002E0ADD"/>
    <w:rsid w:val="003239A4"/>
    <w:rsid w:val="003340CD"/>
    <w:rsid w:val="00344207"/>
    <w:rsid w:val="00371EEB"/>
    <w:rsid w:val="0039255F"/>
    <w:rsid w:val="003B38AC"/>
    <w:rsid w:val="003C66F7"/>
    <w:rsid w:val="003C789E"/>
    <w:rsid w:val="003D4F3B"/>
    <w:rsid w:val="003D7BA6"/>
    <w:rsid w:val="003E0F3D"/>
    <w:rsid w:val="003E40C4"/>
    <w:rsid w:val="00465F50"/>
    <w:rsid w:val="004C351A"/>
    <w:rsid w:val="00520676"/>
    <w:rsid w:val="005209F6"/>
    <w:rsid w:val="00523275"/>
    <w:rsid w:val="005244BD"/>
    <w:rsid w:val="00533156"/>
    <w:rsid w:val="00551840"/>
    <w:rsid w:val="00553804"/>
    <w:rsid w:val="005B46A4"/>
    <w:rsid w:val="005C1F1D"/>
    <w:rsid w:val="005C44CE"/>
    <w:rsid w:val="0060548F"/>
    <w:rsid w:val="00605BE1"/>
    <w:rsid w:val="00652B2C"/>
    <w:rsid w:val="00670414"/>
    <w:rsid w:val="00682943"/>
    <w:rsid w:val="006A21A5"/>
    <w:rsid w:val="006B35F1"/>
    <w:rsid w:val="006C7C0B"/>
    <w:rsid w:val="006F082C"/>
    <w:rsid w:val="006F4A8E"/>
    <w:rsid w:val="00730FB0"/>
    <w:rsid w:val="00743646"/>
    <w:rsid w:val="00772E8A"/>
    <w:rsid w:val="007B3CF6"/>
    <w:rsid w:val="007C43ED"/>
    <w:rsid w:val="007D3DD3"/>
    <w:rsid w:val="007F0D87"/>
    <w:rsid w:val="00800FD6"/>
    <w:rsid w:val="00815E21"/>
    <w:rsid w:val="00835ACB"/>
    <w:rsid w:val="00867361"/>
    <w:rsid w:val="008700B2"/>
    <w:rsid w:val="008A481C"/>
    <w:rsid w:val="008B0FD3"/>
    <w:rsid w:val="008D3115"/>
    <w:rsid w:val="008E36BC"/>
    <w:rsid w:val="008E41D9"/>
    <w:rsid w:val="00902D64"/>
    <w:rsid w:val="00914ABD"/>
    <w:rsid w:val="00940C75"/>
    <w:rsid w:val="00942C7E"/>
    <w:rsid w:val="009473AB"/>
    <w:rsid w:val="009545C4"/>
    <w:rsid w:val="00967619"/>
    <w:rsid w:val="00971C47"/>
    <w:rsid w:val="00974E69"/>
    <w:rsid w:val="009831F3"/>
    <w:rsid w:val="009B408D"/>
    <w:rsid w:val="009B7D9D"/>
    <w:rsid w:val="009E66FD"/>
    <w:rsid w:val="009F441E"/>
    <w:rsid w:val="009F6267"/>
    <w:rsid w:val="00A12A33"/>
    <w:rsid w:val="00A274AE"/>
    <w:rsid w:val="00A50F9D"/>
    <w:rsid w:val="00A60DD5"/>
    <w:rsid w:val="00A66636"/>
    <w:rsid w:val="00A91F82"/>
    <w:rsid w:val="00A96848"/>
    <w:rsid w:val="00AC1144"/>
    <w:rsid w:val="00AE6F86"/>
    <w:rsid w:val="00AF128A"/>
    <w:rsid w:val="00AF78BA"/>
    <w:rsid w:val="00B2527D"/>
    <w:rsid w:val="00B27961"/>
    <w:rsid w:val="00B37586"/>
    <w:rsid w:val="00B45E31"/>
    <w:rsid w:val="00B54FBD"/>
    <w:rsid w:val="00B90381"/>
    <w:rsid w:val="00B91283"/>
    <w:rsid w:val="00BA51C6"/>
    <w:rsid w:val="00C162AE"/>
    <w:rsid w:val="00C37E33"/>
    <w:rsid w:val="00C42AA7"/>
    <w:rsid w:val="00C70784"/>
    <w:rsid w:val="00C92FB1"/>
    <w:rsid w:val="00C96A74"/>
    <w:rsid w:val="00C9735B"/>
    <w:rsid w:val="00CA2500"/>
    <w:rsid w:val="00CA6E16"/>
    <w:rsid w:val="00CB1DC0"/>
    <w:rsid w:val="00CB3397"/>
    <w:rsid w:val="00CD71C3"/>
    <w:rsid w:val="00D007EE"/>
    <w:rsid w:val="00D02582"/>
    <w:rsid w:val="00D128C6"/>
    <w:rsid w:val="00D16207"/>
    <w:rsid w:val="00D25346"/>
    <w:rsid w:val="00D44143"/>
    <w:rsid w:val="00D64E3A"/>
    <w:rsid w:val="00D704C1"/>
    <w:rsid w:val="00D77031"/>
    <w:rsid w:val="00DA32C7"/>
    <w:rsid w:val="00DB6A95"/>
    <w:rsid w:val="00DD428D"/>
    <w:rsid w:val="00DF25FA"/>
    <w:rsid w:val="00E068F7"/>
    <w:rsid w:val="00E07BA6"/>
    <w:rsid w:val="00E12F91"/>
    <w:rsid w:val="00E139DD"/>
    <w:rsid w:val="00E208DD"/>
    <w:rsid w:val="00E214BC"/>
    <w:rsid w:val="00E31829"/>
    <w:rsid w:val="00E42FF7"/>
    <w:rsid w:val="00EA47A1"/>
    <w:rsid w:val="00EB436F"/>
    <w:rsid w:val="00EE7E77"/>
    <w:rsid w:val="00F07F04"/>
    <w:rsid w:val="00F4549D"/>
    <w:rsid w:val="00F6299E"/>
    <w:rsid w:val="00F70C82"/>
    <w:rsid w:val="00F72BDC"/>
    <w:rsid w:val="00F812B1"/>
    <w:rsid w:val="00F83925"/>
    <w:rsid w:val="00FA7474"/>
    <w:rsid w:val="00FB163E"/>
    <w:rsid w:val="00FB1EA0"/>
    <w:rsid w:val="00FB6161"/>
    <w:rsid w:val="00FD243D"/>
    <w:rsid w:val="00FE3F43"/>
    <w:rsid w:val="00FE531B"/>
    <w:rsid w:val="00FF49E8"/>
    <w:rsid w:val="00FF7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F4BC9"/>
  <w15:chartTrackingRefBased/>
  <w15:docId w15:val="{89B5E1C5-BE1C-433B-8ADE-BF406DBBD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D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1D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1D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D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D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D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1D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1D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D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D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DB7"/>
    <w:rPr>
      <w:rFonts w:eastAsiaTheme="majorEastAsia" w:cstheme="majorBidi"/>
      <w:color w:val="272727" w:themeColor="text1" w:themeTint="D8"/>
    </w:rPr>
  </w:style>
  <w:style w:type="paragraph" w:styleId="Title">
    <w:name w:val="Title"/>
    <w:basedOn w:val="Normal"/>
    <w:next w:val="Normal"/>
    <w:link w:val="TitleChar"/>
    <w:uiPriority w:val="10"/>
    <w:qFormat/>
    <w:rsid w:val="001B1D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DB7"/>
    <w:pPr>
      <w:spacing w:before="160"/>
      <w:jc w:val="center"/>
    </w:pPr>
    <w:rPr>
      <w:i/>
      <w:iCs/>
      <w:color w:val="404040" w:themeColor="text1" w:themeTint="BF"/>
    </w:rPr>
  </w:style>
  <w:style w:type="character" w:customStyle="1" w:styleId="QuoteChar">
    <w:name w:val="Quote Char"/>
    <w:basedOn w:val="DefaultParagraphFont"/>
    <w:link w:val="Quote"/>
    <w:uiPriority w:val="29"/>
    <w:rsid w:val="001B1DB7"/>
    <w:rPr>
      <w:i/>
      <w:iCs/>
      <w:color w:val="404040" w:themeColor="text1" w:themeTint="BF"/>
    </w:rPr>
  </w:style>
  <w:style w:type="paragraph" w:styleId="ListParagraph">
    <w:name w:val="List Paragraph"/>
    <w:basedOn w:val="Normal"/>
    <w:uiPriority w:val="34"/>
    <w:qFormat/>
    <w:rsid w:val="001B1DB7"/>
    <w:pPr>
      <w:ind w:left="720"/>
      <w:contextualSpacing/>
    </w:pPr>
  </w:style>
  <w:style w:type="character" w:styleId="IntenseEmphasis">
    <w:name w:val="Intense Emphasis"/>
    <w:basedOn w:val="DefaultParagraphFont"/>
    <w:uiPriority w:val="21"/>
    <w:qFormat/>
    <w:rsid w:val="001B1DB7"/>
    <w:rPr>
      <w:i/>
      <w:iCs/>
      <w:color w:val="0F4761" w:themeColor="accent1" w:themeShade="BF"/>
    </w:rPr>
  </w:style>
  <w:style w:type="paragraph" w:styleId="IntenseQuote">
    <w:name w:val="Intense Quote"/>
    <w:basedOn w:val="Normal"/>
    <w:next w:val="Normal"/>
    <w:link w:val="IntenseQuoteChar"/>
    <w:uiPriority w:val="30"/>
    <w:qFormat/>
    <w:rsid w:val="001B1D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DB7"/>
    <w:rPr>
      <w:i/>
      <w:iCs/>
      <w:color w:val="0F4761" w:themeColor="accent1" w:themeShade="BF"/>
    </w:rPr>
  </w:style>
  <w:style w:type="character" w:styleId="IntenseReference">
    <w:name w:val="Intense Reference"/>
    <w:basedOn w:val="DefaultParagraphFont"/>
    <w:uiPriority w:val="32"/>
    <w:qFormat/>
    <w:rsid w:val="001B1DB7"/>
    <w:rPr>
      <w:b/>
      <w:bCs/>
      <w:smallCaps/>
      <w:color w:val="0F4761" w:themeColor="accent1" w:themeShade="BF"/>
      <w:spacing w:val="5"/>
    </w:rPr>
  </w:style>
  <w:style w:type="paragraph" w:styleId="NormalWeb">
    <w:name w:val="Normal (Web)"/>
    <w:basedOn w:val="Normal"/>
    <w:uiPriority w:val="99"/>
    <w:semiHidden/>
    <w:unhideWhenUsed/>
    <w:rsid w:val="00C162A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3996</TotalTime>
  <Pages>10</Pages>
  <Words>2528</Words>
  <Characters>14416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Gifty Opoku</dc:creator>
  <cp:keywords/>
  <dc:description/>
  <cp:lastModifiedBy>Gifty Opoku</cp:lastModifiedBy>
  <cp:revision>166</cp:revision>
  <dcterms:created xsi:type="dcterms:W3CDTF">2026-07-22T17:32:00Z</dcterms:created>
  <dcterms:modified xsi:type="dcterms:W3CDTF">2026-07-29T21:16:00Z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ab9a3412-9de6-4f86-9716-a05506043a8c</vt:lpwstr>
  </property>
</Properties>
</file>