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A594D4" w14:textId="026F6F67" w:rsidR="00754882" w:rsidRDefault="00754882">
      <w:pPr>
        <w:rPr>
          <w:b/>
          <w:bCs/>
          <w:sz w:val="24"/>
          <w:szCs w:val="24"/>
        </w:rPr>
      </w:pP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p>
    <w:p w14:paraId="1D52A3D2" w14:textId="4028668F" w:rsidR="00E61D38" w:rsidRDefault="00754882">
      <w:pPr>
        <w:rPr>
          <w:b/>
          <w:bCs/>
          <w:sz w:val="24"/>
          <w:szCs w:val="24"/>
        </w:rPr>
      </w:pPr>
      <w:r w:rsidRPr="00754882">
        <w:rPr>
          <w:b/>
          <w:bCs/>
          <w:sz w:val="24"/>
          <w:szCs w:val="24"/>
        </w:rPr>
        <w:t>Assessment 4</w:t>
      </w:r>
      <w:r w:rsidR="00CD2190">
        <w:rPr>
          <w:b/>
          <w:bCs/>
          <w:sz w:val="24"/>
          <w:szCs w:val="24"/>
        </w:rPr>
        <w:t>:</w:t>
      </w:r>
      <w:r w:rsidRPr="00754882">
        <w:rPr>
          <w:b/>
          <w:bCs/>
          <w:sz w:val="24"/>
          <w:szCs w:val="24"/>
        </w:rPr>
        <w:t xml:space="preserve"> Image commentary</w:t>
      </w:r>
    </w:p>
    <w:p w14:paraId="70819509" w14:textId="5C2317A7" w:rsidR="00181691" w:rsidRDefault="00537032" w:rsidP="00181691">
      <w:pPr>
        <w:rPr>
          <w:sz w:val="24"/>
          <w:szCs w:val="24"/>
        </w:rPr>
      </w:pPr>
      <w:r>
        <w:rPr>
          <w:sz w:val="24"/>
          <w:szCs w:val="24"/>
        </w:rPr>
        <w:t>T</w:t>
      </w:r>
      <w:r w:rsidR="004745BC">
        <w:rPr>
          <w:sz w:val="24"/>
          <w:szCs w:val="24"/>
        </w:rPr>
        <w:t xml:space="preserve">he </w:t>
      </w:r>
      <w:r w:rsidR="0091416E">
        <w:rPr>
          <w:sz w:val="24"/>
          <w:szCs w:val="24"/>
        </w:rPr>
        <w:t xml:space="preserve">image chosen for this assignment is that of the Virgin Mary </w:t>
      </w:r>
      <w:r>
        <w:rPr>
          <w:sz w:val="24"/>
          <w:szCs w:val="24"/>
        </w:rPr>
        <w:t>‘receiving the Annunciation’</w:t>
      </w:r>
      <w:r w:rsidR="004745BC">
        <w:rPr>
          <w:sz w:val="24"/>
          <w:szCs w:val="24"/>
        </w:rPr>
        <w:t xml:space="preserve">, a miniature which forms </w:t>
      </w:r>
      <w:r w:rsidR="003844BD">
        <w:rPr>
          <w:sz w:val="24"/>
          <w:szCs w:val="24"/>
        </w:rPr>
        <w:t xml:space="preserve">part of </w:t>
      </w:r>
      <w:r w:rsidR="003409D1">
        <w:rPr>
          <w:sz w:val="24"/>
          <w:szCs w:val="24"/>
        </w:rPr>
        <w:t xml:space="preserve">a </w:t>
      </w:r>
      <w:r w:rsidR="003844BD">
        <w:rPr>
          <w:sz w:val="24"/>
          <w:szCs w:val="24"/>
        </w:rPr>
        <w:t xml:space="preserve">text </w:t>
      </w:r>
      <w:r>
        <w:rPr>
          <w:sz w:val="24"/>
          <w:szCs w:val="24"/>
        </w:rPr>
        <w:t>identified as ‘The Hours of Henry VII’</w:t>
      </w:r>
      <w:r w:rsidR="005B6EA1">
        <w:rPr>
          <w:sz w:val="24"/>
          <w:szCs w:val="24"/>
        </w:rPr>
        <w:t>,</w:t>
      </w:r>
      <w:r w:rsidR="005B6899">
        <w:rPr>
          <w:sz w:val="24"/>
          <w:szCs w:val="24"/>
        </w:rPr>
        <w:t xml:space="preserve"> dated to around 1500</w:t>
      </w:r>
      <w:r w:rsidR="005B6EA1">
        <w:rPr>
          <w:sz w:val="24"/>
          <w:szCs w:val="24"/>
        </w:rPr>
        <w:t xml:space="preserve"> and currently held at the British Library.</w:t>
      </w:r>
      <w:r w:rsidR="004745BC">
        <w:rPr>
          <w:rStyle w:val="FootnoteReference"/>
          <w:sz w:val="24"/>
          <w:szCs w:val="24"/>
        </w:rPr>
        <w:footnoteReference w:id="1"/>
      </w:r>
      <w:r w:rsidR="004745BC">
        <w:rPr>
          <w:sz w:val="24"/>
          <w:szCs w:val="24"/>
        </w:rPr>
        <w:t xml:space="preserve"> </w:t>
      </w:r>
      <w:r w:rsidR="00912D71">
        <w:rPr>
          <w:sz w:val="24"/>
          <w:szCs w:val="24"/>
        </w:rPr>
        <w:t>The Book was disassembled in the late seventeenth century and a number of leaves of the original manuscript were found to be missing, along with the original binding which had been replaced and is thought to date from the nineteenth century.</w:t>
      </w:r>
      <w:r w:rsidR="00912D71">
        <w:rPr>
          <w:rStyle w:val="FootnoteReference"/>
          <w:sz w:val="24"/>
          <w:szCs w:val="24"/>
        </w:rPr>
        <w:footnoteReference w:id="2"/>
      </w:r>
      <w:r w:rsidR="00912D71">
        <w:rPr>
          <w:sz w:val="24"/>
          <w:szCs w:val="24"/>
        </w:rPr>
        <w:t xml:space="preserve"> </w:t>
      </w:r>
      <w:r w:rsidR="007E6D37">
        <w:rPr>
          <w:sz w:val="24"/>
          <w:szCs w:val="24"/>
        </w:rPr>
        <w:t>The painting has been attributed to the French artist Jean Bourdichon of Tours France. Praised for his skills at portraiture, Bourdichon served as a court painter in France for around forty years beginning during the reign of Louis XI.</w:t>
      </w:r>
      <w:r w:rsidR="007E6D37">
        <w:rPr>
          <w:rStyle w:val="FootnoteReference"/>
          <w:sz w:val="24"/>
          <w:szCs w:val="24"/>
        </w:rPr>
        <w:footnoteReference w:id="3"/>
      </w:r>
      <w:r w:rsidR="007E6D37">
        <w:rPr>
          <w:sz w:val="24"/>
          <w:szCs w:val="24"/>
        </w:rPr>
        <w:t xml:space="preserve"> </w:t>
      </w:r>
      <w:r w:rsidR="00B96B79">
        <w:rPr>
          <w:sz w:val="24"/>
          <w:szCs w:val="24"/>
        </w:rPr>
        <w:t>Although t</w:t>
      </w:r>
      <w:r w:rsidR="005B6EA1">
        <w:rPr>
          <w:sz w:val="24"/>
          <w:szCs w:val="24"/>
        </w:rPr>
        <w:t xml:space="preserve">he book </w:t>
      </w:r>
      <w:r w:rsidR="00084194">
        <w:rPr>
          <w:sz w:val="24"/>
          <w:szCs w:val="24"/>
        </w:rPr>
        <w:t xml:space="preserve">is believed to have </w:t>
      </w:r>
      <w:r w:rsidR="00B96B79">
        <w:rPr>
          <w:sz w:val="24"/>
          <w:szCs w:val="24"/>
        </w:rPr>
        <w:t>been in the possession of</w:t>
      </w:r>
      <w:r w:rsidR="005B6EA1">
        <w:rPr>
          <w:sz w:val="24"/>
          <w:szCs w:val="24"/>
        </w:rPr>
        <w:t xml:space="preserve"> Henry VII, </w:t>
      </w:r>
      <w:r w:rsidR="00074E2D">
        <w:rPr>
          <w:sz w:val="24"/>
          <w:szCs w:val="24"/>
        </w:rPr>
        <w:t xml:space="preserve">it has also been </w:t>
      </w:r>
      <w:r w:rsidR="005B6EA1">
        <w:rPr>
          <w:sz w:val="24"/>
          <w:szCs w:val="24"/>
        </w:rPr>
        <w:t>suggested that it could instead have been owned by Louis XII.</w:t>
      </w:r>
      <w:r w:rsidR="005B6EA1">
        <w:rPr>
          <w:rStyle w:val="FootnoteReference"/>
          <w:sz w:val="24"/>
          <w:szCs w:val="24"/>
        </w:rPr>
        <w:footnoteReference w:id="4"/>
      </w:r>
      <w:r>
        <w:rPr>
          <w:sz w:val="24"/>
          <w:szCs w:val="24"/>
        </w:rPr>
        <w:t xml:space="preserve"> </w:t>
      </w:r>
    </w:p>
    <w:p w14:paraId="1D22ADCA" w14:textId="3AD8D55D" w:rsidR="00644832" w:rsidRDefault="00FA577D" w:rsidP="00644832">
      <w:pPr>
        <w:rPr>
          <w:sz w:val="24"/>
          <w:szCs w:val="24"/>
        </w:rPr>
      </w:pPr>
      <w:r>
        <w:rPr>
          <w:sz w:val="24"/>
          <w:szCs w:val="24"/>
        </w:rPr>
        <w:t xml:space="preserve">The Hours of Henry VII </w:t>
      </w:r>
      <w:r w:rsidR="00181691">
        <w:rPr>
          <w:sz w:val="24"/>
          <w:szCs w:val="24"/>
        </w:rPr>
        <w:t xml:space="preserve">is </w:t>
      </w:r>
      <w:r>
        <w:rPr>
          <w:sz w:val="24"/>
          <w:szCs w:val="24"/>
        </w:rPr>
        <w:t xml:space="preserve">made </w:t>
      </w:r>
      <w:r w:rsidR="00CB2C1C">
        <w:rPr>
          <w:sz w:val="24"/>
          <w:szCs w:val="24"/>
        </w:rPr>
        <w:t xml:space="preserve">of vellum </w:t>
      </w:r>
      <w:r w:rsidR="00644832">
        <w:rPr>
          <w:sz w:val="24"/>
          <w:szCs w:val="24"/>
        </w:rPr>
        <w:t xml:space="preserve">and </w:t>
      </w:r>
      <w:r w:rsidR="00CB2C1C">
        <w:rPr>
          <w:sz w:val="24"/>
          <w:szCs w:val="24"/>
        </w:rPr>
        <w:t>though</w:t>
      </w:r>
      <w:r w:rsidR="00644832">
        <w:rPr>
          <w:sz w:val="24"/>
          <w:szCs w:val="24"/>
        </w:rPr>
        <w:t xml:space="preserve"> paper was used in </w:t>
      </w:r>
      <w:r w:rsidR="00CB2C1C">
        <w:rPr>
          <w:sz w:val="24"/>
          <w:szCs w:val="24"/>
        </w:rPr>
        <w:t xml:space="preserve">significant amounts in </w:t>
      </w:r>
      <w:r w:rsidR="00644832">
        <w:rPr>
          <w:sz w:val="24"/>
          <w:szCs w:val="24"/>
        </w:rPr>
        <w:t xml:space="preserve">Europe </w:t>
      </w:r>
      <w:r>
        <w:rPr>
          <w:sz w:val="24"/>
          <w:szCs w:val="24"/>
        </w:rPr>
        <w:t>by</w:t>
      </w:r>
      <w:r w:rsidR="00644832">
        <w:rPr>
          <w:sz w:val="24"/>
          <w:szCs w:val="24"/>
        </w:rPr>
        <w:t xml:space="preserve"> the early fifteenth century, it was not of sufficient quality for use by Bourdichon for this particular design.</w:t>
      </w:r>
      <w:r w:rsidR="00644832">
        <w:rPr>
          <w:rStyle w:val="FootnoteReference"/>
          <w:sz w:val="24"/>
          <w:szCs w:val="24"/>
        </w:rPr>
        <w:footnoteReference w:id="5"/>
      </w:r>
      <w:r w:rsidR="00644832">
        <w:rPr>
          <w:sz w:val="24"/>
          <w:szCs w:val="24"/>
        </w:rPr>
        <w:t xml:space="preserve"> Recent research using Raman spectroscopy reveals that Bourdichon rarely used pure pigments, rather he created a complex mixture of </w:t>
      </w:r>
      <w:r w:rsidR="00543222">
        <w:rPr>
          <w:sz w:val="24"/>
          <w:szCs w:val="24"/>
        </w:rPr>
        <w:t>colours</w:t>
      </w:r>
      <w:r w:rsidR="00644832">
        <w:rPr>
          <w:sz w:val="24"/>
          <w:szCs w:val="24"/>
        </w:rPr>
        <w:t xml:space="preserve"> for his compositions.</w:t>
      </w:r>
      <w:r w:rsidR="00644832">
        <w:rPr>
          <w:rStyle w:val="FootnoteReference"/>
          <w:sz w:val="24"/>
          <w:szCs w:val="24"/>
        </w:rPr>
        <w:footnoteReference w:id="6"/>
      </w:r>
      <w:r w:rsidR="00644832">
        <w:rPr>
          <w:sz w:val="24"/>
          <w:szCs w:val="24"/>
        </w:rPr>
        <w:t xml:space="preserve"> </w:t>
      </w:r>
      <w:r>
        <w:rPr>
          <w:sz w:val="24"/>
          <w:szCs w:val="24"/>
        </w:rPr>
        <w:t xml:space="preserve">He used more than twelve </w:t>
      </w:r>
      <w:r w:rsidR="00543222">
        <w:rPr>
          <w:sz w:val="24"/>
          <w:szCs w:val="24"/>
        </w:rPr>
        <w:t xml:space="preserve">different </w:t>
      </w:r>
      <w:r>
        <w:rPr>
          <w:sz w:val="24"/>
          <w:szCs w:val="24"/>
        </w:rPr>
        <w:t>pigments and colourants to achieve a ‘variety of</w:t>
      </w:r>
      <w:r w:rsidR="00543222">
        <w:rPr>
          <w:sz w:val="24"/>
          <w:szCs w:val="24"/>
        </w:rPr>
        <w:t xml:space="preserve"> hues and subtle tonal effects</w:t>
      </w:r>
      <w:r w:rsidR="00392258">
        <w:rPr>
          <w:sz w:val="24"/>
          <w:szCs w:val="24"/>
        </w:rPr>
        <w:t xml:space="preserve">’ </w:t>
      </w:r>
      <w:r w:rsidR="00543222">
        <w:rPr>
          <w:sz w:val="24"/>
          <w:szCs w:val="24"/>
        </w:rPr>
        <w:t>which are very evident in all his paintings.</w:t>
      </w:r>
      <w:r w:rsidR="00543222">
        <w:rPr>
          <w:rStyle w:val="FootnoteReference"/>
          <w:sz w:val="24"/>
          <w:szCs w:val="24"/>
        </w:rPr>
        <w:footnoteReference w:id="7"/>
      </w:r>
      <w:r w:rsidR="00644832">
        <w:rPr>
          <w:sz w:val="24"/>
          <w:szCs w:val="24"/>
        </w:rPr>
        <w:t>Further analysis shows that he was a hugely innovative artist, using a pigment called bismuth black over a thirty year period of his career when no other French artists of the fifteenth or early sixteenth century were doing so.</w:t>
      </w:r>
      <w:r w:rsidR="00644832">
        <w:rPr>
          <w:rStyle w:val="FootnoteReference"/>
          <w:sz w:val="24"/>
          <w:szCs w:val="24"/>
        </w:rPr>
        <w:footnoteReference w:id="8"/>
      </w:r>
      <w:r w:rsidR="00644832">
        <w:rPr>
          <w:sz w:val="24"/>
          <w:szCs w:val="24"/>
        </w:rPr>
        <w:t xml:space="preserve"> The pigment has been detected in the work of Italian artists from the beginning of the sixteenth century and the authors of the article speculate that Italian artists visiting France may have picked up the technique from Bourdichon himself.</w:t>
      </w:r>
      <w:r w:rsidR="00644832">
        <w:rPr>
          <w:rStyle w:val="FootnoteReference"/>
          <w:sz w:val="24"/>
          <w:szCs w:val="24"/>
        </w:rPr>
        <w:footnoteReference w:id="9"/>
      </w:r>
    </w:p>
    <w:p w14:paraId="26737B6B" w14:textId="5ED1560B" w:rsidR="00543222" w:rsidRDefault="001A5D2A" w:rsidP="00103E9E">
      <w:pPr>
        <w:shd w:val="clear" w:color="auto" w:fill="FFFFFF"/>
        <w:rPr>
          <w:sz w:val="24"/>
          <w:szCs w:val="24"/>
        </w:rPr>
      </w:pPr>
      <w:r>
        <w:rPr>
          <w:sz w:val="24"/>
          <w:szCs w:val="24"/>
        </w:rPr>
        <w:t>Janet Backhouse writing in 1998, referred to the ‘detached miniature’ of the Virgin as part of a ‘fine manuscript from which nine miniatures and fifty-three leaves of text have so far been recognised’.</w:t>
      </w:r>
      <w:r>
        <w:rPr>
          <w:rStyle w:val="FootnoteReference"/>
          <w:sz w:val="24"/>
          <w:szCs w:val="24"/>
        </w:rPr>
        <w:footnoteReference w:id="10"/>
      </w:r>
      <w:r>
        <w:rPr>
          <w:sz w:val="24"/>
          <w:szCs w:val="24"/>
        </w:rPr>
        <w:t xml:space="preserve"> </w:t>
      </w:r>
      <w:r w:rsidR="00B96B79">
        <w:rPr>
          <w:sz w:val="24"/>
          <w:szCs w:val="24"/>
        </w:rPr>
        <w:t>T</w:t>
      </w:r>
      <w:r>
        <w:rPr>
          <w:sz w:val="24"/>
          <w:szCs w:val="24"/>
        </w:rPr>
        <w:t xml:space="preserve">he miniatures </w:t>
      </w:r>
      <w:r w:rsidR="00D671F2">
        <w:rPr>
          <w:sz w:val="24"/>
          <w:szCs w:val="24"/>
        </w:rPr>
        <w:t xml:space="preserve">within Books of </w:t>
      </w:r>
      <w:r w:rsidR="00392258">
        <w:rPr>
          <w:sz w:val="24"/>
          <w:szCs w:val="24"/>
        </w:rPr>
        <w:t>Hours</w:t>
      </w:r>
      <w:r w:rsidR="00D671F2">
        <w:rPr>
          <w:sz w:val="24"/>
          <w:szCs w:val="24"/>
        </w:rPr>
        <w:t xml:space="preserve"> </w:t>
      </w:r>
      <w:r>
        <w:rPr>
          <w:sz w:val="24"/>
          <w:szCs w:val="24"/>
        </w:rPr>
        <w:t xml:space="preserve">were not designed </w:t>
      </w:r>
      <w:r w:rsidR="00B96B79">
        <w:rPr>
          <w:sz w:val="24"/>
          <w:szCs w:val="24"/>
        </w:rPr>
        <w:t xml:space="preserve">to be viewed </w:t>
      </w:r>
      <w:r>
        <w:rPr>
          <w:sz w:val="24"/>
          <w:szCs w:val="24"/>
        </w:rPr>
        <w:t>as individual, un</w:t>
      </w:r>
      <w:r w:rsidR="00295D74">
        <w:rPr>
          <w:sz w:val="24"/>
          <w:szCs w:val="24"/>
        </w:rPr>
        <w:t>r</w:t>
      </w:r>
      <w:r>
        <w:rPr>
          <w:sz w:val="24"/>
          <w:szCs w:val="24"/>
        </w:rPr>
        <w:t>elated painting</w:t>
      </w:r>
      <w:r w:rsidR="00543222">
        <w:rPr>
          <w:sz w:val="24"/>
          <w:szCs w:val="24"/>
        </w:rPr>
        <w:t>s</w:t>
      </w:r>
      <w:r w:rsidR="00295D74">
        <w:rPr>
          <w:sz w:val="24"/>
          <w:szCs w:val="24"/>
        </w:rPr>
        <w:t xml:space="preserve"> but </w:t>
      </w:r>
      <w:r w:rsidR="00D671F2">
        <w:rPr>
          <w:sz w:val="24"/>
          <w:szCs w:val="24"/>
        </w:rPr>
        <w:t>were ‘intimately connected with the text</w:t>
      </w:r>
      <w:r w:rsidR="00295D74">
        <w:rPr>
          <w:sz w:val="24"/>
          <w:szCs w:val="24"/>
        </w:rPr>
        <w:t xml:space="preserve">’, </w:t>
      </w:r>
      <w:r w:rsidR="00D671F2">
        <w:rPr>
          <w:sz w:val="24"/>
          <w:szCs w:val="24"/>
        </w:rPr>
        <w:t>their purpose</w:t>
      </w:r>
      <w:r w:rsidR="00295D74">
        <w:rPr>
          <w:sz w:val="24"/>
          <w:szCs w:val="24"/>
        </w:rPr>
        <w:t xml:space="preserve"> being </w:t>
      </w:r>
      <w:r w:rsidR="00D671F2">
        <w:rPr>
          <w:sz w:val="24"/>
          <w:szCs w:val="24"/>
        </w:rPr>
        <w:t>to illustrate the writing that followed</w:t>
      </w:r>
      <w:r>
        <w:rPr>
          <w:sz w:val="24"/>
          <w:szCs w:val="24"/>
        </w:rPr>
        <w:t>.</w:t>
      </w:r>
      <w:r>
        <w:rPr>
          <w:rStyle w:val="FootnoteReference"/>
          <w:sz w:val="24"/>
          <w:szCs w:val="24"/>
        </w:rPr>
        <w:footnoteReference w:id="11"/>
      </w:r>
      <w:r w:rsidR="00D671F2">
        <w:rPr>
          <w:sz w:val="24"/>
          <w:szCs w:val="24"/>
        </w:rPr>
        <w:t xml:space="preserve"> </w:t>
      </w:r>
      <w:r w:rsidR="00103E9E">
        <w:rPr>
          <w:sz w:val="24"/>
          <w:szCs w:val="24"/>
        </w:rPr>
        <w:t xml:space="preserve">From the time of Pope Gregory in the sixth century, religious imagery </w:t>
      </w:r>
      <w:r w:rsidR="00912D71">
        <w:rPr>
          <w:sz w:val="24"/>
          <w:szCs w:val="24"/>
        </w:rPr>
        <w:t xml:space="preserve">portrayed </w:t>
      </w:r>
      <w:r w:rsidR="00D671F2">
        <w:rPr>
          <w:sz w:val="24"/>
          <w:szCs w:val="24"/>
        </w:rPr>
        <w:t>i</w:t>
      </w:r>
      <w:r w:rsidR="00103E9E">
        <w:rPr>
          <w:sz w:val="24"/>
          <w:szCs w:val="24"/>
        </w:rPr>
        <w:t xml:space="preserve">n churches, frescos and altar pieces were used to </w:t>
      </w:r>
      <w:r w:rsidR="00103E9E">
        <w:rPr>
          <w:sz w:val="24"/>
          <w:szCs w:val="24"/>
        </w:rPr>
        <w:lastRenderedPageBreak/>
        <w:t>recount stories from the bible</w:t>
      </w:r>
      <w:r w:rsidR="00D671F2">
        <w:rPr>
          <w:sz w:val="24"/>
          <w:szCs w:val="24"/>
        </w:rPr>
        <w:t xml:space="preserve"> and were an essential aid </w:t>
      </w:r>
      <w:r w:rsidR="002D0A77">
        <w:rPr>
          <w:sz w:val="24"/>
          <w:szCs w:val="24"/>
        </w:rPr>
        <w:t xml:space="preserve">used to </w:t>
      </w:r>
      <w:r w:rsidR="00103E9E">
        <w:rPr>
          <w:sz w:val="24"/>
          <w:szCs w:val="24"/>
        </w:rPr>
        <w:t xml:space="preserve"> guide Christians in acts of worship.</w:t>
      </w:r>
      <w:r w:rsidR="00103E9E">
        <w:rPr>
          <w:rStyle w:val="FootnoteReference"/>
          <w:sz w:val="24"/>
          <w:szCs w:val="24"/>
        </w:rPr>
        <w:footnoteReference w:id="12"/>
      </w:r>
      <w:r w:rsidR="00103E9E">
        <w:rPr>
          <w:sz w:val="24"/>
          <w:szCs w:val="24"/>
        </w:rPr>
        <w:t xml:space="preserve"> </w:t>
      </w:r>
      <w:r w:rsidR="002D0A77">
        <w:rPr>
          <w:sz w:val="24"/>
          <w:szCs w:val="24"/>
        </w:rPr>
        <w:t>The Book of Hours,</w:t>
      </w:r>
      <w:r w:rsidR="002D0A77" w:rsidRPr="002D0A77">
        <w:rPr>
          <w:sz w:val="24"/>
          <w:szCs w:val="24"/>
        </w:rPr>
        <w:t xml:space="preserve"> </w:t>
      </w:r>
      <w:r w:rsidR="002B3EF6">
        <w:rPr>
          <w:sz w:val="24"/>
          <w:szCs w:val="24"/>
        </w:rPr>
        <w:t xml:space="preserve">also known by the Latin name ‘Horae’, </w:t>
      </w:r>
      <w:r w:rsidR="00432113">
        <w:rPr>
          <w:sz w:val="24"/>
          <w:szCs w:val="24"/>
        </w:rPr>
        <w:t xml:space="preserve">was </w:t>
      </w:r>
      <w:r w:rsidR="002D0A77">
        <w:rPr>
          <w:sz w:val="24"/>
          <w:szCs w:val="24"/>
        </w:rPr>
        <w:t xml:space="preserve">an illustrated manuscript, highly individual in style </w:t>
      </w:r>
      <w:r w:rsidR="00432113">
        <w:rPr>
          <w:sz w:val="24"/>
          <w:szCs w:val="24"/>
        </w:rPr>
        <w:t xml:space="preserve">that </w:t>
      </w:r>
      <w:r w:rsidR="002D0A77">
        <w:rPr>
          <w:sz w:val="24"/>
          <w:szCs w:val="24"/>
        </w:rPr>
        <w:t>was produced</w:t>
      </w:r>
      <w:r w:rsidR="002B3EF6">
        <w:rPr>
          <w:sz w:val="24"/>
          <w:szCs w:val="24"/>
        </w:rPr>
        <w:t xml:space="preserve"> for use in </w:t>
      </w:r>
      <w:r w:rsidR="002D0A77">
        <w:rPr>
          <w:sz w:val="24"/>
          <w:szCs w:val="24"/>
        </w:rPr>
        <w:t>private prayer within the home</w:t>
      </w:r>
      <w:r w:rsidR="00CC6B68">
        <w:rPr>
          <w:sz w:val="24"/>
          <w:szCs w:val="24"/>
        </w:rPr>
        <w:t>.</w:t>
      </w:r>
      <w:r w:rsidR="00103E9E">
        <w:rPr>
          <w:rStyle w:val="FootnoteReference"/>
          <w:sz w:val="24"/>
          <w:szCs w:val="24"/>
        </w:rPr>
        <w:footnoteReference w:id="13"/>
      </w:r>
      <w:r w:rsidR="00103E9E">
        <w:rPr>
          <w:sz w:val="24"/>
          <w:szCs w:val="24"/>
        </w:rPr>
        <w:t xml:space="preserve"> </w:t>
      </w:r>
    </w:p>
    <w:p w14:paraId="1C6D724A" w14:textId="72D1EE39" w:rsidR="00713AF8" w:rsidRDefault="00103E9E" w:rsidP="00543222">
      <w:pPr>
        <w:shd w:val="clear" w:color="auto" w:fill="FFFFFF"/>
        <w:rPr>
          <w:sz w:val="24"/>
          <w:szCs w:val="24"/>
        </w:rPr>
      </w:pPr>
      <w:r>
        <w:rPr>
          <w:sz w:val="24"/>
          <w:szCs w:val="24"/>
        </w:rPr>
        <w:t>The texts ranged in size from the very small to the very large but tended to be portable, the smaller versions often suspended from a belt worn around the waist.</w:t>
      </w:r>
      <w:r>
        <w:rPr>
          <w:rStyle w:val="FootnoteReference"/>
          <w:sz w:val="24"/>
          <w:szCs w:val="24"/>
        </w:rPr>
        <w:footnoteReference w:id="14"/>
      </w:r>
      <w:r w:rsidRPr="000E6641">
        <w:rPr>
          <w:rFonts w:ascii="regfont" w:eastAsia="Times New Roman" w:hAnsi="regfont" w:cs="Times New Roman"/>
          <w:color w:val="000000"/>
          <w:spacing w:val="4"/>
          <w:kern w:val="0"/>
          <w:sz w:val="24"/>
          <w:szCs w:val="24"/>
          <w:lang w:eastAsia="en-GB"/>
          <w14:ligatures w14:val="none"/>
        </w:rPr>
        <w:t xml:space="preserve"> </w:t>
      </w:r>
      <w:r w:rsidR="00912D71">
        <w:rPr>
          <w:sz w:val="24"/>
          <w:szCs w:val="24"/>
        </w:rPr>
        <w:t xml:space="preserve">Having </w:t>
      </w:r>
      <w:r>
        <w:rPr>
          <w:sz w:val="24"/>
          <w:szCs w:val="24"/>
        </w:rPr>
        <w:t>its origins in the Psalter and the breviary</w:t>
      </w:r>
      <w:r w:rsidR="00912D71">
        <w:rPr>
          <w:sz w:val="24"/>
          <w:szCs w:val="24"/>
        </w:rPr>
        <w:t>, the Book of Hours was</w:t>
      </w:r>
      <w:r>
        <w:rPr>
          <w:sz w:val="24"/>
          <w:szCs w:val="24"/>
        </w:rPr>
        <w:t xml:space="preserve"> used by nuns and monks in their daily devotions. By the end of the thirteenth century, the </w:t>
      </w:r>
      <w:r w:rsidR="00861CE6">
        <w:rPr>
          <w:sz w:val="24"/>
          <w:szCs w:val="24"/>
        </w:rPr>
        <w:t>text</w:t>
      </w:r>
      <w:r>
        <w:rPr>
          <w:sz w:val="24"/>
          <w:szCs w:val="24"/>
        </w:rPr>
        <w:t xml:space="preserve"> had emerged as a prayer book for the laity</w:t>
      </w:r>
      <w:r w:rsidR="00861CE6">
        <w:rPr>
          <w:sz w:val="24"/>
          <w:szCs w:val="24"/>
        </w:rPr>
        <w:t xml:space="preserve"> and </w:t>
      </w:r>
      <w:r w:rsidR="002B3EF6">
        <w:rPr>
          <w:sz w:val="24"/>
          <w:szCs w:val="24"/>
        </w:rPr>
        <w:t xml:space="preserve">thousands </w:t>
      </w:r>
      <w:r>
        <w:rPr>
          <w:sz w:val="24"/>
          <w:szCs w:val="24"/>
        </w:rPr>
        <w:t xml:space="preserve">of </w:t>
      </w:r>
      <w:r w:rsidR="00861CE6">
        <w:rPr>
          <w:sz w:val="24"/>
          <w:szCs w:val="24"/>
        </w:rPr>
        <w:t xml:space="preserve">the books </w:t>
      </w:r>
      <w:r w:rsidR="002B3EF6">
        <w:rPr>
          <w:sz w:val="24"/>
          <w:szCs w:val="24"/>
        </w:rPr>
        <w:t>were constructed</w:t>
      </w:r>
      <w:r>
        <w:rPr>
          <w:sz w:val="24"/>
          <w:szCs w:val="24"/>
        </w:rPr>
        <w:t xml:space="preserve"> between 1250-1700</w:t>
      </w:r>
      <w:r w:rsidR="002B3EF6">
        <w:rPr>
          <w:sz w:val="24"/>
          <w:szCs w:val="24"/>
        </w:rPr>
        <w:t>.</w:t>
      </w:r>
      <w:r>
        <w:rPr>
          <w:rStyle w:val="FootnoteReference"/>
          <w:sz w:val="24"/>
          <w:szCs w:val="24"/>
        </w:rPr>
        <w:footnoteReference w:id="15"/>
      </w:r>
      <w:r>
        <w:rPr>
          <w:sz w:val="24"/>
          <w:szCs w:val="24"/>
        </w:rPr>
        <w:t xml:space="preserve"> </w:t>
      </w:r>
      <w:r w:rsidR="00713AF8">
        <w:rPr>
          <w:sz w:val="24"/>
          <w:szCs w:val="24"/>
        </w:rPr>
        <w:t>Each book was highly individual with the interiors featuring what Stein describes as ‘some of the greatest paintings and drawings of the late Middle Ages and early renaissance.’</w:t>
      </w:r>
      <w:r w:rsidR="00713AF8">
        <w:rPr>
          <w:rStyle w:val="FootnoteReference"/>
          <w:sz w:val="24"/>
          <w:szCs w:val="24"/>
        </w:rPr>
        <w:footnoteReference w:id="16"/>
      </w:r>
      <w:r w:rsidR="00713AF8">
        <w:rPr>
          <w:sz w:val="24"/>
          <w:szCs w:val="24"/>
        </w:rPr>
        <w:t xml:space="preserve"> Described by Eamon Duffy as ‘one of the most glamorous artefacts of the Middle Ages’, the Book of Hours consisted of sumptuously adorned texts, characterised by richly decorated initials and ornate borders.</w:t>
      </w:r>
      <w:r w:rsidR="00713AF8">
        <w:rPr>
          <w:rStyle w:val="FootnoteReference"/>
          <w:sz w:val="24"/>
          <w:szCs w:val="24"/>
        </w:rPr>
        <w:footnoteReference w:id="17"/>
      </w:r>
      <w:r w:rsidR="00713AF8">
        <w:rPr>
          <w:sz w:val="24"/>
          <w:szCs w:val="24"/>
        </w:rPr>
        <w:t xml:space="preserve"> The covers of these commissioned texts, were lavishly adorned with brightly painted images or even jewels and many contained personal information and images of the individual concerned</w:t>
      </w:r>
      <w:r w:rsidR="00AE10E9">
        <w:rPr>
          <w:sz w:val="24"/>
          <w:szCs w:val="24"/>
        </w:rPr>
        <w:t>.</w:t>
      </w:r>
      <w:r w:rsidR="00713AF8">
        <w:rPr>
          <w:sz w:val="24"/>
          <w:szCs w:val="24"/>
        </w:rPr>
        <w:t xml:space="preserve"> The cost associated with its composition, meant that until the beginning of the fifteenth century, the prized and extremely valuable possession was in general</w:t>
      </w:r>
      <w:r w:rsidR="00543222">
        <w:rPr>
          <w:sz w:val="24"/>
          <w:szCs w:val="24"/>
        </w:rPr>
        <w:t>,</w:t>
      </w:r>
      <w:r w:rsidR="00713AF8">
        <w:rPr>
          <w:sz w:val="24"/>
          <w:szCs w:val="24"/>
        </w:rPr>
        <w:t xml:space="preserve"> only available to the gentry and nobility.</w:t>
      </w:r>
      <w:r w:rsidR="00713AF8">
        <w:rPr>
          <w:rStyle w:val="FootnoteReference"/>
          <w:sz w:val="24"/>
          <w:szCs w:val="24"/>
        </w:rPr>
        <w:footnoteReference w:id="18"/>
      </w:r>
      <w:r w:rsidR="00713AF8">
        <w:rPr>
          <w:sz w:val="24"/>
          <w:szCs w:val="24"/>
        </w:rPr>
        <w:t xml:space="preserve"> </w:t>
      </w:r>
    </w:p>
    <w:p w14:paraId="4AB2CD7D" w14:textId="6A0FF5DA" w:rsidR="00713AF8" w:rsidRDefault="00713AF8" w:rsidP="00713AF8">
      <w:pPr>
        <w:rPr>
          <w:sz w:val="24"/>
          <w:szCs w:val="24"/>
        </w:rPr>
      </w:pPr>
      <w:r>
        <w:rPr>
          <w:sz w:val="24"/>
          <w:szCs w:val="24"/>
        </w:rPr>
        <w:t xml:space="preserve">The book was commonplace by the late Middle Ages </w:t>
      </w:r>
      <w:r w:rsidR="00543222">
        <w:rPr>
          <w:sz w:val="24"/>
          <w:szCs w:val="24"/>
        </w:rPr>
        <w:t xml:space="preserve">though this was not a reflection of a rise in literacy, rather it was an indication that a greater proportion of the population were able to afford </w:t>
      </w:r>
      <w:r w:rsidR="00392258">
        <w:rPr>
          <w:sz w:val="24"/>
          <w:szCs w:val="24"/>
        </w:rPr>
        <w:t xml:space="preserve">to purchase a </w:t>
      </w:r>
      <w:r w:rsidR="00543222">
        <w:rPr>
          <w:sz w:val="24"/>
          <w:szCs w:val="24"/>
        </w:rPr>
        <w:t>text.</w:t>
      </w:r>
      <w:r w:rsidR="00543222">
        <w:rPr>
          <w:rStyle w:val="FootnoteReference"/>
          <w:sz w:val="24"/>
          <w:szCs w:val="24"/>
        </w:rPr>
        <w:footnoteReference w:id="19"/>
      </w:r>
      <w:r w:rsidR="00543222" w:rsidRPr="00E92176">
        <w:rPr>
          <w:sz w:val="24"/>
          <w:szCs w:val="24"/>
        </w:rPr>
        <w:t xml:space="preserve"> </w:t>
      </w:r>
      <w:r w:rsidR="00543222">
        <w:rPr>
          <w:sz w:val="24"/>
          <w:szCs w:val="24"/>
        </w:rPr>
        <w:t xml:space="preserve">The majority of the </w:t>
      </w:r>
      <w:r w:rsidR="009307E9">
        <w:rPr>
          <w:sz w:val="24"/>
          <w:szCs w:val="24"/>
        </w:rPr>
        <w:t>books</w:t>
      </w:r>
      <w:r w:rsidR="00543222">
        <w:rPr>
          <w:sz w:val="24"/>
          <w:szCs w:val="24"/>
        </w:rPr>
        <w:t xml:space="preserve"> available to those on modest incomes </w:t>
      </w:r>
      <w:r w:rsidR="009307E9">
        <w:rPr>
          <w:sz w:val="24"/>
          <w:szCs w:val="24"/>
        </w:rPr>
        <w:t xml:space="preserve">had few if any of the adornments of the early Book of Hours and were usually </w:t>
      </w:r>
      <w:r>
        <w:rPr>
          <w:sz w:val="24"/>
          <w:szCs w:val="24"/>
        </w:rPr>
        <w:t>plain and purely functional.</w:t>
      </w:r>
      <w:r>
        <w:rPr>
          <w:rStyle w:val="FootnoteReference"/>
          <w:sz w:val="24"/>
          <w:szCs w:val="24"/>
        </w:rPr>
        <w:footnoteReference w:id="20"/>
      </w:r>
      <w:r>
        <w:rPr>
          <w:sz w:val="24"/>
          <w:szCs w:val="24"/>
        </w:rPr>
        <w:t xml:space="preserve"> Written in Latin, a language that few ordinary people understood, It is likely that the texts were of little interest to most </w:t>
      </w:r>
      <w:r w:rsidR="00543222">
        <w:rPr>
          <w:sz w:val="24"/>
          <w:szCs w:val="24"/>
        </w:rPr>
        <w:t>individuals</w:t>
      </w:r>
      <w:r>
        <w:rPr>
          <w:sz w:val="24"/>
          <w:szCs w:val="24"/>
        </w:rPr>
        <w:t xml:space="preserve"> and that it was the images that they looked to for guidance in their meditation and devotional prayers.</w:t>
      </w:r>
      <w:r>
        <w:rPr>
          <w:rStyle w:val="FootnoteReference"/>
          <w:sz w:val="24"/>
          <w:szCs w:val="24"/>
        </w:rPr>
        <w:footnoteReference w:id="21"/>
      </w:r>
      <w:r>
        <w:rPr>
          <w:sz w:val="24"/>
          <w:szCs w:val="24"/>
        </w:rPr>
        <w:t xml:space="preserve"> </w:t>
      </w:r>
      <w:r w:rsidR="00432113">
        <w:rPr>
          <w:sz w:val="24"/>
          <w:szCs w:val="24"/>
        </w:rPr>
        <w:t xml:space="preserve">As Wieck notes, between the mid-thirteenth and mid-sixteenth century, the Book of Hours was the most popular prayer book used by people in their daily devotions, even outstripping supplies of the Bible. Its popularity lay in its ease of </w:t>
      </w:r>
      <w:r w:rsidR="009307E9">
        <w:rPr>
          <w:sz w:val="24"/>
          <w:szCs w:val="24"/>
        </w:rPr>
        <w:t>use;</w:t>
      </w:r>
      <w:r w:rsidR="00432113">
        <w:rPr>
          <w:sz w:val="24"/>
          <w:szCs w:val="24"/>
        </w:rPr>
        <w:t xml:space="preserve"> </w:t>
      </w:r>
      <w:r w:rsidR="009307E9">
        <w:rPr>
          <w:sz w:val="24"/>
          <w:szCs w:val="24"/>
        </w:rPr>
        <w:t>indeed,</w:t>
      </w:r>
      <w:r w:rsidR="00543222">
        <w:rPr>
          <w:sz w:val="24"/>
          <w:szCs w:val="24"/>
        </w:rPr>
        <w:t xml:space="preserve"> </w:t>
      </w:r>
      <w:r w:rsidR="00432113">
        <w:rPr>
          <w:sz w:val="24"/>
          <w:szCs w:val="24"/>
        </w:rPr>
        <w:t xml:space="preserve">the core text remained the same each day </w:t>
      </w:r>
      <w:r w:rsidR="009307E9">
        <w:rPr>
          <w:sz w:val="24"/>
          <w:szCs w:val="24"/>
        </w:rPr>
        <w:t xml:space="preserve">except </w:t>
      </w:r>
      <w:r w:rsidR="00432113">
        <w:rPr>
          <w:sz w:val="24"/>
          <w:szCs w:val="24"/>
        </w:rPr>
        <w:t>for slight variations in the psalms.</w:t>
      </w:r>
      <w:r w:rsidR="00432113">
        <w:rPr>
          <w:rStyle w:val="FootnoteReference"/>
          <w:sz w:val="24"/>
          <w:szCs w:val="24"/>
        </w:rPr>
        <w:footnoteReference w:id="22"/>
      </w:r>
    </w:p>
    <w:p w14:paraId="1B92F69A" w14:textId="7B284CDF" w:rsidR="00103E9E" w:rsidRDefault="00713AF8" w:rsidP="00713AF8">
      <w:pPr>
        <w:rPr>
          <w:sz w:val="24"/>
          <w:szCs w:val="24"/>
        </w:rPr>
      </w:pPr>
      <w:r>
        <w:rPr>
          <w:sz w:val="24"/>
          <w:szCs w:val="24"/>
        </w:rPr>
        <w:lastRenderedPageBreak/>
        <w:t xml:space="preserve">Eamon Duffy has noted though how reverence </w:t>
      </w:r>
      <w:r w:rsidR="00697142">
        <w:rPr>
          <w:sz w:val="24"/>
          <w:szCs w:val="24"/>
        </w:rPr>
        <w:t xml:space="preserve">for </w:t>
      </w:r>
      <w:r>
        <w:rPr>
          <w:sz w:val="24"/>
          <w:szCs w:val="24"/>
        </w:rPr>
        <w:t>the holy text was not always evident. His study of a number of Books of Hours, indicates that many contain marginal notes including the details of births deaths and marriages.</w:t>
      </w:r>
      <w:r>
        <w:rPr>
          <w:rStyle w:val="FootnoteReference"/>
          <w:sz w:val="24"/>
          <w:szCs w:val="24"/>
        </w:rPr>
        <w:footnoteReference w:id="23"/>
      </w:r>
      <w:r>
        <w:rPr>
          <w:sz w:val="24"/>
          <w:szCs w:val="24"/>
        </w:rPr>
        <w:t xml:space="preserve"> </w:t>
      </w:r>
      <w:r w:rsidR="002B3EF6">
        <w:rPr>
          <w:sz w:val="24"/>
          <w:szCs w:val="24"/>
        </w:rPr>
        <w:t xml:space="preserve">Images of the text are ubiquitous in galleries the world over signifying their popularity and the way in which they became embedded in Medieval culture. </w:t>
      </w:r>
      <w:r w:rsidR="00432113">
        <w:rPr>
          <w:sz w:val="24"/>
          <w:szCs w:val="24"/>
        </w:rPr>
        <w:t>Not only were more new versions of the text created during this period but significant numbers were passed to family members as valuable heirlooms.</w:t>
      </w:r>
      <w:r w:rsidR="00432113">
        <w:rPr>
          <w:rStyle w:val="FootnoteReference"/>
          <w:sz w:val="24"/>
          <w:szCs w:val="24"/>
        </w:rPr>
        <w:footnoteReference w:id="24"/>
      </w:r>
      <w:r w:rsidR="00432113">
        <w:rPr>
          <w:sz w:val="24"/>
          <w:szCs w:val="24"/>
        </w:rPr>
        <w:t xml:space="preserve"> </w:t>
      </w:r>
    </w:p>
    <w:p w14:paraId="02A82535" w14:textId="6DD2BAC7" w:rsidR="00703401" w:rsidRDefault="00E36D09" w:rsidP="00703401">
      <w:pPr>
        <w:rPr>
          <w:sz w:val="24"/>
          <w:szCs w:val="24"/>
        </w:rPr>
      </w:pPr>
      <w:r>
        <w:rPr>
          <w:sz w:val="24"/>
          <w:szCs w:val="24"/>
        </w:rPr>
        <w:t xml:space="preserve">All versions of the </w:t>
      </w:r>
      <w:r w:rsidR="00703401">
        <w:rPr>
          <w:sz w:val="24"/>
          <w:szCs w:val="24"/>
        </w:rPr>
        <w:t>book</w:t>
      </w:r>
      <w:r>
        <w:rPr>
          <w:sz w:val="24"/>
          <w:szCs w:val="24"/>
        </w:rPr>
        <w:t xml:space="preserve"> contained </w:t>
      </w:r>
      <w:r w:rsidR="00703401">
        <w:rPr>
          <w:sz w:val="24"/>
          <w:szCs w:val="24"/>
        </w:rPr>
        <w:t>the Office of the Blessed Virgin Mary</w:t>
      </w:r>
      <w:r>
        <w:rPr>
          <w:sz w:val="24"/>
          <w:szCs w:val="24"/>
        </w:rPr>
        <w:t xml:space="preserve">, </w:t>
      </w:r>
      <w:r w:rsidR="00703401">
        <w:rPr>
          <w:sz w:val="24"/>
          <w:szCs w:val="24"/>
        </w:rPr>
        <w:t xml:space="preserve">a sequence of prayers </w:t>
      </w:r>
      <w:r>
        <w:rPr>
          <w:sz w:val="24"/>
          <w:szCs w:val="24"/>
        </w:rPr>
        <w:t xml:space="preserve">recited hour by hour throughout the day. Indeed, it played a </w:t>
      </w:r>
      <w:r w:rsidR="00703401">
        <w:rPr>
          <w:sz w:val="24"/>
          <w:szCs w:val="24"/>
        </w:rPr>
        <w:t>pivotal role in the medieval and renaissance cult of the virgin</w:t>
      </w:r>
      <w:r w:rsidR="00392258">
        <w:rPr>
          <w:sz w:val="24"/>
          <w:szCs w:val="24"/>
        </w:rPr>
        <w:t xml:space="preserve">; </w:t>
      </w:r>
      <w:r w:rsidR="00703401">
        <w:rPr>
          <w:sz w:val="24"/>
          <w:szCs w:val="24"/>
        </w:rPr>
        <w:t>as the mother of God</w:t>
      </w:r>
      <w:r w:rsidR="00644832">
        <w:rPr>
          <w:sz w:val="24"/>
          <w:szCs w:val="24"/>
        </w:rPr>
        <w:t xml:space="preserve">, </w:t>
      </w:r>
      <w:r w:rsidR="00703401">
        <w:rPr>
          <w:sz w:val="24"/>
          <w:szCs w:val="24"/>
        </w:rPr>
        <w:t>Mary</w:t>
      </w:r>
      <w:r>
        <w:rPr>
          <w:sz w:val="24"/>
          <w:szCs w:val="24"/>
        </w:rPr>
        <w:t xml:space="preserve"> </w:t>
      </w:r>
      <w:r w:rsidR="00703401">
        <w:rPr>
          <w:sz w:val="24"/>
          <w:szCs w:val="24"/>
        </w:rPr>
        <w:t>was seen as the intercessor between the faithful and God.</w:t>
      </w:r>
      <w:r w:rsidR="00703401">
        <w:rPr>
          <w:rStyle w:val="FootnoteReference"/>
          <w:sz w:val="24"/>
          <w:szCs w:val="24"/>
        </w:rPr>
        <w:footnoteReference w:id="25"/>
      </w:r>
      <w:r w:rsidR="00703401">
        <w:rPr>
          <w:sz w:val="24"/>
          <w:szCs w:val="24"/>
        </w:rPr>
        <w:t xml:space="preserve"> </w:t>
      </w:r>
      <w:r>
        <w:rPr>
          <w:sz w:val="24"/>
          <w:szCs w:val="24"/>
        </w:rPr>
        <w:t xml:space="preserve"> </w:t>
      </w:r>
      <w:r w:rsidR="00703401">
        <w:rPr>
          <w:sz w:val="24"/>
          <w:szCs w:val="24"/>
        </w:rPr>
        <w:t>The</w:t>
      </w:r>
      <w:r w:rsidR="00644832">
        <w:rPr>
          <w:sz w:val="24"/>
          <w:szCs w:val="24"/>
        </w:rPr>
        <w:t xml:space="preserve"> elaborately </w:t>
      </w:r>
      <w:r w:rsidR="00703401">
        <w:rPr>
          <w:sz w:val="24"/>
          <w:szCs w:val="24"/>
        </w:rPr>
        <w:t>painted pictures in the book were easily identified and were versions of what w</w:t>
      </w:r>
      <w:r w:rsidR="00644832">
        <w:rPr>
          <w:sz w:val="24"/>
          <w:szCs w:val="24"/>
        </w:rPr>
        <w:t>ere</w:t>
      </w:r>
      <w:r w:rsidR="00703401">
        <w:rPr>
          <w:sz w:val="24"/>
          <w:szCs w:val="24"/>
        </w:rPr>
        <w:t xml:space="preserve"> displayed in frescoes and altar pieces</w:t>
      </w:r>
      <w:r w:rsidR="00644832">
        <w:rPr>
          <w:sz w:val="24"/>
          <w:szCs w:val="24"/>
        </w:rPr>
        <w:t xml:space="preserve"> for instance</w:t>
      </w:r>
      <w:r w:rsidR="00703401">
        <w:rPr>
          <w:sz w:val="24"/>
          <w:szCs w:val="24"/>
        </w:rPr>
        <w:t>.</w:t>
      </w:r>
      <w:r w:rsidR="00703401">
        <w:rPr>
          <w:rStyle w:val="FootnoteReference"/>
          <w:sz w:val="24"/>
          <w:szCs w:val="24"/>
        </w:rPr>
        <w:footnoteReference w:id="26"/>
      </w:r>
      <w:r w:rsidR="00703401">
        <w:rPr>
          <w:sz w:val="24"/>
          <w:szCs w:val="24"/>
        </w:rPr>
        <w:t xml:space="preserve"> The images </w:t>
      </w:r>
      <w:r w:rsidR="009307E9">
        <w:rPr>
          <w:sz w:val="24"/>
          <w:szCs w:val="24"/>
        </w:rPr>
        <w:t xml:space="preserve">were </w:t>
      </w:r>
      <w:r w:rsidR="00703401">
        <w:rPr>
          <w:sz w:val="24"/>
          <w:szCs w:val="24"/>
        </w:rPr>
        <w:t>also aesthetically pleasing</w:t>
      </w:r>
      <w:r w:rsidR="00392258">
        <w:rPr>
          <w:sz w:val="24"/>
          <w:szCs w:val="24"/>
        </w:rPr>
        <w:t xml:space="preserve"> and </w:t>
      </w:r>
      <w:r w:rsidR="00703401">
        <w:rPr>
          <w:sz w:val="24"/>
          <w:szCs w:val="24"/>
        </w:rPr>
        <w:t xml:space="preserve">functioned </w:t>
      </w:r>
      <w:r w:rsidR="00697142">
        <w:rPr>
          <w:sz w:val="24"/>
          <w:szCs w:val="24"/>
        </w:rPr>
        <w:t xml:space="preserve">primarily as </w:t>
      </w:r>
      <w:r w:rsidR="00703401">
        <w:rPr>
          <w:sz w:val="24"/>
          <w:szCs w:val="24"/>
        </w:rPr>
        <w:t>a type of bookmark indicating where major texts began and reminding observers of the themes on which to meditate.</w:t>
      </w:r>
      <w:r w:rsidR="00703401">
        <w:rPr>
          <w:rStyle w:val="FootnoteReference"/>
          <w:sz w:val="24"/>
          <w:szCs w:val="24"/>
        </w:rPr>
        <w:footnoteReference w:id="27"/>
      </w:r>
      <w:r w:rsidR="00703401" w:rsidRPr="00E92176">
        <w:rPr>
          <w:sz w:val="24"/>
          <w:szCs w:val="24"/>
        </w:rPr>
        <w:t xml:space="preserve"> </w:t>
      </w:r>
    </w:p>
    <w:p w14:paraId="24B67697" w14:textId="6B2D2505" w:rsidR="0097369C" w:rsidRDefault="00D671F2" w:rsidP="0097369C">
      <w:pPr>
        <w:rPr>
          <w:sz w:val="24"/>
          <w:szCs w:val="24"/>
        </w:rPr>
      </w:pPr>
      <w:r>
        <w:rPr>
          <w:sz w:val="24"/>
          <w:szCs w:val="24"/>
        </w:rPr>
        <w:t>In the medieval world, belief in God dictated every aspect of a person’s life, an alien concept in today’s increasingly secular world.</w:t>
      </w:r>
      <w:r w:rsidR="00697142">
        <w:rPr>
          <w:sz w:val="24"/>
          <w:szCs w:val="24"/>
        </w:rPr>
        <w:t xml:space="preserve"> R</w:t>
      </w:r>
      <w:r>
        <w:rPr>
          <w:sz w:val="24"/>
          <w:szCs w:val="24"/>
        </w:rPr>
        <w:t>eligion was ‘woven into every aspect of cultural, political and even economic life’</w:t>
      </w:r>
      <w:r w:rsidR="00697142">
        <w:rPr>
          <w:sz w:val="24"/>
          <w:szCs w:val="24"/>
        </w:rPr>
        <w:t>,</w:t>
      </w:r>
      <w:r>
        <w:rPr>
          <w:sz w:val="24"/>
          <w:szCs w:val="24"/>
        </w:rPr>
        <w:t xml:space="preserve"> it was not a separate entity and late medieval Christians had no o</w:t>
      </w:r>
      <w:r w:rsidR="00697142">
        <w:rPr>
          <w:sz w:val="24"/>
          <w:szCs w:val="24"/>
        </w:rPr>
        <w:t xml:space="preserve">pportunity </w:t>
      </w:r>
      <w:r>
        <w:rPr>
          <w:sz w:val="24"/>
          <w:szCs w:val="24"/>
        </w:rPr>
        <w:t xml:space="preserve">to ‘opt out’ of the </w:t>
      </w:r>
      <w:r w:rsidR="00697142">
        <w:rPr>
          <w:sz w:val="24"/>
          <w:szCs w:val="24"/>
        </w:rPr>
        <w:t>Christian way of life</w:t>
      </w:r>
      <w:r>
        <w:rPr>
          <w:sz w:val="24"/>
          <w:szCs w:val="24"/>
        </w:rPr>
        <w:t>.</w:t>
      </w:r>
      <w:r>
        <w:rPr>
          <w:rStyle w:val="FootnoteReference"/>
          <w:sz w:val="24"/>
          <w:szCs w:val="24"/>
        </w:rPr>
        <w:footnoteReference w:id="28"/>
      </w:r>
      <w:r w:rsidR="00CB5F06">
        <w:rPr>
          <w:sz w:val="24"/>
          <w:szCs w:val="24"/>
        </w:rPr>
        <w:t xml:space="preserve"> </w:t>
      </w:r>
      <w:r w:rsidR="00392258">
        <w:rPr>
          <w:sz w:val="24"/>
          <w:szCs w:val="24"/>
        </w:rPr>
        <w:t>A</w:t>
      </w:r>
      <w:r w:rsidR="00CB5F06">
        <w:rPr>
          <w:sz w:val="24"/>
          <w:szCs w:val="24"/>
        </w:rPr>
        <w:t>rt</w:t>
      </w:r>
      <w:r w:rsidR="009307E9">
        <w:rPr>
          <w:sz w:val="24"/>
          <w:szCs w:val="24"/>
        </w:rPr>
        <w:t xml:space="preserve"> </w:t>
      </w:r>
      <w:r w:rsidR="00932FF2">
        <w:rPr>
          <w:sz w:val="24"/>
          <w:szCs w:val="24"/>
        </w:rPr>
        <w:t xml:space="preserve">was overwhelmingly religious in nature, it carried with it specific messages </w:t>
      </w:r>
      <w:r w:rsidR="00D81F36">
        <w:rPr>
          <w:sz w:val="24"/>
          <w:szCs w:val="24"/>
        </w:rPr>
        <w:t xml:space="preserve">including </w:t>
      </w:r>
      <w:r w:rsidR="00932FF2">
        <w:rPr>
          <w:sz w:val="24"/>
          <w:szCs w:val="24"/>
        </w:rPr>
        <w:t>philosophical and religious ideologies</w:t>
      </w:r>
      <w:r w:rsidR="00D81F36">
        <w:rPr>
          <w:sz w:val="24"/>
          <w:szCs w:val="24"/>
        </w:rPr>
        <w:t xml:space="preserve"> though its main purpose was to glorify the life, death and resurrection of Jesus Christ.</w:t>
      </w:r>
      <w:r w:rsidR="00D81F36">
        <w:rPr>
          <w:rStyle w:val="FootnoteReference"/>
          <w:sz w:val="24"/>
          <w:szCs w:val="24"/>
        </w:rPr>
        <w:footnoteReference w:id="29"/>
      </w:r>
      <w:r w:rsidR="003F4AD9">
        <w:rPr>
          <w:sz w:val="24"/>
          <w:szCs w:val="24"/>
        </w:rPr>
        <w:t xml:space="preserve"> </w:t>
      </w:r>
      <w:r w:rsidR="00932FF2">
        <w:rPr>
          <w:sz w:val="24"/>
          <w:szCs w:val="24"/>
        </w:rPr>
        <w:t xml:space="preserve">Centred around the life and teachings of Christ, the Christian calendar is marked by significant events including that of the Annunciation of the </w:t>
      </w:r>
      <w:r w:rsidR="00CB5F06">
        <w:rPr>
          <w:sz w:val="24"/>
          <w:szCs w:val="24"/>
        </w:rPr>
        <w:t xml:space="preserve">Virgin </w:t>
      </w:r>
      <w:r w:rsidR="00932FF2">
        <w:rPr>
          <w:sz w:val="24"/>
          <w:szCs w:val="24"/>
        </w:rPr>
        <w:t xml:space="preserve">birth. </w:t>
      </w:r>
      <w:r w:rsidR="00E80B7A">
        <w:rPr>
          <w:sz w:val="24"/>
          <w:szCs w:val="24"/>
        </w:rPr>
        <w:t>Although it is made explicit that the young Mary is a virgin, the</w:t>
      </w:r>
      <w:r w:rsidR="0091140C">
        <w:rPr>
          <w:sz w:val="24"/>
          <w:szCs w:val="24"/>
        </w:rPr>
        <w:t xml:space="preserve"> Bible makes little reference to the Annunciation</w:t>
      </w:r>
      <w:r w:rsidR="005B6EA1">
        <w:rPr>
          <w:sz w:val="24"/>
          <w:szCs w:val="24"/>
        </w:rPr>
        <w:t>,</w:t>
      </w:r>
      <w:r w:rsidR="0091140C">
        <w:rPr>
          <w:sz w:val="24"/>
          <w:szCs w:val="24"/>
        </w:rPr>
        <w:t xml:space="preserve"> and Christians tend to favour the ‘one authentic’ version of the </w:t>
      </w:r>
      <w:r w:rsidR="005B6EA1">
        <w:rPr>
          <w:sz w:val="24"/>
          <w:szCs w:val="24"/>
        </w:rPr>
        <w:t>event</w:t>
      </w:r>
      <w:r w:rsidR="0091140C">
        <w:rPr>
          <w:sz w:val="24"/>
          <w:szCs w:val="24"/>
        </w:rPr>
        <w:t xml:space="preserve"> provided by the disciple Luke, an ‘educated Greek Christian believer’. </w:t>
      </w:r>
      <w:r w:rsidR="0091140C">
        <w:rPr>
          <w:rStyle w:val="FootnoteReference"/>
          <w:sz w:val="24"/>
          <w:szCs w:val="24"/>
        </w:rPr>
        <w:footnoteReference w:id="30"/>
      </w:r>
      <w:r w:rsidR="0091140C">
        <w:rPr>
          <w:sz w:val="24"/>
          <w:szCs w:val="24"/>
        </w:rPr>
        <w:t xml:space="preserve"> Of the angel Gabriel</w:t>
      </w:r>
      <w:r w:rsidR="0097369C">
        <w:rPr>
          <w:sz w:val="24"/>
          <w:szCs w:val="24"/>
        </w:rPr>
        <w:t xml:space="preserve">, </w:t>
      </w:r>
      <w:r w:rsidR="00E80B7A">
        <w:rPr>
          <w:sz w:val="24"/>
          <w:szCs w:val="24"/>
        </w:rPr>
        <w:t xml:space="preserve">Luke </w:t>
      </w:r>
      <w:r w:rsidR="0091140C">
        <w:rPr>
          <w:sz w:val="24"/>
          <w:szCs w:val="24"/>
        </w:rPr>
        <w:t>reports him visiting Mary and telling her, “Do not be afraid Mary, for you have found favour with God. And now you will conceive in your womb and bear a son and you will name him Jesus”</w:t>
      </w:r>
      <w:r w:rsidR="00E80B7A">
        <w:rPr>
          <w:sz w:val="24"/>
          <w:szCs w:val="24"/>
        </w:rPr>
        <w:t>,</w:t>
      </w:r>
      <w:r w:rsidR="0091140C">
        <w:rPr>
          <w:sz w:val="24"/>
          <w:szCs w:val="24"/>
        </w:rPr>
        <w:t xml:space="preserve"> The Annunciation: Luke 1.26-38.</w:t>
      </w:r>
      <w:r w:rsidR="0091140C">
        <w:rPr>
          <w:rStyle w:val="FootnoteReference"/>
          <w:sz w:val="24"/>
          <w:szCs w:val="24"/>
        </w:rPr>
        <w:footnoteReference w:id="31"/>
      </w:r>
      <w:r w:rsidR="0091140C">
        <w:rPr>
          <w:sz w:val="24"/>
          <w:szCs w:val="24"/>
        </w:rPr>
        <w:t xml:space="preserve"> </w:t>
      </w:r>
    </w:p>
    <w:p w14:paraId="6C872A7C" w14:textId="28CB6BF3" w:rsidR="00A10B64" w:rsidRDefault="00E80B7A" w:rsidP="00E42EF0">
      <w:pPr>
        <w:rPr>
          <w:sz w:val="24"/>
          <w:szCs w:val="24"/>
        </w:rPr>
      </w:pPr>
      <w:r>
        <w:rPr>
          <w:sz w:val="24"/>
          <w:szCs w:val="24"/>
        </w:rPr>
        <w:t xml:space="preserve">In spite of the ambiguity around the events of the Annunciation, </w:t>
      </w:r>
      <w:r w:rsidR="0097369C">
        <w:rPr>
          <w:sz w:val="24"/>
          <w:szCs w:val="24"/>
        </w:rPr>
        <w:t xml:space="preserve">most people can easily conjure up an image of the scene due to the </w:t>
      </w:r>
      <w:r>
        <w:rPr>
          <w:sz w:val="24"/>
          <w:szCs w:val="24"/>
        </w:rPr>
        <w:t xml:space="preserve">existence of an </w:t>
      </w:r>
      <w:r w:rsidR="0097369C">
        <w:rPr>
          <w:sz w:val="24"/>
          <w:szCs w:val="24"/>
        </w:rPr>
        <w:t>abundance of artis</w:t>
      </w:r>
      <w:r w:rsidR="0021063D">
        <w:rPr>
          <w:sz w:val="24"/>
          <w:szCs w:val="24"/>
        </w:rPr>
        <w:t xml:space="preserve">ts’ </w:t>
      </w:r>
      <w:r w:rsidR="0097369C">
        <w:rPr>
          <w:sz w:val="24"/>
          <w:szCs w:val="24"/>
        </w:rPr>
        <w:t>portrayals over the last two millennia.</w:t>
      </w:r>
      <w:r w:rsidR="0097369C">
        <w:rPr>
          <w:rStyle w:val="FootnoteReference"/>
          <w:sz w:val="24"/>
          <w:szCs w:val="24"/>
        </w:rPr>
        <w:footnoteReference w:id="32"/>
      </w:r>
      <w:r w:rsidR="00DB23CC">
        <w:rPr>
          <w:sz w:val="24"/>
          <w:szCs w:val="24"/>
        </w:rPr>
        <w:t xml:space="preserve">Typically, medieval paintings of the Annunciation depict the </w:t>
      </w:r>
      <w:r w:rsidR="00DB23CC">
        <w:rPr>
          <w:sz w:val="24"/>
          <w:szCs w:val="24"/>
        </w:rPr>
        <w:lastRenderedPageBreak/>
        <w:t xml:space="preserve">Virgin Mary </w:t>
      </w:r>
      <w:r w:rsidR="00D81F36">
        <w:rPr>
          <w:sz w:val="24"/>
          <w:szCs w:val="24"/>
        </w:rPr>
        <w:t xml:space="preserve">reading </w:t>
      </w:r>
      <w:r w:rsidR="00DB23CC">
        <w:rPr>
          <w:sz w:val="24"/>
          <w:szCs w:val="24"/>
        </w:rPr>
        <w:t xml:space="preserve">in various </w:t>
      </w:r>
      <w:r w:rsidR="00854883">
        <w:rPr>
          <w:sz w:val="24"/>
          <w:szCs w:val="24"/>
        </w:rPr>
        <w:t>locations</w:t>
      </w:r>
      <w:r w:rsidR="005B6EA1">
        <w:rPr>
          <w:sz w:val="24"/>
          <w:szCs w:val="24"/>
        </w:rPr>
        <w:t>,</w:t>
      </w:r>
      <w:r w:rsidR="00D81F36">
        <w:rPr>
          <w:sz w:val="24"/>
          <w:szCs w:val="24"/>
        </w:rPr>
        <w:t xml:space="preserve"> often in a room with arches or other features, which </w:t>
      </w:r>
      <w:proofErr w:type="spellStart"/>
      <w:r w:rsidR="00D81F36">
        <w:rPr>
          <w:sz w:val="24"/>
          <w:szCs w:val="24"/>
        </w:rPr>
        <w:t>Kwakkel</w:t>
      </w:r>
      <w:proofErr w:type="spellEnd"/>
      <w:r w:rsidR="00D81F36">
        <w:rPr>
          <w:sz w:val="24"/>
          <w:szCs w:val="24"/>
        </w:rPr>
        <w:t xml:space="preserve"> suggests, may be a reference to a religious setting such as a church or chapel.</w:t>
      </w:r>
      <w:r w:rsidR="00D81F36">
        <w:rPr>
          <w:rStyle w:val="FootnoteReference"/>
          <w:sz w:val="24"/>
          <w:szCs w:val="24"/>
        </w:rPr>
        <w:footnoteReference w:id="33"/>
      </w:r>
      <w:r w:rsidR="00DC68E5">
        <w:rPr>
          <w:sz w:val="24"/>
          <w:szCs w:val="24"/>
        </w:rPr>
        <w:t>The image of the Virgin Mary attribute</w:t>
      </w:r>
      <w:r w:rsidR="00767F5B">
        <w:rPr>
          <w:sz w:val="24"/>
          <w:szCs w:val="24"/>
        </w:rPr>
        <w:t>d</w:t>
      </w:r>
      <w:r w:rsidR="00DC68E5">
        <w:rPr>
          <w:sz w:val="24"/>
          <w:szCs w:val="24"/>
        </w:rPr>
        <w:t xml:space="preserve"> to Bourdichon, </w:t>
      </w:r>
      <w:r w:rsidR="0097369C">
        <w:rPr>
          <w:sz w:val="24"/>
          <w:szCs w:val="24"/>
        </w:rPr>
        <w:t xml:space="preserve">includes </w:t>
      </w:r>
      <w:r w:rsidR="00DC68E5">
        <w:rPr>
          <w:sz w:val="24"/>
          <w:szCs w:val="24"/>
        </w:rPr>
        <w:t xml:space="preserve">many of the </w:t>
      </w:r>
      <w:r w:rsidR="00FB0AFA">
        <w:rPr>
          <w:sz w:val="24"/>
          <w:szCs w:val="24"/>
        </w:rPr>
        <w:t xml:space="preserve">key features of </w:t>
      </w:r>
      <w:r w:rsidR="00CB5F06">
        <w:rPr>
          <w:sz w:val="24"/>
          <w:szCs w:val="24"/>
        </w:rPr>
        <w:t xml:space="preserve">the </w:t>
      </w:r>
      <w:r w:rsidR="00FB0AFA">
        <w:rPr>
          <w:sz w:val="24"/>
          <w:szCs w:val="24"/>
        </w:rPr>
        <w:t>Christian iconography</w:t>
      </w:r>
      <w:r w:rsidR="00CB5F06">
        <w:rPr>
          <w:sz w:val="24"/>
          <w:szCs w:val="24"/>
        </w:rPr>
        <w:t xml:space="preserve"> commonly </w:t>
      </w:r>
      <w:r w:rsidR="00FB0AFA">
        <w:rPr>
          <w:sz w:val="24"/>
          <w:szCs w:val="24"/>
        </w:rPr>
        <w:t xml:space="preserve">associated with </w:t>
      </w:r>
      <w:r w:rsidR="0097369C">
        <w:rPr>
          <w:sz w:val="24"/>
          <w:szCs w:val="24"/>
        </w:rPr>
        <w:t xml:space="preserve">paintings </w:t>
      </w:r>
      <w:r w:rsidR="00FB0AFA">
        <w:rPr>
          <w:sz w:val="24"/>
          <w:szCs w:val="24"/>
        </w:rPr>
        <w:t xml:space="preserve">of </w:t>
      </w:r>
      <w:r w:rsidR="0097369C">
        <w:rPr>
          <w:sz w:val="24"/>
          <w:szCs w:val="24"/>
        </w:rPr>
        <w:t xml:space="preserve">the </w:t>
      </w:r>
      <w:r w:rsidR="00DC68E5">
        <w:rPr>
          <w:sz w:val="24"/>
          <w:szCs w:val="24"/>
        </w:rPr>
        <w:t>Annunciation</w:t>
      </w:r>
      <w:r w:rsidR="00FE46FC">
        <w:rPr>
          <w:sz w:val="24"/>
          <w:szCs w:val="24"/>
        </w:rPr>
        <w:t>.</w:t>
      </w:r>
      <w:r w:rsidR="00A10B64">
        <w:rPr>
          <w:sz w:val="24"/>
          <w:szCs w:val="24"/>
        </w:rPr>
        <w:t xml:space="preserve"> </w:t>
      </w:r>
      <w:r w:rsidR="00CB5F06">
        <w:rPr>
          <w:sz w:val="24"/>
          <w:szCs w:val="24"/>
        </w:rPr>
        <w:t xml:space="preserve">His </w:t>
      </w:r>
      <w:r w:rsidR="00A10B64">
        <w:rPr>
          <w:sz w:val="24"/>
          <w:szCs w:val="24"/>
        </w:rPr>
        <w:t>painting</w:t>
      </w:r>
      <w:r w:rsidR="005B6EA1">
        <w:rPr>
          <w:sz w:val="24"/>
          <w:szCs w:val="24"/>
        </w:rPr>
        <w:t xml:space="preserve"> shows </w:t>
      </w:r>
      <w:r w:rsidR="00A10B64">
        <w:rPr>
          <w:sz w:val="24"/>
          <w:szCs w:val="24"/>
        </w:rPr>
        <w:t>Ma</w:t>
      </w:r>
      <w:r w:rsidR="005B6EA1">
        <w:rPr>
          <w:sz w:val="24"/>
          <w:szCs w:val="24"/>
        </w:rPr>
        <w:t xml:space="preserve">ry </w:t>
      </w:r>
      <w:r w:rsidR="00DC68E5">
        <w:rPr>
          <w:sz w:val="24"/>
          <w:szCs w:val="24"/>
        </w:rPr>
        <w:t>seated with her hands together</w:t>
      </w:r>
      <w:r w:rsidR="005079B0">
        <w:rPr>
          <w:sz w:val="24"/>
          <w:szCs w:val="24"/>
        </w:rPr>
        <w:t>,</w:t>
      </w:r>
      <w:r w:rsidR="00DC68E5">
        <w:rPr>
          <w:sz w:val="24"/>
          <w:szCs w:val="24"/>
        </w:rPr>
        <w:t xml:space="preserve"> </w:t>
      </w:r>
      <w:r w:rsidR="0097369C">
        <w:rPr>
          <w:sz w:val="24"/>
          <w:szCs w:val="24"/>
        </w:rPr>
        <w:t xml:space="preserve">fingers </w:t>
      </w:r>
      <w:r w:rsidR="00DC68E5">
        <w:rPr>
          <w:sz w:val="24"/>
          <w:szCs w:val="24"/>
        </w:rPr>
        <w:t>pointed upwards, in a pose usually associated with prayer</w:t>
      </w:r>
      <w:r w:rsidR="00E42EF0">
        <w:rPr>
          <w:sz w:val="24"/>
          <w:szCs w:val="24"/>
        </w:rPr>
        <w:t xml:space="preserve">, an </w:t>
      </w:r>
      <w:r w:rsidR="00DC68E5">
        <w:rPr>
          <w:sz w:val="24"/>
          <w:szCs w:val="24"/>
        </w:rPr>
        <w:t>open book</w:t>
      </w:r>
      <w:r w:rsidR="00A54861">
        <w:rPr>
          <w:sz w:val="24"/>
          <w:szCs w:val="24"/>
        </w:rPr>
        <w:t xml:space="preserve">, possibly a Book of Hours, </w:t>
      </w:r>
      <w:r w:rsidR="00DC68E5">
        <w:rPr>
          <w:sz w:val="24"/>
          <w:szCs w:val="24"/>
        </w:rPr>
        <w:t xml:space="preserve">resting on her lap. In the </w:t>
      </w:r>
      <w:r w:rsidR="00FE46FC">
        <w:rPr>
          <w:sz w:val="24"/>
          <w:szCs w:val="24"/>
        </w:rPr>
        <w:t xml:space="preserve">upper </w:t>
      </w:r>
      <w:r w:rsidR="00DC68E5">
        <w:rPr>
          <w:sz w:val="24"/>
          <w:szCs w:val="24"/>
        </w:rPr>
        <w:t>left corner of the painting a dove is visible, caught in gold</w:t>
      </w:r>
      <w:r w:rsidR="005079B0">
        <w:rPr>
          <w:sz w:val="24"/>
          <w:szCs w:val="24"/>
        </w:rPr>
        <w:t>en</w:t>
      </w:r>
      <w:r w:rsidR="00DC68E5">
        <w:rPr>
          <w:sz w:val="24"/>
          <w:szCs w:val="24"/>
        </w:rPr>
        <w:t xml:space="preserve"> rays that are projected towards the Virgin Mar</w:t>
      </w:r>
      <w:r w:rsidR="005079B0">
        <w:rPr>
          <w:sz w:val="24"/>
          <w:szCs w:val="24"/>
        </w:rPr>
        <w:t xml:space="preserve">y, </w:t>
      </w:r>
      <w:r w:rsidR="00DC68E5">
        <w:rPr>
          <w:sz w:val="24"/>
          <w:szCs w:val="24"/>
        </w:rPr>
        <w:t>fall</w:t>
      </w:r>
      <w:r w:rsidR="005079B0">
        <w:rPr>
          <w:sz w:val="24"/>
          <w:szCs w:val="24"/>
        </w:rPr>
        <w:t>ing</w:t>
      </w:r>
      <w:r w:rsidR="00DC68E5">
        <w:rPr>
          <w:sz w:val="24"/>
          <w:szCs w:val="24"/>
        </w:rPr>
        <w:t xml:space="preserve"> on</w:t>
      </w:r>
      <w:r w:rsidR="00854883">
        <w:rPr>
          <w:sz w:val="24"/>
          <w:szCs w:val="24"/>
        </w:rPr>
        <w:t>to</w:t>
      </w:r>
      <w:r w:rsidR="00DC68E5">
        <w:rPr>
          <w:sz w:val="24"/>
          <w:szCs w:val="24"/>
        </w:rPr>
        <w:t xml:space="preserve"> her face and clothing. </w:t>
      </w:r>
    </w:p>
    <w:p w14:paraId="48684AC4" w14:textId="785194FD" w:rsidR="00FE46FC" w:rsidRDefault="00A10B64" w:rsidP="00E42EF0">
      <w:pPr>
        <w:rPr>
          <w:sz w:val="24"/>
          <w:szCs w:val="24"/>
        </w:rPr>
      </w:pPr>
      <w:r>
        <w:rPr>
          <w:sz w:val="24"/>
          <w:szCs w:val="24"/>
        </w:rPr>
        <w:t>T</w:t>
      </w:r>
      <w:r w:rsidR="00DC68E5">
        <w:rPr>
          <w:sz w:val="24"/>
          <w:szCs w:val="24"/>
        </w:rPr>
        <w:t>he picture is highly symbolic. Firstly, the Virgin’s hands pointing upwards ‘towards heaven’ in prayer</w:t>
      </w:r>
      <w:r w:rsidR="00E42EF0">
        <w:rPr>
          <w:sz w:val="24"/>
          <w:szCs w:val="24"/>
        </w:rPr>
        <w:t xml:space="preserve">, </w:t>
      </w:r>
      <w:r w:rsidR="00DC68E5">
        <w:rPr>
          <w:sz w:val="24"/>
          <w:szCs w:val="24"/>
        </w:rPr>
        <w:t xml:space="preserve">is a Christian symbol of submission to God’s authority and dependency on Him for life itself. </w:t>
      </w:r>
      <w:r w:rsidR="00E42EF0">
        <w:rPr>
          <w:sz w:val="24"/>
          <w:szCs w:val="24"/>
        </w:rPr>
        <w:t>Symbolising the holy spirit, a white dove flies towards Mary</w:t>
      </w:r>
      <w:r w:rsidR="00FE46FC">
        <w:rPr>
          <w:sz w:val="24"/>
          <w:szCs w:val="24"/>
        </w:rPr>
        <w:t xml:space="preserve">, </w:t>
      </w:r>
      <w:r w:rsidR="008806D0">
        <w:rPr>
          <w:sz w:val="24"/>
          <w:szCs w:val="24"/>
        </w:rPr>
        <w:t xml:space="preserve">following </w:t>
      </w:r>
      <w:r w:rsidR="00E42EF0">
        <w:rPr>
          <w:sz w:val="24"/>
          <w:szCs w:val="24"/>
        </w:rPr>
        <w:t xml:space="preserve">behind it a trail of golden light </w:t>
      </w:r>
      <w:r w:rsidR="00D671F2">
        <w:rPr>
          <w:sz w:val="24"/>
          <w:szCs w:val="24"/>
        </w:rPr>
        <w:t>signifying</w:t>
      </w:r>
      <w:r w:rsidR="00E42EF0">
        <w:rPr>
          <w:sz w:val="24"/>
          <w:szCs w:val="24"/>
        </w:rPr>
        <w:t xml:space="preserve"> the entry of Christ into the world.</w:t>
      </w:r>
      <w:r w:rsidR="00E42EF0">
        <w:rPr>
          <w:rStyle w:val="FootnoteReference"/>
          <w:sz w:val="24"/>
          <w:szCs w:val="24"/>
        </w:rPr>
        <w:footnoteReference w:id="34"/>
      </w:r>
      <w:r w:rsidR="00E42EF0">
        <w:rPr>
          <w:sz w:val="24"/>
          <w:szCs w:val="24"/>
        </w:rPr>
        <w:t xml:space="preserve"> </w:t>
      </w:r>
      <w:r w:rsidR="00FE46FC">
        <w:rPr>
          <w:sz w:val="24"/>
          <w:szCs w:val="24"/>
        </w:rPr>
        <w:t>The presence of a dove in paintings of the Annunciation was commonplace and represented the Holy Spirit ‘on its journey to make God incarnate as Christ within Mary’s uterus’.</w:t>
      </w:r>
      <w:r w:rsidR="00FE46FC">
        <w:rPr>
          <w:rStyle w:val="FootnoteReference"/>
          <w:sz w:val="24"/>
          <w:szCs w:val="24"/>
        </w:rPr>
        <w:footnoteReference w:id="35"/>
      </w:r>
      <w:r w:rsidR="00FE46FC">
        <w:rPr>
          <w:sz w:val="24"/>
          <w:szCs w:val="24"/>
        </w:rPr>
        <w:t xml:space="preserve"> Theologians have been at pains to point out</w:t>
      </w:r>
      <w:r>
        <w:rPr>
          <w:sz w:val="24"/>
          <w:szCs w:val="24"/>
        </w:rPr>
        <w:t>,</w:t>
      </w:r>
      <w:r w:rsidR="00FE46FC">
        <w:rPr>
          <w:sz w:val="24"/>
          <w:szCs w:val="24"/>
        </w:rPr>
        <w:t xml:space="preserve"> that the dove symbolises the act of conception </w:t>
      </w:r>
      <w:r w:rsidR="00854883">
        <w:rPr>
          <w:sz w:val="24"/>
          <w:szCs w:val="24"/>
        </w:rPr>
        <w:t>purely t</w:t>
      </w:r>
      <w:r w:rsidR="00FE46FC">
        <w:rPr>
          <w:sz w:val="24"/>
          <w:szCs w:val="24"/>
        </w:rPr>
        <w:t>hrough the words of Gabriel and as such Mary remains a virgin.</w:t>
      </w:r>
      <w:r w:rsidR="00FE46FC">
        <w:rPr>
          <w:rStyle w:val="FootnoteReference"/>
          <w:sz w:val="24"/>
          <w:szCs w:val="24"/>
        </w:rPr>
        <w:footnoteReference w:id="36"/>
      </w:r>
      <w:r w:rsidR="00FE46FC" w:rsidRPr="00E42EF0">
        <w:rPr>
          <w:sz w:val="24"/>
          <w:szCs w:val="24"/>
        </w:rPr>
        <w:t xml:space="preserve"> </w:t>
      </w:r>
    </w:p>
    <w:p w14:paraId="4FB3347D" w14:textId="3CC283A1" w:rsidR="00876729" w:rsidRDefault="00876729" w:rsidP="00876729">
      <w:pPr>
        <w:rPr>
          <w:sz w:val="24"/>
          <w:szCs w:val="24"/>
        </w:rPr>
      </w:pPr>
      <w:r>
        <w:rPr>
          <w:sz w:val="24"/>
          <w:szCs w:val="24"/>
        </w:rPr>
        <w:t xml:space="preserve">There have been several suggestions as to the significance of </w:t>
      </w:r>
      <w:r w:rsidR="00E42EF0">
        <w:rPr>
          <w:sz w:val="24"/>
          <w:szCs w:val="24"/>
        </w:rPr>
        <w:t xml:space="preserve">Mary </w:t>
      </w:r>
      <w:r>
        <w:rPr>
          <w:sz w:val="24"/>
          <w:szCs w:val="24"/>
        </w:rPr>
        <w:t>holding a book in depictions of the Annunciation. Reading was a popular pastime in medieval times, at least for the literate and well-off and this is reflected in the fact that after 1300, it was rare for images of the Annunciation to feature the Virgin Mary without a book.</w:t>
      </w:r>
      <w:r>
        <w:rPr>
          <w:rStyle w:val="FootnoteReference"/>
          <w:sz w:val="24"/>
          <w:szCs w:val="24"/>
        </w:rPr>
        <w:footnoteReference w:id="37"/>
      </w:r>
      <w:r>
        <w:rPr>
          <w:sz w:val="24"/>
          <w:szCs w:val="24"/>
        </w:rPr>
        <w:t xml:space="preserve"> Furthermore, the availability of </w:t>
      </w:r>
      <w:r w:rsidR="008806D0">
        <w:rPr>
          <w:sz w:val="24"/>
          <w:szCs w:val="24"/>
        </w:rPr>
        <w:t xml:space="preserve">reading material </w:t>
      </w:r>
      <w:r>
        <w:rPr>
          <w:sz w:val="24"/>
          <w:szCs w:val="24"/>
        </w:rPr>
        <w:t xml:space="preserve">for women in medieval times was limited and Miles argues that </w:t>
      </w:r>
      <w:r w:rsidR="00CB5F06">
        <w:rPr>
          <w:sz w:val="24"/>
          <w:szCs w:val="24"/>
        </w:rPr>
        <w:t xml:space="preserve">featuring a reading </w:t>
      </w:r>
      <w:r>
        <w:rPr>
          <w:sz w:val="24"/>
          <w:szCs w:val="24"/>
        </w:rPr>
        <w:t>Mary, reinforced the idea that women didn’t need the approval of men to be able to access books.</w:t>
      </w:r>
      <w:r>
        <w:rPr>
          <w:rStyle w:val="FootnoteReference"/>
          <w:sz w:val="24"/>
          <w:szCs w:val="24"/>
        </w:rPr>
        <w:footnoteReference w:id="38"/>
      </w:r>
      <w:r w:rsidRPr="00876729">
        <w:rPr>
          <w:sz w:val="24"/>
          <w:szCs w:val="24"/>
        </w:rPr>
        <w:t xml:space="preserve"> </w:t>
      </w:r>
      <w:r>
        <w:rPr>
          <w:sz w:val="24"/>
          <w:szCs w:val="24"/>
        </w:rPr>
        <w:t xml:space="preserve">An alternative explanation offered is that the book could be a symbolic reference to the notion that Christ is the word of God. </w:t>
      </w:r>
      <w:r>
        <w:rPr>
          <w:rStyle w:val="FootnoteReference"/>
          <w:sz w:val="24"/>
          <w:szCs w:val="24"/>
        </w:rPr>
        <w:footnoteReference w:id="39"/>
      </w:r>
      <w:r>
        <w:rPr>
          <w:sz w:val="24"/>
          <w:szCs w:val="24"/>
        </w:rPr>
        <w:t xml:space="preserve"> </w:t>
      </w:r>
    </w:p>
    <w:p w14:paraId="3E092B8E" w14:textId="48DCA32A" w:rsidR="00D671F2" w:rsidRDefault="00E92176">
      <w:pPr>
        <w:rPr>
          <w:sz w:val="24"/>
          <w:szCs w:val="24"/>
        </w:rPr>
      </w:pPr>
      <w:r>
        <w:rPr>
          <w:sz w:val="24"/>
          <w:szCs w:val="24"/>
        </w:rPr>
        <w:t xml:space="preserve">Another </w:t>
      </w:r>
      <w:r w:rsidR="009420BB">
        <w:rPr>
          <w:sz w:val="24"/>
          <w:szCs w:val="24"/>
        </w:rPr>
        <w:t>important</w:t>
      </w:r>
      <w:r>
        <w:rPr>
          <w:sz w:val="24"/>
          <w:szCs w:val="24"/>
        </w:rPr>
        <w:t xml:space="preserve"> feature of Annunciation paintings</w:t>
      </w:r>
      <w:r w:rsidR="009420BB">
        <w:rPr>
          <w:sz w:val="24"/>
          <w:szCs w:val="24"/>
        </w:rPr>
        <w:t>,</w:t>
      </w:r>
      <w:r>
        <w:rPr>
          <w:sz w:val="24"/>
          <w:szCs w:val="24"/>
        </w:rPr>
        <w:t xml:space="preserve"> </w:t>
      </w:r>
      <w:r w:rsidR="00FA577D">
        <w:rPr>
          <w:sz w:val="24"/>
          <w:szCs w:val="24"/>
        </w:rPr>
        <w:t>common in medieval a</w:t>
      </w:r>
      <w:r w:rsidR="00CB5F06">
        <w:rPr>
          <w:sz w:val="24"/>
          <w:szCs w:val="24"/>
        </w:rPr>
        <w:t>nd renaissance art</w:t>
      </w:r>
      <w:r w:rsidR="00854883">
        <w:rPr>
          <w:sz w:val="24"/>
          <w:szCs w:val="24"/>
        </w:rPr>
        <w:t>,</w:t>
      </w:r>
      <w:r w:rsidR="00CB5F06">
        <w:rPr>
          <w:sz w:val="24"/>
          <w:szCs w:val="24"/>
        </w:rPr>
        <w:t xml:space="preserve"> </w:t>
      </w:r>
      <w:r>
        <w:rPr>
          <w:sz w:val="24"/>
          <w:szCs w:val="24"/>
        </w:rPr>
        <w:t>including t</w:t>
      </w:r>
      <w:r w:rsidR="008806D0">
        <w:rPr>
          <w:sz w:val="24"/>
          <w:szCs w:val="24"/>
        </w:rPr>
        <w:t>h</w:t>
      </w:r>
      <w:r w:rsidR="00FA577D">
        <w:rPr>
          <w:sz w:val="24"/>
          <w:szCs w:val="24"/>
        </w:rPr>
        <w:t xml:space="preserve">at </w:t>
      </w:r>
      <w:r>
        <w:rPr>
          <w:sz w:val="24"/>
          <w:szCs w:val="24"/>
        </w:rPr>
        <w:t>of Bourdichon is t</w:t>
      </w:r>
      <w:r w:rsidR="00FB0AFA">
        <w:rPr>
          <w:sz w:val="24"/>
          <w:szCs w:val="24"/>
        </w:rPr>
        <w:t>he halo</w:t>
      </w:r>
      <w:r>
        <w:rPr>
          <w:sz w:val="24"/>
          <w:szCs w:val="24"/>
        </w:rPr>
        <w:t xml:space="preserve">. </w:t>
      </w:r>
      <w:r w:rsidR="00FB0AFA">
        <w:rPr>
          <w:sz w:val="24"/>
          <w:szCs w:val="24"/>
        </w:rPr>
        <w:t xml:space="preserve"> </w:t>
      </w:r>
      <w:r>
        <w:rPr>
          <w:sz w:val="24"/>
          <w:szCs w:val="24"/>
        </w:rPr>
        <w:t>‘A</w:t>
      </w:r>
      <w:r w:rsidR="00FB0AFA">
        <w:rPr>
          <w:sz w:val="24"/>
          <w:szCs w:val="24"/>
        </w:rPr>
        <w:t>n aura’ in the shape of a disc around the head of a holy figure</w:t>
      </w:r>
      <w:r>
        <w:rPr>
          <w:sz w:val="24"/>
          <w:szCs w:val="24"/>
        </w:rPr>
        <w:t xml:space="preserve">, the halo </w:t>
      </w:r>
      <w:r w:rsidR="00FB0AFA">
        <w:rPr>
          <w:sz w:val="24"/>
          <w:szCs w:val="24"/>
        </w:rPr>
        <w:t>symbolises divinity</w:t>
      </w:r>
      <w:r>
        <w:rPr>
          <w:sz w:val="24"/>
          <w:szCs w:val="24"/>
        </w:rPr>
        <w:t xml:space="preserve">, first </w:t>
      </w:r>
      <w:r w:rsidR="00FB0AFA">
        <w:rPr>
          <w:sz w:val="24"/>
          <w:szCs w:val="24"/>
        </w:rPr>
        <w:t>appear</w:t>
      </w:r>
      <w:r>
        <w:rPr>
          <w:sz w:val="24"/>
          <w:szCs w:val="24"/>
        </w:rPr>
        <w:t>ing</w:t>
      </w:r>
      <w:r w:rsidR="00FB0AFA">
        <w:rPr>
          <w:sz w:val="24"/>
          <w:szCs w:val="24"/>
        </w:rPr>
        <w:t xml:space="preserve"> in the religious art of Iran</w:t>
      </w:r>
      <w:r>
        <w:rPr>
          <w:sz w:val="24"/>
          <w:szCs w:val="24"/>
        </w:rPr>
        <w:t xml:space="preserve"> and </w:t>
      </w:r>
      <w:r w:rsidR="00FB0AFA">
        <w:rPr>
          <w:sz w:val="24"/>
          <w:szCs w:val="24"/>
        </w:rPr>
        <w:t>quickly spreading to t</w:t>
      </w:r>
      <w:r w:rsidR="00CB5F06">
        <w:rPr>
          <w:sz w:val="24"/>
          <w:szCs w:val="24"/>
        </w:rPr>
        <w:t xml:space="preserve">hat </w:t>
      </w:r>
      <w:r w:rsidR="00FB0AFA">
        <w:rPr>
          <w:sz w:val="24"/>
          <w:szCs w:val="24"/>
        </w:rPr>
        <w:t>of</w:t>
      </w:r>
      <w:r>
        <w:rPr>
          <w:sz w:val="24"/>
          <w:szCs w:val="24"/>
        </w:rPr>
        <w:t xml:space="preserve"> Christianity, </w:t>
      </w:r>
      <w:r w:rsidR="00FB0AFA">
        <w:rPr>
          <w:sz w:val="24"/>
          <w:szCs w:val="24"/>
        </w:rPr>
        <w:t>Buddhism and Hinduism.</w:t>
      </w:r>
      <w:r w:rsidR="00FB0AFA">
        <w:rPr>
          <w:rStyle w:val="FootnoteReference"/>
          <w:sz w:val="24"/>
          <w:szCs w:val="24"/>
        </w:rPr>
        <w:footnoteReference w:id="40"/>
      </w:r>
      <w:r w:rsidR="00FB0AFA">
        <w:rPr>
          <w:sz w:val="24"/>
          <w:szCs w:val="24"/>
        </w:rPr>
        <w:t xml:space="preserve"> </w:t>
      </w:r>
      <w:r w:rsidR="00CB5F06">
        <w:rPr>
          <w:sz w:val="24"/>
          <w:szCs w:val="24"/>
        </w:rPr>
        <w:t xml:space="preserve">Joyce Hoffman goes so far as to assert that </w:t>
      </w:r>
      <w:r w:rsidR="008806D0">
        <w:rPr>
          <w:sz w:val="24"/>
          <w:szCs w:val="24"/>
        </w:rPr>
        <w:t xml:space="preserve">the halo </w:t>
      </w:r>
      <w:r>
        <w:rPr>
          <w:sz w:val="24"/>
          <w:szCs w:val="24"/>
        </w:rPr>
        <w:t xml:space="preserve">owes much of its existence to the ‘natural world of cosmic </w:t>
      </w:r>
      <w:r>
        <w:rPr>
          <w:sz w:val="24"/>
          <w:szCs w:val="24"/>
        </w:rPr>
        <w:lastRenderedPageBreak/>
        <w:t>phenomena’.</w:t>
      </w:r>
      <w:r w:rsidR="00876729">
        <w:rPr>
          <w:rStyle w:val="FootnoteReference"/>
          <w:sz w:val="24"/>
          <w:szCs w:val="24"/>
        </w:rPr>
        <w:footnoteReference w:id="41"/>
      </w:r>
      <w:r w:rsidR="00876729">
        <w:rPr>
          <w:sz w:val="24"/>
          <w:szCs w:val="24"/>
        </w:rPr>
        <w:t xml:space="preserve"> </w:t>
      </w:r>
      <w:r w:rsidR="008806D0">
        <w:rPr>
          <w:sz w:val="24"/>
          <w:szCs w:val="24"/>
        </w:rPr>
        <w:t>S</w:t>
      </w:r>
      <w:r w:rsidR="00876729">
        <w:rPr>
          <w:sz w:val="24"/>
          <w:szCs w:val="24"/>
        </w:rPr>
        <w:t xml:space="preserve">he </w:t>
      </w:r>
      <w:r w:rsidR="009420BB">
        <w:rPr>
          <w:sz w:val="24"/>
          <w:szCs w:val="24"/>
        </w:rPr>
        <w:t>contends</w:t>
      </w:r>
      <w:r w:rsidR="008806D0">
        <w:rPr>
          <w:sz w:val="24"/>
          <w:szCs w:val="24"/>
        </w:rPr>
        <w:t xml:space="preserve"> that the halo </w:t>
      </w:r>
      <w:r w:rsidR="00876729">
        <w:rPr>
          <w:sz w:val="24"/>
          <w:szCs w:val="24"/>
        </w:rPr>
        <w:t xml:space="preserve">is an icon that is </w:t>
      </w:r>
      <w:r w:rsidR="008806D0">
        <w:rPr>
          <w:sz w:val="24"/>
          <w:szCs w:val="24"/>
        </w:rPr>
        <w:t xml:space="preserve">very </w:t>
      </w:r>
      <w:r w:rsidR="00876729">
        <w:rPr>
          <w:sz w:val="24"/>
          <w:szCs w:val="24"/>
        </w:rPr>
        <w:t xml:space="preserve">familiar to humans </w:t>
      </w:r>
      <w:r w:rsidR="00854883">
        <w:rPr>
          <w:sz w:val="24"/>
          <w:szCs w:val="24"/>
        </w:rPr>
        <w:t xml:space="preserve">because of </w:t>
      </w:r>
      <w:r w:rsidR="00876729">
        <w:rPr>
          <w:sz w:val="24"/>
          <w:szCs w:val="24"/>
        </w:rPr>
        <w:t xml:space="preserve">the way </w:t>
      </w:r>
      <w:r w:rsidR="009420BB">
        <w:rPr>
          <w:sz w:val="24"/>
          <w:szCs w:val="24"/>
        </w:rPr>
        <w:t>in which they inter</w:t>
      </w:r>
      <w:r w:rsidR="00876729">
        <w:rPr>
          <w:sz w:val="24"/>
          <w:szCs w:val="24"/>
        </w:rPr>
        <w:t>act with ‘planetary phenomena’.</w:t>
      </w:r>
      <w:r w:rsidR="00876729">
        <w:rPr>
          <w:rStyle w:val="FootnoteReference"/>
          <w:sz w:val="24"/>
          <w:szCs w:val="24"/>
        </w:rPr>
        <w:footnoteReference w:id="42"/>
      </w:r>
      <w:r w:rsidR="00876729">
        <w:rPr>
          <w:sz w:val="24"/>
          <w:szCs w:val="24"/>
        </w:rPr>
        <w:t xml:space="preserve"> </w:t>
      </w:r>
      <w:r w:rsidR="00277A03">
        <w:rPr>
          <w:sz w:val="24"/>
          <w:szCs w:val="24"/>
        </w:rPr>
        <w:t>While n</w:t>
      </w:r>
      <w:r w:rsidR="00876729">
        <w:rPr>
          <w:sz w:val="24"/>
          <w:szCs w:val="24"/>
        </w:rPr>
        <w:t xml:space="preserve">ot everyone would agree, few would fail to recognise the image of a halo whether </w:t>
      </w:r>
      <w:r w:rsidR="009420BB">
        <w:rPr>
          <w:sz w:val="24"/>
          <w:szCs w:val="24"/>
        </w:rPr>
        <w:t>or not they have religious beliefs.</w:t>
      </w:r>
      <w:r w:rsidR="00876729">
        <w:rPr>
          <w:sz w:val="24"/>
          <w:szCs w:val="24"/>
        </w:rPr>
        <w:t xml:space="preserve"> Between </w:t>
      </w:r>
      <w:r w:rsidR="00277A03">
        <w:rPr>
          <w:sz w:val="24"/>
          <w:szCs w:val="24"/>
        </w:rPr>
        <w:t>the twelfth and sixteenth</w:t>
      </w:r>
      <w:r w:rsidR="00876729">
        <w:rPr>
          <w:sz w:val="24"/>
          <w:szCs w:val="24"/>
        </w:rPr>
        <w:t xml:space="preserve"> century the shapes and styles of halos </w:t>
      </w:r>
      <w:r w:rsidR="00474E0D">
        <w:rPr>
          <w:sz w:val="24"/>
          <w:szCs w:val="24"/>
        </w:rPr>
        <w:t>varied</w:t>
      </w:r>
      <w:r w:rsidR="00876729">
        <w:rPr>
          <w:sz w:val="24"/>
          <w:szCs w:val="24"/>
        </w:rPr>
        <w:t xml:space="preserve"> from simple round circles to elaborately decorated crowns </w:t>
      </w:r>
      <w:r w:rsidR="009420BB">
        <w:rPr>
          <w:sz w:val="24"/>
          <w:szCs w:val="24"/>
        </w:rPr>
        <w:t>as a consequence</w:t>
      </w:r>
      <w:r w:rsidR="00876729">
        <w:rPr>
          <w:sz w:val="24"/>
          <w:szCs w:val="24"/>
        </w:rPr>
        <w:t xml:space="preserve"> of social, economic, religious and artistic changes.</w:t>
      </w:r>
      <w:r w:rsidR="00876729">
        <w:rPr>
          <w:rStyle w:val="FootnoteReference"/>
          <w:sz w:val="24"/>
          <w:szCs w:val="24"/>
        </w:rPr>
        <w:footnoteReference w:id="43"/>
      </w:r>
      <w:r w:rsidR="00876729">
        <w:rPr>
          <w:sz w:val="24"/>
          <w:szCs w:val="24"/>
        </w:rPr>
        <w:t xml:space="preserve"> Indeed after the mid-1400s</w:t>
      </w:r>
      <w:r w:rsidR="00277A03">
        <w:rPr>
          <w:sz w:val="24"/>
          <w:szCs w:val="24"/>
        </w:rPr>
        <w:t>,</w:t>
      </w:r>
      <w:r w:rsidR="00876729">
        <w:rPr>
          <w:sz w:val="24"/>
          <w:szCs w:val="24"/>
        </w:rPr>
        <w:t xml:space="preserve"> Mary is</w:t>
      </w:r>
      <w:r w:rsidR="00474E0D">
        <w:rPr>
          <w:sz w:val="24"/>
          <w:szCs w:val="24"/>
        </w:rPr>
        <w:t xml:space="preserve"> no longer depicted </w:t>
      </w:r>
      <w:r w:rsidR="00876729">
        <w:rPr>
          <w:sz w:val="24"/>
          <w:szCs w:val="24"/>
        </w:rPr>
        <w:t xml:space="preserve">by artists wearing a </w:t>
      </w:r>
      <w:r w:rsidR="00474E0D">
        <w:rPr>
          <w:sz w:val="24"/>
          <w:szCs w:val="24"/>
        </w:rPr>
        <w:t xml:space="preserve">crown, instead she appears with a </w:t>
      </w:r>
      <w:r w:rsidR="00876729">
        <w:rPr>
          <w:sz w:val="24"/>
          <w:szCs w:val="24"/>
        </w:rPr>
        <w:t>thin hal</w:t>
      </w:r>
      <w:r w:rsidR="00474E0D">
        <w:rPr>
          <w:sz w:val="24"/>
          <w:szCs w:val="24"/>
        </w:rPr>
        <w:t xml:space="preserve">o and the throne of early medieval paintings </w:t>
      </w:r>
      <w:r w:rsidR="00FB0AFA">
        <w:rPr>
          <w:sz w:val="24"/>
          <w:szCs w:val="24"/>
        </w:rPr>
        <w:t>has now been replaced by a more modest</w:t>
      </w:r>
      <w:r w:rsidR="00876729">
        <w:rPr>
          <w:sz w:val="24"/>
          <w:szCs w:val="24"/>
        </w:rPr>
        <w:t xml:space="preserve"> seat.</w:t>
      </w:r>
      <w:r w:rsidR="00876729">
        <w:rPr>
          <w:rStyle w:val="FootnoteReference"/>
          <w:sz w:val="24"/>
          <w:szCs w:val="24"/>
        </w:rPr>
        <w:footnoteReference w:id="44"/>
      </w:r>
    </w:p>
    <w:p w14:paraId="4CA897C6" w14:textId="1D889FB6" w:rsidR="00121C76" w:rsidRDefault="00F4480C">
      <w:pPr>
        <w:rPr>
          <w:sz w:val="24"/>
          <w:szCs w:val="24"/>
        </w:rPr>
      </w:pPr>
      <w:r>
        <w:rPr>
          <w:sz w:val="24"/>
          <w:szCs w:val="24"/>
        </w:rPr>
        <w:t>There has clearly been a gradual evolution in the portrayal of the Annunciation, though perhaps one of the greatest challen</w:t>
      </w:r>
      <w:r w:rsidR="00273F14">
        <w:rPr>
          <w:sz w:val="24"/>
          <w:szCs w:val="24"/>
        </w:rPr>
        <w:t xml:space="preserve">ges </w:t>
      </w:r>
      <w:r w:rsidR="00121C76">
        <w:rPr>
          <w:sz w:val="24"/>
          <w:szCs w:val="24"/>
        </w:rPr>
        <w:t xml:space="preserve">to the orthodox representation of the </w:t>
      </w:r>
      <w:r w:rsidR="00273F14">
        <w:rPr>
          <w:sz w:val="24"/>
          <w:szCs w:val="24"/>
        </w:rPr>
        <w:t>event</w:t>
      </w:r>
      <w:r w:rsidR="00121C76">
        <w:rPr>
          <w:sz w:val="24"/>
          <w:szCs w:val="24"/>
        </w:rPr>
        <w:t xml:space="preserve">, </w:t>
      </w:r>
      <w:r w:rsidR="009203D8">
        <w:rPr>
          <w:sz w:val="24"/>
          <w:szCs w:val="24"/>
        </w:rPr>
        <w:t xml:space="preserve">is </w:t>
      </w:r>
      <w:r w:rsidR="00FA577D">
        <w:rPr>
          <w:sz w:val="24"/>
          <w:szCs w:val="24"/>
        </w:rPr>
        <w:t xml:space="preserve">a painting </w:t>
      </w:r>
      <w:r w:rsidR="009203D8">
        <w:rPr>
          <w:sz w:val="24"/>
          <w:szCs w:val="24"/>
        </w:rPr>
        <w:t>composed</w:t>
      </w:r>
      <w:r w:rsidR="00273F14">
        <w:rPr>
          <w:sz w:val="24"/>
          <w:szCs w:val="24"/>
        </w:rPr>
        <w:t xml:space="preserve"> </w:t>
      </w:r>
      <w:r>
        <w:rPr>
          <w:sz w:val="24"/>
          <w:szCs w:val="24"/>
        </w:rPr>
        <w:t xml:space="preserve">in 1898 </w:t>
      </w:r>
      <w:r w:rsidR="00273F14">
        <w:rPr>
          <w:sz w:val="24"/>
          <w:szCs w:val="24"/>
        </w:rPr>
        <w:t xml:space="preserve">by </w:t>
      </w:r>
      <w:r w:rsidR="00121C76">
        <w:rPr>
          <w:sz w:val="24"/>
          <w:szCs w:val="24"/>
        </w:rPr>
        <w:t>Henry Tanner a</w:t>
      </w:r>
      <w:r>
        <w:rPr>
          <w:sz w:val="24"/>
          <w:szCs w:val="24"/>
        </w:rPr>
        <w:t>n</w:t>
      </w:r>
      <w:r w:rsidR="00121C76">
        <w:rPr>
          <w:sz w:val="24"/>
          <w:szCs w:val="24"/>
        </w:rPr>
        <w:t xml:space="preserve"> African American art</w:t>
      </w:r>
      <w:r>
        <w:rPr>
          <w:sz w:val="24"/>
          <w:szCs w:val="24"/>
        </w:rPr>
        <w:t>ist</w:t>
      </w:r>
      <w:r w:rsidR="00273F14">
        <w:rPr>
          <w:sz w:val="24"/>
          <w:szCs w:val="24"/>
        </w:rPr>
        <w:t>.</w:t>
      </w:r>
      <w:r w:rsidR="00273F14">
        <w:rPr>
          <w:rStyle w:val="FootnoteReference"/>
          <w:sz w:val="24"/>
          <w:szCs w:val="24"/>
        </w:rPr>
        <w:footnoteReference w:id="45"/>
      </w:r>
      <w:r w:rsidR="00273F14">
        <w:rPr>
          <w:sz w:val="24"/>
          <w:szCs w:val="24"/>
        </w:rPr>
        <w:t xml:space="preserve"> </w:t>
      </w:r>
      <w:r w:rsidR="0076426C">
        <w:rPr>
          <w:sz w:val="24"/>
          <w:szCs w:val="24"/>
        </w:rPr>
        <w:t xml:space="preserve">No longer constrained by traditional representations of Christian art, </w:t>
      </w:r>
      <w:r w:rsidR="007C7285">
        <w:rPr>
          <w:sz w:val="24"/>
          <w:szCs w:val="24"/>
        </w:rPr>
        <w:t>Tanner has produced an altogether more authentic version of the Annunciation, free from symbolism and the Eurocentric versions of the middle-ages.</w:t>
      </w:r>
      <w:r w:rsidR="0076426C">
        <w:rPr>
          <w:rStyle w:val="FootnoteReference"/>
          <w:sz w:val="24"/>
          <w:szCs w:val="24"/>
        </w:rPr>
        <w:footnoteReference w:id="46"/>
      </w:r>
      <w:r w:rsidR="007C7285">
        <w:rPr>
          <w:sz w:val="24"/>
          <w:szCs w:val="24"/>
        </w:rPr>
        <w:t xml:space="preserve"> </w:t>
      </w:r>
      <w:r w:rsidR="0076426C">
        <w:rPr>
          <w:sz w:val="24"/>
          <w:szCs w:val="24"/>
        </w:rPr>
        <w:t>Tanner keen to reflect the people, culture and architecture of the Holy Land has s</w:t>
      </w:r>
      <w:r w:rsidR="009203D8">
        <w:rPr>
          <w:sz w:val="24"/>
          <w:szCs w:val="24"/>
        </w:rPr>
        <w:t xml:space="preserve">et </w:t>
      </w:r>
      <w:r w:rsidR="0076426C">
        <w:rPr>
          <w:sz w:val="24"/>
          <w:szCs w:val="24"/>
        </w:rPr>
        <w:t>the scene i</w:t>
      </w:r>
      <w:r w:rsidR="009203D8">
        <w:rPr>
          <w:sz w:val="24"/>
          <w:szCs w:val="24"/>
        </w:rPr>
        <w:t>n a ’humble mid-eastern’ home</w:t>
      </w:r>
      <w:r w:rsidR="0076426C">
        <w:rPr>
          <w:sz w:val="24"/>
          <w:szCs w:val="24"/>
        </w:rPr>
        <w:t>.</w:t>
      </w:r>
      <w:r w:rsidR="007C5E6D">
        <w:rPr>
          <w:rStyle w:val="FootnoteReference"/>
          <w:sz w:val="24"/>
          <w:szCs w:val="24"/>
        </w:rPr>
        <w:footnoteReference w:id="47"/>
      </w:r>
      <w:r w:rsidR="0076426C">
        <w:rPr>
          <w:sz w:val="24"/>
          <w:szCs w:val="24"/>
        </w:rPr>
        <w:t xml:space="preserve"> </w:t>
      </w:r>
      <w:r w:rsidR="007C5E6D">
        <w:rPr>
          <w:sz w:val="24"/>
          <w:szCs w:val="24"/>
        </w:rPr>
        <w:t xml:space="preserve">In this version, </w:t>
      </w:r>
      <w:r w:rsidR="009203D8">
        <w:rPr>
          <w:sz w:val="24"/>
          <w:szCs w:val="24"/>
        </w:rPr>
        <w:t xml:space="preserve">Mary </w:t>
      </w:r>
      <w:r w:rsidR="0076426C">
        <w:rPr>
          <w:sz w:val="24"/>
          <w:szCs w:val="24"/>
        </w:rPr>
        <w:t xml:space="preserve">has dark hair, mid-eastern skin tones and is </w:t>
      </w:r>
      <w:r w:rsidR="009203D8">
        <w:rPr>
          <w:sz w:val="24"/>
          <w:szCs w:val="24"/>
        </w:rPr>
        <w:t>dressed in peasant clothin</w:t>
      </w:r>
      <w:r w:rsidR="00854883">
        <w:rPr>
          <w:sz w:val="24"/>
          <w:szCs w:val="24"/>
        </w:rPr>
        <w:t xml:space="preserve">g and is </w:t>
      </w:r>
      <w:r w:rsidR="0076426C">
        <w:rPr>
          <w:sz w:val="24"/>
          <w:szCs w:val="24"/>
        </w:rPr>
        <w:t>sitting</w:t>
      </w:r>
      <w:r w:rsidR="009203D8">
        <w:rPr>
          <w:sz w:val="24"/>
          <w:szCs w:val="24"/>
        </w:rPr>
        <w:t xml:space="preserve"> on an unmade bed</w:t>
      </w:r>
      <w:r w:rsidR="00854883">
        <w:rPr>
          <w:sz w:val="24"/>
          <w:szCs w:val="24"/>
        </w:rPr>
        <w:t xml:space="preserve"> in the presence of the </w:t>
      </w:r>
      <w:r w:rsidR="009203D8">
        <w:rPr>
          <w:sz w:val="24"/>
          <w:szCs w:val="24"/>
        </w:rPr>
        <w:t>angel Gabriel</w:t>
      </w:r>
      <w:r w:rsidR="00854883">
        <w:rPr>
          <w:sz w:val="24"/>
          <w:szCs w:val="24"/>
        </w:rPr>
        <w:t xml:space="preserve">, who </w:t>
      </w:r>
      <w:r w:rsidR="009203D8">
        <w:rPr>
          <w:sz w:val="24"/>
          <w:szCs w:val="24"/>
        </w:rPr>
        <w:t>is represented as a pillar of light.</w:t>
      </w:r>
      <w:r w:rsidR="007C5E6D">
        <w:rPr>
          <w:rStyle w:val="FootnoteReference"/>
          <w:sz w:val="24"/>
          <w:szCs w:val="24"/>
        </w:rPr>
        <w:footnoteReference w:id="48"/>
      </w:r>
    </w:p>
    <w:p w14:paraId="50B9E169" w14:textId="18DFD88E" w:rsidR="007C5E6D" w:rsidRDefault="007C5E6D" w:rsidP="007C5E6D">
      <w:pPr>
        <w:rPr>
          <w:sz w:val="24"/>
          <w:szCs w:val="24"/>
        </w:rPr>
      </w:pPr>
      <w:r>
        <w:rPr>
          <w:sz w:val="24"/>
          <w:szCs w:val="24"/>
        </w:rPr>
        <w:t>It is clear that when viewing any primary source, the historian must be aware of several factors that need to be incorporated into the process of deconstruction and analysis. Sarah Barber and Corinna Peniston-Bird, suggest the presence of a three-way relationship in the interpretation of any primary document. For instance, a visual source, in this case the image of the Annunciation, would consist of the connection between the painter, the painting and the viewer.</w:t>
      </w:r>
      <w:r>
        <w:rPr>
          <w:rStyle w:val="FootnoteReference"/>
          <w:sz w:val="24"/>
          <w:szCs w:val="24"/>
        </w:rPr>
        <w:footnoteReference w:id="49"/>
      </w:r>
      <w:r>
        <w:rPr>
          <w:sz w:val="24"/>
          <w:szCs w:val="24"/>
        </w:rPr>
        <w:t xml:space="preserve"> </w:t>
      </w:r>
    </w:p>
    <w:p w14:paraId="046D2669" w14:textId="1EF92753" w:rsidR="007C5E6D" w:rsidRDefault="007C5E6D" w:rsidP="007C5E6D">
      <w:pPr>
        <w:rPr>
          <w:sz w:val="24"/>
          <w:szCs w:val="24"/>
        </w:rPr>
      </w:pPr>
      <w:r>
        <w:rPr>
          <w:sz w:val="24"/>
          <w:szCs w:val="24"/>
        </w:rPr>
        <w:t>This essay has demonstrated the need for caution in striving to find the ultimate truth or authenticity of a source and this is pertinent in the case of a painting which can be interpreted in a number of ways when considering its symbolic or hidden meanings.</w:t>
      </w:r>
      <w:r>
        <w:rPr>
          <w:rStyle w:val="FootnoteReference"/>
          <w:sz w:val="24"/>
          <w:szCs w:val="24"/>
        </w:rPr>
        <w:footnoteReference w:id="50"/>
      </w:r>
      <w:r>
        <w:rPr>
          <w:sz w:val="24"/>
          <w:szCs w:val="24"/>
        </w:rPr>
        <w:t xml:space="preserve"> ‘Reading’ a painting is a process of determining the intention of the artist, taking into account the period in which it was painted, the social, political and religious influences of the time and thus by its nature is a highly subjective assessment.</w:t>
      </w:r>
      <w:r>
        <w:rPr>
          <w:rStyle w:val="FootnoteReference"/>
          <w:sz w:val="24"/>
          <w:szCs w:val="24"/>
        </w:rPr>
        <w:footnoteReference w:id="51"/>
      </w:r>
      <w:r>
        <w:rPr>
          <w:sz w:val="24"/>
          <w:szCs w:val="24"/>
        </w:rPr>
        <w:t xml:space="preserve"> </w:t>
      </w:r>
    </w:p>
    <w:p w14:paraId="5215B6D7" w14:textId="00F6D010" w:rsidR="00574E6B" w:rsidRPr="0066580E" w:rsidRDefault="00032A11" w:rsidP="00574E6B">
      <w:pPr>
        <w:rPr>
          <w:sz w:val="24"/>
          <w:szCs w:val="24"/>
        </w:rPr>
      </w:pPr>
      <w:r w:rsidRPr="00032A11">
        <w:rPr>
          <w:b/>
          <w:bCs/>
          <w:sz w:val="24"/>
          <w:szCs w:val="24"/>
        </w:rPr>
        <w:lastRenderedPageBreak/>
        <w:t>Bibliography</w:t>
      </w:r>
    </w:p>
    <w:p w14:paraId="26142E5F" w14:textId="77777777" w:rsidR="00574E6B" w:rsidRPr="0066580E" w:rsidRDefault="00574E6B" w:rsidP="0066580E">
      <w:pPr>
        <w:pStyle w:val="FootnoteText"/>
        <w:rPr>
          <w:sz w:val="24"/>
          <w:szCs w:val="24"/>
        </w:rPr>
      </w:pPr>
    </w:p>
    <w:p w14:paraId="6F43CB4D" w14:textId="77777777" w:rsidR="00574E6B" w:rsidRPr="006B04A3" w:rsidRDefault="00574E6B" w:rsidP="00574E6B">
      <w:pPr>
        <w:shd w:val="clear" w:color="auto" w:fill="FFFFFF"/>
        <w:spacing w:line="276" w:lineRule="auto"/>
        <w:rPr>
          <w:sz w:val="24"/>
          <w:szCs w:val="24"/>
        </w:rPr>
      </w:pPr>
      <w:r w:rsidRPr="006B04A3">
        <w:rPr>
          <w:sz w:val="24"/>
          <w:szCs w:val="24"/>
        </w:rPr>
        <w:t>Altshuler</w:t>
      </w:r>
      <w:r>
        <w:rPr>
          <w:sz w:val="24"/>
          <w:szCs w:val="24"/>
        </w:rPr>
        <w:t>, Bruce</w:t>
      </w:r>
      <w:r w:rsidRPr="006B04A3">
        <w:rPr>
          <w:sz w:val="24"/>
          <w:szCs w:val="24"/>
        </w:rPr>
        <w:t xml:space="preserve"> et al (eds), </w:t>
      </w:r>
      <w:r w:rsidRPr="006B04A3">
        <w:rPr>
          <w:i/>
          <w:iCs/>
          <w:sz w:val="24"/>
          <w:szCs w:val="24"/>
        </w:rPr>
        <w:t xml:space="preserve">Salon to Biennial: Exhibitions that made Art History, Volume 1: 1863-1959, </w:t>
      </w:r>
      <w:r w:rsidRPr="006B04A3">
        <w:rPr>
          <w:sz w:val="24"/>
          <w:szCs w:val="24"/>
        </w:rPr>
        <w:t xml:space="preserve">(London: </w:t>
      </w:r>
      <w:proofErr w:type="spellStart"/>
      <w:r w:rsidRPr="006B04A3">
        <w:rPr>
          <w:sz w:val="24"/>
          <w:szCs w:val="24"/>
        </w:rPr>
        <w:t>Phaidon</w:t>
      </w:r>
      <w:proofErr w:type="spellEnd"/>
      <w:r w:rsidRPr="006B04A3">
        <w:rPr>
          <w:sz w:val="24"/>
          <w:szCs w:val="24"/>
        </w:rPr>
        <w:t>, 2008), p.127.</w:t>
      </w:r>
    </w:p>
    <w:p w14:paraId="16DB2C2E" w14:textId="77777777" w:rsidR="00574E6B" w:rsidRDefault="00574E6B" w:rsidP="00574E6B">
      <w:pPr>
        <w:pStyle w:val="FootnoteText"/>
        <w:spacing w:line="276" w:lineRule="auto"/>
        <w:rPr>
          <w:sz w:val="24"/>
          <w:szCs w:val="24"/>
        </w:rPr>
      </w:pPr>
      <w:r w:rsidRPr="006B04A3">
        <w:rPr>
          <w:sz w:val="24"/>
          <w:szCs w:val="24"/>
        </w:rPr>
        <w:t>Barber</w:t>
      </w:r>
      <w:r>
        <w:rPr>
          <w:sz w:val="24"/>
          <w:szCs w:val="24"/>
        </w:rPr>
        <w:t>, Sarah</w:t>
      </w:r>
      <w:r w:rsidRPr="006B04A3">
        <w:rPr>
          <w:sz w:val="24"/>
          <w:szCs w:val="24"/>
        </w:rPr>
        <w:t xml:space="preserve"> and Corinna M. </w:t>
      </w:r>
      <w:proofErr w:type="spellStart"/>
      <w:r w:rsidRPr="006B04A3">
        <w:rPr>
          <w:sz w:val="24"/>
          <w:szCs w:val="24"/>
        </w:rPr>
        <w:t>Pensiton</w:t>
      </w:r>
      <w:proofErr w:type="spellEnd"/>
      <w:r w:rsidRPr="006B04A3">
        <w:rPr>
          <w:sz w:val="24"/>
          <w:szCs w:val="24"/>
        </w:rPr>
        <w:t xml:space="preserve">-Bird, </w:t>
      </w:r>
      <w:r>
        <w:rPr>
          <w:sz w:val="24"/>
          <w:szCs w:val="24"/>
        </w:rPr>
        <w:t xml:space="preserve">(eds), </w:t>
      </w:r>
      <w:r w:rsidRPr="006B04A3">
        <w:rPr>
          <w:i/>
          <w:iCs/>
          <w:sz w:val="24"/>
          <w:szCs w:val="24"/>
        </w:rPr>
        <w:t>History beyond the Text,</w:t>
      </w:r>
      <w:r>
        <w:rPr>
          <w:sz w:val="24"/>
          <w:szCs w:val="24"/>
        </w:rPr>
        <w:t xml:space="preserve"> </w:t>
      </w:r>
      <w:r w:rsidRPr="006B04A3">
        <w:rPr>
          <w:sz w:val="24"/>
          <w:szCs w:val="24"/>
        </w:rPr>
        <w:t>(London: Routledge, 2009)</w:t>
      </w:r>
      <w:r>
        <w:rPr>
          <w:sz w:val="24"/>
          <w:szCs w:val="24"/>
        </w:rPr>
        <w:t>.</w:t>
      </w:r>
    </w:p>
    <w:p w14:paraId="1EA3D71B" w14:textId="77777777" w:rsidR="00574E6B" w:rsidRPr="006B04A3" w:rsidRDefault="00574E6B" w:rsidP="00574E6B">
      <w:pPr>
        <w:pStyle w:val="FootnoteText"/>
        <w:rPr>
          <w:sz w:val="24"/>
          <w:szCs w:val="24"/>
        </w:rPr>
      </w:pPr>
    </w:p>
    <w:p w14:paraId="713AA711" w14:textId="77777777" w:rsidR="00574E6B" w:rsidRDefault="00574E6B" w:rsidP="00574E6B">
      <w:pPr>
        <w:spacing w:line="276" w:lineRule="auto"/>
        <w:rPr>
          <w:sz w:val="24"/>
          <w:szCs w:val="24"/>
        </w:rPr>
      </w:pPr>
      <w:r>
        <w:rPr>
          <w:sz w:val="24"/>
          <w:szCs w:val="24"/>
        </w:rPr>
        <w:t xml:space="preserve">Blackhouse, Janet, </w:t>
      </w:r>
      <w:proofErr w:type="spellStart"/>
      <w:r>
        <w:rPr>
          <w:sz w:val="24"/>
          <w:szCs w:val="24"/>
        </w:rPr>
        <w:t>Bourdichon’s</w:t>
      </w:r>
      <w:proofErr w:type="spellEnd"/>
      <w:r>
        <w:rPr>
          <w:sz w:val="24"/>
          <w:szCs w:val="24"/>
        </w:rPr>
        <w:t xml:space="preserve"> ‘Hours of Henry VII’, </w:t>
      </w:r>
      <w:r>
        <w:rPr>
          <w:i/>
          <w:iCs/>
          <w:sz w:val="24"/>
          <w:szCs w:val="24"/>
        </w:rPr>
        <w:t xml:space="preserve">The British Museum Quarterly </w:t>
      </w:r>
      <w:r>
        <w:rPr>
          <w:sz w:val="24"/>
          <w:szCs w:val="24"/>
        </w:rPr>
        <w:t>37. 3, (1973), 95-102.</w:t>
      </w:r>
    </w:p>
    <w:p w14:paraId="72282684" w14:textId="77777777" w:rsidR="00574E6B" w:rsidRDefault="00574E6B" w:rsidP="00574E6B">
      <w:pPr>
        <w:spacing w:line="276" w:lineRule="auto"/>
        <w:rPr>
          <w:sz w:val="24"/>
          <w:szCs w:val="24"/>
        </w:rPr>
      </w:pPr>
      <w:r>
        <w:rPr>
          <w:sz w:val="24"/>
          <w:szCs w:val="24"/>
        </w:rPr>
        <w:t xml:space="preserve">Blackhouse, Janet, </w:t>
      </w:r>
      <w:r>
        <w:rPr>
          <w:i/>
          <w:iCs/>
          <w:sz w:val="24"/>
          <w:szCs w:val="24"/>
        </w:rPr>
        <w:t xml:space="preserve">The Illuminated Manuscript, </w:t>
      </w:r>
      <w:r>
        <w:rPr>
          <w:sz w:val="24"/>
          <w:szCs w:val="24"/>
        </w:rPr>
        <w:t xml:space="preserve">(London: </w:t>
      </w:r>
      <w:proofErr w:type="spellStart"/>
      <w:r>
        <w:rPr>
          <w:sz w:val="24"/>
          <w:szCs w:val="24"/>
        </w:rPr>
        <w:t>Phaidon</w:t>
      </w:r>
      <w:proofErr w:type="spellEnd"/>
      <w:r>
        <w:rPr>
          <w:sz w:val="24"/>
          <w:szCs w:val="24"/>
        </w:rPr>
        <w:t xml:space="preserve"> Press, 1979). </w:t>
      </w:r>
    </w:p>
    <w:p w14:paraId="095A9329" w14:textId="77777777" w:rsidR="00574E6B" w:rsidRPr="00574E6B" w:rsidRDefault="00574E6B" w:rsidP="00574E6B">
      <w:pPr>
        <w:spacing w:line="276" w:lineRule="auto"/>
        <w:rPr>
          <w:sz w:val="24"/>
          <w:szCs w:val="24"/>
        </w:rPr>
      </w:pPr>
      <w:r>
        <w:rPr>
          <w:sz w:val="24"/>
          <w:szCs w:val="24"/>
        </w:rPr>
        <w:t xml:space="preserve">Catkins, Robert G. </w:t>
      </w:r>
      <w:r>
        <w:rPr>
          <w:i/>
          <w:iCs/>
          <w:sz w:val="24"/>
          <w:szCs w:val="24"/>
        </w:rPr>
        <w:t xml:space="preserve">Illuminated books of the Middle Ages, </w:t>
      </w:r>
      <w:r>
        <w:rPr>
          <w:sz w:val="24"/>
          <w:szCs w:val="24"/>
        </w:rPr>
        <w:t>(New York: Cornell University Press, 1983).</w:t>
      </w:r>
    </w:p>
    <w:p w14:paraId="72CC5373" w14:textId="77777777" w:rsidR="00574E6B" w:rsidRDefault="00574E6B" w:rsidP="00574E6B">
      <w:pPr>
        <w:spacing w:line="276" w:lineRule="auto"/>
        <w:rPr>
          <w:sz w:val="24"/>
          <w:szCs w:val="24"/>
        </w:rPr>
      </w:pPr>
      <w:r>
        <w:rPr>
          <w:i/>
          <w:iCs/>
          <w:sz w:val="24"/>
          <w:szCs w:val="24"/>
        </w:rPr>
        <w:t xml:space="preserve">Christian Symbols in Art, </w:t>
      </w:r>
      <w:r>
        <w:rPr>
          <w:sz w:val="24"/>
          <w:szCs w:val="24"/>
        </w:rPr>
        <w:t>(2014) &lt;</w:t>
      </w:r>
      <w:hyperlink r:id="rId7" w:history="1">
        <w:r w:rsidRPr="004A029B">
          <w:rPr>
            <w:rStyle w:val="Hyperlink"/>
            <w:sz w:val="24"/>
            <w:szCs w:val="24"/>
          </w:rPr>
          <w:t>https://christiansymbolsinart.wordpress.com</w:t>
        </w:r>
      </w:hyperlink>
      <w:r>
        <w:rPr>
          <w:sz w:val="24"/>
          <w:szCs w:val="24"/>
        </w:rPr>
        <w:t>&gt; [</w:t>
      </w:r>
    </w:p>
    <w:p w14:paraId="23AA4E87" w14:textId="369CEAF6" w:rsidR="00574E6B" w:rsidRPr="0066580E" w:rsidRDefault="00574E6B" w:rsidP="00574E6B">
      <w:pPr>
        <w:pStyle w:val="FootnoteText"/>
        <w:spacing w:line="276" w:lineRule="auto"/>
        <w:rPr>
          <w:sz w:val="24"/>
          <w:szCs w:val="24"/>
        </w:rPr>
      </w:pPr>
      <w:r w:rsidRPr="0066580E">
        <w:rPr>
          <w:sz w:val="24"/>
          <w:szCs w:val="24"/>
        </w:rPr>
        <w:t xml:space="preserve">Cumming, </w:t>
      </w:r>
      <w:r>
        <w:rPr>
          <w:sz w:val="24"/>
          <w:szCs w:val="24"/>
        </w:rPr>
        <w:t xml:space="preserve">Laura, </w:t>
      </w:r>
      <w:r w:rsidR="004461BA">
        <w:rPr>
          <w:sz w:val="24"/>
          <w:szCs w:val="24"/>
        </w:rPr>
        <w:t>‘</w:t>
      </w:r>
      <w:r w:rsidRPr="0066580E">
        <w:rPr>
          <w:sz w:val="24"/>
          <w:szCs w:val="24"/>
        </w:rPr>
        <w:t>Guess the painting</w:t>
      </w:r>
      <w:r w:rsidR="004461BA">
        <w:rPr>
          <w:sz w:val="24"/>
          <w:szCs w:val="24"/>
        </w:rPr>
        <w:t>’</w:t>
      </w:r>
      <w:r w:rsidRPr="0066580E">
        <w:rPr>
          <w:sz w:val="24"/>
          <w:szCs w:val="24"/>
        </w:rPr>
        <w:t>, The Observer, p.46, 10 December 2023.</w:t>
      </w:r>
    </w:p>
    <w:p w14:paraId="57934C4F" w14:textId="77777777" w:rsidR="00574E6B" w:rsidRDefault="00574E6B" w:rsidP="00574E6B">
      <w:pPr>
        <w:spacing w:line="276" w:lineRule="auto"/>
        <w:rPr>
          <w:sz w:val="24"/>
          <w:szCs w:val="24"/>
        </w:rPr>
      </w:pPr>
      <w:proofErr w:type="spellStart"/>
      <w:r>
        <w:rPr>
          <w:sz w:val="24"/>
          <w:szCs w:val="24"/>
        </w:rPr>
        <w:t>Dufffy</w:t>
      </w:r>
      <w:proofErr w:type="spellEnd"/>
      <w:r>
        <w:rPr>
          <w:sz w:val="24"/>
          <w:szCs w:val="24"/>
        </w:rPr>
        <w:t xml:space="preserve">, Eamon, </w:t>
      </w:r>
      <w:r>
        <w:rPr>
          <w:i/>
          <w:iCs/>
          <w:sz w:val="24"/>
          <w:szCs w:val="24"/>
        </w:rPr>
        <w:t xml:space="preserve">Marking the Hours: English People and their prayers 1240-1570, </w:t>
      </w:r>
      <w:r>
        <w:rPr>
          <w:sz w:val="24"/>
          <w:szCs w:val="24"/>
        </w:rPr>
        <w:t>(New Haven: Yale University Press, 2006).</w:t>
      </w:r>
    </w:p>
    <w:p w14:paraId="48E3668A" w14:textId="77777777" w:rsidR="00574E6B" w:rsidRDefault="00574E6B" w:rsidP="00574E6B">
      <w:pPr>
        <w:pStyle w:val="FootnoteText"/>
        <w:spacing w:line="276" w:lineRule="auto"/>
      </w:pPr>
      <w:r>
        <w:rPr>
          <w:sz w:val="24"/>
          <w:szCs w:val="24"/>
        </w:rPr>
        <w:t xml:space="preserve">Duffy, Eamon, </w:t>
      </w:r>
      <w:r w:rsidRPr="0074398F">
        <w:rPr>
          <w:i/>
          <w:iCs/>
          <w:sz w:val="24"/>
          <w:szCs w:val="24"/>
        </w:rPr>
        <w:t xml:space="preserve">The Stripping of the Altars. Traditional Religion in England 1400-1580, </w:t>
      </w:r>
      <w:r>
        <w:rPr>
          <w:sz w:val="24"/>
          <w:szCs w:val="24"/>
        </w:rPr>
        <w:t>(Yale: University Press, (1992).</w:t>
      </w:r>
      <w:r w:rsidRPr="00381490">
        <w:t xml:space="preserve"> </w:t>
      </w:r>
    </w:p>
    <w:p w14:paraId="2A305B5D" w14:textId="77777777" w:rsidR="004461BA" w:rsidRDefault="004461BA" w:rsidP="00574E6B">
      <w:pPr>
        <w:pStyle w:val="FootnoteText"/>
        <w:spacing w:line="276" w:lineRule="auto"/>
      </w:pPr>
    </w:p>
    <w:p w14:paraId="56E18EED" w14:textId="77777777" w:rsidR="00574E6B" w:rsidRPr="00381490" w:rsidRDefault="00574E6B" w:rsidP="00574E6B">
      <w:pPr>
        <w:pStyle w:val="FootnoteText"/>
        <w:spacing w:line="276" w:lineRule="auto"/>
        <w:rPr>
          <w:sz w:val="24"/>
          <w:szCs w:val="24"/>
        </w:rPr>
      </w:pPr>
      <w:r w:rsidRPr="00381490">
        <w:rPr>
          <w:sz w:val="24"/>
          <w:szCs w:val="24"/>
        </w:rPr>
        <w:t xml:space="preserve">Eamon Duffy, ‘A Very Personal Possession’, </w:t>
      </w:r>
      <w:r w:rsidRPr="00381490">
        <w:rPr>
          <w:i/>
          <w:iCs/>
          <w:sz w:val="24"/>
          <w:szCs w:val="24"/>
        </w:rPr>
        <w:t>History Today,</w:t>
      </w:r>
      <w:r w:rsidRPr="00381490">
        <w:rPr>
          <w:sz w:val="24"/>
          <w:szCs w:val="24"/>
        </w:rPr>
        <w:t xml:space="preserve"> 56.11, (2006), 12-18, (p. 12).</w:t>
      </w:r>
    </w:p>
    <w:p w14:paraId="22896A14" w14:textId="77777777" w:rsidR="004461BA" w:rsidRDefault="00574E6B" w:rsidP="00574E6B">
      <w:pPr>
        <w:spacing w:line="276" w:lineRule="auto"/>
        <w:rPr>
          <w:sz w:val="24"/>
          <w:szCs w:val="24"/>
        </w:rPr>
      </w:pPr>
      <w:r w:rsidRPr="0066580E">
        <w:rPr>
          <w:sz w:val="24"/>
          <w:szCs w:val="24"/>
        </w:rPr>
        <w:t xml:space="preserve">Eccleston, </w:t>
      </w:r>
      <w:r>
        <w:rPr>
          <w:sz w:val="24"/>
          <w:szCs w:val="24"/>
        </w:rPr>
        <w:t>Florence, ‘</w:t>
      </w:r>
      <w:r w:rsidRPr="0066580E">
        <w:rPr>
          <w:sz w:val="24"/>
          <w:szCs w:val="24"/>
        </w:rPr>
        <w:t>Introducing Medieval Christianity</w:t>
      </w:r>
      <w:r>
        <w:rPr>
          <w:sz w:val="24"/>
          <w:szCs w:val="24"/>
        </w:rPr>
        <w:t>’</w:t>
      </w:r>
      <w:r w:rsidRPr="0066580E">
        <w:rPr>
          <w:sz w:val="24"/>
          <w:szCs w:val="24"/>
        </w:rPr>
        <w:t xml:space="preserve">, </w:t>
      </w:r>
    </w:p>
    <w:p w14:paraId="26350F4A" w14:textId="47FAC427" w:rsidR="00574E6B" w:rsidRDefault="00000000" w:rsidP="00574E6B">
      <w:pPr>
        <w:spacing w:line="276" w:lineRule="auto"/>
        <w:rPr>
          <w:rStyle w:val="Hyperlink"/>
          <w:sz w:val="24"/>
          <w:szCs w:val="24"/>
        </w:rPr>
      </w:pPr>
      <w:hyperlink r:id="rId8" w:history="1">
        <w:r w:rsidR="004461BA" w:rsidRPr="00F91C42">
          <w:rPr>
            <w:rStyle w:val="Hyperlink"/>
            <w:sz w:val="24"/>
            <w:szCs w:val="24"/>
          </w:rPr>
          <w:t>https://www.introducingmedievalchristianity.wordpree.com/2019/07/08/medieval-annunciation-symbolism/</w:t>
        </w:r>
      </w:hyperlink>
      <w:r w:rsidR="00574E6B">
        <w:rPr>
          <w:rStyle w:val="Hyperlink"/>
          <w:sz w:val="24"/>
          <w:szCs w:val="24"/>
        </w:rPr>
        <w:t xml:space="preserve"> </w:t>
      </w:r>
    </w:p>
    <w:p w14:paraId="5C9840A7" w14:textId="3D84AE9E" w:rsidR="00574E6B" w:rsidRDefault="00574E6B" w:rsidP="00574E6B">
      <w:pPr>
        <w:pStyle w:val="FootnoteText"/>
        <w:spacing w:line="276" w:lineRule="auto"/>
      </w:pPr>
      <w:r w:rsidRPr="006B04A3">
        <w:rPr>
          <w:sz w:val="24"/>
          <w:szCs w:val="24"/>
        </w:rPr>
        <w:t xml:space="preserve">Hoffman, </w:t>
      </w:r>
      <w:r>
        <w:rPr>
          <w:sz w:val="24"/>
          <w:szCs w:val="24"/>
        </w:rPr>
        <w:t xml:space="preserve">Joyce </w:t>
      </w:r>
      <w:r w:rsidRPr="006B04A3">
        <w:rPr>
          <w:sz w:val="24"/>
          <w:szCs w:val="24"/>
        </w:rPr>
        <w:t xml:space="preserve">‘A Closer look at Halos in Medieval and Renaissance Italian Art’, PhD, (Jan 2022), </w:t>
      </w:r>
      <w:proofErr w:type="spellStart"/>
      <w:r w:rsidRPr="006B04A3">
        <w:rPr>
          <w:sz w:val="24"/>
          <w:szCs w:val="24"/>
        </w:rPr>
        <w:t>Uniselinus</w:t>
      </w:r>
      <w:proofErr w:type="spellEnd"/>
      <w:r w:rsidRPr="006B04A3">
        <w:rPr>
          <w:sz w:val="24"/>
          <w:szCs w:val="24"/>
        </w:rPr>
        <w:t xml:space="preserve"> Europe Networking University</w:t>
      </w:r>
      <w:r>
        <w:t>.</w:t>
      </w:r>
    </w:p>
    <w:p w14:paraId="745B7D9C" w14:textId="77777777" w:rsidR="004461BA" w:rsidRDefault="004461BA" w:rsidP="00574E6B">
      <w:pPr>
        <w:pStyle w:val="FootnoteText"/>
        <w:spacing w:line="276" w:lineRule="auto"/>
      </w:pPr>
    </w:p>
    <w:p w14:paraId="57F53E67" w14:textId="77777777" w:rsidR="00574E6B" w:rsidRDefault="00574E6B" w:rsidP="00574E6B">
      <w:pPr>
        <w:spacing w:line="276" w:lineRule="auto"/>
        <w:rPr>
          <w:sz w:val="24"/>
          <w:szCs w:val="24"/>
        </w:rPr>
      </w:pPr>
      <w:r>
        <w:rPr>
          <w:sz w:val="24"/>
          <w:szCs w:val="24"/>
        </w:rPr>
        <w:t xml:space="preserve">Husband, Timothy B., </w:t>
      </w:r>
      <w:r>
        <w:rPr>
          <w:i/>
          <w:iCs/>
          <w:sz w:val="24"/>
          <w:szCs w:val="24"/>
        </w:rPr>
        <w:t xml:space="preserve">The Art of illumination. The </w:t>
      </w:r>
      <w:proofErr w:type="spellStart"/>
      <w:r>
        <w:rPr>
          <w:i/>
          <w:iCs/>
          <w:sz w:val="24"/>
          <w:szCs w:val="24"/>
        </w:rPr>
        <w:t>Limbarg</w:t>
      </w:r>
      <w:proofErr w:type="spellEnd"/>
      <w:r>
        <w:rPr>
          <w:i/>
          <w:iCs/>
          <w:sz w:val="24"/>
          <w:szCs w:val="24"/>
        </w:rPr>
        <w:t xml:space="preserve"> Brothers and the Belles </w:t>
      </w:r>
      <w:proofErr w:type="spellStart"/>
      <w:r>
        <w:rPr>
          <w:i/>
          <w:iCs/>
          <w:sz w:val="24"/>
          <w:szCs w:val="24"/>
        </w:rPr>
        <w:t>Heures</w:t>
      </w:r>
      <w:proofErr w:type="spellEnd"/>
      <w:r>
        <w:rPr>
          <w:i/>
          <w:iCs/>
          <w:sz w:val="24"/>
          <w:szCs w:val="24"/>
        </w:rPr>
        <w:t xml:space="preserve"> of Jean de France, Ducale Berry, </w:t>
      </w:r>
      <w:r>
        <w:rPr>
          <w:sz w:val="24"/>
          <w:szCs w:val="24"/>
        </w:rPr>
        <w:t>(New York: Metropolitan Museum of Art, 2008).</w:t>
      </w:r>
    </w:p>
    <w:p w14:paraId="7667D94B" w14:textId="77777777" w:rsidR="00574E6B" w:rsidRDefault="00574E6B" w:rsidP="00574E6B">
      <w:pPr>
        <w:spacing w:line="276" w:lineRule="auto"/>
        <w:rPr>
          <w:i/>
          <w:iCs/>
          <w:sz w:val="24"/>
          <w:szCs w:val="24"/>
        </w:rPr>
      </w:pPr>
      <w:proofErr w:type="spellStart"/>
      <w:r w:rsidRPr="006B04A3">
        <w:rPr>
          <w:sz w:val="24"/>
          <w:szCs w:val="24"/>
        </w:rPr>
        <w:t>Kwakkel</w:t>
      </w:r>
      <w:proofErr w:type="spellEnd"/>
      <w:r w:rsidRPr="006B04A3">
        <w:rPr>
          <w:sz w:val="24"/>
          <w:szCs w:val="24"/>
        </w:rPr>
        <w:t xml:space="preserve">, </w:t>
      </w:r>
      <w:r>
        <w:rPr>
          <w:sz w:val="24"/>
          <w:szCs w:val="24"/>
        </w:rPr>
        <w:t xml:space="preserve">Eric, </w:t>
      </w:r>
      <w:r w:rsidRPr="006B04A3">
        <w:rPr>
          <w:i/>
          <w:iCs/>
          <w:sz w:val="24"/>
          <w:szCs w:val="24"/>
        </w:rPr>
        <w:t>Books Before Print,</w:t>
      </w:r>
      <w:r w:rsidRPr="006B04A3">
        <w:rPr>
          <w:sz w:val="24"/>
          <w:szCs w:val="24"/>
        </w:rPr>
        <w:t xml:space="preserve"> (Amsterdam: University Press, 2018), p.93 </w:t>
      </w:r>
      <w:hyperlink r:id="rId9" w:history="1">
        <w:r w:rsidRPr="006B04A3">
          <w:rPr>
            <w:rStyle w:val="Hyperlink"/>
            <w:sz w:val="24"/>
            <w:szCs w:val="24"/>
          </w:rPr>
          <w:t>https://doi.org/10.1515/97819424o1636</w:t>
        </w:r>
      </w:hyperlink>
      <w:r w:rsidRPr="006B04A3">
        <w:rPr>
          <w:sz w:val="24"/>
          <w:szCs w:val="24"/>
        </w:rPr>
        <w:t xml:space="preserve"> </w:t>
      </w:r>
    </w:p>
    <w:p w14:paraId="09081753" w14:textId="77777777" w:rsidR="00574E6B" w:rsidRPr="00663519" w:rsidRDefault="00574E6B" w:rsidP="00574E6B">
      <w:pPr>
        <w:spacing w:line="276" w:lineRule="auto"/>
        <w:rPr>
          <w:sz w:val="24"/>
          <w:szCs w:val="24"/>
        </w:rPr>
      </w:pPr>
      <w:r>
        <w:rPr>
          <w:sz w:val="24"/>
          <w:szCs w:val="24"/>
        </w:rPr>
        <w:t xml:space="preserve">Marshall, Peter, </w:t>
      </w:r>
      <w:r>
        <w:rPr>
          <w:i/>
          <w:iCs/>
          <w:sz w:val="24"/>
          <w:szCs w:val="24"/>
        </w:rPr>
        <w:t>Reformation England 1480-1642,</w:t>
      </w:r>
      <w:r>
        <w:rPr>
          <w:sz w:val="24"/>
          <w:szCs w:val="24"/>
        </w:rPr>
        <w:t xml:space="preserve"> (London: Bloomsbury, 2012)</w:t>
      </w:r>
    </w:p>
    <w:p w14:paraId="16736F0C" w14:textId="77777777" w:rsidR="00574E6B" w:rsidRDefault="00574E6B" w:rsidP="00574E6B">
      <w:pPr>
        <w:pStyle w:val="FootnoteText"/>
        <w:spacing w:line="276" w:lineRule="auto"/>
        <w:rPr>
          <w:sz w:val="24"/>
          <w:szCs w:val="24"/>
        </w:rPr>
      </w:pPr>
      <w:r w:rsidRPr="0066580E">
        <w:rPr>
          <w:sz w:val="24"/>
          <w:szCs w:val="24"/>
        </w:rPr>
        <w:t xml:space="preserve">Maunder, </w:t>
      </w:r>
      <w:r>
        <w:rPr>
          <w:sz w:val="24"/>
          <w:szCs w:val="24"/>
        </w:rPr>
        <w:t xml:space="preserve">Chris, </w:t>
      </w:r>
      <w:r w:rsidRPr="0066580E">
        <w:rPr>
          <w:i/>
          <w:iCs/>
          <w:sz w:val="24"/>
          <w:szCs w:val="24"/>
        </w:rPr>
        <w:t>The Oxford Handbook of Mary</w:t>
      </w:r>
      <w:r w:rsidRPr="0066580E">
        <w:rPr>
          <w:sz w:val="24"/>
          <w:szCs w:val="24"/>
        </w:rPr>
        <w:t>, (Oxford: University Press, 2019).</w:t>
      </w:r>
    </w:p>
    <w:p w14:paraId="0534059D" w14:textId="77777777" w:rsidR="004461BA" w:rsidRDefault="004461BA" w:rsidP="00574E6B">
      <w:pPr>
        <w:pStyle w:val="FootnoteText"/>
        <w:spacing w:line="276" w:lineRule="auto"/>
        <w:rPr>
          <w:sz w:val="24"/>
          <w:szCs w:val="24"/>
        </w:rPr>
      </w:pPr>
    </w:p>
    <w:p w14:paraId="6577D30F" w14:textId="77777777" w:rsidR="00574E6B" w:rsidRDefault="00574E6B" w:rsidP="00574E6B">
      <w:pPr>
        <w:spacing w:line="276" w:lineRule="auto"/>
      </w:pPr>
      <w:r w:rsidRPr="006B04A3">
        <w:rPr>
          <w:sz w:val="24"/>
          <w:szCs w:val="24"/>
        </w:rPr>
        <w:t xml:space="preserve">Miles, </w:t>
      </w:r>
      <w:r>
        <w:rPr>
          <w:sz w:val="24"/>
          <w:szCs w:val="24"/>
        </w:rPr>
        <w:t xml:space="preserve">Laura S. </w:t>
      </w:r>
      <w:r w:rsidRPr="006B04A3">
        <w:rPr>
          <w:i/>
          <w:iCs/>
          <w:sz w:val="24"/>
          <w:szCs w:val="24"/>
        </w:rPr>
        <w:t xml:space="preserve">The Virgin Mary’s Book, </w:t>
      </w:r>
      <w:r w:rsidRPr="006B04A3">
        <w:rPr>
          <w:sz w:val="24"/>
          <w:szCs w:val="24"/>
        </w:rPr>
        <w:t>(UK: Boydell &amp; Brewer,2020), p.1.</w:t>
      </w:r>
      <w:r w:rsidRPr="006B04A3">
        <w:t xml:space="preserve"> </w:t>
      </w:r>
    </w:p>
    <w:p w14:paraId="40E8CD07" w14:textId="77777777" w:rsidR="00574E6B" w:rsidRPr="0066580E" w:rsidRDefault="00574E6B" w:rsidP="00574E6B">
      <w:pPr>
        <w:pStyle w:val="FootnoteText"/>
        <w:spacing w:line="276" w:lineRule="auto"/>
        <w:rPr>
          <w:sz w:val="24"/>
          <w:szCs w:val="24"/>
        </w:rPr>
      </w:pPr>
      <w:r>
        <w:rPr>
          <w:sz w:val="24"/>
          <w:szCs w:val="24"/>
        </w:rPr>
        <w:t xml:space="preserve">Morter, </w:t>
      </w:r>
      <w:r w:rsidRPr="0066580E">
        <w:rPr>
          <w:sz w:val="24"/>
          <w:szCs w:val="24"/>
        </w:rPr>
        <w:t>Revd Canon Ia</w:t>
      </w:r>
      <w:r>
        <w:rPr>
          <w:sz w:val="24"/>
          <w:szCs w:val="24"/>
        </w:rPr>
        <w:t>n</w:t>
      </w:r>
      <w:r w:rsidRPr="0066580E">
        <w:rPr>
          <w:sz w:val="24"/>
          <w:szCs w:val="24"/>
        </w:rPr>
        <w:t xml:space="preserve">, The Annunciation by Henry Ossawa Tanner (1859-1937) </w:t>
      </w:r>
      <w:hyperlink r:id="rId10" w:history="1">
        <w:r w:rsidRPr="0066580E">
          <w:rPr>
            <w:rStyle w:val="Hyperlink"/>
            <w:sz w:val="24"/>
            <w:szCs w:val="24"/>
          </w:rPr>
          <w:t>https://exeter-catherdral.org.uk</w:t>
        </w:r>
      </w:hyperlink>
      <w:r w:rsidRPr="0066580E">
        <w:rPr>
          <w:sz w:val="24"/>
          <w:szCs w:val="24"/>
        </w:rPr>
        <w:t>.</w:t>
      </w:r>
    </w:p>
    <w:p w14:paraId="3E0E5292" w14:textId="77777777" w:rsidR="00574E6B" w:rsidRDefault="00574E6B" w:rsidP="00574E6B">
      <w:pPr>
        <w:pStyle w:val="FootnoteText"/>
        <w:spacing w:line="276" w:lineRule="auto"/>
        <w:rPr>
          <w:sz w:val="24"/>
          <w:szCs w:val="24"/>
        </w:rPr>
      </w:pPr>
      <w:r w:rsidRPr="00381490">
        <w:rPr>
          <w:sz w:val="24"/>
          <w:szCs w:val="24"/>
        </w:rPr>
        <w:lastRenderedPageBreak/>
        <w:t xml:space="preserve">Sarabella, </w:t>
      </w:r>
      <w:r>
        <w:rPr>
          <w:sz w:val="24"/>
          <w:szCs w:val="24"/>
        </w:rPr>
        <w:t xml:space="preserve">Jean, </w:t>
      </w:r>
      <w:r w:rsidRPr="00381490">
        <w:rPr>
          <w:i/>
          <w:iCs/>
          <w:sz w:val="24"/>
          <w:szCs w:val="24"/>
        </w:rPr>
        <w:t>Painting the Life of Christ in Medieval and Renaissance Italy,</w:t>
      </w:r>
      <w:r w:rsidRPr="00381490">
        <w:rPr>
          <w:sz w:val="24"/>
          <w:szCs w:val="24"/>
        </w:rPr>
        <w:t xml:space="preserve"> Heilbrumm Timeline of Art History, (2008), </w:t>
      </w:r>
      <w:hyperlink r:id="rId11" w:history="1">
        <w:r w:rsidRPr="00381490">
          <w:rPr>
            <w:rStyle w:val="Hyperlink"/>
            <w:sz w:val="24"/>
            <w:szCs w:val="24"/>
          </w:rPr>
          <w:t>https://www.metmuseum.org/toah/hd/chri/hd</w:t>
        </w:r>
      </w:hyperlink>
      <w:r w:rsidRPr="00381490">
        <w:rPr>
          <w:sz w:val="24"/>
          <w:szCs w:val="24"/>
        </w:rPr>
        <w:t xml:space="preserve"> </w:t>
      </w:r>
    </w:p>
    <w:p w14:paraId="0E800882" w14:textId="77777777" w:rsidR="004461BA" w:rsidRDefault="004461BA" w:rsidP="00574E6B">
      <w:pPr>
        <w:pStyle w:val="FootnoteText"/>
        <w:spacing w:line="276" w:lineRule="auto"/>
        <w:rPr>
          <w:sz w:val="24"/>
          <w:szCs w:val="24"/>
        </w:rPr>
      </w:pPr>
    </w:p>
    <w:p w14:paraId="46827A63" w14:textId="77777777" w:rsidR="00574E6B" w:rsidRDefault="00574E6B" w:rsidP="00574E6B">
      <w:pPr>
        <w:spacing w:line="276" w:lineRule="auto"/>
        <w:rPr>
          <w:sz w:val="24"/>
          <w:szCs w:val="24"/>
        </w:rPr>
      </w:pPr>
      <w:r>
        <w:rPr>
          <w:sz w:val="24"/>
          <w:szCs w:val="24"/>
        </w:rPr>
        <w:t xml:space="preserve">Stein, Wendy, A., “The Book of Hours. A Medieval Best Seller”, in </w:t>
      </w:r>
      <w:r>
        <w:rPr>
          <w:i/>
          <w:iCs/>
          <w:sz w:val="24"/>
          <w:szCs w:val="24"/>
        </w:rPr>
        <w:t xml:space="preserve">Heilbrunn Timeline of Art History, </w:t>
      </w:r>
      <w:r>
        <w:rPr>
          <w:sz w:val="24"/>
          <w:szCs w:val="24"/>
        </w:rPr>
        <w:t>(New York: The Metropolitan Museum of Art, 2000).</w:t>
      </w:r>
    </w:p>
    <w:p w14:paraId="169E0F85" w14:textId="77777777" w:rsidR="00574E6B" w:rsidRDefault="00574E6B" w:rsidP="00574E6B">
      <w:pPr>
        <w:pStyle w:val="FootnoteText"/>
        <w:spacing w:line="276" w:lineRule="auto"/>
        <w:rPr>
          <w:sz w:val="24"/>
          <w:szCs w:val="24"/>
        </w:rPr>
      </w:pPr>
      <w:r w:rsidRPr="00574E6B">
        <w:rPr>
          <w:sz w:val="24"/>
          <w:szCs w:val="24"/>
        </w:rPr>
        <w:t>The Fitzwilliam Museum, ‘Jean Bourdichon’</w:t>
      </w:r>
      <w:r>
        <w:t xml:space="preserve">, </w:t>
      </w:r>
      <w:hyperlink r:id="rId12" w:history="1">
        <w:r w:rsidRPr="004461BA">
          <w:rPr>
            <w:rStyle w:val="Hyperlink"/>
            <w:sz w:val="24"/>
            <w:szCs w:val="24"/>
          </w:rPr>
          <w:t>https://fitzmuseum.cam.ac.uk</w:t>
        </w:r>
      </w:hyperlink>
      <w:r w:rsidRPr="004461BA">
        <w:rPr>
          <w:sz w:val="24"/>
          <w:szCs w:val="24"/>
        </w:rPr>
        <w:t xml:space="preserve"> n.d. [accessed 11 December 2023].</w:t>
      </w:r>
    </w:p>
    <w:p w14:paraId="2405CD9B" w14:textId="77777777" w:rsidR="004461BA" w:rsidRPr="004461BA" w:rsidRDefault="004461BA" w:rsidP="00574E6B">
      <w:pPr>
        <w:pStyle w:val="FootnoteText"/>
        <w:spacing w:line="276" w:lineRule="auto"/>
        <w:rPr>
          <w:sz w:val="24"/>
          <w:szCs w:val="24"/>
        </w:rPr>
      </w:pPr>
    </w:p>
    <w:p w14:paraId="48C615D7" w14:textId="77777777" w:rsidR="00574E6B" w:rsidRDefault="00574E6B" w:rsidP="00574E6B">
      <w:pPr>
        <w:pStyle w:val="FootnoteText"/>
        <w:spacing w:line="276" w:lineRule="auto"/>
        <w:rPr>
          <w:sz w:val="24"/>
          <w:szCs w:val="24"/>
        </w:rPr>
      </w:pPr>
      <w:proofErr w:type="spellStart"/>
      <w:r w:rsidRPr="00381490">
        <w:rPr>
          <w:sz w:val="24"/>
          <w:szCs w:val="24"/>
        </w:rPr>
        <w:t>Trentleman</w:t>
      </w:r>
      <w:proofErr w:type="spellEnd"/>
      <w:r>
        <w:rPr>
          <w:sz w:val="24"/>
          <w:szCs w:val="24"/>
        </w:rPr>
        <w:t>, Karen</w:t>
      </w:r>
      <w:r w:rsidRPr="00381490">
        <w:rPr>
          <w:sz w:val="24"/>
          <w:szCs w:val="24"/>
        </w:rPr>
        <w:t xml:space="preserve"> and Nancy Turner, ‘Investigation of the painting materials and techniques of the late fifteenth century illuminator Jean Bourdichon’, </w:t>
      </w:r>
      <w:r w:rsidRPr="00381490">
        <w:rPr>
          <w:i/>
          <w:iCs/>
          <w:sz w:val="24"/>
          <w:szCs w:val="24"/>
        </w:rPr>
        <w:t>Journal of Raman Spectroscopy,</w:t>
      </w:r>
      <w:r w:rsidRPr="00381490">
        <w:rPr>
          <w:sz w:val="24"/>
          <w:szCs w:val="24"/>
        </w:rPr>
        <w:t xml:space="preserve"> (2009), 40.5, 577-584, (p585), (www.interscience.wiley.com) DOI 10.1002/jrs.2186</w:t>
      </w:r>
    </w:p>
    <w:p w14:paraId="5507283F" w14:textId="77777777" w:rsidR="004461BA" w:rsidRDefault="004461BA" w:rsidP="00574E6B">
      <w:pPr>
        <w:pStyle w:val="FootnoteText"/>
        <w:spacing w:line="276" w:lineRule="auto"/>
        <w:rPr>
          <w:sz w:val="24"/>
          <w:szCs w:val="24"/>
        </w:rPr>
      </w:pPr>
    </w:p>
    <w:p w14:paraId="7240BF9B" w14:textId="6FCB30AE" w:rsidR="00574E6B" w:rsidRDefault="00574E6B" w:rsidP="00574E6B">
      <w:pPr>
        <w:pStyle w:val="FootnoteText"/>
        <w:spacing w:line="276" w:lineRule="auto"/>
        <w:rPr>
          <w:sz w:val="24"/>
          <w:szCs w:val="24"/>
        </w:rPr>
      </w:pPr>
      <w:r w:rsidRPr="0066580E">
        <w:rPr>
          <w:sz w:val="24"/>
          <w:szCs w:val="24"/>
        </w:rPr>
        <w:t xml:space="preserve">Van </w:t>
      </w:r>
      <w:r w:rsidR="00EB21A6">
        <w:rPr>
          <w:sz w:val="24"/>
          <w:szCs w:val="24"/>
        </w:rPr>
        <w:t>E</w:t>
      </w:r>
      <w:r w:rsidRPr="0066580E">
        <w:rPr>
          <w:sz w:val="24"/>
          <w:szCs w:val="24"/>
        </w:rPr>
        <w:t xml:space="preserve">yck, Jan, </w:t>
      </w:r>
      <w:r w:rsidRPr="0066580E">
        <w:rPr>
          <w:i/>
          <w:iCs/>
          <w:sz w:val="24"/>
          <w:szCs w:val="24"/>
        </w:rPr>
        <w:t>The Annunciation.</w:t>
      </w:r>
      <w:r w:rsidRPr="0066580E">
        <w:rPr>
          <w:sz w:val="24"/>
          <w:szCs w:val="24"/>
        </w:rPr>
        <w:t xml:space="preserve"> (National Gallery of Art, 1985).</w:t>
      </w:r>
    </w:p>
    <w:p w14:paraId="23082AE5" w14:textId="77777777" w:rsidR="004461BA" w:rsidRDefault="004461BA" w:rsidP="00574E6B">
      <w:pPr>
        <w:pStyle w:val="FootnoteText"/>
        <w:spacing w:line="276" w:lineRule="auto"/>
        <w:rPr>
          <w:sz w:val="24"/>
          <w:szCs w:val="24"/>
        </w:rPr>
      </w:pPr>
    </w:p>
    <w:p w14:paraId="390389BB" w14:textId="77777777" w:rsidR="00574E6B" w:rsidRDefault="00574E6B" w:rsidP="00574E6B">
      <w:pPr>
        <w:spacing w:line="276" w:lineRule="auto"/>
        <w:rPr>
          <w:sz w:val="24"/>
          <w:szCs w:val="24"/>
        </w:rPr>
      </w:pPr>
      <w:r>
        <w:rPr>
          <w:sz w:val="24"/>
          <w:szCs w:val="24"/>
        </w:rPr>
        <w:t>Wackett, Jayne, Dr, (2017), &lt;</w:t>
      </w:r>
      <w:hyperlink r:id="rId13" w:history="1">
        <w:r w:rsidRPr="004A029B">
          <w:rPr>
            <w:rStyle w:val="Hyperlink"/>
            <w:sz w:val="24"/>
            <w:szCs w:val="24"/>
          </w:rPr>
          <w:t>https://rochestercathedral.org/research/book-of-hours</w:t>
        </w:r>
      </w:hyperlink>
      <w:r>
        <w:rPr>
          <w:sz w:val="24"/>
          <w:szCs w:val="24"/>
        </w:rPr>
        <w:t xml:space="preserve"> &gt; [accessed 2 December 2023]. </w:t>
      </w:r>
    </w:p>
    <w:p w14:paraId="57C79E7A" w14:textId="54EF3048" w:rsidR="00574E6B" w:rsidRDefault="00574E6B" w:rsidP="00574E6B">
      <w:pPr>
        <w:pStyle w:val="FootnoteText"/>
        <w:spacing w:line="276" w:lineRule="auto"/>
      </w:pPr>
      <w:r w:rsidRPr="006B04A3">
        <w:rPr>
          <w:sz w:val="24"/>
          <w:szCs w:val="24"/>
        </w:rPr>
        <w:t xml:space="preserve">Wieck, </w:t>
      </w:r>
      <w:r>
        <w:rPr>
          <w:sz w:val="24"/>
          <w:szCs w:val="24"/>
        </w:rPr>
        <w:t xml:space="preserve">Roger S. </w:t>
      </w:r>
      <w:r w:rsidRPr="006B04A3">
        <w:rPr>
          <w:sz w:val="24"/>
          <w:szCs w:val="24"/>
        </w:rPr>
        <w:t xml:space="preserve">Chapter 15 Prayer for the People: The Book of Hours, </w:t>
      </w:r>
      <w:r w:rsidRPr="006B04A3">
        <w:rPr>
          <w:i/>
          <w:iCs/>
          <w:sz w:val="24"/>
          <w:szCs w:val="24"/>
        </w:rPr>
        <w:t xml:space="preserve">A History of Prayer, </w:t>
      </w:r>
      <w:r w:rsidRPr="006B04A3">
        <w:rPr>
          <w:sz w:val="24"/>
          <w:szCs w:val="24"/>
        </w:rPr>
        <w:t>(Leiden: Brill, 2008), https//doi.org/10.1163/ej.9789004171220.i-460.87</w:t>
      </w:r>
    </w:p>
    <w:p w14:paraId="5429C0B3" w14:textId="77777777" w:rsidR="004461BA" w:rsidRPr="00B96361" w:rsidRDefault="004461BA" w:rsidP="00574E6B">
      <w:pPr>
        <w:pStyle w:val="FootnoteText"/>
        <w:spacing w:line="276" w:lineRule="auto"/>
      </w:pPr>
    </w:p>
    <w:p w14:paraId="20179C78" w14:textId="77777777" w:rsidR="00574E6B" w:rsidRDefault="00574E6B" w:rsidP="00574E6B">
      <w:pPr>
        <w:spacing w:line="276" w:lineRule="auto"/>
        <w:rPr>
          <w:sz w:val="24"/>
          <w:szCs w:val="24"/>
        </w:rPr>
      </w:pPr>
      <w:r>
        <w:rPr>
          <w:sz w:val="24"/>
          <w:szCs w:val="24"/>
        </w:rPr>
        <w:t xml:space="preserve">Wieck, Roger, </w:t>
      </w:r>
      <w:r>
        <w:rPr>
          <w:i/>
          <w:iCs/>
          <w:sz w:val="24"/>
          <w:szCs w:val="24"/>
        </w:rPr>
        <w:t xml:space="preserve">Painted Prayers. The book of Hours in Medieval and Renaissance Art, </w:t>
      </w:r>
      <w:r>
        <w:rPr>
          <w:sz w:val="24"/>
          <w:szCs w:val="24"/>
        </w:rPr>
        <w:t>(New York: George Braziller, 2004).</w:t>
      </w:r>
    </w:p>
    <w:p w14:paraId="44DA5B85" w14:textId="77777777" w:rsidR="00574E6B" w:rsidRDefault="00574E6B" w:rsidP="00574E6B">
      <w:pPr>
        <w:spacing w:line="276" w:lineRule="auto"/>
        <w:rPr>
          <w:sz w:val="24"/>
          <w:szCs w:val="24"/>
        </w:rPr>
      </w:pPr>
      <w:r>
        <w:rPr>
          <w:sz w:val="24"/>
          <w:szCs w:val="24"/>
        </w:rPr>
        <w:t xml:space="preserve">Wieck, Roger, </w:t>
      </w:r>
      <w:r>
        <w:rPr>
          <w:i/>
          <w:iCs/>
          <w:sz w:val="24"/>
          <w:szCs w:val="24"/>
        </w:rPr>
        <w:t xml:space="preserve">Time Sanctified: The Book of Hours in Medieval Art and Life, </w:t>
      </w:r>
      <w:r>
        <w:rPr>
          <w:sz w:val="24"/>
          <w:szCs w:val="24"/>
        </w:rPr>
        <w:t>(New York: George Braziller, 1988).</w:t>
      </w:r>
    </w:p>
    <w:p w14:paraId="07F5D270" w14:textId="77777777" w:rsidR="00574E6B" w:rsidRDefault="00574E6B" w:rsidP="00574E6B">
      <w:pPr>
        <w:spacing w:line="276" w:lineRule="auto"/>
        <w:rPr>
          <w:rStyle w:val="Hyperlink"/>
          <w:sz w:val="24"/>
          <w:szCs w:val="24"/>
        </w:rPr>
      </w:pPr>
      <w:r w:rsidRPr="0066580E">
        <w:rPr>
          <w:sz w:val="24"/>
          <w:szCs w:val="24"/>
        </w:rPr>
        <w:t xml:space="preserve">Wilson, </w:t>
      </w:r>
      <w:r>
        <w:rPr>
          <w:sz w:val="24"/>
          <w:szCs w:val="24"/>
        </w:rPr>
        <w:t>Matthew ‘</w:t>
      </w:r>
      <w:r w:rsidRPr="0066580E">
        <w:rPr>
          <w:sz w:val="24"/>
          <w:szCs w:val="24"/>
        </w:rPr>
        <w:t>The Halo: A symbol that spread around the world</w:t>
      </w:r>
      <w:r>
        <w:rPr>
          <w:sz w:val="24"/>
          <w:szCs w:val="24"/>
        </w:rPr>
        <w:t>’</w:t>
      </w:r>
      <w:r w:rsidRPr="0066580E">
        <w:rPr>
          <w:sz w:val="24"/>
          <w:szCs w:val="24"/>
        </w:rPr>
        <w:t xml:space="preserve">, (24 June 2021) </w:t>
      </w:r>
      <w:hyperlink r:id="rId14" w:history="1">
        <w:r w:rsidRPr="0066580E">
          <w:rPr>
            <w:rStyle w:val="Hyperlink"/>
            <w:sz w:val="24"/>
            <w:szCs w:val="24"/>
          </w:rPr>
          <w:t>https://bbc.com/culture/article/20210623-the-halo-a-symbol-that-spread-around-the-world</w:t>
        </w:r>
      </w:hyperlink>
    </w:p>
    <w:p w14:paraId="07ACCFE2" w14:textId="0BAFC2DC" w:rsidR="0032156B" w:rsidRDefault="0032156B">
      <w:pPr>
        <w:rPr>
          <w:rStyle w:val="Hyperlink"/>
          <w:sz w:val="24"/>
          <w:szCs w:val="24"/>
        </w:rPr>
      </w:pPr>
      <w:r>
        <w:rPr>
          <w:rStyle w:val="Hyperlink"/>
          <w:sz w:val="24"/>
          <w:szCs w:val="24"/>
        </w:rPr>
        <w:br w:type="page"/>
      </w:r>
    </w:p>
    <w:p w14:paraId="70D31669" w14:textId="7F8BFC4A" w:rsidR="0032156B" w:rsidRDefault="0032156B" w:rsidP="00574E6B">
      <w:pPr>
        <w:spacing w:line="276" w:lineRule="auto"/>
        <w:rPr>
          <w:sz w:val="24"/>
          <w:szCs w:val="24"/>
        </w:rPr>
      </w:pPr>
      <w:r>
        <w:rPr>
          <w:rFonts w:ascii="Proxima Nova" w:eastAsia="Times New Roman" w:hAnsi="Proxima Nova"/>
          <w:noProof/>
          <w:lang w:val="en-US"/>
        </w:rPr>
        <w:lastRenderedPageBreak/>
        <w:drawing>
          <wp:inline distT="0" distB="0" distL="0" distR="0" wp14:anchorId="385AA6D5" wp14:editId="08BF0E47">
            <wp:extent cx="3314700" cy="4762500"/>
            <wp:effectExtent l="0" t="0" r="0" b="0"/>
            <wp:docPr id="2" name="Picture 2" descr="Hours of Henry VII - caption: 'The Virgin Mary receiving the Annunciation. A book with gold clasps lies open on her lap' | by The British Libr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ours of Henry VII - caption: 'The Virgin Mary receiving the Annunciation. A book with gold clasps lies open on her lap' | by The British Library"/>
                    <pic:cNvPicPr>
                      <a:picLocks noChangeAspect="1" noChangeArrowheads="1"/>
                    </pic:cNvPicPr>
                  </pic:nvPicPr>
                  <pic:blipFill>
                    <a:blip r:link="rId15">
                      <a:extLst>
                        <a:ext uri="{28A0092B-C50C-407E-A947-70E740481C1C}">
                          <a14:useLocalDpi xmlns:a14="http://schemas.microsoft.com/office/drawing/2010/main" val="0"/>
                        </a:ext>
                      </a:extLst>
                    </a:blip>
                    <a:srcRect/>
                    <a:stretch>
                      <a:fillRect/>
                    </a:stretch>
                  </pic:blipFill>
                  <pic:spPr bwMode="auto">
                    <a:xfrm>
                      <a:off x="0" y="0"/>
                      <a:ext cx="3314700" cy="4762500"/>
                    </a:xfrm>
                    <a:prstGeom prst="rect">
                      <a:avLst/>
                    </a:prstGeom>
                    <a:noFill/>
                    <a:ln>
                      <a:noFill/>
                    </a:ln>
                  </pic:spPr>
                </pic:pic>
              </a:graphicData>
            </a:graphic>
          </wp:inline>
        </w:drawing>
      </w:r>
    </w:p>
    <w:p w14:paraId="32970110" w14:textId="665D1CE1" w:rsidR="0032156B" w:rsidRPr="0032156B" w:rsidRDefault="0032156B" w:rsidP="00574E6B">
      <w:pPr>
        <w:spacing w:line="276" w:lineRule="auto"/>
        <w:rPr>
          <w:sz w:val="24"/>
          <w:szCs w:val="24"/>
        </w:rPr>
      </w:pPr>
      <w:r>
        <w:rPr>
          <w:sz w:val="24"/>
          <w:szCs w:val="24"/>
        </w:rPr>
        <w:t xml:space="preserve">Hours of Henry VII: </w:t>
      </w:r>
      <w:r>
        <w:rPr>
          <w:i/>
          <w:iCs/>
          <w:sz w:val="24"/>
          <w:szCs w:val="24"/>
        </w:rPr>
        <w:t xml:space="preserve">the Virgin receiving the Annunciation. </w:t>
      </w:r>
      <w:r w:rsidRPr="0032156B">
        <w:rPr>
          <w:sz w:val="24"/>
          <w:szCs w:val="24"/>
        </w:rPr>
        <w:t>France (Tour</w:t>
      </w:r>
      <w:r>
        <w:rPr>
          <w:sz w:val="24"/>
          <w:szCs w:val="24"/>
        </w:rPr>
        <w:t>s). Additional MS 35254 V.</w:t>
      </w:r>
    </w:p>
    <w:sectPr w:rsidR="0032156B" w:rsidRPr="0032156B" w:rsidSect="001D651D">
      <w:headerReference w:type="default" r:id="rId16"/>
      <w:footerReference w:type="default" r:id="rId17"/>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E07A98" w14:textId="77777777" w:rsidR="00457F63" w:rsidRDefault="00457F63" w:rsidP="006D1B7E">
      <w:pPr>
        <w:spacing w:after="0" w:line="240" w:lineRule="auto"/>
      </w:pPr>
      <w:r>
        <w:separator/>
      </w:r>
    </w:p>
  </w:endnote>
  <w:endnote w:type="continuationSeparator" w:id="0">
    <w:p w14:paraId="054D50C5" w14:textId="77777777" w:rsidR="00457F63" w:rsidRDefault="00457F63" w:rsidP="006D1B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egfont">
    <w:altName w:val="Cambria"/>
    <w:panose1 w:val="00000000000000000000"/>
    <w:charset w:val="00"/>
    <w:family w:val="roman"/>
    <w:notTrueType/>
    <w:pitch w:val="default"/>
  </w:font>
  <w:font w:name="Proxima Nova">
    <w:altName w:val="Tahoma"/>
    <w:charset w:val="00"/>
    <w:family w:val="auto"/>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7978166"/>
      <w:docPartObj>
        <w:docPartGallery w:val="Page Numbers (Bottom of Page)"/>
        <w:docPartUnique/>
      </w:docPartObj>
    </w:sdtPr>
    <w:sdtEndPr>
      <w:rPr>
        <w:noProof/>
      </w:rPr>
    </w:sdtEndPr>
    <w:sdtContent>
      <w:p w14:paraId="150571DB" w14:textId="138EF7D9" w:rsidR="00887686" w:rsidRDefault="0088768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9652EC" w14:textId="77777777" w:rsidR="00887686" w:rsidRDefault="008876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66B836" w14:textId="77777777" w:rsidR="00457F63" w:rsidRDefault="00457F63" w:rsidP="006D1B7E">
      <w:pPr>
        <w:spacing w:after="0" w:line="240" w:lineRule="auto"/>
      </w:pPr>
      <w:r>
        <w:separator/>
      </w:r>
    </w:p>
  </w:footnote>
  <w:footnote w:type="continuationSeparator" w:id="0">
    <w:p w14:paraId="176B9A44" w14:textId="77777777" w:rsidR="00457F63" w:rsidRDefault="00457F63" w:rsidP="006D1B7E">
      <w:pPr>
        <w:spacing w:after="0" w:line="240" w:lineRule="auto"/>
      </w:pPr>
      <w:r>
        <w:continuationSeparator/>
      </w:r>
    </w:p>
  </w:footnote>
  <w:footnote w:id="1">
    <w:p w14:paraId="4F6DA57D" w14:textId="2C66DC14" w:rsidR="004745BC" w:rsidRDefault="004745BC">
      <w:pPr>
        <w:pStyle w:val="FootnoteText"/>
      </w:pPr>
      <w:r>
        <w:rPr>
          <w:rStyle w:val="FootnoteReference"/>
        </w:rPr>
        <w:footnoteRef/>
      </w:r>
      <w:r>
        <w:t xml:space="preserve"> Janet Backhouse</w:t>
      </w:r>
      <w:r w:rsidR="00211DBF">
        <w:t xml:space="preserve">, </w:t>
      </w:r>
      <w:r w:rsidR="00211DBF">
        <w:rPr>
          <w:i/>
          <w:iCs/>
        </w:rPr>
        <w:t xml:space="preserve">The Illuminated Manuscript, </w:t>
      </w:r>
      <w:r w:rsidR="00211DBF" w:rsidRPr="00211DBF">
        <w:t>4</w:t>
      </w:r>
      <w:r w:rsidR="00211DBF" w:rsidRPr="00211DBF">
        <w:rPr>
          <w:vertAlign w:val="superscript"/>
        </w:rPr>
        <w:t>th</w:t>
      </w:r>
      <w:r w:rsidR="00211DBF" w:rsidRPr="00211DBF">
        <w:t xml:space="preserve"> edn</w:t>
      </w:r>
      <w:r w:rsidR="00211DBF">
        <w:t xml:space="preserve"> (London: Phaidon Press, 1998), </w:t>
      </w:r>
      <w:r>
        <w:t>p.74</w:t>
      </w:r>
      <w:r w:rsidR="00211DBF">
        <w:t>.</w:t>
      </w:r>
    </w:p>
  </w:footnote>
  <w:footnote w:id="2">
    <w:p w14:paraId="6E1CD3FD" w14:textId="78FF0489" w:rsidR="00912D71" w:rsidRPr="00B6070B" w:rsidRDefault="00912D71" w:rsidP="00912D71">
      <w:pPr>
        <w:pStyle w:val="FootnoteText"/>
      </w:pPr>
      <w:r>
        <w:rPr>
          <w:rStyle w:val="FootnoteReference"/>
        </w:rPr>
        <w:footnoteRef/>
      </w:r>
      <w:r>
        <w:t xml:space="preserve"> </w:t>
      </w:r>
      <w:r w:rsidR="009F0961">
        <w:t xml:space="preserve">Janet </w:t>
      </w:r>
      <w:r>
        <w:t xml:space="preserve">Backhouse, ‘Bourdichon’s Hours of Henry VII’, </w:t>
      </w:r>
      <w:r>
        <w:rPr>
          <w:i/>
          <w:iCs/>
        </w:rPr>
        <w:t xml:space="preserve">The British Museum quarterly, </w:t>
      </w:r>
      <w:r>
        <w:t>37.3 (1973), 95-102</w:t>
      </w:r>
      <w:r w:rsidR="00211DBF">
        <w:t>,</w:t>
      </w:r>
      <w:r>
        <w:t xml:space="preserve"> (</w:t>
      </w:r>
      <w:r w:rsidR="007B3062">
        <w:t xml:space="preserve">p. </w:t>
      </w:r>
      <w:r>
        <w:t>2).</w:t>
      </w:r>
    </w:p>
  </w:footnote>
  <w:footnote w:id="3">
    <w:p w14:paraId="2165818B" w14:textId="7402948B" w:rsidR="007E6D37" w:rsidRDefault="007E6D37" w:rsidP="007E6D37">
      <w:pPr>
        <w:pStyle w:val="FootnoteText"/>
      </w:pPr>
      <w:r>
        <w:rPr>
          <w:rStyle w:val="FootnoteReference"/>
        </w:rPr>
        <w:footnoteRef/>
      </w:r>
      <w:r>
        <w:t xml:space="preserve"> </w:t>
      </w:r>
      <w:r w:rsidR="009F0961">
        <w:t>&lt;</w:t>
      </w:r>
      <w:hyperlink r:id="rId1" w:history="1">
        <w:r w:rsidR="009F0961" w:rsidRPr="00FC6CE5">
          <w:rPr>
            <w:rStyle w:val="Hyperlink"/>
          </w:rPr>
          <w:t>https://fitzwilliam.cam.ac.uk/illuminated/manuscripts/discover/leaves-from-the-hours-of-charles-de-martigny</w:t>
        </w:r>
      </w:hyperlink>
      <w:r w:rsidR="007B3062">
        <w:rPr>
          <w:rStyle w:val="Hyperlink"/>
        </w:rPr>
        <w:t>&gt;</w:t>
      </w:r>
      <w:r w:rsidR="009F0961">
        <w:rPr>
          <w:rStyle w:val="Hyperlink"/>
        </w:rPr>
        <w:t xml:space="preserve"> </w:t>
      </w:r>
      <w:r>
        <w:t>[accessed 3 December 2023].</w:t>
      </w:r>
    </w:p>
  </w:footnote>
  <w:footnote w:id="4">
    <w:p w14:paraId="6B89A6BF" w14:textId="66ADC6D0" w:rsidR="005B6EA1" w:rsidRDefault="005B6EA1" w:rsidP="005B6EA1">
      <w:pPr>
        <w:pStyle w:val="FootnoteText"/>
      </w:pPr>
      <w:r>
        <w:rPr>
          <w:rStyle w:val="FootnoteReference"/>
        </w:rPr>
        <w:footnoteRef/>
      </w:r>
      <w:r>
        <w:t xml:space="preserve"> Ibid</w:t>
      </w:r>
      <w:r w:rsidR="004578BD">
        <w:t>.</w:t>
      </w:r>
    </w:p>
  </w:footnote>
  <w:footnote w:id="5">
    <w:p w14:paraId="5671F167" w14:textId="1B46B4D9" w:rsidR="00644832" w:rsidRDefault="00644832" w:rsidP="00644832">
      <w:pPr>
        <w:pStyle w:val="FootnoteText"/>
      </w:pPr>
      <w:r>
        <w:rPr>
          <w:rStyle w:val="FootnoteReference"/>
        </w:rPr>
        <w:footnoteRef/>
      </w:r>
      <w:r>
        <w:t xml:space="preserve"> Ibid</w:t>
      </w:r>
      <w:r w:rsidR="004578BD">
        <w:t>.</w:t>
      </w:r>
    </w:p>
  </w:footnote>
  <w:footnote w:id="6">
    <w:p w14:paraId="6C46E025" w14:textId="06C55E60" w:rsidR="00644832" w:rsidRPr="006F5B19" w:rsidRDefault="00644832" w:rsidP="00644832">
      <w:pPr>
        <w:pStyle w:val="FootnoteText"/>
      </w:pPr>
      <w:r>
        <w:rPr>
          <w:rStyle w:val="FootnoteReference"/>
        </w:rPr>
        <w:footnoteRef/>
      </w:r>
      <w:r>
        <w:t xml:space="preserve"> </w:t>
      </w:r>
      <w:bookmarkStart w:id="0" w:name="_Hlk153168325"/>
      <w:r>
        <w:t xml:space="preserve">Karen Trentleman and Nancy Turner, ‘Investigation of the painting materials and techniques of the late fifteenth century illuminator Jean Bourdichon’, </w:t>
      </w:r>
      <w:r>
        <w:rPr>
          <w:i/>
          <w:iCs/>
        </w:rPr>
        <w:t>Journal of Raman Spectroscopy,</w:t>
      </w:r>
      <w:r>
        <w:t xml:space="preserve"> (2009), 40.5</w:t>
      </w:r>
      <w:r w:rsidR="004578BD">
        <w:t xml:space="preserve">, </w:t>
      </w:r>
      <w:r>
        <w:t>577-584,</w:t>
      </w:r>
      <w:r w:rsidRPr="006F5B19">
        <w:t xml:space="preserve"> </w:t>
      </w:r>
      <w:r w:rsidR="004578BD">
        <w:t xml:space="preserve">(p585), </w:t>
      </w:r>
      <w:hyperlink r:id="rId2" w:history="1">
        <w:r w:rsidR="00A377BB" w:rsidRPr="00F91C42">
          <w:rPr>
            <w:rStyle w:val="Hyperlink"/>
          </w:rPr>
          <w:t>https://www.interscience.wiley.com</w:t>
        </w:r>
      </w:hyperlink>
      <w:r w:rsidR="00A377BB">
        <w:t xml:space="preserve"> </w:t>
      </w:r>
      <w:r>
        <w:t xml:space="preserve"> DOI 10.1002/jrs.2186</w:t>
      </w:r>
    </w:p>
    <w:bookmarkEnd w:id="0"/>
  </w:footnote>
  <w:footnote w:id="7">
    <w:p w14:paraId="429A38E2" w14:textId="3D116975" w:rsidR="00543222" w:rsidRDefault="00543222">
      <w:pPr>
        <w:pStyle w:val="FootnoteText"/>
      </w:pPr>
      <w:r>
        <w:rPr>
          <w:rStyle w:val="FootnoteReference"/>
        </w:rPr>
        <w:footnoteRef/>
      </w:r>
      <w:r>
        <w:t xml:space="preserve"> </w:t>
      </w:r>
      <w:r w:rsidR="004578BD">
        <w:t>I</w:t>
      </w:r>
      <w:r>
        <w:t>bid</w:t>
      </w:r>
      <w:r w:rsidR="004578BD">
        <w:t>.</w:t>
      </w:r>
    </w:p>
  </w:footnote>
  <w:footnote w:id="8">
    <w:p w14:paraId="7611E293" w14:textId="77777777" w:rsidR="00644832" w:rsidRDefault="00644832" w:rsidP="00644832">
      <w:pPr>
        <w:pStyle w:val="FootnoteText"/>
      </w:pPr>
      <w:r>
        <w:rPr>
          <w:rStyle w:val="FootnoteReference"/>
        </w:rPr>
        <w:footnoteRef/>
      </w:r>
      <w:r>
        <w:t xml:space="preserve"> ibid</w:t>
      </w:r>
    </w:p>
  </w:footnote>
  <w:footnote w:id="9">
    <w:p w14:paraId="272E1A6A" w14:textId="1A02E21C" w:rsidR="00644832" w:rsidRDefault="00644832" w:rsidP="00644832">
      <w:pPr>
        <w:pStyle w:val="FootnoteText"/>
      </w:pPr>
      <w:r>
        <w:rPr>
          <w:rStyle w:val="FootnoteReference"/>
        </w:rPr>
        <w:footnoteRef/>
      </w:r>
      <w:r>
        <w:t xml:space="preserve"> Ibid.</w:t>
      </w:r>
    </w:p>
  </w:footnote>
  <w:footnote w:id="10">
    <w:p w14:paraId="3F10F813" w14:textId="2BC0EECC" w:rsidR="001A5D2A" w:rsidRDefault="001A5D2A" w:rsidP="001A5D2A">
      <w:pPr>
        <w:pStyle w:val="FootnoteText"/>
      </w:pPr>
      <w:r>
        <w:rPr>
          <w:rStyle w:val="FootnoteReference"/>
        </w:rPr>
        <w:footnoteRef/>
      </w:r>
      <w:r>
        <w:t xml:space="preserve"> Backhouse</w:t>
      </w:r>
      <w:r w:rsidR="004578BD">
        <w:t>,</w:t>
      </w:r>
      <w:r>
        <w:t xml:space="preserve"> 1998</w:t>
      </w:r>
      <w:r w:rsidR="004578BD">
        <w:t xml:space="preserve">, </w:t>
      </w:r>
      <w:r>
        <w:t>p.74.</w:t>
      </w:r>
    </w:p>
  </w:footnote>
  <w:footnote w:id="11">
    <w:p w14:paraId="0909C0EE" w14:textId="600F3EC6" w:rsidR="001A5D2A" w:rsidRDefault="001A5D2A" w:rsidP="001A5D2A">
      <w:pPr>
        <w:pStyle w:val="FootnoteText"/>
      </w:pPr>
      <w:r>
        <w:rPr>
          <w:rStyle w:val="FootnoteReference"/>
        </w:rPr>
        <w:footnoteRef/>
      </w:r>
      <w:r>
        <w:t xml:space="preserve"> Backhouse, </w:t>
      </w:r>
      <w:r w:rsidR="004578BD">
        <w:t xml:space="preserve">1973, </w:t>
      </w:r>
      <w:r>
        <w:t>p.7.</w:t>
      </w:r>
    </w:p>
  </w:footnote>
  <w:footnote w:id="12">
    <w:p w14:paraId="2B01C588" w14:textId="0FF20BAF" w:rsidR="00103E9E" w:rsidRDefault="00103E9E" w:rsidP="00103E9E">
      <w:pPr>
        <w:pStyle w:val="FootnoteText"/>
      </w:pPr>
      <w:r>
        <w:rPr>
          <w:rStyle w:val="FootnoteReference"/>
        </w:rPr>
        <w:footnoteRef/>
      </w:r>
      <w:r>
        <w:t xml:space="preserve"> </w:t>
      </w:r>
      <w:bookmarkStart w:id="1" w:name="_Hlk153168599"/>
      <w:r>
        <w:t xml:space="preserve">Jean Sarabella, </w:t>
      </w:r>
      <w:r w:rsidRPr="004578BD">
        <w:rPr>
          <w:i/>
          <w:iCs/>
        </w:rPr>
        <w:t>Painting the Life of Christ in Medieval and Renaissance Italy</w:t>
      </w:r>
      <w:r w:rsidR="004578BD">
        <w:rPr>
          <w:i/>
          <w:iCs/>
        </w:rPr>
        <w:t>,</w:t>
      </w:r>
      <w:r>
        <w:t xml:space="preserve"> Heilbrumm Timeline of Art Histor</w:t>
      </w:r>
      <w:r w:rsidR="004578BD">
        <w:t xml:space="preserve">y, </w:t>
      </w:r>
      <w:r w:rsidR="003C2447">
        <w:t xml:space="preserve">(2008), </w:t>
      </w:r>
      <w:hyperlink r:id="rId3" w:history="1">
        <w:r w:rsidR="003C2447" w:rsidRPr="006D0B2E">
          <w:rPr>
            <w:rStyle w:val="Hyperlink"/>
          </w:rPr>
          <w:t>https://www.metmuseum.org/toah/hd/chri/hd</w:t>
        </w:r>
      </w:hyperlink>
      <w:r w:rsidR="003C2447">
        <w:t xml:space="preserve"> </w:t>
      </w:r>
      <w:r w:rsidR="004578BD">
        <w:t>[accessed 7</w:t>
      </w:r>
      <w:r w:rsidR="003C2447">
        <w:t xml:space="preserve"> </w:t>
      </w:r>
      <w:r w:rsidR="004578BD">
        <w:t>December 2023].</w:t>
      </w:r>
    </w:p>
    <w:bookmarkEnd w:id="1"/>
  </w:footnote>
  <w:footnote w:id="13">
    <w:p w14:paraId="7E03AD99" w14:textId="5832D0F7" w:rsidR="00103E9E" w:rsidRPr="00687571" w:rsidRDefault="00103E9E" w:rsidP="00103E9E">
      <w:pPr>
        <w:pStyle w:val="FootnoteText"/>
      </w:pPr>
      <w:r>
        <w:rPr>
          <w:rStyle w:val="FootnoteReference"/>
        </w:rPr>
        <w:footnoteRef/>
      </w:r>
      <w:r>
        <w:t xml:space="preserve"> </w:t>
      </w:r>
      <w:r w:rsidR="00687571">
        <w:t xml:space="preserve">Eamon Duffy, </w:t>
      </w:r>
      <w:r w:rsidR="00687571">
        <w:rPr>
          <w:i/>
          <w:iCs/>
        </w:rPr>
        <w:t>Marking the Hours: English People and their prayers 1240-1570,</w:t>
      </w:r>
      <w:r w:rsidR="00687571">
        <w:t xml:space="preserve"> (New Haven: Yale University Press, </w:t>
      </w:r>
      <w:r w:rsidR="006435D4">
        <w:t>2006)</w:t>
      </w:r>
      <w:r w:rsidR="009F0961">
        <w:t>, p.1.</w:t>
      </w:r>
    </w:p>
  </w:footnote>
  <w:footnote w:id="14">
    <w:p w14:paraId="6E27B373" w14:textId="40DE7D4C" w:rsidR="00103E9E" w:rsidRDefault="00103E9E" w:rsidP="00103E9E">
      <w:pPr>
        <w:pStyle w:val="FootnoteText"/>
      </w:pPr>
      <w:r>
        <w:rPr>
          <w:rStyle w:val="FootnoteReference"/>
        </w:rPr>
        <w:footnoteRef/>
      </w:r>
      <w:r>
        <w:t xml:space="preserve"> Dr Jayne Wackett, </w:t>
      </w:r>
      <w:r w:rsidRPr="003C2447">
        <w:rPr>
          <w:i/>
          <w:iCs/>
        </w:rPr>
        <w:t>Book of Hours: a day in the life</w:t>
      </w:r>
      <w:r>
        <w:t xml:space="preserve"> </w:t>
      </w:r>
      <w:r w:rsidR="003C2447">
        <w:t>(</w:t>
      </w:r>
      <w:r>
        <w:t>2017</w:t>
      </w:r>
      <w:r w:rsidR="003C2447">
        <w:t xml:space="preserve">) </w:t>
      </w:r>
      <w:r>
        <w:t xml:space="preserve"> </w:t>
      </w:r>
      <w:hyperlink r:id="rId4" w:history="1">
        <w:r w:rsidRPr="001F154B">
          <w:rPr>
            <w:rStyle w:val="Hyperlink"/>
          </w:rPr>
          <w:t>https://rochestercathedral.org/research/book-of-hours</w:t>
        </w:r>
      </w:hyperlink>
      <w:r>
        <w:t xml:space="preserve"> [accessed 29 November 2023].</w:t>
      </w:r>
    </w:p>
  </w:footnote>
  <w:footnote w:id="15">
    <w:p w14:paraId="37B3626F" w14:textId="6E4BDD24" w:rsidR="00103E9E" w:rsidRPr="00AE1DE7" w:rsidRDefault="00103E9E" w:rsidP="00103E9E">
      <w:pPr>
        <w:pStyle w:val="FootnoteText"/>
      </w:pPr>
      <w:r>
        <w:rPr>
          <w:rStyle w:val="FootnoteReference"/>
        </w:rPr>
        <w:footnoteRef/>
      </w:r>
      <w:r>
        <w:t xml:space="preserve"> Wendy A. Stein, </w:t>
      </w:r>
      <w:r w:rsidRPr="003C2447">
        <w:rPr>
          <w:i/>
          <w:iCs/>
        </w:rPr>
        <w:t>The Book of Hours. A Medieval Bestseller,</w:t>
      </w:r>
      <w:r>
        <w:t xml:space="preserve"> in </w:t>
      </w:r>
      <w:proofErr w:type="spellStart"/>
      <w:r w:rsidRPr="003C2447">
        <w:t>Heilbrum</w:t>
      </w:r>
      <w:proofErr w:type="spellEnd"/>
      <w:r w:rsidRPr="003C2447">
        <w:t xml:space="preserve"> Timeline of Art History</w:t>
      </w:r>
      <w:r w:rsidR="003C2447">
        <w:t xml:space="preserve"> (2000), </w:t>
      </w:r>
      <w:hyperlink r:id="rId5" w:history="1">
        <w:r w:rsidR="003C2447" w:rsidRPr="006D0B2E">
          <w:rPr>
            <w:rStyle w:val="Hyperlink"/>
          </w:rPr>
          <w:t>https://www.metmuseum.org/toah/hd</w:t>
        </w:r>
      </w:hyperlink>
      <w:r w:rsidR="003C2447">
        <w:t xml:space="preserve"> [accessed 21 November 2023].</w:t>
      </w:r>
    </w:p>
  </w:footnote>
  <w:footnote w:id="16">
    <w:p w14:paraId="52967BEF" w14:textId="7C508F7D" w:rsidR="00713AF8" w:rsidRDefault="00713AF8" w:rsidP="00713AF8">
      <w:pPr>
        <w:pStyle w:val="FootnoteText"/>
      </w:pPr>
      <w:r>
        <w:rPr>
          <w:rStyle w:val="FootnoteReference"/>
        </w:rPr>
        <w:footnoteRef/>
      </w:r>
      <w:r>
        <w:t xml:space="preserve"> </w:t>
      </w:r>
      <w:r w:rsidR="009F0961">
        <w:t>Ibid.</w:t>
      </w:r>
    </w:p>
  </w:footnote>
  <w:footnote w:id="17">
    <w:p w14:paraId="721D6EA4" w14:textId="504D4F4E" w:rsidR="00713AF8" w:rsidRPr="00687571" w:rsidRDefault="00713AF8" w:rsidP="00713AF8">
      <w:pPr>
        <w:pStyle w:val="FootnoteText"/>
      </w:pPr>
      <w:r>
        <w:rPr>
          <w:rStyle w:val="FootnoteReference"/>
        </w:rPr>
        <w:footnoteRef/>
      </w:r>
      <w:r>
        <w:t xml:space="preserve"> </w:t>
      </w:r>
      <w:bookmarkStart w:id="2" w:name="_Hlk153168746"/>
      <w:r w:rsidR="003C2447">
        <w:t xml:space="preserve">Eamon Duffy, </w:t>
      </w:r>
      <w:r w:rsidR="00687571">
        <w:t xml:space="preserve">‘A Very Personal Possession’, </w:t>
      </w:r>
      <w:r w:rsidR="00687571">
        <w:rPr>
          <w:i/>
          <w:iCs/>
        </w:rPr>
        <w:t>History Today,</w:t>
      </w:r>
      <w:r w:rsidR="00687571">
        <w:t xml:space="preserve"> 56.11, (2006), 12-18, (p. 12).</w:t>
      </w:r>
    </w:p>
    <w:bookmarkEnd w:id="2"/>
  </w:footnote>
  <w:footnote w:id="18">
    <w:p w14:paraId="6EEC46E2" w14:textId="2328D295" w:rsidR="00713AF8" w:rsidRPr="00AE1DE7" w:rsidRDefault="00713AF8" w:rsidP="00713AF8">
      <w:pPr>
        <w:pStyle w:val="FootnoteText"/>
      </w:pPr>
      <w:r>
        <w:rPr>
          <w:rStyle w:val="FootnoteReference"/>
        </w:rPr>
        <w:footnoteRef/>
      </w:r>
      <w:r>
        <w:t xml:space="preserve"> </w:t>
      </w:r>
      <w:bookmarkStart w:id="3" w:name="_Hlk153129160"/>
      <w:r w:rsidR="006435D4">
        <w:t>ibid.</w:t>
      </w:r>
    </w:p>
    <w:bookmarkEnd w:id="3"/>
  </w:footnote>
  <w:footnote w:id="19">
    <w:p w14:paraId="045768F5" w14:textId="77777777" w:rsidR="00543222" w:rsidRDefault="00543222" w:rsidP="00543222">
      <w:pPr>
        <w:pStyle w:val="FootnoteText"/>
      </w:pPr>
      <w:r>
        <w:rPr>
          <w:rStyle w:val="FootnoteReference"/>
        </w:rPr>
        <w:footnoteRef/>
      </w:r>
      <w:r>
        <w:t xml:space="preserve"> ibid</w:t>
      </w:r>
    </w:p>
  </w:footnote>
  <w:footnote w:id="20">
    <w:p w14:paraId="6E231A58" w14:textId="55521552" w:rsidR="00713AF8" w:rsidRDefault="00713AF8" w:rsidP="00713AF8">
      <w:pPr>
        <w:pStyle w:val="FootnoteText"/>
      </w:pPr>
      <w:r>
        <w:rPr>
          <w:rStyle w:val="FootnoteReference"/>
        </w:rPr>
        <w:footnoteRef/>
      </w:r>
      <w:r>
        <w:t xml:space="preserve"> </w:t>
      </w:r>
      <w:r w:rsidR="00887686">
        <w:t>ibid</w:t>
      </w:r>
    </w:p>
  </w:footnote>
  <w:footnote w:id="21">
    <w:p w14:paraId="10EA6625" w14:textId="053E46DE" w:rsidR="00713AF8" w:rsidRPr="00B96361" w:rsidRDefault="00713AF8" w:rsidP="00713AF8">
      <w:pPr>
        <w:pStyle w:val="FootnoteText"/>
      </w:pPr>
      <w:r>
        <w:rPr>
          <w:rStyle w:val="FootnoteReference"/>
        </w:rPr>
        <w:footnoteRef/>
      </w:r>
      <w:r>
        <w:t xml:space="preserve"> </w:t>
      </w:r>
      <w:bookmarkStart w:id="4" w:name="_Hlk153168884"/>
      <w:r w:rsidR="006435D4">
        <w:t xml:space="preserve">Roger S. Wieck, </w:t>
      </w:r>
      <w:r w:rsidR="00B96361">
        <w:t xml:space="preserve">Chapter 15 Prayer for the People: The Book of Hours, </w:t>
      </w:r>
      <w:r w:rsidR="00B96361">
        <w:rPr>
          <w:i/>
          <w:iCs/>
        </w:rPr>
        <w:t xml:space="preserve">A History of Prayer, </w:t>
      </w:r>
      <w:r w:rsidR="00B96361">
        <w:t xml:space="preserve">(Leiden: Brill, 2008), </w:t>
      </w:r>
      <w:r w:rsidR="0098672B">
        <w:t>&lt;h</w:t>
      </w:r>
      <w:r w:rsidR="00B96361">
        <w:t>ttps//doi.org/10.1163</w:t>
      </w:r>
      <w:r w:rsidR="0098672B">
        <w:t>/</w:t>
      </w:r>
      <w:proofErr w:type="gramStart"/>
      <w:r w:rsidR="0098672B">
        <w:t>ej.9789004171220.i</w:t>
      </w:r>
      <w:proofErr w:type="gramEnd"/>
      <w:r w:rsidR="0098672B">
        <w:t xml:space="preserve">-460.87&gt; </w:t>
      </w:r>
    </w:p>
    <w:bookmarkEnd w:id="4"/>
  </w:footnote>
  <w:footnote w:id="22">
    <w:p w14:paraId="7D398DDD" w14:textId="77777777" w:rsidR="00432113" w:rsidRDefault="00432113" w:rsidP="00432113">
      <w:pPr>
        <w:pStyle w:val="FootnoteText"/>
      </w:pPr>
      <w:r>
        <w:rPr>
          <w:rStyle w:val="FootnoteReference"/>
        </w:rPr>
        <w:footnoteRef/>
      </w:r>
      <w:r>
        <w:t xml:space="preserve"> ibid</w:t>
      </w:r>
    </w:p>
  </w:footnote>
  <w:footnote w:id="23">
    <w:p w14:paraId="4557C0F2" w14:textId="2579FB4C" w:rsidR="00713AF8" w:rsidRDefault="00713AF8" w:rsidP="00713AF8">
      <w:pPr>
        <w:pStyle w:val="FootnoteText"/>
      </w:pPr>
      <w:r>
        <w:rPr>
          <w:rStyle w:val="FootnoteReference"/>
        </w:rPr>
        <w:footnoteRef/>
      </w:r>
      <w:r>
        <w:t xml:space="preserve"> Eamon Duffy, </w:t>
      </w:r>
      <w:r w:rsidRPr="00C6252B">
        <w:rPr>
          <w:i/>
          <w:iCs/>
        </w:rPr>
        <w:t>Marking the Hours</w:t>
      </w:r>
      <w:r w:rsidR="00C6252B">
        <w:t xml:space="preserve">: English People and their Prayers 1240-1570, (Yale: University Press, 2011), </w:t>
      </w:r>
      <w:r>
        <w:t>p.2</w:t>
      </w:r>
      <w:r w:rsidR="00C6252B">
        <w:t>.</w:t>
      </w:r>
    </w:p>
  </w:footnote>
  <w:footnote w:id="24">
    <w:p w14:paraId="5ABFE63C" w14:textId="2B9C07D5" w:rsidR="00432113" w:rsidRDefault="00432113" w:rsidP="00432113">
      <w:pPr>
        <w:pStyle w:val="FootnoteText"/>
      </w:pPr>
      <w:r>
        <w:rPr>
          <w:rStyle w:val="FootnoteReference"/>
        </w:rPr>
        <w:footnoteRef/>
      </w:r>
      <w:r>
        <w:t xml:space="preserve"> </w:t>
      </w:r>
      <w:bookmarkStart w:id="5" w:name="_Hlk153130169"/>
      <w:r>
        <w:t xml:space="preserve">Wieck, </w:t>
      </w:r>
      <w:r w:rsidR="0098672B">
        <w:t>p.390.</w:t>
      </w:r>
      <w:bookmarkEnd w:id="5"/>
    </w:p>
  </w:footnote>
  <w:footnote w:id="25">
    <w:p w14:paraId="20EBADBA" w14:textId="77777777" w:rsidR="00703401" w:rsidRDefault="00703401" w:rsidP="00703401">
      <w:pPr>
        <w:pStyle w:val="FootnoteText"/>
      </w:pPr>
      <w:r>
        <w:rPr>
          <w:rStyle w:val="FootnoteReference"/>
        </w:rPr>
        <w:footnoteRef/>
      </w:r>
      <w:r>
        <w:t xml:space="preserve"> ibid</w:t>
      </w:r>
    </w:p>
  </w:footnote>
  <w:footnote w:id="26">
    <w:p w14:paraId="6E5860DE" w14:textId="77777777" w:rsidR="00703401" w:rsidRDefault="00703401" w:rsidP="00703401">
      <w:pPr>
        <w:pStyle w:val="FootnoteText"/>
      </w:pPr>
      <w:r>
        <w:rPr>
          <w:rStyle w:val="FootnoteReference"/>
        </w:rPr>
        <w:footnoteRef/>
      </w:r>
      <w:r>
        <w:t xml:space="preserve"> Ibid p.437</w:t>
      </w:r>
    </w:p>
  </w:footnote>
  <w:footnote w:id="27">
    <w:p w14:paraId="4F8911F8" w14:textId="4DDAA6B8" w:rsidR="00703401" w:rsidRDefault="00703401" w:rsidP="00703401">
      <w:pPr>
        <w:pStyle w:val="FootnoteText"/>
      </w:pPr>
      <w:r>
        <w:rPr>
          <w:rStyle w:val="FootnoteReference"/>
        </w:rPr>
        <w:footnoteRef/>
      </w:r>
      <w:r>
        <w:t xml:space="preserve"> </w:t>
      </w:r>
      <w:r w:rsidR="00C6252B">
        <w:t>ibid</w:t>
      </w:r>
    </w:p>
  </w:footnote>
  <w:footnote w:id="28">
    <w:p w14:paraId="47831D00" w14:textId="77777777" w:rsidR="00D671F2" w:rsidRPr="006D1B7E" w:rsidRDefault="00D671F2" w:rsidP="00D671F2">
      <w:pPr>
        <w:pStyle w:val="FootnoteText"/>
      </w:pPr>
      <w:r>
        <w:rPr>
          <w:rStyle w:val="FootnoteReference"/>
        </w:rPr>
        <w:footnoteRef/>
      </w:r>
      <w:r>
        <w:t xml:space="preserve"> Peter Marshall, </w:t>
      </w:r>
      <w:r>
        <w:rPr>
          <w:i/>
          <w:iCs/>
        </w:rPr>
        <w:t xml:space="preserve">Reformation England 1480-1642, </w:t>
      </w:r>
      <w:r>
        <w:t>(London: Bloomsbury, 2012), p. 1.</w:t>
      </w:r>
    </w:p>
  </w:footnote>
  <w:footnote w:id="29">
    <w:p w14:paraId="3F621C3C" w14:textId="7708AF34" w:rsidR="00D81F36" w:rsidRDefault="00D81F36" w:rsidP="00D81F36">
      <w:pPr>
        <w:shd w:val="clear" w:color="auto" w:fill="FFFFFF"/>
      </w:pPr>
      <w:r>
        <w:rPr>
          <w:rStyle w:val="FootnoteReference"/>
        </w:rPr>
        <w:footnoteRef/>
      </w:r>
      <w:r>
        <w:t xml:space="preserve"> </w:t>
      </w:r>
      <w:bookmarkStart w:id="6" w:name="_Hlk153168995"/>
      <w:r>
        <w:rPr>
          <w:sz w:val="20"/>
          <w:szCs w:val="20"/>
        </w:rPr>
        <w:t xml:space="preserve">Bruce Altshuler et al (eds), </w:t>
      </w:r>
      <w:r>
        <w:rPr>
          <w:i/>
          <w:iCs/>
          <w:sz w:val="20"/>
          <w:szCs w:val="20"/>
        </w:rPr>
        <w:t xml:space="preserve">Salon to Biennial: Exhibitions that made Art History, Volume 1: 1863-1959, </w:t>
      </w:r>
      <w:r>
        <w:rPr>
          <w:sz w:val="20"/>
          <w:szCs w:val="20"/>
        </w:rPr>
        <w:t xml:space="preserve">(London: </w:t>
      </w:r>
      <w:proofErr w:type="spellStart"/>
      <w:r>
        <w:rPr>
          <w:sz w:val="20"/>
          <w:szCs w:val="20"/>
        </w:rPr>
        <w:t>Phaidon</w:t>
      </w:r>
      <w:proofErr w:type="spellEnd"/>
      <w:r>
        <w:rPr>
          <w:sz w:val="20"/>
          <w:szCs w:val="20"/>
        </w:rPr>
        <w:t>, 2008</w:t>
      </w:r>
      <w:r w:rsidR="00C6252B">
        <w:rPr>
          <w:sz w:val="20"/>
          <w:szCs w:val="20"/>
        </w:rPr>
        <w:t>), p.127</w:t>
      </w:r>
      <w:r>
        <w:rPr>
          <w:sz w:val="20"/>
          <w:szCs w:val="20"/>
        </w:rPr>
        <w:t>.</w:t>
      </w:r>
    </w:p>
    <w:bookmarkEnd w:id="6"/>
  </w:footnote>
  <w:footnote w:id="30">
    <w:p w14:paraId="171ECB06" w14:textId="3B28C8C3" w:rsidR="0091140C" w:rsidRPr="00B039D3" w:rsidRDefault="0091140C" w:rsidP="0091140C">
      <w:pPr>
        <w:pStyle w:val="FootnoteText"/>
      </w:pPr>
      <w:r>
        <w:rPr>
          <w:rStyle w:val="FootnoteReference"/>
        </w:rPr>
        <w:footnoteRef/>
      </w:r>
      <w:r>
        <w:t xml:space="preserve"> </w:t>
      </w:r>
      <w:bookmarkStart w:id="7" w:name="_Hlk153169077"/>
      <w:r>
        <w:t xml:space="preserve">Laura S. Miles, </w:t>
      </w:r>
      <w:r>
        <w:rPr>
          <w:i/>
          <w:iCs/>
        </w:rPr>
        <w:t xml:space="preserve">The Virgin Mary’s Book, </w:t>
      </w:r>
      <w:r w:rsidR="00020730">
        <w:t>(UK: Boydell &amp; Brewer,</w:t>
      </w:r>
      <w:r>
        <w:t>2020</w:t>
      </w:r>
      <w:r w:rsidR="00020730">
        <w:t>),</w:t>
      </w:r>
      <w:r>
        <w:t xml:space="preserve"> p.1</w:t>
      </w:r>
      <w:r w:rsidR="00020730">
        <w:t>.</w:t>
      </w:r>
      <w:bookmarkEnd w:id="7"/>
    </w:p>
  </w:footnote>
  <w:footnote w:id="31">
    <w:p w14:paraId="135F5AC2" w14:textId="0C1E85DA" w:rsidR="0091140C" w:rsidRDefault="0091140C" w:rsidP="0091140C">
      <w:pPr>
        <w:pStyle w:val="FootnoteText"/>
      </w:pPr>
      <w:r>
        <w:rPr>
          <w:rStyle w:val="FootnoteReference"/>
        </w:rPr>
        <w:footnoteRef/>
      </w:r>
      <w:r>
        <w:t xml:space="preserve"> Rev Dr Jared Mercer, Merton College, </w:t>
      </w:r>
      <w:r w:rsidR="00AE10E9">
        <w:t>‘</w:t>
      </w:r>
      <w:r>
        <w:t xml:space="preserve">Reflection on the Annunciation </w:t>
      </w:r>
      <w:r w:rsidR="00AE10E9">
        <w:t>‘</w:t>
      </w:r>
      <w:hyperlink r:id="rId6" w:history="1">
        <w:r w:rsidR="00AE10E9" w:rsidRPr="00F91C42">
          <w:rPr>
            <w:rStyle w:val="Hyperlink"/>
          </w:rPr>
          <w:t>https://merton.ox.ac.uk</w:t>
        </w:r>
      </w:hyperlink>
      <w:r>
        <w:t xml:space="preserve"> [accessed 7 December 2023</w:t>
      </w:r>
      <w:r w:rsidR="00AE10E9">
        <w:t>].</w:t>
      </w:r>
      <w:r>
        <w:t xml:space="preserve">  </w:t>
      </w:r>
    </w:p>
  </w:footnote>
  <w:footnote w:id="32">
    <w:p w14:paraId="3191791E" w14:textId="77777777" w:rsidR="0097369C" w:rsidRDefault="0097369C" w:rsidP="0097369C">
      <w:pPr>
        <w:pStyle w:val="FootnoteText"/>
      </w:pPr>
      <w:r>
        <w:rPr>
          <w:rStyle w:val="FootnoteReference"/>
        </w:rPr>
        <w:footnoteRef/>
      </w:r>
      <w:r>
        <w:t xml:space="preserve"> Ibid.</w:t>
      </w:r>
    </w:p>
  </w:footnote>
  <w:footnote w:id="33">
    <w:p w14:paraId="7BE5D600" w14:textId="40946E45" w:rsidR="00D81F36" w:rsidRPr="00020730" w:rsidRDefault="00D81F36" w:rsidP="00D81F36">
      <w:pPr>
        <w:pStyle w:val="FootnoteText"/>
      </w:pPr>
      <w:r>
        <w:rPr>
          <w:rStyle w:val="FootnoteReference"/>
        </w:rPr>
        <w:footnoteRef/>
      </w:r>
      <w:r>
        <w:t xml:space="preserve"> </w:t>
      </w:r>
      <w:bookmarkStart w:id="8" w:name="_Hlk153169192"/>
      <w:r w:rsidR="00020730">
        <w:t xml:space="preserve">Eric </w:t>
      </w:r>
      <w:proofErr w:type="spellStart"/>
      <w:r w:rsidR="00020730">
        <w:t>Kwakkel</w:t>
      </w:r>
      <w:proofErr w:type="spellEnd"/>
      <w:r w:rsidR="00020730">
        <w:t xml:space="preserve">, </w:t>
      </w:r>
      <w:r w:rsidR="00020730">
        <w:rPr>
          <w:i/>
          <w:iCs/>
        </w:rPr>
        <w:t>Books Before Print,</w:t>
      </w:r>
      <w:r w:rsidR="00020730">
        <w:t xml:space="preserve"> (Amsterdam: University Press, </w:t>
      </w:r>
      <w:r w:rsidR="00E7288D">
        <w:t>2018), p.93</w:t>
      </w:r>
      <w:r w:rsidR="00AE10E9">
        <w:t>.</w:t>
      </w:r>
      <w:r w:rsidR="00E7288D">
        <w:t xml:space="preserve"> </w:t>
      </w:r>
      <w:hyperlink r:id="rId7" w:history="1">
        <w:r w:rsidR="00E7288D" w:rsidRPr="00254AA2">
          <w:rPr>
            <w:rStyle w:val="Hyperlink"/>
          </w:rPr>
          <w:t>https://doi.org/10.1515/97819424o1636</w:t>
        </w:r>
      </w:hyperlink>
      <w:r w:rsidR="00E7288D">
        <w:t xml:space="preserve"> </w:t>
      </w:r>
    </w:p>
    <w:bookmarkEnd w:id="8"/>
  </w:footnote>
  <w:footnote w:id="34">
    <w:p w14:paraId="69C8307F" w14:textId="4181EC28" w:rsidR="00E42EF0" w:rsidRPr="008C7F01" w:rsidRDefault="00E42EF0" w:rsidP="00E42EF0">
      <w:pPr>
        <w:pStyle w:val="FootnoteText"/>
      </w:pPr>
      <w:r>
        <w:rPr>
          <w:rStyle w:val="FootnoteReference"/>
        </w:rPr>
        <w:footnoteRef/>
      </w:r>
      <w:r>
        <w:rPr>
          <w:rStyle w:val="FootnoteReference"/>
        </w:rPr>
        <w:t xml:space="preserve"> </w:t>
      </w:r>
      <w:r>
        <w:t xml:space="preserve">Van </w:t>
      </w:r>
      <w:r w:rsidR="00A377BB">
        <w:t>E</w:t>
      </w:r>
      <w:r>
        <w:t xml:space="preserve">yck, Jan, </w:t>
      </w:r>
      <w:r>
        <w:rPr>
          <w:i/>
          <w:iCs/>
        </w:rPr>
        <w:t>The Annunciation</w:t>
      </w:r>
      <w:r w:rsidR="00A377BB">
        <w:rPr>
          <w:i/>
          <w:iCs/>
        </w:rPr>
        <w:t xml:space="preserve">, </w:t>
      </w:r>
      <w:r>
        <w:t>National Gallery of Art, 1985</w:t>
      </w:r>
      <w:r w:rsidR="000E46AC">
        <w:t xml:space="preserve">, </w:t>
      </w:r>
      <w:hyperlink r:id="rId8" w:history="1">
        <w:r w:rsidR="000E46AC" w:rsidRPr="00F91C42">
          <w:rPr>
            <w:rStyle w:val="Hyperlink"/>
          </w:rPr>
          <w:t>https://www.nga.gov/collection/van-eyck-the-annunciation.html</w:t>
        </w:r>
      </w:hyperlink>
      <w:r w:rsidR="000E46AC">
        <w:t xml:space="preserve"> [accessed 9 November].</w:t>
      </w:r>
    </w:p>
  </w:footnote>
  <w:footnote w:id="35">
    <w:p w14:paraId="770AB5F1" w14:textId="07C84884" w:rsidR="00FE46FC" w:rsidRDefault="00FE46FC" w:rsidP="00FE46FC">
      <w:pPr>
        <w:pStyle w:val="FootnoteText"/>
      </w:pPr>
      <w:r>
        <w:rPr>
          <w:rStyle w:val="FootnoteReference"/>
        </w:rPr>
        <w:footnoteRef/>
      </w:r>
      <w:r>
        <w:t xml:space="preserve"> Florence Eccleston, Introducing Medieval Christianity, </w:t>
      </w:r>
      <w:hyperlink r:id="rId9" w:history="1">
        <w:r w:rsidR="000E46AC" w:rsidRPr="00F91C42">
          <w:rPr>
            <w:rStyle w:val="Hyperlink"/>
          </w:rPr>
          <w:t>https://www.introducingmedievalchristianity.wordpree.com/2019/07/08/medieval-annunciation-symbolism/</w:t>
        </w:r>
      </w:hyperlink>
      <w:r>
        <w:t xml:space="preserve"> [accessed 7 December 2023].</w:t>
      </w:r>
    </w:p>
  </w:footnote>
  <w:footnote w:id="36">
    <w:p w14:paraId="52A5C5BC" w14:textId="77777777" w:rsidR="00FE46FC" w:rsidRDefault="00FE46FC" w:rsidP="00FE46FC">
      <w:pPr>
        <w:pStyle w:val="FootnoteText"/>
      </w:pPr>
      <w:r>
        <w:rPr>
          <w:rStyle w:val="FootnoteReference"/>
        </w:rPr>
        <w:footnoteRef/>
      </w:r>
      <w:r>
        <w:t xml:space="preserve"> Ibid.</w:t>
      </w:r>
    </w:p>
  </w:footnote>
  <w:footnote w:id="37">
    <w:p w14:paraId="43D1FA23" w14:textId="3DAAE7B6" w:rsidR="00876729" w:rsidRDefault="00876729" w:rsidP="00876729">
      <w:pPr>
        <w:pStyle w:val="FootnoteText"/>
      </w:pPr>
      <w:r>
        <w:rPr>
          <w:rStyle w:val="FootnoteReference"/>
        </w:rPr>
        <w:footnoteRef/>
      </w:r>
      <w:r>
        <w:t xml:space="preserve"> </w:t>
      </w:r>
      <w:proofErr w:type="spellStart"/>
      <w:r>
        <w:t>Kwakkel</w:t>
      </w:r>
      <w:proofErr w:type="spellEnd"/>
    </w:p>
  </w:footnote>
  <w:footnote w:id="38">
    <w:p w14:paraId="59D66DFA" w14:textId="0F8D4379" w:rsidR="00876729" w:rsidRDefault="00876729" w:rsidP="00876729">
      <w:pPr>
        <w:pStyle w:val="FootnoteText"/>
      </w:pPr>
      <w:r>
        <w:rPr>
          <w:rStyle w:val="FootnoteReference"/>
        </w:rPr>
        <w:footnoteRef/>
      </w:r>
      <w:r>
        <w:t xml:space="preserve"> </w:t>
      </w:r>
      <w:r w:rsidR="00E7288D">
        <w:t xml:space="preserve">Miles, </w:t>
      </w:r>
      <w:r>
        <w:t>p.</w:t>
      </w:r>
      <w:r w:rsidR="00E7288D">
        <w:t>9.</w:t>
      </w:r>
    </w:p>
  </w:footnote>
  <w:footnote w:id="39">
    <w:p w14:paraId="56801AAA" w14:textId="4A468C9D" w:rsidR="00876729" w:rsidRDefault="00876729" w:rsidP="00876729">
      <w:pPr>
        <w:pStyle w:val="FootnoteText"/>
      </w:pPr>
      <w:r>
        <w:rPr>
          <w:rStyle w:val="FootnoteReference"/>
        </w:rPr>
        <w:footnoteRef/>
      </w:r>
      <w:r>
        <w:t xml:space="preserve"> Ibid p.2</w:t>
      </w:r>
      <w:r w:rsidR="00E7288D">
        <w:t>.</w:t>
      </w:r>
    </w:p>
  </w:footnote>
  <w:footnote w:id="40">
    <w:p w14:paraId="1A49A028" w14:textId="12A5E759" w:rsidR="00FB0AFA" w:rsidRDefault="00FB0AFA" w:rsidP="00FB0AFA">
      <w:pPr>
        <w:pStyle w:val="FootnoteText"/>
      </w:pPr>
      <w:r>
        <w:rPr>
          <w:rStyle w:val="FootnoteReference"/>
        </w:rPr>
        <w:footnoteRef/>
      </w:r>
      <w:r>
        <w:t xml:space="preserve"> </w:t>
      </w:r>
      <w:bookmarkStart w:id="9" w:name="_Hlk153170366"/>
      <w:r>
        <w:t xml:space="preserve">Matthew Wilson, </w:t>
      </w:r>
      <w:r w:rsidR="00AE10E9">
        <w:t>‘</w:t>
      </w:r>
      <w:r>
        <w:t>The Halo: A symbol that spread around the world</w:t>
      </w:r>
      <w:r w:rsidR="00AE10E9">
        <w:t>’</w:t>
      </w:r>
      <w:r>
        <w:t xml:space="preserve">, (24 June </w:t>
      </w:r>
      <w:r w:rsidR="00E7288D">
        <w:t>2</w:t>
      </w:r>
      <w:r>
        <w:t xml:space="preserve">021) </w:t>
      </w:r>
      <w:hyperlink r:id="rId10" w:history="1">
        <w:r w:rsidRPr="00CC44AA">
          <w:rPr>
            <w:rStyle w:val="Hyperlink"/>
          </w:rPr>
          <w:t>https://bbc.com/culture/article/20210623-the-halo-a-symbol-that-spread-around-the-world</w:t>
        </w:r>
      </w:hyperlink>
      <w:bookmarkEnd w:id="9"/>
      <w:r>
        <w:t xml:space="preserve"> </w:t>
      </w:r>
      <w:r w:rsidR="00A377BB">
        <w:t>[acc</w:t>
      </w:r>
      <w:r w:rsidR="000E46AC">
        <w:t>essed</w:t>
      </w:r>
      <w:r w:rsidR="00A377BB">
        <w:t xml:space="preserve"> 2 November 2023].</w:t>
      </w:r>
    </w:p>
  </w:footnote>
  <w:footnote w:id="41">
    <w:p w14:paraId="378D6096" w14:textId="01A8EC45" w:rsidR="00876729" w:rsidRDefault="00876729" w:rsidP="00876729">
      <w:pPr>
        <w:pStyle w:val="FootnoteText"/>
      </w:pPr>
      <w:r>
        <w:rPr>
          <w:rStyle w:val="FootnoteReference"/>
        </w:rPr>
        <w:footnoteRef/>
      </w:r>
      <w:r>
        <w:t xml:space="preserve"> </w:t>
      </w:r>
      <w:bookmarkStart w:id="10" w:name="_Hlk153169116"/>
      <w:r>
        <w:t xml:space="preserve">Joyce Hoffman, ‘A Closer look at Halos in Medieval and Renaissance Italian Art’, </w:t>
      </w:r>
      <w:r w:rsidR="00A377BB">
        <w:t>(unpublished doctoral thesis, Jan 2022)</w:t>
      </w:r>
      <w:r>
        <w:t xml:space="preserve">, </w:t>
      </w:r>
      <w:proofErr w:type="spellStart"/>
      <w:r>
        <w:t>Uniselinus</w:t>
      </w:r>
      <w:proofErr w:type="spellEnd"/>
      <w:r>
        <w:t xml:space="preserve"> Europe Networking University</w:t>
      </w:r>
      <w:bookmarkEnd w:id="10"/>
    </w:p>
  </w:footnote>
  <w:footnote w:id="42">
    <w:p w14:paraId="45BF377A" w14:textId="77777777" w:rsidR="00876729" w:rsidRDefault="00876729" w:rsidP="00876729">
      <w:pPr>
        <w:pStyle w:val="FootnoteText"/>
      </w:pPr>
      <w:r>
        <w:rPr>
          <w:rStyle w:val="FootnoteReference"/>
        </w:rPr>
        <w:footnoteRef/>
      </w:r>
      <w:r>
        <w:t xml:space="preserve"> Ibid.</w:t>
      </w:r>
    </w:p>
  </w:footnote>
  <w:footnote w:id="43">
    <w:p w14:paraId="53C02D1E" w14:textId="48CD72A9" w:rsidR="00876729" w:rsidRDefault="00876729" w:rsidP="00876729">
      <w:pPr>
        <w:pStyle w:val="FootnoteText"/>
      </w:pPr>
      <w:r>
        <w:rPr>
          <w:rStyle w:val="FootnoteReference"/>
        </w:rPr>
        <w:footnoteRef/>
      </w:r>
      <w:r w:rsidR="00E7288D">
        <w:t xml:space="preserve"> Ibid.</w:t>
      </w:r>
    </w:p>
  </w:footnote>
  <w:footnote w:id="44">
    <w:p w14:paraId="0E8FC406" w14:textId="12F956B0" w:rsidR="00876729" w:rsidRDefault="00876729" w:rsidP="00876729">
      <w:pPr>
        <w:pStyle w:val="FootnoteText"/>
      </w:pPr>
      <w:bookmarkStart w:id="11" w:name="_Hlk153170188"/>
      <w:r>
        <w:rPr>
          <w:rStyle w:val="FootnoteReference"/>
        </w:rPr>
        <w:footnoteRef/>
      </w:r>
      <w:r>
        <w:t xml:space="preserve"> Chris Maunder, </w:t>
      </w:r>
      <w:r w:rsidRPr="00E7288D">
        <w:rPr>
          <w:i/>
          <w:iCs/>
        </w:rPr>
        <w:t>The Oxford Handbook of Mary</w:t>
      </w:r>
      <w:r>
        <w:t>, (Oxford: Univer</w:t>
      </w:r>
      <w:r w:rsidR="00E7288D">
        <w:t>sity</w:t>
      </w:r>
      <w:r>
        <w:t xml:space="preserve"> Press, 2019).</w:t>
      </w:r>
    </w:p>
    <w:bookmarkEnd w:id="11"/>
  </w:footnote>
  <w:footnote w:id="45">
    <w:p w14:paraId="485A8B84" w14:textId="6B88287A" w:rsidR="00273F14" w:rsidRDefault="00273F14">
      <w:pPr>
        <w:pStyle w:val="FootnoteText"/>
      </w:pPr>
      <w:r>
        <w:rPr>
          <w:rStyle w:val="FootnoteReference"/>
        </w:rPr>
        <w:footnoteRef/>
      </w:r>
      <w:r>
        <w:t xml:space="preserve"> </w:t>
      </w:r>
      <w:bookmarkStart w:id="12" w:name="_Hlk153170039"/>
      <w:r>
        <w:t xml:space="preserve">Laura Cumming, Guess the painting, The Observer, p.46, 10 </w:t>
      </w:r>
      <w:r w:rsidR="00E7288D">
        <w:t>D</w:t>
      </w:r>
      <w:r>
        <w:t>ecember 2023.</w:t>
      </w:r>
    </w:p>
    <w:bookmarkEnd w:id="12"/>
  </w:footnote>
  <w:footnote w:id="46">
    <w:p w14:paraId="75A6483D" w14:textId="75FF46A7" w:rsidR="0076426C" w:rsidRDefault="0076426C">
      <w:pPr>
        <w:pStyle w:val="FootnoteText"/>
      </w:pPr>
      <w:r>
        <w:rPr>
          <w:rStyle w:val="FootnoteReference"/>
        </w:rPr>
        <w:footnoteRef/>
      </w:r>
      <w:r>
        <w:t xml:space="preserve"> </w:t>
      </w:r>
      <w:bookmarkStart w:id="13" w:name="_Hlk153170080"/>
      <w:r>
        <w:t xml:space="preserve">Revd Canon </w:t>
      </w:r>
      <w:r w:rsidR="007C5E6D">
        <w:t xml:space="preserve">Ian Morter, </w:t>
      </w:r>
      <w:r w:rsidR="00A377BB">
        <w:t>‘</w:t>
      </w:r>
      <w:r w:rsidR="007C5E6D">
        <w:t>The Annunciation by Henry Ossawa Tanner (1859-1937)</w:t>
      </w:r>
      <w:r w:rsidR="00A377BB">
        <w:t>’</w:t>
      </w:r>
      <w:r w:rsidR="007C5E6D">
        <w:t xml:space="preserve"> </w:t>
      </w:r>
      <w:hyperlink r:id="rId11" w:history="1">
        <w:r w:rsidR="007C5E6D" w:rsidRPr="007542FD">
          <w:rPr>
            <w:rStyle w:val="Hyperlink"/>
          </w:rPr>
          <w:t>https://exeter-catherdral.org.uk</w:t>
        </w:r>
      </w:hyperlink>
      <w:r w:rsidR="007C5E6D">
        <w:t xml:space="preserve"> [accessed 10 December 2023].</w:t>
      </w:r>
      <w:bookmarkEnd w:id="13"/>
    </w:p>
  </w:footnote>
  <w:footnote w:id="47">
    <w:p w14:paraId="3764E59E" w14:textId="10626381" w:rsidR="007C5E6D" w:rsidRDefault="007C5E6D">
      <w:pPr>
        <w:pStyle w:val="FootnoteText"/>
      </w:pPr>
      <w:r>
        <w:rPr>
          <w:rStyle w:val="FootnoteReference"/>
        </w:rPr>
        <w:footnoteRef/>
      </w:r>
      <w:r>
        <w:t xml:space="preserve"> ibid</w:t>
      </w:r>
    </w:p>
  </w:footnote>
  <w:footnote w:id="48">
    <w:p w14:paraId="66E8020D" w14:textId="713CFDD6" w:rsidR="007C5E6D" w:rsidRDefault="007C5E6D">
      <w:pPr>
        <w:pStyle w:val="FootnoteText"/>
      </w:pPr>
      <w:r>
        <w:rPr>
          <w:rStyle w:val="FootnoteReference"/>
        </w:rPr>
        <w:footnoteRef/>
      </w:r>
      <w:r>
        <w:t xml:space="preserve"> ibid</w:t>
      </w:r>
    </w:p>
  </w:footnote>
  <w:footnote w:id="49">
    <w:p w14:paraId="13E7B76B" w14:textId="7E915FDC" w:rsidR="007C5E6D" w:rsidRDefault="007C5E6D" w:rsidP="007C5E6D">
      <w:pPr>
        <w:pStyle w:val="FootnoteText"/>
      </w:pPr>
      <w:r>
        <w:rPr>
          <w:rStyle w:val="FootnoteReference"/>
        </w:rPr>
        <w:footnoteRef/>
      </w:r>
      <w:r>
        <w:t xml:space="preserve"> </w:t>
      </w:r>
      <w:bookmarkStart w:id="14" w:name="_Hlk153169303"/>
      <w:r>
        <w:t xml:space="preserve">Sarah Barber and Corinna M. </w:t>
      </w:r>
      <w:proofErr w:type="spellStart"/>
      <w:r>
        <w:t>Pensiton</w:t>
      </w:r>
      <w:proofErr w:type="spellEnd"/>
      <w:r>
        <w:t xml:space="preserve">-Bird, Introduction, in </w:t>
      </w:r>
      <w:r w:rsidRPr="00E7288D">
        <w:rPr>
          <w:i/>
          <w:iCs/>
        </w:rPr>
        <w:t>History beyond the Text,</w:t>
      </w:r>
      <w:r w:rsidR="00E7288D">
        <w:t xml:space="preserve"> </w:t>
      </w:r>
      <w:r>
        <w:t xml:space="preserve">eds Barber </w:t>
      </w:r>
      <w:r w:rsidR="00E7288D">
        <w:t xml:space="preserve">&amp; </w:t>
      </w:r>
      <w:proofErr w:type="spellStart"/>
      <w:r w:rsidR="00E7288D">
        <w:t>Pensiton</w:t>
      </w:r>
      <w:proofErr w:type="spellEnd"/>
      <w:r w:rsidR="00E7288D">
        <w:t>-Bird (</w:t>
      </w:r>
      <w:r>
        <w:t>London</w:t>
      </w:r>
      <w:r w:rsidR="00E7288D">
        <w:t>: Routledge</w:t>
      </w:r>
      <w:r>
        <w:t>,</w:t>
      </w:r>
      <w:r w:rsidR="00E7288D">
        <w:t xml:space="preserve"> 2009),</w:t>
      </w:r>
      <w:r>
        <w:t xml:space="preserve"> p.3.</w:t>
      </w:r>
    </w:p>
    <w:bookmarkEnd w:id="14"/>
  </w:footnote>
  <w:footnote w:id="50">
    <w:p w14:paraId="3B743BEB" w14:textId="5D4673D2" w:rsidR="007C5E6D" w:rsidRDefault="007C5E6D" w:rsidP="007C5E6D">
      <w:pPr>
        <w:pStyle w:val="FootnoteText"/>
      </w:pPr>
      <w:r>
        <w:rPr>
          <w:rStyle w:val="FootnoteReference"/>
        </w:rPr>
        <w:footnoteRef/>
      </w:r>
      <w:r>
        <w:t xml:space="preserve"> Ibid</w:t>
      </w:r>
      <w:r w:rsidR="00A377BB">
        <w:t>.</w:t>
      </w:r>
      <w:r>
        <w:t xml:space="preserve"> p.9</w:t>
      </w:r>
    </w:p>
  </w:footnote>
  <w:footnote w:id="51">
    <w:p w14:paraId="752B7B1D" w14:textId="4FD3DCC6" w:rsidR="007C5E6D" w:rsidRDefault="007C5E6D" w:rsidP="007C5E6D">
      <w:pPr>
        <w:pStyle w:val="FootnoteText"/>
      </w:pPr>
      <w:r>
        <w:rPr>
          <w:rStyle w:val="FootnoteReference"/>
        </w:rPr>
        <w:footnoteRef/>
      </w:r>
      <w:r>
        <w:t xml:space="preserve"> Sarah Barber</w:t>
      </w:r>
      <w:r w:rsidR="00E7288D">
        <w:t xml:space="preserve">, </w:t>
      </w:r>
      <w:r w:rsidR="00A377BB">
        <w:t>‘</w:t>
      </w:r>
      <w:r>
        <w:t>Fine Art: the creative image</w:t>
      </w:r>
      <w:r w:rsidR="00A377BB">
        <w:t>’,</w:t>
      </w:r>
      <w:r>
        <w:t xml:space="preserve"> </w:t>
      </w:r>
      <w:r w:rsidR="00A377BB">
        <w:t xml:space="preserve">in </w:t>
      </w:r>
      <w:r w:rsidRPr="00E7288D">
        <w:rPr>
          <w:i/>
          <w:iCs/>
        </w:rPr>
        <w:t>History beyond the text</w:t>
      </w:r>
      <w:r>
        <w:t xml:space="preserve"> p.19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D4A4F2" w14:textId="180EFCDC" w:rsidR="00887686" w:rsidRDefault="00887686">
    <w:pPr>
      <w:pStyle w:val="Header"/>
    </w:pPr>
    <w:r>
      <w:tab/>
    </w:r>
    <w:r>
      <w:tab/>
      <w:t>2039416</w:t>
    </w:r>
  </w:p>
  <w:p w14:paraId="54B007DB" w14:textId="77777777" w:rsidR="00887686" w:rsidRDefault="0088768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4882"/>
    <w:rsid w:val="00000984"/>
    <w:rsid w:val="00004A7E"/>
    <w:rsid w:val="00020730"/>
    <w:rsid w:val="00032A11"/>
    <w:rsid w:val="00074E2D"/>
    <w:rsid w:val="00084194"/>
    <w:rsid w:val="00091203"/>
    <w:rsid w:val="000E46AC"/>
    <w:rsid w:val="000E6641"/>
    <w:rsid w:val="00103E9E"/>
    <w:rsid w:val="00121C76"/>
    <w:rsid w:val="00132C25"/>
    <w:rsid w:val="0017033D"/>
    <w:rsid w:val="0017508C"/>
    <w:rsid w:val="00181691"/>
    <w:rsid w:val="001945FA"/>
    <w:rsid w:val="001A5D2A"/>
    <w:rsid w:val="001C1696"/>
    <w:rsid w:val="001D1718"/>
    <w:rsid w:val="001D651D"/>
    <w:rsid w:val="0021063D"/>
    <w:rsid w:val="00211DBF"/>
    <w:rsid w:val="002253C2"/>
    <w:rsid w:val="00255F59"/>
    <w:rsid w:val="00273F14"/>
    <w:rsid w:val="00274168"/>
    <w:rsid w:val="00275E13"/>
    <w:rsid w:val="00276377"/>
    <w:rsid w:val="00277A03"/>
    <w:rsid w:val="00295D74"/>
    <w:rsid w:val="002A61DB"/>
    <w:rsid w:val="002B3EF6"/>
    <w:rsid w:val="002B5E81"/>
    <w:rsid w:val="002C4AF9"/>
    <w:rsid w:val="002D0A77"/>
    <w:rsid w:val="002E709F"/>
    <w:rsid w:val="002F6F2C"/>
    <w:rsid w:val="0032156B"/>
    <w:rsid w:val="003409D1"/>
    <w:rsid w:val="0035505E"/>
    <w:rsid w:val="00381490"/>
    <w:rsid w:val="003844BD"/>
    <w:rsid w:val="00392258"/>
    <w:rsid w:val="00392BD2"/>
    <w:rsid w:val="003C2447"/>
    <w:rsid w:val="003D40D8"/>
    <w:rsid w:val="003D42EE"/>
    <w:rsid w:val="003E5D0A"/>
    <w:rsid w:val="003F4AD9"/>
    <w:rsid w:val="004050A5"/>
    <w:rsid w:val="00432113"/>
    <w:rsid w:val="004461BA"/>
    <w:rsid w:val="00451365"/>
    <w:rsid w:val="00453F99"/>
    <w:rsid w:val="004578BD"/>
    <w:rsid w:val="00457F63"/>
    <w:rsid w:val="004610D8"/>
    <w:rsid w:val="00465823"/>
    <w:rsid w:val="004745BC"/>
    <w:rsid w:val="00474E0D"/>
    <w:rsid w:val="0049783C"/>
    <w:rsid w:val="004E2CE2"/>
    <w:rsid w:val="005079B0"/>
    <w:rsid w:val="00517ADF"/>
    <w:rsid w:val="005222DA"/>
    <w:rsid w:val="00523D4F"/>
    <w:rsid w:val="005270D4"/>
    <w:rsid w:val="00537032"/>
    <w:rsid w:val="00543222"/>
    <w:rsid w:val="00570C07"/>
    <w:rsid w:val="00574AC1"/>
    <w:rsid w:val="00574E6B"/>
    <w:rsid w:val="005775CD"/>
    <w:rsid w:val="005B6899"/>
    <w:rsid w:val="005B6EA1"/>
    <w:rsid w:val="005C3614"/>
    <w:rsid w:val="005D625E"/>
    <w:rsid w:val="00603006"/>
    <w:rsid w:val="006435D4"/>
    <w:rsid w:val="00644832"/>
    <w:rsid w:val="00663519"/>
    <w:rsid w:val="0066580E"/>
    <w:rsid w:val="00687571"/>
    <w:rsid w:val="00687D55"/>
    <w:rsid w:val="00697142"/>
    <w:rsid w:val="006A1694"/>
    <w:rsid w:val="006A30EA"/>
    <w:rsid w:val="006B04A3"/>
    <w:rsid w:val="006D1B7E"/>
    <w:rsid w:val="006E3561"/>
    <w:rsid w:val="006F5B19"/>
    <w:rsid w:val="00703119"/>
    <w:rsid w:val="00703401"/>
    <w:rsid w:val="00713AF8"/>
    <w:rsid w:val="0072791B"/>
    <w:rsid w:val="0074398F"/>
    <w:rsid w:val="007525F4"/>
    <w:rsid w:val="00754882"/>
    <w:rsid w:val="007629C3"/>
    <w:rsid w:val="0076426C"/>
    <w:rsid w:val="00767F5B"/>
    <w:rsid w:val="00771D19"/>
    <w:rsid w:val="0077236F"/>
    <w:rsid w:val="007833BA"/>
    <w:rsid w:val="007977F4"/>
    <w:rsid w:val="007B3062"/>
    <w:rsid w:val="007C3902"/>
    <w:rsid w:val="007C5E6D"/>
    <w:rsid w:val="007C7285"/>
    <w:rsid w:val="007D1406"/>
    <w:rsid w:val="007D1F6A"/>
    <w:rsid w:val="007D4100"/>
    <w:rsid w:val="007E5DF5"/>
    <w:rsid w:val="007E6D37"/>
    <w:rsid w:val="008025C8"/>
    <w:rsid w:val="0082793E"/>
    <w:rsid w:val="00854883"/>
    <w:rsid w:val="008610E5"/>
    <w:rsid w:val="00861CE6"/>
    <w:rsid w:val="008633C4"/>
    <w:rsid w:val="00876729"/>
    <w:rsid w:val="008806D0"/>
    <w:rsid w:val="00887593"/>
    <w:rsid w:val="00887686"/>
    <w:rsid w:val="00887C9C"/>
    <w:rsid w:val="0089167C"/>
    <w:rsid w:val="008B07FA"/>
    <w:rsid w:val="008C7F01"/>
    <w:rsid w:val="008D2873"/>
    <w:rsid w:val="008E3CDD"/>
    <w:rsid w:val="0091140C"/>
    <w:rsid w:val="00912D71"/>
    <w:rsid w:val="0091416E"/>
    <w:rsid w:val="009203D8"/>
    <w:rsid w:val="009307E9"/>
    <w:rsid w:val="00932FF2"/>
    <w:rsid w:val="009420BB"/>
    <w:rsid w:val="00967C09"/>
    <w:rsid w:val="00970C4C"/>
    <w:rsid w:val="0097369C"/>
    <w:rsid w:val="0098672B"/>
    <w:rsid w:val="009D5267"/>
    <w:rsid w:val="009E6ABB"/>
    <w:rsid w:val="009F0961"/>
    <w:rsid w:val="00A10B64"/>
    <w:rsid w:val="00A265C5"/>
    <w:rsid w:val="00A377BB"/>
    <w:rsid w:val="00A432FA"/>
    <w:rsid w:val="00A53C91"/>
    <w:rsid w:val="00A54861"/>
    <w:rsid w:val="00A55999"/>
    <w:rsid w:val="00A761FD"/>
    <w:rsid w:val="00A77AE4"/>
    <w:rsid w:val="00A8286F"/>
    <w:rsid w:val="00A95390"/>
    <w:rsid w:val="00A95508"/>
    <w:rsid w:val="00AA5803"/>
    <w:rsid w:val="00AC1DD0"/>
    <w:rsid w:val="00AC5387"/>
    <w:rsid w:val="00AD0886"/>
    <w:rsid w:val="00AE10E9"/>
    <w:rsid w:val="00AE1DE7"/>
    <w:rsid w:val="00AF6B08"/>
    <w:rsid w:val="00B039D3"/>
    <w:rsid w:val="00B176FB"/>
    <w:rsid w:val="00B419D4"/>
    <w:rsid w:val="00B454D5"/>
    <w:rsid w:val="00B555D3"/>
    <w:rsid w:val="00B6070B"/>
    <w:rsid w:val="00B614F8"/>
    <w:rsid w:val="00B96361"/>
    <w:rsid w:val="00B96B79"/>
    <w:rsid w:val="00BA1736"/>
    <w:rsid w:val="00BA4AE9"/>
    <w:rsid w:val="00BC349D"/>
    <w:rsid w:val="00BC4E3B"/>
    <w:rsid w:val="00C15732"/>
    <w:rsid w:val="00C4490A"/>
    <w:rsid w:val="00C524FE"/>
    <w:rsid w:val="00C6252B"/>
    <w:rsid w:val="00C86AF0"/>
    <w:rsid w:val="00C95001"/>
    <w:rsid w:val="00CB2C1C"/>
    <w:rsid w:val="00CB5F06"/>
    <w:rsid w:val="00CC6B68"/>
    <w:rsid w:val="00CD2190"/>
    <w:rsid w:val="00D16D05"/>
    <w:rsid w:val="00D43C1B"/>
    <w:rsid w:val="00D541A8"/>
    <w:rsid w:val="00D671F2"/>
    <w:rsid w:val="00D754A8"/>
    <w:rsid w:val="00D81F36"/>
    <w:rsid w:val="00D87074"/>
    <w:rsid w:val="00D93410"/>
    <w:rsid w:val="00DB23CC"/>
    <w:rsid w:val="00DB4063"/>
    <w:rsid w:val="00DC68E5"/>
    <w:rsid w:val="00DF243E"/>
    <w:rsid w:val="00DF29DD"/>
    <w:rsid w:val="00E04B5D"/>
    <w:rsid w:val="00E3007F"/>
    <w:rsid w:val="00E36D09"/>
    <w:rsid w:val="00E428DE"/>
    <w:rsid w:val="00E42EF0"/>
    <w:rsid w:val="00E5069B"/>
    <w:rsid w:val="00E61D38"/>
    <w:rsid w:val="00E7288D"/>
    <w:rsid w:val="00E80B7A"/>
    <w:rsid w:val="00E92176"/>
    <w:rsid w:val="00EA3D4F"/>
    <w:rsid w:val="00EB21A6"/>
    <w:rsid w:val="00EB2E53"/>
    <w:rsid w:val="00EB531F"/>
    <w:rsid w:val="00EC22C7"/>
    <w:rsid w:val="00F008F2"/>
    <w:rsid w:val="00F253F2"/>
    <w:rsid w:val="00F4480C"/>
    <w:rsid w:val="00F57D65"/>
    <w:rsid w:val="00F70394"/>
    <w:rsid w:val="00F770D2"/>
    <w:rsid w:val="00FA577D"/>
    <w:rsid w:val="00FB0AFA"/>
    <w:rsid w:val="00FB0C56"/>
    <w:rsid w:val="00FB6AEA"/>
    <w:rsid w:val="00FC34CB"/>
    <w:rsid w:val="00FE46FC"/>
    <w:rsid w:val="00FF5A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34CF0C9"/>
  <w15:chartTrackingRefBased/>
  <w15:docId w15:val="{29397BF8-B86A-48B1-B0CE-CC399057C7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610D8"/>
    <w:rPr>
      <w:color w:val="0563C1" w:themeColor="hyperlink"/>
      <w:u w:val="single"/>
    </w:rPr>
  </w:style>
  <w:style w:type="character" w:styleId="UnresolvedMention">
    <w:name w:val="Unresolved Mention"/>
    <w:basedOn w:val="DefaultParagraphFont"/>
    <w:uiPriority w:val="99"/>
    <w:semiHidden/>
    <w:unhideWhenUsed/>
    <w:rsid w:val="004610D8"/>
    <w:rPr>
      <w:color w:val="605E5C"/>
      <w:shd w:val="clear" w:color="auto" w:fill="E1DFDD"/>
    </w:rPr>
  </w:style>
  <w:style w:type="character" w:styleId="FollowedHyperlink">
    <w:name w:val="FollowedHyperlink"/>
    <w:basedOn w:val="DefaultParagraphFont"/>
    <w:uiPriority w:val="99"/>
    <w:semiHidden/>
    <w:unhideWhenUsed/>
    <w:rsid w:val="004610D8"/>
    <w:rPr>
      <w:color w:val="954F72" w:themeColor="followedHyperlink"/>
      <w:u w:val="single"/>
    </w:rPr>
  </w:style>
  <w:style w:type="paragraph" w:styleId="FootnoteText">
    <w:name w:val="footnote text"/>
    <w:basedOn w:val="Normal"/>
    <w:link w:val="FootnoteTextChar"/>
    <w:uiPriority w:val="99"/>
    <w:unhideWhenUsed/>
    <w:rsid w:val="006D1B7E"/>
    <w:pPr>
      <w:spacing w:after="0" w:line="240" w:lineRule="auto"/>
    </w:pPr>
    <w:rPr>
      <w:sz w:val="20"/>
      <w:szCs w:val="20"/>
    </w:rPr>
  </w:style>
  <w:style w:type="character" w:customStyle="1" w:styleId="FootnoteTextChar">
    <w:name w:val="Footnote Text Char"/>
    <w:basedOn w:val="DefaultParagraphFont"/>
    <w:link w:val="FootnoteText"/>
    <w:uiPriority w:val="99"/>
    <w:rsid w:val="006D1B7E"/>
    <w:rPr>
      <w:sz w:val="20"/>
      <w:szCs w:val="20"/>
    </w:rPr>
  </w:style>
  <w:style w:type="character" w:styleId="FootnoteReference">
    <w:name w:val="footnote reference"/>
    <w:basedOn w:val="DefaultParagraphFont"/>
    <w:uiPriority w:val="99"/>
    <w:semiHidden/>
    <w:unhideWhenUsed/>
    <w:rsid w:val="006D1B7E"/>
    <w:rPr>
      <w:vertAlign w:val="superscript"/>
    </w:rPr>
  </w:style>
  <w:style w:type="paragraph" w:styleId="Header">
    <w:name w:val="header"/>
    <w:basedOn w:val="Normal"/>
    <w:link w:val="HeaderChar"/>
    <w:uiPriority w:val="99"/>
    <w:unhideWhenUsed/>
    <w:rsid w:val="008876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7686"/>
  </w:style>
  <w:style w:type="paragraph" w:styleId="Footer">
    <w:name w:val="footer"/>
    <w:basedOn w:val="Normal"/>
    <w:link w:val="FooterChar"/>
    <w:uiPriority w:val="99"/>
    <w:unhideWhenUsed/>
    <w:rsid w:val="008876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76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0217895">
      <w:bodyDiv w:val="1"/>
      <w:marLeft w:val="0"/>
      <w:marRight w:val="0"/>
      <w:marTop w:val="0"/>
      <w:marBottom w:val="0"/>
      <w:divBdr>
        <w:top w:val="none" w:sz="0" w:space="0" w:color="auto"/>
        <w:left w:val="none" w:sz="0" w:space="0" w:color="auto"/>
        <w:bottom w:val="none" w:sz="0" w:space="0" w:color="auto"/>
        <w:right w:val="none" w:sz="0" w:space="0" w:color="auto"/>
      </w:divBdr>
      <w:divsChild>
        <w:div w:id="1136533324">
          <w:marLeft w:val="0"/>
          <w:marRight w:val="0"/>
          <w:marTop w:val="0"/>
          <w:marBottom w:val="225"/>
          <w:divBdr>
            <w:top w:val="none" w:sz="0" w:space="0" w:color="auto"/>
            <w:left w:val="none" w:sz="0" w:space="0" w:color="auto"/>
            <w:bottom w:val="none" w:sz="0" w:space="0" w:color="auto"/>
            <w:right w:val="none" w:sz="0" w:space="0" w:color="auto"/>
          </w:divBdr>
        </w:div>
        <w:div w:id="235553816">
          <w:marLeft w:val="0"/>
          <w:marRight w:val="0"/>
          <w:marTop w:val="0"/>
          <w:marBottom w:val="225"/>
          <w:divBdr>
            <w:top w:val="none" w:sz="0" w:space="0" w:color="auto"/>
            <w:left w:val="none" w:sz="0" w:space="0" w:color="auto"/>
            <w:bottom w:val="none" w:sz="0" w:space="0" w:color="auto"/>
            <w:right w:val="none" w:sz="0" w:space="0" w:color="auto"/>
          </w:divBdr>
          <w:divsChild>
            <w:div w:id="851652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troducingmedievalchristianity.wordpree.com/2019/07/08/medieval-annunciation-symbolism/" TargetMode="External"/><Relationship Id="rId13" Type="http://schemas.openxmlformats.org/officeDocument/2006/relationships/hyperlink" Target="https://rochestercathedral.org/research/book-of-hour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christiansymbolsinart.wordpress.com" TargetMode="External"/><Relationship Id="rId12" Type="http://schemas.openxmlformats.org/officeDocument/2006/relationships/hyperlink" Target="https://fitzmuseum.cam.ac.uk"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etmuseum.org/toah/hd/chri/hd" TargetMode="External"/><Relationship Id="rId5" Type="http://schemas.openxmlformats.org/officeDocument/2006/relationships/footnotes" Target="footnotes.xml"/><Relationship Id="rId15" Type="http://schemas.openxmlformats.org/officeDocument/2006/relationships/image" Target="file:///C:\Users\user\Downloads\Hours%20of%20Henry%20VII%20-%20caption_%20'The%20Virgin%20Mary%20receiving%20t&#8230;%20_%20Flickr_files\12459199083_e7ec53fb72_z.jpg" TargetMode="External"/><Relationship Id="rId10" Type="http://schemas.openxmlformats.org/officeDocument/2006/relationships/hyperlink" Target="https://exeter-catherdral.org.uk"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515/97819424o1636" TargetMode="External"/><Relationship Id="rId14" Type="http://schemas.openxmlformats.org/officeDocument/2006/relationships/hyperlink" Target="https://bbc.com/culture/article/20210623-the-halo-a-symbol-that-spread-around-the-world"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nga.gov/collection/van-eyck-the-annunciation.html" TargetMode="External"/><Relationship Id="rId3" Type="http://schemas.openxmlformats.org/officeDocument/2006/relationships/hyperlink" Target="https://www.metmuseum.org/toah/hd/chri/hd" TargetMode="External"/><Relationship Id="rId7" Type="http://schemas.openxmlformats.org/officeDocument/2006/relationships/hyperlink" Target="https://doi.org/10.1515/97819424o1636" TargetMode="External"/><Relationship Id="rId2" Type="http://schemas.openxmlformats.org/officeDocument/2006/relationships/hyperlink" Target="https://www.interscience.wiley.com" TargetMode="External"/><Relationship Id="rId1" Type="http://schemas.openxmlformats.org/officeDocument/2006/relationships/hyperlink" Target="https://fitzwilliam.cam.ac.uk/illuminated/manuscripts/discover/leaves-from-the-hours-of-charles-de-martigny" TargetMode="External"/><Relationship Id="rId6" Type="http://schemas.openxmlformats.org/officeDocument/2006/relationships/hyperlink" Target="https://merton.ox.ac.uk" TargetMode="External"/><Relationship Id="rId11" Type="http://schemas.openxmlformats.org/officeDocument/2006/relationships/hyperlink" Target="https://exeter-catherdral.org.uk" TargetMode="External"/><Relationship Id="rId5" Type="http://schemas.openxmlformats.org/officeDocument/2006/relationships/hyperlink" Target="https://www.metmuseum.org/toah/hd" TargetMode="External"/><Relationship Id="rId10" Type="http://schemas.openxmlformats.org/officeDocument/2006/relationships/hyperlink" Target="https://bbc.com/culture/article/20210623-the-halo-a-symbol-that-spread-around-the-world" TargetMode="External"/><Relationship Id="rId4" Type="http://schemas.openxmlformats.org/officeDocument/2006/relationships/hyperlink" Target="https://rochestercathedral.org/research/book-of-hours" TargetMode="External"/><Relationship Id="rId9" Type="http://schemas.openxmlformats.org/officeDocument/2006/relationships/hyperlink" Target="https://www.introducingmedievalchristianity.wordpree.com/2019/07/08/medieval-annunciation-symboli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FE077E-BE28-4B92-80C9-19B9BFDFF4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2492</Words>
  <Characters>14205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 Goatcher</dc:creator>
  <cp:keywords/>
  <dc:description/>
  <cp:lastModifiedBy>Joan Goatcher</cp:lastModifiedBy>
  <cp:revision>2</cp:revision>
  <cp:lastPrinted>2023-12-06T18:06:00Z</cp:lastPrinted>
  <dcterms:created xsi:type="dcterms:W3CDTF">2023-12-13T07:02:00Z</dcterms:created>
  <dcterms:modified xsi:type="dcterms:W3CDTF">2023-12-13T07:02:00Z</dcterms:modified>
</cp:coreProperties>
</file>