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A46FE" w14:textId="77777777" w:rsidR="004E31D4" w:rsidRPr="00BD7EC4" w:rsidRDefault="004E31D4" w:rsidP="004E31D4">
      <w:pPr>
        <w:jc w:val="center"/>
        <w:rPr>
          <w:rFonts w:ascii="Arial" w:eastAsia="Calibri" w:hAnsi="Arial" w:cs="Arial"/>
          <w:b/>
          <w:bCs/>
          <w:color w:val="000000"/>
          <w:kern w:val="0"/>
          <w:sz w:val="44"/>
          <w:szCs w:val="44"/>
          <w:shd w:val="clear" w:color="auto" w:fill="FFFFFF"/>
          <w14:ligatures w14:val="none"/>
        </w:rPr>
      </w:pPr>
      <w:r w:rsidRPr="00BD7EC4">
        <w:rPr>
          <w:rFonts w:ascii="Arial" w:eastAsia="Calibri" w:hAnsi="Arial" w:cs="Arial"/>
          <w:b/>
          <w:bCs/>
          <w:sz w:val="44"/>
          <w:szCs w:val="44"/>
        </w:rPr>
        <w:t>Business Report - Comparison of Two Hospitality Organisations</w:t>
      </w:r>
    </w:p>
    <w:p w14:paraId="3DD273C3"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4DAFD27C"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6D2AC64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D0636F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278589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r w:rsidRPr="0088597E">
        <w:rPr>
          <w:rFonts w:ascii="Arial" w:eastAsia="Calibri" w:hAnsi="Arial" w:cs="Arial"/>
          <w:noProof/>
          <w:sz w:val="24"/>
          <w:szCs w:val="24"/>
        </w:rPr>
        <w:drawing>
          <wp:anchor distT="0" distB="0" distL="114300" distR="114300" simplePos="0" relativeHeight="251659264" behindDoc="0" locked="0" layoutInCell="1" allowOverlap="1" wp14:anchorId="6EA9947A" wp14:editId="7AB1FF8F">
            <wp:simplePos x="0" y="0"/>
            <wp:positionH relativeFrom="margin">
              <wp:posOffset>1528445</wp:posOffset>
            </wp:positionH>
            <wp:positionV relativeFrom="paragraph">
              <wp:posOffset>81280</wp:posOffset>
            </wp:positionV>
            <wp:extent cx="2865755" cy="1432560"/>
            <wp:effectExtent l="0" t="0" r="0" b="0"/>
            <wp:wrapThrough wrapText="bothSides">
              <wp:wrapPolygon edited="0">
                <wp:start x="0" y="0"/>
                <wp:lineTo x="0" y="21255"/>
                <wp:lineTo x="21394" y="21255"/>
                <wp:lineTo x="21394" y="0"/>
                <wp:lineTo x="0" y="0"/>
              </wp:wrapPolygon>
            </wp:wrapThrough>
            <wp:docPr id="1108851680" name="Picture 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font, logo, symb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755" cy="1432560"/>
                    </a:xfrm>
                    <a:prstGeom prst="rect">
                      <a:avLst/>
                    </a:prstGeom>
                    <a:noFill/>
                  </pic:spPr>
                </pic:pic>
              </a:graphicData>
            </a:graphic>
            <wp14:sizeRelH relativeFrom="margin">
              <wp14:pctWidth>0</wp14:pctWidth>
            </wp14:sizeRelH>
            <wp14:sizeRelV relativeFrom="margin">
              <wp14:pctHeight>0</wp14:pctHeight>
            </wp14:sizeRelV>
          </wp:anchor>
        </w:drawing>
      </w:r>
    </w:p>
    <w:p w14:paraId="2DEC2433"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73595F6"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3DC6EB9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1349B96F"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0E5B912C"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69DD0126"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E820989"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3DB4BAD7" w14:textId="77777777" w:rsidR="004E31D4" w:rsidRDefault="004E31D4" w:rsidP="004E31D4">
      <w:pPr>
        <w:jc w:val="both"/>
        <w:rPr>
          <w:rFonts w:ascii="Arial" w:eastAsia="Calibri" w:hAnsi="Arial" w:cs="Arial"/>
          <w:b/>
          <w:bCs/>
          <w:color w:val="000000"/>
          <w:kern w:val="0"/>
          <w:sz w:val="24"/>
          <w:szCs w:val="24"/>
          <w:shd w:val="clear" w:color="auto" w:fill="FFFFFF"/>
          <w14:ligatures w14:val="none"/>
        </w:rPr>
      </w:pPr>
    </w:p>
    <w:p w14:paraId="59709D6D" w14:textId="77777777" w:rsidR="004E31D4" w:rsidRPr="0088597E" w:rsidRDefault="004E31D4" w:rsidP="004E31D4">
      <w:pPr>
        <w:jc w:val="both"/>
        <w:rPr>
          <w:rFonts w:ascii="Arial" w:eastAsia="Calibri" w:hAnsi="Arial" w:cs="Arial"/>
          <w:b/>
          <w:bCs/>
          <w:color w:val="000000"/>
          <w:kern w:val="0"/>
          <w:sz w:val="24"/>
          <w:szCs w:val="24"/>
          <w:shd w:val="clear" w:color="auto" w:fill="FFFFFF"/>
          <w14:ligatures w14:val="none"/>
        </w:rPr>
      </w:pPr>
    </w:p>
    <w:p w14:paraId="505437D6" w14:textId="77777777"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Madalin Mihai Simion</w:t>
      </w:r>
    </w:p>
    <w:p w14:paraId="49EEF365" w14:textId="77777777"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2246328</w:t>
      </w:r>
    </w:p>
    <w:p w14:paraId="6EFC3DAF" w14:textId="511369BE"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4E31D4">
        <w:rPr>
          <w:rFonts w:ascii="Arial" w:eastAsia="Calibri" w:hAnsi="Arial" w:cs="Arial"/>
          <w:b/>
          <w:bCs/>
          <w:color w:val="000000"/>
          <w:kern w:val="0"/>
          <w:sz w:val="32"/>
          <w:szCs w:val="32"/>
          <w:shd w:val="clear" w:color="auto" w:fill="FFFFFF"/>
          <w14:ligatures w14:val="none"/>
        </w:rPr>
        <w:t xml:space="preserve">Sustainable Hospitality &amp; Tourism Management </w:t>
      </w:r>
      <w:r>
        <w:rPr>
          <w:rFonts w:ascii="Arial" w:eastAsia="Calibri" w:hAnsi="Arial" w:cs="Arial"/>
          <w:b/>
          <w:bCs/>
          <w:color w:val="000000"/>
          <w:kern w:val="0"/>
          <w:sz w:val="32"/>
          <w:szCs w:val="32"/>
          <w:shd w:val="clear" w:color="auto" w:fill="FFFFFF"/>
          <w14:ligatures w14:val="none"/>
        </w:rPr>
        <w:t>(BMIH 5006)</w:t>
      </w:r>
      <w:r w:rsidRPr="00BD7EC4">
        <w:rPr>
          <w:rFonts w:ascii="Arial" w:eastAsia="Calibri" w:hAnsi="Arial" w:cs="Arial"/>
          <w:b/>
          <w:bCs/>
          <w:color w:val="000000"/>
          <w:kern w:val="0"/>
          <w:sz w:val="32"/>
          <w:szCs w:val="32"/>
          <w:shd w:val="clear" w:color="auto" w:fill="FFFFFF"/>
          <w14:ligatures w14:val="none"/>
        </w:rPr>
        <w:t xml:space="preserve"> </w:t>
      </w:r>
    </w:p>
    <w:p w14:paraId="54D4E968" w14:textId="77777777" w:rsidR="004E31D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4E31D4">
        <w:rPr>
          <w:rFonts w:ascii="Arial" w:eastAsia="Calibri" w:hAnsi="Arial" w:cs="Arial"/>
          <w:b/>
          <w:bCs/>
          <w:color w:val="000000"/>
          <w:kern w:val="0"/>
          <w:sz w:val="32"/>
          <w:szCs w:val="32"/>
          <w:shd w:val="clear" w:color="auto" w:fill="FFFFFF"/>
          <w14:ligatures w14:val="none"/>
        </w:rPr>
        <w:t>Kathryn Roberts</w:t>
      </w:r>
    </w:p>
    <w:p w14:paraId="28C4B72F" w14:textId="1415759F" w:rsidR="004E31D4" w:rsidRPr="00BD7EC4" w:rsidRDefault="004E31D4" w:rsidP="004E31D4">
      <w:pPr>
        <w:numPr>
          <w:ilvl w:val="0"/>
          <w:numId w:val="10"/>
        </w:numPr>
        <w:spacing w:line="256" w:lineRule="auto"/>
        <w:jc w:val="both"/>
        <w:rPr>
          <w:rFonts w:ascii="Arial" w:eastAsia="Calibri" w:hAnsi="Arial" w:cs="Arial"/>
          <w:b/>
          <w:bCs/>
          <w:color w:val="000000"/>
          <w:kern w:val="0"/>
          <w:sz w:val="32"/>
          <w:szCs w:val="32"/>
          <w:shd w:val="clear" w:color="auto" w:fill="FFFFFF"/>
          <w14:ligatures w14:val="none"/>
        </w:rPr>
      </w:pPr>
      <w:r w:rsidRPr="00BD7EC4">
        <w:rPr>
          <w:rFonts w:ascii="Arial" w:eastAsia="Calibri" w:hAnsi="Arial" w:cs="Arial"/>
          <w:b/>
          <w:bCs/>
          <w:color w:val="000000"/>
          <w:kern w:val="0"/>
          <w:sz w:val="32"/>
          <w:szCs w:val="32"/>
          <w:shd w:val="clear" w:color="auto" w:fill="FFFFFF"/>
          <w14:ligatures w14:val="none"/>
        </w:rPr>
        <w:t xml:space="preserve">Word count: </w:t>
      </w:r>
      <w:r w:rsidR="00B94FC0">
        <w:rPr>
          <w:rFonts w:ascii="Arial" w:eastAsia="Calibri" w:hAnsi="Arial" w:cs="Arial"/>
          <w:b/>
          <w:bCs/>
          <w:color w:val="000000"/>
          <w:kern w:val="0"/>
          <w:sz w:val="32"/>
          <w:szCs w:val="32"/>
          <w:shd w:val="clear" w:color="auto" w:fill="FFFFFF"/>
          <w14:ligatures w14:val="none"/>
        </w:rPr>
        <w:t>2237</w:t>
      </w:r>
    </w:p>
    <w:p w14:paraId="1DB45D71" w14:textId="77777777" w:rsidR="004E31D4" w:rsidRPr="00BD7EC4" w:rsidRDefault="004E31D4" w:rsidP="004E31D4">
      <w:pPr>
        <w:spacing w:line="256" w:lineRule="auto"/>
        <w:jc w:val="both"/>
        <w:rPr>
          <w:rFonts w:ascii="Arial" w:eastAsia="Calibri" w:hAnsi="Arial" w:cs="Arial"/>
          <w:b/>
          <w:bCs/>
          <w:color w:val="000000"/>
          <w:kern w:val="0"/>
          <w:sz w:val="32"/>
          <w:szCs w:val="32"/>
          <w:shd w:val="clear" w:color="auto" w:fill="FFFFFF"/>
          <w14:ligatures w14:val="none"/>
        </w:rPr>
      </w:pPr>
    </w:p>
    <w:p w14:paraId="2B7189F3" w14:textId="77777777" w:rsidR="004E31D4" w:rsidRPr="0088597E"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3DC5F735"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5234F3A3"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719EAF6D" w14:textId="77777777"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57FD0F30" w14:textId="070B1586" w:rsidR="004E31D4"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p w14:paraId="34AF1767" w14:textId="77777777" w:rsidR="004E31D4" w:rsidRPr="0088597E" w:rsidRDefault="004E31D4" w:rsidP="004E31D4">
      <w:pPr>
        <w:spacing w:line="256" w:lineRule="auto"/>
        <w:jc w:val="both"/>
        <w:rPr>
          <w:rFonts w:ascii="Arial" w:eastAsia="Calibri" w:hAnsi="Arial" w:cs="Arial"/>
          <w:b/>
          <w:bCs/>
          <w:color w:val="000000"/>
          <w:kern w:val="0"/>
          <w:sz w:val="24"/>
          <w:szCs w:val="24"/>
          <w:shd w:val="clear" w:color="auto" w:fill="FFFFFF"/>
          <w14:ligatures w14:val="none"/>
        </w:rPr>
      </w:pPr>
    </w:p>
    <w:sdt>
      <w:sdtPr>
        <w:rPr>
          <w:rFonts w:asciiTheme="minorHAnsi" w:eastAsiaTheme="minorHAnsi" w:hAnsiTheme="minorHAnsi" w:cstheme="minorBidi"/>
          <w:color w:val="auto"/>
          <w:kern w:val="2"/>
          <w:sz w:val="22"/>
          <w:szCs w:val="22"/>
          <w:lang w:val="en-GB"/>
          <w14:ligatures w14:val="standardContextual"/>
        </w:rPr>
        <w:id w:val="792640054"/>
        <w:docPartObj>
          <w:docPartGallery w:val="Table of Contents"/>
          <w:docPartUnique/>
        </w:docPartObj>
      </w:sdtPr>
      <w:sdtEndPr>
        <w:rPr>
          <w:b/>
          <w:bCs/>
          <w:noProof/>
        </w:rPr>
      </w:sdtEndPr>
      <w:sdtContent>
        <w:p w14:paraId="676DFFB8" w14:textId="0D0BC55F" w:rsidR="004D31C8" w:rsidRDefault="004D31C8">
          <w:pPr>
            <w:pStyle w:val="TOCHeading"/>
          </w:pPr>
          <w:r>
            <w:t>Contents</w:t>
          </w:r>
        </w:p>
        <w:p w14:paraId="479E0A72" w14:textId="174521E8" w:rsidR="00941E02" w:rsidRPr="00941E02" w:rsidRDefault="004D31C8">
          <w:pPr>
            <w:pStyle w:val="TOC1"/>
            <w:tabs>
              <w:tab w:val="right" w:leader="dot" w:pos="9016"/>
            </w:tabs>
            <w:rPr>
              <w:rFonts w:cstheme="minorBidi"/>
              <w:b/>
              <w:bCs/>
              <w:noProof/>
              <w:kern w:val="2"/>
              <w:sz w:val="24"/>
              <w:szCs w:val="24"/>
              <w:lang w:val="en-GB" w:eastAsia="en-GB"/>
              <w14:ligatures w14:val="standardContextual"/>
            </w:rPr>
          </w:pPr>
          <w:r>
            <w:fldChar w:fldCharType="begin"/>
          </w:r>
          <w:r>
            <w:instrText xml:space="preserve"> TOC \o "1-3" \h \z \u </w:instrText>
          </w:r>
          <w:r>
            <w:fldChar w:fldCharType="separate"/>
          </w:r>
          <w:hyperlink w:anchor="_Toc188643941" w:history="1">
            <w:r w:rsidR="00941E02" w:rsidRPr="00941E02">
              <w:rPr>
                <w:rStyle w:val="Hyperlink"/>
                <w:b/>
                <w:bCs/>
                <w:noProof/>
              </w:rPr>
              <w:t>Introduction</w:t>
            </w:r>
            <w:r w:rsidR="00941E02" w:rsidRPr="00941E02">
              <w:rPr>
                <w:b/>
                <w:bCs/>
                <w:noProof/>
                <w:webHidden/>
              </w:rPr>
              <w:tab/>
            </w:r>
            <w:r w:rsidR="00941E02" w:rsidRPr="00941E02">
              <w:rPr>
                <w:b/>
                <w:bCs/>
                <w:noProof/>
                <w:webHidden/>
              </w:rPr>
              <w:fldChar w:fldCharType="begin"/>
            </w:r>
            <w:r w:rsidR="00941E02" w:rsidRPr="00941E02">
              <w:rPr>
                <w:b/>
                <w:bCs/>
                <w:noProof/>
                <w:webHidden/>
              </w:rPr>
              <w:instrText xml:space="preserve"> PAGEREF _Toc188643941 \h </w:instrText>
            </w:r>
            <w:r w:rsidR="00941E02" w:rsidRPr="00941E02">
              <w:rPr>
                <w:b/>
                <w:bCs/>
                <w:noProof/>
                <w:webHidden/>
              </w:rPr>
            </w:r>
            <w:r w:rsidR="00941E02" w:rsidRPr="00941E02">
              <w:rPr>
                <w:b/>
                <w:bCs/>
                <w:noProof/>
                <w:webHidden/>
              </w:rPr>
              <w:fldChar w:fldCharType="separate"/>
            </w:r>
            <w:r w:rsidR="00941E02" w:rsidRPr="00941E02">
              <w:rPr>
                <w:b/>
                <w:bCs/>
                <w:noProof/>
                <w:webHidden/>
              </w:rPr>
              <w:t>3</w:t>
            </w:r>
            <w:r w:rsidR="00941E02" w:rsidRPr="00941E02">
              <w:rPr>
                <w:b/>
                <w:bCs/>
                <w:noProof/>
                <w:webHidden/>
              </w:rPr>
              <w:fldChar w:fldCharType="end"/>
            </w:r>
          </w:hyperlink>
        </w:p>
        <w:p w14:paraId="150387E4" w14:textId="7E4B6E82"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2" w:history="1">
            <w:r w:rsidRPr="00941E02">
              <w:rPr>
                <w:rStyle w:val="Hyperlink"/>
                <w:rFonts w:ascii="Arial" w:hAnsi="Arial" w:cs="Arial"/>
                <w:b/>
                <w:bCs/>
                <w:noProof/>
              </w:rPr>
              <w:t>1. Hilton’s Current Sustainability Approach</w:t>
            </w:r>
            <w:r w:rsidRPr="00941E02">
              <w:rPr>
                <w:b/>
                <w:bCs/>
                <w:noProof/>
                <w:webHidden/>
              </w:rPr>
              <w:tab/>
            </w:r>
            <w:r w:rsidRPr="00941E02">
              <w:rPr>
                <w:b/>
                <w:bCs/>
                <w:noProof/>
                <w:webHidden/>
              </w:rPr>
              <w:fldChar w:fldCharType="begin"/>
            </w:r>
            <w:r w:rsidRPr="00941E02">
              <w:rPr>
                <w:b/>
                <w:bCs/>
                <w:noProof/>
                <w:webHidden/>
              </w:rPr>
              <w:instrText xml:space="preserve"> PAGEREF _Toc188643942 \h </w:instrText>
            </w:r>
            <w:r w:rsidRPr="00941E02">
              <w:rPr>
                <w:b/>
                <w:bCs/>
                <w:noProof/>
                <w:webHidden/>
              </w:rPr>
            </w:r>
            <w:r w:rsidRPr="00941E02">
              <w:rPr>
                <w:b/>
                <w:bCs/>
                <w:noProof/>
                <w:webHidden/>
              </w:rPr>
              <w:fldChar w:fldCharType="separate"/>
            </w:r>
            <w:r w:rsidRPr="00941E02">
              <w:rPr>
                <w:b/>
                <w:bCs/>
                <w:noProof/>
                <w:webHidden/>
              </w:rPr>
              <w:t>4</w:t>
            </w:r>
            <w:r w:rsidRPr="00941E02">
              <w:rPr>
                <w:b/>
                <w:bCs/>
                <w:noProof/>
                <w:webHidden/>
              </w:rPr>
              <w:fldChar w:fldCharType="end"/>
            </w:r>
          </w:hyperlink>
        </w:p>
        <w:p w14:paraId="4380EC73" w14:textId="5E4C1F83"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3" w:history="1">
            <w:r w:rsidRPr="00941E02">
              <w:rPr>
                <w:rStyle w:val="Hyperlink"/>
                <w:rFonts w:ascii="Arial" w:hAnsi="Arial" w:cs="Arial"/>
                <w:b/>
                <w:bCs/>
                <w:noProof/>
              </w:rPr>
              <w:t>2. The Gap in Food Waste Management</w:t>
            </w:r>
            <w:r w:rsidRPr="00941E02">
              <w:rPr>
                <w:b/>
                <w:bCs/>
                <w:noProof/>
                <w:webHidden/>
              </w:rPr>
              <w:tab/>
            </w:r>
            <w:r w:rsidRPr="00941E02">
              <w:rPr>
                <w:b/>
                <w:bCs/>
                <w:noProof/>
                <w:webHidden/>
              </w:rPr>
              <w:fldChar w:fldCharType="begin"/>
            </w:r>
            <w:r w:rsidRPr="00941E02">
              <w:rPr>
                <w:b/>
                <w:bCs/>
                <w:noProof/>
                <w:webHidden/>
              </w:rPr>
              <w:instrText xml:space="preserve"> PAGEREF _Toc188643943 \h </w:instrText>
            </w:r>
            <w:r w:rsidRPr="00941E02">
              <w:rPr>
                <w:b/>
                <w:bCs/>
                <w:noProof/>
                <w:webHidden/>
              </w:rPr>
            </w:r>
            <w:r w:rsidRPr="00941E02">
              <w:rPr>
                <w:b/>
                <w:bCs/>
                <w:noProof/>
                <w:webHidden/>
              </w:rPr>
              <w:fldChar w:fldCharType="separate"/>
            </w:r>
            <w:r w:rsidRPr="00941E02">
              <w:rPr>
                <w:b/>
                <w:bCs/>
                <w:noProof/>
                <w:webHidden/>
              </w:rPr>
              <w:t>4</w:t>
            </w:r>
            <w:r w:rsidRPr="00941E02">
              <w:rPr>
                <w:b/>
                <w:bCs/>
                <w:noProof/>
                <w:webHidden/>
              </w:rPr>
              <w:fldChar w:fldCharType="end"/>
            </w:r>
          </w:hyperlink>
        </w:p>
        <w:p w14:paraId="43FBE194" w14:textId="20DB1D42"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4" w:history="1">
            <w:r w:rsidRPr="00941E02">
              <w:rPr>
                <w:rStyle w:val="Hyperlink"/>
                <w:rFonts w:ascii="Arial" w:hAnsi="Arial" w:cs="Arial"/>
                <w:b/>
                <w:bCs/>
                <w:noProof/>
              </w:rPr>
              <w:t>3. Proposed Initiative: A Closed-Loop Food Waste System</w:t>
            </w:r>
            <w:r w:rsidRPr="00941E02">
              <w:rPr>
                <w:b/>
                <w:bCs/>
                <w:noProof/>
                <w:webHidden/>
              </w:rPr>
              <w:tab/>
            </w:r>
            <w:r w:rsidRPr="00941E02">
              <w:rPr>
                <w:b/>
                <w:bCs/>
                <w:noProof/>
                <w:webHidden/>
              </w:rPr>
              <w:fldChar w:fldCharType="begin"/>
            </w:r>
            <w:r w:rsidRPr="00941E02">
              <w:rPr>
                <w:b/>
                <w:bCs/>
                <w:noProof/>
                <w:webHidden/>
              </w:rPr>
              <w:instrText xml:space="preserve"> PAGEREF _Toc188643944 \h </w:instrText>
            </w:r>
            <w:r w:rsidRPr="00941E02">
              <w:rPr>
                <w:b/>
                <w:bCs/>
                <w:noProof/>
                <w:webHidden/>
              </w:rPr>
            </w:r>
            <w:r w:rsidRPr="00941E02">
              <w:rPr>
                <w:b/>
                <w:bCs/>
                <w:noProof/>
                <w:webHidden/>
              </w:rPr>
              <w:fldChar w:fldCharType="separate"/>
            </w:r>
            <w:r w:rsidRPr="00941E02">
              <w:rPr>
                <w:b/>
                <w:bCs/>
                <w:noProof/>
                <w:webHidden/>
              </w:rPr>
              <w:t>5</w:t>
            </w:r>
            <w:r w:rsidRPr="00941E02">
              <w:rPr>
                <w:b/>
                <w:bCs/>
                <w:noProof/>
                <w:webHidden/>
              </w:rPr>
              <w:fldChar w:fldCharType="end"/>
            </w:r>
          </w:hyperlink>
        </w:p>
        <w:p w14:paraId="3109B086" w14:textId="6ADA64E9"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5" w:history="1">
            <w:r w:rsidRPr="00941E02">
              <w:rPr>
                <w:rStyle w:val="Hyperlink"/>
                <w:b/>
                <w:bCs/>
                <w:noProof/>
              </w:rPr>
              <w:t>4. Critical Discussion</w:t>
            </w:r>
            <w:r w:rsidRPr="00941E02">
              <w:rPr>
                <w:b/>
                <w:bCs/>
                <w:noProof/>
                <w:webHidden/>
              </w:rPr>
              <w:tab/>
            </w:r>
            <w:r w:rsidRPr="00941E02">
              <w:rPr>
                <w:b/>
                <w:bCs/>
                <w:noProof/>
                <w:webHidden/>
              </w:rPr>
              <w:fldChar w:fldCharType="begin"/>
            </w:r>
            <w:r w:rsidRPr="00941E02">
              <w:rPr>
                <w:b/>
                <w:bCs/>
                <w:noProof/>
                <w:webHidden/>
              </w:rPr>
              <w:instrText xml:space="preserve"> PAGEREF _Toc188643945 \h </w:instrText>
            </w:r>
            <w:r w:rsidRPr="00941E02">
              <w:rPr>
                <w:b/>
                <w:bCs/>
                <w:noProof/>
                <w:webHidden/>
              </w:rPr>
            </w:r>
            <w:r w:rsidRPr="00941E02">
              <w:rPr>
                <w:b/>
                <w:bCs/>
                <w:noProof/>
                <w:webHidden/>
              </w:rPr>
              <w:fldChar w:fldCharType="separate"/>
            </w:r>
            <w:r w:rsidRPr="00941E02">
              <w:rPr>
                <w:b/>
                <w:bCs/>
                <w:noProof/>
                <w:webHidden/>
              </w:rPr>
              <w:t>6</w:t>
            </w:r>
            <w:r w:rsidRPr="00941E02">
              <w:rPr>
                <w:b/>
                <w:bCs/>
                <w:noProof/>
                <w:webHidden/>
              </w:rPr>
              <w:fldChar w:fldCharType="end"/>
            </w:r>
          </w:hyperlink>
        </w:p>
        <w:p w14:paraId="5BC5E2A3" w14:textId="02398245" w:rsidR="00941E02" w:rsidRPr="00941E02" w:rsidRDefault="00941E02">
          <w:pPr>
            <w:pStyle w:val="TOC2"/>
            <w:tabs>
              <w:tab w:val="right" w:leader="dot" w:pos="9016"/>
            </w:tabs>
            <w:rPr>
              <w:rFonts w:cstheme="minorBidi"/>
              <w:b/>
              <w:bCs/>
              <w:noProof/>
              <w:kern w:val="2"/>
              <w:sz w:val="24"/>
              <w:szCs w:val="24"/>
              <w:lang w:val="en-GB" w:eastAsia="en-GB"/>
              <w14:ligatures w14:val="standardContextual"/>
            </w:rPr>
          </w:pPr>
          <w:hyperlink w:anchor="_Toc188643946" w:history="1">
            <w:r w:rsidRPr="00941E02">
              <w:rPr>
                <w:rStyle w:val="Hyperlink"/>
                <w:b/>
                <w:bCs/>
                <w:noProof/>
              </w:rPr>
              <w:t>4.1 Benefits of a Closed-Loop Approach</w:t>
            </w:r>
            <w:r w:rsidRPr="00941E02">
              <w:rPr>
                <w:b/>
                <w:bCs/>
                <w:noProof/>
                <w:webHidden/>
              </w:rPr>
              <w:tab/>
            </w:r>
            <w:r w:rsidRPr="00941E02">
              <w:rPr>
                <w:b/>
                <w:bCs/>
                <w:noProof/>
                <w:webHidden/>
              </w:rPr>
              <w:fldChar w:fldCharType="begin"/>
            </w:r>
            <w:r w:rsidRPr="00941E02">
              <w:rPr>
                <w:b/>
                <w:bCs/>
                <w:noProof/>
                <w:webHidden/>
              </w:rPr>
              <w:instrText xml:space="preserve"> PAGEREF _Toc188643946 \h </w:instrText>
            </w:r>
            <w:r w:rsidRPr="00941E02">
              <w:rPr>
                <w:b/>
                <w:bCs/>
                <w:noProof/>
                <w:webHidden/>
              </w:rPr>
            </w:r>
            <w:r w:rsidRPr="00941E02">
              <w:rPr>
                <w:b/>
                <w:bCs/>
                <w:noProof/>
                <w:webHidden/>
              </w:rPr>
              <w:fldChar w:fldCharType="separate"/>
            </w:r>
            <w:r w:rsidRPr="00941E02">
              <w:rPr>
                <w:b/>
                <w:bCs/>
                <w:noProof/>
                <w:webHidden/>
              </w:rPr>
              <w:t>6</w:t>
            </w:r>
            <w:r w:rsidRPr="00941E02">
              <w:rPr>
                <w:b/>
                <w:bCs/>
                <w:noProof/>
                <w:webHidden/>
              </w:rPr>
              <w:fldChar w:fldCharType="end"/>
            </w:r>
          </w:hyperlink>
        </w:p>
        <w:p w14:paraId="51947EE0" w14:textId="1B8EFA71" w:rsidR="00941E02" w:rsidRPr="00941E02" w:rsidRDefault="00941E02">
          <w:pPr>
            <w:pStyle w:val="TOC2"/>
            <w:tabs>
              <w:tab w:val="right" w:leader="dot" w:pos="9016"/>
            </w:tabs>
            <w:rPr>
              <w:rFonts w:cstheme="minorBidi"/>
              <w:b/>
              <w:bCs/>
              <w:noProof/>
              <w:kern w:val="2"/>
              <w:sz w:val="24"/>
              <w:szCs w:val="24"/>
              <w:lang w:val="en-GB" w:eastAsia="en-GB"/>
              <w14:ligatures w14:val="standardContextual"/>
            </w:rPr>
          </w:pPr>
          <w:hyperlink w:anchor="_Toc188643947" w:history="1">
            <w:r w:rsidRPr="00941E02">
              <w:rPr>
                <w:rStyle w:val="Hyperlink"/>
                <w:b/>
                <w:bCs/>
                <w:noProof/>
              </w:rPr>
              <w:t>4.2 Potential Challenges and Contradictory Perspectives</w:t>
            </w:r>
            <w:r w:rsidRPr="00941E02">
              <w:rPr>
                <w:b/>
                <w:bCs/>
                <w:noProof/>
                <w:webHidden/>
              </w:rPr>
              <w:tab/>
            </w:r>
            <w:r w:rsidRPr="00941E02">
              <w:rPr>
                <w:b/>
                <w:bCs/>
                <w:noProof/>
                <w:webHidden/>
              </w:rPr>
              <w:fldChar w:fldCharType="begin"/>
            </w:r>
            <w:r w:rsidRPr="00941E02">
              <w:rPr>
                <w:b/>
                <w:bCs/>
                <w:noProof/>
                <w:webHidden/>
              </w:rPr>
              <w:instrText xml:space="preserve"> PAGEREF _Toc188643947 \h </w:instrText>
            </w:r>
            <w:r w:rsidRPr="00941E02">
              <w:rPr>
                <w:b/>
                <w:bCs/>
                <w:noProof/>
                <w:webHidden/>
              </w:rPr>
            </w:r>
            <w:r w:rsidRPr="00941E02">
              <w:rPr>
                <w:b/>
                <w:bCs/>
                <w:noProof/>
                <w:webHidden/>
              </w:rPr>
              <w:fldChar w:fldCharType="separate"/>
            </w:r>
            <w:r w:rsidRPr="00941E02">
              <w:rPr>
                <w:b/>
                <w:bCs/>
                <w:noProof/>
                <w:webHidden/>
              </w:rPr>
              <w:t>7</w:t>
            </w:r>
            <w:r w:rsidRPr="00941E02">
              <w:rPr>
                <w:b/>
                <w:bCs/>
                <w:noProof/>
                <w:webHidden/>
              </w:rPr>
              <w:fldChar w:fldCharType="end"/>
            </w:r>
          </w:hyperlink>
        </w:p>
        <w:p w14:paraId="48D43449" w14:textId="450EBB9E"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8" w:history="1">
            <w:r w:rsidRPr="00941E02">
              <w:rPr>
                <w:rStyle w:val="Hyperlink"/>
                <w:b/>
                <w:bCs/>
                <w:noProof/>
              </w:rPr>
              <w:t>5. Implementation Approach and Feasibility</w:t>
            </w:r>
            <w:r w:rsidRPr="00941E02">
              <w:rPr>
                <w:b/>
                <w:bCs/>
                <w:noProof/>
                <w:webHidden/>
              </w:rPr>
              <w:tab/>
            </w:r>
            <w:r w:rsidRPr="00941E02">
              <w:rPr>
                <w:b/>
                <w:bCs/>
                <w:noProof/>
                <w:webHidden/>
              </w:rPr>
              <w:fldChar w:fldCharType="begin"/>
            </w:r>
            <w:r w:rsidRPr="00941E02">
              <w:rPr>
                <w:b/>
                <w:bCs/>
                <w:noProof/>
                <w:webHidden/>
              </w:rPr>
              <w:instrText xml:space="preserve"> PAGEREF _Toc188643948 \h </w:instrText>
            </w:r>
            <w:r w:rsidRPr="00941E02">
              <w:rPr>
                <w:b/>
                <w:bCs/>
                <w:noProof/>
                <w:webHidden/>
              </w:rPr>
            </w:r>
            <w:r w:rsidRPr="00941E02">
              <w:rPr>
                <w:b/>
                <w:bCs/>
                <w:noProof/>
                <w:webHidden/>
              </w:rPr>
              <w:fldChar w:fldCharType="separate"/>
            </w:r>
            <w:r w:rsidRPr="00941E02">
              <w:rPr>
                <w:b/>
                <w:bCs/>
                <w:noProof/>
                <w:webHidden/>
              </w:rPr>
              <w:t>8</w:t>
            </w:r>
            <w:r w:rsidRPr="00941E02">
              <w:rPr>
                <w:b/>
                <w:bCs/>
                <w:noProof/>
                <w:webHidden/>
              </w:rPr>
              <w:fldChar w:fldCharType="end"/>
            </w:r>
          </w:hyperlink>
        </w:p>
        <w:p w14:paraId="0FE6B75A" w14:textId="25D61363" w:rsidR="00941E02" w:rsidRPr="00941E02" w:rsidRDefault="00941E02">
          <w:pPr>
            <w:pStyle w:val="TOC1"/>
            <w:tabs>
              <w:tab w:val="right" w:leader="dot" w:pos="9016"/>
            </w:tabs>
            <w:rPr>
              <w:rFonts w:cstheme="minorBidi"/>
              <w:b/>
              <w:bCs/>
              <w:noProof/>
              <w:kern w:val="2"/>
              <w:sz w:val="24"/>
              <w:szCs w:val="24"/>
              <w:lang w:val="en-GB" w:eastAsia="en-GB"/>
              <w14:ligatures w14:val="standardContextual"/>
            </w:rPr>
          </w:pPr>
          <w:hyperlink w:anchor="_Toc188643949" w:history="1">
            <w:r w:rsidRPr="00941E02">
              <w:rPr>
                <w:rStyle w:val="Hyperlink"/>
                <w:b/>
                <w:bCs/>
                <w:noProof/>
              </w:rPr>
              <w:t>Conclusion</w:t>
            </w:r>
            <w:r w:rsidRPr="00941E02">
              <w:rPr>
                <w:b/>
                <w:bCs/>
                <w:noProof/>
                <w:webHidden/>
              </w:rPr>
              <w:tab/>
            </w:r>
            <w:r w:rsidRPr="00941E02">
              <w:rPr>
                <w:b/>
                <w:bCs/>
                <w:noProof/>
                <w:webHidden/>
              </w:rPr>
              <w:fldChar w:fldCharType="begin"/>
            </w:r>
            <w:r w:rsidRPr="00941E02">
              <w:rPr>
                <w:b/>
                <w:bCs/>
                <w:noProof/>
                <w:webHidden/>
              </w:rPr>
              <w:instrText xml:space="preserve"> PAGEREF _Toc188643949 \h </w:instrText>
            </w:r>
            <w:r w:rsidRPr="00941E02">
              <w:rPr>
                <w:b/>
                <w:bCs/>
                <w:noProof/>
                <w:webHidden/>
              </w:rPr>
            </w:r>
            <w:r w:rsidRPr="00941E02">
              <w:rPr>
                <w:b/>
                <w:bCs/>
                <w:noProof/>
                <w:webHidden/>
              </w:rPr>
              <w:fldChar w:fldCharType="separate"/>
            </w:r>
            <w:r w:rsidRPr="00941E02">
              <w:rPr>
                <w:b/>
                <w:bCs/>
                <w:noProof/>
                <w:webHidden/>
              </w:rPr>
              <w:t>9</w:t>
            </w:r>
            <w:r w:rsidRPr="00941E02">
              <w:rPr>
                <w:b/>
                <w:bCs/>
                <w:noProof/>
                <w:webHidden/>
              </w:rPr>
              <w:fldChar w:fldCharType="end"/>
            </w:r>
          </w:hyperlink>
        </w:p>
        <w:p w14:paraId="01F81562" w14:textId="2114C194" w:rsidR="004D31C8" w:rsidRDefault="004D31C8">
          <w:r>
            <w:rPr>
              <w:b/>
              <w:bCs/>
              <w:noProof/>
            </w:rPr>
            <w:fldChar w:fldCharType="end"/>
          </w:r>
        </w:p>
      </w:sdtContent>
    </w:sdt>
    <w:p w14:paraId="5C96D1E5" w14:textId="77777777" w:rsidR="004D31C8" w:rsidRDefault="004D31C8" w:rsidP="00E74585">
      <w:pPr>
        <w:spacing w:line="360" w:lineRule="auto"/>
        <w:jc w:val="both"/>
        <w:rPr>
          <w:rFonts w:ascii="Arial" w:hAnsi="Arial" w:cs="Arial"/>
          <w:b/>
          <w:bCs/>
          <w:sz w:val="24"/>
          <w:szCs w:val="24"/>
        </w:rPr>
      </w:pPr>
    </w:p>
    <w:p w14:paraId="79BA9977" w14:textId="77777777" w:rsidR="004D31C8" w:rsidRDefault="004D31C8" w:rsidP="00E74585">
      <w:pPr>
        <w:spacing w:line="360" w:lineRule="auto"/>
        <w:jc w:val="both"/>
        <w:rPr>
          <w:rFonts w:ascii="Arial" w:hAnsi="Arial" w:cs="Arial"/>
          <w:b/>
          <w:bCs/>
          <w:sz w:val="24"/>
          <w:szCs w:val="24"/>
        </w:rPr>
      </w:pPr>
    </w:p>
    <w:p w14:paraId="041010FA" w14:textId="77777777" w:rsidR="004D31C8" w:rsidRDefault="004D31C8" w:rsidP="00E74585">
      <w:pPr>
        <w:spacing w:line="360" w:lineRule="auto"/>
        <w:jc w:val="both"/>
        <w:rPr>
          <w:rFonts w:ascii="Arial" w:hAnsi="Arial" w:cs="Arial"/>
          <w:b/>
          <w:bCs/>
          <w:sz w:val="24"/>
          <w:szCs w:val="24"/>
        </w:rPr>
      </w:pPr>
    </w:p>
    <w:p w14:paraId="682E477B" w14:textId="77777777" w:rsidR="004D31C8" w:rsidRDefault="004D31C8" w:rsidP="00E74585">
      <w:pPr>
        <w:spacing w:line="360" w:lineRule="auto"/>
        <w:jc w:val="both"/>
        <w:rPr>
          <w:rFonts w:ascii="Arial" w:hAnsi="Arial" w:cs="Arial"/>
          <w:b/>
          <w:bCs/>
          <w:sz w:val="24"/>
          <w:szCs w:val="24"/>
        </w:rPr>
      </w:pPr>
    </w:p>
    <w:p w14:paraId="0E2D5C78" w14:textId="77777777" w:rsidR="004D31C8" w:rsidRDefault="004D31C8" w:rsidP="00E74585">
      <w:pPr>
        <w:spacing w:line="360" w:lineRule="auto"/>
        <w:jc w:val="both"/>
        <w:rPr>
          <w:rFonts w:ascii="Arial" w:hAnsi="Arial" w:cs="Arial"/>
          <w:b/>
          <w:bCs/>
          <w:sz w:val="24"/>
          <w:szCs w:val="24"/>
        </w:rPr>
      </w:pPr>
    </w:p>
    <w:p w14:paraId="47EBB9DD" w14:textId="77777777" w:rsidR="004D31C8" w:rsidRDefault="004D31C8" w:rsidP="00E74585">
      <w:pPr>
        <w:spacing w:line="360" w:lineRule="auto"/>
        <w:jc w:val="both"/>
        <w:rPr>
          <w:rFonts w:ascii="Arial" w:hAnsi="Arial" w:cs="Arial"/>
          <w:b/>
          <w:bCs/>
          <w:sz w:val="24"/>
          <w:szCs w:val="24"/>
        </w:rPr>
      </w:pPr>
    </w:p>
    <w:p w14:paraId="53E1FA6F" w14:textId="77777777" w:rsidR="004D31C8" w:rsidRDefault="004D31C8" w:rsidP="00E74585">
      <w:pPr>
        <w:spacing w:line="360" w:lineRule="auto"/>
        <w:jc w:val="both"/>
        <w:rPr>
          <w:rFonts w:ascii="Arial" w:hAnsi="Arial" w:cs="Arial"/>
          <w:b/>
          <w:bCs/>
          <w:sz w:val="24"/>
          <w:szCs w:val="24"/>
        </w:rPr>
      </w:pPr>
    </w:p>
    <w:p w14:paraId="0FA316BD" w14:textId="77777777" w:rsidR="004D31C8" w:rsidRDefault="004D31C8" w:rsidP="00E74585">
      <w:pPr>
        <w:spacing w:line="360" w:lineRule="auto"/>
        <w:jc w:val="both"/>
        <w:rPr>
          <w:rFonts w:ascii="Arial" w:hAnsi="Arial" w:cs="Arial"/>
          <w:b/>
          <w:bCs/>
          <w:sz w:val="24"/>
          <w:szCs w:val="24"/>
        </w:rPr>
      </w:pPr>
    </w:p>
    <w:p w14:paraId="2B6EDEA0" w14:textId="77777777" w:rsidR="004D31C8" w:rsidRDefault="004D31C8" w:rsidP="00E74585">
      <w:pPr>
        <w:spacing w:line="360" w:lineRule="auto"/>
        <w:jc w:val="both"/>
        <w:rPr>
          <w:rFonts w:ascii="Arial" w:hAnsi="Arial" w:cs="Arial"/>
          <w:b/>
          <w:bCs/>
          <w:sz w:val="24"/>
          <w:szCs w:val="24"/>
        </w:rPr>
      </w:pPr>
    </w:p>
    <w:p w14:paraId="02AEE33D" w14:textId="77777777" w:rsidR="004D31C8" w:rsidRDefault="004D31C8" w:rsidP="00E74585">
      <w:pPr>
        <w:spacing w:line="360" w:lineRule="auto"/>
        <w:jc w:val="both"/>
        <w:rPr>
          <w:rFonts w:ascii="Arial" w:hAnsi="Arial" w:cs="Arial"/>
          <w:b/>
          <w:bCs/>
          <w:sz w:val="24"/>
          <w:szCs w:val="24"/>
        </w:rPr>
      </w:pPr>
    </w:p>
    <w:p w14:paraId="43AC6E7F" w14:textId="77777777" w:rsidR="004D31C8" w:rsidRDefault="004D31C8" w:rsidP="00E74585">
      <w:pPr>
        <w:spacing w:line="360" w:lineRule="auto"/>
        <w:jc w:val="both"/>
        <w:rPr>
          <w:rFonts w:ascii="Arial" w:hAnsi="Arial" w:cs="Arial"/>
          <w:b/>
          <w:bCs/>
          <w:sz w:val="24"/>
          <w:szCs w:val="24"/>
        </w:rPr>
      </w:pPr>
    </w:p>
    <w:p w14:paraId="31F330EC" w14:textId="77777777" w:rsidR="004D31C8" w:rsidRDefault="004D31C8" w:rsidP="00E74585">
      <w:pPr>
        <w:spacing w:line="360" w:lineRule="auto"/>
        <w:jc w:val="both"/>
        <w:rPr>
          <w:rFonts w:ascii="Arial" w:hAnsi="Arial" w:cs="Arial"/>
          <w:b/>
          <w:bCs/>
          <w:sz w:val="24"/>
          <w:szCs w:val="24"/>
        </w:rPr>
      </w:pPr>
    </w:p>
    <w:p w14:paraId="34E6F2F3" w14:textId="77777777" w:rsidR="004D31C8" w:rsidRDefault="004D31C8" w:rsidP="00E74585">
      <w:pPr>
        <w:spacing w:line="360" w:lineRule="auto"/>
        <w:jc w:val="both"/>
        <w:rPr>
          <w:rFonts w:ascii="Arial" w:hAnsi="Arial" w:cs="Arial"/>
          <w:b/>
          <w:bCs/>
          <w:sz w:val="24"/>
          <w:szCs w:val="24"/>
        </w:rPr>
      </w:pPr>
    </w:p>
    <w:p w14:paraId="60445227" w14:textId="77777777" w:rsidR="004D31C8" w:rsidRDefault="004D31C8" w:rsidP="00E74585">
      <w:pPr>
        <w:spacing w:line="360" w:lineRule="auto"/>
        <w:jc w:val="both"/>
        <w:rPr>
          <w:rFonts w:ascii="Arial" w:hAnsi="Arial" w:cs="Arial"/>
          <w:b/>
          <w:bCs/>
          <w:sz w:val="24"/>
          <w:szCs w:val="24"/>
        </w:rPr>
      </w:pPr>
    </w:p>
    <w:p w14:paraId="6C88FDDA" w14:textId="77777777" w:rsidR="004D31C8" w:rsidRDefault="004D31C8" w:rsidP="00E74585">
      <w:pPr>
        <w:spacing w:line="360" w:lineRule="auto"/>
        <w:jc w:val="both"/>
        <w:rPr>
          <w:rFonts w:ascii="Arial" w:hAnsi="Arial" w:cs="Arial"/>
          <w:b/>
          <w:bCs/>
          <w:sz w:val="24"/>
          <w:szCs w:val="24"/>
        </w:rPr>
      </w:pPr>
    </w:p>
    <w:p w14:paraId="5CF19B75" w14:textId="77777777" w:rsidR="004D31C8" w:rsidRDefault="004D31C8" w:rsidP="00E74585">
      <w:pPr>
        <w:spacing w:line="360" w:lineRule="auto"/>
        <w:jc w:val="both"/>
        <w:rPr>
          <w:rFonts w:ascii="Arial" w:hAnsi="Arial" w:cs="Arial"/>
          <w:b/>
          <w:bCs/>
          <w:sz w:val="24"/>
          <w:szCs w:val="24"/>
        </w:rPr>
      </w:pPr>
    </w:p>
    <w:p w14:paraId="7658688F" w14:textId="77777777" w:rsidR="004D31C8" w:rsidRDefault="004D31C8" w:rsidP="00E74585">
      <w:pPr>
        <w:spacing w:line="360" w:lineRule="auto"/>
        <w:jc w:val="both"/>
        <w:rPr>
          <w:rFonts w:ascii="Arial" w:hAnsi="Arial" w:cs="Arial"/>
          <w:b/>
          <w:bCs/>
          <w:sz w:val="24"/>
          <w:szCs w:val="24"/>
        </w:rPr>
      </w:pPr>
    </w:p>
    <w:p w14:paraId="2D51163B" w14:textId="77777777" w:rsidR="004D31C8" w:rsidRDefault="004D31C8" w:rsidP="00E74585">
      <w:pPr>
        <w:spacing w:line="360" w:lineRule="auto"/>
        <w:jc w:val="both"/>
        <w:rPr>
          <w:rFonts w:ascii="Arial" w:hAnsi="Arial" w:cs="Arial"/>
          <w:b/>
          <w:bCs/>
          <w:sz w:val="24"/>
          <w:szCs w:val="24"/>
        </w:rPr>
      </w:pPr>
    </w:p>
    <w:p w14:paraId="5C31547A" w14:textId="77777777" w:rsidR="00AA08F9" w:rsidRDefault="00AA08F9" w:rsidP="00E74585">
      <w:pPr>
        <w:spacing w:line="360" w:lineRule="auto"/>
        <w:jc w:val="both"/>
        <w:rPr>
          <w:rFonts w:ascii="Arial" w:hAnsi="Arial" w:cs="Arial"/>
          <w:b/>
          <w:bCs/>
          <w:sz w:val="24"/>
          <w:szCs w:val="24"/>
        </w:rPr>
      </w:pPr>
    </w:p>
    <w:p w14:paraId="580B98C0" w14:textId="318C21C3" w:rsidR="00E74585" w:rsidRPr="00AA08F9" w:rsidRDefault="00E74585" w:rsidP="00941E02">
      <w:pPr>
        <w:pStyle w:val="Heading1"/>
        <w:rPr>
          <w:rFonts w:ascii="Arial" w:hAnsi="Arial" w:cs="Arial"/>
          <w:b/>
          <w:bCs/>
          <w:sz w:val="24"/>
          <w:szCs w:val="24"/>
        </w:rPr>
      </w:pPr>
      <w:bookmarkStart w:id="0" w:name="_Toc188643941"/>
      <w:r w:rsidRPr="00AA08F9">
        <w:rPr>
          <w:rFonts w:ascii="Arial" w:hAnsi="Arial" w:cs="Arial"/>
          <w:b/>
          <w:bCs/>
          <w:sz w:val="24"/>
          <w:szCs w:val="24"/>
        </w:rPr>
        <w:t>Introduction</w:t>
      </w:r>
      <w:bookmarkEnd w:id="0"/>
    </w:p>
    <w:p w14:paraId="4FEFECB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The hospitality industry has become increasingly proactive in addressing environmental and social challenges. Many hotels are adopting measures to reduce emissions, conserve resources, and engage with local communities in line with shifting consumer expectations (Choi and Parsa, 2021). </w:t>
      </w:r>
      <w:r w:rsidRPr="0076563C">
        <w:rPr>
          <w:rFonts w:ascii="Arial" w:hAnsi="Arial" w:cs="Arial"/>
          <w:b/>
          <w:bCs/>
          <w:sz w:val="24"/>
          <w:szCs w:val="24"/>
        </w:rPr>
        <w:t>Hilton</w:t>
      </w:r>
      <w:r w:rsidRPr="00E74585">
        <w:rPr>
          <w:rFonts w:ascii="Arial" w:hAnsi="Arial" w:cs="Arial"/>
          <w:sz w:val="24"/>
          <w:szCs w:val="24"/>
        </w:rPr>
        <w:t xml:space="preserve">, with its global presence and well-known “Travel with Purpose” initiative, exemplifies this trend by implementing a range of energy-efficient technologies, supporting philanthropic projects, and fostering responsible procurement (Hilton Worldwide, 2023a). However, despite various sustainability achievements, the management of food waste remains an underexplored area in Hilton’s broader corporate social responsibility (CSR) framework (Hilton Worldwide, 2023b). While the company has taken steps to minimize surplus food and donate edible leftovers, it lacks a structured, large-scale approach to </w:t>
      </w:r>
      <w:r w:rsidRPr="0076563C">
        <w:rPr>
          <w:rFonts w:ascii="Arial" w:hAnsi="Arial" w:cs="Arial"/>
          <w:b/>
          <w:bCs/>
          <w:sz w:val="24"/>
          <w:szCs w:val="24"/>
        </w:rPr>
        <w:t>on-site waste repurposing</w:t>
      </w:r>
      <w:r w:rsidRPr="00E74585">
        <w:rPr>
          <w:rFonts w:ascii="Arial" w:hAnsi="Arial" w:cs="Arial"/>
          <w:sz w:val="24"/>
          <w:szCs w:val="24"/>
        </w:rPr>
        <w:t>. The absence of a closed-loop system that processes organic scraps into beneficial byproducts, such as compost or biogas, indicates a gap in Hilton’s sustainability strategy (Huang, Zhang and Zhao, 2021).</w:t>
      </w:r>
    </w:p>
    <w:p w14:paraId="4259290F" w14:textId="77777777" w:rsidR="00E74585" w:rsidRPr="00E74585" w:rsidRDefault="00E74585" w:rsidP="00E74585">
      <w:pPr>
        <w:spacing w:line="360" w:lineRule="auto"/>
        <w:jc w:val="both"/>
        <w:rPr>
          <w:rFonts w:ascii="Arial" w:hAnsi="Arial" w:cs="Arial"/>
          <w:sz w:val="24"/>
          <w:szCs w:val="24"/>
        </w:rPr>
      </w:pPr>
    </w:p>
    <w:p w14:paraId="7188F29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This essay examines Hilton’s current sustainability commitments to identify why food waste represents a critical shortfall in the chain’s environmental initiatives. It proposes a </w:t>
      </w:r>
      <w:r w:rsidRPr="0076563C">
        <w:rPr>
          <w:rFonts w:ascii="Arial" w:hAnsi="Arial" w:cs="Arial"/>
          <w:b/>
          <w:bCs/>
          <w:sz w:val="24"/>
          <w:szCs w:val="24"/>
        </w:rPr>
        <w:t>closed-loop food waste management system</w:t>
      </w:r>
      <w:r w:rsidRPr="00E74585">
        <w:rPr>
          <w:rFonts w:ascii="Arial" w:hAnsi="Arial" w:cs="Arial"/>
          <w:sz w:val="24"/>
          <w:szCs w:val="24"/>
        </w:rPr>
        <w:t>, drawing on successful practices from competitors and academic research. A critical discussion follows, covering potential benefits for Hilton, implementation challenges, and contradictory perspectives surrounding feasibility. The essay concludes by highlighting how a phased, data-driven rollout could bridge this sustainability gap while reinforcing Hilton’s broader commitments under Carroll’s CSR Pyramid (Carroll, 1979) and Elkington’s Triple Bottom Line (Elkington, 1997).</w:t>
      </w:r>
    </w:p>
    <w:p w14:paraId="2DCFC2BB" w14:textId="77777777" w:rsidR="00E74585" w:rsidRPr="00E74585" w:rsidRDefault="00E74585" w:rsidP="00941E02">
      <w:pPr>
        <w:pStyle w:val="Heading1"/>
      </w:pPr>
    </w:p>
    <w:p w14:paraId="166E502F" w14:textId="77777777" w:rsidR="00E74585" w:rsidRPr="00941E02" w:rsidRDefault="00E74585" w:rsidP="00941E02">
      <w:pPr>
        <w:pStyle w:val="Heading1"/>
        <w:rPr>
          <w:rFonts w:ascii="Arial" w:hAnsi="Arial" w:cs="Arial"/>
          <w:b/>
          <w:bCs/>
          <w:sz w:val="24"/>
          <w:szCs w:val="24"/>
        </w:rPr>
      </w:pPr>
      <w:bookmarkStart w:id="1" w:name="_Toc188643942"/>
      <w:r w:rsidRPr="00941E02">
        <w:rPr>
          <w:rFonts w:ascii="Arial" w:hAnsi="Arial" w:cs="Arial"/>
          <w:b/>
          <w:bCs/>
          <w:sz w:val="24"/>
          <w:szCs w:val="24"/>
        </w:rPr>
        <w:t>1. Hilton’s Current Sustainability Approach</w:t>
      </w:r>
      <w:bookmarkEnd w:id="1"/>
    </w:p>
    <w:p w14:paraId="2106E32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Hilton’s sustainability reports showcase a range of </w:t>
      </w:r>
      <w:r w:rsidRPr="0076563C">
        <w:rPr>
          <w:rFonts w:ascii="Arial" w:hAnsi="Arial" w:cs="Arial"/>
          <w:b/>
          <w:bCs/>
          <w:sz w:val="24"/>
          <w:szCs w:val="24"/>
        </w:rPr>
        <w:t>resource-saving measures</w:t>
      </w:r>
      <w:r w:rsidRPr="00E74585">
        <w:rPr>
          <w:rFonts w:ascii="Arial" w:hAnsi="Arial" w:cs="Arial"/>
          <w:sz w:val="24"/>
          <w:szCs w:val="24"/>
        </w:rPr>
        <w:t>. These include:</w:t>
      </w:r>
    </w:p>
    <w:p w14:paraId="20454555" w14:textId="77777777" w:rsidR="00E74585" w:rsidRPr="00E74585" w:rsidRDefault="00E74585" w:rsidP="00E74585">
      <w:pPr>
        <w:spacing w:line="360" w:lineRule="auto"/>
        <w:jc w:val="both"/>
        <w:rPr>
          <w:rFonts w:ascii="Arial" w:hAnsi="Arial" w:cs="Arial"/>
          <w:sz w:val="24"/>
          <w:szCs w:val="24"/>
        </w:rPr>
      </w:pPr>
    </w:p>
    <w:p w14:paraId="1C819284"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Installation of LED lighting and intelligent thermostats that reduce energy intensity (Hilton Worldwide, 2022).</w:t>
      </w:r>
    </w:p>
    <w:p w14:paraId="31DE941E"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Upgrades to water fixtures, coupled with training programs designed to encourage water conservation among staff (Gössling, 2018).</w:t>
      </w:r>
    </w:p>
    <w:p w14:paraId="42E5054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Strategic partnerships with local suppliers and nonprofits to boost community welfare and charitable giving (Chen, Lin and Kuo, 2022).</w:t>
      </w:r>
    </w:p>
    <w:p w14:paraId="670898CF" w14:textId="0D21550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By incorporating these measures, Hilton has succeeded in reducing greenhouse gas (GHG) emissions and operational costs, aligning with its “Travel with Purpose” ethos (Hilton Worldwide, 2023a). These initiatives reflect adherence to the </w:t>
      </w:r>
      <w:r w:rsidRPr="0076563C">
        <w:rPr>
          <w:rFonts w:ascii="Arial" w:hAnsi="Arial" w:cs="Arial"/>
          <w:b/>
          <w:bCs/>
          <w:sz w:val="24"/>
          <w:szCs w:val="24"/>
        </w:rPr>
        <w:t>Triple Bottom Line</w:t>
      </w:r>
      <w:r w:rsidRPr="00E74585">
        <w:rPr>
          <w:rFonts w:ascii="Arial" w:hAnsi="Arial" w:cs="Arial"/>
          <w:sz w:val="24"/>
          <w:szCs w:val="24"/>
        </w:rPr>
        <w:t xml:space="preserve">, which seeks a balance among economic performance, environmental stewardship, and social contributions (Elkington, 1997). However, corporate statements on </w:t>
      </w:r>
      <w:r w:rsidRPr="0076563C">
        <w:rPr>
          <w:rFonts w:ascii="Arial" w:hAnsi="Arial" w:cs="Arial"/>
          <w:b/>
          <w:bCs/>
          <w:sz w:val="24"/>
          <w:szCs w:val="24"/>
        </w:rPr>
        <w:t>food waste</w:t>
      </w:r>
      <w:r w:rsidRPr="00E74585">
        <w:rPr>
          <w:rFonts w:ascii="Arial" w:hAnsi="Arial" w:cs="Arial"/>
          <w:sz w:val="24"/>
          <w:szCs w:val="24"/>
        </w:rPr>
        <w:t xml:space="preserve"> </w:t>
      </w:r>
      <w:r w:rsidR="0076563C" w:rsidRPr="00E74585">
        <w:rPr>
          <w:rFonts w:ascii="Arial" w:hAnsi="Arial" w:cs="Arial"/>
          <w:sz w:val="24"/>
          <w:szCs w:val="24"/>
        </w:rPr>
        <w:t>centre</w:t>
      </w:r>
      <w:r w:rsidRPr="00E74585">
        <w:rPr>
          <w:rFonts w:ascii="Arial" w:hAnsi="Arial" w:cs="Arial"/>
          <w:sz w:val="24"/>
          <w:szCs w:val="24"/>
        </w:rPr>
        <w:t xml:space="preserve"> primarily on buffet adjustments, charitable donations of edible leftovers, and general waste reduction targets (Hilton Worldwide, 2023b). The company has not widely advertised or detailed large-scale, on-site initiatives designed to intercept organic waste before it reaches landfills. Scholars and industry analysts note that food waste in hospitality is often overshadowed by energy and water issues, despite its substantial environmental impact (Pantelidis, 2019). Consequently, a significant gap exists in Hilton’s portfolio of sustainability programs.</w:t>
      </w:r>
    </w:p>
    <w:p w14:paraId="4FDB2E7D" w14:textId="77777777" w:rsidR="00E74585" w:rsidRPr="00E74585" w:rsidRDefault="00E74585" w:rsidP="00E74585">
      <w:pPr>
        <w:spacing w:line="360" w:lineRule="auto"/>
        <w:jc w:val="both"/>
        <w:rPr>
          <w:rFonts w:ascii="Arial" w:hAnsi="Arial" w:cs="Arial"/>
          <w:sz w:val="24"/>
          <w:szCs w:val="24"/>
        </w:rPr>
      </w:pPr>
    </w:p>
    <w:p w14:paraId="269363D4" w14:textId="77777777" w:rsidR="00E74585" w:rsidRPr="00941E02" w:rsidRDefault="00E74585" w:rsidP="00941E02">
      <w:pPr>
        <w:pStyle w:val="Heading1"/>
        <w:rPr>
          <w:rFonts w:ascii="Arial" w:hAnsi="Arial" w:cs="Arial"/>
          <w:b/>
          <w:bCs/>
          <w:sz w:val="24"/>
          <w:szCs w:val="24"/>
        </w:rPr>
      </w:pPr>
      <w:bookmarkStart w:id="2" w:name="_Toc188643943"/>
      <w:r w:rsidRPr="00941E02">
        <w:rPr>
          <w:rFonts w:ascii="Arial" w:hAnsi="Arial" w:cs="Arial"/>
          <w:b/>
          <w:bCs/>
          <w:sz w:val="24"/>
          <w:szCs w:val="24"/>
        </w:rPr>
        <w:t>2. The Gap in Food Waste Management</w:t>
      </w:r>
      <w:bookmarkEnd w:id="2"/>
    </w:p>
    <w:p w14:paraId="7F697D80"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Food waste accounts for a major share of the hospitality sector’s environmental footprint (Martin-Rios et al., 2018). Surplus buffet portions, plate scraps, and kitchen off-cuts not only represent resource inefficiency but also produce methane when left to decompose in landfills (European Commission, 2020). Although </w:t>
      </w:r>
      <w:r w:rsidRPr="0076563C">
        <w:rPr>
          <w:rFonts w:ascii="Arial" w:hAnsi="Arial" w:cs="Arial"/>
          <w:b/>
          <w:bCs/>
          <w:sz w:val="24"/>
          <w:szCs w:val="24"/>
        </w:rPr>
        <w:t>Hilton</w:t>
      </w:r>
      <w:r w:rsidRPr="00E74585">
        <w:rPr>
          <w:rFonts w:ascii="Arial" w:hAnsi="Arial" w:cs="Arial"/>
          <w:sz w:val="24"/>
          <w:szCs w:val="24"/>
        </w:rPr>
        <w:t xml:space="preserve"> </w:t>
      </w:r>
      <w:r w:rsidRPr="00E74585">
        <w:rPr>
          <w:rFonts w:ascii="Arial" w:hAnsi="Arial" w:cs="Arial"/>
          <w:sz w:val="24"/>
          <w:szCs w:val="24"/>
        </w:rPr>
        <w:lastRenderedPageBreak/>
        <w:t xml:space="preserve">acknowledges the need to minimize this waste, the absence of an integrated </w:t>
      </w:r>
      <w:r w:rsidRPr="0076563C">
        <w:rPr>
          <w:rFonts w:ascii="Arial" w:hAnsi="Arial" w:cs="Arial"/>
          <w:b/>
          <w:bCs/>
          <w:sz w:val="24"/>
          <w:szCs w:val="24"/>
        </w:rPr>
        <w:t>closed-loop</w:t>
      </w:r>
      <w:r w:rsidRPr="00E74585">
        <w:rPr>
          <w:rFonts w:ascii="Arial" w:hAnsi="Arial" w:cs="Arial"/>
          <w:sz w:val="24"/>
          <w:szCs w:val="24"/>
        </w:rPr>
        <w:t xml:space="preserve"> strategy means that organic materials frequently exit the premises as trash rather than being repurposed on-site (WTTC, 2021). This shortcoming stands in contrast to Hilton’s otherwise robust sustainability measures involving energy management, water savings, and community outreach.</w:t>
      </w:r>
    </w:p>
    <w:p w14:paraId="0D008E44" w14:textId="77777777" w:rsidR="00E74585" w:rsidRPr="00E74585" w:rsidRDefault="00E74585" w:rsidP="00E74585">
      <w:pPr>
        <w:spacing w:line="360" w:lineRule="auto"/>
        <w:jc w:val="both"/>
        <w:rPr>
          <w:rFonts w:ascii="Arial" w:hAnsi="Arial" w:cs="Arial"/>
          <w:sz w:val="24"/>
          <w:szCs w:val="24"/>
        </w:rPr>
      </w:pPr>
    </w:p>
    <w:p w14:paraId="67F24ED9" w14:textId="4E3715DC"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Scholars typically classify food waste mitigation strategies into three tiers:</w:t>
      </w:r>
    </w:p>
    <w:p w14:paraId="55C7C275"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Prevention</w:t>
      </w:r>
      <w:r w:rsidRPr="00E74585">
        <w:rPr>
          <w:rFonts w:ascii="Arial" w:hAnsi="Arial" w:cs="Arial"/>
          <w:sz w:val="24"/>
          <w:szCs w:val="24"/>
        </w:rPr>
        <w:t>: Reducing the amount of food that enters the waste stream through portion control and efficient inventory management (Kang et al., 2012).</w:t>
      </w:r>
    </w:p>
    <w:p w14:paraId="6B7BE45C"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Diversion</w:t>
      </w:r>
      <w:r w:rsidRPr="00E74585">
        <w:rPr>
          <w:rFonts w:ascii="Arial" w:hAnsi="Arial" w:cs="Arial"/>
          <w:sz w:val="24"/>
          <w:szCs w:val="24"/>
        </w:rPr>
        <w:t>: Donating unsold but edible food to charitable organizations or recycling organic scraps for animal feed (Marriott International, 2021).</w:t>
      </w:r>
    </w:p>
    <w:p w14:paraId="0AF47FCE" w14:textId="77777777" w:rsid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On-Site Recovery</w:t>
      </w:r>
      <w:r w:rsidRPr="00E74585">
        <w:rPr>
          <w:rFonts w:ascii="Arial" w:hAnsi="Arial" w:cs="Arial"/>
          <w:sz w:val="24"/>
          <w:szCs w:val="24"/>
        </w:rPr>
        <w:t>: Converting inedible food remnants into compost, biofuel, or other valuable resources, often achieved through composters or anaerobic digesters (Accor Group, 2022).</w:t>
      </w:r>
    </w:p>
    <w:p w14:paraId="049E6B26" w14:textId="77777777" w:rsidR="00AA08F9" w:rsidRPr="00E74585" w:rsidRDefault="00AA08F9" w:rsidP="00E74585">
      <w:pPr>
        <w:spacing w:line="360" w:lineRule="auto"/>
        <w:jc w:val="both"/>
        <w:rPr>
          <w:rFonts w:ascii="Arial" w:hAnsi="Arial" w:cs="Arial"/>
          <w:sz w:val="24"/>
          <w:szCs w:val="24"/>
        </w:rPr>
      </w:pPr>
    </w:p>
    <w:p w14:paraId="60D7C857"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While Hilton has made strides in the first two tiers, the third remains largely undeveloped in its portfolio (Hilton Worldwide, 2023b). Competing hotel brands, such as Accor, have begun to pilot on-site digesters to transform scraps into usable fertilizer or biogas (Accor Group, 2022). By contrast, Hilton’s sustainability reports rarely mention closed-loop waste systems. The resulting gap represents a </w:t>
      </w:r>
      <w:r w:rsidRPr="0076563C">
        <w:rPr>
          <w:rFonts w:ascii="Arial" w:hAnsi="Arial" w:cs="Arial"/>
          <w:b/>
          <w:bCs/>
          <w:sz w:val="24"/>
          <w:szCs w:val="24"/>
        </w:rPr>
        <w:t>missed opportunity</w:t>
      </w:r>
      <w:r w:rsidRPr="00E74585">
        <w:rPr>
          <w:rFonts w:ascii="Arial" w:hAnsi="Arial" w:cs="Arial"/>
          <w:sz w:val="24"/>
          <w:szCs w:val="24"/>
        </w:rPr>
        <w:t xml:space="preserve"> to reduce hauling fees, generate ancillary environmental benefits, and further enhance the chain’s reputation.</w:t>
      </w:r>
    </w:p>
    <w:p w14:paraId="512DAEE3" w14:textId="77777777" w:rsidR="00E74585" w:rsidRPr="00E74585" w:rsidRDefault="00E74585" w:rsidP="00E74585">
      <w:pPr>
        <w:spacing w:line="360" w:lineRule="auto"/>
        <w:jc w:val="both"/>
        <w:rPr>
          <w:rFonts w:ascii="Arial" w:hAnsi="Arial" w:cs="Arial"/>
          <w:sz w:val="24"/>
          <w:szCs w:val="24"/>
        </w:rPr>
      </w:pPr>
    </w:p>
    <w:p w14:paraId="609B08EA" w14:textId="77777777" w:rsidR="00E74585" w:rsidRPr="00941E02" w:rsidRDefault="00E74585" w:rsidP="00941E02">
      <w:pPr>
        <w:pStyle w:val="Heading1"/>
        <w:rPr>
          <w:rFonts w:ascii="Arial" w:hAnsi="Arial" w:cs="Arial"/>
          <w:b/>
          <w:bCs/>
          <w:sz w:val="24"/>
          <w:szCs w:val="24"/>
        </w:rPr>
      </w:pPr>
      <w:bookmarkStart w:id="3" w:name="_Toc188643944"/>
      <w:r w:rsidRPr="00941E02">
        <w:rPr>
          <w:rFonts w:ascii="Arial" w:hAnsi="Arial" w:cs="Arial"/>
          <w:b/>
          <w:bCs/>
          <w:sz w:val="24"/>
          <w:szCs w:val="24"/>
        </w:rPr>
        <w:t>3. Proposed Initiative: A Closed-Loop Food Waste System</w:t>
      </w:r>
      <w:bookmarkEnd w:id="3"/>
    </w:p>
    <w:p w14:paraId="36B1D9AB"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Closed-loop food waste management turns organic material into a resource rather than letting it become landfill waste (Huang, Zhang and Zhao, 2021). On-site composting and anaerobic digestion are the core methods, and the output can include:</w:t>
      </w:r>
    </w:p>
    <w:p w14:paraId="5FF834BC" w14:textId="77777777" w:rsidR="00E74585" w:rsidRPr="00E74585" w:rsidRDefault="00E74585" w:rsidP="00E74585">
      <w:pPr>
        <w:spacing w:line="360" w:lineRule="auto"/>
        <w:jc w:val="both"/>
        <w:rPr>
          <w:rFonts w:ascii="Arial" w:hAnsi="Arial" w:cs="Arial"/>
          <w:sz w:val="24"/>
          <w:szCs w:val="24"/>
        </w:rPr>
      </w:pPr>
    </w:p>
    <w:p w14:paraId="500BF24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lastRenderedPageBreak/>
        <w:t>Compost:</w:t>
      </w:r>
      <w:r w:rsidRPr="00E74585">
        <w:rPr>
          <w:rFonts w:ascii="Arial" w:hAnsi="Arial" w:cs="Arial"/>
          <w:sz w:val="24"/>
          <w:szCs w:val="24"/>
        </w:rPr>
        <w:t xml:space="preserve"> A soil amendment for landscaping or donation to local farms and community gardens (Choi and Parsa, 2021).</w:t>
      </w:r>
    </w:p>
    <w:p w14:paraId="755B644A"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Biogas:</w:t>
      </w:r>
      <w:r w:rsidRPr="00E74585">
        <w:rPr>
          <w:rFonts w:ascii="Arial" w:hAnsi="Arial" w:cs="Arial"/>
          <w:sz w:val="24"/>
          <w:szCs w:val="24"/>
        </w:rPr>
        <w:t xml:space="preserve"> A potential fuel for heating or partial electricity generation (Accor Group, 2022).</w:t>
      </w:r>
    </w:p>
    <w:p w14:paraId="4E234F70"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Nutrient-Rich Effluent</w:t>
      </w:r>
      <w:r w:rsidRPr="00E74585">
        <w:rPr>
          <w:rFonts w:ascii="Arial" w:hAnsi="Arial" w:cs="Arial"/>
          <w:sz w:val="24"/>
          <w:szCs w:val="24"/>
        </w:rPr>
        <w:t>: A valuable byproduct that can be used in horticulture, reducing the need for synthetic fertilizers (Bolton and Ware, 2022).</w:t>
      </w:r>
    </w:p>
    <w:p w14:paraId="3BAB4C89"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Hilton’s substantial property portfolio allows for </w:t>
      </w:r>
      <w:r w:rsidRPr="0076563C">
        <w:rPr>
          <w:rFonts w:ascii="Arial" w:hAnsi="Arial" w:cs="Arial"/>
          <w:b/>
          <w:bCs/>
          <w:sz w:val="24"/>
          <w:szCs w:val="24"/>
        </w:rPr>
        <w:t>economies of scale</w:t>
      </w:r>
      <w:r w:rsidRPr="00E74585">
        <w:rPr>
          <w:rFonts w:ascii="Arial" w:hAnsi="Arial" w:cs="Arial"/>
          <w:sz w:val="24"/>
          <w:szCs w:val="24"/>
        </w:rPr>
        <w:t xml:space="preserve"> in adopting these methods. The approach involves consistent staff training and the adoption of AI-enabled waste-tracking tools that identify the sources and volume of discarded items (Leonidou, Christodoulides and Thwaites, 2016). Moreover, a data-driven system can reveal inefficiencies, guide menu planning, and adjust procurement, reinforcing the principle of </w:t>
      </w:r>
      <w:r w:rsidRPr="0076563C">
        <w:rPr>
          <w:rFonts w:ascii="Arial" w:hAnsi="Arial" w:cs="Arial"/>
          <w:b/>
          <w:bCs/>
          <w:sz w:val="24"/>
          <w:szCs w:val="24"/>
        </w:rPr>
        <w:t>responsible consumption</w:t>
      </w:r>
      <w:r w:rsidRPr="00E74585">
        <w:rPr>
          <w:rFonts w:ascii="Arial" w:hAnsi="Arial" w:cs="Arial"/>
          <w:sz w:val="24"/>
          <w:szCs w:val="24"/>
        </w:rPr>
        <w:t xml:space="preserve"> embodied in the United Nations Sustainable Development Goals (UNWTO, 2021). Implementation would require capital investment, but the return could manifest in reduced operational costs and an enhanced brand image, especially in competitive urban markets with eco-conscious clientele (BCG, 2021).</w:t>
      </w:r>
    </w:p>
    <w:p w14:paraId="35A3FD3C" w14:textId="77777777" w:rsidR="00E74585" w:rsidRPr="00E74585" w:rsidRDefault="00E74585" w:rsidP="00E74585">
      <w:pPr>
        <w:spacing w:line="360" w:lineRule="auto"/>
        <w:jc w:val="both"/>
        <w:rPr>
          <w:rFonts w:ascii="Arial" w:hAnsi="Arial" w:cs="Arial"/>
          <w:sz w:val="24"/>
          <w:szCs w:val="24"/>
        </w:rPr>
      </w:pPr>
    </w:p>
    <w:p w14:paraId="6F36BBFD" w14:textId="77777777" w:rsidR="00E74585" w:rsidRPr="00E530E5" w:rsidRDefault="00E74585" w:rsidP="00941E02">
      <w:pPr>
        <w:pStyle w:val="headstyule"/>
      </w:pPr>
      <w:bookmarkStart w:id="4" w:name="_Toc188643945"/>
      <w:r w:rsidRPr="00E530E5">
        <w:t>4. Critical Discussion</w:t>
      </w:r>
      <w:bookmarkEnd w:id="4"/>
    </w:p>
    <w:p w14:paraId="21D6C6E8" w14:textId="77777777" w:rsidR="00E74585" w:rsidRPr="00E530E5" w:rsidRDefault="00E74585" w:rsidP="00941E02">
      <w:pPr>
        <w:pStyle w:val="Stylehead2"/>
      </w:pPr>
      <w:bookmarkStart w:id="5" w:name="_Toc188643946"/>
      <w:r w:rsidRPr="00E530E5">
        <w:t>4.1 Benefits of a Closed-Loop Approach</w:t>
      </w:r>
      <w:bookmarkEnd w:id="5"/>
    </w:p>
    <w:p w14:paraId="47997EA2"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Environmental Gains</w:t>
      </w:r>
    </w:p>
    <w:p w14:paraId="669BEA36"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Closed-loop systems divert significant volumes of food scraps from landfills. This mitigates methane emissions, a potent greenhouse gas, and contributes to a circular economy model in line with European Commission guidelines (European Commission, 2020). Many researchers argue that closed-loop strategies bolster the environmental dimension of Elkington’s Triple Bottom Line by cutting pollution and resource extraction (Huang, Zhang and Zhao, 2021).</w:t>
      </w:r>
    </w:p>
    <w:p w14:paraId="0674FFE6" w14:textId="77777777" w:rsidR="00E74585" w:rsidRPr="00E74585" w:rsidRDefault="00E74585" w:rsidP="00E74585">
      <w:pPr>
        <w:spacing w:line="360" w:lineRule="auto"/>
        <w:jc w:val="both"/>
        <w:rPr>
          <w:rFonts w:ascii="Arial" w:hAnsi="Arial" w:cs="Arial"/>
          <w:sz w:val="24"/>
          <w:szCs w:val="24"/>
        </w:rPr>
      </w:pPr>
    </w:p>
    <w:p w14:paraId="5189CBB5"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Financial Savings and Revenue Opportunities</w:t>
      </w:r>
    </w:p>
    <w:p w14:paraId="2E58BE97"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lastRenderedPageBreak/>
        <w:t>Although upfront costs can be high, hotels often experience eventual savings through lower waste-hauling fees and avoided landfill costs (Accor Group, 2022). Biogas may provide a supplementary energy source for kitchens, laundry facilities, or heating systems, offsetting utility bills (Chen, Lin and Kuo, 2022). Studies suggest that positive consumer perceptions of such practices can translate into higher willingness-to-pay rates for rooms, thereby delivering additional financial benefits (Kang et al., 2012).</w:t>
      </w:r>
    </w:p>
    <w:p w14:paraId="50C67F7C" w14:textId="77777777" w:rsidR="0076563C" w:rsidRPr="00E74585" w:rsidRDefault="0076563C" w:rsidP="00E74585">
      <w:pPr>
        <w:spacing w:line="360" w:lineRule="auto"/>
        <w:jc w:val="both"/>
        <w:rPr>
          <w:rFonts w:ascii="Arial" w:hAnsi="Arial" w:cs="Arial"/>
          <w:sz w:val="24"/>
          <w:szCs w:val="24"/>
        </w:rPr>
      </w:pPr>
    </w:p>
    <w:p w14:paraId="612ECB78"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Brand Enhancement</w:t>
      </w:r>
    </w:p>
    <w:p w14:paraId="5B40A6CA"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 public emphasis on sustainability can attract environmentally conscious guests and corporate groups seeking event venues with eco-friendly credentials. Hilton’s </w:t>
      </w:r>
      <w:r w:rsidRPr="0076563C">
        <w:rPr>
          <w:rFonts w:ascii="Arial" w:hAnsi="Arial" w:cs="Arial"/>
          <w:b/>
          <w:bCs/>
          <w:sz w:val="24"/>
          <w:szCs w:val="24"/>
        </w:rPr>
        <w:t>Travel with Purpose</w:t>
      </w:r>
      <w:r w:rsidRPr="00E74585">
        <w:rPr>
          <w:rFonts w:ascii="Arial" w:hAnsi="Arial" w:cs="Arial"/>
          <w:sz w:val="24"/>
          <w:szCs w:val="24"/>
        </w:rPr>
        <w:t xml:space="preserve"> campaign already boosts brand equity, and a closed-loop waste system would reinforce that position (Hilton Worldwide, 2023a). This increase in reputational capital supports Carroll’s ethical and philanthropic responsibilities by demonstrating a genuine commitment to environmental well-being (Carroll, 1979).</w:t>
      </w:r>
    </w:p>
    <w:p w14:paraId="5A4B784F" w14:textId="77777777" w:rsidR="00E74585" w:rsidRPr="00E74585" w:rsidRDefault="00E74585" w:rsidP="00E74585">
      <w:pPr>
        <w:spacing w:line="360" w:lineRule="auto"/>
        <w:jc w:val="both"/>
        <w:rPr>
          <w:rFonts w:ascii="Arial" w:hAnsi="Arial" w:cs="Arial"/>
          <w:sz w:val="24"/>
          <w:szCs w:val="24"/>
        </w:rPr>
      </w:pPr>
    </w:p>
    <w:p w14:paraId="1C53623E" w14:textId="77777777" w:rsidR="00E74585" w:rsidRPr="0076563C" w:rsidRDefault="00E74585" w:rsidP="00941E02">
      <w:pPr>
        <w:pStyle w:val="Stylehead2"/>
      </w:pPr>
      <w:bookmarkStart w:id="6" w:name="_Toc188643947"/>
      <w:r w:rsidRPr="0076563C">
        <w:t>4.2 Potential Challenges and Contradictory Perspectives</w:t>
      </w:r>
      <w:bookmarkEnd w:id="6"/>
    </w:p>
    <w:p w14:paraId="45EC9B72"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High Capital Expenditure</w:t>
      </w:r>
    </w:p>
    <w:p w14:paraId="211443BA" w14:textId="5B92A038"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Installations of anaerobic digesters or commercial-scale composting units can be costly, especially in city-</w:t>
      </w:r>
      <w:r w:rsidR="0076563C" w:rsidRPr="00E74585">
        <w:rPr>
          <w:rFonts w:ascii="Arial" w:hAnsi="Arial" w:cs="Arial"/>
          <w:sz w:val="24"/>
          <w:szCs w:val="24"/>
        </w:rPr>
        <w:t>centre</w:t>
      </w:r>
      <w:r w:rsidRPr="00E74585">
        <w:rPr>
          <w:rFonts w:ascii="Arial" w:hAnsi="Arial" w:cs="Arial"/>
          <w:sz w:val="24"/>
          <w:szCs w:val="24"/>
        </w:rPr>
        <w:t xml:space="preserve"> hotels with limited space (BCG, 2021). Opponents may argue that funds could be better allocated to areas with a more immediate return, such as advanced energy-saving devices or customer service enhancements (Choi and Parsa, 2021).</w:t>
      </w:r>
    </w:p>
    <w:p w14:paraId="2176EBD9" w14:textId="77777777" w:rsidR="00E74585" w:rsidRPr="00E74585" w:rsidRDefault="00E74585" w:rsidP="00E74585">
      <w:pPr>
        <w:spacing w:line="360" w:lineRule="auto"/>
        <w:jc w:val="both"/>
        <w:rPr>
          <w:rFonts w:ascii="Arial" w:hAnsi="Arial" w:cs="Arial"/>
          <w:sz w:val="24"/>
          <w:szCs w:val="24"/>
        </w:rPr>
      </w:pPr>
    </w:p>
    <w:p w14:paraId="6A429CED"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Complex Regulatory Environment</w:t>
      </w:r>
    </w:p>
    <w:p w14:paraId="188B19AD"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Local regulations on organic waste processing vary widely. Some municipalities impose strict requirements for waste storage, odor control, or facility inspections. Noncompliance could result in fines or forced shutdowns of on-site operations (European Commission, 2020). This complexity might discourage Hilton from investing in a global closed-loop rollout, as conditions differ across regions (Pantelidis, 2019).</w:t>
      </w:r>
    </w:p>
    <w:p w14:paraId="2B64B2B4" w14:textId="77777777" w:rsidR="00E74585" w:rsidRPr="00E74585" w:rsidRDefault="00E74585" w:rsidP="00E74585">
      <w:pPr>
        <w:spacing w:line="360" w:lineRule="auto"/>
        <w:jc w:val="both"/>
        <w:rPr>
          <w:rFonts w:ascii="Arial" w:hAnsi="Arial" w:cs="Arial"/>
          <w:sz w:val="24"/>
          <w:szCs w:val="24"/>
        </w:rPr>
      </w:pPr>
    </w:p>
    <w:p w14:paraId="5128675A"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Staff Engagement and Training</w:t>
      </w:r>
    </w:p>
    <w:p w14:paraId="1611B7D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Some scholars question whether staff can maintain the meticulous waste-separation procedures required for effective composting or anaerobic digestion (Huang, Zhang and Zhao, 2021). The hospitality sector experiences relatively high turnover, complicating training and operational consistency (Martin-Rios et al., 2018). If employees fail to separate organic scraps or inadvertently contaminate waste streams, the entire initiative may fail.</w:t>
      </w:r>
    </w:p>
    <w:p w14:paraId="40C7A720" w14:textId="77777777" w:rsidR="00E74585" w:rsidRPr="00E74585" w:rsidRDefault="00E74585" w:rsidP="00E74585">
      <w:pPr>
        <w:spacing w:line="360" w:lineRule="auto"/>
        <w:jc w:val="both"/>
        <w:rPr>
          <w:rFonts w:ascii="Arial" w:hAnsi="Arial" w:cs="Arial"/>
          <w:sz w:val="24"/>
          <w:szCs w:val="24"/>
        </w:rPr>
      </w:pPr>
    </w:p>
    <w:p w14:paraId="46634A8B" w14:textId="77777777" w:rsidR="00E74585" w:rsidRPr="0076563C" w:rsidRDefault="00E74585" w:rsidP="00E74585">
      <w:pPr>
        <w:spacing w:line="360" w:lineRule="auto"/>
        <w:jc w:val="both"/>
        <w:rPr>
          <w:rFonts w:ascii="Arial" w:hAnsi="Arial" w:cs="Arial"/>
          <w:b/>
          <w:bCs/>
          <w:sz w:val="24"/>
          <w:szCs w:val="24"/>
        </w:rPr>
      </w:pPr>
      <w:r w:rsidRPr="0076563C">
        <w:rPr>
          <w:rFonts w:ascii="Arial" w:hAnsi="Arial" w:cs="Arial"/>
          <w:b/>
          <w:bCs/>
          <w:sz w:val="24"/>
          <w:szCs w:val="24"/>
        </w:rPr>
        <w:t>Return on Investment Uncertainty</w:t>
      </w:r>
    </w:p>
    <w:p w14:paraId="6A2FA11E"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While research suggests eventual cost savings, the timeline for recouping capital outlays is uncertain. Certain analysts point to pilot projects that exceeded projected budgets or encountered technical setbacks (Pantelidis, 2019). Without robust feasibility studies tailored to Hilton’s property types, the program might meet internal resistance from financial decision-makers (Bolton and Ware, 2022).</w:t>
      </w:r>
    </w:p>
    <w:p w14:paraId="4044E7F2" w14:textId="77777777" w:rsidR="00E74585" w:rsidRPr="00E74585" w:rsidRDefault="00E74585" w:rsidP="00E74585">
      <w:pPr>
        <w:spacing w:line="360" w:lineRule="auto"/>
        <w:jc w:val="both"/>
        <w:rPr>
          <w:rFonts w:ascii="Arial" w:hAnsi="Arial" w:cs="Arial"/>
          <w:sz w:val="24"/>
          <w:szCs w:val="24"/>
        </w:rPr>
      </w:pPr>
    </w:p>
    <w:p w14:paraId="2E8305E8" w14:textId="77777777" w:rsidR="00E74585" w:rsidRPr="0076563C" w:rsidRDefault="00E74585" w:rsidP="00941E02">
      <w:pPr>
        <w:pStyle w:val="headstyule"/>
      </w:pPr>
      <w:bookmarkStart w:id="7" w:name="_Toc188643948"/>
      <w:r w:rsidRPr="0076563C">
        <w:t>5. Implementation Approach and Feasibility</w:t>
      </w:r>
      <w:bookmarkEnd w:id="7"/>
    </w:p>
    <w:p w14:paraId="73866AB2"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 </w:t>
      </w:r>
      <w:r w:rsidRPr="0076563C">
        <w:rPr>
          <w:rFonts w:ascii="Arial" w:hAnsi="Arial" w:cs="Arial"/>
          <w:b/>
          <w:bCs/>
          <w:sz w:val="24"/>
          <w:szCs w:val="24"/>
        </w:rPr>
        <w:t>phased rollout</w:t>
      </w:r>
      <w:r w:rsidRPr="00E74585">
        <w:rPr>
          <w:rFonts w:ascii="Arial" w:hAnsi="Arial" w:cs="Arial"/>
          <w:sz w:val="24"/>
          <w:szCs w:val="24"/>
        </w:rPr>
        <w:t xml:space="preserve"> would offer a balanced method for mitigating risk and uncertainty. Hilton could pilot closed-loop systems in a limited number of properties—perhaps starting with resorts or suburban locations that have suitable space and less restrictive regulations (Hilton Worldwide, 2023b). This incremental strategy aligns with Accor’s practice of testing digesters at specific European hotels to gather data, refine training, and assess local feasibility (Accor Group, 2022). A staged implementation allows Hilton to:</w:t>
      </w:r>
    </w:p>
    <w:p w14:paraId="06B83191" w14:textId="77777777" w:rsidR="00E74585" w:rsidRPr="00E74585" w:rsidRDefault="00E74585" w:rsidP="00E74585">
      <w:pPr>
        <w:spacing w:line="360" w:lineRule="auto"/>
        <w:jc w:val="both"/>
        <w:rPr>
          <w:rFonts w:ascii="Arial" w:hAnsi="Arial" w:cs="Arial"/>
          <w:sz w:val="24"/>
          <w:szCs w:val="24"/>
        </w:rPr>
      </w:pPr>
    </w:p>
    <w:p w14:paraId="635247B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Collect Empirical Evidence</w:t>
      </w:r>
      <w:r w:rsidRPr="00E74585">
        <w:rPr>
          <w:rFonts w:ascii="Arial" w:hAnsi="Arial" w:cs="Arial"/>
          <w:sz w:val="24"/>
          <w:szCs w:val="24"/>
        </w:rPr>
        <w:t>: Monitoring cost savings, staff performance, and waste volumes to quantify benefits and challenges (BCG, 2021).</w:t>
      </w:r>
    </w:p>
    <w:p w14:paraId="6697031C"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Refine Operational Protocols</w:t>
      </w:r>
      <w:r w:rsidRPr="00E74585">
        <w:rPr>
          <w:rFonts w:ascii="Arial" w:hAnsi="Arial" w:cs="Arial"/>
          <w:sz w:val="24"/>
          <w:szCs w:val="24"/>
        </w:rPr>
        <w:t xml:space="preserve">: Addressing unanticipated regulatory or logistical issues before a broader deployment (Martin-Rios </w:t>
      </w:r>
      <w:r w:rsidRPr="00B44B00">
        <w:rPr>
          <w:rFonts w:ascii="Arial" w:hAnsi="Arial" w:cs="Arial"/>
          <w:i/>
          <w:iCs/>
          <w:sz w:val="24"/>
          <w:szCs w:val="24"/>
        </w:rPr>
        <w:t>et al</w:t>
      </w:r>
      <w:r w:rsidRPr="00E74585">
        <w:rPr>
          <w:rFonts w:ascii="Arial" w:hAnsi="Arial" w:cs="Arial"/>
          <w:sz w:val="24"/>
          <w:szCs w:val="24"/>
        </w:rPr>
        <w:t>., 2018).</w:t>
      </w:r>
    </w:p>
    <w:p w14:paraId="4A5F4720"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lastRenderedPageBreak/>
        <w:t>Educate Staff and Guests</w:t>
      </w:r>
      <w:r w:rsidRPr="00E74585">
        <w:rPr>
          <w:rFonts w:ascii="Arial" w:hAnsi="Arial" w:cs="Arial"/>
          <w:sz w:val="24"/>
          <w:szCs w:val="24"/>
        </w:rPr>
        <w:t>: Developing best-practice guidelines for kitchen teams, housekeeping, and front-of-house staff to ensure consistent waste separation (Leonidou, Christodoulides and Thwaites, 2016).</w:t>
      </w:r>
    </w:p>
    <w:p w14:paraId="44387D6D" w14:textId="77777777"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Strengthen Partnerships</w:t>
      </w:r>
      <w:r w:rsidRPr="00E74585">
        <w:rPr>
          <w:rFonts w:ascii="Arial" w:hAnsi="Arial" w:cs="Arial"/>
          <w:sz w:val="24"/>
          <w:szCs w:val="24"/>
        </w:rPr>
        <w:t>: Collaborating with municipal authorities, local farms, or waste service providers to reduce costs and regulatory hurdles (European Commission, 2020).</w:t>
      </w:r>
    </w:p>
    <w:p w14:paraId="4630A087" w14:textId="093DDDA0"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Though additional capital investment would be required, especially for specialized equipment and IT systems, such outlays may be recouped within a few years if combined with robust monitoring and marketing strategies (Chen, Lin and Kuo, 2022). Furthermore, strong </w:t>
      </w:r>
      <w:r w:rsidRPr="0076563C">
        <w:rPr>
          <w:rFonts w:ascii="Arial" w:hAnsi="Arial" w:cs="Arial"/>
          <w:b/>
          <w:bCs/>
          <w:sz w:val="24"/>
          <w:szCs w:val="24"/>
        </w:rPr>
        <w:t>inter-property knowledge transfer</w:t>
      </w:r>
      <w:r w:rsidRPr="00E74585">
        <w:rPr>
          <w:rFonts w:ascii="Arial" w:hAnsi="Arial" w:cs="Arial"/>
          <w:sz w:val="24"/>
          <w:szCs w:val="24"/>
        </w:rPr>
        <w:t xml:space="preserve"> could support streamlined adoption once the pilot sites have proven successful. This approach reflects Carroll’s philanthropic dimension by delivering broader community benefits—such as compost donated to local farms—and enhances Hilton’s brand image among increasingly eco-conscious </w:t>
      </w:r>
      <w:r w:rsidR="00B44B00" w:rsidRPr="00E74585">
        <w:rPr>
          <w:rFonts w:ascii="Arial" w:hAnsi="Arial" w:cs="Arial"/>
          <w:sz w:val="24"/>
          <w:szCs w:val="24"/>
        </w:rPr>
        <w:t>travellers</w:t>
      </w:r>
      <w:r w:rsidRPr="00E74585">
        <w:rPr>
          <w:rFonts w:ascii="Arial" w:hAnsi="Arial" w:cs="Arial"/>
          <w:sz w:val="24"/>
          <w:szCs w:val="24"/>
        </w:rPr>
        <w:t xml:space="preserve"> (Carroll, 1979).</w:t>
      </w:r>
    </w:p>
    <w:p w14:paraId="528B4464" w14:textId="77777777" w:rsidR="00E74585" w:rsidRPr="00E74585" w:rsidRDefault="00E74585" w:rsidP="00E74585">
      <w:pPr>
        <w:spacing w:line="360" w:lineRule="auto"/>
        <w:jc w:val="both"/>
        <w:rPr>
          <w:rFonts w:ascii="Arial" w:hAnsi="Arial" w:cs="Arial"/>
          <w:sz w:val="24"/>
          <w:szCs w:val="24"/>
        </w:rPr>
      </w:pPr>
    </w:p>
    <w:p w14:paraId="43CB9901" w14:textId="77777777" w:rsidR="00E74585" w:rsidRPr="0076563C" w:rsidRDefault="00E74585" w:rsidP="00941E02">
      <w:pPr>
        <w:pStyle w:val="headstyule"/>
      </w:pPr>
      <w:bookmarkStart w:id="8" w:name="_Toc188643949"/>
      <w:r w:rsidRPr="0076563C">
        <w:t>Conclusion</w:t>
      </w:r>
      <w:bookmarkEnd w:id="8"/>
    </w:p>
    <w:p w14:paraId="74B98BA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This essay has identified a pressing gap in Hilton’s sustainability repertoire: the absence of a comprehensive, on-site food waste processing system that could align closely with circular economy principles. While Hilton’s existing measures for energy efficiency and community support are laudable, food waste remains a persistent challenge. Drawing on examples from Accor and recent academic studies, a closed-loop system would enable Hilton to repurpose organic scraps into compost or biogas, thereby reducing landfill contributions, cutting operational costs over time, and elevating the brand’s eco-friendly credentials. These gains could reinforce Hilton’s alignment with Elkington’s Triple Bottom Line and Carroll’s CSR Pyramid, ensuring the brand meets ethical and philanthropic responsibilities alongside its economic ones.</w:t>
      </w:r>
    </w:p>
    <w:p w14:paraId="0D30ADFE" w14:textId="77777777" w:rsidR="00E74585" w:rsidRPr="00E74585" w:rsidRDefault="00E74585" w:rsidP="00E74585">
      <w:pPr>
        <w:spacing w:line="360" w:lineRule="auto"/>
        <w:jc w:val="both"/>
        <w:rPr>
          <w:rFonts w:ascii="Arial" w:hAnsi="Arial" w:cs="Arial"/>
          <w:sz w:val="24"/>
          <w:szCs w:val="24"/>
        </w:rPr>
      </w:pPr>
    </w:p>
    <w:p w14:paraId="1F8F8EAA" w14:textId="5D25E3A6"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Critics point to difficulties in capital expenditure, local regulations, and staff turnover as stumbling blocks. However, a phased rollout involving pilot properties can mitigate these concerns, as evidenced by successful trials in other hotel chains. By systematically collecting data on performance, cost savings, and staff compliance, </w:t>
      </w:r>
      <w:r w:rsidRPr="00E74585">
        <w:rPr>
          <w:rFonts w:ascii="Arial" w:hAnsi="Arial" w:cs="Arial"/>
          <w:sz w:val="24"/>
          <w:szCs w:val="24"/>
        </w:rPr>
        <w:lastRenderedPageBreak/>
        <w:t xml:space="preserve">Hilton would be well positioned to expand the program chain-wide once feasibility is confirmed. The result would be a tangible advancement in the brand’s “Travel with Purpose” goals, </w:t>
      </w:r>
      <w:r w:rsidR="0076563C" w:rsidRPr="00E74585">
        <w:rPr>
          <w:rFonts w:ascii="Arial" w:hAnsi="Arial" w:cs="Arial"/>
          <w:sz w:val="24"/>
          <w:szCs w:val="24"/>
        </w:rPr>
        <w:t>signalling</w:t>
      </w:r>
      <w:r w:rsidRPr="00E74585">
        <w:rPr>
          <w:rFonts w:ascii="Arial" w:hAnsi="Arial" w:cs="Arial"/>
          <w:sz w:val="24"/>
          <w:szCs w:val="24"/>
        </w:rPr>
        <w:t xml:space="preserve"> genuine environmental leadership in an increasingly competitive marketplace. Equally important, the ongoing training and partnerships inherent in a closed-loop model help cultivate an organizational culture that values responsible resource use, ultimately benefitting both the planet and Hilton’s bottom line.</w:t>
      </w:r>
    </w:p>
    <w:p w14:paraId="6160DBBC" w14:textId="77777777" w:rsidR="00E74585" w:rsidRPr="00E74585" w:rsidRDefault="00E74585" w:rsidP="00E74585">
      <w:pPr>
        <w:spacing w:line="360" w:lineRule="auto"/>
        <w:jc w:val="both"/>
        <w:rPr>
          <w:rFonts w:ascii="Arial" w:hAnsi="Arial" w:cs="Arial"/>
          <w:sz w:val="24"/>
          <w:szCs w:val="24"/>
        </w:rPr>
      </w:pPr>
    </w:p>
    <w:p w14:paraId="5BDA9C2E" w14:textId="22E466A4" w:rsidR="00E74585" w:rsidRPr="00E74585" w:rsidRDefault="00E74585" w:rsidP="00E74585">
      <w:pPr>
        <w:spacing w:line="360" w:lineRule="auto"/>
        <w:jc w:val="both"/>
        <w:rPr>
          <w:rFonts w:ascii="Arial" w:hAnsi="Arial" w:cs="Arial"/>
          <w:sz w:val="24"/>
          <w:szCs w:val="24"/>
        </w:rPr>
      </w:pPr>
      <w:r w:rsidRPr="0076563C">
        <w:rPr>
          <w:rFonts w:ascii="Arial" w:hAnsi="Arial" w:cs="Arial"/>
          <w:b/>
          <w:bCs/>
          <w:sz w:val="24"/>
          <w:szCs w:val="24"/>
        </w:rPr>
        <w:t>References</w:t>
      </w:r>
    </w:p>
    <w:p w14:paraId="6CA6653A" w14:textId="254AE49E"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Accor Group (2022) </w:t>
      </w:r>
      <w:r w:rsidRPr="00E74585">
        <w:rPr>
          <w:rFonts w:ascii="Arial" w:hAnsi="Arial" w:cs="Arial"/>
          <w:i/>
          <w:iCs/>
          <w:sz w:val="24"/>
          <w:szCs w:val="24"/>
        </w:rPr>
        <w:t>Sustainability Report 2022</w:t>
      </w:r>
      <w:r w:rsidR="00AA08F9">
        <w:rPr>
          <w:rFonts w:ascii="Arial" w:hAnsi="Arial" w:cs="Arial"/>
          <w:sz w:val="24"/>
          <w:szCs w:val="24"/>
        </w:rPr>
        <w:t xml:space="preserve">. </w:t>
      </w:r>
      <w:r w:rsidRPr="00E74585">
        <w:rPr>
          <w:rFonts w:ascii="Arial" w:hAnsi="Arial" w:cs="Arial"/>
          <w:sz w:val="24"/>
          <w:szCs w:val="24"/>
        </w:rPr>
        <w:t xml:space="preserve">Available at: </w:t>
      </w:r>
      <w:r w:rsidR="00AA08F9" w:rsidRPr="00AA08F9">
        <w:t xml:space="preserve"> </w:t>
      </w:r>
      <w:r w:rsidR="00AA08F9" w:rsidRPr="00AA08F9">
        <w:rPr>
          <w:rFonts w:ascii="Arial" w:hAnsi="Arial" w:cs="Arial"/>
          <w:sz w:val="24"/>
          <w:szCs w:val="24"/>
        </w:rPr>
        <w:t>https://group.accor.com/en/commitment/approach/sustainability-strategy</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w:t>
      </w:r>
      <w:r w:rsidR="00AA08F9">
        <w:rPr>
          <w:rFonts w:ascii="Arial" w:hAnsi="Arial" w:cs="Arial"/>
          <w:sz w:val="24"/>
          <w:szCs w:val="24"/>
        </w:rPr>
        <w:t>:</w:t>
      </w:r>
      <w:r w:rsidRPr="00E74585">
        <w:rPr>
          <w:rFonts w:ascii="Arial" w:hAnsi="Arial" w:cs="Arial"/>
          <w:sz w:val="24"/>
          <w:szCs w:val="24"/>
        </w:rPr>
        <w:t xml:space="preserve"> 20 January 2025</w:t>
      </w:r>
      <w:r>
        <w:rPr>
          <w:rFonts w:ascii="Arial" w:hAnsi="Arial" w:cs="Arial"/>
          <w:sz w:val="24"/>
          <w:szCs w:val="24"/>
        </w:rPr>
        <w:t>)</w:t>
      </w:r>
      <w:r w:rsidRPr="00E74585">
        <w:rPr>
          <w:rFonts w:ascii="Arial" w:hAnsi="Arial" w:cs="Arial"/>
          <w:sz w:val="24"/>
          <w:szCs w:val="24"/>
        </w:rPr>
        <w:t>.</w:t>
      </w:r>
    </w:p>
    <w:p w14:paraId="46865E14" w14:textId="77777777" w:rsidR="00E74585" w:rsidRPr="00E74585" w:rsidRDefault="00E74585" w:rsidP="00E74585">
      <w:pPr>
        <w:spacing w:line="360" w:lineRule="auto"/>
        <w:jc w:val="both"/>
        <w:rPr>
          <w:rFonts w:ascii="Arial" w:hAnsi="Arial" w:cs="Arial"/>
          <w:sz w:val="24"/>
          <w:szCs w:val="24"/>
        </w:rPr>
      </w:pPr>
    </w:p>
    <w:p w14:paraId="2BD3F06C" w14:textId="21327FAA"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BCG (2021) </w:t>
      </w:r>
      <w:r w:rsidRPr="00E74585">
        <w:rPr>
          <w:rFonts w:ascii="Arial" w:hAnsi="Arial" w:cs="Arial"/>
          <w:i/>
          <w:iCs/>
          <w:sz w:val="24"/>
          <w:szCs w:val="24"/>
        </w:rPr>
        <w:t>Green Hospitality Market Outlook</w:t>
      </w:r>
      <w:r w:rsidRPr="00E74585">
        <w:rPr>
          <w:rFonts w:ascii="Arial" w:hAnsi="Arial" w:cs="Arial"/>
          <w:sz w:val="24"/>
          <w:szCs w:val="24"/>
        </w:rPr>
        <w:t xml:space="preserve">. Available at: </w:t>
      </w:r>
      <w:r w:rsidR="00AA08F9" w:rsidRPr="00AA08F9">
        <w:rPr>
          <w:rFonts w:ascii="Arial" w:hAnsi="Arial" w:cs="Arial"/>
          <w:sz w:val="24"/>
          <w:szCs w:val="24"/>
        </w:rPr>
        <w:t>https://media-publications.bcg.com/bcg-2021-annual-sustainability-report-apr-2022.pdf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w:t>
      </w:r>
      <w:r w:rsidR="00AA08F9">
        <w:rPr>
          <w:rFonts w:ascii="Arial" w:hAnsi="Arial" w:cs="Arial"/>
          <w:sz w:val="24"/>
          <w:szCs w:val="24"/>
        </w:rPr>
        <w:t>:</w:t>
      </w:r>
      <w:r w:rsidRPr="00E74585">
        <w:rPr>
          <w:rFonts w:ascii="Arial" w:hAnsi="Arial" w:cs="Arial"/>
          <w:sz w:val="24"/>
          <w:szCs w:val="24"/>
        </w:rPr>
        <w:t xml:space="preserve"> 19 January 2025</w:t>
      </w:r>
      <w:r>
        <w:rPr>
          <w:rFonts w:ascii="Arial" w:hAnsi="Arial" w:cs="Arial"/>
          <w:sz w:val="24"/>
          <w:szCs w:val="24"/>
        </w:rPr>
        <w:t>)</w:t>
      </w:r>
      <w:r w:rsidRPr="00E74585">
        <w:rPr>
          <w:rFonts w:ascii="Arial" w:hAnsi="Arial" w:cs="Arial"/>
          <w:sz w:val="24"/>
          <w:szCs w:val="24"/>
        </w:rPr>
        <w:t>.</w:t>
      </w:r>
    </w:p>
    <w:p w14:paraId="7CBB19D3" w14:textId="77777777" w:rsidR="00E74585" w:rsidRPr="00E74585" w:rsidRDefault="00E74585" w:rsidP="00E74585">
      <w:pPr>
        <w:spacing w:line="360" w:lineRule="auto"/>
        <w:jc w:val="both"/>
        <w:rPr>
          <w:rFonts w:ascii="Arial" w:hAnsi="Arial" w:cs="Arial"/>
          <w:sz w:val="24"/>
          <w:szCs w:val="24"/>
        </w:rPr>
      </w:pPr>
    </w:p>
    <w:p w14:paraId="30DAB581"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Bolton, S. and Ware, L. (2022) ‘Evaluating Green Roof Applications in Urban Hotels’, </w:t>
      </w:r>
      <w:r w:rsidRPr="00E74585">
        <w:rPr>
          <w:rFonts w:ascii="Arial" w:hAnsi="Arial" w:cs="Arial"/>
          <w:i/>
          <w:iCs/>
          <w:sz w:val="24"/>
          <w:szCs w:val="24"/>
        </w:rPr>
        <w:t>Journal of Sustainable Tourism</w:t>
      </w:r>
      <w:r w:rsidRPr="00E74585">
        <w:rPr>
          <w:rFonts w:ascii="Arial" w:hAnsi="Arial" w:cs="Arial"/>
          <w:sz w:val="24"/>
          <w:szCs w:val="24"/>
        </w:rPr>
        <w:t>, 30(4), pp. 655–672.</w:t>
      </w:r>
    </w:p>
    <w:p w14:paraId="5171E776" w14:textId="77777777" w:rsidR="00E74585" w:rsidRPr="00E74585" w:rsidRDefault="00E74585" w:rsidP="00E74585">
      <w:pPr>
        <w:spacing w:line="360" w:lineRule="auto"/>
        <w:jc w:val="both"/>
        <w:rPr>
          <w:rFonts w:ascii="Arial" w:hAnsi="Arial" w:cs="Arial"/>
          <w:sz w:val="24"/>
          <w:szCs w:val="24"/>
        </w:rPr>
      </w:pPr>
    </w:p>
    <w:p w14:paraId="19C96C4A"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Carroll, A. (1979) ‘A Three-Dimensional Conceptual Model of Corporate Social Performance’</w:t>
      </w:r>
      <w:r w:rsidRPr="00E74585">
        <w:rPr>
          <w:rFonts w:ascii="Arial" w:hAnsi="Arial" w:cs="Arial"/>
          <w:i/>
          <w:iCs/>
          <w:sz w:val="24"/>
          <w:szCs w:val="24"/>
        </w:rPr>
        <w:t>, Academy of Management Review</w:t>
      </w:r>
      <w:r w:rsidRPr="00E74585">
        <w:rPr>
          <w:rFonts w:ascii="Arial" w:hAnsi="Arial" w:cs="Arial"/>
          <w:sz w:val="24"/>
          <w:szCs w:val="24"/>
        </w:rPr>
        <w:t>, 4(4), pp. 497–505.</w:t>
      </w:r>
    </w:p>
    <w:p w14:paraId="5F4C253A" w14:textId="77777777" w:rsidR="00E74585" w:rsidRPr="00E74585" w:rsidRDefault="00E74585" w:rsidP="00E74585">
      <w:pPr>
        <w:spacing w:line="360" w:lineRule="auto"/>
        <w:jc w:val="both"/>
        <w:rPr>
          <w:rFonts w:ascii="Arial" w:hAnsi="Arial" w:cs="Arial"/>
          <w:sz w:val="24"/>
          <w:szCs w:val="24"/>
        </w:rPr>
      </w:pPr>
    </w:p>
    <w:p w14:paraId="073D13D1" w14:textId="761243E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Chen, J., Lin, W. and Kuo, S. (2022) ‘Hotel CSR and Employee Green Behaviour: The Moderating Role of Emotional Intelligence’, </w:t>
      </w:r>
      <w:r w:rsidRPr="00E74585">
        <w:rPr>
          <w:rFonts w:ascii="Arial" w:hAnsi="Arial" w:cs="Arial"/>
          <w:i/>
          <w:iCs/>
          <w:sz w:val="24"/>
          <w:szCs w:val="24"/>
        </w:rPr>
        <w:t>Journal of Hospitality and Tourism Research</w:t>
      </w:r>
      <w:r w:rsidRPr="00E74585">
        <w:rPr>
          <w:rFonts w:ascii="Arial" w:hAnsi="Arial" w:cs="Arial"/>
          <w:sz w:val="24"/>
          <w:szCs w:val="24"/>
        </w:rPr>
        <w:t>, 46(8), pp. 1417–1435.</w:t>
      </w:r>
    </w:p>
    <w:p w14:paraId="4D2DE210" w14:textId="77777777" w:rsidR="00E74585" w:rsidRPr="00E74585" w:rsidRDefault="00E74585" w:rsidP="00E74585">
      <w:pPr>
        <w:spacing w:line="360" w:lineRule="auto"/>
        <w:jc w:val="both"/>
        <w:rPr>
          <w:rFonts w:ascii="Arial" w:hAnsi="Arial" w:cs="Arial"/>
          <w:sz w:val="24"/>
          <w:szCs w:val="24"/>
        </w:rPr>
      </w:pPr>
    </w:p>
    <w:p w14:paraId="74464EEF"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Choi, G. and Parsa, H. (2021) ‘Green Practices in Hospitality: A Comprehensive Study’</w:t>
      </w:r>
      <w:r w:rsidRPr="00E74585">
        <w:rPr>
          <w:rFonts w:ascii="Arial" w:hAnsi="Arial" w:cs="Arial"/>
          <w:i/>
          <w:iCs/>
          <w:sz w:val="24"/>
          <w:szCs w:val="24"/>
        </w:rPr>
        <w:t>, Journal of Hospitality and Tourism Management</w:t>
      </w:r>
      <w:r w:rsidRPr="00E74585">
        <w:rPr>
          <w:rFonts w:ascii="Arial" w:hAnsi="Arial" w:cs="Arial"/>
          <w:sz w:val="24"/>
          <w:szCs w:val="24"/>
        </w:rPr>
        <w:t>, 48(2), pp. 109–120.</w:t>
      </w:r>
    </w:p>
    <w:p w14:paraId="484F1FD5" w14:textId="77777777" w:rsidR="00E74585" w:rsidRPr="00E74585" w:rsidRDefault="00E74585" w:rsidP="00E74585">
      <w:pPr>
        <w:spacing w:line="360" w:lineRule="auto"/>
        <w:jc w:val="both"/>
        <w:rPr>
          <w:rFonts w:ascii="Arial" w:hAnsi="Arial" w:cs="Arial"/>
          <w:sz w:val="24"/>
          <w:szCs w:val="24"/>
        </w:rPr>
      </w:pPr>
    </w:p>
    <w:p w14:paraId="1E8515B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Elkington, J. (1997) </w:t>
      </w:r>
      <w:r w:rsidRPr="00E74585">
        <w:rPr>
          <w:rFonts w:ascii="Arial" w:hAnsi="Arial" w:cs="Arial"/>
          <w:i/>
          <w:iCs/>
          <w:sz w:val="24"/>
          <w:szCs w:val="24"/>
        </w:rPr>
        <w:t>Cannibals with Forks: The Triple Bottom Line of 21st Century Business</w:t>
      </w:r>
      <w:r w:rsidRPr="00E74585">
        <w:rPr>
          <w:rFonts w:ascii="Arial" w:hAnsi="Arial" w:cs="Arial"/>
          <w:sz w:val="24"/>
          <w:szCs w:val="24"/>
        </w:rPr>
        <w:t>. Oxford: Capstone.</w:t>
      </w:r>
    </w:p>
    <w:p w14:paraId="729E86BC" w14:textId="77777777" w:rsidR="00E74585" w:rsidRPr="00E74585" w:rsidRDefault="00E74585" w:rsidP="00E74585">
      <w:pPr>
        <w:spacing w:line="360" w:lineRule="auto"/>
        <w:jc w:val="both"/>
        <w:rPr>
          <w:rFonts w:ascii="Arial" w:hAnsi="Arial" w:cs="Arial"/>
          <w:sz w:val="24"/>
          <w:szCs w:val="24"/>
        </w:rPr>
      </w:pPr>
    </w:p>
    <w:p w14:paraId="46A3CD29" w14:textId="14D332A3"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European Commission (2020) </w:t>
      </w:r>
      <w:r w:rsidRPr="00E74585">
        <w:rPr>
          <w:rFonts w:ascii="Arial" w:hAnsi="Arial" w:cs="Arial"/>
          <w:i/>
          <w:iCs/>
          <w:sz w:val="24"/>
          <w:szCs w:val="24"/>
        </w:rPr>
        <w:t>Circular Economy Action Plan</w:t>
      </w:r>
      <w:r w:rsidRPr="00E74585">
        <w:rPr>
          <w:rFonts w:ascii="Arial" w:hAnsi="Arial" w:cs="Arial"/>
          <w:sz w:val="24"/>
          <w:szCs w:val="24"/>
        </w:rPr>
        <w:t xml:space="preserve">.  Available at: </w:t>
      </w:r>
      <w:r w:rsidR="00AA08F9" w:rsidRPr="00AA08F9">
        <w:rPr>
          <w:rFonts w:ascii="Arial" w:hAnsi="Arial" w:cs="Arial"/>
          <w:sz w:val="24"/>
          <w:szCs w:val="24"/>
        </w:rPr>
        <w:t>https://op.europa.eu/en/publication-detail/-/publication/9dc6aa01-39d2-11eb-b27b-01aa75ed71a1/language-en</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5028945" w14:textId="77777777" w:rsidR="00E74585" w:rsidRPr="00E74585" w:rsidRDefault="00E74585" w:rsidP="00E74585">
      <w:pPr>
        <w:spacing w:line="360" w:lineRule="auto"/>
        <w:jc w:val="both"/>
        <w:rPr>
          <w:rFonts w:ascii="Arial" w:hAnsi="Arial" w:cs="Arial"/>
          <w:sz w:val="24"/>
          <w:szCs w:val="24"/>
        </w:rPr>
      </w:pPr>
    </w:p>
    <w:p w14:paraId="1D58DAB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Gössling, S. (2018) ‘New Performance Indicators for Water Management in Tourism’, </w:t>
      </w:r>
      <w:r w:rsidRPr="00E74585">
        <w:rPr>
          <w:rFonts w:ascii="Arial" w:hAnsi="Arial" w:cs="Arial"/>
          <w:i/>
          <w:iCs/>
          <w:sz w:val="24"/>
          <w:szCs w:val="24"/>
        </w:rPr>
        <w:t>Tourism Management</w:t>
      </w:r>
      <w:r w:rsidRPr="00E74585">
        <w:rPr>
          <w:rFonts w:ascii="Arial" w:hAnsi="Arial" w:cs="Arial"/>
          <w:sz w:val="24"/>
          <w:szCs w:val="24"/>
        </w:rPr>
        <w:t>, 64, pp. 215–217.</w:t>
      </w:r>
    </w:p>
    <w:p w14:paraId="74CB25E5" w14:textId="77777777" w:rsidR="00E74585" w:rsidRPr="00E74585" w:rsidRDefault="00E74585" w:rsidP="00E74585">
      <w:pPr>
        <w:spacing w:line="360" w:lineRule="auto"/>
        <w:jc w:val="both"/>
        <w:rPr>
          <w:rFonts w:ascii="Arial" w:hAnsi="Arial" w:cs="Arial"/>
          <w:sz w:val="24"/>
          <w:szCs w:val="24"/>
        </w:rPr>
      </w:pPr>
    </w:p>
    <w:p w14:paraId="3079C1B8" w14:textId="2FA50FAC"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 Worldwide (2022) ESG Report 2022: </w:t>
      </w:r>
      <w:r w:rsidRPr="00E74585">
        <w:rPr>
          <w:rFonts w:ascii="Arial" w:hAnsi="Arial" w:cs="Arial"/>
          <w:i/>
          <w:iCs/>
          <w:sz w:val="24"/>
          <w:szCs w:val="24"/>
        </w:rPr>
        <w:t>Travel with Purpose</w:t>
      </w:r>
      <w:r w:rsidRPr="00E74585">
        <w:rPr>
          <w:rFonts w:ascii="Arial" w:hAnsi="Arial" w:cs="Arial"/>
          <w:sz w:val="24"/>
          <w:szCs w:val="24"/>
        </w:rPr>
        <w:t>. Available at:</w:t>
      </w:r>
      <w:r w:rsidR="00DE5653">
        <w:rPr>
          <w:rFonts w:ascii="Arial" w:hAnsi="Arial" w:cs="Arial"/>
          <w:sz w:val="24"/>
          <w:szCs w:val="24"/>
        </w:rPr>
        <w:t xml:space="preserve"> </w:t>
      </w:r>
      <w:r w:rsidR="00DE5653" w:rsidRPr="00DE5653">
        <w:rPr>
          <w:rFonts w:ascii="Arial" w:hAnsi="Arial" w:cs="Arial"/>
          <w:sz w:val="24"/>
          <w:szCs w:val="24"/>
        </w:rPr>
        <w:t>https://esg.hilton.com/wp-content/uploads/sites/4/2023/04/Hilton-2022-ESG-Highlights.pdf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19 January 2025</w:t>
      </w:r>
      <w:r>
        <w:rPr>
          <w:rFonts w:ascii="Arial" w:hAnsi="Arial" w:cs="Arial"/>
          <w:sz w:val="24"/>
          <w:szCs w:val="24"/>
        </w:rPr>
        <w:t>)</w:t>
      </w:r>
      <w:r w:rsidRPr="00E74585">
        <w:rPr>
          <w:rFonts w:ascii="Arial" w:hAnsi="Arial" w:cs="Arial"/>
          <w:sz w:val="24"/>
          <w:szCs w:val="24"/>
        </w:rPr>
        <w:t>.</w:t>
      </w:r>
    </w:p>
    <w:p w14:paraId="4A098FAD" w14:textId="77777777" w:rsidR="00E74585" w:rsidRPr="00E74585" w:rsidRDefault="00E74585" w:rsidP="00E74585">
      <w:pPr>
        <w:spacing w:line="360" w:lineRule="auto"/>
        <w:jc w:val="both"/>
        <w:rPr>
          <w:rFonts w:ascii="Arial" w:hAnsi="Arial" w:cs="Arial"/>
          <w:sz w:val="24"/>
          <w:szCs w:val="24"/>
        </w:rPr>
      </w:pPr>
    </w:p>
    <w:p w14:paraId="6BD9C5E6" w14:textId="43D78915"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Hilton Worldwide (2023a</w:t>
      </w:r>
      <w:r w:rsidRPr="00E74585">
        <w:rPr>
          <w:rFonts w:ascii="Arial" w:hAnsi="Arial" w:cs="Arial"/>
          <w:i/>
          <w:iCs/>
          <w:sz w:val="24"/>
          <w:szCs w:val="24"/>
        </w:rPr>
        <w:t>) Travel with Purpose</w:t>
      </w:r>
      <w:r w:rsidRPr="00E74585">
        <w:rPr>
          <w:rFonts w:ascii="Arial" w:hAnsi="Arial" w:cs="Arial"/>
          <w:sz w:val="24"/>
          <w:szCs w:val="24"/>
        </w:rPr>
        <w:t>: Overview.</w:t>
      </w:r>
      <w:r w:rsidR="00DE5653">
        <w:rPr>
          <w:rFonts w:ascii="Arial" w:hAnsi="Arial" w:cs="Arial"/>
          <w:sz w:val="24"/>
          <w:szCs w:val="24"/>
        </w:rPr>
        <w:t xml:space="preserve"> </w:t>
      </w:r>
      <w:r w:rsidRPr="00E74585">
        <w:rPr>
          <w:rFonts w:ascii="Arial" w:hAnsi="Arial" w:cs="Arial"/>
          <w:sz w:val="24"/>
          <w:szCs w:val="24"/>
        </w:rPr>
        <w:t>Available at:</w:t>
      </w:r>
      <w:r w:rsidR="00DE5653">
        <w:rPr>
          <w:rFonts w:ascii="Arial" w:hAnsi="Arial" w:cs="Arial"/>
          <w:sz w:val="24"/>
          <w:szCs w:val="24"/>
        </w:rPr>
        <w:t xml:space="preserve"> </w:t>
      </w:r>
      <w:r w:rsidR="00DE5653" w:rsidRPr="00DE5653">
        <w:rPr>
          <w:rFonts w:ascii="Arial" w:hAnsi="Arial" w:cs="Arial"/>
          <w:sz w:val="24"/>
          <w:szCs w:val="24"/>
        </w:rPr>
        <w:t>https://esg.hilton.com/2023-twp-report/</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C89F188" w14:textId="77777777" w:rsidR="00E74585" w:rsidRPr="00E74585" w:rsidRDefault="00E74585" w:rsidP="00E74585">
      <w:pPr>
        <w:spacing w:line="360" w:lineRule="auto"/>
        <w:jc w:val="both"/>
        <w:rPr>
          <w:rFonts w:ascii="Arial" w:hAnsi="Arial" w:cs="Arial"/>
          <w:sz w:val="24"/>
          <w:szCs w:val="24"/>
        </w:rPr>
      </w:pPr>
    </w:p>
    <w:p w14:paraId="7303B450" w14:textId="5D8BBFD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Hilton Worldwide (2023b) </w:t>
      </w:r>
      <w:r w:rsidRPr="00E74585">
        <w:rPr>
          <w:rFonts w:ascii="Arial" w:hAnsi="Arial" w:cs="Arial"/>
          <w:i/>
          <w:iCs/>
          <w:sz w:val="24"/>
          <w:szCs w:val="24"/>
        </w:rPr>
        <w:t>Hilton’s 2023 Sustainability Update</w:t>
      </w:r>
      <w:r w:rsidRPr="00E74585">
        <w:rPr>
          <w:rFonts w:ascii="Arial" w:hAnsi="Arial" w:cs="Arial"/>
          <w:sz w:val="24"/>
          <w:szCs w:val="24"/>
        </w:rPr>
        <w:t xml:space="preserve">. Available at: </w:t>
      </w:r>
      <w:r w:rsidR="00DE5653" w:rsidRPr="00DE5653">
        <w:rPr>
          <w:rFonts w:ascii="Arial" w:hAnsi="Arial" w:cs="Arial"/>
          <w:sz w:val="24"/>
          <w:szCs w:val="24"/>
        </w:rPr>
        <w:t>https://esg.hilton.com/wp-content/uploads/sites/4/2024/05/2023-Travel-with-Purpose-Report-ADA-final.pdf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70294CF5" w14:textId="77777777" w:rsidR="00E74585" w:rsidRPr="00E74585" w:rsidRDefault="00E74585" w:rsidP="00E74585">
      <w:pPr>
        <w:spacing w:line="360" w:lineRule="auto"/>
        <w:jc w:val="both"/>
        <w:rPr>
          <w:rFonts w:ascii="Arial" w:hAnsi="Arial" w:cs="Arial"/>
          <w:sz w:val="24"/>
          <w:szCs w:val="24"/>
        </w:rPr>
      </w:pPr>
    </w:p>
    <w:p w14:paraId="7B7A426B"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Huang, R., Zhang, A. and Zhao, T. (2021) ‘Implementing Circular Economy in the Hotel Industry: A Conceptual Framework’, </w:t>
      </w:r>
      <w:r w:rsidRPr="00E74585">
        <w:rPr>
          <w:rFonts w:ascii="Arial" w:hAnsi="Arial" w:cs="Arial"/>
          <w:i/>
          <w:iCs/>
          <w:sz w:val="24"/>
          <w:szCs w:val="24"/>
        </w:rPr>
        <w:t>Journal of Cleaner Production</w:t>
      </w:r>
      <w:r w:rsidRPr="00E74585">
        <w:rPr>
          <w:rFonts w:ascii="Arial" w:hAnsi="Arial" w:cs="Arial"/>
          <w:sz w:val="24"/>
          <w:szCs w:val="24"/>
        </w:rPr>
        <w:t>, 315, 128148.</w:t>
      </w:r>
    </w:p>
    <w:p w14:paraId="1C5306F9" w14:textId="77777777" w:rsidR="00E74585" w:rsidRPr="00E74585" w:rsidRDefault="00E74585" w:rsidP="00E74585">
      <w:pPr>
        <w:spacing w:line="360" w:lineRule="auto"/>
        <w:jc w:val="both"/>
        <w:rPr>
          <w:rFonts w:ascii="Arial" w:hAnsi="Arial" w:cs="Arial"/>
          <w:sz w:val="24"/>
          <w:szCs w:val="24"/>
        </w:rPr>
      </w:pPr>
    </w:p>
    <w:p w14:paraId="383F3AED"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Kang, K.H., Stein, L., Heo, C.Y. and Lee, S. (2012) ‘Consumers’ Willingness to Pay for Green Initiatives of the Hotel Industry’, </w:t>
      </w:r>
      <w:r w:rsidRPr="00E74585">
        <w:rPr>
          <w:rFonts w:ascii="Arial" w:hAnsi="Arial" w:cs="Arial"/>
          <w:i/>
          <w:iCs/>
          <w:sz w:val="24"/>
          <w:szCs w:val="24"/>
        </w:rPr>
        <w:t>International Journal of Hospitality Management</w:t>
      </w:r>
      <w:r w:rsidRPr="00E74585">
        <w:rPr>
          <w:rFonts w:ascii="Arial" w:hAnsi="Arial" w:cs="Arial"/>
          <w:sz w:val="24"/>
          <w:szCs w:val="24"/>
        </w:rPr>
        <w:t>, 31(2), pp. 564–572.</w:t>
      </w:r>
    </w:p>
    <w:p w14:paraId="6CC45FF9" w14:textId="77777777" w:rsidR="00E74585" w:rsidRPr="00E74585" w:rsidRDefault="00E74585" w:rsidP="00E74585">
      <w:pPr>
        <w:spacing w:line="360" w:lineRule="auto"/>
        <w:jc w:val="both"/>
        <w:rPr>
          <w:rFonts w:ascii="Arial" w:hAnsi="Arial" w:cs="Arial"/>
          <w:sz w:val="24"/>
          <w:szCs w:val="24"/>
        </w:rPr>
      </w:pPr>
    </w:p>
    <w:p w14:paraId="44A2D76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Leonidou, L.C., Christodoulides, P. and Thwaites, D. (2016) ‘External Determinants and Financial Outcomes of an Eco-Friendly Orientation in Smaller Manufacturing Firms’, </w:t>
      </w:r>
      <w:r w:rsidRPr="00E74585">
        <w:rPr>
          <w:rFonts w:ascii="Arial" w:hAnsi="Arial" w:cs="Arial"/>
          <w:i/>
          <w:iCs/>
          <w:sz w:val="24"/>
          <w:szCs w:val="24"/>
        </w:rPr>
        <w:t>Journal of Small Business Management</w:t>
      </w:r>
      <w:r w:rsidRPr="00E74585">
        <w:rPr>
          <w:rFonts w:ascii="Arial" w:hAnsi="Arial" w:cs="Arial"/>
          <w:sz w:val="24"/>
          <w:szCs w:val="24"/>
        </w:rPr>
        <w:t>, 54(1), pp. 5–40.</w:t>
      </w:r>
    </w:p>
    <w:p w14:paraId="362E85AD" w14:textId="77777777" w:rsidR="00E74585" w:rsidRPr="00E74585" w:rsidRDefault="00E74585" w:rsidP="00E74585">
      <w:pPr>
        <w:spacing w:line="360" w:lineRule="auto"/>
        <w:jc w:val="both"/>
        <w:rPr>
          <w:rFonts w:ascii="Arial" w:hAnsi="Arial" w:cs="Arial"/>
          <w:sz w:val="24"/>
          <w:szCs w:val="24"/>
        </w:rPr>
      </w:pPr>
    </w:p>
    <w:p w14:paraId="31CB0FF8"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Martin-Rios, C., Demen-Meier, C., Gössling, S. and Cornuz, C. (2018) ‘Culinary Innovations and Sustainability in Hospitality: The Role of Stakeholder Alignment’, </w:t>
      </w:r>
      <w:r w:rsidRPr="00E74585">
        <w:rPr>
          <w:rFonts w:ascii="Arial" w:hAnsi="Arial" w:cs="Arial"/>
          <w:i/>
          <w:iCs/>
          <w:sz w:val="24"/>
          <w:szCs w:val="24"/>
        </w:rPr>
        <w:t>International Journal of Hospitality Management</w:t>
      </w:r>
      <w:r w:rsidRPr="00E74585">
        <w:rPr>
          <w:rFonts w:ascii="Arial" w:hAnsi="Arial" w:cs="Arial"/>
          <w:sz w:val="24"/>
          <w:szCs w:val="24"/>
        </w:rPr>
        <w:t>, 74, pp. 119–130.</w:t>
      </w:r>
    </w:p>
    <w:p w14:paraId="563079EE" w14:textId="77777777" w:rsidR="00E74585" w:rsidRPr="00E74585" w:rsidRDefault="00E74585" w:rsidP="00E74585">
      <w:pPr>
        <w:spacing w:line="360" w:lineRule="auto"/>
        <w:jc w:val="both"/>
        <w:rPr>
          <w:rFonts w:ascii="Arial" w:hAnsi="Arial" w:cs="Arial"/>
          <w:sz w:val="24"/>
          <w:szCs w:val="24"/>
        </w:rPr>
      </w:pPr>
    </w:p>
    <w:p w14:paraId="1CC27B53" w14:textId="3653329D"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Marriott International (2021)</w:t>
      </w:r>
      <w:r w:rsidRPr="00E74585">
        <w:rPr>
          <w:rFonts w:ascii="Arial" w:hAnsi="Arial" w:cs="Arial"/>
          <w:i/>
          <w:iCs/>
          <w:sz w:val="24"/>
          <w:szCs w:val="24"/>
        </w:rPr>
        <w:t xml:space="preserve"> Serve 360: Doing Good in Every Direction</w:t>
      </w:r>
      <w:r w:rsidRPr="00E74585">
        <w:rPr>
          <w:rFonts w:ascii="Arial" w:hAnsi="Arial" w:cs="Arial"/>
          <w:sz w:val="24"/>
          <w:szCs w:val="24"/>
        </w:rPr>
        <w:t xml:space="preserve">.  Available at: </w:t>
      </w:r>
      <w:r w:rsidR="001E462A" w:rsidRPr="001E462A">
        <w:rPr>
          <w:rFonts w:ascii="Arial" w:hAnsi="Arial" w:cs="Arial"/>
          <w:sz w:val="24"/>
          <w:szCs w:val="24"/>
        </w:rPr>
        <w:t>https://serve360.marriott.com/wp-content/uploads/2023/06/Marriott-2023-Serve-360-ESG-Report-accessible.pdf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6C01ED26" w14:textId="77777777" w:rsidR="00E74585" w:rsidRPr="00E74585" w:rsidRDefault="00E74585" w:rsidP="00E74585">
      <w:pPr>
        <w:spacing w:line="360" w:lineRule="auto"/>
        <w:jc w:val="both"/>
        <w:rPr>
          <w:rFonts w:ascii="Arial" w:hAnsi="Arial" w:cs="Arial"/>
          <w:sz w:val="24"/>
          <w:szCs w:val="24"/>
        </w:rPr>
      </w:pPr>
    </w:p>
    <w:p w14:paraId="20F3CE62"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Pantelidis, I. (2019) </w:t>
      </w:r>
      <w:r w:rsidRPr="00E74585">
        <w:rPr>
          <w:rFonts w:ascii="Arial" w:hAnsi="Arial" w:cs="Arial"/>
          <w:i/>
          <w:iCs/>
          <w:sz w:val="24"/>
          <w:szCs w:val="24"/>
        </w:rPr>
        <w:t>Emerging Trends in Sustainable Hospitality, in Emblems of the Future. London</w:t>
      </w:r>
      <w:r w:rsidRPr="00E74585">
        <w:rPr>
          <w:rFonts w:ascii="Arial" w:hAnsi="Arial" w:cs="Arial"/>
          <w:sz w:val="24"/>
          <w:szCs w:val="24"/>
        </w:rPr>
        <w:t>: XYZ Press, pp. 94–108.</w:t>
      </w:r>
    </w:p>
    <w:p w14:paraId="44413794" w14:textId="77777777" w:rsidR="00E74585" w:rsidRPr="00E74585" w:rsidRDefault="00E74585" w:rsidP="00E74585">
      <w:pPr>
        <w:spacing w:line="360" w:lineRule="auto"/>
        <w:jc w:val="both"/>
        <w:rPr>
          <w:rFonts w:ascii="Arial" w:hAnsi="Arial" w:cs="Arial"/>
          <w:sz w:val="24"/>
          <w:szCs w:val="24"/>
        </w:rPr>
      </w:pPr>
    </w:p>
    <w:p w14:paraId="14FE0887" w14:textId="4343172B"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UNWTO (2021) </w:t>
      </w:r>
      <w:r w:rsidRPr="00E74585">
        <w:rPr>
          <w:rFonts w:ascii="Arial" w:hAnsi="Arial" w:cs="Arial"/>
          <w:i/>
          <w:iCs/>
          <w:sz w:val="24"/>
          <w:szCs w:val="24"/>
        </w:rPr>
        <w:t>Hotel Energy Solutions: A UNWTO Initiative</w:t>
      </w:r>
      <w:r w:rsidRPr="00E74585">
        <w:rPr>
          <w:rFonts w:ascii="Arial" w:hAnsi="Arial" w:cs="Arial"/>
          <w:sz w:val="24"/>
          <w:szCs w:val="24"/>
        </w:rPr>
        <w:t xml:space="preserve">. Available at: </w:t>
      </w:r>
      <w:r w:rsidR="001E462A" w:rsidRPr="001E462A">
        <w:rPr>
          <w:rFonts w:ascii="Arial" w:hAnsi="Arial" w:cs="Arial"/>
          <w:sz w:val="24"/>
          <w:szCs w:val="24"/>
        </w:rPr>
        <w:t>https://www.unwto.org/hotel-energy-solution#:~:text=In%20response%20to%20the%20challenge,competitive%20by%20cutting%20on%20energy.</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19 January 2025</w:t>
      </w:r>
      <w:r>
        <w:rPr>
          <w:rFonts w:ascii="Arial" w:hAnsi="Arial" w:cs="Arial"/>
          <w:sz w:val="24"/>
          <w:szCs w:val="24"/>
        </w:rPr>
        <w:t>)</w:t>
      </w:r>
      <w:r w:rsidRPr="00E74585">
        <w:rPr>
          <w:rFonts w:ascii="Arial" w:hAnsi="Arial" w:cs="Arial"/>
          <w:sz w:val="24"/>
          <w:szCs w:val="24"/>
        </w:rPr>
        <w:t>.</w:t>
      </w:r>
    </w:p>
    <w:p w14:paraId="7099DBC3" w14:textId="77777777" w:rsidR="00E74585" w:rsidRPr="00E74585" w:rsidRDefault="00E74585" w:rsidP="00E74585">
      <w:pPr>
        <w:spacing w:line="360" w:lineRule="auto"/>
        <w:jc w:val="both"/>
        <w:rPr>
          <w:rFonts w:ascii="Arial" w:hAnsi="Arial" w:cs="Arial"/>
          <w:sz w:val="24"/>
          <w:szCs w:val="24"/>
        </w:rPr>
      </w:pPr>
    </w:p>
    <w:p w14:paraId="5990B4EF" w14:textId="795C9EE1"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World Travel &amp; Tourism Council (WTTC) (2021) ‘Food Waste Reduction in Hospitality’, </w:t>
      </w:r>
      <w:r w:rsidRPr="00E74585">
        <w:rPr>
          <w:rFonts w:ascii="Arial" w:hAnsi="Arial" w:cs="Arial"/>
          <w:i/>
          <w:iCs/>
          <w:sz w:val="24"/>
          <w:szCs w:val="24"/>
        </w:rPr>
        <w:t>WTTC Insight Reports</w:t>
      </w:r>
      <w:r w:rsidRPr="00E74585">
        <w:rPr>
          <w:rFonts w:ascii="Arial" w:hAnsi="Arial" w:cs="Arial"/>
          <w:sz w:val="24"/>
          <w:szCs w:val="24"/>
        </w:rPr>
        <w:t xml:space="preserve">. Available at: </w:t>
      </w:r>
      <w:r w:rsidR="001E462A" w:rsidRPr="001E462A">
        <w:rPr>
          <w:rFonts w:ascii="Arial" w:hAnsi="Arial" w:cs="Arial"/>
          <w:sz w:val="24"/>
          <w:szCs w:val="24"/>
        </w:rPr>
        <w:t>https://wttc.org/portals/0/documents/reports/2021/wttc_net_zero_roadmap.pdf</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20 January 2025</w:t>
      </w:r>
      <w:r>
        <w:rPr>
          <w:rFonts w:ascii="Arial" w:hAnsi="Arial" w:cs="Arial"/>
          <w:sz w:val="24"/>
          <w:szCs w:val="24"/>
        </w:rPr>
        <w:t>)</w:t>
      </w:r>
      <w:r w:rsidRPr="00E74585">
        <w:rPr>
          <w:rFonts w:ascii="Arial" w:hAnsi="Arial" w:cs="Arial"/>
          <w:sz w:val="24"/>
          <w:szCs w:val="24"/>
        </w:rPr>
        <w:t>.</w:t>
      </w:r>
    </w:p>
    <w:p w14:paraId="1F7A20A6" w14:textId="77777777" w:rsidR="00E74585" w:rsidRPr="00E74585" w:rsidRDefault="00E74585" w:rsidP="00E74585">
      <w:pPr>
        <w:spacing w:line="360" w:lineRule="auto"/>
        <w:jc w:val="both"/>
        <w:rPr>
          <w:rFonts w:ascii="Arial" w:hAnsi="Arial" w:cs="Arial"/>
          <w:sz w:val="24"/>
          <w:szCs w:val="24"/>
        </w:rPr>
      </w:pPr>
    </w:p>
    <w:p w14:paraId="4E56D81C"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Jones, T. (2020) ‘Sustainable Supply Chain Strategies in the Hospitality Sector’, </w:t>
      </w:r>
      <w:r w:rsidRPr="00E74585">
        <w:rPr>
          <w:rFonts w:ascii="Arial" w:hAnsi="Arial" w:cs="Arial"/>
          <w:i/>
          <w:iCs/>
          <w:sz w:val="24"/>
          <w:szCs w:val="24"/>
        </w:rPr>
        <w:t>International Journal of Hospitality Management</w:t>
      </w:r>
      <w:r w:rsidRPr="00E74585">
        <w:rPr>
          <w:rFonts w:ascii="Arial" w:hAnsi="Arial" w:cs="Arial"/>
          <w:sz w:val="24"/>
          <w:szCs w:val="24"/>
        </w:rPr>
        <w:t>, 45, pp. 109–118.</w:t>
      </w:r>
    </w:p>
    <w:p w14:paraId="74AD8595" w14:textId="77777777" w:rsidR="00E74585" w:rsidRPr="00E74585" w:rsidRDefault="00E74585" w:rsidP="00E74585">
      <w:pPr>
        <w:spacing w:line="360" w:lineRule="auto"/>
        <w:jc w:val="both"/>
        <w:rPr>
          <w:rFonts w:ascii="Arial" w:hAnsi="Arial" w:cs="Arial"/>
          <w:sz w:val="24"/>
          <w:szCs w:val="24"/>
        </w:rPr>
      </w:pPr>
      <w:r w:rsidRPr="00E74585">
        <w:rPr>
          <w:rFonts w:ascii="Arial" w:hAnsi="Arial" w:cs="Arial"/>
          <w:sz w:val="24"/>
          <w:szCs w:val="24"/>
        </w:rPr>
        <w:lastRenderedPageBreak/>
        <w:t xml:space="preserve">Leonard, P. (2019) ‘Greening Hotel Operations: Cost–Benefit Analysis of On-Site Composting’, </w:t>
      </w:r>
      <w:r w:rsidRPr="00E74585">
        <w:rPr>
          <w:rFonts w:ascii="Arial" w:hAnsi="Arial" w:cs="Arial"/>
          <w:i/>
          <w:iCs/>
          <w:sz w:val="24"/>
          <w:szCs w:val="24"/>
        </w:rPr>
        <w:t>International Journal of Contemporary Hospitality Management</w:t>
      </w:r>
      <w:r w:rsidRPr="00E74585">
        <w:rPr>
          <w:rFonts w:ascii="Arial" w:hAnsi="Arial" w:cs="Arial"/>
          <w:sz w:val="24"/>
          <w:szCs w:val="24"/>
        </w:rPr>
        <w:t>, 31(3), pp. 451–463.</w:t>
      </w:r>
    </w:p>
    <w:p w14:paraId="4BB19F1B" w14:textId="7BB72F74" w:rsidR="00077990" w:rsidRPr="00077990" w:rsidRDefault="00E74585" w:rsidP="00E74585">
      <w:pPr>
        <w:spacing w:line="360" w:lineRule="auto"/>
        <w:jc w:val="both"/>
        <w:rPr>
          <w:rFonts w:ascii="Arial" w:hAnsi="Arial" w:cs="Arial"/>
          <w:sz w:val="24"/>
          <w:szCs w:val="24"/>
        </w:rPr>
      </w:pPr>
      <w:r w:rsidRPr="00E74585">
        <w:rPr>
          <w:rFonts w:ascii="Arial" w:hAnsi="Arial" w:cs="Arial"/>
          <w:sz w:val="24"/>
          <w:szCs w:val="24"/>
        </w:rPr>
        <w:t xml:space="preserve">UNWTO and UNEP (2019) </w:t>
      </w:r>
      <w:r w:rsidRPr="00E74585">
        <w:rPr>
          <w:rFonts w:ascii="Arial" w:hAnsi="Arial" w:cs="Arial"/>
          <w:i/>
          <w:iCs/>
          <w:sz w:val="24"/>
          <w:szCs w:val="24"/>
        </w:rPr>
        <w:t>Sustainable Tourism Planning</w:t>
      </w:r>
      <w:r w:rsidR="001E462A">
        <w:rPr>
          <w:rFonts w:ascii="Arial" w:hAnsi="Arial" w:cs="Arial"/>
          <w:sz w:val="24"/>
          <w:szCs w:val="24"/>
        </w:rPr>
        <w:t>.</w:t>
      </w:r>
      <w:r w:rsidRPr="00E74585">
        <w:rPr>
          <w:rFonts w:ascii="Arial" w:hAnsi="Arial" w:cs="Arial"/>
          <w:sz w:val="24"/>
          <w:szCs w:val="24"/>
        </w:rPr>
        <w:t xml:space="preserve"> Available at:</w:t>
      </w:r>
      <w:r w:rsidR="001E462A">
        <w:rPr>
          <w:rFonts w:ascii="Arial" w:hAnsi="Arial" w:cs="Arial"/>
          <w:sz w:val="24"/>
          <w:szCs w:val="24"/>
        </w:rPr>
        <w:t xml:space="preserve"> </w:t>
      </w:r>
      <w:r w:rsidR="001E462A" w:rsidRPr="001E462A">
        <w:rPr>
          <w:rFonts w:ascii="Arial" w:hAnsi="Arial" w:cs="Arial"/>
          <w:sz w:val="24"/>
          <w:szCs w:val="24"/>
        </w:rPr>
        <w:t>https://www.unwto.org/global/press-release/2019-06-04/sustainability-key-part-tourism-policies-more-still-be-done-unwtoun-environ</w:t>
      </w:r>
      <w:r w:rsidRPr="00E74585">
        <w:rPr>
          <w:rFonts w:ascii="Arial" w:hAnsi="Arial" w:cs="Arial"/>
          <w:sz w:val="24"/>
          <w:szCs w:val="24"/>
        </w:rPr>
        <w:t xml:space="preserve"> </w:t>
      </w:r>
      <w:r>
        <w:rPr>
          <w:rFonts w:ascii="Arial" w:hAnsi="Arial" w:cs="Arial"/>
          <w:sz w:val="24"/>
          <w:szCs w:val="24"/>
        </w:rPr>
        <w:t>(</w:t>
      </w:r>
      <w:r w:rsidRPr="00E74585">
        <w:rPr>
          <w:rFonts w:ascii="Arial" w:hAnsi="Arial" w:cs="Arial"/>
          <w:sz w:val="24"/>
          <w:szCs w:val="24"/>
        </w:rPr>
        <w:t>Accessed 22 January 2025</w:t>
      </w:r>
      <w:r>
        <w:rPr>
          <w:rFonts w:ascii="Arial" w:hAnsi="Arial" w:cs="Arial"/>
          <w:sz w:val="24"/>
          <w:szCs w:val="24"/>
        </w:rPr>
        <w:t>)</w:t>
      </w:r>
      <w:r w:rsidRPr="00E74585">
        <w:rPr>
          <w:rFonts w:ascii="Arial" w:hAnsi="Arial" w:cs="Arial"/>
          <w:sz w:val="24"/>
          <w:szCs w:val="24"/>
        </w:rPr>
        <w:t>.</w:t>
      </w:r>
    </w:p>
    <w:sectPr w:rsidR="00077990" w:rsidRPr="0007799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B68A5" w14:textId="77777777" w:rsidR="00547B8F" w:rsidRDefault="00547B8F" w:rsidP="004D31C8">
      <w:pPr>
        <w:spacing w:after="0" w:line="240" w:lineRule="auto"/>
      </w:pPr>
      <w:r>
        <w:separator/>
      </w:r>
    </w:p>
  </w:endnote>
  <w:endnote w:type="continuationSeparator" w:id="0">
    <w:p w14:paraId="64D7E19A" w14:textId="77777777" w:rsidR="00547B8F" w:rsidRDefault="00547B8F" w:rsidP="004D3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7554215"/>
      <w:docPartObj>
        <w:docPartGallery w:val="Page Numbers (Bottom of Page)"/>
        <w:docPartUnique/>
      </w:docPartObj>
    </w:sdtPr>
    <w:sdtEndPr>
      <w:rPr>
        <w:noProof/>
      </w:rPr>
    </w:sdtEndPr>
    <w:sdtContent>
      <w:p w14:paraId="0B006F2A" w14:textId="356AFA86" w:rsidR="004D31C8" w:rsidRDefault="004D31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7C354" w14:textId="77777777" w:rsidR="004D31C8" w:rsidRDefault="004D3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4D201" w14:textId="77777777" w:rsidR="00547B8F" w:rsidRDefault="00547B8F" w:rsidP="004D31C8">
      <w:pPr>
        <w:spacing w:after="0" w:line="240" w:lineRule="auto"/>
      </w:pPr>
      <w:r>
        <w:separator/>
      </w:r>
    </w:p>
  </w:footnote>
  <w:footnote w:type="continuationSeparator" w:id="0">
    <w:p w14:paraId="1D1CC525" w14:textId="77777777" w:rsidR="00547B8F" w:rsidRDefault="00547B8F" w:rsidP="004D3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9E28C" w14:textId="77777777" w:rsidR="004D31C8" w:rsidRDefault="004D3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1DE"/>
    <w:multiLevelType w:val="multilevel"/>
    <w:tmpl w:val="F18E7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D3E72"/>
    <w:multiLevelType w:val="hybridMultilevel"/>
    <w:tmpl w:val="BF047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226830"/>
    <w:multiLevelType w:val="multilevel"/>
    <w:tmpl w:val="7E96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300CF"/>
    <w:multiLevelType w:val="multilevel"/>
    <w:tmpl w:val="73003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457A3"/>
    <w:multiLevelType w:val="multilevel"/>
    <w:tmpl w:val="A2B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7FE3908"/>
    <w:multiLevelType w:val="multilevel"/>
    <w:tmpl w:val="46F48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621590"/>
    <w:multiLevelType w:val="multilevel"/>
    <w:tmpl w:val="C872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B739D2"/>
    <w:multiLevelType w:val="multilevel"/>
    <w:tmpl w:val="C2801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6F3902"/>
    <w:multiLevelType w:val="multilevel"/>
    <w:tmpl w:val="99F4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186113">
    <w:abstractNumId w:val="2"/>
  </w:num>
  <w:num w:numId="2" w16cid:durableId="1201555023">
    <w:abstractNumId w:val="0"/>
  </w:num>
  <w:num w:numId="3" w16cid:durableId="528958511">
    <w:abstractNumId w:val="9"/>
  </w:num>
  <w:num w:numId="4" w16cid:durableId="1318798836">
    <w:abstractNumId w:val="8"/>
  </w:num>
  <w:num w:numId="5" w16cid:durableId="864560747">
    <w:abstractNumId w:val="1"/>
  </w:num>
  <w:num w:numId="6" w16cid:durableId="14617777">
    <w:abstractNumId w:val="7"/>
  </w:num>
  <w:num w:numId="7" w16cid:durableId="295450642">
    <w:abstractNumId w:val="3"/>
  </w:num>
  <w:num w:numId="8" w16cid:durableId="80226325">
    <w:abstractNumId w:val="4"/>
  </w:num>
  <w:num w:numId="9" w16cid:durableId="1037777489">
    <w:abstractNumId w:val="6"/>
  </w:num>
  <w:num w:numId="10" w16cid:durableId="4723331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030"/>
    <w:rsid w:val="00077990"/>
    <w:rsid w:val="001A6A27"/>
    <w:rsid w:val="001C1030"/>
    <w:rsid w:val="001E462A"/>
    <w:rsid w:val="002C112F"/>
    <w:rsid w:val="004D31C8"/>
    <w:rsid w:val="004E31D4"/>
    <w:rsid w:val="00547B8F"/>
    <w:rsid w:val="00662D64"/>
    <w:rsid w:val="006C2B27"/>
    <w:rsid w:val="00702418"/>
    <w:rsid w:val="0076563C"/>
    <w:rsid w:val="008B0AA6"/>
    <w:rsid w:val="00941E02"/>
    <w:rsid w:val="009B309D"/>
    <w:rsid w:val="00A31867"/>
    <w:rsid w:val="00AA08F9"/>
    <w:rsid w:val="00B24814"/>
    <w:rsid w:val="00B44B00"/>
    <w:rsid w:val="00B94FC0"/>
    <w:rsid w:val="00DE5653"/>
    <w:rsid w:val="00E20DF9"/>
    <w:rsid w:val="00E530E5"/>
    <w:rsid w:val="00E74585"/>
    <w:rsid w:val="00F94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2C83"/>
  <w15:chartTrackingRefBased/>
  <w15:docId w15:val="{43AA3EBF-AA00-4468-A2A4-793ACAAB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030"/>
    <w:rPr>
      <w:rFonts w:eastAsiaTheme="majorEastAsia" w:cstheme="majorBidi"/>
      <w:color w:val="272727" w:themeColor="text1" w:themeTint="D8"/>
    </w:rPr>
  </w:style>
  <w:style w:type="paragraph" w:styleId="Title">
    <w:name w:val="Title"/>
    <w:basedOn w:val="Normal"/>
    <w:next w:val="Normal"/>
    <w:link w:val="TitleChar"/>
    <w:uiPriority w:val="10"/>
    <w:qFormat/>
    <w:rsid w:val="001C1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030"/>
    <w:pPr>
      <w:spacing w:before="160"/>
      <w:jc w:val="center"/>
    </w:pPr>
    <w:rPr>
      <w:i/>
      <w:iCs/>
      <w:color w:val="404040" w:themeColor="text1" w:themeTint="BF"/>
    </w:rPr>
  </w:style>
  <w:style w:type="character" w:customStyle="1" w:styleId="QuoteChar">
    <w:name w:val="Quote Char"/>
    <w:basedOn w:val="DefaultParagraphFont"/>
    <w:link w:val="Quote"/>
    <w:uiPriority w:val="29"/>
    <w:rsid w:val="001C1030"/>
    <w:rPr>
      <w:i/>
      <w:iCs/>
      <w:color w:val="404040" w:themeColor="text1" w:themeTint="BF"/>
    </w:rPr>
  </w:style>
  <w:style w:type="paragraph" w:styleId="ListParagraph">
    <w:name w:val="List Paragraph"/>
    <w:basedOn w:val="Normal"/>
    <w:uiPriority w:val="34"/>
    <w:qFormat/>
    <w:rsid w:val="001C1030"/>
    <w:pPr>
      <w:ind w:left="720"/>
      <w:contextualSpacing/>
    </w:pPr>
  </w:style>
  <w:style w:type="character" w:styleId="IntenseEmphasis">
    <w:name w:val="Intense Emphasis"/>
    <w:basedOn w:val="DefaultParagraphFont"/>
    <w:uiPriority w:val="21"/>
    <w:qFormat/>
    <w:rsid w:val="001C1030"/>
    <w:rPr>
      <w:i/>
      <w:iCs/>
      <w:color w:val="0F4761" w:themeColor="accent1" w:themeShade="BF"/>
    </w:rPr>
  </w:style>
  <w:style w:type="paragraph" w:styleId="IntenseQuote">
    <w:name w:val="Intense Quote"/>
    <w:basedOn w:val="Normal"/>
    <w:next w:val="Normal"/>
    <w:link w:val="IntenseQuoteChar"/>
    <w:uiPriority w:val="30"/>
    <w:qFormat/>
    <w:rsid w:val="001C1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030"/>
    <w:rPr>
      <w:i/>
      <w:iCs/>
      <w:color w:val="0F4761" w:themeColor="accent1" w:themeShade="BF"/>
    </w:rPr>
  </w:style>
  <w:style w:type="character" w:styleId="IntenseReference">
    <w:name w:val="Intense Reference"/>
    <w:basedOn w:val="DefaultParagraphFont"/>
    <w:uiPriority w:val="32"/>
    <w:qFormat/>
    <w:rsid w:val="001C1030"/>
    <w:rPr>
      <w:b/>
      <w:bCs/>
      <w:smallCaps/>
      <w:color w:val="0F4761" w:themeColor="accent1" w:themeShade="BF"/>
      <w:spacing w:val="5"/>
    </w:rPr>
  </w:style>
  <w:style w:type="paragraph" w:styleId="Header">
    <w:name w:val="header"/>
    <w:basedOn w:val="Normal"/>
    <w:link w:val="HeaderChar"/>
    <w:uiPriority w:val="99"/>
    <w:unhideWhenUsed/>
    <w:rsid w:val="004D3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1C8"/>
  </w:style>
  <w:style w:type="paragraph" w:styleId="Footer">
    <w:name w:val="footer"/>
    <w:basedOn w:val="Normal"/>
    <w:link w:val="FooterChar"/>
    <w:uiPriority w:val="99"/>
    <w:unhideWhenUsed/>
    <w:rsid w:val="004D3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1C8"/>
  </w:style>
  <w:style w:type="paragraph" w:styleId="TOCHeading">
    <w:name w:val="TOC Heading"/>
    <w:basedOn w:val="Heading1"/>
    <w:next w:val="Normal"/>
    <w:uiPriority w:val="39"/>
    <w:unhideWhenUsed/>
    <w:qFormat/>
    <w:rsid w:val="004D31C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D31C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D31C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D31C8"/>
    <w:pPr>
      <w:spacing w:after="100"/>
      <w:ind w:left="440"/>
    </w:pPr>
    <w:rPr>
      <w:rFonts w:eastAsiaTheme="minorEastAsia" w:cs="Times New Roman"/>
      <w:kern w:val="0"/>
      <w:lang w:val="en-US"/>
      <w14:ligatures w14:val="none"/>
    </w:rPr>
  </w:style>
  <w:style w:type="paragraph" w:customStyle="1" w:styleId="headstyule">
    <w:name w:val="headstyule"/>
    <w:basedOn w:val="Heading1"/>
    <w:link w:val="headstyuleChar"/>
    <w:qFormat/>
    <w:rsid w:val="00941E02"/>
    <w:rPr>
      <w:rFonts w:ascii="Arial" w:hAnsi="Arial"/>
      <w:b/>
      <w:sz w:val="24"/>
    </w:rPr>
  </w:style>
  <w:style w:type="character" w:customStyle="1" w:styleId="headstyuleChar">
    <w:name w:val="headstyule Char"/>
    <w:basedOn w:val="Heading1Char"/>
    <w:link w:val="headstyule"/>
    <w:rsid w:val="00941E02"/>
    <w:rPr>
      <w:rFonts w:ascii="Arial" w:eastAsiaTheme="majorEastAsia" w:hAnsi="Arial" w:cstheme="majorBidi"/>
      <w:b/>
      <w:color w:val="0F4761" w:themeColor="accent1" w:themeShade="BF"/>
      <w:sz w:val="24"/>
      <w:szCs w:val="40"/>
    </w:rPr>
  </w:style>
  <w:style w:type="paragraph" w:customStyle="1" w:styleId="Stylehead2">
    <w:name w:val="Stylehead 2"/>
    <w:basedOn w:val="Heading2"/>
    <w:link w:val="Stylehead2Char"/>
    <w:qFormat/>
    <w:rsid w:val="00941E02"/>
    <w:pPr>
      <w:spacing w:line="360" w:lineRule="auto"/>
      <w:jc w:val="both"/>
    </w:pPr>
    <w:rPr>
      <w:rFonts w:ascii="Arial" w:hAnsi="Arial" w:cs="Arial"/>
      <w:b/>
      <w:bCs/>
      <w:sz w:val="24"/>
      <w:szCs w:val="24"/>
    </w:rPr>
  </w:style>
  <w:style w:type="character" w:customStyle="1" w:styleId="Stylehead2Char">
    <w:name w:val="Stylehead 2 Char"/>
    <w:basedOn w:val="Heading2Char"/>
    <w:link w:val="Stylehead2"/>
    <w:rsid w:val="00941E02"/>
    <w:rPr>
      <w:rFonts w:ascii="Arial" w:eastAsiaTheme="majorEastAsia" w:hAnsi="Arial" w:cs="Arial"/>
      <w:b/>
      <w:bCs/>
      <w:color w:val="0F4761" w:themeColor="accent1" w:themeShade="BF"/>
      <w:sz w:val="24"/>
      <w:szCs w:val="24"/>
    </w:rPr>
  </w:style>
  <w:style w:type="character" w:styleId="Hyperlink">
    <w:name w:val="Hyperlink"/>
    <w:basedOn w:val="DefaultParagraphFont"/>
    <w:uiPriority w:val="99"/>
    <w:unhideWhenUsed/>
    <w:rsid w:val="00941E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17951">
      <w:bodyDiv w:val="1"/>
      <w:marLeft w:val="0"/>
      <w:marRight w:val="0"/>
      <w:marTop w:val="0"/>
      <w:marBottom w:val="0"/>
      <w:divBdr>
        <w:top w:val="none" w:sz="0" w:space="0" w:color="auto"/>
        <w:left w:val="none" w:sz="0" w:space="0" w:color="auto"/>
        <w:bottom w:val="none" w:sz="0" w:space="0" w:color="auto"/>
        <w:right w:val="none" w:sz="0" w:space="0" w:color="auto"/>
      </w:divBdr>
    </w:div>
    <w:div w:id="767775243">
      <w:bodyDiv w:val="1"/>
      <w:marLeft w:val="0"/>
      <w:marRight w:val="0"/>
      <w:marTop w:val="0"/>
      <w:marBottom w:val="0"/>
      <w:divBdr>
        <w:top w:val="none" w:sz="0" w:space="0" w:color="auto"/>
        <w:left w:val="none" w:sz="0" w:space="0" w:color="auto"/>
        <w:bottom w:val="none" w:sz="0" w:space="0" w:color="auto"/>
        <w:right w:val="none" w:sz="0" w:space="0" w:color="auto"/>
      </w:divBdr>
    </w:div>
    <w:div w:id="1486120153">
      <w:bodyDiv w:val="1"/>
      <w:marLeft w:val="0"/>
      <w:marRight w:val="0"/>
      <w:marTop w:val="0"/>
      <w:marBottom w:val="0"/>
      <w:divBdr>
        <w:top w:val="none" w:sz="0" w:space="0" w:color="auto"/>
        <w:left w:val="none" w:sz="0" w:space="0" w:color="auto"/>
        <w:bottom w:val="none" w:sz="0" w:space="0" w:color="auto"/>
        <w:right w:val="none" w:sz="0" w:space="0" w:color="auto"/>
      </w:divBdr>
    </w:div>
    <w:div w:id="1814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A37C3-2E33-4276-A947-29E62B03A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Simion Madalin</dc:creator>
  <cp:keywords/>
  <dc:description/>
  <cp:lastModifiedBy>Simion Madalin</cp:lastModifiedBy>
  <cp:revision>14</cp:revision>
  <dcterms:created xsi:type="dcterms:W3CDTF">2025-01-24T19:59:00Z</dcterms:created>
  <dcterms:modified xsi:type="dcterms:W3CDTF">2025-02-07T09:20:00Z</dcterms:modified>
</cp:coreProperties>
</file>