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46EF6" w14:textId="77777777" w:rsidR="001E4FE4" w:rsidRDefault="001E4FE4" w:rsidP="009D257C">
      <w:pPr>
        <w:spacing w:line="276" w:lineRule="auto"/>
        <w:jc w:val="center"/>
        <w:rPr>
          <w:rFonts w:ascii="Arial" w:hAnsi="Arial" w:cs="Arial"/>
          <w:b/>
          <w:bCs/>
          <w:sz w:val="24"/>
          <w:szCs w:val="24"/>
          <w:u w:val="single"/>
        </w:rPr>
      </w:pPr>
      <w:r w:rsidRPr="00EE6B67">
        <w:rPr>
          <w:rFonts w:ascii="Arial" w:hAnsi="Arial" w:cs="Arial"/>
          <w:b/>
          <w:bCs/>
          <w:sz w:val="24"/>
          <w:szCs w:val="24"/>
          <w:u w:val="single"/>
        </w:rPr>
        <w:t>Jasmin Williams - Student Number – 2236912</w:t>
      </w:r>
    </w:p>
    <w:p w14:paraId="61C87244" w14:textId="77777777" w:rsidR="009D257C" w:rsidRPr="00EE6B67" w:rsidRDefault="009D257C" w:rsidP="009D257C">
      <w:pPr>
        <w:spacing w:line="276" w:lineRule="auto"/>
        <w:jc w:val="center"/>
        <w:rPr>
          <w:rFonts w:ascii="Arial" w:hAnsi="Arial" w:cs="Arial"/>
          <w:b/>
          <w:bCs/>
          <w:sz w:val="24"/>
          <w:szCs w:val="24"/>
          <w:u w:val="single"/>
        </w:rPr>
      </w:pPr>
    </w:p>
    <w:p w14:paraId="6AD29ADB" w14:textId="1E899BE1" w:rsidR="00144E37" w:rsidRDefault="00144E37" w:rsidP="009D257C">
      <w:pPr>
        <w:spacing w:line="276" w:lineRule="auto"/>
        <w:rPr>
          <w:rFonts w:ascii="Arial" w:hAnsi="Arial" w:cs="Arial"/>
          <w:sz w:val="24"/>
          <w:szCs w:val="24"/>
        </w:rPr>
      </w:pPr>
      <w:r w:rsidRPr="00144E37">
        <w:rPr>
          <w:rFonts w:ascii="Arial" w:hAnsi="Arial" w:cs="Arial"/>
          <w:b/>
          <w:bCs/>
          <w:sz w:val="24"/>
          <w:szCs w:val="24"/>
          <w:u w:val="single"/>
        </w:rPr>
        <w:t>Essay Two Response Policing</w:t>
      </w:r>
      <w:r w:rsidRPr="00144E37">
        <w:rPr>
          <w:rFonts w:ascii="Arial" w:hAnsi="Arial" w:cs="Arial"/>
          <w:sz w:val="24"/>
          <w:szCs w:val="24"/>
        </w:rPr>
        <w:t xml:space="preserve"> – Why is it important to manage wellbeing in policing? What can be the consequences if mental wellbeing is not managed accordingly?</w:t>
      </w:r>
    </w:p>
    <w:p w14:paraId="0ED34D82" w14:textId="77777777" w:rsidR="00144E37" w:rsidRPr="00144E37" w:rsidRDefault="00144E37" w:rsidP="009D257C">
      <w:pPr>
        <w:spacing w:line="276" w:lineRule="auto"/>
        <w:rPr>
          <w:rFonts w:ascii="Arial" w:hAnsi="Arial" w:cs="Arial"/>
          <w:sz w:val="24"/>
          <w:szCs w:val="24"/>
        </w:rPr>
      </w:pPr>
    </w:p>
    <w:p w14:paraId="2C8BC0B1" w14:textId="7F97A519"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In this essay I will discuss what mental wellbeing is in order to gather an understanding. </w:t>
      </w:r>
      <w:r w:rsidR="00256174">
        <w:rPr>
          <w:rFonts w:ascii="Arial" w:hAnsi="Arial" w:cs="Arial"/>
          <w:sz w:val="24"/>
          <w:szCs w:val="24"/>
        </w:rPr>
        <w:t xml:space="preserve">I will also </w:t>
      </w:r>
      <w:r w:rsidRPr="00144E37">
        <w:rPr>
          <w:rFonts w:ascii="Arial" w:hAnsi="Arial" w:cs="Arial"/>
          <w:sz w:val="24"/>
          <w:szCs w:val="24"/>
        </w:rPr>
        <w:t>discuss why mental wellbeing is important, also the importance of this in relation to the police</w:t>
      </w:r>
      <w:r w:rsidR="00B26CA4">
        <w:rPr>
          <w:rFonts w:ascii="Arial" w:hAnsi="Arial" w:cs="Arial"/>
          <w:sz w:val="24"/>
          <w:szCs w:val="24"/>
        </w:rPr>
        <w:t>, work performance, officers motivation to work and also safety for those at the scene</w:t>
      </w:r>
      <w:r w:rsidRPr="00144E37">
        <w:rPr>
          <w:rFonts w:ascii="Arial" w:hAnsi="Arial" w:cs="Arial"/>
          <w:sz w:val="24"/>
          <w:szCs w:val="24"/>
        </w:rPr>
        <w:t>. Further to this I will then discuss the consequences of mental wellbeing not being managed accordingly applying this to the role of a police officer</w:t>
      </w:r>
      <w:r w:rsidR="00B26CA4">
        <w:rPr>
          <w:rFonts w:ascii="Arial" w:hAnsi="Arial" w:cs="Arial"/>
          <w:sz w:val="24"/>
          <w:szCs w:val="24"/>
        </w:rPr>
        <w:t xml:space="preserve">, as </w:t>
      </w:r>
      <w:r w:rsidR="00F5722B">
        <w:rPr>
          <w:rFonts w:ascii="Arial" w:hAnsi="Arial" w:cs="Arial"/>
          <w:sz w:val="24"/>
          <w:szCs w:val="24"/>
        </w:rPr>
        <w:t>this may affect the officers ability to work accordingly</w:t>
      </w:r>
      <w:r w:rsidRPr="00144E37">
        <w:rPr>
          <w:rFonts w:ascii="Arial" w:hAnsi="Arial" w:cs="Arial"/>
          <w:sz w:val="24"/>
          <w:szCs w:val="24"/>
        </w:rPr>
        <w:t>.</w:t>
      </w:r>
    </w:p>
    <w:p w14:paraId="566C7388" w14:textId="77777777" w:rsidR="00144E37" w:rsidRPr="00144E37" w:rsidRDefault="00144E37" w:rsidP="009D257C">
      <w:pPr>
        <w:spacing w:line="276" w:lineRule="auto"/>
        <w:rPr>
          <w:rFonts w:ascii="Arial" w:hAnsi="Arial" w:cs="Arial"/>
          <w:sz w:val="24"/>
          <w:szCs w:val="24"/>
        </w:rPr>
      </w:pPr>
    </w:p>
    <w:p w14:paraId="33540234" w14:textId="714D5C87" w:rsidR="00144E37" w:rsidRDefault="00144E37" w:rsidP="009D257C">
      <w:pPr>
        <w:spacing w:line="276" w:lineRule="auto"/>
        <w:rPr>
          <w:rFonts w:ascii="Arial" w:hAnsi="Arial" w:cs="Arial"/>
          <w:sz w:val="24"/>
          <w:szCs w:val="24"/>
        </w:rPr>
      </w:pPr>
      <w:r w:rsidRPr="00144E37">
        <w:rPr>
          <w:rFonts w:ascii="Arial" w:hAnsi="Arial" w:cs="Arial"/>
          <w:sz w:val="24"/>
          <w:szCs w:val="24"/>
        </w:rPr>
        <w:t>There are three dimensions in relation to human health, one of these being mental wellbeing. A healthy mental wellbeing</w:t>
      </w:r>
      <w:r w:rsidR="000173FE">
        <w:rPr>
          <w:rFonts w:ascii="Arial" w:hAnsi="Arial" w:cs="Arial"/>
          <w:sz w:val="24"/>
          <w:szCs w:val="24"/>
        </w:rPr>
        <w:t>, this</w:t>
      </w:r>
      <w:r w:rsidRPr="00144E37">
        <w:rPr>
          <w:rFonts w:ascii="Arial" w:hAnsi="Arial" w:cs="Arial"/>
          <w:sz w:val="24"/>
          <w:szCs w:val="24"/>
        </w:rPr>
        <w:t xml:space="preserve"> “is distinguished by a lack of depressive symptoms and the presence of calm and happy mental state” (Wang, C. et al (2023, p. 2395). Meaning that the lack of ‘depressive symptoms’ and mental wellbeing </w:t>
      </w:r>
      <w:r w:rsidR="000173FE">
        <w:rPr>
          <w:rFonts w:ascii="Arial" w:hAnsi="Arial" w:cs="Arial"/>
          <w:sz w:val="24"/>
          <w:szCs w:val="24"/>
        </w:rPr>
        <w:t xml:space="preserve">when being </w:t>
      </w:r>
      <w:r w:rsidRPr="00144E37">
        <w:rPr>
          <w:rFonts w:ascii="Arial" w:hAnsi="Arial" w:cs="Arial"/>
          <w:sz w:val="24"/>
          <w:szCs w:val="24"/>
        </w:rPr>
        <w:t>managed accordingly allows for people to be in a ‘calm and happy mental state</w:t>
      </w:r>
      <w:r w:rsidR="00813E2A" w:rsidRPr="00144E37">
        <w:rPr>
          <w:rFonts w:ascii="Arial" w:hAnsi="Arial" w:cs="Arial"/>
          <w:sz w:val="24"/>
          <w:szCs w:val="24"/>
        </w:rPr>
        <w:t>.’</w:t>
      </w:r>
      <w:r w:rsidRPr="00144E37">
        <w:rPr>
          <w:rFonts w:ascii="Arial" w:hAnsi="Arial" w:cs="Arial"/>
          <w:sz w:val="24"/>
          <w:szCs w:val="24"/>
        </w:rPr>
        <w:t xml:space="preserve"> Having this happy and healthy mental state allows for people and police</w:t>
      </w:r>
      <w:r w:rsidR="00DE600F">
        <w:rPr>
          <w:rFonts w:ascii="Arial" w:hAnsi="Arial" w:cs="Arial"/>
          <w:sz w:val="24"/>
          <w:szCs w:val="24"/>
        </w:rPr>
        <w:t xml:space="preserve"> </w:t>
      </w:r>
      <w:r w:rsidRPr="00144E37">
        <w:rPr>
          <w:rFonts w:ascii="Arial" w:hAnsi="Arial" w:cs="Arial"/>
          <w:sz w:val="24"/>
          <w:szCs w:val="24"/>
        </w:rPr>
        <w:t>officers to have a positive day to day mindset. Hasson and Butler (2020, p. 14) note that officers managing their mental wellbeing correctly can be applied to the role of an officer as it is impactive to the role that this is managed accordingly. Officers have the ability to deal with traumatic incident, cope with situational difficulties, or challenges using resilience and being able to bounce back from these stressors.</w:t>
      </w:r>
      <w:r w:rsidR="009E61D9">
        <w:rPr>
          <w:rFonts w:ascii="Arial" w:hAnsi="Arial" w:cs="Arial"/>
          <w:sz w:val="24"/>
          <w:szCs w:val="24"/>
        </w:rPr>
        <w:t xml:space="preserve"> </w:t>
      </w:r>
      <w:r w:rsidRPr="00144E37">
        <w:rPr>
          <w:rFonts w:ascii="Arial" w:hAnsi="Arial" w:cs="Arial"/>
          <w:sz w:val="24"/>
          <w:szCs w:val="24"/>
        </w:rPr>
        <w:t xml:space="preserve">Officers having to constantly face trauma and challenging situations can have an impact on their personal mental wellbeing, which is why being able to manage this correctly can positively benefit officers and lead them to have a healthy working mentality. Mental wellbeing is </w:t>
      </w:r>
      <w:r w:rsidR="00813E2A" w:rsidRPr="00144E37">
        <w:rPr>
          <w:rFonts w:ascii="Arial" w:hAnsi="Arial" w:cs="Arial"/>
          <w:sz w:val="24"/>
          <w:szCs w:val="24"/>
        </w:rPr>
        <w:t>especially important</w:t>
      </w:r>
      <w:r w:rsidRPr="00144E37">
        <w:rPr>
          <w:rFonts w:ascii="Arial" w:hAnsi="Arial" w:cs="Arial"/>
          <w:sz w:val="24"/>
          <w:szCs w:val="24"/>
        </w:rPr>
        <w:t>, as managing this allows officers to “handle stress, relate to other, and make healthy choices” (Centres for Disease Control and Prevention, 2024). Applying this to the role of a</w:t>
      </w:r>
      <w:r w:rsidR="009E61D9">
        <w:rPr>
          <w:rFonts w:ascii="Arial" w:hAnsi="Arial" w:cs="Arial"/>
          <w:sz w:val="24"/>
          <w:szCs w:val="24"/>
        </w:rPr>
        <w:t>n</w:t>
      </w:r>
      <w:r w:rsidRPr="00144E37">
        <w:rPr>
          <w:rFonts w:ascii="Arial" w:hAnsi="Arial" w:cs="Arial"/>
          <w:sz w:val="24"/>
          <w:szCs w:val="24"/>
        </w:rPr>
        <w:t xml:space="preserve"> officer means that </w:t>
      </w:r>
      <w:r w:rsidR="00CE0C72">
        <w:rPr>
          <w:rFonts w:ascii="Arial" w:hAnsi="Arial" w:cs="Arial"/>
          <w:sz w:val="24"/>
          <w:szCs w:val="24"/>
        </w:rPr>
        <w:t>they</w:t>
      </w:r>
      <w:r w:rsidRPr="00144E37">
        <w:rPr>
          <w:rFonts w:ascii="Arial" w:hAnsi="Arial" w:cs="Arial"/>
          <w:sz w:val="24"/>
          <w:szCs w:val="24"/>
        </w:rPr>
        <w:t xml:space="preserve"> will be able to manage these stressors from an incident, and the aftermath of an incident, relate to those at the scene these could be victims and witnesses for example, and finally make healthy choices when at an incident without any personal judgement or negative thinking</w:t>
      </w:r>
      <w:r w:rsidR="00CE0C72">
        <w:rPr>
          <w:rFonts w:ascii="Arial" w:hAnsi="Arial" w:cs="Arial"/>
          <w:sz w:val="24"/>
          <w:szCs w:val="24"/>
        </w:rPr>
        <w:t>, keeping everyone safe</w:t>
      </w:r>
      <w:r w:rsidRPr="00144E37">
        <w:rPr>
          <w:rFonts w:ascii="Arial" w:hAnsi="Arial" w:cs="Arial"/>
          <w:sz w:val="24"/>
          <w:szCs w:val="24"/>
        </w:rPr>
        <w:t xml:space="preserve">. </w:t>
      </w:r>
    </w:p>
    <w:p w14:paraId="33A5AEAB" w14:textId="77777777" w:rsidR="00144E37" w:rsidRPr="00144E37" w:rsidRDefault="00144E37" w:rsidP="009D257C">
      <w:pPr>
        <w:spacing w:line="276" w:lineRule="auto"/>
        <w:rPr>
          <w:rFonts w:ascii="Arial" w:hAnsi="Arial" w:cs="Arial"/>
          <w:sz w:val="24"/>
          <w:szCs w:val="24"/>
        </w:rPr>
      </w:pPr>
    </w:p>
    <w:p w14:paraId="38E561E1" w14:textId="45DFAE8C"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Managing mental wellbeing for officers, as stated previously officers are exposed to a lot of traumatic incidents which as a result this may expose officers to poor mental wellbeing as an affect to </w:t>
      </w:r>
      <w:r w:rsidR="002D4D2A">
        <w:rPr>
          <w:rFonts w:ascii="Arial" w:hAnsi="Arial" w:cs="Arial"/>
          <w:sz w:val="24"/>
          <w:szCs w:val="24"/>
        </w:rPr>
        <w:t>what</w:t>
      </w:r>
      <w:r w:rsidRPr="00144E37">
        <w:rPr>
          <w:rFonts w:ascii="Arial" w:hAnsi="Arial" w:cs="Arial"/>
          <w:sz w:val="24"/>
          <w:szCs w:val="24"/>
        </w:rPr>
        <w:t xml:space="preserve"> they may have witnessed or gone through at </w:t>
      </w:r>
      <w:r w:rsidR="002D4D2A">
        <w:rPr>
          <w:rFonts w:ascii="Arial" w:hAnsi="Arial" w:cs="Arial"/>
          <w:sz w:val="24"/>
          <w:szCs w:val="24"/>
        </w:rPr>
        <w:t>a</w:t>
      </w:r>
      <w:r w:rsidRPr="00144E37">
        <w:rPr>
          <w:rFonts w:ascii="Arial" w:hAnsi="Arial" w:cs="Arial"/>
          <w:sz w:val="24"/>
          <w:szCs w:val="24"/>
        </w:rPr>
        <w:t xml:space="preserve"> scene. Many officers as a result of this do not reach out to the force for support, in fear of workplace stigma around receiving help or </w:t>
      </w:r>
      <w:r w:rsidR="00813C7A">
        <w:rPr>
          <w:rFonts w:ascii="Arial" w:hAnsi="Arial" w:cs="Arial"/>
          <w:sz w:val="24"/>
          <w:szCs w:val="24"/>
        </w:rPr>
        <w:t xml:space="preserve">not </w:t>
      </w:r>
      <w:r w:rsidRPr="00144E37">
        <w:rPr>
          <w:rFonts w:ascii="Arial" w:hAnsi="Arial" w:cs="Arial"/>
          <w:sz w:val="24"/>
          <w:szCs w:val="24"/>
        </w:rPr>
        <w:t>appearing to cope</w:t>
      </w:r>
      <w:r w:rsidR="00813C7A">
        <w:rPr>
          <w:rFonts w:ascii="Arial" w:hAnsi="Arial" w:cs="Arial"/>
          <w:sz w:val="24"/>
          <w:szCs w:val="24"/>
        </w:rPr>
        <w:t xml:space="preserve"> with the job role. </w:t>
      </w:r>
      <w:r w:rsidR="005227E1">
        <w:rPr>
          <w:rFonts w:ascii="Arial" w:hAnsi="Arial" w:cs="Arial"/>
          <w:sz w:val="24"/>
          <w:szCs w:val="24"/>
        </w:rPr>
        <w:lastRenderedPageBreak/>
        <w:t>T</w:t>
      </w:r>
      <w:r w:rsidR="005227E1" w:rsidRPr="00144E37">
        <w:rPr>
          <w:rFonts w:ascii="Arial" w:hAnsi="Arial" w:cs="Arial"/>
          <w:sz w:val="24"/>
          <w:szCs w:val="24"/>
        </w:rPr>
        <w:t>herefore,</w:t>
      </w:r>
      <w:r w:rsidRPr="00144E37">
        <w:rPr>
          <w:rFonts w:ascii="Arial" w:hAnsi="Arial" w:cs="Arial"/>
          <w:sz w:val="24"/>
          <w:szCs w:val="24"/>
        </w:rPr>
        <w:t xml:space="preserve"> they are not managing their mental wellbeing accordingly. Lawrence, D (2023, p. 204) note</w:t>
      </w:r>
      <w:r w:rsidR="005227E1">
        <w:rPr>
          <w:rFonts w:ascii="Arial" w:hAnsi="Arial" w:cs="Arial"/>
          <w:sz w:val="24"/>
          <w:szCs w:val="24"/>
        </w:rPr>
        <w:t>s</w:t>
      </w:r>
      <w:r w:rsidRPr="00144E37">
        <w:rPr>
          <w:rFonts w:ascii="Arial" w:hAnsi="Arial" w:cs="Arial"/>
          <w:sz w:val="24"/>
          <w:szCs w:val="24"/>
        </w:rPr>
        <w:t xml:space="preserve"> another impact on the officer not reaching </w:t>
      </w:r>
      <w:r w:rsidR="005227E1">
        <w:rPr>
          <w:rFonts w:ascii="Arial" w:hAnsi="Arial" w:cs="Arial"/>
          <w:sz w:val="24"/>
          <w:szCs w:val="24"/>
        </w:rPr>
        <w:t xml:space="preserve">out </w:t>
      </w:r>
      <w:r w:rsidRPr="00144E37">
        <w:rPr>
          <w:rFonts w:ascii="Arial" w:hAnsi="Arial" w:cs="Arial"/>
          <w:sz w:val="24"/>
          <w:szCs w:val="24"/>
        </w:rPr>
        <w:t>for the support, is that they then have to go back onto the field and be exposed to this again, this can go round in a vicious cycle, in result affecting their mental wellbeing</w:t>
      </w:r>
      <w:r w:rsidR="005227E1">
        <w:rPr>
          <w:rFonts w:ascii="Arial" w:hAnsi="Arial" w:cs="Arial"/>
          <w:sz w:val="24"/>
          <w:szCs w:val="24"/>
        </w:rPr>
        <w:t>, as they do not have the resilience also to bounce back</w:t>
      </w:r>
      <w:r w:rsidRPr="00144E37">
        <w:rPr>
          <w:rFonts w:ascii="Arial" w:hAnsi="Arial" w:cs="Arial"/>
          <w:sz w:val="24"/>
          <w:szCs w:val="24"/>
        </w:rPr>
        <w:t xml:space="preserve">. Good mental wellbeing can also benefit officers, and the police force </w:t>
      </w:r>
      <w:r w:rsidR="00962DF0">
        <w:rPr>
          <w:rFonts w:ascii="Arial" w:hAnsi="Arial" w:cs="Arial"/>
          <w:sz w:val="24"/>
          <w:szCs w:val="24"/>
        </w:rPr>
        <w:t xml:space="preserve">to </w:t>
      </w:r>
      <w:r w:rsidRPr="00144E37">
        <w:rPr>
          <w:rFonts w:ascii="Arial" w:hAnsi="Arial" w:cs="Arial"/>
          <w:sz w:val="24"/>
          <w:szCs w:val="24"/>
        </w:rPr>
        <w:t>support the officers mental wellbeing, offering help benefiting them as it can “help prevent stress and create positive working environments where individuals and organisations can thrive” and that “good health and wellbeing can be a core enabler for employees engagement and organisational performance” (The Chartered Institute of Personnel and Development, 2024). Showing that If police forces offer help and support to their officers</w:t>
      </w:r>
      <w:r w:rsidR="00341136">
        <w:rPr>
          <w:rFonts w:ascii="Arial" w:hAnsi="Arial" w:cs="Arial"/>
          <w:sz w:val="24"/>
          <w:szCs w:val="24"/>
        </w:rPr>
        <w:t xml:space="preserve"> in house</w:t>
      </w:r>
      <w:r w:rsidRPr="00144E37">
        <w:rPr>
          <w:rFonts w:ascii="Arial" w:hAnsi="Arial" w:cs="Arial"/>
          <w:sz w:val="24"/>
          <w:szCs w:val="24"/>
        </w:rPr>
        <w:t>, through the use of for example counselling to manage their mental wellbeing this can have a positive effect on the officers, their mental health and also their performance</w:t>
      </w:r>
      <w:r w:rsidR="00341136">
        <w:rPr>
          <w:rFonts w:ascii="Arial" w:hAnsi="Arial" w:cs="Arial"/>
          <w:sz w:val="24"/>
          <w:szCs w:val="24"/>
        </w:rPr>
        <w:t xml:space="preserve">, as they will have in house wellbeing team to manage this correctly. </w:t>
      </w:r>
    </w:p>
    <w:p w14:paraId="5A353582" w14:textId="77777777" w:rsidR="00144E37" w:rsidRPr="00144E37" w:rsidRDefault="00144E37" w:rsidP="009D257C">
      <w:pPr>
        <w:spacing w:line="276" w:lineRule="auto"/>
        <w:rPr>
          <w:rFonts w:ascii="Arial" w:hAnsi="Arial" w:cs="Arial"/>
          <w:sz w:val="24"/>
          <w:szCs w:val="24"/>
        </w:rPr>
      </w:pPr>
    </w:p>
    <w:p w14:paraId="52E8B82C" w14:textId="328FA664" w:rsidR="00144E37" w:rsidRDefault="00144E37" w:rsidP="009D257C">
      <w:pPr>
        <w:spacing w:line="276" w:lineRule="auto"/>
        <w:rPr>
          <w:rFonts w:ascii="Arial" w:hAnsi="Arial" w:cs="Arial"/>
          <w:sz w:val="24"/>
          <w:szCs w:val="24"/>
        </w:rPr>
      </w:pPr>
      <w:r w:rsidRPr="00144E37">
        <w:rPr>
          <w:rFonts w:ascii="Arial" w:hAnsi="Arial" w:cs="Arial"/>
          <w:sz w:val="24"/>
          <w:szCs w:val="24"/>
        </w:rPr>
        <w:t>As discussed, having a well-managed mental wellbeing will allow for officers to be able to handle stressors or depressive symptoms that they may be facing. One consequence of not managing their mental wellbeing may mean that an officer may not be able to make the correct decisions</w:t>
      </w:r>
      <w:r w:rsidR="00DB78F5">
        <w:rPr>
          <w:rFonts w:ascii="Arial" w:hAnsi="Arial" w:cs="Arial"/>
          <w:sz w:val="24"/>
          <w:szCs w:val="24"/>
        </w:rPr>
        <w:t>,</w:t>
      </w:r>
      <w:r w:rsidRPr="00144E37">
        <w:rPr>
          <w:rFonts w:ascii="Arial" w:hAnsi="Arial" w:cs="Arial"/>
          <w:sz w:val="24"/>
          <w:szCs w:val="24"/>
        </w:rPr>
        <w:t xml:space="preserve"> as mental wellbeing is “an integral component of health and wellbeing that underpins out individual and collective abilities to make decisions” (World Health Organization, 2022). Meaning that an officer with poor mental wellbeing may not be able to collectively make the necessary decisions when at an incident, and therefore has an overall effect on the outcome and safety for everyone at the incident. Mind (2023) notes that being able to perform effectively and safely in work can also put pressure and have an effect on the officers mental wellbeing as their poor mental wellbeing may make it difficult to cope with their day-to-day life. Another consequence of an officer not managing their mental wellbeing accordingly shows in research, stressors, and mental wellbeing within the police as this “can affect professionalism, organisational effectiveness, and public safety” (Purba, A and Demou, E, 2019, p. 1). As safety was mentioned before regarding poor mental wellbeing, this is harmful to an officer as they are not coping, overall having an effect on their duty to be professional in work and when attending incidents and again, public safety. Relating this stressor means that they will not have the resilience to manage an incident and protect for example the victim. </w:t>
      </w:r>
    </w:p>
    <w:p w14:paraId="6D982AB4" w14:textId="77777777" w:rsidR="00144E37" w:rsidRPr="00144E37" w:rsidRDefault="00144E37" w:rsidP="009D257C">
      <w:pPr>
        <w:spacing w:line="276" w:lineRule="auto"/>
        <w:rPr>
          <w:rFonts w:ascii="Arial" w:hAnsi="Arial" w:cs="Arial"/>
          <w:sz w:val="24"/>
          <w:szCs w:val="24"/>
        </w:rPr>
      </w:pPr>
    </w:p>
    <w:p w14:paraId="44EE5C1B" w14:textId="77777777"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 xml:space="preserve">Concluding that if mental wellbeing is managed correctly can positively impact the role of an officer in the police, as it means they are able to have reliance, seek help from possible traumatic incidents and therefore managing their mental wellbeing in improving. Allowing them to perform better when working and keep the overall safety of those involved when at an incident. However due to this there are consequence of not managing mental wellbeing in the police, and this can be seen to stem from officers attending that traumatic incident and not receiving support for this, therefore </w:t>
      </w:r>
      <w:r w:rsidRPr="00144E37">
        <w:rPr>
          <w:rFonts w:ascii="Arial" w:hAnsi="Arial" w:cs="Arial"/>
          <w:sz w:val="24"/>
          <w:szCs w:val="24"/>
        </w:rPr>
        <w:lastRenderedPageBreak/>
        <w:t xml:space="preserve">a stressor becomes apparent, and not able to bounce back with resilience meaning that each incident they go to can make their decision making poor, their day to day life through a negative sight, put others in danger as they are not able to make correct decisions and officer performance declines. </w:t>
      </w:r>
    </w:p>
    <w:p w14:paraId="52722FE3" w14:textId="313C8A04"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Word Count </w:t>
      </w:r>
      <w:r>
        <w:rPr>
          <w:rFonts w:ascii="Arial" w:hAnsi="Arial" w:cs="Arial"/>
          <w:sz w:val="24"/>
          <w:szCs w:val="24"/>
        </w:rPr>
        <w:t>–</w:t>
      </w:r>
      <w:r w:rsidRPr="00144E37">
        <w:rPr>
          <w:rFonts w:ascii="Arial" w:hAnsi="Arial" w:cs="Arial"/>
          <w:sz w:val="24"/>
          <w:szCs w:val="24"/>
        </w:rPr>
        <w:t xml:space="preserve"> </w:t>
      </w:r>
      <w:r w:rsidR="00941BC6">
        <w:rPr>
          <w:rFonts w:ascii="Arial" w:hAnsi="Arial" w:cs="Arial"/>
          <w:sz w:val="24"/>
          <w:szCs w:val="24"/>
        </w:rPr>
        <w:t>1023</w:t>
      </w:r>
    </w:p>
    <w:p w14:paraId="2A7E5DAB" w14:textId="77777777" w:rsidR="009D257C" w:rsidRDefault="009D257C" w:rsidP="009D257C">
      <w:pPr>
        <w:spacing w:line="276" w:lineRule="auto"/>
        <w:rPr>
          <w:rFonts w:ascii="Arial" w:hAnsi="Arial" w:cs="Arial"/>
          <w:sz w:val="24"/>
          <w:szCs w:val="24"/>
        </w:rPr>
      </w:pPr>
    </w:p>
    <w:p w14:paraId="659AB2D3" w14:textId="3CD9E17A" w:rsidR="00144E37" w:rsidRDefault="00144E37" w:rsidP="009D257C">
      <w:pPr>
        <w:pStyle w:val="Default"/>
        <w:spacing w:line="276" w:lineRule="auto"/>
      </w:pPr>
      <w:r>
        <w:rPr>
          <w:b/>
          <w:bCs/>
          <w:u w:val="single"/>
        </w:rPr>
        <w:t>E</w:t>
      </w:r>
      <w:r w:rsidRPr="00144E37">
        <w:rPr>
          <w:b/>
          <w:bCs/>
          <w:u w:val="single"/>
        </w:rPr>
        <w:t>ssay Three</w:t>
      </w:r>
      <w:r w:rsidRPr="00144E37">
        <w:rPr>
          <w:b/>
          <w:bCs/>
        </w:rPr>
        <w:t xml:space="preserve"> - </w:t>
      </w:r>
      <w:r w:rsidRPr="00144E37">
        <w:t xml:space="preserve">How might personal attitudes, values, and bias impact upon the effective investigation of volume crime? </w:t>
      </w:r>
    </w:p>
    <w:p w14:paraId="172C8798" w14:textId="77777777" w:rsidR="00144E37" w:rsidRPr="00144E37" w:rsidRDefault="00144E37" w:rsidP="009D257C">
      <w:pPr>
        <w:pStyle w:val="Default"/>
        <w:spacing w:line="276" w:lineRule="auto"/>
      </w:pPr>
    </w:p>
    <w:p w14:paraId="7ACB3A3E" w14:textId="10D6E2BB"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In this essay I will define what volume crime is in relation to crime and investigation, and discuss what personal attitudes, values and bias are in order to gather an understanding on their definition to apply them, </w:t>
      </w:r>
      <w:r w:rsidR="00F3215D">
        <w:rPr>
          <w:rFonts w:ascii="Arial" w:hAnsi="Arial" w:cs="Arial"/>
          <w:sz w:val="24"/>
          <w:szCs w:val="24"/>
        </w:rPr>
        <w:t>also this</w:t>
      </w:r>
      <w:r w:rsidRPr="00144E37">
        <w:rPr>
          <w:rFonts w:ascii="Arial" w:hAnsi="Arial" w:cs="Arial"/>
          <w:sz w:val="24"/>
          <w:szCs w:val="24"/>
        </w:rPr>
        <w:t xml:space="preserve"> may impact o</w:t>
      </w:r>
      <w:r w:rsidR="00F3215D">
        <w:rPr>
          <w:rFonts w:ascii="Arial" w:hAnsi="Arial" w:cs="Arial"/>
          <w:sz w:val="24"/>
          <w:szCs w:val="24"/>
        </w:rPr>
        <w:t>n how</w:t>
      </w:r>
      <w:r w:rsidR="006B7C76">
        <w:rPr>
          <w:rFonts w:ascii="Arial" w:hAnsi="Arial" w:cs="Arial"/>
          <w:sz w:val="24"/>
          <w:szCs w:val="24"/>
        </w:rPr>
        <w:t xml:space="preserve"> </w:t>
      </w:r>
      <w:r w:rsidRPr="00144E37">
        <w:rPr>
          <w:rFonts w:ascii="Arial" w:hAnsi="Arial" w:cs="Arial"/>
          <w:sz w:val="24"/>
          <w:szCs w:val="24"/>
        </w:rPr>
        <w:t xml:space="preserve">effective police officers are when investigating volume crimes, and how overall </w:t>
      </w:r>
      <w:r w:rsidR="00351514">
        <w:rPr>
          <w:rFonts w:ascii="Arial" w:hAnsi="Arial" w:cs="Arial"/>
          <w:sz w:val="24"/>
          <w:szCs w:val="24"/>
        </w:rPr>
        <w:t xml:space="preserve">this </w:t>
      </w:r>
      <w:r w:rsidRPr="00144E37">
        <w:rPr>
          <w:rFonts w:ascii="Arial" w:hAnsi="Arial" w:cs="Arial"/>
          <w:sz w:val="24"/>
          <w:szCs w:val="24"/>
        </w:rPr>
        <w:t>can impact the investigation</w:t>
      </w:r>
      <w:r w:rsidR="00351514">
        <w:rPr>
          <w:rFonts w:ascii="Arial" w:hAnsi="Arial" w:cs="Arial"/>
          <w:sz w:val="24"/>
          <w:szCs w:val="24"/>
        </w:rPr>
        <w:t xml:space="preserve"> as a whole</w:t>
      </w:r>
      <w:r w:rsidRPr="00144E37">
        <w:rPr>
          <w:rFonts w:ascii="Arial" w:hAnsi="Arial" w:cs="Arial"/>
          <w:sz w:val="24"/>
          <w:szCs w:val="24"/>
        </w:rPr>
        <w:t>, the victims, subjects and also the officers performance and duty.</w:t>
      </w:r>
    </w:p>
    <w:p w14:paraId="23BFFDF5" w14:textId="77777777" w:rsidR="00144E37" w:rsidRPr="00144E37" w:rsidRDefault="00144E37" w:rsidP="009D257C">
      <w:pPr>
        <w:spacing w:line="276" w:lineRule="auto"/>
        <w:rPr>
          <w:rFonts w:ascii="Arial" w:hAnsi="Arial" w:cs="Arial"/>
          <w:sz w:val="24"/>
          <w:szCs w:val="24"/>
        </w:rPr>
      </w:pPr>
    </w:p>
    <w:p w14:paraId="61864472" w14:textId="2922F538"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There are many offences that officers will investigate when in the police that form </w:t>
      </w:r>
      <w:r w:rsidR="00EC29BD">
        <w:rPr>
          <w:rFonts w:ascii="Arial" w:hAnsi="Arial" w:cs="Arial"/>
          <w:sz w:val="24"/>
          <w:szCs w:val="24"/>
        </w:rPr>
        <w:t xml:space="preserve">part of </w:t>
      </w:r>
      <w:r w:rsidRPr="00144E37">
        <w:rPr>
          <w:rFonts w:ascii="Arial" w:hAnsi="Arial" w:cs="Arial"/>
          <w:sz w:val="24"/>
          <w:szCs w:val="24"/>
        </w:rPr>
        <w:t xml:space="preserve">volume crime. Police Federation (2017) </w:t>
      </w:r>
      <w:r w:rsidR="00C5479B">
        <w:rPr>
          <w:rFonts w:ascii="Arial" w:hAnsi="Arial" w:cs="Arial"/>
          <w:sz w:val="24"/>
          <w:szCs w:val="24"/>
        </w:rPr>
        <w:t>state</w:t>
      </w:r>
      <w:r w:rsidRPr="00144E37">
        <w:rPr>
          <w:rFonts w:ascii="Arial" w:hAnsi="Arial" w:cs="Arial"/>
          <w:sz w:val="24"/>
          <w:szCs w:val="24"/>
        </w:rPr>
        <w:t xml:space="preserve"> that these are the majority of crimes that are committed in England and Wales, and cover crimes such as, robbery burglary, shoplifting, vehicle crime, criminal damage, drugs, and assaults. This is a wide range of offences and mean that those committing these offences will all be different. These crimes are “any crime which, through its sheer volume, has a significant impact on the community and the ability of the local police to tackle it” (College of Policing, 2023). Showing that the offence is committed in a large volume, having a significant impact on the community. For example, a street where houses are being burgled frequently, with items being stolen, this can have a big impact for the community as there are being targeted, resulting in a volume crime, this is down to the police to tackle this issue. His Majesty’s Inspectorate of Constabulary and Fire &amp; Rescue (2022) note that offenders from th</w:t>
      </w:r>
      <w:r w:rsidR="00337570">
        <w:rPr>
          <w:rFonts w:ascii="Arial" w:hAnsi="Arial" w:cs="Arial"/>
          <w:sz w:val="24"/>
          <w:szCs w:val="24"/>
        </w:rPr>
        <w:t>ese</w:t>
      </w:r>
      <w:r w:rsidRPr="00144E37">
        <w:rPr>
          <w:rFonts w:ascii="Arial" w:hAnsi="Arial" w:cs="Arial"/>
          <w:sz w:val="24"/>
          <w:szCs w:val="24"/>
        </w:rPr>
        <w:t xml:space="preserve"> crime</w:t>
      </w:r>
      <w:r w:rsidR="00337570">
        <w:rPr>
          <w:rFonts w:ascii="Arial" w:hAnsi="Arial" w:cs="Arial"/>
          <w:sz w:val="24"/>
          <w:szCs w:val="24"/>
        </w:rPr>
        <w:t>s</w:t>
      </w:r>
      <w:r w:rsidRPr="00144E37">
        <w:rPr>
          <w:rFonts w:ascii="Arial" w:hAnsi="Arial" w:cs="Arial"/>
          <w:sz w:val="24"/>
          <w:szCs w:val="24"/>
        </w:rPr>
        <w:t xml:space="preserve"> are not arrested and the victims in these crimes therefore do not get the justice they deserve. Overall resulting in police forces missing their opportunity to catch the subjects, this can be related to burglary’s when 999 is called and the subject is still at the property</w:t>
      </w:r>
      <w:r w:rsidR="003B6D99">
        <w:rPr>
          <w:rFonts w:ascii="Arial" w:hAnsi="Arial" w:cs="Arial"/>
          <w:sz w:val="24"/>
          <w:szCs w:val="24"/>
        </w:rPr>
        <w:t xml:space="preserve"> or in the area</w:t>
      </w:r>
      <w:r w:rsidRPr="00144E37">
        <w:rPr>
          <w:rFonts w:ascii="Arial" w:hAnsi="Arial" w:cs="Arial"/>
          <w:sz w:val="24"/>
          <w:szCs w:val="24"/>
        </w:rPr>
        <w:t xml:space="preserve">, police arrive and they have not been able to get </w:t>
      </w:r>
      <w:r w:rsidR="003B6D99">
        <w:rPr>
          <w:rFonts w:ascii="Arial" w:hAnsi="Arial" w:cs="Arial"/>
          <w:sz w:val="24"/>
          <w:szCs w:val="24"/>
        </w:rPr>
        <w:t xml:space="preserve">to </w:t>
      </w:r>
      <w:r w:rsidRPr="00144E37">
        <w:rPr>
          <w:rFonts w:ascii="Arial" w:hAnsi="Arial" w:cs="Arial"/>
          <w:sz w:val="24"/>
          <w:szCs w:val="24"/>
        </w:rPr>
        <w:t xml:space="preserve">the subject in time, therefore there is no subject in the case, the investigation is ongoing for a long period of time and is then closed, the victim does not get justice. </w:t>
      </w:r>
    </w:p>
    <w:p w14:paraId="69EA0714" w14:textId="77777777" w:rsidR="00144E37" w:rsidRPr="00144E37" w:rsidRDefault="00144E37" w:rsidP="009D257C">
      <w:pPr>
        <w:spacing w:line="276" w:lineRule="auto"/>
        <w:rPr>
          <w:rFonts w:ascii="Arial" w:hAnsi="Arial" w:cs="Arial"/>
          <w:sz w:val="24"/>
          <w:szCs w:val="24"/>
        </w:rPr>
      </w:pPr>
    </w:p>
    <w:p w14:paraId="76FCC737" w14:textId="47D4DE69"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Officers have their own personal attitudes, values, and biases. However, officers cannot let these biases take over how they manage an incident, perform in work and how they treat, victims, witnesses, and subjects. An officers personal attitude can affect how they act when attending an incident, this might be </w:t>
      </w:r>
      <w:r w:rsidR="00DA3548">
        <w:rPr>
          <w:rFonts w:ascii="Arial" w:hAnsi="Arial" w:cs="Arial"/>
          <w:sz w:val="24"/>
          <w:szCs w:val="24"/>
        </w:rPr>
        <w:t>down to past</w:t>
      </w:r>
      <w:r w:rsidRPr="00144E37">
        <w:rPr>
          <w:rFonts w:ascii="Arial" w:hAnsi="Arial" w:cs="Arial"/>
          <w:sz w:val="24"/>
          <w:szCs w:val="24"/>
        </w:rPr>
        <w:t xml:space="preserve"> </w:t>
      </w:r>
      <w:r w:rsidRPr="00144E37">
        <w:rPr>
          <w:rFonts w:ascii="Arial" w:hAnsi="Arial" w:cs="Arial"/>
          <w:sz w:val="24"/>
          <w:szCs w:val="24"/>
        </w:rPr>
        <w:lastRenderedPageBreak/>
        <w:t>experience</w:t>
      </w:r>
      <w:r w:rsidR="00DA3548">
        <w:rPr>
          <w:rFonts w:ascii="Arial" w:hAnsi="Arial" w:cs="Arial"/>
          <w:sz w:val="24"/>
          <w:szCs w:val="24"/>
        </w:rPr>
        <w:t>s</w:t>
      </w:r>
      <w:r w:rsidRPr="00144E37">
        <w:rPr>
          <w:rFonts w:ascii="Arial" w:hAnsi="Arial" w:cs="Arial"/>
          <w:sz w:val="24"/>
          <w:szCs w:val="24"/>
        </w:rPr>
        <w:t xml:space="preserve"> or situation</w:t>
      </w:r>
      <w:r w:rsidR="00DA3548">
        <w:rPr>
          <w:rFonts w:ascii="Arial" w:hAnsi="Arial" w:cs="Arial"/>
          <w:sz w:val="24"/>
          <w:szCs w:val="24"/>
        </w:rPr>
        <w:t>s</w:t>
      </w:r>
      <w:r w:rsidRPr="00144E37">
        <w:rPr>
          <w:rFonts w:ascii="Arial" w:hAnsi="Arial" w:cs="Arial"/>
          <w:sz w:val="24"/>
          <w:szCs w:val="24"/>
        </w:rPr>
        <w:t xml:space="preserve"> that they have been through personally, as personal attitudes are “personal risk and vulnerability of life events” (DeJoy, D. 1999, p. 22). The officer having been through that situation, may be more incline to want to deal with that offence and put more motivation and performance into the investigation and into that volume crime than other volume crimes</w:t>
      </w:r>
      <w:r w:rsidR="002645A0">
        <w:rPr>
          <w:rFonts w:ascii="Arial" w:hAnsi="Arial" w:cs="Arial"/>
          <w:sz w:val="24"/>
          <w:szCs w:val="24"/>
        </w:rPr>
        <w:t xml:space="preserve">. </w:t>
      </w:r>
    </w:p>
    <w:p w14:paraId="712D2C05" w14:textId="77777777" w:rsidR="00144E37" w:rsidRPr="00144E37" w:rsidRDefault="00144E37" w:rsidP="009D257C">
      <w:pPr>
        <w:spacing w:line="276" w:lineRule="auto"/>
        <w:rPr>
          <w:rFonts w:ascii="Arial" w:hAnsi="Arial" w:cs="Arial"/>
          <w:sz w:val="24"/>
          <w:szCs w:val="24"/>
        </w:rPr>
      </w:pPr>
    </w:p>
    <w:p w14:paraId="5A738835" w14:textId="3343CF7D"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An officers values can also impact on the effective investigation into volume crime as it can “question the usefulness of personal values in influencing actions” (Sigiv, L. </w:t>
      </w:r>
      <w:r w:rsidRPr="00144E37">
        <w:rPr>
          <w:rFonts w:ascii="Arial" w:hAnsi="Arial" w:cs="Arial"/>
          <w:i/>
          <w:iCs/>
          <w:sz w:val="24"/>
          <w:szCs w:val="24"/>
        </w:rPr>
        <w:t xml:space="preserve">et al. </w:t>
      </w:r>
      <w:r w:rsidRPr="00144E37">
        <w:rPr>
          <w:rFonts w:ascii="Arial" w:hAnsi="Arial" w:cs="Arial"/>
          <w:sz w:val="24"/>
          <w:szCs w:val="24"/>
        </w:rPr>
        <w:t>2017, p. 630). This can have an impact on an investigation, as officers may have personal values against how certain people act and the habits or addictions they might have. Officers deal with trigger offences, one of these being a volume crime of theft. Some trigger crimes have addiction</w:t>
      </w:r>
      <w:r w:rsidR="00F40C1F">
        <w:rPr>
          <w:rFonts w:ascii="Arial" w:hAnsi="Arial" w:cs="Arial"/>
          <w:sz w:val="24"/>
          <w:szCs w:val="24"/>
        </w:rPr>
        <w:t>s</w:t>
      </w:r>
      <w:r w:rsidRPr="00144E37">
        <w:rPr>
          <w:rFonts w:ascii="Arial" w:hAnsi="Arial" w:cs="Arial"/>
          <w:sz w:val="24"/>
          <w:szCs w:val="24"/>
        </w:rPr>
        <w:t xml:space="preserve"> linked to them, the theft is </w:t>
      </w:r>
      <w:r w:rsidR="00F40C1F">
        <w:rPr>
          <w:rFonts w:ascii="Arial" w:hAnsi="Arial" w:cs="Arial"/>
          <w:sz w:val="24"/>
          <w:szCs w:val="24"/>
        </w:rPr>
        <w:t>a result</w:t>
      </w:r>
      <w:r w:rsidRPr="00144E37">
        <w:rPr>
          <w:rFonts w:ascii="Arial" w:hAnsi="Arial" w:cs="Arial"/>
          <w:sz w:val="24"/>
          <w:szCs w:val="24"/>
        </w:rPr>
        <w:t xml:space="preserve"> of for-example, alcohol addiction and being able to fund that addiction repeatedly. Therefore, an officer might not agree with this when handling the subject, and their values lead them away for wanting to offer support to the subject. However, an officer needs to ensure that this subject is being offered the chance to receive support for the addiction from outside agencies. An officer who is able to manage their values will help the subject and offer them support, still be able to enforce the law, and effectively investigate the volume crime with the hope of the subject seeking help and closing the investigation.</w:t>
      </w:r>
    </w:p>
    <w:p w14:paraId="020A2E61" w14:textId="77777777" w:rsidR="00144E37" w:rsidRPr="00144E37" w:rsidRDefault="00144E37" w:rsidP="009D257C">
      <w:pPr>
        <w:spacing w:line="276" w:lineRule="auto"/>
        <w:rPr>
          <w:rFonts w:ascii="Arial" w:hAnsi="Arial" w:cs="Arial"/>
          <w:sz w:val="24"/>
          <w:szCs w:val="24"/>
        </w:rPr>
      </w:pPr>
    </w:p>
    <w:p w14:paraId="6FB25F19" w14:textId="320AE1F7"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Biases can play a massive role in an officers management of volume crime investigations</w:t>
      </w:r>
      <w:r w:rsidR="00B93290">
        <w:rPr>
          <w:rFonts w:ascii="Arial" w:hAnsi="Arial" w:cs="Arial"/>
          <w:sz w:val="24"/>
          <w:szCs w:val="24"/>
        </w:rPr>
        <w:t xml:space="preserve"> as well</w:t>
      </w:r>
      <w:r w:rsidRPr="00144E37">
        <w:rPr>
          <w:rFonts w:ascii="Arial" w:hAnsi="Arial" w:cs="Arial"/>
          <w:sz w:val="24"/>
          <w:szCs w:val="24"/>
        </w:rPr>
        <w:t>. Officers may have a confirmation bias when investigating, as this could be “challenging reliable belief formation and the correction of inaccurate views” (Peters, U. 2022, p. 1351), as officers</w:t>
      </w:r>
      <w:r w:rsidR="00A46099">
        <w:rPr>
          <w:rFonts w:ascii="Arial" w:hAnsi="Arial" w:cs="Arial"/>
          <w:sz w:val="24"/>
          <w:szCs w:val="24"/>
        </w:rPr>
        <w:t xml:space="preserve"> could</w:t>
      </w:r>
      <w:r w:rsidRPr="00144E37">
        <w:rPr>
          <w:rFonts w:ascii="Arial" w:hAnsi="Arial" w:cs="Arial"/>
          <w:sz w:val="24"/>
          <w:szCs w:val="24"/>
        </w:rPr>
        <w:t xml:space="preserve"> have an inaccurate view on someone</w:t>
      </w:r>
      <w:r w:rsidR="00A46099">
        <w:rPr>
          <w:rFonts w:ascii="Arial" w:hAnsi="Arial" w:cs="Arial"/>
          <w:sz w:val="24"/>
          <w:szCs w:val="24"/>
        </w:rPr>
        <w:t>’s</w:t>
      </w:r>
      <w:r w:rsidRPr="00144E37">
        <w:rPr>
          <w:rFonts w:ascii="Arial" w:hAnsi="Arial" w:cs="Arial"/>
          <w:sz w:val="24"/>
          <w:szCs w:val="24"/>
        </w:rPr>
        <w:t xml:space="preserve"> socioeconomic background in relation to the volume crime that they are a victim of. Someone of a higher socioeconomic background who is a victim to a criminal damage, the officer might have the conformation bias and inaccurate view of the victim due to their wealth, and think to themselves that they can afford to replace whatever has been damaged, whereas a victim of a burglary from a low socioeconomic background the officer’s confirmation bias might want to work harder on the investigation, performing better and more motivated in order to get the victim justice. This affects an officers ability to investigate as all victim no matter of their socioeconomic background all deserve justice. Nilsson, A., Estrada, F. and Backman, O (2017, p.15) discusses the distribution of crime in different socioeconomic background and how crime trends differ between these backgrounds resulting in theft offences that are amongst those of a higher background with a higher income, and more violent crimes amongst those of a lower socioeconomic background with a lower income. </w:t>
      </w:r>
    </w:p>
    <w:p w14:paraId="68CCCE8D" w14:textId="48E80B8B" w:rsidR="00144E37" w:rsidRPr="00144E37" w:rsidRDefault="00B8489B" w:rsidP="009D257C">
      <w:pPr>
        <w:spacing w:line="276" w:lineRule="auto"/>
        <w:rPr>
          <w:rFonts w:ascii="Arial" w:hAnsi="Arial" w:cs="Arial"/>
          <w:sz w:val="24"/>
          <w:szCs w:val="24"/>
        </w:rPr>
      </w:pPr>
      <w:r>
        <w:rPr>
          <w:rFonts w:ascii="Arial" w:hAnsi="Arial" w:cs="Arial"/>
          <w:sz w:val="24"/>
          <w:szCs w:val="24"/>
        </w:rPr>
        <w:t>O</w:t>
      </w:r>
      <w:r w:rsidR="00144E37" w:rsidRPr="00144E37">
        <w:rPr>
          <w:rFonts w:ascii="Arial" w:hAnsi="Arial" w:cs="Arial"/>
          <w:sz w:val="24"/>
          <w:szCs w:val="24"/>
        </w:rPr>
        <w:t xml:space="preserve">fficers personal attitude, values and biases can have an impact on how a volume crime investigation is conducted. As discussed, personal attitudes relating to past </w:t>
      </w:r>
      <w:r w:rsidR="00144E37" w:rsidRPr="00144E37">
        <w:rPr>
          <w:rFonts w:ascii="Arial" w:hAnsi="Arial" w:cs="Arial"/>
          <w:sz w:val="24"/>
          <w:szCs w:val="24"/>
        </w:rPr>
        <w:lastRenderedPageBreak/>
        <w:t>experiences, can affect how an officer treats an investigation, relating to the crime and victim they may want to seek justice for, rather than an officer who has not had the personal experience of the crime, and therefore does not have the same motivation for justice. Also values in relation to the investigation of the crime, as discussed, an officer might have a personal value of not drinking alcohol and when dealing with the volume crime of theft, this being a trigger offence, the person is stealing to fund their addiction repeatedly, the officer not agreeing with this, seeking the subject to be punished through the criminal justice system rather than trying to ensure that the subject is offered the correct help and chance to use this help to stop drinking. Finally, confirmation biases of different socioeconomic background may influence to effectiveness of an investigation, as an officer having the bias of high socioeconomic victims reporting a criminal damage, the officer might use that bias and not investigate fully not seeking justice for that victim, whereas the officers bias on lower income backgrounds</w:t>
      </w:r>
      <w:r>
        <w:rPr>
          <w:rFonts w:ascii="Arial" w:hAnsi="Arial" w:cs="Arial"/>
          <w:sz w:val="24"/>
          <w:szCs w:val="24"/>
        </w:rPr>
        <w:t xml:space="preserve">, </w:t>
      </w:r>
      <w:r w:rsidR="00144E37" w:rsidRPr="00144E37">
        <w:rPr>
          <w:rFonts w:ascii="Arial" w:hAnsi="Arial" w:cs="Arial"/>
          <w:sz w:val="24"/>
          <w:szCs w:val="24"/>
        </w:rPr>
        <w:t>them being burgled, the officer might have the bias that they deserve more justice over the high income socioeconomic background, which lack</w:t>
      </w:r>
      <w:r>
        <w:rPr>
          <w:rFonts w:ascii="Arial" w:hAnsi="Arial" w:cs="Arial"/>
          <w:sz w:val="24"/>
          <w:szCs w:val="24"/>
        </w:rPr>
        <w:t>’s</w:t>
      </w:r>
      <w:r w:rsidR="00144E37" w:rsidRPr="00144E37">
        <w:rPr>
          <w:rFonts w:ascii="Arial" w:hAnsi="Arial" w:cs="Arial"/>
          <w:sz w:val="24"/>
          <w:szCs w:val="24"/>
        </w:rPr>
        <w:t xml:space="preserve"> integrity to an investigation. </w:t>
      </w:r>
    </w:p>
    <w:p w14:paraId="550562AA" w14:textId="41E578E8" w:rsidR="00144E37" w:rsidRDefault="00144E37" w:rsidP="009D257C">
      <w:pPr>
        <w:spacing w:line="276" w:lineRule="auto"/>
        <w:rPr>
          <w:rFonts w:ascii="Arial" w:hAnsi="Arial" w:cs="Arial"/>
          <w:sz w:val="24"/>
          <w:szCs w:val="24"/>
        </w:rPr>
      </w:pPr>
      <w:r w:rsidRPr="00144E37">
        <w:rPr>
          <w:rFonts w:ascii="Arial" w:hAnsi="Arial" w:cs="Arial"/>
          <w:sz w:val="24"/>
          <w:szCs w:val="24"/>
        </w:rPr>
        <w:t>Word Count – 1</w:t>
      </w:r>
      <w:r w:rsidR="00B8489B">
        <w:rPr>
          <w:rFonts w:ascii="Arial" w:hAnsi="Arial" w:cs="Arial"/>
          <w:sz w:val="24"/>
          <w:szCs w:val="24"/>
        </w:rPr>
        <w:t>100</w:t>
      </w:r>
    </w:p>
    <w:p w14:paraId="78AF13C4" w14:textId="77777777" w:rsidR="00144E37" w:rsidRPr="00144E37" w:rsidRDefault="00144E37" w:rsidP="009D257C">
      <w:pPr>
        <w:spacing w:line="276" w:lineRule="auto"/>
        <w:rPr>
          <w:rFonts w:ascii="Arial" w:hAnsi="Arial" w:cs="Arial"/>
          <w:sz w:val="24"/>
          <w:szCs w:val="24"/>
        </w:rPr>
      </w:pPr>
    </w:p>
    <w:p w14:paraId="7992C11E" w14:textId="77777777" w:rsidR="00144E37" w:rsidRPr="00144E37" w:rsidRDefault="00144E37" w:rsidP="009D257C">
      <w:pPr>
        <w:pStyle w:val="Default"/>
        <w:spacing w:line="276" w:lineRule="auto"/>
      </w:pPr>
      <w:r w:rsidRPr="00144E37">
        <w:rPr>
          <w:b/>
          <w:bCs/>
          <w:u w:val="single"/>
        </w:rPr>
        <w:t>Essay Four</w:t>
      </w:r>
      <w:r w:rsidRPr="00144E37">
        <w:rPr>
          <w:b/>
          <w:bCs/>
        </w:rPr>
        <w:t xml:space="preserve"> - </w:t>
      </w:r>
      <w:r w:rsidRPr="00144E37">
        <w:t xml:space="preserve">Outline potential links between serious and organised crime and public protection issues. What characteristics make some people more vulnerable to exploitation by serious and organised crime gangs? </w:t>
      </w:r>
    </w:p>
    <w:p w14:paraId="0E079C67" w14:textId="77777777" w:rsidR="00144E37" w:rsidRPr="00144E37" w:rsidRDefault="00144E37" w:rsidP="009D257C">
      <w:pPr>
        <w:spacing w:line="276" w:lineRule="auto"/>
        <w:rPr>
          <w:rFonts w:ascii="Arial" w:hAnsi="Arial" w:cs="Arial"/>
          <w:sz w:val="24"/>
          <w:szCs w:val="24"/>
        </w:rPr>
      </w:pPr>
    </w:p>
    <w:p w14:paraId="5507E2AC" w14:textId="77777777"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In this essay I will discuss the links between serious and organised crime and public protection issues. Firstly, I will define what organised crime and public protection are in order to create an understanding. These links will allow me to identify what characteristics make people more vulnerable to the exploitation of these serious and organised crime gangs, I will discuss the vulnerability of children/young people and also adults through the use of county lines and cuckooing and how they are exploited through these. This will then allow me to conclude on the issues of the public protection. </w:t>
      </w:r>
    </w:p>
    <w:p w14:paraId="6F29C2CA" w14:textId="77777777" w:rsidR="00144E37" w:rsidRPr="00144E37" w:rsidRDefault="00144E37" w:rsidP="009D257C">
      <w:pPr>
        <w:spacing w:line="276" w:lineRule="auto"/>
        <w:rPr>
          <w:rFonts w:ascii="Arial" w:hAnsi="Arial" w:cs="Arial"/>
          <w:sz w:val="24"/>
          <w:szCs w:val="24"/>
        </w:rPr>
      </w:pPr>
    </w:p>
    <w:p w14:paraId="2A8FD6B9" w14:textId="6CD79DC3"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As Avery, S (2020, p. 407) notes that serious and organised crime has been a major issue in the UK for some times and is an increasing threat. As the Home Office (2023) also note that the National Crime Agency estimate 59,000 people in the UK have been affected by serious and organised crime, showing a high figure of people living in the UK are affected by this. Newman, T (2017, p. 432) also shows the definition of organised crime in having to be involving two or more people, the crime having to take place over a prolonged period of time and are also suspected to be in the commission of serious offences, having an overall goal of profit, this can also include power. </w:t>
      </w:r>
    </w:p>
    <w:p w14:paraId="38A54E93" w14:textId="77777777" w:rsidR="00144E37" w:rsidRPr="00144E37" w:rsidRDefault="00144E37" w:rsidP="009D257C">
      <w:pPr>
        <w:spacing w:line="276" w:lineRule="auto"/>
        <w:rPr>
          <w:rFonts w:ascii="Arial" w:hAnsi="Arial" w:cs="Arial"/>
          <w:sz w:val="24"/>
          <w:szCs w:val="24"/>
        </w:rPr>
      </w:pPr>
    </w:p>
    <w:p w14:paraId="6B2D42CF" w14:textId="77777777" w:rsidR="00144E37" w:rsidRDefault="00144E37" w:rsidP="009D257C">
      <w:pPr>
        <w:spacing w:line="276" w:lineRule="auto"/>
        <w:rPr>
          <w:rFonts w:ascii="Arial" w:hAnsi="Arial" w:cs="Arial"/>
          <w:sz w:val="24"/>
          <w:szCs w:val="24"/>
        </w:rPr>
      </w:pPr>
      <w:r w:rsidRPr="00144E37">
        <w:rPr>
          <w:rFonts w:ascii="Arial" w:hAnsi="Arial" w:cs="Arial"/>
          <w:sz w:val="24"/>
          <w:szCs w:val="24"/>
        </w:rPr>
        <w:t>Public Protection also plays a role when tackling serious and organised crime, as many people who are affected by this are classed as vulnerable. Public Protection is a “section of a police force dedicated to ensuring the safety of those in danger of becoming victims of crimes” (His Majesty’s Inspectorate of Constabulary Fire and Rescue Services , 2023). Public Protection is a specialised role within the police, and work to protect vulnerable children and adults. The Office for Health Improvement &amp; Disabilities (2021) define vulnerability as those who need special care, support, and protection due to their ages, any disabilities and at risk of abuse or neglect, providing further protection for them as they may not be able to protect themselves in the course of becoming a victim of crime. This is where organised crime gangs and the public protection units link, as those organised crime gangs may pray on vulnerable children for county lines for example and also vulnerable adults through the use of cuckooing to store drugs. Public Protect Unit’s work alongside multiagency like Social Services and Health in order to meet and discuss these incidents that might be occurring through referrals from the police reports and also from schools where a child may have disclosed an incident when in school.</w:t>
      </w:r>
    </w:p>
    <w:p w14:paraId="5AEF928A" w14:textId="77777777" w:rsidR="00144E37" w:rsidRPr="00144E37" w:rsidRDefault="00144E37" w:rsidP="009D257C">
      <w:pPr>
        <w:spacing w:line="276" w:lineRule="auto"/>
        <w:rPr>
          <w:rFonts w:ascii="Arial" w:hAnsi="Arial" w:cs="Arial"/>
          <w:sz w:val="24"/>
          <w:szCs w:val="24"/>
        </w:rPr>
      </w:pPr>
    </w:p>
    <w:p w14:paraId="4268E39A" w14:textId="77777777"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The use of Public Protection Units benefits those who are vulnerable and a victim by crime as in relation to response policing “policing cannot be said to have been particularly sympathetic” in relation to vulnerability and “vulnerable victims and witnesses were often left largely to fend for themselves” in terms of protection (Williams, B. 2023, p. 9). Meaning that the use of Public Protection Units benefits those who are vulnerable to crimes, as these specialised rolls allow for their specific needs and protection to be met. </w:t>
      </w:r>
    </w:p>
    <w:p w14:paraId="2400071D" w14:textId="77777777" w:rsidR="00144E37" w:rsidRPr="00144E37" w:rsidRDefault="00144E37" w:rsidP="009D257C">
      <w:pPr>
        <w:spacing w:line="276" w:lineRule="auto"/>
        <w:rPr>
          <w:rFonts w:ascii="Arial" w:hAnsi="Arial" w:cs="Arial"/>
          <w:sz w:val="24"/>
          <w:szCs w:val="24"/>
        </w:rPr>
      </w:pPr>
    </w:p>
    <w:p w14:paraId="4CF07412" w14:textId="77777777"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There are many characteristics that can mean someone is classed as vulnerable, however children are instantly classed as this due to their age being under 18 years of age, as they may not be able to fully protect themselves and are at risk of exploitation due to their age. When relating children and young people to organised crime “many young people with vulnerabilities (such as learning difficulties) were in turn vulnerable to exploitation to criminal groups” due to them having a “desire to provide for their families” (Thompson, N. 2019, p. 85). One form of criminal exploitation that children are at risk of is County Lines as Robinson, G. </w:t>
      </w:r>
      <w:r w:rsidRPr="00144E37">
        <w:rPr>
          <w:rFonts w:ascii="Arial" w:hAnsi="Arial" w:cs="Arial"/>
          <w:i/>
          <w:iCs/>
          <w:sz w:val="24"/>
          <w:szCs w:val="24"/>
        </w:rPr>
        <w:t xml:space="preserve">et al </w:t>
      </w:r>
      <w:r w:rsidRPr="00144E37">
        <w:rPr>
          <w:rFonts w:ascii="Arial" w:hAnsi="Arial" w:cs="Arial"/>
          <w:sz w:val="24"/>
          <w:szCs w:val="24"/>
        </w:rPr>
        <w:t xml:space="preserve">(2019, p. 663) notes children are targeted for this due to possible dept bondage, and also the want and need for them to obtain financial rewards, these children are often coerced or intimidated to join country lines and can be done through the use of threatening or violence. </w:t>
      </w:r>
    </w:p>
    <w:p w14:paraId="7C1A0A08" w14:textId="77777777" w:rsidR="00144E37" w:rsidRPr="00144E37" w:rsidRDefault="00144E37" w:rsidP="009D257C">
      <w:pPr>
        <w:spacing w:line="276" w:lineRule="auto"/>
        <w:rPr>
          <w:rFonts w:ascii="Arial" w:hAnsi="Arial" w:cs="Arial"/>
          <w:sz w:val="24"/>
          <w:szCs w:val="24"/>
        </w:rPr>
      </w:pPr>
    </w:p>
    <w:p w14:paraId="3FA1AA4F" w14:textId="7C9DE5AB" w:rsidR="00144E37" w:rsidRDefault="00144E37" w:rsidP="009D257C">
      <w:pPr>
        <w:spacing w:line="276" w:lineRule="auto"/>
        <w:rPr>
          <w:rFonts w:ascii="Arial" w:hAnsi="Arial" w:cs="Arial"/>
          <w:sz w:val="24"/>
          <w:szCs w:val="24"/>
        </w:rPr>
      </w:pPr>
      <w:r w:rsidRPr="00144E37">
        <w:rPr>
          <w:rFonts w:ascii="Arial" w:hAnsi="Arial" w:cs="Arial"/>
          <w:sz w:val="24"/>
          <w:szCs w:val="24"/>
        </w:rPr>
        <w:lastRenderedPageBreak/>
        <w:t xml:space="preserve">These exploitations are also the same for vulnerable adults as Hanwell Health Centre (2024) note anyone who is over the age of eighteen and as stated before unable to provide that level of protection for themselves is at risk of exploitation, and this could be due to their age, illnesses these also including mental illnesses or disabilities. Just like children are at risk of organised crime gangs through country lines, vulnerable adults are also at risk of the same organised crime gangs, this being through cuckooing. As cuckooing can be those being “conned, coerced, controlled or intimidated into sharing, providing or offering up their accommodation to criminals who then use it to base their criminal activity” (Harding, S. 2020, p. 179). </w:t>
      </w:r>
    </w:p>
    <w:p w14:paraId="2A4928CD" w14:textId="77777777" w:rsidR="00144E37" w:rsidRPr="00144E37" w:rsidRDefault="00144E37" w:rsidP="009D257C">
      <w:pPr>
        <w:spacing w:line="276" w:lineRule="auto"/>
        <w:rPr>
          <w:rFonts w:ascii="Arial" w:hAnsi="Arial" w:cs="Arial"/>
          <w:sz w:val="24"/>
          <w:szCs w:val="24"/>
        </w:rPr>
      </w:pPr>
    </w:p>
    <w:p w14:paraId="380F7563" w14:textId="0C9DCB3B"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 xml:space="preserve">In conclusion the links between serious and organised crime in relation to public protection and those who are preyed upon by those gangs in order to coerce them into criminal activity and also facilitating the activity in their homes due to them being vulnerable and unable to protect themselves from this harm. Therefore, public protection is linked to fight these crimes and protect these vulnerable people, using multi agencies like health and social services to provide further support when out of this exploitation. They are able to work with the vulnerable characteristics that these children and adults face and provide added support through those multi agencies to keep them protected through housing for them to get away from these gangs and be protected. </w:t>
      </w:r>
    </w:p>
    <w:p w14:paraId="441724E4" w14:textId="3361D041"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Word Count </w:t>
      </w:r>
      <w:r>
        <w:rPr>
          <w:rFonts w:ascii="Arial" w:hAnsi="Arial" w:cs="Arial"/>
          <w:sz w:val="24"/>
          <w:szCs w:val="24"/>
        </w:rPr>
        <w:t>–</w:t>
      </w:r>
      <w:r w:rsidRPr="00144E37">
        <w:rPr>
          <w:rFonts w:ascii="Arial" w:hAnsi="Arial" w:cs="Arial"/>
          <w:sz w:val="24"/>
          <w:szCs w:val="24"/>
        </w:rPr>
        <w:t xml:space="preserve"> 923</w:t>
      </w:r>
    </w:p>
    <w:p w14:paraId="41150819" w14:textId="77777777" w:rsidR="00144E37" w:rsidRPr="00144E37" w:rsidRDefault="00144E37" w:rsidP="009D257C">
      <w:pPr>
        <w:spacing w:line="276" w:lineRule="auto"/>
        <w:rPr>
          <w:rFonts w:ascii="Arial" w:hAnsi="Arial" w:cs="Arial"/>
          <w:sz w:val="24"/>
          <w:szCs w:val="24"/>
        </w:rPr>
      </w:pPr>
    </w:p>
    <w:p w14:paraId="54E0A615" w14:textId="77777777" w:rsidR="00144E37" w:rsidRDefault="00144E37" w:rsidP="009D257C">
      <w:pPr>
        <w:spacing w:line="276" w:lineRule="auto"/>
        <w:rPr>
          <w:rFonts w:ascii="Arial" w:hAnsi="Arial" w:cs="Arial"/>
          <w:sz w:val="24"/>
          <w:szCs w:val="24"/>
        </w:rPr>
      </w:pPr>
      <w:r w:rsidRPr="00144E37">
        <w:rPr>
          <w:rFonts w:ascii="Arial" w:hAnsi="Arial" w:cs="Arial"/>
          <w:b/>
          <w:bCs/>
          <w:sz w:val="24"/>
          <w:szCs w:val="24"/>
          <w:u w:val="single"/>
        </w:rPr>
        <w:t>Essay Five</w:t>
      </w:r>
      <w:r w:rsidRPr="00144E37">
        <w:rPr>
          <w:rFonts w:ascii="Arial" w:hAnsi="Arial" w:cs="Arial"/>
          <w:sz w:val="24"/>
          <w:szCs w:val="24"/>
        </w:rPr>
        <w:t xml:space="preserve"> - How effective is early intervention an effective means of preventing young people from offending or re-offending?</w:t>
      </w:r>
    </w:p>
    <w:p w14:paraId="005AC217" w14:textId="77777777" w:rsidR="00144E37" w:rsidRPr="00144E37" w:rsidRDefault="00144E37" w:rsidP="009D257C">
      <w:pPr>
        <w:spacing w:line="276" w:lineRule="auto"/>
        <w:rPr>
          <w:rFonts w:ascii="Arial" w:hAnsi="Arial" w:cs="Arial"/>
          <w:sz w:val="24"/>
          <w:szCs w:val="24"/>
        </w:rPr>
      </w:pPr>
    </w:p>
    <w:p w14:paraId="49504D65" w14:textId="77777777" w:rsidR="00144E37" w:rsidRDefault="00144E37" w:rsidP="009D257C">
      <w:pPr>
        <w:spacing w:line="276" w:lineRule="auto"/>
        <w:rPr>
          <w:rFonts w:ascii="Arial" w:hAnsi="Arial" w:cs="Arial"/>
          <w:sz w:val="24"/>
          <w:szCs w:val="24"/>
        </w:rPr>
      </w:pPr>
      <w:r w:rsidRPr="00144E37">
        <w:rPr>
          <w:rFonts w:ascii="Arial" w:hAnsi="Arial" w:cs="Arial"/>
          <w:sz w:val="24"/>
          <w:szCs w:val="24"/>
        </w:rPr>
        <w:t>In this essay I will define what it meant by early intervention in order to have an understanding of what early intervention is and when applying this to young people. I will then discuss how effective this early intervention is regarding young people and how this is also effective in preventing them from offending and reoffending.</w:t>
      </w:r>
    </w:p>
    <w:p w14:paraId="5B946518" w14:textId="77777777" w:rsidR="00144E37" w:rsidRPr="00144E37" w:rsidRDefault="00144E37" w:rsidP="009D257C">
      <w:pPr>
        <w:spacing w:line="276" w:lineRule="auto"/>
        <w:rPr>
          <w:rFonts w:ascii="Arial" w:hAnsi="Arial" w:cs="Arial"/>
          <w:sz w:val="24"/>
          <w:szCs w:val="24"/>
        </w:rPr>
      </w:pPr>
    </w:p>
    <w:p w14:paraId="28B5E666" w14:textId="77777777"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Blyth, M. and Solomon, E (2009, p. 2) note that early intervention is assessed by a risk assessment basis whereby strategies are then used, which has developed from the use of Youth Offending Teams in order to identify those young people who are at the breaking point of committing crimes or being vulnerable and intimidated into committing crimes meaning they have been exploited. Showing that having agencies in place to recognise these young people on the cusp of crime, refer them to multi-agencies and have appropriate measures for early intervention in place shows that early intervention could be effective. However, identifying these young people early on is the challenge, as many referrals come into police and social services when a </w:t>
      </w:r>
      <w:r w:rsidRPr="00144E37">
        <w:rPr>
          <w:rFonts w:ascii="Arial" w:hAnsi="Arial" w:cs="Arial"/>
          <w:sz w:val="24"/>
          <w:szCs w:val="24"/>
        </w:rPr>
        <w:lastRenderedPageBreak/>
        <w:t>crime has already been committed and a strategy meeting is held in order to discuss the support for the young person or criminal investigation outcome. These early interventions can include to “address their unmet needs and vulnerabilities and promote positive outcomes, such as supporting them to stay in school or make sure they have a safe home environment” (Youth Justice Board England and Wales, 2023).</w:t>
      </w:r>
    </w:p>
    <w:p w14:paraId="35497206" w14:textId="77777777" w:rsidR="00144E37" w:rsidRPr="00144E37" w:rsidRDefault="00144E37" w:rsidP="009D257C">
      <w:pPr>
        <w:spacing w:line="276" w:lineRule="auto"/>
        <w:rPr>
          <w:rFonts w:ascii="Arial" w:hAnsi="Arial" w:cs="Arial"/>
          <w:sz w:val="24"/>
          <w:szCs w:val="24"/>
        </w:rPr>
      </w:pPr>
    </w:p>
    <w:p w14:paraId="65548E33" w14:textId="77777777" w:rsidR="00144E37" w:rsidRDefault="00144E37" w:rsidP="009D257C">
      <w:pPr>
        <w:spacing w:line="276" w:lineRule="auto"/>
        <w:rPr>
          <w:rFonts w:ascii="Arial" w:hAnsi="Arial" w:cs="Arial"/>
          <w:sz w:val="24"/>
          <w:szCs w:val="24"/>
        </w:rPr>
      </w:pPr>
      <w:r w:rsidRPr="00144E37">
        <w:rPr>
          <w:rFonts w:ascii="Arial" w:hAnsi="Arial" w:cs="Arial"/>
          <w:sz w:val="24"/>
          <w:szCs w:val="24"/>
        </w:rPr>
        <w:t>The British Government recognised a Child First Approach when tackling offending, reoffending, and early interventions in relation to young people. As they have stated “diversions from formal criminal justice processed can help minimise stigmatisation or labelling effects” (His Majesty’s Inspectorate of Probation, 2023). Meaning diverting these young people in early intervention and prevent them from committing their first crime and being labelled for this as a result, taking them away from a criminal prosecution or any involvement in the criminal justice system and using the Youth Offending Teams instead, not criminalising the child. The Child First Approach aims to also use early interventions as a “comprehensive approach dealing with issues from crime prevention through to how we response to children convicted of the most serious crimes” (Haines, K. and Case, S. 2025, p. 30).</w:t>
      </w:r>
    </w:p>
    <w:p w14:paraId="15024EC7" w14:textId="77777777" w:rsidR="00144E37" w:rsidRPr="00144E37" w:rsidRDefault="00144E37" w:rsidP="009D257C">
      <w:pPr>
        <w:spacing w:line="276" w:lineRule="auto"/>
        <w:rPr>
          <w:rFonts w:ascii="Arial" w:hAnsi="Arial" w:cs="Arial"/>
          <w:sz w:val="24"/>
          <w:szCs w:val="24"/>
        </w:rPr>
      </w:pPr>
    </w:p>
    <w:p w14:paraId="77E02EBD" w14:textId="77777777"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There are many benefits in using early intervention, and benefitting the young person, and not bringing them into the criminal justice system at such a young age, using a “non-direct way in order to avoid stigmatisation or bringing young people into the criminal justice system further” (Haydon, D. 2014, p. 235) not exposing the child to other criminals and associating with them in a confined punishment. When putting a child through the criminal system by arresting, charging etc can give them labels, then when they are released for what they may have been coerced into doing, they can spin into the circle of reoffending as they now fit into the group they have been exploited by and associated when going through the criminal justice system. </w:t>
      </w:r>
    </w:p>
    <w:p w14:paraId="3182DAEA" w14:textId="77777777" w:rsidR="00144E37" w:rsidRPr="00144E37" w:rsidRDefault="00144E37" w:rsidP="009D257C">
      <w:pPr>
        <w:spacing w:line="276" w:lineRule="auto"/>
        <w:rPr>
          <w:rFonts w:ascii="Arial" w:hAnsi="Arial" w:cs="Arial"/>
          <w:sz w:val="24"/>
          <w:szCs w:val="24"/>
        </w:rPr>
      </w:pPr>
    </w:p>
    <w:p w14:paraId="6E6DFE4C" w14:textId="77777777"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The consequence of not addressing early interventions or not being able to identify the need for this, McCormack, H (2023) notes this can have an increased risk on the young person developing problems later on in their life as they may suffer from crimes they have committed and people they associated with, and with their mental health and poor physical health. This can also have a knock-on effect with their education as they may not have had a full education, not seeing the point in attending or having the motivation to complete school and get qualification, this can overall lead to crime and antisocial behaviour. Early Intervention Foundation (2020) also note a consequence of not recognising the need for early intervention also have an impact on a young person’s behaviours problem and only gaining low qualifications, therefore having a knock-on effect for when they are older and not </w:t>
      </w:r>
      <w:r w:rsidRPr="00144E37">
        <w:rPr>
          <w:rFonts w:ascii="Arial" w:hAnsi="Arial" w:cs="Arial"/>
          <w:sz w:val="24"/>
          <w:szCs w:val="24"/>
        </w:rPr>
        <w:lastRenderedPageBreak/>
        <w:t xml:space="preserve">having a high earning employment, overall having an effect on them when they each their adulthood. </w:t>
      </w:r>
    </w:p>
    <w:p w14:paraId="39036260" w14:textId="77777777" w:rsidR="00144E37" w:rsidRPr="00144E37" w:rsidRDefault="00144E37" w:rsidP="009D257C">
      <w:pPr>
        <w:spacing w:line="276" w:lineRule="auto"/>
        <w:rPr>
          <w:rFonts w:ascii="Arial" w:hAnsi="Arial" w:cs="Arial"/>
          <w:sz w:val="24"/>
          <w:szCs w:val="24"/>
        </w:rPr>
      </w:pPr>
    </w:p>
    <w:p w14:paraId="0CC18A58" w14:textId="6B0857EC" w:rsidR="00144E37" w:rsidRDefault="00144E37" w:rsidP="009D257C">
      <w:pPr>
        <w:spacing w:line="276" w:lineRule="auto"/>
        <w:rPr>
          <w:rFonts w:ascii="Arial" w:hAnsi="Arial" w:cs="Arial"/>
          <w:sz w:val="24"/>
          <w:szCs w:val="24"/>
        </w:rPr>
      </w:pPr>
      <w:r w:rsidRPr="00144E37">
        <w:rPr>
          <w:rFonts w:ascii="Arial" w:hAnsi="Arial" w:cs="Arial"/>
          <w:sz w:val="24"/>
          <w:szCs w:val="24"/>
        </w:rPr>
        <w:t xml:space="preserve">Ross, A. </w:t>
      </w:r>
      <w:r w:rsidRPr="00144E37">
        <w:rPr>
          <w:rFonts w:ascii="Arial" w:hAnsi="Arial" w:cs="Arial"/>
          <w:i/>
          <w:iCs/>
          <w:sz w:val="24"/>
          <w:szCs w:val="24"/>
        </w:rPr>
        <w:t xml:space="preserve">et al </w:t>
      </w:r>
      <w:r w:rsidRPr="00144E37">
        <w:rPr>
          <w:rFonts w:ascii="Arial" w:hAnsi="Arial" w:cs="Arial"/>
          <w:sz w:val="24"/>
          <w:szCs w:val="24"/>
        </w:rPr>
        <w:t xml:space="preserve">(2011, p. 5) notes that there is </w:t>
      </w:r>
      <w:r w:rsidR="00813E2A" w:rsidRPr="00144E37">
        <w:rPr>
          <w:rFonts w:ascii="Arial" w:hAnsi="Arial" w:cs="Arial"/>
          <w:sz w:val="24"/>
          <w:szCs w:val="24"/>
        </w:rPr>
        <w:t>little</w:t>
      </w:r>
      <w:r w:rsidRPr="00144E37">
        <w:rPr>
          <w:rFonts w:ascii="Arial" w:hAnsi="Arial" w:cs="Arial"/>
          <w:sz w:val="24"/>
          <w:szCs w:val="24"/>
        </w:rPr>
        <w:t xml:space="preserve"> evidence in regards to the forms of early interventions that have not had a good result. These could be through a schooling approach, and also referrals for the young person by social services and also police involvement instead of putting them through the criminal justice system with community resolutions and educational courses. They also note that this is due to the level of training that these agencies receive in order to be able to provide these early interventions, they are able to use their specialist training in deciding which early intervention would be for that young person, as each young person might succeed in different interventions. This has found a reduction in the risk factors for young people having a significant impact on their choice whilst getting older and doing well, and not committing crimes, due to receiving these early interventions.</w:t>
      </w:r>
    </w:p>
    <w:p w14:paraId="5F47A40A" w14:textId="77777777" w:rsidR="00144E37" w:rsidRPr="00144E37" w:rsidRDefault="00144E37" w:rsidP="009D257C">
      <w:pPr>
        <w:spacing w:line="276" w:lineRule="auto"/>
        <w:rPr>
          <w:rFonts w:ascii="Arial" w:hAnsi="Arial" w:cs="Arial"/>
          <w:sz w:val="24"/>
          <w:szCs w:val="24"/>
        </w:rPr>
      </w:pPr>
    </w:p>
    <w:p w14:paraId="77E5189F" w14:textId="77777777"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This overall shows that having early intervention programmes in place in the UK means that they are able to catch this in schools when the child is of a substantial young age, putting these early interventions into play when going through school, keeping them in schools and also providing outside school activities for the young person to attend, to have a sense of motivation to do well, resulting in them doing well in school, getting those good grades that they need to attend high education and gain a good employment to be able to stay away from crime and any antisocial behaviour. However this said, it is very hard to identify this, and which child may be at risk at such a young age, also in a large number of other children in schools, the child can then slip through this system and be subject to the criminal exploitation as they have not received the attention and early intervention that they need and could have.</w:t>
      </w:r>
    </w:p>
    <w:p w14:paraId="2AEE96FB" w14:textId="3D050461" w:rsidR="00144E37" w:rsidRDefault="00144E37" w:rsidP="009D257C">
      <w:pPr>
        <w:spacing w:line="276" w:lineRule="auto"/>
        <w:rPr>
          <w:rFonts w:ascii="Arial" w:hAnsi="Arial" w:cs="Arial"/>
          <w:sz w:val="24"/>
          <w:szCs w:val="24"/>
        </w:rPr>
      </w:pPr>
      <w:r w:rsidRPr="00144E37">
        <w:rPr>
          <w:rFonts w:ascii="Arial" w:hAnsi="Arial" w:cs="Arial"/>
          <w:sz w:val="24"/>
          <w:szCs w:val="24"/>
        </w:rPr>
        <w:t>Word Count – 98</w:t>
      </w:r>
      <w:r w:rsidR="00B8489B">
        <w:rPr>
          <w:rFonts w:ascii="Arial" w:hAnsi="Arial" w:cs="Arial"/>
          <w:sz w:val="24"/>
          <w:szCs w:val="24"/>
        </w:rPr>
        <w:t>2</w:t>
      </w:r>
      <w:r w:rsidRPr="00144E37">
        <w:rPr>
          <w:rFonts w:ascii="Arial" w:hAnsi="Arial" w:cs="Arial"/>
          <w:sz w:val="24"/>
          <w:szCs w:val="24"/>
        </w:rPr>
        <w:t>.</w:t>
      </w:r>
    </w:p>
    <w:p w14:paraId="3E202304" w14:textId="77777777" w:rsidR="00144E37" w:rsidRPr="00144E37" w:rsidRDefault="00144E37" w:rsidP="009D257C">
      <w:pPr>
        <w:spacing w:line="276" w:lineRule="auto"/>
        <w:rPr>
          <w:rFonts w:ascii="Arial" w:hAnsi="Arial" w:cs="Arial"/>
          <w:sz w:val="24"/>
          <w:szCs w:val="24"/>
        </w:rPr>
      </w:pPr>
    </w:p>
    <w:p w14:paraId="682EE461" w14:textId="4CE5EAC3" w:rsidR="00CE3991" w:rsidRPr="00B16B5A" w:rsidRDefault="00CE3991" w:rsidP="009D257C">
      <w:pPr>
        <w:spacing w:line="276" w:lineRule="auto"/>
        <w:rPr>
          <w:rFonts w:ascii="Arial" w:hAnsi="Arial" w:cs="Arial"/>
          <w:b/>
          <w:bCs/>
          <w:sz w:val="24"/>
          <w:szCs w:val="24"/>
          <w:u w:val="single"/>
        </w:rPr>
      </w:pPr>
      <w:r w:rsidRPr="00B16B5A">
        <w:rPr>
          <w:rFonts w:ascii="Arial" w:hAnsi="Arial" w:cs="Arial"/>
          <w:b/>
          <w:bCs/>
          <w:sz w:val="24"/>
          <w:szCs w:val="24"/>
          <w:u w:val="single"/>
        </w:rPr>
        <w:t>References:</w:t>
      </w:r>
    </w:p>
    <w:p w14:paraId="0C04C957" w14:textId="77777777"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Avery, S. (2020) ‘For Fraud, look under ‘serious and organized crime’ </w:t>
      </w:r>
      <w:r w:rsidRPr="00144E37">
        <w:rPr>
          <w:rFonts w:ascii="Arial" w:hAnsi="Arial" w:cs="Arial"/>
          <w:i/>
          <w:iCs/>
          <w:sz w:val="24"/>
          <w:szCs w:val="24"/>
        </w:rPr>
        <w:t>Public Money &amp; Management</w:t>
      </w:r>
      <w:r w:rsidRPr="00144E37">
        <w:rPr>
          <w:rFonts w:ascii="Arial" w:hAnsi="Arial" w:cs="Arial"/>
          <w:sz w:val="24"/>
          <w:szCs w:val="24"/>
        </w:rPr>
        <w:t xml:space="preserve">. 40(5), pp. 407-414. Available at: </w:t>
      </w:r>
      <w:hyperlink r:id="rId4" w:history="1">
        <w:r w:rsidRPr="00144E37">
          <w:rPr>
            <w:rStyle w:val="Hyperlink"/>
            <w:rFonts w:ascii="Arial" w:hAnsi="Arial" w:cs="Arial"/>
            <w:sz w:val="24"/>
            <w:szCs w:val="24"/>
          </w:rPr>
          <w:t>https://www-tandfonline-com.ezproxy.uwtsd.ac.uk/doi/epdf/10.1080/09540962.2020.1714903?needAccess=true</w:t>
        </w:r>
      </w:hyperlink>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 </w:t>
      </w:r>
    </w:p>
    <w:p w14:paraId="59478CE5" w14:textId="77777777" w:rsidR="00144E37" w:rsidRPr="00144E37" w:rsidRDefault="00144E37" w:rsidP="009D257C">
      <w:pPr>
        <w:spacing w:line="276" w:lineRule="auto"/>
        <w:rPr>
          <w:rFonts w:ascii="Arial" w:hAnsi="Arial" w:cs="Arial"/>
          <w:sz w:val="24"/>
          <w:szCs w:val="24"/>
        </w:rPr>
      </w:pPr>
    </w:p>
    <w:p w14:paraId="7E86BB4F" w14:textId="77777777"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 xml:space="preserve">Blyth, M. and Solomon, E. (2009) </w:t>
      </w:r>
      <w:r w:rsidRPr="00144E37">
        <w:rPr>
          <w:rFonts w:ascii="Arial" w:hAnsi="Arial" w:cs="Arial"/>
          <w:i/>
          <w:iCs/>
          <w:sz w:val="24"/>
          <w:szCs w:val="24"/>
        </w:rPr>
        <w:t>Prevention and youth crime: Is early intervention working?</w:t>
      </w:r>
      <w:r w:rsidRPr="00144E37">
        <w:rPr>
          <w:rFonts w:ascii="Arial" w:hAnsi="Arial" w:cs="Arial"/>
          <w:sz w:val="24"/>
          <w:szCs w:val="24"/>
        </w:rPr>
        <w:t xml:space="preserve"> Bristol: Policy Press. </w:t>
      </w:r>
    </w:p>
    <w:p w14:paraId="5933E33C" w14:textId="77777777" w:rsidR="00CE3991" w:rsidRPr="00144E37" w:rsidRDefault="00CE3991" w:rsidP="009D257C">
      <w:pPr>
        <w:spacing w:line="276" w:lineRule="auto"/>
        <w:rPr>
          <w:rFonts w:ascii="Arial" w:hAnsi="Arial" w:cs="Arial"/>
          <w:sz w:val="24"/>
          <w:szCs w:val="24"/>
        </w:rPr>
      </w:pPr>
    </w:p>
    <w:p w14:paraId="294D5D15" w14:textId="3AEAFAE6"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lastRenderedPageBreak/>
        <w:t xml:space="preserve">Centres for Disease Control and Prevention (2024) </w:t>
      </w:r>
      <w:r w:rsidRPr="00144E37">
        <w:rPr>
          <w:rFonts w:ascii="Arial" w:hAnsi="Arial" w:cs="Arial"/>
          <w:i/>
          <w:iCs/>
          <w:sz w:val="24"/>
          <w:szCs w:val="24"/>
        </w:rPr>
        <w:t>About Mental Health.</w:t>
      </w:r>
      <w:r w:rsidRPr="00144E37">
        <w:rPr>
          <w:rFonts w:ascii="Arial" w:hAnsi="Arial" w:cs="Arial"/>
          <w:sz w:val="24"/>
          <w:szCs w:val="24"/>
        </w:rPr>
        <w:t xml:space="preserve"> Available at: </w:t>
      </w:r>
      <w:hyperlink r:id="rId5" w:anchor=":~:text=Mental%20health%20includes%20our%20emotional,others%2C%20and%20make%20healthy%20choices.&amp;text=Mental%20health%20is%20important%20at,childhood%20and%20adolescence%20through%20adulthood" w:history="1">
        <w:r w:rsidRPr="00144E37">
          <w:rPr>
            <w:rStyle w:val="Hyperlink"/>
            <w:rFonts w:ascii="Arial" w:hAnsi="Arial" w:cs="Arial"/>
            <w:sz w:val="24"/>
            <w:szCs w:val="24"/>
          </w:rPr>
          <w:t>https://www.cdc.gov/mentalhealth/learn/index.htm#:~:text=Mental%20health%20includes%20our%20emotional,others%2C%20and%20make%20healthy%20choices.&amp;text=Mental%20health%20is%20important%20at,childhood%20and%20adolescence%20through%20adulthood</w:t>
        </w:r>
      </w:hyperlink>
      <w:r w:rsidRPr="00144E37">
        <w:rPr>
          <w:rFonts w:ascii="Arial" w:hAnsi="Arial" w:cs="Arial"/>
          <w:sz w:val="24"/>
          <w:szCs w:val="24"/>
        </w:rPr>
        <w:t>. (Accessed: 11</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00C17877" w14:textId="77777777" w:rsidR="00CE3991" w:rsidRPr="00144E37" w:rsidRDefault="00CE3991" w:rsidP="009D257C">
      <w:pPr>
        <w:spacing w:line="276" w:lineRule="auto"/>
        <w:rPr>
          <w:rFonts w:ascii="Arial" w:hAnsi="Arial" w:cs="Arial"/>
          <w:sz w:val="24"/>
          <w:szCs w:val="24"/>
        </w:rPr>
      </w:pPr>
    </w:p>
    <w:p w14:paraId="68FF4DEB" w14:textId="77777777"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College of Policing (2023) </w:t>
      </w:r>
      <w:r w:rsidRPr="00144E37">
        <w:rPr>
          <w:rFonts w:ascii="Arial" w:hAnsi="Arial" w:cs="Arial"/>
          <w:i/>
          <w:iCs/>
          <w:sz w:val="24"/>
          <w:szCs w:val="24"/>
        </w:rPr>
        <w:t>Investigation Introduction</w:t>
      </w:r>
      <w:r w:rsidRPr="00144E37">
        <w:rPr>
          <w:rFonts w:ascii="Arial" w:hAnsi="Arial" w:cs="Arial"/>
          <w:sz w:val="24"/>
          <w:szCs w:val="24"/>
        </w:rPr>
        <w:t xml:space="preserve">. </w:t>
      </w:r>
      <w:hyperlink r:id="rId6" w:history="1">
        <w:r w:rsidRPr="00144E37">
          <w:rPr>
            <w:rStyle w:val="Hyperlink"/>
            <w:rFonts w:ascii="Arial" w:hAnsi="Arial" w:cs="Arial"/>
            <w:sz w:val="24"/>
            <w:szCs w:val="24"/>
          </w:rPr>
          <w:t>https://www.college.police.uk/app/investigation/investigation-introduction</w:t>
        </w:r>
      </w:hyperlink>
      <w:r w:rsidRPr="00144E37">
        <w:rPr>
          <w:rFonts w:ascii="Arial" w:hAnsi="Arial" w:cs="Arial"/>
          <w:sz w:val="24"/>
          <w:szCs w:val="24"/>
        </w:rPr>
        <w:t xml:space="preserve"> (Accessed: 26</w:t>
      </w:r>
      <w:r w:rsidRPr="00144E37">
        <w:rPr>
          <w:rFonts w:ascii="Arial" w:hAnsi="Arial" w:cs="Arial"/>
          <w:sz w:val="24"/>
          <w:szCs w:val="24"/>
          <w:vertAlign w:val="superscript"/>
        </w:rPr>
        <w:t>th</w:t>
      </w:r>
      <w:r w:rsidRPr="00144E37">
        <w:rPr>
          <w:rFonts w:ascii="Arial" w:hAnsi="Arial" w:cs="Arial"/>
          <w:sz w:val="24"/>
          <w:szCs w:val="24"/>
        </w:rPr>
        <w:t xml:space="preserve"> August 2024).</w:t>
      </w:r>
    </w:p>
    <w:p w14:paraId="4D43704A" w14:textId="77777777" w:rsidR="00CE3991" w:rsidRPr="00144E37" w:rsidRDefault="00CE3991" w:rsidP="009D257C">
      <w:pPr>
        <w:spacing w:line="276" w:lineRule="auto"/>
        <w:rPr>
          <w:rFonts w:ascii="Arial" w:hAnsi="Arial" w:cs="Arial"/>
          <w:sz w:val="24"/>
          <w:szCs w:val="24"/>
        </w:rPr>
      </w:pPr>
    </w:p>
    <w:p w14:paraId="3C172BBE" w14:textId="77777777" w:rsidR="00CE3991" w:rsidRPr="00144E37" w:rsidRDefault="00CE3991" w:rsidP="009D257C">
      <w:pPr>
        <w:spacing w:line="276" w:lineRule="auto"/>
        <w:rPr>
          <w:rFonts w:ascii="Arial" w:hAnsi="Arial" w:cs="Arial"/>
          <w:color w:val="222222"/>
          <w:sz w:val="24"/>
          <w:szCs w:val="24"/>
          <w:shd w:val="clear" w:color="auto" w:fill="FFFFFF"/>
        </w:rPr>
      </w:pPr>
      <w:r w:rsidRPr="00144E37">
        <w:rPr>
          <w:rFonts w:ascii="Arial" w:hAnsi="Arial" w:cs="Arial"/>
          <w:color w:val="222222"/>
          <w:sz w:val="24"/>
          <w:szCs w:val="24"/>
          <w:shd w:val="clear" w:color="auto" w:fill="FFFFFF"/>
        </w:rPr>
        <w:t xml:space="preserve">DeJoy, DM (1999) </w:t>
      </w:r>
      <w:r w:rsidRPr="00144E37">
        <w:rPr>
          <w:rFonts w:ascii="Arial" w:hAnsi="Arial" w:cs="Arial"/>
          <w:i/>
          <w:iCs/>
          <w:color w:val="222222"/>
          <w:sz w:val="24"/>
          <w:szCs w:val="24"/>
          <w:shd w:val="clear" w:color="auto" w:fill="FFFFFF"/>
        </w:rPr>
        <w:t xml:space="preserve">Warnings and Risk Communication. </w:t>
      </w:r>
      <w:r w:rsidRPr="00144E37">
        <w:rPr>
          <w:rFonts w:ascii="Arial" w:hAnsi="Arial" w:cs="Arial"/>
          <w:color w:val="222222"/>
          <w:sz w:val="24"/>
          <w:szCs w:val="24"/>
          <w:shd w:val="clear" w:color="auto" w:fill="FFFFFF"/>
        </w:rPr>
        <w:t>1</w:t>
      </w:r>
      <w:r w:rsidRPr="00144E37">
        <w:rPr>
          <w:rFonts w:ascii="Arial" w:hAnsi="Arial" w:cs="Arial"/>
          <w:color w:val="222222"/>
          <w:sz w:val="24"/>
          <w:szCs w:val="24"/>
          <w:shd w:val="clear" w:color="auto" w:fill="FFFFFF"/>
          <w:vertAlign w:val="superscript"/>
        </w:rPr>
        <w:t>st</w:t>
      </w:r>
      <w:r w:rsidRPr="00144E37">
        <w:rPr>
          <w:rFonts w:ascii="Arial" w:hAnsi="Arial" w:cs="Arial"/>
          <w:color w:val="222222"/>
          <w:sz w:val="24"/>
          <w:szCs w:val="24"/>
          <w:shd w:val="clear" w:color="auto" w:fill="FFFFFF"/>
        </w:rPr>
        <w:t xml:space="preserve"> edn. London: Taylor &amp; Francis.</w:t>
      </w:r>
    </w:p>
    <w:p w14:paraId="5FF5DDEE" w14:textId="77777777"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Sagiv, L. </w:t>
      </w:r>
      <w:r w:rsidRPr="00144E37">
        <w:rPr>
          <w:rFonts w:ascii="Arial" w:hAnsi="Arial" w:cs="Arial"/>
          <w:i/>
          <w:iCs/>
          <w:sz w:val="24"/>
          <w:szCs w:val="24"/>
        </w:rPr>
        <w:t xml:space="preserve">et al. </w:t>
      </w:r>
      <w:r w:rsidRPr="00144E37">
        <w:rPr>
          <w:rFonts w:ascii="Arial" w:hAnsi="Arial" w:cs="Arial"/>
          <w:sz w:val="24"/>
          <w:szCs w:val="24"/>
        </w:rPr>
        <w:t xml:space="preserve">(2017) ‘Personal Values in Human Life’, </w:t>
      </w:r>
      <w:r w:rsidRPr="00144E37">
        <w:rPr>
          <w:rFonts w:ascii="Arial" w:hAnsi="Arial" w:cs="Arial"/>
          <w:i/>
          <w:iCs/>
          <w:sz w:val="24"/>
          <w:szCs w:val="24"/>
        </w:rPr>
        <w:t xml:space="preserve">Nature Human Behaviour, </w:t>
      </w:r>
      <w:r w:rsidRPr="00144E37">
        <w:rPr>
          <w:rFonts w:ascii="Arial" w:hAnsi="Arial" w:cs="Arial"/>
          <w:sz w:val="24"/>
          <w:szCs w:val="24"/>
        </w:rPr>
        <w:t xml:space="preserve">1, pp. 630-639. Available at: </w:t>
      </w:r>
      <w:hyperlink r:id="rId7" w:anchor="citeas" w:history="1">
        <w:r w:rsidRPr="00144E37">
          <w:rPr>
            <w:rStyle w:val="Hyperlink"/>
            <w:rFonts w:ascii="Arial" w:hAnsi="Arial" w:cs="Arial"/>
            <w:sz w:val="24"/>
            <w:szCs w:val="24"/>
          </w:rPr>
          <w:t>https://www.nature.com/articles/s41562-017-0185-3#citeas</w:t>
        </w:r>
      </w:hyperlink>
      <w:r w:rsidRPr="00144E37">
        <w:rPr>
          <w:rStyle w:val="Hyperlink"/>
          <w:rFonts w:ascii="Arial" w:hAnsi="Arial" w:cs="Arial"/>
          <w:sz w:val="24"/>
          <w:szCs w:val="24"/>
        </w:rPr>
        <w:t xml:space="preserve"> </w:t>
      </w:r>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525D41DC" w14:textId="77777777" w:rsidR="00144E37" w:rsidRPr="00144E37" w:rsidRDefault="00144E37" w:rsidP="009D257C">
      <w:pPr>
        <w:spacing w:line="276" w:lineRule="auto"/>
        <w:rPr>
          <w:rFonts w:ascii="Arial" w:hAnsi="Arial" w:cs="Arial"/>
          <w:sz w:val="24"/>
          <w:szCs w:val="24"/>
        </w:rPr>
      </w:pPr>
    </w:p>
    <w:p w14:paraId="07348FF3" w14:textId="77777777"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 xml:space="preserve">Early Intervention Foundation (2020) </w:t>
      </w:r>
      <w:r w:rsidRPr="00144E37">
        <w:rPr>
          <w:rFonts w:ascii="Arial" w:hAnsi="Arial" w:cs="Arial"/>
          <w:i/>
          <w:iCs/>
          <w:sz w:val="24"/>
          <w:szCs w:val="24"/>
        </w:rPr>
        <w:t>Why does early intervention matter?</w:t>
      </w:r>
      <w:r w:rsidRPr="00144E37">
        <w:rPr>
          <w:rFonts w:ascii="Arial" w:hAnsi="Arial" w:cs="Arial"/>
          <w:sz w:val="24"/>
          <w:szCs w:val="24"/>
        </w:rPr>
        <w:t xml:space="preserve"> Available at: </w:t>
      </w:r>
      <w:hyperlink r:id="rId8" w:history="1">
        <w:r w:rsidRPr="00144E37">
          <w:rPr>
            <w:rStyle w:val="Hyperlink"/>
            <w:rFonts w:ascii="Arial" w:hAnsi="Arial" w:cs="Arial"/>
            <w:sz w:val="24"/>
            <w:szCs w:val="24"/>
          </w:rPr>
          <w:t>https://www.eif.org.uk/resource/why-does-early-intervention-matter</w:t>
        </w:r>
      </w:hyperlink>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5D3DFA13" w14:textId="77777777" w:rsidR="007631C1" w:rsidRPr="00144E37" w:rsidRDefault="007631C1" w:rsidP="009D257C">
      <w:pPr>
        <w:spacing w:line="276" w:lineRule="auto"/>
        <w:rPr>
          <w:rFonts w:ascii="Arial" w:hAnsi="Arial" w:cs="Arial"/>
          <w:sz w:val="24"/>
          <w:szCs w:val="24"/>
        </w:rPr>
      </w:pPr>
    </w:p>
    <w:p w14:paraId="6EFC9852" w14:textId="77777777"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 xml:space="preserve">Haines, K. and Case, S. (2015) </w:t>
      </w:r>
      <w:r w:rsidRPr="00144E37">
        <w:rPr>
          <w:rFonts w:ascii="Arial" w:hAnsi="Arial" w:cs="Arial"/>
          <w:i/>
          <w:iCs/>
          <w:sz w:val="24"/>
          <w:szCs w:val="24"/>
        </w:rPr>
        <w:t>Positive youth justice: Children first, offenders second</w:t>
      </w:r>
      <w:r w:rsidRPr="00144E37">
        <w:rPr>
          <w:rFonts w:ascii="Arial" w:hAnsi="Arial" w:cs="Arial"/>
          <w:sz w:val="24"/>
          <w:szCs w:val="24"/>
        </w:rPr>
        <w:t xml:space="preserve">. Bristol: Policy Press. </w:t>
      </w:r>
    </w:p>
    <w:p w14:paraId="53012BDD" w14:textId="77777777" w:rsidR="00144E37" w:rsidRPr="00144E37" w:rsidRDefault="00144E37" w:rsidP="009D257C">
      <w:pPr>
        <w:spacing w:line="276" w:lineRule="auto"/>
        <w:rPr>
          <w:rFonts w:ascii="Arial" w:hAnsi="Arial" w:cs="Arial"/>
          <w:sz w:val="24"/>
          <w:szCs w:val="24"/>
        </w:rPr>
      </w:pPr>
    </w:p>
    <w:p w14:paraId="47E69AF6" w14:textId="2C62526F" w:rsidR="007631C1" w:rsidRPr="00144E37" w:rsidRDefault="007631C1" w:rsidP="009D257C">
      <w:pPr>
        <w:spacing w:line="276" w:lineRule="auto"/>
        <w:rPr>
          <w:rFonts w:ascii="Arial" w:hAnsi="Arial" w:cs="Arial"/>
          <w:sz w:val="24"/>
          <w:szCs w:val="24"/>
        </w:rPr>
      </w:pPr>
      <w:r w:rsidRPr="00144E37">
        <w:rPr>
          <w:rFonts w:ascii="Arial" w:hAnsi="Arial" w:cs="Arial"/>
          <w:sz w:val="24"/>
          <w:szCs w:val="24"/>
        </w:rPr>
        <w:t xml:space="preserve">Hanwell Health Centre (2024) </w:t>
      </w:r>
      <w:r w:rsidRPr="00144E37">
        <w:rPr>
          <w:rFonts w:ascii="Arial" w:hAnsi="Arial" w:cs="Arial"/>
          <w:i/>
          <w:iCs/>
          <w:sz w:val="24"/>
          <w:szCs w:val="24"/>
        </w:rPr>
        <w:t>Vulnerable Adults</w:t>
      </w:r>
      <w:r w:rsidRPr="00144E37">
        <w:rPr>
          <w:rFonts w:ascii="Arial" w:hAnsi="Arial" w:cs="Arial"/>
          <w:sz w:val="24"/>
          <w:szCs w:val="24"/>
        </w:rPr>
        <w:t xml:space="preserve">. Available at: </w:t>
      </w:r>
      <w:hyperlink r:id="rId9" w:anchor=":~:text=What%20is%20a%20vulnerable%20adult,of%20physical%20or%20mental%20impairment" w:history="1">
        <w:r w:rsidRPr="00144E37">
          <w:rPr>
            <w:rStyle w:val="Hyperlink"/>
            <w:rFonts w:ascii="Arial" w:hAnsi="Arial" w:cs="Arial"/>
            <w:sz w:val="24"/>
            <w:szCs w:val="24"/>
          </w:rPr>
          <w:t>https://www.hanwellhealthcentre.nhs.uk/policies/vulnerable-adults/#:~:text=What%20is%20a%20vulnerable%20adult,of%20physical%20or%20mental%20impairment</w:t>
        </w:r>
      </w:hyperlink>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 </w:t>
      </w:r>
    </w:p>
    <w:p w14:paraId="2FA429DC" w14:textId="77777777" w:rsidR="007631C1" w:rsidRPr="00144E37" w:rsidRDefault="007631C1" w:rsidP="009D257C">
      <w:pPr>
        <w:spacing w:line="276" w:lineRule="auto"/>
        <w:rPr>
          <w:rFonts w:ascii="Arial" w:hAnsi="Arial" w:cs="Arial"/>
          <w:sz w:val="24"/>
          <w:szCs w:val="24"/>
        </w:rPr>
      </w:pPr>
    </w:p>
    <w:p w14:paraId="010FCD29" w14:textId="4B5C5135" w:rsidR="007631C1" w:rsidRPr="00144E37" w:rsidRDefault="007631C1" w:rsidP="009D257C">
      <w:pPr>
        <w:spacing w:line="276" w:lineRule="auto"/>
        <w:rPr>
          <w:rFonts w:ascii="Arial" w:hAnsi="Arial" w:cs="Arial"/>
          <w:sz w:val="24"/>
          <w:szCs w:val="24"/>
        </w:rPr>
      </w:pPr>
      <w:r w:rsidRPr="00144E37">
        <w:rPr>
          <w:rFonts w:ascii="Arial" w:hAnsi="Arial" w:cs="Arial"/>
          <w:sz w:val="24"/>
          <w:szCs w:val="24"/>
        </w:rPr>
        <w:t xml:space="preserve">Harding, S. (2020) </w:t>
      </w:r>
      <w:r w:rsidRPr="00144E37">
        <w:rPr>
          <w:rFonts w:ascii="Arial" w:hAnsi="Arial" w:cs="Arial"/>
          <w:i/>
          <w:iCs/>
          <w:sz w:val="24"/>
          <w:szCs w:val="24"/>
        </w:rPr>
        <w:t>Cuckooing and Nuanced Dealing Relationships. County Lines: Exploitation and Drug Deals amongst Urban Street Gangs</w:t>
      </w:r>
      <w:r w:rsidRPr="00144E37">
        <w:rPr>
          <w:rFonts w:ascii="Arial" w:hAnsi="Arial" w:cs="Arial"/>
          <w:sz w:val="24"/>
          <w:szCs w:val="24"/>
        </w:rPr>
        <w:t>. 1</w:t>
      </w:r>
      <w:r w:rsidRPr="00144E37">
        <w:rPr>
          <w:rFonts w:ascii="Arial" w:hAnsi="Arial" w:cs="Arial"/>
          <w:sz w:val="24"/>
          <w:szCs w:val="24"/>
          <w:vertAlign w:val="superscript"/>
        </w:rPr>
        <w:t>st</w:t>
      </w:r>
      <w:r w:rsidRPr="00144E37">
        <w:rPr>
          <w:rFonts w:ascii="Arial" w:hAnsi="Arial" w:cs="Arial"/>
          <w:sz w:val="24"/>
          <w:szCs w:val="24"/>
        </w:rPr>
        <w:t xml:space="preserve"> edn. Bristol: University Press. </w:t>
      </w:r>
    </w:p>
    <w:p w14:paraId="57E30A83" w14:textId="77777777" w:rsidR="00CE3991" w:rsidRPr="00144E37" w:rsidRDefault="00CE3991" w:rsidP="009D257C">
      <w:pPr>
        <w:spacing w:line="276" w:lineRule="auto"/>
        <w:rPr>
          <w:rFonts w:ascii="Arial" w:hAnsi="Arial" w:cs="Arial"/>
          <w:sz w:val="24"/>
          <w:szCs w:val="24"/>
        </w:rPr>
      </w:pPr>
    </w:p>
    <w:p w14:paraId="386416A1" w14:textId="77777777" w:rsidR="00CE3991" w:rsidRPr="00144E37" w:rsidRDefault="00CE3991" w:rsidP="009D257C">
      <w:pPr>
        <w:spacing w:line="276" w:lineRule="auto"/>
        <w:rPr>
          <w:rFonts w:ascii="Arial" w:hAnsi="Arial" w:cs="Arial"/>
          <w:sz w:val="24"/>
          <w:szCs w:val="24"/>
        </w:rPr>
      </w:pPr>
      <w:r w:rsidRPr="00144E37">
        <w:rPr>
          <w:rFonts w:ascii="Arial" w:hAnsi="Arial" w:cs="Arial"/>
          <w:sz w:val="24"/>
          <w:szCs w:val="24"/>
          <w:shd w:val="clear" w:color="auto" w:fill="FFFFFF"/>
        </w:rPr>
        <w:t>Hasson, G. and Butler, D. (2020) </w:t>
      </w:r>
      <w:r w:rsidRPr="00144E37">
        <w:rPr>
          <w:rFonts w:ascii="Arial" w:hAnsi="Arial" w:cs="Arial"/>
          <w:i/>
          <w:iCs/>
          <w:sz w:val="24"/>
          <w:szCs w:val="24"/>
          <w:shd w:val="clear" w:color="auto" w:fill="FFFFFF"/>
        </w:rPr>
        <w:t>Mental health and wellbeing in the workplace : a practical guide for employers and employees</w:t>
      </w:r>
      <w:r w:rsidRPr="00144E37">
        <w:rPr>
          <w:rFonts w:ascii="Arial" w:hAnsi="Arial" w:cs="Arial"/>
          <w:sz w:val="24"/>
          <w:szCs w:val="24"/>
          <w:shd w:val="clear" w:color="auto" w:fill="FFFFFF"/>
        </w:rPr>
        <w:t>. West Sussex, England: Capstone.</w:t>
      </w:r>
      <w:r w:rsidRPr="00144E37">
        <w:rPr>
          <w:rFonts w:ascii="Arial" w:hAnsi="Arial" w:cs="Arial"/>
          <w:sz w:val="24"/>
          <w:szCs w:val="24"/>
        </w:rPr>
        <w:t xml:space="preserve"> </w:t>
      </w:r>
    </w:p>
    <w:p w14:paraId="673CB34D" w14:textId="77777777" w:rsidR="00CE3991" w:rsidRPr="00144E37" w:rsidRDefault="00CE3991" w:rsidP="009D257C">
      <w:pPr>
        <w:spacing w:line="276" w:lineRule="auto"/>
        <w:rPr>
          <w:rFonts w:ascii="Arial" w:hAnsi="Arial" w:cs="Arial"/>
          <w:sz w:val="24"/>
          <w:szCs w:val="24"/>
        </w:rPr>
      </w:pPr>
    </w:p>
    <w:p w14:paraId="751CC6A6" w14:textId="77777777"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lastRenderedPageBreak/>
        <w:t xml:space="preserve">His Majesty’s Inspectorate of Constabulary and Fire &amp; Rescue (2022) </w:t>
      </w:r>
      <w:r w:rsidRPr="00144E37">
        <w:rPr>
          <w:rFonts w:ascii="Arial" w:hAnsi="Arial" w:cs="Arial"/>
          <w:i/>
          <w:iCs/>
          <w:sz w:val="24"/>
          <w:szCs w:val="24"/>
        </w:rPr>
        <w:t xml:space="preserve">The police response to burglary, robbery, and other acquisitive crime – Finding time for crime. </w:t>
      </w:r>
      <w:r w:rsidRPr="00144E37">
        <w:rPr>
          <w:rFonts w:ascii="Arial" w:hAnsi="Arial" w:cs="Arial"/>
          <w:sz w:val="24"/>
          <w:szCs w:val="24"/>
        </w:rPr>
        <w:t xml:space="preserve">Available at: </w:t>
      </w:r>
      <w:hyperlink r:id="rId10" w:history="1">
        <w:r w:rsidRPr="00144E37">
          <w:rPr>
            <w:rStyle w:val="Hyperlink"/>
            <w:rFonts w:ascii="Arial" w:hAnsi="Arial" w:cs="Arial"/>
            <w:sz w:val="24"/>
            <w:szCs w:val="24"/>
          </w:rPr>
          <w:t>https://hmicfrs.justiceinspectorates.gov.uk/publication-html/police-response-to-burglary-robbery-and-other-acquisitive-crime/</w:t>
        </w:r>
      </w:hyperlink>
      <w:r w:rsidRPr="00144E37">
        <w:rPr>
          <w:rFonts w:ascii="Arial" w:hAnsi="Arial" w:cs="Arial"/>
          <w:sz w:val="24"/>
          <w:szCs w:val="24"/>
        </w:rPr>
        <w:t xml:space="preserve"> (Accessed: 13</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683CECA7" w14:textId="77777777" w:rsidR="00144E37" w:rsidRPr="00144E37" w:rsidRDefault="00144E37" w:rsidP="009D257C">
      <w:pPr>
        <w:spacing w:line="276" w:lineRule="auto"/>
        <w:rPr>
          <w:rFonts w:ascii="Arial" w:hAnsi="Arial" w:cs="Arial"/>
          <w:sz w:val="24"/>
          <w:szCs w:val="24"/>
        </w:rPr>
      </w:pPr>
    </w:p>
    <w:p w14:paraId="2BF6C978" w14:textId="77777777"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 xml:space="preserve">His Majesty’s Inspectorate or Probation (2023) </w:t>
      </w:r>
      <w:r w:rsidRPr="00144E37">
        <w:rPr>
          <w:rFonts w:ascii="Arial" w:hAnsi="Arial" w:cs="Arial"/>
          <w:i/>
          <w:iCs/>
          <w:sz w:val="24"/>
          <w:szCs w:val="24"/>
        </w:rPr>
        <w:t>Child First</w:t>
      </w:r>
      <w:r w:rsidRPr="00144E37">
        <w:rPr>
          <w:rFonts w:ascii="Arial" w:hAnsi="Arial" w:cs="Arial"/>
          <w:sz w:val="24"/>
          <w:szCs w:val="24"/>
        </w:rPr>
        <w:t xml:space="preserve">. Available at: </w:t>
      </w:r>
      <w:hyperlink r:id="rId11" w:history="1">
        <w:r w:rsidRPr="00144E37">
          <w:rPr>
            <w:rStyle w:val="Hyperlink"/>
            <w:rFonts w:ascii="Arial" w:hAnsi="Arial" w:cs="Arial"/>
            <w:sz w:val="24"/>
            <w:szCs w:val="24"/>
          </w:rPr>
          <w:t>https://www.justiceinspectorates.gov.uk/hmiprobation/research/the-evidence-base-youth-offending-services/general-models-and-principles/child-first/</w:t>
        </w:r>
      </w:hyperlink>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04CBC92A" w14:textId="77777777" w:rsidR="00CE3991" w:rsidRPr="00144E37" w:rsidRDefault="00CE3991" w:rsidP="009D257C">
      <w:pPr>
        <w:spacing w:line="276" w:lineRule="auto"/>
        <w:rPr>
          <w:rFonts w:ascii="Arial" w:hAnsi="Arial" w:cs="Arial"/>
          <w:sz w:val="24"/>
          <w:szCs w:val="24"/>
        </w:rPr>
      </w:pPr>
    </w:p>
    <w:p w14:paraId="4A9FD581" w14:textId="77777777" w:rsidR="00CE3991" w:rsidRPr="00144E37" w:rsidRDefault="00CE3991" w:rsidP="009D257C">
      <w:pPr>
        <w:spacing w:line="276" w:lineRule="auto"/>
        <w:rPr>
          <w:rFonts w:ascii="Arial" w:hAnsi="Arial" w:cs="Arial"/>
          <w:color w:val="0563C1" w:themeColor="hyperlink"/>
          <w:sz w:val="24"/>
          <w:szCs w:val="24"/>
          <w:u w:val="single"/>
        </w:rPr>
      </w:pPr>
      <w:r w:rsidRPr="00144E37">
        <w:rPr>
          <w:rFonts w:ascii="Arial" w:hAnsi="Arial" w:cs="Arial"/>
          <w:sz w:val="24"/>
          <w:szCs w:val="24"/>
        </w:rPr>
        <w:t xml:space="preserve">His Majesty’s Inspectorate of Constabulary Fire and Rescue Service’s (2023) </w:t>
      </w:r>
      <w:r w:rsidRPr="00144E37">
        <w:rPr>
          <w:rFonts w:ascii="Arial" w:hAnsi="Arial" w:cs="Arial"/>
          <w:i/>
          <w:iCs/>
          <w:sz w:val="24"/>
          <w:szCs w:val="24"/>
        </w:rPr>
        <w:t>Public Protection</w:t>
      </w:r>
      <w:r w:rsidRPr="00144E37">
        <w:rPr>
          <w:rFonts w:ascii="Arial" w:hAnsi="Arial" w:cs="Arial"/>
          <w:sz w:val="24"/>
          <w:szCs w:val="24"/>
        </w:rPr>
        <w:t xml:space="preserve">. Available at: </w:t>
      </w:r>
      <w:hyperlink r:id="rId12" w:anchor=":~:text=The%20section%20of%20a%20police,human%20trafficking%20and%20domestic%20abuse" w:history="1">
        <w:r w:rsidRPr="00144E37">
          <w:rPr>
            <w:rStyle w:val="Hyperlink"/>
            <w:rFonts w:ascii="Arial" w:hAnsi="Arial" w:cs="Arial"/>
            <w:sz w:val="24"/>
            <w:szCs w:val="24"/>
          </w:rPr>
          <w:t>https://hmicfrs.justiceinspectorates.gov.uk/glossary/public-protection-unit/#:~:text=The%20section%20of%20a%20police,human%20trafficking%20and%20domestic%20abuse</w:t>
        </w:r>
      </w:hyperlink>
      <w:r w:rsidRPr="00144E37">
        <w:rPr>
          <w:rStyle w:val="Hyperlink"/>
          <w:rFonts w:ascii="Arial" w:hAnsi="Arial" w:cs="Arial"/>
          <w:sz w:val="24"/>
          <w:szCs w:val="24"/>
        </w:rPr>
        <w:t xml:space="preserve"> </w:t>
      </w:r>
      <w:r w:rsidRPr="00144E37">
        <w:rPr>
          <w:rFonts w:ascii="Arial" w:hAnsi="Arial" w:cs="Arial"/>
          <w:sz w:val="24"/>
          <w:szCs w:val="24"/>
        </w:rPr>
        <w:t>(Accessed: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682D4E89" w14:textId="77777777" w:rsidR="00CE3991" w:rsidRPr="00144E37" w:rsidRDefault="00CE3991" w:rsidP="009D257C">
      <w:pPr>
        <w:spacing w:line="276" w:lineRule="auto"/>
        <w:rPr>
          <w:rFonts w:ascii="Arial" w:hAnsi="Arial" w:cs="Arial"/>
          <w:sz w:val="24"/>
          <w:szCs w:val="24"/>
        </w:rPr>
      </w:pPr>
    </w:p>
    <w:p w14:paraId="4AD69C70" w14:textId="77777777"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Home Office (2023) </w:t>
      </w:r>
      <w:r w:rsidRPr="00144E37">
        <w:rPr>
          <w:rFonts w:ascii="Arial" w:hAnsi="Arial" w:cs="Arial"/>
          <w:i/>
          <w:iCs/>
          <w:sz w:val="24"/>
          <w:szCs w:val="24"/>
        </w:rPr>
        <w:t xml:space="preserve">New Strategy to Tackle Organised Crime. </w:t>
      </w:r>
      <w:r w:rsidRPr="00144E37">
        <w:rPr>
          <w:rFonts w:ascii="Arial" w:hAnsi="Arial" w:cs="Arial"/>
          <w:sz w:val="24"/>
          <w:szCs w:val="24"/>
        </w:rPr>
        <w:t xml:space="preserve">Available at: </w:t>
      </w:r>
      <w:hyperlink r:id="rId13" w:anchor=":~:text=The%20National%20Crime%20Agency%20(NCA,affordable%20homes%20outside%20of%20London" w:history="1">
        <w:r w:rsidRPr="00144E37">
          <w:rPr>
            <w:rStyle w:val="Hyperlink"/>
            <w:rFonts w:ascii="Arial" w:hAnsi="Arial" w:cs="Arial"/>
            <w:sz w:val="24"/>
            <w:szCs w:val="24"/>
          </w:rPr>
          <w:t>https://www.gov.uk/government/news/new-strategy-to-tackle-organised-crime#:~:text=The%20National%20Crime%20Agency%20(NCA,affordable%20homes%20outside%20of%20London</w:t>
        </w:r>
      </w:hyperlink>
      <w:r w:rsidRPr="00144E37">
        <w:rPr>
          <w:rFonts w:ascii="Arial" w:hAnsi="Arial" w:cs="Arial"/>
          <w:sz w:val="24"/>
          <w:szCs w:val="24"/>
        </w:rPr>
        <w:t>. (Accessed: 13</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12331B5E" w14:textId="77777777" w:rsidR="00144E37" w:rsidRPr="00144E37" w:rsidRDefault="00144E37" w:rsidP="009D257C">
      <w:pPr>
        <w:spacing w:line="276" w:lineRule="auto"/>
        <w:rPr>
          <w:rFonts w:ascii="Arial" w:hAnsi="Arial" w:cs="Arial"/>
          <w:sz w:val="24"/>
          <w:szCs w:val="24"/>
        </w:rPr>
      </w:pPr>
    </w:p>
    <w:p w14:paraId="2B53B356" w14:textId="6605FBEE"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Haydon, D. (2014) ‘Youth justice in Ireland North and South. Early Intervention for the prevention of offending in Northern Ireland</w:t>
      </w:r>
      <w:r w:rsidR="00813E2A">
        <w:rPr>
          <w:rFonts w:ascii="Arial" w:hAnsi="Arial" w:cs="Arial"/>
          <w:sz w:val="24"/>
          <w:szCs w:val="24"/>
        </w:rPr>
        <w:t xml:space="preserve">’, </w:t>
      </w:r>
      <w:r w:rsidRPr="00144E37">
        <w:rPr>
          <w:rFonts w:ascii="Arial" w:hAnsi="Arial" w:cs="Arial"/>
          <w:i/>
          <w:iCs/>
          <w:sz w:val="24"/>
          <w:szCs w:val="24"/>
        </w:rPr>
        <w:t xml:space="preserve">Youth Justice, </w:t>
      </w:r>
      <w:r w:rsidRPr="00144E37">
        <w:rPr>
          <w:rFonts w:ascii="Arial" w:hAnsi="Arial" w:cs="Arial"/>
          <w:sz w:val="24"/>
          <w:szCs w:val="24"/>
        </w:rPr>
        <w:t xml:space="preserve">15(3), pp. 207 – 304. Available at: </w:t>
      </w:r>
      <w:hyperlink r:id="rId14" w:history="1">
        <w:r w:rsidRPr="00144E37">
          <w:rPr>
            <w:rStyle w:val="Hyperlink"/>
            <w:rFonts w:ascii="Arial" w:hAnsi="Arial" w:cs="Arial"/>
            <w:sz w:val="24"/>
            <w:szCs w:val="24"/>
          </w:rPr>
          <w:t>https://journals.sagepub.com/doi/epub/10.1177/1473225414549693</w:t>
        </w:r>
      </w:hyperlink>
      <w:r w:rsidRPr="00144E37">
        <w:rPr>
          <w:rStyle w:val="Hyperlink"/>
          <w:rFonts w:ascii="Arial" w:hAnsi="Arial" w:cs="Arial"/>
          <w:sz w:val="24"/>
          <w:szCs w:val="24"/>
        </w:rPr>
        <w:t xml:space="preserve"> </w:t>
      </w:r>
      <w:r w:rsidRPr="00144E37">
        <w:rPr>
          <w:rFonts w:ascii="Arial" w:hAnsi="Arial" w:cs="Arial"/>
          <w:sz w:val="24"/>
          <w:szCs w:val="24"/>
        </w:rPr>
        <w:t>(Accessed: 13</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17D93F59" w14:textId="77777777" w:rsidR="00CE3991" w:rsidRPr="00144E37" w:rsidRDefault="00CE3991" w:rsidP="009D257C">
      <w:pPr>
        <w:spacing w:line="276" w:lineRule="auto"/>
        <w:rPr>
          <w:rFonts w:ascii="Arial" w:hAnsi="Arial" w:cs="Arial"/>
          <w:sz w:val="24"/>
          <w:szCs w:val="24"/>
        </w:rPr>
      </w:pPr>
    </w:p>
    <w:p w14:paraId="16D6F46E" w14:textId="77777777" w:rsidR="00CE3991" w:rsidRPr="00144E37" w:rsidRDefault="00CE3991" w:rsidP="009D257C">
      <w:pPr>
        <w:spacing w:line="276" w:lineRule="auto"/>
        <w:rPr>
          <w:rFonts w:ascii="Arial" w:hAnsi="Arial" w:cs="Arial"/>
          <w:sz w:val="24"/>
          <w:szCs w:val="24"/>
          <w:shd w:val="clear" w:color="auto" w:fill="FFFFFF"/>
        </w:rPr>
      </w:pPr>
      <w:r w:rsidRPr="00144E37">
        <w:rPr>
          <w:rFonts w:ascii="Arial" w:hAnsi="Arial" w:cs="Arial"/>
          <w:sz w:val="24"/>
          <w:szCs w:val="24"/>
        </w:rPr>
        <w:t xml:space="preserve">Lawrence, D. (2023) ‘Mental Health and Wellbeing in the Police and Emergency Services Sector’. </w:t>
      </w:r>
      <w:r w:rsidRPr="00144E37">
        <w:rPr>
          <w:rFonts w:ascii="Arial" w:hAnsi="Arial" w:cs="Arial"/>
          <w:i/>
          <w:iCs/>
          <w:sz w:val="24"/>
          <w:szCs w:val="24"/>
        </w:rPr>
        <w:t xml:space="preserve">The Journal of Intelligence, Conflict and Warfare, </w:t>
      </w:r>
      <w:r w:rsidRPr="00144E37">
        <w:rPr>
          <w:rFonts w:ascii="Arial" w:hAnsi="Arial" w:cs="Arial"/>
          <w:sz w:val="24"/>
          <w:szCs w:val="24"/>
        </w:rPr>
        <w:t xml:space="preserve">5(3), pp. 204-208. Available at: </w:t>
      </w:r>
      <w:hyperlink r:id="rId15" w:history="1">
        <w:r w:rsidRPr="00144E37">
          <w:rPr>
            <w:rStyle w:val="Hyperlink"/>
            <w:rFonts w:ascii="Arial" w:hAnsi="Arial" w:cs="Arial"/>
            <w:sz w:val="24"/>
            <w:szCs w:val="24"/>
          </w:rPr>
          <w:t>https://doaj.org/article/31ffd6677d5540ccb1d332677a00bcf1</w:t>
        </w:r>
      </w:hyperlink>
      <w:r w:rsidRPr="00144E37">
        <w:rPr>
          <w:rStyle w:val="Hyperlink"/>
          <w:rFonts w:ascii="Arial" w:hAnsi="Arial" w:cs="Arial"/>
          <w:sz w:val="24"/>
          <w:szCs w:val="24"/>
        </w:rPr>
        <w:t xml:space="preserve"> </w:t>
      </w:r>
      <w:r w:rsidRPr="00144E37">
        <w:rPr>
          <w:rFonts w:ascii="Arial" w:hAnsi="Arial" w:cs="Arial"/>
          <w:sz w:val="24"/>
          <w:szCs w:val="24"/>
          <w:shd w:val="clear" w:color="auto" w:fill="FFFFFF"/>
        </w:rPr>
        <w:t>(Accessed: 11</w:t>
      </w:r>
      <w:r w:rsidRPr="00144E37">
        <w:rPr>
          <w:rFonts w:ascii="Arial" w:hAnsi="Arial" w:cs="Arial"/>
          <w:sz w:val="24"/>
          <w:szCs w:val="24"/>
          <w:shd w:val="clear" w:color="auto" w:fill="FFFFFF"/>
          <w:vertAlign w:val="superscript"/>
        </w:rPr>
        <w:t>th</w:t>
      </w:r>
      <w:r w:rsidRPr="00144E37">
        <w:rPr>
          <w:rFonts w:ascii="Arial" w:hAnsi="Arial" w:cs="Arial"/>
          <w:sz w:val="24"/>
          <w:szCs w:val="24"/>
          <w:shd w:val="clear" w:color="auto" w:fill="FFFFFF"/>
        </w:rPr>
        <w:t xml:space="preserve"> October 2024).</w:t>
      </w:r>
    </w:p>
    <w:p w14:paraId="1DC015F0" w14:textId="77777777" w:rsidR="00CE3991" w:rsidRPr="00144E37" w:rsidRDefault="00CE3991" w:rsidP="009D257C">
      <w:pPr>
        <w:spacing w:line="276" w:lineRule="auto"/>
        <w:rPr>
          <w:rFonts w:ascii="Arial" w:hAnsi="Arial" w:cs="Arial"/>
          <w:sz w:val="24"/>
          <w:szCs w:val="24"/>
          <w:shd w:val="clear" w:color="auto" w:fill="FFFFFF"/>
        </w:rPr>
      </w:pPr>
    </w:p>
    <w:p w14:paraId="43789285" w14:textId="5D109F9E"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 xml:space="preserve">McCormack, H. (2023) </w:t>
      </w:r>
      <w:r w:rsidRPr="00144E37">
        <w:rPr>
          <w:rFonts w:ascii="Arial" w:hAnsi="Arial" w:cs="Arial"/>
          <w:i/>
          <w:iCs/>
          <w:sz w:val="24"/>
          <w:szCs w:val="24"/>
        </w:rPr>
        <w:t xml:space="preserve">Early intervention: the gap between policy and practise. </w:t>
      </w:r>
      <w:r w:rsidRPr="00144E37">
        <w:rPr>
          <w:rFonts w:ascii="Arial" w:hAnsi="Arial" w:cs="Arial"/>
          <w:sz w:val="24"/>
          <w:szCs w:val="24"/>
        </w:rPr>
        <w:t xml:space="preserve">Available at:  </w:t>
      </w:r>
      <w:hyperlink r:id="rId16" w:anchor=":~:text=For%20children%20who%20do%20not,crime%20and%20anti%2Dsocial%20behaviour" w:history="1">
        <w:r w:rsidRPr="00144E37">
          <w:rPr>
            <w:rStyle w:val="Hyperlink"/>
            <w:rFonts w:ascii="Arial" w:hAnsi="Arial" w:cs="Arial"/>
            <w:sz w:val="24"/>
            <w:szCs w:val="24"/>
          </w:rPr>
          <w:t>https://send-network.co.uk/posts/early-intervention-the-gap-between-policy-and-practice#:~:text=For%20children%20who%20do%20not,crime%20and%20anti%2Dsocial%20behaviour</w:t>
        </w:r>
      </w:hyperlink>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517CBAD2" w14:textId="141D4F51"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lastRenderedPageBreak/>
        <w:t xml:space="preserve">Mind.org (2023) </w:t>
      </w:r>
      <w:r w:rsidRPr="00144E37">
        <w:rPr>
          <w:rFonts w:ascii="Arial" w:hAnsi="Arial" w:cs="Arial"/>
          <w:i/>
          <w:iCs/>
          <w:sz w:val="24"/>
          <w:szCs w:val="24"/>
        </w:rPr>
        <w:t>How to improve your mental wellbeing</w:t>
      </w:r>
      <w:r w:rsidRPr="00144E37">
        <w:rPr>
          <w:rFonts w:ascii="Arial" w:hAnsi="Arial" w:cs="Arial"/>
          <w:sz w:val="24"/>
          <w:szCs w:val="24"/>
        </w:rPr>
        <w:t xml:space="preserve">. Available at: </w:t>
      </w:r>
      <w:hyperlink r:id="rId17" w:history="1">
        <w:r w:rsidRPr="00144E37">
          <w:rPr>
            <w:rStyle w:val="Hyperlink"/>
            <w:rFonts w:ascii="Arial" w:hAnsi="Arial" w:cs="Arial"/>
            <w:sz w:val="24"/>
            <w:szCs w:val="24"/>
          </w:rPr>
          <w:t>https://www.mind.org.uk/information-support/tips-for-everyday-living/wellbeing/</w:t>
        </w:r>
      </w:hyperlink>
      <w:r w:rsidRPr="00144E37">
        <w:rPr>
          <w:rFonts w:ascii="Arial" w:hAnsi="Arial" w:cs="Arial"/>
          <w:sz w:val="24"/>
          <w:szCs w:val="24"/>
        </w:rPr>
        <w:t xml:space="preserve"> (Accessed: 28</w:t>
      </w:r>
      <w:r w:rsidRPr="00144E37">
        <w:rPr>
          <w:rFonts w:ascii="Arial" w:hAnsi="Arial" w:cs="Arial"/>
          <w:sz w:val="24"/>
          <w:szCs w:val="24"/>
          <w:vertAlign w:val="superscript"/>
        </w:rPr>
        <w:t>th</w:t>
      </w:r>
      <w:r w:rsidRPr="00144E37">
        <w:rPr>
          <w:rFonts w:ascii="Arial" w:hAnsi="Arial" w:cs="Arial"/>
          <w:sz w:val="24"/>
          <w:szCs w:val="24"/>
        </w:rPr>
        <w:t xml:space="preserve"> August 2024).</w:t>
      </w:r>
    </w:p>
    <w:p w14:paraId="202FC80F" w14:textId="77777777" w:rsidR="00CE3991" w:rsidRPr="00144E37" w:rsidRDefault="00CE3991" w:rsidP="009D257C">
      <w:pPr>
        <w:spacing w:line="276" w:lineRule="auto"/>
        <w:rPr>
          <w:rFonts w:ascii="Arial" w:hAnsi="Arial" w:cs="Arial"/>
          <w:sz w:val="24"/>
          <w:szCs w:val="24"/>
        </w:rPr>
      </w:pPr>
    </w:p>
    <w:p w14:paraId="502461B8" w14:textId="190881F6"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Newman, T. (2017) </w:t>
      </w:r>
      <w:r w:rsidRPr="00144E37">
        <w:rPr>
          <w:rFonts w:ascii="Arial" w:hAnsi="Arial" w:cs="Arial"/>
          <w:i/>
          <w:iCs/>
          <w:sz w:val="24"/>
          <w:szCs w:val="24"/>
        </w:rPr>
        <w:t>Criminology.</w:t>
      </w:r>
      <w:r w:rsidRPr="00144E37">
        <w:rPr>
          <w:rFonts w:ascii="Arial" w:hAnsi="Arial" w:cs="Arial"/>
          <w:sz w:val="24"/>
          <w:szCs w:val="24"/>
        </w:rPr>
        <w:t xml:space="preserve"> 3</w:t>
      </w:r>
      <w:r w:rsidRPr="00144E37">
        <w:rPr>
          <w:rFonts w:ascii="Arial" w:hAnsi="Arial" w:cs="Arial"/>
          <w:sz w:val="24"/>
          <w:szCs w:val="24"/>
          <w:vertAlign w:val="superscript"/>
        </w:rPr>
        <w:t>rd</w:t>
      </w:r>
      <w:r w:rsidR="00813E2A">
        <w:rPr>
          <w:rFonts w:ascii="Arial" w:hAnsi="Arial" w:cs="Arial"/>
          <w:sz w:val="24"/>
          <w:szCs w:val="24"/>
        </w:rPr>
        <w:t>, e</w:t>
      </w:r>
      <w:r w:rsidRPr="00144E37">
        <w:rPr>
          <w:rFonts w:ascii="Arial" w:hAnsi="Arial" w:cs="Arial"/>
          <w:sz w:val="24"/>
          <w:szCs w:val="24"/>
        </w:rPr>
        <w:t>dn. London and New York: Routledge.</w:t>
      </w:r>
    </w:p>
    <w:p w14:paraId="4C33801C" w14:textId="77777777" w:rsidR="00CE3991" w:rsidRPr="00144E37" w:rsidRDefault="00CE3991" w:rsidP="009D257C">
      <w:pPr>
        <w:spacing w:line="276" w:lineRule="auto"/>
        <w:rPr>
          <w:rFonts w:ascii="Arial" w:hAnsi="Arial" w:cs="Arial"/>
          <w:sz w:val="24"/>
          <w:szCs w:val="24"/>
        </w:rPr>
      </w:pPr>
    </w:p>
    <w:p w14:paraId="421CEF51" w14:textId="129106EA" w:rsidR="00CE3991" w:rsidRPr="00144E37" w:rsidRDefault="00CE3991" w:rsidP="009D257C">
      <w:pPr>
        <w:spacing w:line="276" w:lineRule="auto"/>
        <w:rPr>
          <w:rFonts w:ascii="Arial" w:hAnsi="Arial" w:cs="Arial"/>
          <w:sz w:val="24"/>
          <w:szCs w:val="24"/>
        </w:rPr>
      </w:pPr>
      <w:r w:rsidRPr="00144E37">
        <w:rPr>
          <w:rFonts w:ascii="Arial" w:hAnsi="Arial" w:cs="Arial"/>
          <w:color w:val="000000"/>
          <w:sz w:val="24"/>
          <w:szCs w:val="24"/>
        </w:rPr>
        <w:t xml:space="preserve">Nilsson, A. Estrada, F. and Backman, O. (2017) ‘The unequal crime drop: Changes over time in the distribution of crime among individuals from different socioeconomic backgrounds’ </w:t>
      </w:r>
      <w:r w:rsidRPr="00144E37">
        <w:rPr>
          <w:rFonts w:ascii="Arial" w:hAnsi="Arial" w:cs="Arial"/>
          <w:i/>
          <w:iCs/>
          <w:color w:val="000000"/>
          <w:sz w:val="24"/>
          <w:szCs w:val="24"/>
        </w:rPr>
        <w:t xml:space="preserve">European Journal of Criminology, </w:t>
      </w:r>
      <w:r w:rsidRPr="00144E37">
        <w:rPr>
          <w:rFonts w:ascii="Arial" w:hAnsi="Arial" w:cs="Arial"/>
          <w:color w:val="000000"/>
          <w:sz w:val="24"/>
          <w:szCs w:val="24"/>
        </w:rPr>
        <w:t xml:space="preserve">14(5), pp. 505-625. Available at: </w:t>
      </w:r>
      <w:hyperlink r:id="rId18" w:history="1">
        <w:r w:rsidRPr="00144E37">
          <w:rPr>
            <w:rStyle w:val="Hyperlink"/>
            <w:rFonts w:ascii="Arial" w:hAnsi="Arial" w:cs="Arial"/>
            <w:sz w:val="24"/>
            <w:szCs w:val="24"/>
          </w:rPr>
          <w:t>https://journals.sagepub.com/doi/epub/10.1177/1477370816682979</w:t>
        </w:r>
      </w:hyperlink>
      <w:r w:rsidRPr="00144E37">
        <w:rPr>
          <w:rFonts w:ascii="Arial" w:hAnsi="Arial" w:cs="Arial"/>
          <w:color w:val="000000"/>
          <w:sz w:val="24"/>
          <w:szCs w:val="24"/>
        </w:rPr>
        <w:t xml:space="preserve"> </w:t>
      </w:r>
      <w:r w:rsidRPr="00144E37">
        <w:rPr>
          <w:rFonts w:ascii="Arial" w:hAnsi="Arial" w:cs="Arial"/>
          <w:sz w:val="24"/>
          <w:szCs w:val="24"/>
        </w:rPr>
        <w:t>(Accessed: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1E6F7508" w14:textId="77777777"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Office for Health Improvement &amp; Disabilities (2021) </w:t>
      </w:r>
      <w:r w:rsidRPr="00144E37">
        <w:rPr>
          <w:rFonts w:ascii="Arial" w:hAnsi="Arial" w:cs="Arial"/>
          <w:i/>
          <w:iCs/>
          <w:sz w:val="24"/>
          <w:szCs w:val="24"/>
        </w:rPr>
        <w:t xml:space="preserve">Vulnerabilities: Applying All Our Health. </w:t>
      </w:r>
      <w:r w:rsidRPr="00144E37">
        <w:rPr>
          <w:rFonts w:ascii="Arial" w:hAnsi="Arial" w:cs="Arial"/>
          <w:sz w:val="24"/>
          <w:szCs w:val="24"/>
        </w:rPr>
        <w:t xml:space="preserve">Available at: </w:t>
      </w:r>
      <w:hyperlink r:id="rId19" w:history="1">
        <w:r w:rsidRPr="00144E37">
          <w:rPr>
            <w:rStyle w:val="Hyperlink"/>
            <w:rFonts w:ascii="Arial" w:hAnsi="Arial" w:cs="Arial"/>
            <w:sz w:val="24"/>
            <w:szCs w:val="24"/>
          </w:rPr>
          <w:t>https://www.gov.uk/government/publications/vulnerabilities-applying-all-our-health/vulnerabilities-applying-all-our-health</w:t>
        </w:r>
      </w:hyperlink>
      <w:r w:rsidRPr="00144E37">
        <w:rPr>
          <w:rFonts w:ascii="Arial" w:hAnsi="Arial" w:cs="Arial"/>
          <w:sz w:val="24"/>
          <w:szCs w:val="24"/>
        </w:rPr>
        <w:t xml:space="preserve"> (Accessed: 13</w:t>
      </w:r>
      <w:r w:rsidRPr="00144E37">
        <w:rPr>
          <w:rFonts w:ascii="Arial" w:hAnsi="Arial" w:cs="Arial"/>
          <w:sz w:val="24"/>
          <w:szCs w:val="24"/>
          <w:vertAlign w:val="superscript"/>
        </w:rPr>
        <w:t>th</w:t>
      </w:r>
      <w:r w:rsidRPr="00144E37">
        <w:rPr>
          <w:rFonts w:ascii="Arial" w:hAnsi="Arial" w:cs="Arial"/>
          <w:sz w:val="24"/>
          <w:szCs w:val="24"/>
        </w:rPr>
        <w:t xml:space="preserve"> October 2023).</w:t>
      </w:r>
    </w:p>
    <w:p w14:paraId="03C1AF05" w14:textId="77777777" w:rsidR="00CE3991" w:rsidRPr="00144E37" w:rsidRDefault="00CE3991" w:rsidP="009D257C">
      <w:pPr>
        <w:spacing w:line="276" w:lineRule="auto"/>
        <w:rPr>
          <w:rFonts w:ascii="Arial" w:hAnsi="Arial" w:cs="Arial"/>
          <w:sz w:val="24"/>
          <w:szCs w:val="24"/>
        </w:rPr>
      </w:pPr>
    </w:p>
    <w:p w14:paraId="716ECCF7" w14:textId="1F4D81D4"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Peters, U. (2022) ‘What is the function of confirmation bias?’, </w:t>
      </w:r>
      <w:r w:rsidRPr="00144E37">
        <w:rPr>
          <w:rFonts w:ascii="Arial" w:hAnsi="Arial" w:cs="Arial"/>
          <w:i/>
          <w:iCs/>
          <w:sz w:val="24"/>
          <w:szCs w:val="24"/>
        </w:rPr>
        <w:t xml:space="preserve">Erkenntnis, </w:t>
      </w:r>
      <w:r w:rsidRPr="00144E37">
        <w:rPr>
          <w:rFonts w:ascii="Arial" w:hAnsi="Arial" w:cs="Arial"/>
          <w:sz w:val="24"/>
          <w:szCs w:val="24"/>
        </w:rPr>
        <w:t xml:space="preserve">87, pp. 1351 – 1376. Available at: </w:t>
      </w:r>
      <w:hyperlink r:id="rId20" w:anchor="citeas" w:history="1">
        <w:r w:rsidRPr="00144E37">
          <w:rPr>
            <w:rStyle w:val="Hyperlink"/>
            <w:rFonts w:ascii="Arial" w:hAnsi="Arial" w:cs="Arial"/>
            <w:sz w:val="24"/>
            <w:szCs w:val="24"/>
          </w:rPr>
          <w:t>https://link.springer.com/article/10.1007/s10670-020-00252-1?trk=public_post_comment-text#citeas</w:t>
        </w:r>
      </w:hyperlink>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7989DE02" w14:textId="77777777"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Police Federation (2017) </w:t>
      </w:r>
      <w:r w:rsidRPr="00144E37">
        <w:rPr>
          <w:rFonts w:ascii="Arial" w:hAnsi="Arial" w:cs="Arial"/>
          <w:i/>
          <w:iCs/>
          <w:sz w:val="24"/>
          <w:szCs w:val="24"/>
        </w:rPr>
        <w:t>Volume Crime</w:t>
      </w:r>
      <w:r w:rsidRPr="00144E37">
        <w:rPr>
          <w:rFonts w:ascii="Arial" w:hAnsi="Arial" w:cs="Arial"/>
          <w:sz w:val="24"/>
          <w:szCs w:val="24"/>
        </w:rPr>
        <w:t xml:space="preserve">. </w:t>
      </w:r>
      <w:hyperlink r:id="rId21" w:history="1">
        <w:r w:rsidRPr="00144E37">
          <w:rPr>
            <w:rStyle w:val="Hyperlink"/>
            <w:rFonts w:ascii="Arial" w:hAnsi="Arial" w:cs="Arial"/>
            <w:sz w:val="24"/>
            <w:szCs w:val="24"/>
          </w:rPr>
          <w:t>https://www.polfed.org/media/13796/pfew_policy_-_volume_crime_-_march_2017_v2.pdf</w:t>
        </w:r>
      </w:hyperlink>
      <w:r w:rsidRPr="00144E37">
        <w:rPr>
          <w:rFonts w:ascii="Arial" w:hAnsi="Arial" w:cs="Arial"/>
          <w:sz w:val="24"/>
          <w:szCs w:val="24"/>
        </w:rPr>
        <w:t xml:space="preserve"> (Accessed: 26</w:t>
      </w:r>
      <w:r w:rsidRPr="00144E37">
        <w:rPr>
          <w:rFonts w:ascii="Arial" w:hAnsi="Arial" w:cs="Arial"/>
          <w:sz w:val="24"/>
          <w:szCs w:val="24"/>
          <w:vertAlign w:val="superscript"/>
        </w:rPr>
        <w:t>th</w:t>
      </w:r>
      <w:r w:rsidRPr="00144E37">
        <w:rPr>
          <w:rFonts w:ascii="Arial" w:hAnsi="Arial" w:cs="Arial"/>
          <w:sz w:val="24"/>
          <w:szCs w:val="24"/>
        </w:rPr>
        <w:t xml:space="preserve"> August 2024).</w:t>
      </w:r>
    </w:p>
    <w:p w14:paraId="373BE76A" w14:textId="77777777" w:rsidR="00CE3991" w:rsidRPr="00144E37" w:rsidRDefault="00CE3991" w:rsidP="009D257C">
      <w:pPr>
        <w:spacing w:line="276" w:lineRule="auto"/>
        <w:rPr>
          <w:rFonts w:ascii="Arial" w:hAnsi="Arial" w:cs="Arial"/>
          <w:sz w:val="24"/>
          <w:szCs w:val="24"/>
        </w:rPr>
      </w:pPr>
    </w:p>
    <w:p w14:paraId="6988351B" w14:textId="48B6D670"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Purba, A. and Demou, E. (2019) ‘The relationship between organisational stressors and mental wellbeing within police officers: a systematic review’. </w:t>
      </w:r>
      <w:r w:rsidRPr="00144E37">
        <w:rPr>
          <w:rFonts w:ascii="Arial" w:hAnsi="Arial" w:cs="Arial"/>
          <w:i/>
          <w:iCs/>
          <w:sz w:val="24"/>
          <w:szCs w:val="24"/>
        </w:rPr>
        <w:t xml:space="preserve">BMC Public Health, </w:t>
      </w:r>
      <w:r w:rsidRPr="00144E37">
        <w:rPr>
          <w:rFonts w:ascii="Arial" w:hAnsi="Arial" w:cs="Arial"/>
          <w:sz w:val="24"/>
          <w:szCs w:val="24"/>
        </w:rPr>
        <w:t xml:space="preserve">19(1), pp. 1286-21. Available at: </w:t>
      </w:r>
      <w:hyperlink r:id="rId22" w:history="1">
        <w:r w:rsidRPr="00144E37">
          <w:rPr>
            <w:rStyle w:val="Hyperlink"/>
            <w:rFonts w:ascii="Arial" w:hAnsi="Arial" w:cs="Arial"/>
            <w:sz w:val="24"/>
            <w:szCs w:val="24"/>
          </w:rPr>
          <w:t>https://research-ebsco-com.ezproxy.uwtsd.ac.uk/c/onvpsy/viewer/pdf/jdnjdxmgrb?route=details</w:t>
        </w:r>
      </w:hyperlink>
      <w:r w:rsidRPr="00144E37">
        <w:rPr>
          <w:rStyle w:val="Hyperlink"/>
          <w:rFonts w:ascii="Arial" w:hAnsi="Arial" w:cs="Arial"/>
          <w:sz w:val="24"/>
          <w:szCs w:val="24"/>
        </w:rPr>
        <w:t xml:space="preserve"> </w:t>
      </w:r>
      <w:r w:rsidRPr="00144E37">
        <w:rPr>
          <w:rFonts w:ascii="Arial" w:hAnsi="Arial" w:cs="Arial"/>
          <w:sz w:val="24"/>
          <w:szCs w:val="24"/>
        </w:rPr>
        <w:t>(Accessed: 11</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02305D1F" w14:textId="77777777" w:rsidR="007631C1" w:rsidRPr="00144E37" w:rsidRDefault="007631C1" w:rsidP="009D257C">
      <w:pPr>
        <w:spacing w:line="276" w:lineRule="auto"/>
        <w:rPr>
          <w:rFonts w:ascii="Arial" w:hAnsi="Arial" w:cs="Arial"/>
          <w:color w:val="0563C1" w:themeColor="hyperlink"/>
          <w:sz w:val="24"/>
          <w:szCs w:val="24"/>
          <w:u w:val="single"/>
        </w:rPr>
      </w:pPr>
    </w:p>
    <w:p w14:paraId="14711F45" w14:textId="77777777" w:rsidR="007631C1" w:rsidRPr="00144E37" w:rsidRDefault="007631C1" w:rsidP="009D257C">
      <w:pPr>
        <w:spacing w:line="276" w:lineRule="auto"/>
        <w:rPr>
          <w:rFonts w:ascii="Arial" w:hAnsi="Arial" w:cs="Arial"/>
          <w:sz w:val="24"/>
          <w:szCs w:val="24"/>
        </w:rPr>
      </w:pPr>
      <w:r w:rsidRPr="00144E37">
        <w:rPr>
          <w:rFonts w:ascii="Arial" w:hAnsi="Arial" w:cs="Arial"/>
          <w:sz w:val="24"/>
          <w:szCs w:val="24"/>
        </w:rPr>
        <w:t xml:space="preserve">Robinson, G. McLean, R. and Densley, J. (2019) ‘Working County Lines: Child Criminal Exploitation and Illicit Drug Dealing in Glasgow and Merseyside’, </w:t>
      </w:r>
      <w:r w:rsidRPr="00144E37">
        <w:rPr>
          <w:rFonts w:ascii="Arial" w:hAnsi="Arial" w:cs="Arial"/>
          <w:i/>
          <w:iCs/>
          <w:sz w:val="24"/>
          <w:szCs w:val="24"/>
        </w:rPr>
        <w:t>International Journal of Offender Therapy and Comparative Criminology</w:t>
      </w:r>
      <w:r w:rsidRPr="00144E37">
        <w:rPr>
          <w:rFonts w:ascii="Arial" w:hAnsi="Arial" w:cs="Arial"/>
          <w:sz w:val="24"/>
          <w:szCs w:val="24"/>
        </w:rPr>
        <w:t xml:space="preserve">. 63(5), pp. 663-814. Available at: </w:t>
      </w:r>
      <w:hyperlink r:id="rId23" w:history="1">
        <w:r w:rsidRPr="00144E37">
          <w:rPr>
            <w:rStyle w:val="Hyperlink"/>
            <w:rFonts w:ascii="Arial" w:hAnsi="Arial" w:cs="Arial"/>
            <w:sz w:val="24"/>
            <w:szCs w:val="24"/>
          </w:rPr>
          <w:t>https://journals-sagepub-com.ezproxy.uwtsd.ac.uk/doi/epub/10.1177/0306624X18806742</w:t>
        </w:r>
      </w:hyperlink>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7D329F17" w14:textId="77777777" w:rsidR="00144E37" w:rsidRPr="00144E37" w:rsidRDefault="00144E37" w:rsidP="009D257C">
      <w:pPr>
        <w:spacing w:line="276" w:lineRule="auto"/>
        <w:rPr>
          <w:rFonts w:ascii="Arial" w:hAnsi="Arial" w:cs="Arial"/>
          <w:sz w:val="24"/>
          <w:szCs w:val="24"/>
        </w:rPr>
      </w:pPr>
    </w:p>
    <w:p w14:paraId="3894060D" w14:textId="77777777"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lastRenderedPageBreak/>
        <w:t xml:space="preserve">Ross, A. et al (2011) </w:t>
      </w:r>
      <w:r w:rsidRPr="00144E37">
        <w:rPr>
          <w:rFonts w:ascii="Arial" w:hAnsi="Arial" w:cs="Arial"/>
          <w:i/>
          <w:iCs/>
          <w:sz w:val="24"/>
          <w:szCs w:val="24"/>
        </w:rPr>
        <w:t>Retention and Reduction:</w:t>
      </w:r>
      <w:r w:rsidRPr="00144E37">
        <w:rPr>
          <w:rFonts w:ascii="Arial" w:hAnsi="Arial" w:cs="Arial"/>
          <w:sz w:val="24"/>
          <w:szCs w:val="24"/>
        </w:rPr>
        <w:t xml:space="preserve"> </w:t>
      </w:r>
      <w:r w:rsidRPr="00144E37">
        <w:rPr>
          <w:rFonts w:ascii="Arial" w:hAnsi="Arial" w:cs="Arial"/>
          <w:i/>
          <w:iCs/>
          <w:sz w:val="24"/>
          <w:szCs w:val="24"/>
        </w:rPr>
        <w:t>A review of strategies for intervening early to prevent or reduce youth crime and anti-social behaviour</w:t>
      </w:r>
      <w:r w:rsidRPr="00144E37">
        <w:rPr>
          <w:rFonts w:ascii="Arial" w:hAnsi="Arial" w:cs="Arial"/>
          <w:sz w:val="24"/>
          <w:szCs w:val="24"/>
        </w:rPr>
        <w:t xml:space="preserve">. Available at: </w:t>
      </w:r>
      <w:hyperlink r:id="rId24" w:history="1">
        <w:r w:rsidRPr="00144E37">
          <w:rPr>
            <w:rStyle w:val="Hyperlink"/>
            <w:rFonts w:ascii="Arial" w:hAnsi="Arial" w:cs="Arial"/>
            <w:sz w:val="24"/>
            <w:szCs w:val="24"/>
          </w:rPr>
          <w:t>https://assets.publishing.service.gov.uk/media/5a7a36f2e5274a34770e5114/DFE-RR111.pdf</w:t>
        </w:r>
      </w:hyperlink>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342B74E6" w14:textId="77777777" w:rsidR="007631C1" w:rsidRPr="00144E37" w:rsidRDefault="007631C1" w:rsidP="009D257C">
      <w:pPr>
        <w:spacing w:line="276" w:lineRule="auto"/>
        <w:rPr>
          <w:rFonts w:ascii="Arial" w:hAnsi="Arial" w:cs="Arial"/>
          <w:sz w:val="24"/>
          <w:szCs w:val="24"/>
        </w:rPr>
      </w:pPr>
    </w:p>
    <w:p w14:paraId="4C633D69" w14:textId="51464460" w:rsidR="007631C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The Chartered institute of Personnel and Development (2024) </w:t>
      </w:r>
      <w:r w:rsidRPr="00144E37">
        <w:rPr>
          <w:rFonts w:ascii="Arial" w:hAnsi="Arial" w:cs="Arial"/>
          <w:i/>
          <w:iCs/>
          <w:sz w:val="24"/>
          <w:szCs w:val="24"/>
        </w:rPr>
        <w:t>Wellbeing at work</w:t>
      </w:r>
      <w:r w:rsidRPr="00144E37">
        <w:rPr>
          <w:rFonts w:ascii="Arial" w:hAnsi="Arial" w:cs="Arial"/>
          <w:sz w:val="24"/>
          <w:szCs w:val="24"/>
        </w:rPr>
        <w:t xml:space="preserve">. Available at: </w:t>
      </w:r>
      <w:hyperlink r:id="rId25" w:history="1">
        <w:r w:rsidRPr="00144E37">
          <w:rPr>
            <w:rStyle w:val="Hyperlink"/>
            <w:rFonts w:ascii="Arial" w:hAnsi="Arial" w:cs="Arial"/>
            <w:sz w:val="24"/>
            <w:szCs w:val="24"/>
          </w:rPr>
          <w:t>https://www.cipd.org/uk/knowledge/factsheets/well-being-factsheet/</w:t>
        </w:r>
      </w:hyperlink>
      <w:r w:rsidRPr="00144E37">
        <w:rPr>
          <w:rFonts w:ascii="Arial" w:hAnsi="Arial" w:cs="Arial"/>
          <w:sz w:val="24"/>
          <w:szCs w:val="24"/>
        </w:rPr>
        <w:t xml:space="preserve"> (Accessed: 11</w:t>
      </w:r>
      <w:r w:rsidRPr="00144E37">
        <w:rPr>
          <w:rFonts w:ascii="Arial" w:hAnsi="Arial" w:cs="Arial"/>
          <w:sz w:val="24"/>
          <w:szCs w:val="24"/>
          <w:vertAlign w:val="superscript"/>
        </w:rPr>
        <w:t>th</w:t>
      </w:r>
      <w:r w:rsidRPr="00144E37">
        <w:rPr>
          <w:rFonts w:ascii="Arial" w:hAnsi="Arial" w:cs="Arial"/>
          <w:sz w:val="24"/>
          <w:szCs w:val="24"/>
        </w:rPr>
        <w:t xml:space="preserve"> October 2024). </w:t>
      </w:r>
    </w:p>
    <w:p w14:paraId="6F11A316" w14:textId="77777777" w:rsidR="007631C1" w:rsidRPr="00144E37" w:rsidRDefault="007631C1" w:rsidP="009D257C">
      <w:pPr>
        <w:spacing w:line="276" w:lineRule="auto"/>
        <w:rPr>
          <w:rFonts w:ascii="Arial" w:hAnsi="Arial" w:cs="Arial"/>
          <w:sz w:val="24"/>
          <w:szCs w:val="24"/>
        </w:rPr>
      </w:pPr>
    </w:p>
    <w:p w14:paraId="00995AB9" w14:textId="77777777" w:rsidR="007631C1" w:rsidRPr="00144E37" w:rsidRDefault="007631C1" w:rsidP="009D257C">
      <w:pPr>
        <w:spacing w:line="276" w:lineRule="auto"/>
        <w:rPr>
          <w:rFonts w:ascii="Arial" w:hAnsi="Arial" w:cs="Arial"/>
          <w:sz w:val="24"/>
          <w:szCs w:val="24"/>
        </w:rPr>
      </w:pPr>
      <w:r w:rsidRPr="00144E37">
        <w:rPr>
          <w:rFonts w:ascii="Arial" w:hAnsi="Arial" w:cs="Arial"/>
          <w:sz w:val="24"/>
          <w:szCs w:val="24"/>
        </w:rPr>
        <w:t xml:space="preserve">Thompson, N. (2019) It’s a No-Win Scenario, either the Police or the Gang Will Get You: Young People and Organised Crime – Vulnerable or Criminal, </w:t>
      </w:r>
      <w:r w:rsidRPr="00144E37">
        <w:rPr>
          <w:rFonts w:ascii="Arial" w:hAnsi="Arial" w:cs="Arial"/>
          <w:i/>
          <w:iCs/>
          <w:sz w:val="24"/>
          <w:szCs w:val="24"/>
        </w:rPr>
        <w:t>Youth Justice</w:t>
      </w:r>
      <w:r w:rsidRPr="00144E37">
        <w:rPr>
          <w:rFonts w:ascii="Arial" w:hAnsi="Arial" w:cs="Arial"/>
          <w:sz w:val="24"/>
          <w:szCs w:val="24"/>
        </w:rPr>
        <w:t xml:space="preserve">. 19(12), pp. 102-119. Available at: </w:t>
      </w:r>
      <w:hyperlink r:id="rId26" w:history="1">
        <w:r w:rsidRPr="00144E37">
          <w:rPr>
            <w:rStyle w:val="Hyperlink"/>
            <w:rFonts w:ascii="Arial" w:hAnsi="Arial" w:cs="Arial"/>
            <w:sz w:val="24"/>
            <w:szCs w:val="24"/>
          </w:rPr>
          <w:t>https://journals-sagepub-com.ezproxy.uwtsd.ac.uk/doi/full/10.1177/1473225419843353</w:t>
        </w:r>
      </w:hyperlink>
      <w:r w:rsidRPr="00144E37">
        <w:rPr>
          <w:rFonts w:ascii="Arial" w:hAnsi="Arial" w:cs="Arial"/>
          <w:sz w:val="24"/>
          <w:szCs w:val="24"/>
        </w:rPr>
        <w:t xml:space="preserve"> (Accessed: 12</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2DF73AD9" w14:textId="77777777" w:rsidR="007631C1" w:rsidRPr="00144E37" w:rsidRDefault="007631C1" w:rsidP="009D257C">
      <w:pPr>
        <w:spacing w:line="276" w:lineRule="auto"/>
        <w:rPr>
          <w:rFonts w:ascii="Arial" w:hAnsi="Arial" w:cs="Arial"/>
          <w:color w:val="0563C1" w:themeColor="hyperlink"/>
          <w:sz w:val="24"/>
          <w:szCs w:val="24"/>
          <w:u w:val="single"/>
        </w:rPr>
      </w:pPr>
    </w:p>
    <w:p w14:paraId="333F6296" w14:textId="6613B509" w:rsidR="007631C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Wang, C. </w:t>
      </w:r>
      <w:r w:rsidRPr="00144E37">
        <w:rPr>
          <w:rFonts w:ascii="Arial" w:hAnsi="Arial" w:cs="Arial"/>
          <w:i/>
          <w:iCs/>
          <w:sz w:val="24"/>
          <w:szCs w:val="24"/>
        </w:rPr>
        <w:t>et al</w:t>
      </w:r>
      <w:r w:rsidRPr="00144E37">
        <w:rPr>
          <w:rFonts w:ascii="Arial" w:hAnsi="Arial" w:cs="Arial"/>
          <w:sz w:val="24"/>
          <w:szCs w:val="24"/>
        </w:rPr>
        <w:t xml:space="preserve">. (2023) ‘Redefining human health: physical wellbeing, mental wellbeing, social wellbeing, and environmental wellbeing’. </w:t>
      </w:r>
      <w:r w:rsidRPr="00144E37">
        <w:rPr>
          <w:rFonts w:ascii="Arial" w:hAnsi="Arial" w:cs="Arial"/>
          <w:i/>
          <w:iCs/>
          <w:sz w:val="24"/>
          <w:szCs w:val="24"/>
        </w:rPr>
        <w:t xml:space="preserve">Chinese Medical Journal. </w:t>
      </w:r>
      <w:r w:rsidRPr="00144E37">
        <w:rPr>
          <w:rFonts w:ascii="Arial" w:hAnsi="Arial" w:cs="Arial"/>
          <w:sz w:val="24"/>
          <w:szCs w:val="24"/>
        </w:rPr>
        <w:t xml:space="preserve">136(20), pp. 2395 – 2396. Available at: </w:t>
      </w:r>
      <w:hyperlink r:id="rId27" w:history="1">
        <w:r w:rsidRPr="00144E37">
          <w:rPr>
            <w:rStyle w:val="Hyperlink"/>
            <w:rFonts w:ascii="Arial" w:hAnsi="Arial" w:cs="Arial"/>
            <w:sz w:val="24"/>
            <w:szCs w:val="24"/>
          </w:rPr>
          <w:t>https://www-proquest-com.ezproxy.uwtsd.ac.uk/docview/2878917676/fulltextPDF/8DD949EAD4C14022PQ/1?accountid=130472&amp;sourcetype=Scholarly%20Journals</w:t>
        </w:r>
      </w:hyperlink>
      <w:r w:rsidRPr="00144E37">
        <w:rPr>
          <w:rFonts w:ascii="Arial" w:hAnsi="Arial" w:cs="Arial"/>
          <w:sz w:val="24"/>
          <w:szCs w:val="24"/>
        </w:rPr>
        <w:t xml:space="preserve"> (Accessed: 11</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4ABDBEDB" w14:textId="77777777" w:rsidR="007631C1" w:rsidRPr="00144E37" w:rsidRDefault="007631C1" w:rsidP="009D257C">
      <w:pPr>
        <w:spacing w:line="276" w:lineRule="auto"/>
        <w:rPr>
          <w:rFonts w:ascii="Arial" w:hAnsi="Arial" w:cs="Arial"/>
          <w:color w:val="3A3A3A"/>
          <w:sz w:val="24"/>
          <w:szCs w:val="24"/>
          <w:shd w:val="clear" w:color="auto" w:fill="FFFFFF"/>
        </w:rPr>
      </w:pPr>
      <w:r w:rsidRPr="00144E37">
        <w:rPr>
          <w:rFonts w:ascii="Arial" w:hAnsi="Arial" w:cs="Arial"/>
          <w:sz w:val="24"/>
          <w:szCs w:val="24"/>
        </w:rPr>
        <w:t xml:space="preserve">Williams, B. (2023) </w:t>
      </w:r>
      <w:r w:rsidRPr="00144E37">
        <w:rPr>
          <w:rFonts w:ascii="Arial" w:hAnsi="Arial" w:cs="Arial"/>
          <w:i/>
          <w:iCs/>
          <w:sz w:val="24"/>
          <w:szCs w:val="24"/>
        </w:rPr>
        <w:t>Policing Mental Health, Vulnerability and Risk.</w:t>
      </w:r>
      <w:r w:rsidRPr="00144E37">
        <w:rPr>
          <w:rFonts w:ascii="Arial" w:hAnsi="Arial" w:cs="Arial"/>
          <w:sz w:val="24"/>
          <w:szCs w:val="24"/>
        </w:rPr>
        <w:t xml:space="preserve"> 1</w:t>
      </w:r>
      <w:r w:rsidRPr="00144E37">
        <w:rPr>
          <w:rFonts w:ascii="Arial" w:hAnsi="Arial" w:cs="Arial"/>
          <w:sz w:val="24"/>
          <w:szCs w:val="24"/>
          <w:vertAlign w:val="superscript"/>
        </w:rPr>
        <w:t>st</w:t>
      </w:r>
      <w:r w:rsidRPr="00144E37">
        <w:rPr>
          <w:rFonts w:ascii="Arial" w:hAnsi="Arial" w:cs="Arial"/>
          <w:sz w:val="24"/>
          <w:szCs w:val="24"/>
        </w:rPr>
        <w:t xml:space="preserve"> edn. England: Critical Publishing. </w:t>
      </w:r>
      <w:hyperlink r:id="rId28" w:history="1">
        <w:r w:rsidRPr="00144E37">
          <w:rPr>
            <w:rStyle w:val="Hyperlink"/>
            <w:rFonts w:ascii="Arial" w:hAnsi="Arial" w:cs="Arial"/>
            <w:sz w:val="24"/>
            <w:szCs w:val="24"/>
          </w:rPr>
          <w:t>https://r1.vlereader.com/EpubReader?ean=1781915080578</w:t>
        </w:r>
      </w:hyperlink>
      <w:r w:rsidRPr="00144E37">
        <w:rPr>
          <w:rFonts w:ascii="Arial" w:hAnsi="Arial" w:cs="Arial"/>
          <w:sz w:val="24"/>
          <w:szCs w:val="24"/>
        </w:rPr>
        <w:t xml:space="preserve"> (Accessed: 13</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292FD00B" w14:textId="77777777" w:rsidR="00CE3991" w:rsidRPr="00144E37" w:rsidRDefault="00CE3991" w:rsidP="009D257C">
      <w:pPr>
        <w:spacing w:line="276" w:lineRule="auto"/>
        <w:rPr>
          <w:rFonts w:ascii="Arial" w:hAnsi="Arial" w:cs="Arial"/>
          <w:sz w:val="24"/>
          <w:szCs w:val="24"/>
        </w:rPr>
      </w:pPr>
    </w:p>
    <w:p w14:paraId="691FD70D" w14:textId="77777777" w:rsidR="00CE3991" w:rsidRPr="00144E37" w:rsidRDefault="00CE3991" w:rsidP="009D257C">
      <w:pPr>
        <w:spacing w:line="276" w:lineRule="auto"/>
        <w:rPr>
          <w:rFonts w:ascii="Arial" w:hAnsi="Arial" w:cs="Arial"/>
          <w:sz w:val="24"/>
          <w:szCs w:val="24"/>
        </w:rPr>
      </w:pPr>
      <w:r w:rsidRPr="00144E37">
        <w:rPr>
          <w:rFonts w:ascii="Arial" w:hAnsi="Arial" w:cs="Arial"/>
          <w:sz w:val="24"/>
          <w:szCs w:val="24"/>
        </w:rPr>
        <w:t xml:space="preserve">World Health Organization (2022) </w:t>
      </w:r>
      <w:r w:rsidRPr="00144E37">
        <w:rPr>
          <w:rFonts w:ascii="Arial" w:hAnsi="Arial" w:cs="Arial"/>
          <w:i/>
          <w:iCs/>
          <w:sz w:val="24"/>
          <w:szCs w:val="24"/>
        </w:rPr>
        <w:t xml:space="preserve">Mental Health. </w:t>
      </w:r>
      <w:r w:rsidRPr="00144E37">
        <w:rPr>
          <w:rFonts w:ascii="Arial" w:hAnsi="Arial" w:cs="Arial"/>
          <w:sz w:val="24"/>
          <w:szCs w:val="24"/>
        </w:rPr>
        <w:t xml:space="preserve">Available at: </w:t>
      </w:r>
      <w:hyperlink r:id="rId29" w:history="1">
        <w:r w:rsidRPr="00144E37">
          <w:rPr>
            <w:rStyle w:val="Hyperlink"/>
            <w:rFonts w:ascii="Arial" w:hAnsi="Arial" w:cs="Arial"/>
            <w:sz w:val="24"/>
            <w:szCs w:val="24"/>
          </w:rPr>
          <w:t>https://www.who.int/news-room/fact-sheets/detail/mental-health-strengthening-our-response</w:t>
        </w:r>
      </w:hyperlink>
      <w:r w:rsidRPr="00144E37">
        <w:rPr>
          <w:rFonts w:ascii="Arial" w:hAnsi="Arial" w:cs="Arial"/>
          <w:sz w:val="24"/>
          <w:szCs w:val="24"/>
        </w:rPr>
        <w:t xml:space="preserve"> (Accessed: 11</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25CC2EB8" w14:textId="77777777" w:rsidR="00CE3991" w:rsidRPr="00144E37" w:rsidRDefault="00CE3991" w:rsidP="009D257C">
      <w:pPr>
        <w:spacing w:line="276" w:lineRule="auto"/>
        <w:rPr>
          <w:rFonts w:ascii="Arial" w:hAnsi="Arial" w:cs="Arial"/>
          <w:sz w:val="24"/>
          <w:szCs w:val="24"/>
        </w:rPr>
      </w:pPr>
    </w:p>
    <w:p w14:paraId="2231FE54" w14:textId="77777777" w:rsidR="00144E37" w:rsidRPr="00144E37" w:rsidRDefault="00144E37" w:rsidP="009D257C">
      <w:pPr>
        <w:spacing w:line="276" w:lineRule="auto"/>
        <w:rPr>
          <w:rFonts w:ascii="Arial" w:hAnsi="Arial" w:cs="Arial"/>
          <w:sz w:val="24"/>
          <w:szCs w:val="24"/>
        </w:rPr>
      </w:pPr>
      <w:r w:rsidRPr="00144E37">
        <w:rPr>
          <w:rFonts w:ascii="Arial" w:hAnsi="Arial" w:cs="Arial"/>
          <w:sz w:val="24"/>
          <w:szCs w:val="24"/>
        </w:rPr>
        <w:t xml:space="preserve">Youth Justice Board England and Wales (2023) </w:t>
      </w:r>
      <w:r w:rsidRPr="00144E37">
        <w:rPr>
          <w:rFonts w:ascii="Arial" w:hAnsi="Arial" w:cs="Arial"/>
          <w:i/>
          <w:iCs/>
          <w:sz w:val="24"/>
          <w:szCs w:val="24"/>
        </w:rPr>
        <w:t>Early Intervention for lifelong benefits</w:t>
      </w:r>
      <w:r w:rsidRPr="00144E37">
        <w:rPr>
          <w:rFonts w:ascii="Arial" w:hAnsi="Arial" w:cs="Arial"/>
          <w:sz w:val="24"/>
          <w:szCs w:val="24"/>
        </w:rPr>
        <w:t xml:space="preserve">. Available at: </w:t>
      </w:r>
      <w:hyperlink r:id="rId30" w:history="1">
        <w:r w:rsidRPr="00144E37">
          <w:rPr>
            <w:rStyle w:val="Hyperlink"/>
            <w:rFonts w:ascii="Arial" w:hAnsi="Arial" w:cs="Arial"/>
            <w:sz w:val="24"/>
            <w:szCs w:val="24"/>
          </w:rPr>
          <w:t>https://www.gov.uk/government/news/early-intervention-for-lifelong-benefits</w:t>
        </w:r>
      </w:hyperlink>
      <w:r w:rsidRPr="00144E37">
        <w:rPr>
          <w:rFonts w:ascii="Arial" w:hAnsi="Arial" w:cs="Arial"/>
          <w:sz w:val="24"/>
          <w:szCs w:val="24"/>
        </w:rPr>
        <w:t xml:space="preserve"> (Accessed: 13</w:t>
      </w:r>
      <w:r w:rsidRPr="00144E37">
        <w:rPr>
          <w:rFonts w:ascii="Arial" w:hAnsi="Arial" w:cs="Arial"/>
          <w:sz w:val="24"/>
          <w:szCs w:val="24"/>
          <w:vertAlign w:val="superscript"/>
        </w:rPr>
        <w:t>th</w:t>
      </w:r>
      <w:r w:rsidRPr="00144E37">
        <w:rPr>
          <w:rFonts w:ascii="Arial" w:hAnsi="Arial" w:cs="Arial"/>
          <w:sz w:val="24"/>
          <w:szCs w:val="24"/>
        </w:rPr>
        <w:t xml:space="preserve"> October 2024).</w:t>
      </w:r>
    </w:p>
    <w:p w14:paraId="536A2DCC" w14:textId="77777777" w:rsidR="00CE3991" w:rsidRDefault="00CE3991" w:rsidP="009D257C">
      <w:pPr>
        <w:spacing w:line="276" w:lineRule="auto"/>
      </w:pPr>
    </w:p>
    <w:sectPr w:rsidR="00CE39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991"/>
    <w:rsid w:val="000173FE"/>
    <w:rsid w:val="00144E37"/>
    <w:rsid w:val="001E4FE4"/>
    <w:rsid w:val="00256174"/>
    <w:rsid w:val="002645A0"/>
    <w:rsid w:val="002D4D2A"/>
    <w:rsid w:val="00337570"/>
    <w:rsid w:val="00341136"/>
    <w:rsid w:val="00351514"/>
    <w:rsid w:val="003B6D99"/>
    <w:rsid w:val="005227E1"/>
    <w:rsid w:val="006B7C76"/>
    <w:rsid w:val="007631C1"/>
    <w:rsid w:val="0078675C"/>
    <w:rsid w:val="00813C7A"/>
    <w:rsid w:val="00813E2A"/>
    <w:rsid w:val="008224E3"/>
    <w:rsid w:val="008762C7"/>
    <w:rsid w:val="00941BC6"/>
    <w:rsid w:val="00962DF0"/>
    <w:rsid w:val="009D257C"/>
    <w:rsid w:val="009E61D9"/>
    <w:rsid w:val="00A46099"/>
    <w:rsid w:val="00B16B5A"/>
    <w:rsid w:val="00B26CA4"/>
    <w:rsid w:val="00B8489B"/>
    <w:rsid w:val="00B93290"/>
    <w:rsid w:val="00C5479B"/>
    <w:rsid w:val="00CE0C72"/>
    <w:rsid w:val="00CE3991"/>
    <w:rsid w:val="00DA3548"/>
    <w:rsid w:val="00DB78F5"/>
    <w:rsid w:val="00DE600F"/>
    <w:rsid w:val="00EC29BD"/>
    <w:rsid w:val="00F3215D"/>
    <w:rsid w:val="00F40C1F"/>
    <w:rsid w:val="00F57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26F8F"/>
  <w15:chartTrackingRefBased/>
  <w15:docId w15:val="{0AE1189F-B693-40E3-AC9E-4B2A18E2C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3991"/>
    <w:rPr>
      <w:color w:val="0563C1" w:themeColor="hyperlink"/>
      <w:u w:val="single"/>
    </w:rPr>
  </w:style>
  <w:style w:type="paragraph" w:customStyle="1" w:styleId="Default">
    <w:name w:val="Default"/>
    <w:rsid w:val="00144E37"/>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if.org.uk/resource/why-does-early-intervention-matter" TargetMode="External"/><Relationship Id="rId13" Type="http://schemas.openxmlformats.org/officeDocument/2006/relationships/hyperlink" Target="https://www.gov.uk/government/news/new-strategy-to-tackle-organised-crime" TargetMode="External"/><Relationship Id="rId18" Type="http://schemas.openxmlformats.org/officeDocument/2006/relationships/hyperlink" Target="https://journals.sagepub.com/doi/epub/10.1177/1477370816682979" TargetMode="External"/><Relationship Id="rId26" Type="http://schemas.openxmlformats.org/officeDocument/2006/relationships/hyperlink" Target="https://journals-sagepub-com.ezproxy.uwtsd.ac.uk/doi/full/10.1177/1473225419843353" TargetMode="External"/><Relationship Id="rId3" Type="http://schemas.openxmlformats.org/officeDocument/2006/relationships/webSettings" Target="webSettings.xml"/><Relationship Id="rId21" Type="http://schemas.openxmlformats.org/officeDocument/2006/relationships/hyperlink" Target="https://www.polfed.org/media/13796/pfew_policy_-_volume_crime_-_march_2017_v2.pdf" TargetMode="External"/><Relationship Id="rId7" Type="http://schemas.openxmlformats.org/officeDocument/2006/relationships/hyperlink" Target="https://www.nature.com/articles/s41562-017-0185-3" TargetMode="External"/><Relationship Id="rId12" Type="http://schemas.openxmlformats.org/officeDocument/2006/relationships/hyperlink" Target="https://hmicfrs.justiceinspectorates.gov.uk/glossary/public-protection-unit/" TargetMode="External"/><Relationship Id="rId17" Type="http://schemas.openxmlformats.org/officeDocument/2006/relationships/hyperlink" Target="https://www.mind.org.uk/information-support/tips-for-everyday-living/wellbeing/" TargetMode="External"/><Relationship Id="rId25" Type="http://schemas.openxmlformats.org/officeDocument/2006/relationships/hyperlink" Target="https://www.cipd.org/uk/knowledge/factsheets/well-being-factsheet/" TargetMode="External"/><Relationship Id="rId2" Type="http://schemas.openxmlformats.org/officeDocument/2006/relationships/settings" Target="settings.xml"/><Relationship Id="rId16" Type="http://schemas.openxmlformats.org/officeDocument/2006/relationships/hyperlink" Target="https://send-network.co.uk/posts/early-intervention-the-gap-between-policy-and-practice" TargetMode="External"/><Relationship Id="rId20" Type="http://schemas.openxmlformats.org/officeDocument/2006/relationships/hyperlink" Target="https://link.springer.com/article/10.1007/s10670-020-00252-1?trk=public_post_comment-text" TargetMode="External"/><Relationship Id="rId29" Type="http://schemas.openxmlformats.org/officeDocument/2006/relationships/hyperlink" Target="https://www.who.int/news-room/fact-sheets/detail/mental-health-strengthening-our-response" TargetMode="External"/><Relationship Id="rId1" Type="http://schemas.openxmlformats.org/officeDocument/2006/relationships/styles" Target="styles.xml"/><Relationship Id="rId6" Type="http://schemas.openxmlformats.org/officeDocument/2006/relationships/hyperlink" Target="https://www.college.police.uk/app/investigation/investigation-introduction" TargetMode="External"/><Relationship Id="rId11" Type="http://schemas.openxmlformats.org/officeDocument/2006/relationships/hyperlink" Target="https://www.justiceinspectorates.gov.uk/hmiprobation/research/the-evidence-base-youth-offending-services/general-models-and-principles/child-first/" TargetMode="External"/><Relationship Id="rId24" Type="http://schemas.openxmlformats.org/officeDocument/2006/relationships/hyperlink" Target="https://assets.publishing.service.gov.uk/media/5a7a36f2e5274a34770e5114/DFE-RR111.pdf" TargetMode="External"/><Relationship Id="rId32" Type="http://schemas.openxmlformats.org/officeDocument/2006/relationships/theme" Target="theme/theme1.xml"/><Relationship Id="rId5" Type="http://schemas.openxmlformats.org/officeDocument/2006/relationships/hyperlink" Target="https://www.cdc.gov/mentalhealth/learn/index.htm" TargetMode="External"/><Relationship Id="rId15" Type="http://schemas.openxmlformats.org/officeDocument/2006/relationships/hyperlink" Target="https://doaj.org/article/31ffd6677d5540ccb1d332677a00bcf1" TargetMode="External"/><Relationship Id="rId23" Type="http://schemas.openxmlformats.org/officeDocument/2006/relationships/hyperlink" Target="https://journals-sagepub-com.ezproxy.uwtsd.ac.uk/doi/epub/10.1177/0306624X18806742" TargetMode="External"/><Relationship Id="rId28" Type="http://schemas.openxmlformats.org/officeDocument/2006/relationships/hyperlink" Target="https://r1.vlereader.com/EpubReader?ean=1781915080578" TargetMode="External"/><Relationship Id="rId10" Type="http://schemas.openxmlformats.org/officeDocument/2006/relationships/hyperlink" Target="https://hmicfrs.justiceinspectorates.gov.uk/publication-html/police-response-to-burglary-robbery-and-other-acquisitive-crime/" TargetMode="External"/><Relationship Id="rId19" Type="http://schemas.openxmlformats.org/officeDocument/2006/relationships/hyperlink" Target="https://www.gov.uk/government/publications/vulnerabilities-applying-all-our-health/vulnerabilities-applying-all-our-health" TargetMode="External"/><Relationship Id="rId31" Type="http://schemas.openxmlformats.org/officeDocument/2006/relationships/fontTable" Target="fontTable.xml"/><Relationship Id="rId4" Type="http://schemas.openxmlformats.org/officeDocument/2006/relationships/hyperlink" Target="https://www-tandfonline-com.ezproxy.uwtsd.ac.uk/doi/epdf/10.1080/09540962.2020.1714903?needAccess=true" TargetMode="External"/><Relationship Id="rId9" Type="http://schemas.openxmlformats.org/officeDocument/2006/relationships/hyperlink" Target="https://www.hanwellhealthcentre.nhs.uk/policies/vulnerable-adults/" TargetMode="External"/><Relationship Id="rId14" Type="http://schemas.openxmlformats.org/officeDocument/2006/relationships/hyperlink" Target="https://journals.sagepub.com/doi/epub/10.1177/1473225414549693" TargetMode="External"/><Relationship Id="rId22" Type="http://schemas.openxmlformats.org/officeDocument/2006/relationships/hyperlink" Target="https://research-ebsco-com.ezproxy.uwtsd.ac.uk/c/onvpsy/viewer/pdf/jdnjdxmgrb?route=details" TargetMode="External"/><Relationship Id="rId27" Type="http://schemas.openxmlformats.org/officeDocument/2006/relationships/hyperlink" Target="https://www-proquest-com.ezproxy.uwtsd.ac.uk/docview/2878917676/fulltextPDF/8DD949EAD4C14022PQ/1?accountid=130472&amp;sourcetype=Scholarly%20Journals" TargetMode="External"/><Relationship Id="rId30" Type="http://schemas.openxmlformats.org/officeDocument/2006/relationships/hyperlink" Target="https://www.gov.uk/government/news/early-intervention-for-lifelong-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13</Pages>
  <Words>5418</Words>
  <Characters>30887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Jasmin</dc:creator>
  <cp:keywords/>
  <dc:description/>
  <cp:lastModifiedBy>Williams, Jasmin</cp:lastModifiedBy>
  <cp:revision>35</cp:revision>
  <dcterms:created xsi:type="dcterms:W3CDTF">2024-10-14T15:15:00Z</dcterms:created>
  <dcterms:modified xsi:type="dcterms:W3CDTF">2024-10-14T16:15:00Z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2024-10-14T15:49:31Z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83ca4a75-ec22-4d06-a3b9-49da8acd008a</vt:lpwstr>
  </property>
  <property fmtid="{D5CDD505-2E9C-101B-9397-08002B2CF9AE}" pid="8" name="MSIP_Label_f2acd28b-79a3-4a0f-b0ff-4b75658b1549_ContentBits">
    <vt:lpwstr>0</vt:lpwstr>
  </property>
</Properties>
</file>