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2CE2C0" wp14:paraId="74D25018" wp14:textId="3F90F465">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0F2CE2C0" w:rsidR="117F55C4">
        <w:rPr>
          <w:b w:val="1"/>
          <w:bCs w:val="1"/>
          <w:noProof w:val="0"/>
          <w:sz w:val="28"/>
          <w:szCs w:val="28"/>
          <w:lang w:val="en-US"/>
        </w:rPr>
        <w:t>Assignment name: The Rise of Shoplifting in Retail</w:t>
      </w:r>
    </w:p>
    <w:p xmlns:wp14="http://schemas.microsoft.com/office/word/2010/wordml" w:rsidP="0F2CE2C0" wp14:paraId="1CA99B1C" wp14:textId="38FD2409">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0F2CE2C0" w:rsidR="117F55C4">
        <w:rPr>
          <w:b w:val="1"/>
          <w:bCs w:val="1"/>
          <w:noProof w:val="0"/>
          <w:sz w:val="28"/>
          <w:szCs w:val="28"/>
          <w:lang w:val="en-US"/>
        </w:rPr>
        <w:t>Module: BMSW4041</w:t>
      </w:r>
    </w:p>
    <w:p xmlns:wp14="http://schemas.microsoft.com/office/word/2010/wordml" w:rsidP="0F2CE2C0" wp14:paraId="13950EDF" wp14:textId="77E78067">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0F2CE2C0" w:rsidR="117F55C4">
        <w:rPr>
          <w:b w:val="1"/>
          <w:bCs w:val="1"/>
          <w:noProof w:val="0"/>
          <w:sz w:val="28"/>
          <w:szCs w:val="28"/>
          <w:lang w:val="en-US"/>
        </w:rPr>
        <w:t>Student name: Daniel-Mihai Naica (2411629)</w:t>
      </w:r>
    </w:p>
    <w:p xmlns:wp14="http://schemas.microsoft.com/office/word/2010/wordml" w:rsidP="0F2CE2C0" wp14:paraId="658E0CA6" wp14:textId="25B7BD57">
      <w:pPr>
        <w:pStyle w:val="Normal"/>
        <w:rPr>
          <w:b w:val="1"/>
          <w:bCs w:val="1"/>
          <w:noProof w:val="0"/>
          <w:sz w:val="28"/>
          <w:szCs w:val="28"/>
          <w:lang w:val="en-GB"/>
        </w:rPr>
      </w:pPr>
      <w:r w:rsidRPr="0F2CE2C0" w:rsidR="117F55C4">
        <w:rPr>
          <w:b w:val="1"/>
          <w:bCs w:val="1"/>
          <w:noProof w:val="0"/>
          <w:sz w:val="28"/>
          <w:szCs w:val="28"/>
          <w:lang w:val="en-US"/>
        </w:rPr>
        <w:t>Lecturer: Rhiannon Akers</w:t>
      </w:r>
      <w:r w:rsidRPr="0F2CE2C0" w:rsidR="117F55C4">
        <w:rPr>
          <w:b w:val="1"/>
          <w:bCs w:val="1"/>
          <w:noProof w:val="0"/>
          <w:sz w:val="28"/>
          <w:szCs w:val="28"/>
          <w:lang w:val="en-GB"/>
        </w:rPr>
        <w:t xml:space="preserve"> </w:t>
      </w:r>
    </w:p>
    <w:p xmlns:wp14="http://schemas.microsoft.com/office/word/2010/wordml" w:rsidP="0F2CE2C0" wp14:paraId="3E92DC77" wp14:textId="57906C60">
      <w:pPr>
        <w:pStyle w:val="Normal"/>
        <w:rPr>
          <w:b w:val="1"/>
          <w:bCs w:val="1"/>
          <w:noProof w:val="0"/>
          <w:sz w:val="28"/>
          <w:szCs w:val="28"/>
          <w:lang w:val="en-GB"/>
        </w:rPr>
      </w:pPr>
    </w:p>
    <w:p xmlns:wp14="http://schemas.microsoft.com/office/word/2010/wordml" w:rsidP="0F2CE2C0" wp14:paraId="25357DF5" wp14:textId="1BC5D6BE">
      <w:pPr>
        <w:pStyle w:val="Normal"/>
        <w:rPr>
          <w:b w:val="1"/>
          <w:bCs w:val="1"/>
          <w:noProof w:val="0"/>
          <w:sz w:val="28"/>
          <w:szCs w:val="28"/>
          <w:lang w:val="en-GB"/>
        </w:rPr>
      </w:pPr>
    </w:p>
    <w:p xmlns:wp14="http://schemas.microsoft.com/office/word/2010/wordml" w:rsidP="0F2CE2C0" wp14:paraId="62C04F68" wp14:textId="2E79B145">
      <w:pPr>
        <w:pStyle w:val="Heading2"/>
        <w:spacing w:before="299" w:beforeAutospacing="off" w:after="299" w:afterAutospacing="off"/>
      </w:pPr>
      <w:r w:rsidRPr="0F2CE2C0" w:rsidR="7ED296F6">
        <w:rPr>
          <w:rFonts w:ascii="Aptos" w:hAnsi="Aptos" w:eastAsia="Aptos" w:cs="Aptos"/>
          <w:b w:val="1"/>
          <w:bCs w:val="1"/>
          <w:noProof w:val="0"/>
          <w:sz w:val="36"/>
          <w:szCs w:val="36"/>
          <w:lang w:val="en-GB"/>
        </w:rPr>
        <w:t>Contents</w:t>
      </w:r>
    </w:p>
    <w:p xmlns:wp14="http://schemas.microsoft.com/office/word/2010/wordml" w:rsidP="0F2CE2C0" wp14:paraId="0CBEA397" wp14:textId="4EC5457B">
      <w:pPr>
        <w:pStyle w:val="ListParagraph"/>
        <w:numPr>
          <w:ilvl w:val="0"/>
          <w:numId w:val="6"/>
        </w:numPr>
        <w:spacing w:before="240" w:beforeAutospacing="off" w:after="240" w:afterAutospacing="off"/>
        <w:rPr>
          <w:rFonts w:ascii="Aptos" w:hAnsi="Aptos" w:eastAsia="Aptos" w:cs="Aptos"/>
          <w:noProof w:val="0"/>
          <w:sz w:val="24"/>
          <w:szCs w:val="24"/>
          <w:lang w:val="en-GB"/>
        </w:rPr>
      </w:pPr>
      <w:r w:rsidRPr="0F2CE2C0" w:rsidR="7ED296F6">
        <w:rPr>
          <w:rFonts w:ascii="Aptos" w:hAnsi="Aptos" w:eastAsia="Aptos" w:cs="Aptos"/>
          <w:b w:val="1"/>
          <w:bCs w:val="1"/>
          <w:noProof w:val="0"/>
          <w:sz w:val="28"/>
          <w:szCs w:val="28"/>
          <w:lang w:val="en-GB"/>
        </w:rPr>
        <w:t>Introduction</w:t>
      </w:r>
      <w:r w:rsidRPr="0F2CE2C0" w:rsidR="7ED296F6">
        <w:rPr>
          <w:rFonts w:ascii="Aptos" w:hAnsi="Aptos" w:eastAsia="Aptos" w:cs="Aptos"/>
          <w:noProof w:val="0"/>
          <w:sz w:val="28"/>
          <w:szCs w:val="28"/>
          <w:lang w:val="en-GB"/>
        </w:rPr>
        <w:t xml:space="preserve"> </w:t>
      </w:r>
    </w:p>
    <w:p xmlns:wp14="http://schemas.microsoft.com/office/word/2010/wordml" w:rsidP="0F2CE2C0" wp14:paraId="2400C3B0" wp14:textId="7FC35258">
      <w:pPr>
        <w:pStyle w:val="ListParagraph"/>
        <w:numPr>
          <w:ilvl w:val="0"/>
          <w:numId w:val="6"/>
        </w:numPr>
        <w:spacing w:before="240" w:beforeAutospacing="off" w:after="240" w:afterAutospacing="off"/>
        <w:rPr>
          <w:rFonts w:ascii="Aptos" w:hAnsi="Aptos" w:eastAsia="Aptos" w:cs="Aptos"/>
          <w:noProof w:val="0"/>
          <w:sz w:val="24"/>
          <w:szCs w:val="24"/>
          <w:lang w:val="en-GB"/>
        </w:rPr>
      </w:pPr>
      <w:r w:rsidRPr="0F2CE2C0" w:rsidR="7ED296F6">
        <w:rPr>
          <w:rFonts w:ascii="Aptos" w:hAnsi="Aptos" w:eastAsia="Aptos" w:cs="Aptos"/>
          <w:b w:val="1"/>
          <w:bCs w:val="1"/>
          <w:noProof w:val="0"/>
          <w:sz w:val="28"/>
          <w:szCs w:val="28"/>
          <w:lang w:val="en-GB"/>
        </w:rPr>
        <w:t>PESTLE Analysis</w:t>
      </w:r>
      <w:r w:rsidRPr="0F2CE2C0" w:rsidR="7ED296F6">
        <w:rPr>
          <w:rFonts w:ascii="Aptos" w:hAnsi="Aptos" w:eastAsia="Aptos" w:cs="Aptos"/>
          <w:noProof w:val="0"/>
          <w:sz w:val="28"/>
          <w:szCs w:val="28"/>
          <w:lang w:val="en-GB"/>
        </w:rPr>
        <w:t xml:space="preserve"> </w:t>
      </w:r>
    </w:p>
    <w:p xmlns:wp14="http://schemas.microsoft.com/office/word/2010/wordml" w:rsidP="0F2CE2C0" wp14:paraId="17AE7A0E" wp14:textId="3AAC83B8">
      <w:pPr>
        <w:pStyle w:val="ListParagraph"/>
        <w:numPr>
          <w:ilvl w:val="0"/>
          <w:numId w:val="6"/>
        </w:numPr>
        <w:spacing w:before="240" w:beforeAutospacing="off" w:after="240" w:afterAutospacing="off"/>
        <w:rPr>
          <w:rFonts w:ascii="Aptos" w:hAnsi="Aptos" w:eastAsia="Aptos" w:cs="Aptos"/>
          <w:noProof w:val="0"/>
          <w:sz w:val="28"/>
          <w:szCs w:val="28"/>
          <w:lang w:val="en-GB"/>
        </w:rPr>
      </w:pPr>
      <w:r w:rsidRPr="0F2CE2C0" w:rsidR="7ED296F6">
        <w:rPr>
          <w:rFonts w:ascii="Aptos" w:hAnsi="Aptos" w:eastAsia="Aptos" w:cs="Aptos"/>
          <w:b w:val="1"/>
          <w:bCs w:val="1"/>
          <w:noProof w:val="0"/>
          <w:sz w:val="28"/>
          <w:szCs w:val="28"/>
          <w:lang w:val="en-GB"/>
        </w:rPr>
        <w:t>SWOT Analysis</w:t>
      </w:r>
      <w:r w:rsidRPr="0F2CE2C0" w:rsidR="7ED296F6">
        <w:rPr>
          <w:rFonts w:ascii="Aptos" w:hAnsi="Aptos" w:eastAsia="Aptos" w:cs="Aptos"/>
          <w:noProof w:val="0"/>
          <w:sz w:val="28"/>
          <w:szCs w:val="28"/>
          <w:lang w:val="en-GB"/>
        </w:rPr>
        <w:t xml:space="preserve"> </w:t>
      </w:r>
    </w:p>
    <w:p xmlns:wp14="http://schemas.microsoft.com/office/word/2010/wordml" w:rsidP="0F2CE2C0" wp14:paraId="4335AF39" wp14:textId="0B1BEF5C">
      <w:pPr>
        <w:pStyle w:val="ListParagraph"/>
        <w:numPr>
          <w:ilvl w:val="0"/>
          <w:numId w:val="6"/>
        </w:numPr>
        <w:spacing w:before="240" w:beforeAutospacing="off" w:after="240" w:afterAutospacing="off"/>
        <w:rPr>
          <w:rFonts w:ascii="Aptos" w:hAnsi="Aptos" w:eastAsia="Aptos" w:cs="Aptos"/>
          <w:noProof w:val="0"/>
          <w:sz w:val="24"/>
          <w:szCs w:val="24"/>
          <w:lang w:val="en-GB"/>
        </w:rPr>
      </w:pPr>
      <w:r w:rsidRPr="0F2CE2C0" w:rsidR="7ED296F6">
        <w:rPr>
          <w:rFonts w:ascii="Aptos" w:hAnsi="Aptos" w:eastAsia="Aptos" w:cs="Aptos"/>
          <w:b w:val="1"/>
          <w:bCs w:val="1"/>
          <w:noProof w:val="0"/>
          <w:sz w:val="28"/>
          <w:szCs w:val="28"/>
          <w:lang w:val="en-GB"/>
        </w:rPr>
        <w:t>Conclusion</w:t>
      </w:r>
      <w:r w:rsidRPr="0F2CE2C0" w:rsidR="7ED296F6">
        <w:rPr>
          <w:rFonts w:ascii="Aptos" w:hAnsi="Aptos" w:eastAsia="Aptos" w:cs="Aptos"/>
          <w:noProof w:val="0"/>
          <w:sz w:val="28"/>
          <w:szCs w:val="28"/>
          <w:lang w:val="en-GB"/>
        </w:rPr>
        <w:t xml:space="preserve"> </w:t>
      </w:r>
    </w:p>
    <w:p xmlns:wp14="http://schemas.microsoft.com/office/word/2010/wordml" w:rsidP="0F2CE2C0" wp14:paraId="1C57B3EF" wp14:textId="65908012">
      <w:pPr>
        <w:pStyle w:val="ListParagraph"/>
        <w:numPr>
          <w:ilvl w:val="0"/>
          <w:numId w:val="6"/>
        </w:numPr>
        <w:spacing w:before="240" w:beforeAutospacing="off" w:after="240" w:afterAutospacing="off"/>
        <w:rPr>
          <w:rFonts w:ascii="Aptos" w:hAnsi="Aptos" w:eastAsia="Aptos" w:cs="Aptos"/>
          <w:noProof w:val="0"/>
          <w:sz w:val="24"/>
          <w:szCs w:val="24"/>
          <w:lang w:val="en-GB"/>
        </w:rPr>
      </w:pPr>
      <w:r w:rsidRPr="0F2CE2C0" w:rsidR="7ED296F6">
        <w:rPr>
          <w:rFonts w:ascii="Aptos" w:hAnsi="Aptos" w:eastAsia="Aptos" w:cs="Aptos"/>
          <w:b w:val="1"/>
          <w:bCs w:val="1"/>
          <w:noProof w:val="0"/>
          <w:sz w:val="28"/>
          <w:szCs w:val="28"/>
          <w:lang w:val="en-GB"/>
        </w:rPr>
        <w:t>Recommendations</w:t>
      </w:r>
      <w:r w:rsidRPr="0F2CE2C0" w:rsidR="7ED296F6">
        <w:rPr>
          <w:rFonts w:ascii="Aptos" w:hAnsi="Aptos" w:eastAsia="Aptos" w:cs="Aptos"/>
          <w:noProof w:val="0"/>
          <w:sz w:val="28"/>
          <w:szCs w:val="28"/>
          <w:lang w:val="en-GB"/>
        </w:rPr>
        <w:t xml:space="preserve"> </w:t>
      </w:r>
    </w:p>
    <w:p xmlns:wp14="http://schemas.microsoft.com/office/word/2010/wordml" w:rsidP="0F2CE2C0" wp14:paraId="1A9B7BBB" wp14:textId="3B19F47C">
      <w:pPr>
        <w:pStyle w:val="ListParagraph"/>
        <w:numPr>
          <w:ilvl w:val="0"/>
          <w:numId w:val="6"/>
        </w:numPr>
        <w:spacing w:before="240" w:beforeAutospacing="off" w:after="240" w:afterAutospacing="off"/>
        <w:rPr>
          <w:rFonts w:ascii="Aptos" w:hAnsi="Aptos" w:eastAsia="Aptos" w:cs="Aptos"/>
          <w:noProof w:val="0"/>
          <w:sz w:val="24"/>
          <w:szCs w:val="24"/>
          <w:lang w:val="en-GB"/>
        </w:rPr>
      </w:pPr>
      <w:r w:rsidRPr="0F2CE2C0" w:rsidR="7ED296F6">
        <w:rPr>
          <w:rFonts w:ascii="Aptos" w:hAnsi="Aptos" w:eastAsia="Aptos" w:cs="Aptos"/>
          <w:b w:val="1"/>
          <w:bCs w:val="1"/>
          <w:noProof w:val="0"/>
          <w:sz w:val="28"/>
          <w:szCs w:val="28"/>
          <w:lang w:val="en-GB"/>
        </w:rPr>
        <w:t>References</w:t>
      </w:r>
      <w:r w:rsidRPr="0F2CE2C0" w:rsidR="7ED296F6">
        <w:rPr>
          <w:rFonts w:ascii="Aptos" w:hAnsi="Aptos" w:eastAsia="Aptos" w:cs="Aptos"/>
          <w:noProof w:val="0"/>
          <w:sz w:val="28"/>
          <w:szCs w:val="28"/>
          <w:lang w:val="en-GB"/>
        </w:rPr>
        <w:t xml:space="preserve"> </w:t>
      </w:r>
    </w:p>
    <w:p xmlns:wp14="http://schemas.microsoft.com/office/word/2010/wordml" w:rsidP="0F2CE2C0" wp14:paraId="23520326" wp14:textId="5C0AAB93">
      <w:pPr>
        <w:pStyle w:val="Normal"/>
        <w:rPr>
          <w:rFonts w:ascii="Arial" w:hAnsi="Arial" w:eastAsia="Arial" w:cs="Arial"/>
          <w:b w:val="1"/>
          <w:bCs w:val="1"/>
          <w:noProof w:val="0"/>
          <w:sz w:val="28"/>
          <w:szCs w:val="28"/>
          <w:lang w:val="en-GB"/>
        </w:rPr>
      </w:pPr>
    </w:p>
    <w:p xmlns:wp14="http://schemas.microsoft.com/office/word/2010/wordml" w:rsidP="0F2CE2C0" wp14:paraId="736489E9" wp14:textId="2CFF29C7">
      <w:pPr>
        <w:pStyle w:val="Normal"/>
        <w:rPr>
          <w:rFonts w:ascii="Arial" w:hAnsi="Arial" w:eastAsia="Arial" w:cs="Arial"/>
          <w:b w:val="1"/>
          <w:bCs w:val="1"/>
          <w:noProof w:val="0"/>
          <w:sz w:val="28"/>
          <w:szCs w:val="28"/>
          <w:lang w:val="en-GB"/>
        </w:rPr>
      </w:pPr>
    </w:p>
    <w:p xmlns:wp14="http://schemas.microsoft.com/office/word/2010/wordml" w:rsidP="0F2CE2C0" wp14:paraId="6DB3F587" wp14:textId="7B79168A">
      <w:pPr>
        <w:pStyle w:val="Normal"/>
        <w:rPr>
          <w:rFonts w:ascii="Arial" w:hAnsi="Arial" w:eastAsia="Arial" w:cs="Arial"/>
          <w:b w:val="1"/>
          <w:bCs w:val="1"/>
          <w:noProof w:val="0"/>
          <w:sz w:val="28"/>
          <w:szCs w:val="28"/>
          <w:lang w:val="en-GB"/>
        </w:rPr>
      </w:pPr>
    </w:p>
    <w:p xmlns:wp14="http://schemas.microsoft.com/office/word/2010/wordml" w:rsidP="0F2CE2C0" wp14:paraId="63873DA3" wp14:textId="4350212F">
      <w:pPr>
        <w:pStyle w:val="Normal"/>
        <w:rPr>
          <w:rFonts w:ascii="Arial" w:hAnsi="Arial" w:eastAsia="Arial" w:cs="Arial"/>
          <w:b w:val="1"/>
          <w:bCs w:val="1"/>
          <w:noProof w:val="0"/>
          <w:sz w:val="28"/>
          <w:szCs w:val="28"/>
          <w:lang w:val="en-GB"/>
        </w:rPr>
      </w:pPr>
    </w:p>
    <w:p xmlns:wp14="http://schemas.microsoft.com/office/word/2010/wordml" w:rsidP="0F2CE2C0" wp14:paraId="2C5EF69A" wp14:textId="6BCD8D0A">
      <w:pPr>
        <w:pStyle w:val="Normal"/>
        <w:rPr>
          <w:rFonts w:ascii="Arial" w:hAnsi="Arial" w:eastAsia="Arial" w:cs="Arial"/>
          <w:b w:val="1"/>
          <w:bCs w:val="1"/>
          <w:noProof w:val="0"/>
          <w:sz w:val="28"/>
          <w:szCs w:val="28"/>
          <w:lang w:val="en-GB"/>
        </w:rPr>
      </w:pPr>
    </w:p>
    <w:p xmlns:wp14="http://schemas.microsoft.com/office/word/2010/wordml" w:rsidP="0F2CE2C0" wp14:paraId="505CBF6F" wp14:textId="7D1DC360">
      <w:pPr>
        <w:pStyle w:val="Normal"/>
        <w:rPr>
          <w:rFonts w:ascii="Arial" w:hAnsi="Arial" w:eastAsia="Arial" w:cs="Arial"/>
          <w:b w:val="1"/>
          <w:bCs w:val="1"/>
          <w:noProof w:val="0"/>
          <w:sz w:val="28"/>
          <w:szCs w:val="28"/>
          <w:lang w:val="en-GB"/>
        </w:rPr>
      </w:pPr>
    </w:p>
    <w:p xmlns:wp14="http://schemas.microsoft.com/office/word/2010/wordml" w:rsidP="0F2CE2C0" wp14:paraId="506B2AEB" wp14:textId="2797D29A">
      <w:pPr>
        <w:pStyle w:val="Normal"/>
        <w:rPr>
          <w:rFonts w:ascii="Arial" w:hAnsi="Arial" w:eastAsia="Arial" w:cs="Arial"/>
          <w:b w:val="1"/>
          <w:bCs w:val="1"/>
          <w:noProof w:val="0"/>
          <w:sz w:val="28"/>
          <w:szCs w:val="28"/>
          <w:lang w:val="en-GB"/>
        </w:rPr>
      </w:pPr>
    </w:p>
    <w:p xmlns:wp14="http://schemas.microsoft.com/office/word/2010/wordml" w:rsidP="0F2CE2C0" wp14:paraId="243314DB" wp14:textId="05FD2BB8">
      <w:pPr>
        <w:pStyle w:val="Normal"/>
        <w:rPr>
          <w:rFonts w:ascii="Arial" w:hAnsi="Arial" w:eastAsia="Arial" w:cs="Arial"/>
          <w:b w:val="1"/>
          <w:bCs w:val="1"/>
          <w:noProof w:val="0"/>
          <w:sz w:val="28"/>
          <w:szCs w:val="28"/>
          <w:lang w:val="en-GB"/>
        </w:rPr>
      </w:pPr>
    </w:p>
    <w:p xmlns:wp14="http://schemas.microsoft.com/office/word/2010/wordml" w:rsidP="0F2CE2C0" wp14:paraId="744C3626" wp14:textId="0B919372">
      <w:pPr>
        <w:pStyle w:val="Normal"/>
        <w:rPr>
          <w:rFonts w:ascii="Arial" w:hAnsi="Arial" w:eastAsia="Arial" w:cs="Arial"/>
          <w:b w:val="1"/>
          <w:bCs w:val="1"/>
          <w:noProof w:val="0"/>
          <w:sz w:val="28"/>
          <w:szCs w:val="28"/>
          <w:lang w:val="en-GB"/>
        </w:rPr>
      </w:pPr>
    </w:p>
    <w:p xmlns:wp14="http://schemas.microsoft.com/office/word/2010/wordml" w:rsidP="0F2CE2C0" wp14:paraId="78CD95CA" wp14:textId="787CC0EA">
      <w:pPr>
        <w:pStyle w:val="Normal"/>
        <w:rPr>
          <w:rFonts w:ascii="Arial" w:hAnsi="Arial" w:eastAsia="Arial" w:cs="Arial"/>
          <w:b w:val="1"/>
          <w:bCs w:val="1"/>
          <w:noProof w:val="0"/>
          <w:sz w:val="28"/>
          <w:szCs w:val="28"/>
          <w:lang w:val="en-GB"/>
        </w:rPr>
      </w:pPr>
    </w:p>
    <w:p xmlns:wp14="http://schemas.microsoft.com/office/word/2010/wordml" w:rsidP="0F2CE2C0" wp14:paraId="79DFAA42" wp14:textId="38A6426C">
      <w:pPr>
        <w:pStyle w:val="Normal"/>
        <w:rPr>
          <w:rFonts w:ascii="Arial" w:hAnsi="Arial" w:eastAsia="Arial" w:cs="Arial"/>
          <w:b w:val="1"/>
          <w:bCs w:val="1"/>
          <w:noProof w:val="0"/>
          <w:sz w:val="28"/>
          <w:szCs w:val="28"/>
          <w:lang w:val="en-GB"/>
        </w:rPr>
      </w:pPr>
    </w:p>
    <w:p xmlns:wp14="http://schemas.microsoft.com/office/word/2010/wordml" w:rsidP="0F2CE2C0" wp14:paraId="097AA275" wp14:textId="68E91D92">
      <w:pPr>
        <w:pStyle w:val="Normal"/>
        <w:rPr>
          <w:rFonts w:ascii="Arial" w:hAnsi="Arial" w:eastAsia="Arial" w:cs="Arial"/>
          <w:b w:val="1"/>
          <w:bCs w:val="1"/>
          <w:noProof w:val="0"/>
          <w:sz w:val="28"/>
          <w:szCs w:val="28"/>
          <w:lang w:val="en-GB"/>
        </w:rPr>
      </w:pPr>
      <w:r w:rsidRPr="0F2CE2C0" w:rsidR="1D5E49EA">
        <w:rPr>
          <w:rFonts w:ascii="Arial" w:hAnsi="Arial" w:eastAsia="Arial" w:cs="Arial"/>
          <w:b w:val="1"/>
          <w:bCs w:val="1"/>
          <w:noProof w:val="0"/>
          <w:sz w:val="28"/>
          <w:szCs w:val="28"/>
          <w:lang w:val="en-GB"/>
        </w:rPr>
        <w:t>A Critical Analysis of External Factors Impacting High Street Retailers in the UK</w:t>
      </w:r>
    </w:p>
    <w:p xmlns:wp14="http://schemas.microsoft.com/office/word/2010/wordml" w:rsidP="0F2CE2C0" wp14:paraId="25365A15" wp14:textId="4B141330">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UK High Street, once the heart of retail and local communities, is now grappling with immense pressure. Over the past decade, and especially since the COVID-19 pandemic, traditional brick-and-mortar retailers have faced falling footfall, surging operational costs, and the fast rise of online competition. Brexit and the ongoing cost-of-living crisis have only added to these difficulties, changing the retail landscape across the country.</w:t>
      </w:r>
    </w:p>
    <w:p xmlns:wp14="http://schemas.microsoft.com/office/word/2010/wordml" w:rsidP="0F2CE2C0" wp14:paraId="24E345B7" wp14:textId="4816598B">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report explores the external factors shaping the current state of UK High Street retailers using two strategic tools: PESTLE and SWOT analysis. These tools help to break down the complex environment into key areas of influence, enabling a clearer understanding of the risks and opportunities that retailers must address.</w:t>
      </w:r>
    </w:p>
    <w:p xmlns:wp14="http://schemas.microsoft.com/office/word/2010/wordml" w:rsidP="0F2CE2C0" wp14:paraId="4938634C" wp14:textId="299FEDE9">
      <w:pPr>
        <w:pStyle w:val="Normal"/>
        <w:rPr>
          <w:rFonts w:ascii="Arial" w:hAnsi="Arial" w:eastAsia="Arial" w:cs="Arial"/>
          <w:b w:val="1"/>
          <w:bCs w:val="1"/>
          <w:noProof w:val="0"/>
          <w:sz w:val="28"/>
          <w:szCs w:val="28"/>
          <w:lang w:val="en-GB"/>
        </w:rPr>
      </w:pPr>
      <w:r w:rsidRPr="0F2CE2C0" w:rsidR="1D5E49EA">
        <w:rPr>
          <w:rFonts w:ascii="Arial" w:hAnsi="Arial" w:eastAsia="Arial" w:cs="Arial"/>
          <w:b w:val="1"/>
          <w:bCs w:val="1"/>
          <w:noProof w:val="0"/>
          <w:sz w:val="28"/>
          <w:szCs w:val="28"/>
          <w:lang w:val="en-GB"/>
        </w:rPr>
        <w:t>PESTLE Analysis</w:t>
      </w:r>
    </w:p>
    <w:p xmlns:wp14="http://schemas.microsoft.com/office/word/2010/wordml" w:rsidP="0F2CE2C0" wp14:paraId="17A295F0" wp14:textId="2751259E">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Political factors such as Brexit have disrupted supply chains and created trade complications, especially for retailers reliant on imported goods. Many businesses also lost government support schemes post-pandemic, such as furlough and business rates relief, which had previously helped them survive (British Retail Consortium, 2022). On the brighter side, schemes like the Levelling Up Fund offer support for town centre regeneration (MHCLG, 2021).</w:t>
      </w:r>
    </w:p>
    <w:p xmlns:wp14="http://schemas.microsoft.com/office/word/2010/wordml" w:rsidP="0F2CE2C0" wp14:paraId="2202BC0E" wp14:textId="747E2893">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Economically, inflation and rising interest rates have squeezed both consumer spending and retailer profit margins. Energy costs, raw materials, and wages have all gone up, making day-to-day operations more expensive (ONS, 2023).</w:t>
      </w:r>
    </w:p>
    <w:p xmlns:wp14="http://schemas.microsoft.com/office/word/2010/wordml" w:rsidP="0F2CE2C0" wp14:paraId="50CB50DD" wp14:textId="29450340">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Social shifts are equally important. There’s been a strong move towards online shopping and a preference for speed and convenience. However, many consumers are now more socially conscious—favouring local, sustainable, and ethical shopping experiences (Mintel, 2023).</w:t>
      </w:r>
    </w:p>
    <w:p xmlns:wp14="http://schemas.microsoft.com/office/word/2010/wordml" w:rsidP="0F2CE2C0" wp14:paraId="19855293" wp14:textId="258FBF9B">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Technological developments such as mobile shopping, digital marketing, and AI-powered customer service are redefining what shoppers expect. High Street retailers without these capabilities risk falling behind (PwC, 2023).</w:t>
      </w:r>
    </w:p>
    <w:p xmlns:wp14="http://schemas.microsoft.com/office/word/2010/wordml" w:rsidP="0F2CE2C0" wp14:paraId="5B625575" wp14:textId="5A2A5759">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Legally, retailers must stay on top of employment laws, consumer rights, and data protection under GDPR (ACAS, 2023). The issue of high business rates continues to be a major concern for physical retailers, who often pay more than online-only competitors (ICO, 2024).</w:t>
      </w:r>
    </w:p>
    <w:p xmlns:wp14="http://schemas.microsoft.com/office/word/2010/wordml" w:rsidP="0F2CE2C0" wp14:paraId="6723A664" wp14:textId="43076BAE">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Environmental awareness is growing rapidly. Many customers expect retailers to demonstrate green credentials, whether that’s through packaging reduction, emissions management, or ethical sourcing (DEFRA, 2023).</w:t>
      </w:r>
    </w:p>
    <w:p xmlns:wp14="http://schemas.microsoft.com/office/word/2010/wordml" w:rsidP="0F2CE2C0" wp14:paraId="29FD2860" wp14:textId="12FD98CD">
      <w:pPr>
        <w:pStyle w:val="Normal"/>
        <w:rPr>
          <w:rFonts w:ascii="Arial" w:hAnsi="Arial" w:eastAsia="Arial" w:cs="Arial"/>
          <w:b w:val="1"/>
          <w:bCs w:val="1"/>
          <w:noProof w:val="0"/>
          <w:sz w:val="28"/>
          <w:szCs w:val="28"/>
          <w:lang w:val="en-GB"/>
        </w:rPr>
      </w:pPr>
      <w:r w:rsidRPr="0F2CE2C0" w:rsidR="1D5E49EA">
        <w:rPr>
          <w:rFonts w:ascii="Arial" w:hAnsi="Arial" w:eastAsia="Arial" w:cs="Arial"/>
          <w:b w:val="1"/>
          <w:bCs w:val="1"/>
          <w:noProof w:val="0"/>
          <w:sz w:val="28"/>
          <w:szCs w:val="28"/>
          <w:lang w:val="en-GB"/>
        </w:rPr>
        <w:t>SWOT Analysis</w:t>
      </w:r>
    </w:p>
    <w:p xmlns:wp14="http://schemas.microsoft.com/office/word/2010/wordml" w:rsidP="0F2CE2C0" wp14:paraId="07CA94B2" wp14:textId="5C90B31C">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High Street retailers do have strengths—brand recognition, local customer loyalty, and the ability to offer personalised in-store experiences (Statista, 2023).</w:t>
      </w:r>
    </w:p>
    <w:p xmlns:wp14="http://schemas.microsoft.com/office/word/2010/wordml" w:rsidP="0F2CE2C0" wp14:paraId="41B601C5" wp14:textId="157941F8">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However, they face weaknesses such as high fixed costs, slower adoption of technology, and inflexible lease agreements (Centre for Retail Research, 2023).</w:t>
      </w:r>
    </w:p>
    <w:p xmlns:wp14="http://schemas.microsoft.com/office/word/2010/wordml" w:rsidP="0F2CE2C0" wp14:paraId="70A152A3" wp14:textId="191457A8">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Opportunities lie in offering sustainable products, expanding online services, and making use of government town centre funding (MHCLG, 2021).</w:t>
      </w:r>
    </w:p>
    <w:p xmlns:wp14="http://schemas.microsoft.com/office/word/2010/wordml" w:rsidP="0F2CE2C0" wp14:paraId="1C765363" wp14:textId="398AE185">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But threats are substantial—especially from online retail giants offering cheaper prices, faster delivery, and wider product ranges (PwC, 2023). The cost-of-living crisis also means many consumers are cutting back on non-essential spending (ONS, 2023).</w:t>
      </w:r>
    </w:p>
    <w:p xmlns:wp14="http://schemas.microsoft.com/office/word/2010/wordml" w:rsidP="0F2CE2C0" wp14:paraId="3A3E1C8B" wp14:textId="0D0FC7AE">
      <w:pPr>
        <w:pStyle w:val="Normal"/>
        <w:rPr>
          <w:rFonts w:ascii="Arial" w:hAnsi="Arial" w:eastAsia="Arial" w:cs="Arial"/>
          <w:b w:val="1"/>
          <w:bCs w:val="1"/>
          <w:noProof w:val="0"/>
          <w:sz w:val="28"/>
          <w:szCs w:val="28"/>
          <w:lang w:val="en-GB"/>
        </w:rPr>
      </w:pPr>
      <w:r w:rsidRPr="0F2CE2C0" w:rsidR="1D5E49EA">
        <w:rPr>
          <w:rFonts w:ascii="Arial" w:hAnsi="Arial" w:eastAsia="Arial" w:cs="Arial"/>
          <w:b w:val="1"/>
          <w:bCs w:val="1"/>
          <w:noProof w:val="0"/>
          <w:sz w:val="28"/>
          <w:szCs w:val="28"/>
          <w:lang w:val="en-GB"/>
        </w:rPr>
        <w:t>Conclusion</w:t>
      </w:r>
    </w:p>
    <w:p xmlns:wp14="http://schemas.microsoft.com/office/word/2010/wordml" w:rsidP="0F2CE2C0" wp14:paraId="45F16C63" wp14:textId="19AA710C">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UK High Street is at a crucial point. Retailers face serious external pressures—from economic shocks to fast-paced digital change. Yet there is still opportunity for those who adapt. Understanding the external landscape through tools like PESTLE and SWOT reveals both the threats and openings that retailers must navigate. Those that lean into digital transformation, social values, and local identity are most likely to find success in the years ahead.</w:t>
      </w:r>
    </w:p>
    <w:p xmlns:wp14="http://schemas.microsoft.com/office/word/2010/wordml" w:rsidP="0F2CE2C0" wp14:paraId="6C544AA4" wp14:textId="5496EEED">
      <w:pPr>
        <w:pStyle w:val="Normal"/>
        <w:rPr>
          <w:rFonts w:ascii="Arial" w:hAnsi="Arial" w:eastAsia="Arial" w:cs="Arial"/>
          <w:b w:val="1"/>
          <w:bCs w:val="1"/>
          <w:i w:val="0"/>
          <w:iCs w:val="0"/>
          <w:strike w:val="0"/>
          <w:dstrike w:val="0"/>
          <w:noProof w:val="0"/>
          <w:color w:val="4F81BD"/>
          <w:sz w:val="28"/>
          <w:szCs w:val="28"/>
          <w:u w:val="none"/>
          <w:lang w:val="en-GB"/>
        </w:rPr>
      </w:pPr>
      <w:r w:rsidRPr="0F2CE2C0" w:rsidR="1D5E49EA">
        <w:rPr>
          <w:rFonts w:ascii="Arial" w:hAnsi="Arial" w:eastAsia="Arial" w:cs="Arial"/>
          <w:b w:val="1"/>
          <w:bCs w:val="1"/>
          <w:noProof w:val="0"/>
          <w:sz w:val="28"/>
          <w:szCs w:val="28"/>
          <w:lang w:val="en-GB"/>
        </w:rPr>
        <w:t>Recommendations</w:t>
      </w:r>
    </w:p>
    <w:p xmlns:wp14="http://schemas.microsoft.com/office/word/2010/wordml" w:rsidP="0F2CE2C0" wp14:paraId="31C804CD" wp14:textId="1B89F9BA">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Embrace Omnichannel Retailing: Retailers must bridge the gap between online and physical shopping. Features like click-and-collect, local delivery, and seamless web interfaces help meet the expectations of today’s shopper (PwC, 2023).</w:t>
      </w:r>
    </w:p>
    <w:p xmlns:wp14="http://schemas.microsoft.com/office/word/2010/wordml" w:rsidP="0F2CE2C0" wp14:paraId="65A06FBB" wp14:textId="1012F97D">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 Strengthen Sustainability and Community Focus: Retailers should demonstrate clear environmental responsibility, such as by reducing packaging or sourcing locally. At the same time, celebrating local culture and engaging with the community can help to build a loyal customer base (Mintel, 2023; DEFRA, 2023).</w:t>
      </w:r>
    </w:p>
    <w:p xmlns:wp14="http://schemas.microsoft.com/office/word/2010/wordml" w:rsidP="0F2CE2C0" wp14:paraId="70B2C999" wp14:textId="0DE04D51">
      <w:pPr>
        <w:pStyle w:val="Normal"/>
        <w:rPr>
          <w:rFonts w:ascii="Arial" w:hAnsi="Arial" w:eastAsia="Arial" w:cs="Arial"/>
          <w:b w:val="1"/>
          <w:bCs w:val="1"/>
          <w:noProof w:val="0"/>
          <w:sz w:val="28"/>
          <w:szCs w:val="28"/>
          <w:lang w:val="en-GB"/>
        </w:rPr>
      </w:pPr>
    </w:p>
    <w:p xmlns:wp14="http://schemas.microsoft.com/office/word/2010/wordml" w:rsidP="0F2CE2C0" wp14:paraId="00C5EE23" wp14:textId="2727833A">
      <w:pPr>
        <w:pStyle w:val="Normal"/>
        <w:rPr>
          <w:rFonts w:ascii="Arial" w:hAnsi="Arial" w:eastAsia="Arial" w:cs="Arial"/>
          <w:b w:val="1"/>
          <w:bCs w:val="1"/>
          <w:noProof w:val="0"/>
          <w:sz w:val="28"/>
          <w:szCs w:val="28"/>
          <w:lang w:val="en-GB"/>
        </w:rPr>
      </w:pPr>
    </w:p>
    <w:p xmlns:wp14="http://schemas.microsoft.com/office/word/2010/wordml" w:rsidP="0F2CE2C0" wp14:paraId="32FA0326" wp14:textId="703B0F87">
      <w:pPr>
        <w:pStyle w:val="Normal"/>
        <w:rPr>
          <w:rFonts w:ascii="Arial" w:hAnsi="Arial" w:eastAsia="Arial" w:cs="Arial"/>
          <w:b w:val="1"/>
          <w:bCs w:val="1"/>
          <w:noProof w:val="0"/>
          <w:sz w:val="28"/>
          <w:szCs w:val="28"/>
          <w:lang w:val="en-GB"/>
        </w:rPr>
      </w:pPr>
    </w:p>
    <w:p xmlns:wp14="http://schemas.microsoft.com/office/word/2010/wordml" w:rsidP="0F2CE2C0" wp14:paraId="7DB8338B" wp14:textId="153F3FF1">
      <w:pPr>
        <w:pStyle w:val="Normal"/>
        <w:rPr>
          <w:rFonts w:ascii="Arial" w:hAnsi="Arial" w:eastAsia="Arial" w:cs="Arial"/>
          <w:b w:val="1"/>
          <w:bCs w:val="1"/>
          <w:noProof w:val="0"/>
          <w:sz w:val="28"/>
          <w:szCs w:val="28"/>
          <w:lang w:val="en-GB"/>
        </w:rPr>
      </w:pPr>
    </w:p>
    <w:p xmlns:wp14="http://schemas.microsoft.com/office/word/2010/wordml" w:rsidP="0F2CE2C0" wp14:paraId="521A131E" wp14:textId="772DCC6D">
      <w:pPr>
        <w:pStyle w:val="Normal"/>
        <w:rPr>
          <w:rFonts w:ascii="Arial" w:hAnsi="Arial" w:eastAsia="Arial" w:cs="Arial"/>
          <w:b w:val="1"/>
          <w:bCs w:val="1"/>
          <w:noProof w:val="0"/>
          <w:sz w:val="28"/>
          <w:szCs w:val="28"/>
          <w:lang w:val="en-GB"/>
        </w:rPr>
      </w:pPr>
    </w:p>
    <w:p xmlns:wp14="http://schemas.microsoft.com/office/word/2010/wordml" w:rsidP="0F2CE2C0" wp14:paraId="1AD4A18A" wp14:textId="1A4CF4FC">
      <w:pPr>
        <w:pStyle w:val="Normal"/>
        <w:rPr>
          <w:rFonts w:ascii="Arial" w:hAnsi="Arial" w:eastAsia="Arial" w:cs="Arial"/>
          <w:b w:val="1"/>
          <w:bCs w:val="1"/>
          <w:noProof w:val="0"/>
          <w:sz w:val="28"/>
          <w:szCs w:val="28"/>
          <w:lang w:val="en-GB"/>
        </w:rPr>
      </w:pPr>
    </w:p>
    <w:p xmlns:wp14="http://schemas.microsoft.com/office/word/2010/wordml" w:rsidP="0F2CE2C0" wp14:paraId="0496631E" wp14:textId="600B3F51">
      <w:pPr>
        <w:pStyle w:val="Normal"/>
        <w:rPr>
          <w:rFonts w:ascii="Arial" w:hAnsi="Arial" w:eastAsia="Arial" w:cs="Arial"/>
          <w:b w:val="1"/>
          <w:bCs w:val="1"/>
          <w:noProof w:val="0"/>
          <w:sz w:val="28"/>
          <w:szCs w:val="28"/>
          <w:lang w:val="en-GB"/>
        </w:rPr>
      </w:pPr>
    </w:p>
    <w:p xmlns:wp14="http://schemas.microsoft.com/office/word/2010/wordml" w:rsidP="0F2CE2C0" wp14:paraId="385A1382" wp14:textId="247170A6">
      <w:pPr>
        <w:pStyle w:val="Normal"/>
        <w:rPr>
          <w:rFonts w:ascii="Arial" w:hAnsi="Arial" w:eastAsia="Arial" w:cs="Arial"/>
          <w:b w:val="1"/>
          <w:bCs w:val="1"/>
          <w:noProof w:val="0"/>
          <w:sz w:val="28"/>
          <w:szCs w:val="28"/>
          <w:lang w:val="en-GB"/>
        </w:rPr>
      </w:pPr>
    </w:p>
    <w:p xmlns:wp14="http://schemas.microsoft.com/office/word/2010/wordml" w:rsidP="0F2CE2C0" wp14:paraId="682AA3CF" wp14:textId="669CE2E5">
      <w:pPr>
        <w:pStyle w:val="Normal"/>
        <w:rPr>
          <w:rFonts w:ascii="Arial" w:hAnsi="Arial" w:eastAsia="Arial" w:cs="Arial"/>
          <w:b w:val="1"/>
          <w:bCs w:val="1"/>
          <w:noProof w:val="0"/>
          <w:sz w:val="28"/>
          <w:szCs w:val="28"/>
          <w:lang w:val="en-GB"/>
        </w:rPr>
      </w:pPr>
    </w:p>
    <w:p xmlns:wp14="http://schemas.microsoft.com/office/word/2010/wordml" w:rsidP="0F2CE2C0" wp14:paraId="1712AEEB" wp14:textId="0F7C8BB8">
      <w:pPr>
        <w:pStyle w:val="Normal"/>
        <w:rPr>
          <w:rFonts w:ascii="Arial" w:hAnsi="Arial" w:eastAsia="Arial" w:cs="Arial"/>
          <w:b w:val="1"/>
          <w:bCs w:val="1"/>
          <w:noProof w:val="0"/>
          <w:sz w:val="28"/>
          <w:szCs w:val="28"/>
          <w:lang w:val="en-GB"/>
        </w:rPr>
      </w:pPr>
    </w:p>
    <w:p xmlns:wp14="http://schemas.microsoft.com/office/word/2010/wordml" w:rsidP="0F2CE2C0" wp14:paraId="1C5E108E" wp14:textId="260979CD">
      <w:pPr>
        <w:pStyle w:val="Normal"/>
        <w:rPr>
          <w:rFonts w:ascii="Arial" w:hAnsi="Arial" w:eastAsia="Arial" w:cs="Arial"/>
          <w:b w:val="1"/>
          <w:bCs w:val="1"/>
          <w:noProof w:val="0"/>
          <w:sz w:val="28"/>
          <w:szCs w:val="28"/>
          <w:lang w:val="en-GB"/>
        </w:rPr>
      </w:pPr>
      <w:r w:rsidRPr="0F2CE2C0" w:rsidR="1D5E49EA">
        <w:rPr>
          <w:rFonts w:ascii="Arial" w:hAnsi="Arial" w:eastAsia="Arial" w:cs="Arial"/>
          <w:b w:val="1"/>
          <w:bCs w:val="1"/>
          <w:noProof w:val="0"/>
          <w:sz w:val="28"/>
          <w:szCs w:val="28"/>
          <w:lang w:val="en-GB"/>
        </w:rPr>
        <w:t>References</w:t>
      </w:r>
    </w:p>
    <w:p xmlns:wp14="http://schemas.microsoft.com/office/word/2010/wordml" w:rsidP="0F2CE2C0" wp14:paraId="5F173B7C" wp14:textId="59481B00">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ACAS (2023) Employment Law Updates. Available at: </w:t>
      </w:r>
      <w:hyperlink r:id="Rdbabf55cdeaf4873">
        <w:r w:rsidRPr="0F2CE2C0" w:rsidR="1D5E49EA">
          <w:rPr>
            <w:rStyle w:val="Hyperlink"/>
            <w:rFonts w:ascii="Times New Roman" w:hAnsi="Times New Roman" w:eastAsia="Times New Roman" w:cs="Times New Roman"/>
            <w:b w:val="0"/>
            <w:bCs w:val="0"/>
            <w:i w:val="0"/>
            <w:iCs w:val="0"/>
            <w:strike w:val="0"/>
            <w:dstrike w:val="0"/>
            <w:noProof w:val="0"/>
            <w:sz w:val="24"/>
            <w:szCs w:val="24"/>
            <w:lang w:val="en-GB"/>
          </w:rPr>
          <w:t>https://www.acas.org.uk/employment-law-updates</w:t>
        </w:r>
      </w:hyperlink>
    </w:p>
    <w:p xmlns:wp14="http://schemas.microsoft.com/office/word/2010/wordml" w:rsidP="0F2CE2C0" wp14:paraId="1EAFBCB4" wp14:textId="7DAE4DBA">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Bank of England (2024) Monetary Policy Report – March 2024. Available at: </w:t>
      </w:r>
      <w:hyperlink r:id="Rfc83544e10884be9">
        <w:r w:rsidRPr="0F2CE2C0" w:rsidR="1D5E49EA">
          <w:rPr>
            <w:rStyle w:val="Hyperlink"/>
            <w:rFonts w:ascii="Times New Roman" w:hAnsi="Times New Roman" w:eastAsia="Times New Roman" w:cs="Times New Roman"/>
            <w:b w:val="0"/>
            <w:bCs w:val="0"/>
            <w:i w:val="0"/>
            <w:iCs w:val="0"/>
            <w:strike w:val="0"/>
            <w:dstrike w:val="0"/>
            <w:noProof w:val="0"/>
            <w:sz w:val="24"/>
            <w:szCs w:val="24"/>
            <w:lang w:val="en-GB"/>
          </w:rPr>
          <w:t>https://www.bankofengland.co.uk</w:t>
        </w:r>
      </w:hyperlink>
    </w:p>
    <w:p xmlns:wp14="http://schemas.microsoft.com/office/word/2010/wordml" w:rsidP="0F2CE2C0" wp14:paraId="67D7971C" wp14:textId="23CEA6B9">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British Retail Consortium (2022) Brexit and Retail Supply Chains. Available at: </w:t>
      </w:r>
      <w:hyperlink r:id="Rac806391ca854ea6">
        <w:r w:rsidRPr="0F2CE2C0" w:rsidR="1D5E49EA">
          <w:rPr>
            <w:rStyle w:val="Hyperlink"/>
            <w:rFonts w:ascii="Times New Roman" w:hAnsi="Times New Roman" w:eastAsia="Times New Roman" w:cs="Times New Roman"/>
            <w:b w:val="0"/>
            <w:bCs w:val="0"/>
            <w:i w:val="0"/>
            <w:iCs w:val="0"/>
            <w:strike w:val="0"/>
            <w:dstrike w:val="0"/>
            <w:noProof w:val="0"/>
            <w:sz w:val="24"/>
            <w:szCs w:val="24"/>
            <w:lang w:val="en-GB"/>
          </w:rPr>
          <w:t>https://brc.org.uk</w:t>
        </w:r>
      </w:hyperlink>
    </w:p>
    <w:p xmlns:wp14="http://schemas.microsoft.com/office/word/2010/wordml" w:rsidP="0F2CE2C0" wp14:paraId="6BF04FA0" wp14:textId="6ACD3B76">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Centre for Retail Research (2023) Retail in Crisis Report. Available at: </w:t>
      </w:r>
      <w:hyperlink r:id="R16643d3650474912">
        <w:r w:rsidRPr="0F2CE2C0" w:rsidR="1D5E49EA">
          <w:rPr>
            <w:rStyle w:val="Hyperlink"/>
            <w:rFonts w:ascii="Times New Roman" w:hAnsi="Times New Roman" w:eastAsia="Times New Roman" w:cs="Times New Roman"/>
            <w:b w:val="0"/>
            <w:bCs w:val="0"/>
            <w:i w:val="0"/>
            <w:iCs w:val="0"/>
            <w:strike w:val="0"/>
            <w:dstrike w:val="0"/>
            <w:noProof w:val="0"/>
            <w:sz w:val="24"/>
            <w:szCs w:val="24"/>
            <w:lang w:val="en-GB"/>
          </w:rPr>
          <w:t>https://www.retailresearch.org</w:t>
        </w:r>
      </w:hyperlink>
    </w:p>
    <w:p xmlns:wp14="http://schemas.microsoft.com/office/word/2010/wordml" w:rsidP="0F2CE2C0" wp14:paraId="31452D42" wp14:textId="155C7E5D">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DEFRA (2023) Net Zero Strategy. Available at: </w:t>
      </w:r>
      <w:hyperlink r:id="R44b02237c9484f50">
        <w:r w:rsidRPr="0F2CE2C0" w:rsidR="1D5E49EA">
          <w:rPr>
            <w:rStyle w:val="Hyperlink"/>
            <w:rFonts w:ascii="Times New Roman" w:hAnsi="Times New Roman" w:eastAsia="Times New Roman" w:cs="Times New Roman"/>
            <w:b w:val="0"/>
            <w:bCs w:val="0"/>
            <w:i w:val="0"/>
            <w:iCs w:val="0"/>
            <w:strike w:val="0"/>
            <w:dstrike w:val="0"/>
            <w:noProof w:val="0"/>
            <w:sz w:val="24"/>
            <w:szCs w:val="24"/>
            <w:lang w:val="en-GB"/>
          </w:rPr>
          <w:t>https://www.gov.uk/government/publications/net-zero-strategy</w:t>
        </w:r>
      </w:hyperlink>
    </w:p>
    <w:p xmlns:wp14="http://schemas.microsoft.com/office/word/2010/wordml" w:rsidP="0F2CE2C0" wp14:paraId="4C42AB74" wp14:textId="58E11EF4">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Deloitte (2022) Retail Trends 2022. Available at: </w:t>
      </w:r>
      <w:hyperlink r:id="R7517688e519147b9">
        <w:r w:rsidRPr="0F2CE2C0" w:rsidR="1D5E49EA">
          <w:rPr>
            <w:rStyle w:val="Hyperlink"/>
            <w:rFonts w:ascii="Times New Roman" w:hAnsi="Times New Roman" w:eastAsia="Times New Roman" w:cs="Times New Roman"/>
            <w:b w:val="0"/>
            <w:bCs w:val="0"/>
            <w:i w:val="0"/>
            <w:iCs w:val="0"/>
            <w:strike w:val="0"/>
            <w:dstrike w:val="0"/>
            <w:noProof w:val="0"/>
            <w:sz w:val="24"/>
            <w:szCs w:val="24"/>
            <w:lang w:val="en-GB"/>
          </w:rPr>
          <w:t>https://www2.deloitte.com</w:t>
        </w:r>
      </w:hyperlink>
    </w:p>
    <w:p xmlns:wp14="http://schemas.microsoft.com/office/word/2010/wordml" w:rsidP="0F2CE2C0" wp14:paraId="062B966E" wp14:textId="2FD0C862">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HM Treasury (2021) COVID-19 Support Schemes Summary. Available at: </w:t>
      </w:r>
      <w:hyperlink r:id="Rb617bc2f0a724e68">
        <w:r w:rsidRPr="0F2CE2C0" w:rsidR="1D5E49EA">
          <w:rPr>
            <w:rStyle w:val="Hyperlink"/>
            <w:rFonts w:ascii="Times New Roman" w:hAnsi="Times New Roman" w:eastAsia="Times New Roman" w:cs="Times New Roman"/>
            <w:b w:val="0"/>
            <w:bCs w:val="0"/>
            <w:i w:val="0"/>
            <w:iCs w:val="0"/>
            <w:strike w:val="0"/>
            <w:dstrike w:val="0"/>
            <w:noProof w:val="0"/>
            <w:sz w:val="24"/>
            <w:szCs w:val="24"/>
            <w:lang w:val="en-GB"/>
          </w:rPr>
          <w:t>https://www.gov.uk/government/publications</w:t>
        </w:r>
      </w:hyperlink>
    </w:p>
    <w:p xmlns:wp14="http://schemas.microsoft.com/office/word/2010/wordml" w:rsidP="0F2CE2C0" wp14:paraId="56FBA157" wp14:textId="514C2CDE">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ICO (2024) Data Protection and Retail. Available at: </w:t>
      </w:r>
      <w:hyperlink r:id="Rfd4afdea4b7f4b31">
        <w:r w:rsidRPr="0F2CE2C0" w:rsidR="1D5E49EA">
          <w:rPr>
            <w:rStyle w:val="Hyperlink"/>
            <w:rFonts w:ascii="Times New Roman" w:hAnsi="Times New Roman" w:eastAsia="Times New Roman" w:cs="Times New Roman"/>
            <w:b w:val="0"/>
            <w:bCs w:val="0"/>
            <w:i w:val="0"/>
            <w:iCs w:val="0"/>
            <w:strike w:val="0"/>
            <w:dstrike w:val="0"/>
            <w:noProof w:val="0"/>
            <w:sz w:val="24"/>
            <w:szCs w:val="24"/>
            <w:lang w:val="en-GB"/>
          </w:rPr>
          <w:t>https://ico.org.uk</w:t>
        </w:r>
      </w:hyperlink>
    </w:p>
    <w:p xmlns:wp14="http://schemas.microsoft.com/office/word/2010/wordml" w:rsidP="0F2CE2C0" wp14:paraId="423A13CB" wp14:textId="5B0F0DE4">
      <w:pPr>
        <w:spacing w:before="0" w:beforeAutospacing="off" w:after="200" w:afterAutospacing="off"/>
        <w:jc w:val="both"/>
      </w:pPr>
      <w:r w:rsidRPr="0F2CE2C0" w:rsidR="1D5E4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MHCLG (2021) Levelling Up Fund Prospectus. Available at: </w:t>
      </w:r>
      <w:hyperlink r:id="Rf07ddb9d1cd94a68">
        <w:r w:rsidRPr="0F2CE2C0" w:rsidR="1D5E49EA">
          <w:rPr>
            <w:rStyle w:val="Hyperlink"/>
            <w:rFonts w:ascii="Times New Roman" w:hAnsi="Times New Roman" w:eastAsia="Times New Roman" w:cs="Times New Roman"/>
            <w:b w:val="0"/>
            <w:bCs w:val="0"/>
            <w:i w:val="0"/>
            <w:iCs w:val="0"/>
            <w:strike w:val="0"/>
            <w:dstrike w:val="0"/>
            <w:noProof w:val="0"/>
            <w:sz w:val="24"/>
            <w:szCs w:val="24"/>
            <w:lang w:val="en-GB"/>
          </w:rPr>
          <w:t>https://www.gov.uk/government/publications</w:t>
        </w:r>
      </w:hyperlink>
    </w:p>
    <w:p xmlns:wp14="http://schemas.microsoft.com/office/word/2010/wordml" w:rsidP="0F2CE2C0" wp14:paraId="5A6C9248" wp14:textId="26C3EF4F">
      <w:pPr>
        <w:jc w:val="both"/>
      </w:pPr>
    </w:p>
    <w:p xmlns:wp14="http://schemas.microsoft.com/office/word/2010/wordml" w:rsidP="0F2CE2C0" wp14:paraId="39AC33DB" wp14:textId="412D1366">
      <w:pPr>
        <w:spacing w:line="360" w:lineRule="auto"/>
        <w:jc w:val="both"/>
        <w:rPr>
          <w:rFonts w:ascii="Arial" w:hAnsi="Arial" w:eastAsia="Arial" w:cs="Arial"/>
        </w:rPr>
      </w:pPr>
    </w:p>
    <w:p xmlns:wp14="http://schemas.microsoft.com/office/word/2010/wordml" w:rsidP="0F2CE2C0" wp14:paraId="57266D1C" wp14:textId="7B15BAA6">
      <w:pPr>
        <w:pStyle w:val="Normal"/>
        <w:spacing w:line="360" w:lineRule="auto"/>
        <w:jc w:val="both"/>
        <w:rPr>
          <w:rFonts w:ascii="Arial" w:hAnsi="Arial" w:eastAsia="Arial" w:cs="Arial"/>
          <w:noProof w:val="0"/>
          <w:lang w:val="en-GB"/>
        </w:rPr>
      </w:pPr>
    </w:p>
    <w:p xmlns:wp14="http://schemas.microsoft.com/office/word/2010/wordml" w:rsidP="0F2CE2C0" wp14:paraId="2E899EAC" wp14:textId="5A713BA7">
      <w:pPr>
        <w:pStyle w:val="Normal"/>
        <w:spacing w:line="360" w:lineRule="auto"/>
        <w:jc w:val="both"/>
        <w:rPr>
          <w:rFonts w:ascii="Arial" w:hAnsi="Arial" w:eastAsia="Arial" w:cs="Arial"/>
          <w:noProof w:val="0"/>
          <w:lang w:val="en-GB"/>
        </w:rPr>
      </w:pPr>
    </w:p>
    <w:p xmlns:wp14="http://schemas.microsoft.com/office/word/2010/wordml" w:rsidP="0F2CE2C0" wp14:paraId="7CA1EED7" wp14:textId="24E3C8AF">
      <w:pPr>
        <w:pStyle w:val="Normal"/>
        <w:spacing w:line="360" w:lineRule="auto"/>
        <w:jc w:val="both"/>
        <w:rPr>
          <w:rFonts w:ascii="Arial" w:hAnsi="Arial" w:eastAsia="Arial" w:cs="Arial"/>
          <w:noProof w:val="0"/>
          <w:lang w:val="en-GB"/>
        </w:rPr>
      </w:pPr>
    </w:p>
    <w:p xmlns:wp14="http://schemas.microsoft.com/office/word/2010/wordml" w:rsidP="0F2CE2C0" wp14:paraId="1DB6A794" wp14:textId="565FB102">
      <w:pPr>
        <w:pStyle w:val="Normal"/>
        <w:spacing w:line="360" w:lineRule="auto"/>
        <w:jc w:val="both"/>
        <w:rPr>
          <w:rFonts w:ascii="Arial" w:hAnsi="Arial" w:eastAsia="Arial" w:cs="Arial"/>
          <w:noProof w:val="0"/>
          <w:lang w:val="en-GB"/>
        </w:rPr>
      </w:pPr>
    </w:p>
    <w:p xmlns:wp14="http://schemas.microsoft.com/office/word/2010/wordml" w:rsidP="0F2CE2C0" wp14:paraId="3FA88908" wp14:textId="4D354274">
      <w:pPr>
        <w:pStyle w:val="Normal"/>
        <w:spacing w:line="360" w:lineRule="auto"/>
        <w:jc w:val="both"/>
        <w:rPr>
          <w:rFonts w:ascii="Arial" w:hAnsi="Arial" w:eastAsia="Arial" w:cs="Arial"/>
          <w:noProof w:val="0"/>
          <w:lang w:val="en-GB"/>
        </w:rPr>
      </w:pPr>
    </w:p>
    <w:p xmlns:wp14="http://schemas.microsoft.com/office/word/2010/wordml" w:rsidP="0F2CE2C0" wp14:paraId="26784B80" wp14:textId="19E5E613">
      <w:pPr>
        <w:pStyle w:val="Normal"/>
        <w:spacing w:line="360" w:lineRule="auto"/>
        <w:jc w:val="both"/>
        <w:rPr>
          <w:rFonts w:ascii="Arial" w:hAnsi="Arial" w:eastAsia="Arial" w:cs="Arial"/>
          <w:noProof w:val="0"/>
          <w:lang w:val="en-GB"/>
        </w:rPr>
      </w:pPr>
    </w:p>
    <w:p xmlns:wp14="http://schemas.microsoft.com/office/word/2010/wordml" w:rsidP="0F2CE2C0" wp14:paraId="7680125C" wp14:textId="372BD43D">
      <w:pPr>
        <w:pStyle w:val="Normal"/>
        <w:spacing w:line="360" w:lineRule="auto"/>
        <w:jc w:val="both"/>
        <w:rPr>
          <w:rFonts w:ascii="Arial" w:hAnsi="Arial" w:eastAsia="Arial" w:cs="Arial"/>
          <w:noProof w:val="0"/>
          <w:lang w:val="en-GB"/>
        </w:rPr>
      </w:pPr>
    </w:p>
    <w:p xmlns:wp14="http://schemas.microsoft.com/office/word/2010/wordml" w:rsidP="0F2CE2C0" wp14:paraId="2110C82E" wp14:textId="33FA0277">
      <w:pPr>
        <w:pStyle w:val="Normal"/>
        <w:spacing w:line="360" w:lineRule="auto"/>
        <w:jc w:val="both"/>
        <w:rPr>
          <w:rFonts w:ascii="Arial" w:hAnsi="Arial" w:eastAsia="Arial" w:cs="Arial"/>
          <w:noProof w:val="0"/>
          <w:lang w:val="en-GB"/>
        </w:rPr>
      </w:pPr>
    </w:p>
    <w:p xmlns:wp14="http://schemas.microsoft.com/office/word/2010/wordml" w:rsidP="0F2CE2C0" wp14:paraId="0142C2FC" wp14:textId="76F934D7">
      <w:pPr>
        <w:pStyle w:val="Normal"/>
        <w:spacing w:line="360" w:lineRule="auto"/>
        <w:jc w:val="both"/>
        <w:rPr>
          <w:rFonts w:ascii="Arial" w:hAnsi="Arial" w:eastAsia="Arial" w:cs="Arial"/>
          <w:noProof w:val="0"/>
          <w:lang w:val="en-GB"/>
        </w:rPr>
      </w:pPr>
    </w:p>
    <w:p xmlns:wp14="http://schemas.microsoft.com/office/word/2010/wordml" w:rsidP="0F2CE2C0" wp14:paraId="6570046B" wp14:textId="5FD6A30C">
      <w:pPr>
        <w:pStyle w:val="Normal"/>
        <w:spacing w:line="360" w:lineRule="auto"/>
        <w:jc w:val="both"/>
        <w:rPr>
          <w:rFonts w:ascii="Arial" w:hAnsi="Arial" w:eastAsia="Arial" w:cs="Arial"/>
          <w:b w:val="1"/>
          <w:bCs w:val="1"/>
          <w:noProof w:val="0"/>
          <w:sz w:val="28"/>
          <w:szCs w:val="28"/>
          <w:lang w:val="en-GB"/>
        </w:rPr>
      </w:pPr>
    </w:p>
    <w:p xmlns:wp14="http://schemas.microsoft.com/office/word/2010/wordml" w:rsidP="0F2CE2C0" wp14:paraId="0B37CC5F" wp14:textId="394EFD55">
      <w:pPr>
        <w:pStyle w:val="Normal"/>
        <w:spacing w:line="360" w:lineRule="auto"/>
        <w:jc w:val="both"/>
        <w:rPr>
          <w:rFonts w:ascii="Arial" w:hAnsi="Arial" w:eastAsia="Arial" w:cs="Arial"/>
          <w:b w:val="1"/>
          <w:bCs w:val="1"/>
          <w:noProof w:val="0"/>
          <w:sz w:val="28"/>
          <w:szCs w:val="28"/>
          <w:lang w:val="en-GB"/>
        </w:rPr>
      </w:pPr>
    </w:p>
    <w:p xmlns:wp14="http://schemas.microsoft.com/office/word/2010/wordml" w:rsidP="0F2CE2C0" wp14:paraId="4747BF38" wp14:textId="7CF23EB3">
      <w:pPr>
        <w:pStyle w:val="Normal"/>
        <w:spacing w:line="360" w:lineRule="auto"/>
        <w:jc w:val="both"/>
        <w:rPr>
          <w:rFonts w:ascii="Arial" w:hAnsi="Arial" w:eastAsia="Arial" w:cs="Arial"/>
          <w:b w:val="1"/>
          <w:bCs w:val="1"/>
          <w:noProof w:val="0"/>
          <w:sz w:val="28"/>
          <w:szCs w:val="28"/>
          <w:lang w:val="en-GB"/>
        </w:rPr>
      </w:pPr>
    </w:p>
    <w:p xmlns:wp14="http://schemas.microsoft.com/office/word/2010/wordml" w:rsidP="0F2CE2C0" wp14:paraId="7CFF115E" wp14:textId="45C3D737">
      <w:pPr>
        <w:pStyle w:val="Normal"/>
        <w:spacing w:line="360" w:lineRule="auto"/>
        <w:jc w:val="both"/>
        <w:rPr>
          <w:rFonts w:ascii="Arial" w:hAnsi="Arial" w:eastAsia="Arial" w:cs="Arial"/>
          <w:b w:val="1"/>
          <w:bCs w:val="1"/>
          <w:noProof w:val="0"/>
          <w:sz w:val="28"/>
          <w:szCs w:val="28"/>
          <w:lang w:val="en-GB"/>
        </w:rPr>
      </w:pPr>
    </w:p>
    <w:p xmlns:wp14="http://schemas.microsoft.com/office/word/2010/wordml" w:rsidP="0F2CE2C0" wp14:paraId="7EF6A966" wp14:textId="2C21469A">
      <w:pPr>
        <w:pStyle w:val="Normal"/>
        <w:spacing w:line="360" w:lineRule="auto"/>
        <w:jc w:val="both"/>
        <w:rPr>
          <w:rFonts w:ascii="Arial" w:hAnsi="Arial" w:eastAsia="Arial" w:cs="Arial"/>
          <w:b w:val="1"/>
          <w:bCs w:val="1"/>
          <w:noProof w:val="0"/>
          <w:sz w:val="28"/>
          <w:szCs w:val="28"/>
          <w:lang w:val="en-GB"/>
        </w:rPr>
      </w:pPr>
    </w:p>
    <w:p xmlns:wp14="http://schemas.microsoft.com/office/word/2010/wordml" w:rsidP="0F2CE2C0" wp14:paraId="5C9E8694" wp14:textId="1E02B0D4">
      <w:pPr>
        <w:pStyle w:val="Normal"/>
        <w:spacing w:line="360" w:lineRule="auto"/>
        <w:jc w:val="both"/>
        <w:rPr>
          <w:rFonts w:ascii="Arial" w:hAnsi="Arial" w:eastAsia="Arial" w:cs="Arial"/>
          <w:b w:val="1"/>
          <w:bCs w:val="1"/>
          <w:noProof w:val="0"/>
          <w:sz w:val="28"/>
          <w:szCs w:val="28"/>
          <w:lang w:val="en-GB"/>
        </w:rPr>
      </w:pPr>
    </w:p>
    <w:p xmlns:wp14="http://schemas.microsoft.com/office/word/2010/wordml" wp14:paraId="5E5787A5" wp14:textId="1F732E3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23f7b5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be906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b43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bc35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507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d75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FC5548"/>
    <w:rsid w:val="01507D60"/>
    <w:rsid w:val="0C7BA4C0"/>
    <w:rsid w:val="0F2CE2C0"/>
    <w:rsid w:val="117F55C4"/>
    <w:rsid w:val="124F3ECD"/>
    <w:rsid w:val="146EBC5F"/>
    <w:rsid w:val="1D5E49EA"/>
    <w:rsid w:val="2632FE97"/>
    <w:rsid w:val="267E80D4"/>
    <w:rsid w:val="2C67EC01"/>
    <w:rsid w:val="38F3F573"/>
    <w:rsid w:val="3C469EFE"/>
    <w:rsid w:val="45732461"/>
    <w:rsid w:val="4B1665F5"/>
    <w:rsid w:val="50686362"/>
    <w:rsid w:val="59FC5548"/>
    <w:rsid w:val="6D49DCC1"/>
    <w:rsid w:val="73B3C277"/>
    <w:rsid w:val="77A4D8F4"/>
    <w:rsid w:val="7ED296F6"/>
    <w:rsid w:val="7F11D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C5548"/>
  <w15:chartTrackingRefBased/>
  <w15:docId w15:val="{217E07D3-409D-4481-996A-35505B4877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2CE2C0"/>
    <w:pPr>
      <w:spacing/>
      <w:ind w:left="720"/>
      <w:contextualSpacing/>
    </w:pPr>
  </w:style>
  <w:style w:type="character" w:styleId="Hyperlink">
    <w:uiPriority w:val="99"/>
    <w:name w:val="Hyperlink"/>
    <w:basedOn w:val="DefaultParagraphFont"/>
    <w:unhideWhenUsed/>
    <w:rsid w:val="0F2CE2C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as.org.uk/employment-law-updates" TargetMode="External" Id="Rdbabf55cdeaf4873" /><Relationship Type="http://schemas.openxmlformats.org/officeDocument/2006/relationships/hyperlink" Target="https://www.bankofengland.co.uk" TargetMode="External" Id="Rfc83544e10884be9" /><Relationship Type="http://schemas.openxmlformats.org/officeDocument/2006/relationships/hyperlink" Target="https://brc.org.uk" TargetMode="External" Id="Rac806391ca854ea6" /><Relationship Type="http://schemas.openxmlformats.org/officeDocument/2006/relationships/hyperlink" Target="https://www.retailresearch.org" TargetMode="External" Id="R16643d3650474912" /><Relationship Type="http://schemas.openxmlformats.org/officeDocument/2006/relationships/hyperlink" Target="https://www.gov.uk/government/publications/net-zero-strategy" TargetMode="External" Id="R44b02237c9484f50" /><Relationship Type="http://schemas.openxmlformats.org/officeDocument/2006/relationships/hyperlink" Target="https://www2.deloitte.com" TargetMode="External" Id="R7517688e519147b9" /><Relationship Type="http://schemas.openxmlformats.org/officeDocument/2006/relationships/hyperlink" Target="https://www.gov.uk/government/publications" TargetMode="External" Id="Rb617bc2f0a724e68" /><Relationship Type="http://schemas.openxmlformats.org/officeDocument/2006/relationships/hyperlink" Target="https://ico.org.uk" TargetMode="External" Id="Rfd4afdea4b7f4b31" /><Relationship Type="http://schemas.openxmlformats.org/officeDocument/2006/relationships/hyperlink" Target="https://www.gov.uk/government/publications" TargetMode="External" Id="Rf07ddb9d1cd94a68" /><Relationship Type="http://schemas.openxmlformats.org/officeDocument/2006/relationships/numbering" Target="/word/numbering.xml" Id="Rff09d264268441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Mihai Naica (2411629)</dc:creator>
  <keywords/>
  <dc:description/>
  <lastModifiedBy>Daniel Mihai Naica (2411629)</lastModifiedBy>
  <revision>2</revision>
  <dcterms:created xsi:type="dcterms:W3CDTF">2025-06-27T15:53:22.4414281Z</dcterms:created>
  <dcterms:modified xsi:type="dcterms:W3CDTF">2025-06-27T16:14:13.5234297Z</dcterms:modified>
</coreProperties>
</file>