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071DAF" w14:textId="77777777" w:rsidR="00A95F0B" w:rsidRPr="008D6BC0" w:rsidRDefault="00A95F0B" w:rsidP="008D6BC0">
      <w:pPr>
        <w:spacing w:line="360" w:lineRule="auto"/>
        <w:rPr>
          <w:rFonts w:ascii="Times New Roman" w:hAnsi="Times New Roman" w:cs="Times New Roman"/>
        </w:rPr>
      </w:pPr>
    </w:p>
    <w:p w14:paraId="11B83BDC" w14:textId="77777777" w:rsidR="00A95F0B" w:rsidRPr="008D6BC0" w:rsidRDefault="00A95F0B" w:rsidP="008D6BC0">
      <w:pPr>
        <w:spacing w:line="360" w:lineRule="auto"/>
        <w:rPr>
          <w:rFonts w:ascii="Times New Roman" w:hAnsi="Times New Roman" w:cs="Times New Roman"/>
        </w:rPr>
      </w:pPr>
    </w:p>
    <w:p w14:paraId="34280E48" w14:textId="7E3B13D8" w:rsidR="00A95F0B" w:rsidRPr="008D6BC0" w:rsidRDefault="008D6BC0" w:rsidP="008D6BC0">
      <w:pPr>
        <w:spacing w:line="360" w:lineRule="auto"/>
        <w:rPr>
          <w:rFonts w:ascii="Times New Roman" w:hAnsi="Times New Roman" w:cs="Times New Roman"/>
        </w:rPr>
      </w:pPr>
      <w:r w:rsidRPr="008D6BC0">
        <w:rPr>
          <w:rFonts w:ascii="Times New Roman" w:hAnsi="Times New Roman" w:cs="Times New Roman"/>
        </w:rPr>
        <w:t>Programme:</w:t>
      </w:r>
      <w:r w:rsidRPr="008D6BC0">
        <w:rPr>
          <w:rFonts w:ascii="Times New Roman" w:hAnsi="Times New Roman" w:cs="Times New Roman"/>
        </w:rPr>
        <w:t xml:space="preserve"> </w:t>
      </w:r>
      <w:r w:rsidRPr="008D6BC0">
        <w:rPr>
          <w:rFonts w:ascii="Times New Roman" w:hAnsi="Times New Roman" w:cs="Times New Roman"/>
        </w:rPr>
        <w:t>BA (Hons) Business Management</w:t>
      </w:r>
    </w:p>
    <w:p w14:paraId="444E0580" w14:textId="3D633AEA" w:rsidR="008D6BC0" w:rsidRPr="008D6BC0" w:rsidRDefault="008D6BC0" w:rsidP="008D6BC0">
      <w:pPr>
        <w:spacing w:line="360" w:lineRule="auto"/>
        <w:rPr>
          <w:rFonts w:ascii="Times New Roman" w:hAnsi="Times New Roman" w:cs="Times New Roman"/>
        </w:rPr>
      </w:pPr>
      <w:r w:rsidRPr="008D6BC0">
        <w:rPr>
          <w:rFonts w:ascii="Times New Roman" w:hAnsi="Times New Roman" w:cs="Times New Roman"/>
        </w:rPr>
        <w:t>Module:</w:t>
      </w:r>
      <w:r w:rsidRPr="008D6BC0">
        <w:rPr>
          <w:rFonts w:ascii="Times New Roman" w:hAnsi="Times New Roman" w:cs="Times New Roman"/>
        </w:rPr>
        <w:t xml:space="preserve"> </w:t>
      </w:r>
      <w:r w:rsidRPr="008D6BC0">
        <w:rPr>
          <w:rFonts w:ascii="Times New Roman" w:hAnsi="Times New Roman" w:cs="Times New Roman"/>
        </w:rPr>
        <w:t>Principles of Human Resource Management</w:t>
      </w:r>
    </w:p>
    <w:p w14:paraId="52064E46" w14:textId="620EB004" w:rsidR="008D6BC0" w:rsidRPr="008D6BC0" w:rsidRDefault="008D6BC0" w:rsidP="008D6BC0">
      <w:pPr>
        <w:spacing w:line="360" w:lineRule="auto"/>
        <w:rPr>
          <w:rFonts w:ascii="Times New Roman" w:hAnsi="Times New Roman" w:cs="Times New Roman"/>
        </w:rPr>
      </w:pPr>
      <w:r w:rsidRPr="008D6BC0">
        <w:rPr>
          <w:rFonts w:ascii="Times New Roman" w:hAnsi="Times New Roman" w:cs="Times New Roman"/>
        </w:rPr>
        <w:t>Module code:</w:t>
      </w:r>
      <w:r w:rsidRPr="008D6BC0">
        <w:rPr>
          <w:rFonts w:ascii="Times New Roman" w:hAnsi="Times New Roman" w:cs="Times New Roman"/>
        </w:rPr>
        <w:t xml:space="preserve"> </w:t>
      </w:r>
      <w:r w:rsidRPr="008D6BC0">
        <w:rPr>
          <w:rFonts w:ascii="Times New Roman" w:hAnsi="Times New Roman" w:cs="Times New Roman"/>
        </w:rPr>
        <w:t>LCBB5012</w:t>
      </w:r>
    </w:p>
    <w:p w14:paraId="173F5AFC" w14:textId="5F0677AB" w:rsidR="008D6BC0" w:rsidRPr="008D6BC0" w:rsidRDefault="008D6BC0" w:rsidP="008D6BC0">
      <w:pPr>
        <w:spacing w:line="360" w:lineRule="auto"/>
        <w:rPr>
          <w:rFonts w:ascii="Times New Roman" w:hAnsi="Times New Roman" w:cs="Times New Roman"/>
        </w:rPr>
      </w:pPr>
      <w:r w:rsidRPr="008D6BC0">
        <w:rPr>
          <w:rFonts w:ascii="Times New Roman" w:hAnsi="Times New Roman" w:cs="Times New Roman"/>
        </w:rPr>
        <w:t>Student number: 2330278</w:t>
      </w:r>
    </w:p>
    <w:p w14:paraId="689CAD28" w14:textId="77777777" w:rsidR="00A95F0B" w:rsidRPr="008D6BC0" w:rsidRDefault="00A95F0B" w:rsidP="008D6BC0">
      <w:pPr>
        <w:spacing w:line="360" w:lineRule="auto"/>
        <w:rPr>
          <w:rFonts w:ascii="Times New Roman" w:hAnsi="Times New Roman" w:cs="Times New Roman"/>
        </w:rPr>
      </w:pPr>
    </w:p>
    <w:p w14:paraId="22F92A8F" w14:textId="77777777" w:rsidR="00A95F0B" w:rsidRPr="008D6BC0" w:rsidRDefault="00A95F0B" w:rsidP="008D6BC0">
      <w:pPr>
        <w:spacing w:line="360" w:lineRule="auto"/>
        <w:rPr>
          <w:rFonts w:ascii="Times New Roman" w:hAnsi="Times New Roman" w:cs="Times New Roman"/>
        </w:rPr>
      </w:pPr>
    </w:p>
    <w:p w14:paraId="4A7CB6B2" w14:textId="77777777" w:rsidR="00A95F0B" w:rsidRPr="008D6BC0" w:rsidRDefault="00A95F0B" w:rsidP="008D6BC0">
      <w:pPr>
        <w:spacing w:line="360" w:lineRule="auto"/>
        <w:rPr>
          <w:rFonts w:ascii="Times New Roman" w:hAnsi="Times New Roman" w:cs="Times New Roman"/>
        </w:rPr>
      </w:pPr>
    </w:p>
    <w:p w14:paraId="2F5532C7" w14:textId="77777777" w:rsidR="00A95F0B" w:rsidRPr="008D6BC0" w:rsidRDefault="00A95F0B" w:rsidP="008D6BC0">
      <w:pPr>
        <w:spacing w:line="360" w:lineRule="auto"/>
        <w:rPr>
          <w:rFonts w:ascii="Times New Roman" w:hAnsi="Times New Roman" w:cs="Times New Roman"/>
        </w:rPr>
      </w:pPr>
    </w:p>
    <w:p w14:paraId="2A48064A" w14:textId="77777777" w:rsidR="00A95F0B" w:rsidRPr="008D6BC0" w:rsidRDefault="00A95F0B" w:rsidP="008D6BC0">
      <w:pPr>
        <w:spacing w:line="360" w:lineRule="auto"/>
        <w:rPr>
          <w:rFonts w:ascii="Times New Roman" w:hAnsi="Times New Roman" w:cs="Times New Roman"/>
        </w:rPr>
      </w:pPr>
    </w:p>
    <w:p w14:paraId="546DAAD1" w14:textId="77777777" w:rsidR="00A95F0B" w:rsidRPr="008D6BC0" w:rsidRDefault="00A95F0B" w:rsidP="008D6BC0">
      <w:pPr>
        <w:spacing w:line="360" w:lineRule="auto"/>
        <w:rPr>
          <w:rFonts w:ascii="Times New Roman" w:hAnsi="Times New Roman" w:cs="Times New Roman"/>
        </w:rPr>
      </w:pPr>
    </w:p>
    <w:p w14:paraId="1FDB0260" w14:textId="77777777" w:rsidR="00A95F0B" w:rsidRPr="008D6BC0" w:rsidRDefault="00A95F0B" w:rsidP="008D6BC0">
      <w:pPr>
        <w:spacing w:line="360" w:lineRule="auto"/>
        <w:rPr>
          <w:rFonts w:ascii="Times New Roman" w:hAnsi="Times New Roman" w:cs="Times New Roman"/>
        </w:rPr>
      </w:pPr>
    </w:p>
    <w:p w14:paraId="2EFF2C31" w14:textId="77777777" w:rsidR="00A95F0B" w:rsidRPr="008D6BC0" w:rsidRDefault="00A95F0B" w:rsidP="008D6BC0">
      <w:pPr>
        <w:spacing w:line="360" w:lineRule="auto"/>
        <w:rPr>
          <w:rFonts w:ascii="Times New Roman" w:hAnsi="Times New Roman" w:cs="Times New Roman"/>
        </w:rPr>
      </w:pPr>
    </w:p>
    <w:p w14:paraId="0A9D2C09" w14:textId="77777777" w:rsidR="00A95F0B" w:rsidRPr="008D6BC0" w:rsidRDefault="00A95F0B" w:rsidP="008D6BC0">
      <w:pPr>
        <w:spacing w:line="360" w:lineRule="auto"/>
        <w:rPr>
          <w:rFonts w:ascii="Times New Roman" w:hAnsi="Times New Roman" w:cs="Times New Roman"/>
        </w:rPr>
      </w:pPr>
    </w:p>
    <w:p w14:paraId="38065806" w14:textId="77777777" w:rsidR="00A95F0B" w:rsidRPr="008D6BC0" w:rsidRDefault="00A95F0B" w:rsidP="008D6BC0">
      <w:pPr>
        <w:spacing w:line="360" w:lineRule="auto"/>
        <w:rPr>
          <w:rFonts w:ascii="Times New Roman" w:hAnsi="Times New Roman" w:cs="Times New Roman"/>
        </w:rPr>
      </w:pPr>
    </w:p>
    <w:p w14:paraId="4E3D20F4" w14:textId="77777777" w:rsidR="00A95F0B" w:rsidRPr="008D6BC0" w:rsidRDefault="00A95F0B" w:rsidP="008D6BC0">
      <w:pPr>
        <w:spacing w:line="360" w:lineRule="auto"/>
        <w:rPr>
          <w:rFonts w:ascii="Times New Roman" w:hAnsi="Times New Roman" w:cs="Times New Roman"/>
        </w:rPr>
      </w:pPr>
    </w:p>
    <w:p w14:paraId="3FD76915" w14:textId="77777777" w:rsidR="00A95F0B" w:rsidRPr="008D6BC0" w:rsidRDefault="00A95F0B" w:rsidP="008D6BC0">
      <w:pPr>
        <w:spacing w:line="360" w:lineRule="auto"/>
        <w:rPr>
          <w:rFonts w:ascii="Times New Roman" w:hAnsi="Times New Roman" w:cs="Times New Roman"/>
        </w:rPr>
      </w:pPr>
    </w:p>
    <w:p w14:paraId="4CFC3D75" w14:textId="77777777" w:rsidR="00A95F0B" w:rsidRPr="008D6BC0" w:rsidRDefault="00A95F0B" w:rsidP="008D6BC0">
      <w:pPr>
        <w:spacing w:line="360" w:lineRule="auto"/>
        <w:rPr>
          <w:rFonts w:ascii="Times New Roman" w:hAnsi="Times New Roman" w:cs="Times New Roman"/>
        </w:rPr>
      </w:pPr>
    </w:p>
    <w:p w14:paraId="281A65BE" w14:textId="77777777" w:rsidR="00A95F0B" w:rsidRPr="008D6BC0" w:rsidRDefault="00A95F0B" w:rsidP="008D6BC0">
      <w:pPr>
        <w:spacing w:line="360" w:lineRule="auto"/>
        <w:rPr>
          <w:rFonts w:ascii="Times New Roman" w:hAnsi="Times New Roman" w:cs="Times New Roman"/>
        </w:rPr>
      </w:pPr>
    </w:p>
    <w:p w14:paraId="6D9BDE7E" w14:textId="77777777" w:rsidR="00A95F0B" w:rsidRPr="008D6BC0" w:rsidRDefault="00A95F0B" w:rsidP="008D6BC0">
      <w:pPr>
        <w:spacing w:line="360" w:lineRule="auto"/>
        <w:rPr>
          <w:rFonts w:ascii="Times New Roman" w:hAnsi="Times New Roman" w:cs="Times New Roman"/>
        </w:rPr>
      </w:pPr>
    </w:p>
    <w:p w14:paraId="72CDF216" w14:textId="77777777" w:rsidR="00A95F0B" w:rsidRPr="008D6BC0" w:rsidRDefault="00A95F0B" w:rsidP="008D6BC0">
      <w:pPr>
        <w:spacing w:line="360" w:lineRule="auto"/>
        <w:rPr>
          <w:rFonts w:ascii="Times New Roman" w:hAnsi="Times New Roman" w:cs="Times New Roman"/>
        </w:rPr>
      </w:pPr>
    </w:p>
    <w:p w14:paraId="15E4ADAC" w14:textId="77777777" w:rsidR="00A95F0B" w:rsidRPr="008D6BC0" w:rsidRDefault="00A95F0B" w:rsidP="008D6BC0">
      <w:pPr>
        <w:spacing w:line="360" w:lineRule="auto"/>
        <w:rPr>
          <w:rFonts w:ascii="Times New Roman" w:hAnsi="Times New Roman" w:cs="Times New Roman"/>
        </w:rPr>
      </w:pPr>
    </w:p>
    <w:p w14:paraId="49406CAE" w14:textId="77777777" w:rsidR="00A95F0B" w:rsidRPr="008D6BC0" w:rsidRDefault="00A95F0B" w:rsidP="008D6BC0">
      <w:pPr>
        <w:spacing w:line="360" w:lineRule="auto"/>
        <w:rPr>
          <w:rFonts w:ascii="Times New Roman" w:hAnsi="Times New Roman" w:cs="Times New Roman"/>
        </w:rPr>
      </w:pPr>
    </w:p>
    <w:p w14:paraId="67838B6A" w14:textId="77777777" w:rsidR="00A95F0B" w:rsidRPr="008D6BC0" w:rsidRDefault="00A95F0B" w:rsidP="008D6BC0">
      <w:pPr>
        <w:spacing w:line="360" w:lineRule="auto"/>
        <w:rPr>
          <w:rFonts w:ascii="Times New Roman" w:hAnsi="Times New Roman" w:cs="Times New Roman"/>
        </w:rPr>
      </w:pPr>
    </w:p>
    <w:p w14:paraId="56BD58ED" w14:textId="77777777" w:rsidR="00A95F0B" w:rsidRPr="008D6BC0" w:rsidRDefault="00A95F0B" w:rsidP="008D6BC0">
      <w:pPr>
        <w:spacing w:line="360" w:lineRule="auto"/>
        <w:rPr>
          <w:rFonts w:ascii="Times New Roman" w:hAnsi="Times New Roman" w:cs="Times New Roman"/>
        </w:rPr>
      </w:pPr>
    </w:p>
    <w:p w14:paraId="38A54DAB" w14:textId="77777777" w:rsidR="00A95F0B" w:rsidRPr="008D6BC0" w:rsidRDefault="00A95F0B" w:rsidP="008D6BC0">
      <w:pPr>
        <w:spacing w:line="360" w:lineRule="auto"/>
        <w:rPr>
          <w:rFonts w:ascii="Times New Roman" w:hAnsi="Times New Roman" w:cs="Times New Roman"/>
        </w:rPr>
      </w:pPr>
    </w:p>
    <w:p w14:paraId="224BB57E" w14:textId="77777777" w:rsidR="00A95F0B" w:rsidRPr="008D6BC0" w:rsidRDefault="00A95F0B" w:rsidP="008D6BC0">
      <w:pPr>
        <w:spacing w:line="360" w:lineRule="auto"/>
        <w:rPr>
          <w:rFonts w:ascii="Times New Roman" w:hAnsi="Times New Roman" w:cs="Times New Roman"/>
        </w:rPr>
      </w:pPr>
    </w:p>
    <w:p w14:paraId="0651BDCD" w14:textId="77777777" w:rsidR="00A95F0B" w:rsidRPr="008D6BC0" w:rsidRDefault="00A95F0B" w:rsidP="008D6BC0">
      <w:pPr>
        <w:spacing w:line="360" w:lineRule="auto"/>
        <w:rPr>
          <w:rFonts w:ascii="Times New Roman" w:hAnsi="Times New Roman" w:cs="Times New Roman"/>
        </w:rPr>
      </w:pPr>
    </w:p>
    <w:p w14:paraId="3C928B55" w14:textId="77777777" w:rsidR="00A95F0B" w:rsidRPr="008D6BC0" w:rsidRDefault="00A95F0B" w:rsidP="008D6BC0">
      <w:pPr>
        <w:spacing w:line="360" w:lineRule="auto"/>
        <w:rPr>
          <w:rFonts w:ascii="Times New Roman" w:hAnsi="Times New Roman" w:cs="Times New Roman"/>
        </w:rPr>
      </w:pPr>
    </w:p>
    <w:p w14:paraId="312FEA81" w14:textId="77777777" w:rsidR="00A95F0B" w:rsidRPr="008D6BC0" w:rsidRDefault="00A95F0B" w:rsidP="008D6BC0">
      <w:pPr>
        <w:spacing w:line="360" w:lineRule="auto"/>
        <w:rPr>
          <w:rFonts w:ascii="Times New Roman" w:hAnsi="Times New Roman" w:cs="Times New Roman"/>
        </w:rPr>
      </w:pPr>
    </w:p>
    <w:p w14:paraId="4F63CE34" w14:textId="77777777" w:rsidR="00A95F0B" w:rsidRPr="008D6BC0" w:rsidRDefault="00A95F0B" w:rsidP="008D6BC0">
      <w:pPr>
        <w:spacing w:line="360" w:lineRule="auto"/>
        <w:rPr>
          <w:rFonts w:ascii="Times New Roman" w:hAnsi="Times New Roman" w:cs="Times New Roman"/>
        </w:rPr>
      </w:pPr>
    </w:p>
    <w:p w14:paraId="37CC711B" w14:textId="77777777" w:rsidR="00A95F0B" w:rsidRPr="008D6BC0" w:rsidRDefault="00A95F0B" w:rsidP="008D6BC0">
      <w:pPr>
        <w:spacing w:line="360" w:lineRule="auto"/>
        <w:rPr>
          <w:rFonts w:ascii="Times New Roman" w:hAnsi="Times New Roman" w:cs="Times New Roman"/>
        </w:rPr>
      </w:pPr>
    </w:p>
    <w:p w14:paraId="017A8D7F" w14:textId="77777777" w:rsidR="00A95F0B" w:rsidRPr="008D6BC0" w:rsidRDefault="00A95F0B" w:rsidP="008D6BC0">
      <w:pPr>
        <w:spacing w:line="360" w:lineRule="auto"/>
        <w:rPr>
          <w:rFonts w:ascii="Times New Roman" w:hAnsi="Times New Roman" w:cs="Times New Roman"/>
        </w:rPr>
      </w:pPr>
    </w:p>
    <w:p w14:paraId="017FBF8F" w14:textId="77777777" w:rsidR="00A95F0B" w:rsidRPr="008D6BC0" w:rsidRDefault="00A95F0B" w:rsidP="008D6BC0">
      <w:pPr>
        <w:spacing w:line="360" w:lineRule="auto"/>
        <w:rPr>
          <w:rFonts w:ascii="Times New Roman" w:hAnsi="Times New Roman" w:cs="Times New Roman"/>
        </w:rPr>
      </w:pPr>
    </w:p>
    <w:p w14:paraId="03B6926D" w14:textId="77777777" w:rsidR="00A95F0B" w:rsidRPr="008D6BC0" w:rsidRDefault="00A95F0B" w:rsidP="008D6BC0">
      <w:pPr>
        <w:spacing w:line="360" w:lineRule="auto"/>
        <w:rPr>
          <w:rFonts w:ascii="Times New Roman" w:hAnsi="Times New Roman" w:cs="Times New Roman"/>
        </w:rPr>
      </w:pPr>
    </w:p>
    <w:p w14:paraId="19915A1B" w14:textId="1CE47704" w:rsidR="00A95F0B" w:rsidRPr="008D6BC0" w:rsidRDefault="00A95F0B" w:rsidP="008D6BC0">
      <w:pPr>
        <w:spacing w:line="360" w:lineRule="auto"/>
        <w:jc w:val="center"/>
        <w:rPr>
          <w:rFonts w:ascii="Times New Roman" w:hAnsi="Times New Roman" w:cs="Times New Roman"/>
        </w:rPr>
      </w:pPr>
      <w:r w:rsidRPr="008D6BC0">
        <w:rPr>
          <w:rFonts w:ascii="Times New Roman" w:hAnsi="Times New Roman" w:cs="Times New Roman"/>
        </w:rPr>
        <w:t>Environmental influences on HR managers’ effectiveness at Unilever</w:t>
      </w:r>
    </w:p>
    <w:p w14:paraId="783A77F3" w14:textId="77777777" w:rsidR="00A95F0B" w:rsidRPr="008D6BC0" w:rsidRDefault="00A95F0B" w:rsidP="008D6BC0">
      <w:pPr>
        <w:spacing w:line="360" w:lineRule="auto"/>
        <w:rPr>
          <w:rFonts w:ascii="Times New Roman" w:hAnsi="Times New Roman" w:cs="Times New Roman"/>
        </w:rPr>
      </w:pPr>
    </w:p>
    <w:p w14:paraId="2E711B5F" w14:textId="77777777" w:rsidR="0028121B" w:rsidRPr="008D6BC0" w:rsidRDefault="0028121B" w:rsidP="008D6BC0">
      <w:pPr>
        <w:spacing w:line="360" w:lineRule="auto"/>
        <w:rPr>
          <w:rFonts w:ascii="Times New Roman" w:hAnsi="Times New Roman" w:cs="Times New Roman"/>
        </w:rPr>
      </w:pPr>
    </w:p>
    <w:p w14:paraId="1526688D" w14:textId="77777777" w:rsidR="0028121B" w:rsidRPr="008D6BC0" w:rsidRDefault="0028121B" w:rsidP="008D6BC0">
      <w:pPr>
        <w:spacing w:line="360" w:lineRule="auto"/>
        <w:rPr>
          <w:rFonts w:ascii="Times New Roman" w:hAnsi="Times New Roman" w:cs="Times New Roman"/>
        </w:rPr>
      </w:pPr>
    </w:p>
    <w:p w14:paraId="0D62C7F7" w14:textId="77777777" w:rsidR="0028121B" w:rsidRPr="008D6BC0" w:rsidRDefault="0028121B" w:rsidP="008D6BC0">
      <w:pPr>
        <w:spacing w:line="360" w:lineRule="auto"/>
        <w:rPr>
          <w:rFonts w:ascii="Times New Roman" w:hAnsi="Times New Roman" w:cs="Times New Roman"/>
        </w:rPr>
      </w:pPr>
    </w:p>
    <w:sdt>
      <w:sdtPr>
        <w:rPr>
          <w:rFonts w:ascii="Times New Roman" w:hAnsi="Times New Roman" w:cs="Times New Roman"/>
          <w:sz w:val="24"/>
          <w:szCs w:val="24"/>
        </w:rPr>
        <w:id w:val="1116342104"/>
        <w:docPartObj>
          <w:docPartGallery w:val="Table of Contents"/>
          <w:docPartUnique/>
        </w:docPartObj>
      </w:sdtPr>
      <w:sdtEndPr>
        <w:rPr>
          <w:rFonts w:eastAsiaTheme="minorHAnsi"/>
          <w:b/>
          <w:bCs/>
          <w:noProof/>
          <w:color w:val="auto"/>
          <w:kern w:val="2"/>
          <w:lang w:val="en-GB"/>
          <w14:ligatures w14:val="standardContextual"/>
        </w:rPr>
      </w:sdtEndPr>
      <w:sdtContent>
        <w:p w14:paraId="46680308" w14:textId="6E6484BF" w:rsidR="008D6BC0" w:rsidRPr="008D6BC0" w:rsidRDefault="008D6BC0" w:rsidP="008D6BC0">
          <w:pPr>
            <w:pStyle w:val="TOCHeading"/>
            <w:spacing w:line="360" w:lineRule="auto"/>
            <w:rPr>
              <w:rFonts w:ascii="Times New Roman" w:hAnsi="Times New Roman" w:cs="Times New Roman"/>
              <w:sz w:val="24"/>
              <w:szCs w:val="24"/>
            </w:rPr>
          </w:pPr>
          <w:r w:rsidRPr="008D6BC0">
            <w:rPr>
              <w:rFonts w:ascii="Times New Roman" w:hAnsi="Times New Roman" w:cs="Times New Roman"/>
              <w:sz w:val="24"/>
              <w:szCs w:val="24"/>
            </w:rPr>
            <w:t>Table of Contents</w:t>
          </w:r>
        </w:p>
        <w:p w14:paraId="17F8EA6B" w14:textId="47AFD6C0" w:rsidR="008D6BC0" w:rsidRPr="008D6BC0" w:rsidRDefault="008D6BC0">
          <w:pPr>
            <w:pStyle w:val="TOC1"/>
            <w:tabs>
              <w:tab w:val="left" w:pos="480"/>
              <w:tab w:val="right" w:leader="dot" w:pos="9016"/>
            </w:tabs>
            <w:rPr>
              <w:rFonts w:eastAsiaTheme="minorEastAsia"/>
              <w:noProof/>
              <w:lang w:eastAsia="en-GB"/>
            </w:rPr>
          </w:pPr>
          <w:r w:rsidRPr="008D6BC0">
            <w:rPr>
              <w:rFonts w:ascii="Times New Roman" w:hAnsi="Times New Roman" w:cs="Times New Roman"/>
            </w:rPr>
            <w:fldChar w:fldCharType="begin"/>
          </w:r>
          <w:r w:rsidRPr="008D6BC0">
            <w:rPr>
              <w:rFonts w:ascii="Times New Roman" w:hAnsi="Times New Roman" w:cs="Times New Roman"/>
            </w:rPr>
            <w:instrText xml:space="preserve"> TOC \o "1-3" \h \z \u </w:instrText>
          </w:r>
          <w:r w:rsidRPr="008D6BC0">
            <w:rPr>
              <w:rFonts w:ascii="Times New Roman" w:hAnsi="Times New Roman" w:cs="Times New Roman"/>
            </w:rPr>
            <w:fldChar w:fldCharType="separate"/>
          </w:r>
          <w:hyperlink w:anchor="_Toc224979489" w:history="1">
            <w:r w:rsidRPr="008D6BC0">
              <w:rPr>
                <w:rStyle w:val="Hyperlink"/>
                <w:rFonts w:ascii="Times New Roman" w:hAnsi="Times New Roman" w:cs="Times New Roman"/>
                <w:noProof/>
              </w:rPr>
              <w:t>1.</w:t>
            </w:r>
            <w:r w:rsidRPr="008D6BC0">
              <w:rPr>
                <w:rFonts w:eastAsiaTheme="minorEastAsia"/>
                <w:noProof/>
                <w:lang w:eastAsia="en-GB"/>
              </w:rPr>
              <w:tab/>
            </w:r>
            <w:r w:rsidRPr="008D6BC0">
              <w:rPr>
                <w:rStyle w:val="Hyperlink"/>
                <w:rFonts w:ascii="Times New Roman" w:hAnsi="Times New Roman" w:cs="Times New Roman"/>
                <w:noProof/>
              </w:rPr>
              <w:t>Introduction</w:t>
            </w:r>
            <w:r w:rsidRPr="008D6BC0">
              <w:rPr>
                <w:noProof/>
                <w:webHidden/>
              </w:rPr>
              <w:tab/>
            </w:r>
            <w:r w:rsidRPr="008D6BC0">
              <w:rPr>
                <w:noProof/>
                <w:webHidden/>
              </w:rPr>
              <w:fldChar w:fldCharType="begin"/>
            </w:r>
            <w:r w:rsidRPr="008D6BC0">
              <w:rPr>
                <w:noProof/>
                <w:webHidden/>
              </w:rPr>
              <w:instrText xml:space="preserve"> PAGEREF _Toc224979489 \h </w:instrText>
            </w:r>
            <w:r w:rsidRPr="008D6BC0">
              <w:rPr>
                <w:noProof/>
                <w:webHidden/>
              </w:rPr>
            </w:r>
            <w:r w:rsidRPr="008D6BC0">
              <w:rPr>
                <w:noProof/>
                <w:webHidden/>
              </w:rPr>
              <w:fldChar w:fldCharType="separate"/>
            </w:r>
            <w:r w:rsidRPr="008D6BC0">
              <w:rPr>
                <w:noProof/>
                <w:webHidden/>
              </w:rPr>
              <w:t>3</w:t>
            </w:r>
            <w:r w:rsidRPr="008D6BC0">
              <w:rPr>
                <w:noProof/>
                <w:webHidden/>
              </w:rPr>
              <w:fldChar w:fldCharType="end"/>
            </w:r>
          </w:hyperlink>
        </w:p>
        <w:p w14:paraId="4345B907" w14:textId="6C87345E" w:rsidR="008D6BC0" w:rsidRPr="008D6BC0" w:rsidRDefault="008D6BC0">
          <w:pPr>
            <w:pStyle w:val="TOC2"/>
            <w:tabs>
              <w:tab w:val="left" w:pos="720"/>
              <w:tab w:val="right" w:leader="dot" w:pos="9016"/>
            </w:tabs>
            <w:rPr>
              <w:rFonts w:eastAsiaTheme="minorEastAsia"/>
              <w:noProof/>
              <w:lang w:eastAsia="en-GB"/>
            </w:rPr>
          </w:pPr>
          <w:hyperlink w:anchor="_Toc224979490" w:history="1">
            <w:r w:rsidRPr="008D6BC0">
              <w:rPr>
                <w:rStyle w:val="Hyperlink"/>
                <w:rFonts w:ascii="Times New Roman" w:hAnsi="Times New Roman" w:cs="Times New Roman"/>
                <w:noProof/>
              </w:rPr>
              <w:t>2.</w:t>
            </w:r>
            <w:r w:rsidRPr="008D6BC0">
              <w:rPr>
                <w:rFonts w:eastAsiaTheme="minorEastAsia"/>
                <w:noProof/>
                <w:lang w:eastAsia="en-GB"/>
              </w:rPr>
              <w:tab/>
            </w:r>
            <w:r w:rsidRPr="008D6BC0">
              <w:rPr>
                <w:rStyle w:val="Hyperlink"/>
                <w:rFonts w:ascii="Times New Roman" w:hAnsi="Times New Roman" w:cs="Times New Roman"/>
                <w:noProof/>
              </w:rPr>
              <w:t>Internal and External Environment</w:t>
            </w:r>
            <w:r w:rsidRPr="008D6BC0">
              <w:rPr>
                <w:noProof/>
                <w:webHidden/>
              </w:rPr>
              <w:tab/>
            </w:r>
            <w:r w:rsidRPr="008D6BC0">
              <w:rPr>
                <w:noProof/>
                <w:webHidden/>
              </w:rPr>
              <w:fldChar w:fldCharType="begin"/>
            </w:r>
            <w:r w:rsidRPr="008D6BC0">
              <w:rPr>
                <w:noProof/>
                <w:webHidden/>
              </w:rPr>
              <w:instrText xml:space="preserve"> PAGEREF _Toc224979490 \h </w:instrText>
            </w:r>
            <w:r w:rsidRPr="008D6BC0">
              <w:rPr>
                <w:noProof/>
                <w:webHidden/>
              </w:rPr>
            </w:r>
            <w:r w:rsidRPr="008D6BC0">
              <w:rPr>
                <w:noProof/>
                <w:webHidden/>
              </w:rPr>
              <w:fldChar w:fldCharType="separate"/>
            </w:r>
            <w:r w:rsidRPr="008D6BC0">
              <w:rPr>
                <w:noProof/>
                <w:webHidden/>
              </w:rPr>
              <w:t>3</w:t>
            </w:r>
            <w:r w:rsidRPr="008D6BC0">
              <w:rPr>
                <w:noProof/>
                <w:webHidden/>
              </w:rPr>
              <w:fldChar w:fldCharType="end"/>
            </w:r>
          </w:hyperlink>
        </w:p>
        <w:p w14:paraId="64D8172F" w14:textId="48CA6E2B" w:rsidR="008D6BC0" w:rsidRPr="008D6BC0" w:rsidRDefault="008D6BC0">
          <w:pPr>
            <w:pStyle w:val="TOC3"/>
            <w:tabs>
              <w:tab w:val="left" w:pos="960"/>
              <w:tab w:val="right" w:leader="dot" w:pos="9016"/>
            </w:tabs>
            <w:rPr>
              <w:rStyle w:val="Hyperlink"/>
              <w:noProof/>
            </w:rPr>
          </w:pPr>
          <w:hyperlink w:anchor="_Toc224979491" w:history="1">
            <w:r w:rsidRPr="008D6BC0">
              <w:rPr>
                <w:rStyle w:val="Hyperlink"/>
                <w:rFonts w:ascii="Times New Roman" w:hAnsi="Times New Roman" w:cs="Times New Roman"/>
                <w:noProof/>
              </w:rPr>
              <w:t>3.</w:t>
            </w:r>
            <w:r w:rsidRPr="008D6BC0">
              <w:rPr>
                <w:rFonts w:eastAsiaTheme="minorEastAsia"/>
                <w:noProof/>
                <w:lang w:eastAsia="en-GB"/>
              </w:rPr>
              <w:tab/>
            </w:r>
            <w:r w:rsidRPr="008D6BC0">
              <w:rPr>
                <w:rStyle w:val="Hyperlink"/>
                <w:rFonts w:ascii="Times New Roman" w:hAnsi="Times New Roman" w:cs="Times New Roman"/>
                <w:noProof/>
              </w:rPr>
              <w:t>Organisation Application</w:t>
            </w:r>
            <w:r w:rsidRPr="008D6BC0">
              <w:rPr>
                <w:noProof/>
                <w:webHidden/>
              </w:rPr>
              <w:tab/>
            </w:r>
            <w:r w:rsidRPr="008D6BC0">
              <w:rPr>
                <w:noProof/>
                <w:webHidden/>
              </w:rPr>
              <w:fldChar w:fldCharType="begin"/>
            </w:r>
            <w:r w:rsidRPr="008D6BC0">
              <w:rPr>
                <w:noProof/>
                <w:webHidden/>
              </w:rPr>
              <w:instrText xml:space="preserve"> PAGEREF _Toc224979491 \h </w:instrText>
            </w:r>
            <w:r w:rsidRPr="008D6BC0">
              <w:rPr>
                <w:noProof/>
                <w:webHidden/>
              </w:rPr>
            </w:r>
            <w:r w:rsidRPr="008D6BC0">
              <w:rPr>
                <w:noProof/>
                <w:webHidden/>
              </w:rPr>
              <w:fldChar w:fldCharType="separate"/>
            </w:r>
            <w:r w:rsidRPr="008D6BC0">
              <w:rPr>
                <w:noProof/>
                <w:webHidden/>
              </w:rPr>
              <w:t>5</w:t>
            </w:r>
            <w:r w:rsidRPr="008D6BC0">
              <w:rPr>
                <w:noProof/>
                <w:webHidden/>
              </w:rPr>
              <w:fldChar w:fldCharType="end"/>
            </w:r>
          </w:hyperlink>
        </w:p>
        <w:p w14:paraId="14B93F18" w14:textId="05A18CFB" w:rsidR="008D6BC0" w:rsidRPr="008D6BC0" w:rsidRDefault="008D6BC0" w:rsidP="008D6BC0">
          <w:pPr>
            <w:rPr>
              <w:rFonts w:ascii="Times New Roman" w:hAnsi="Times New Roman" w:cs="Times New Roman"/>
            </w:rPr>
          </w:pPr>
          <w:r w:rsidRPr="008D6BC0">
            <w:t xml:space="preserve">      </w:t>
          </w:r>
          <w:r w:rsidRPr="008D6BC0">
            <w:rPr>
              <w:rFonts w:ascii="Times New Roman" w:hAnsi="Times New Roman" w:cs="Times New Roman"/>
            </w:rPr>
            <w:t xml:space="preserve">         </w:t>
          </w:r>
          <w:r w:rsidRPr="008D6BC0">
            <w:rPr>
              <w:rFonts w:ascii="Times New Roman" w:hAnsi="Times New Roman" w:cs="Times New Roman"/>
            </w:rPr>
            <w:t>4.</w:t>
          </w:r>
          <w:r w:rsidRPr="008D6BC0">
            <w:rPr>
              <w:rFonts w:ascii="Times New Roman" w:hAnsi="Times New Roman" w:cs="Times New Roman"/>
            </w:rPr>
            <w:tab/>
            <w:t>Application of Mode</w:t>
          </w:r>
          <w:r w:rsidRPr="008D6BC0">
            <w:rPr>
              <w:rFonts w:ascii="Times New Roman" w:hAnsi="Times New Roman" w:cs="Times New Roman"/>
            </w:rPr>
            <w:t>l………………………………………………………… 6</w:t>
          </w:r>
        </w:p>
        <w:p w14:paraId="4A892D64" w14:textId="6C713F4B" w:rsidR="008D6BC0" w:rsidRPr="008D6BC0" w:rsidRDefault="008D6BC0" w:rsidP="008D6BC0">
          <w:pPr>
            <w:rPr>
              <w:rFonts w:ascii="Times New Roman" w:hAnsi="Times New Roman" w:cs="Times New Roman"/>
            </w:rPr>
          </w:pPr>
          <w:r w:rsidRPr="008D6BC0">
            <w:rPr>
              <w:rFonts w:ascii="Times New Roman" w:hAnsi="Times New Roman" w:cs="Times New Roman"/>
            </w:rPr>
            <w:t xml:space="preserve">                  </w:t>
          </w:r>
          <w:r w:rsidRPr="008D6BC0">
            <w:rPr>
              <w:rFonts w:ascii="Times New Roman" w:hAnsi="Times New Roman" w:cs="Times New Roman"/>
            </w:rPr>
            <w:t>5.</w:t>
          </w:r>
          <w:r w:rsidRPr="008D6BC0">
            <w:rPr>
              <w:rFonts w:ascii="Times New Roman" w:hAnsi="Times New Roman" w:cs="Times New Roman"/>
            </w:rPr>
            <w:tab/>
          </w:r>
          <w:r w:rsidRPr="008D6BC0">
            <w:rPr>
              <w:rFonts w:ascii="Times New Roman" w:hAnsi="Times New Roman" w:cs="Times New Roman"/>
            </w:rPr>
            <w:t xml:space="preserve">     </w:t>
          </w:r>
          <w:r w:rsidRPr="008D6BC0">
            <w:rPr>
              <w:rFonts w:ascii="Times New Roman" w:hAnsi="Times New Roman" w:cs="Times New Roman"/>
            </w:rPr>
            <w:t>Conclusion</w:t>
          </w:r>
          <w:r w:rsidRPr="008D6BC0">
            <w:rPr>
              <w:rFonts w:ascii="Times New Roman" w:hAnsi="Times New Roman" w:cs="Times New Roman"/>
            </w:rPr>
            <w:t xml:space="preserve"> ………………</w:t>
          </w:r>
          <w:proofErr w:type="gramStart"/>
          <w:r w:rsidRPr="008D6BC0">
            <w:rPr>
              <w:rFonts w:ascii="Times New Roman" w:hAnsi="Times New Roman" w:cs="Times New Roman"/>
            </w:rPr>
            <w:t>…..</w:t>
          </w:r>
          <w:proofErr w:type="gramEnd"/>
          <w:r w:rsidRPr="008D6BC0">
            <w:rPr>
              <w:rFonts w:ascii="Times New Roman" w:hAnsi="Times New Roman" w:cs="Times New Roman"/>
            </w:rPr>
            <w:t>……………………………………………. 8</w:t>
          </w:r>
        </w:p>
        <w:p w14:paraId="1F492313" w14:textId="60A2D925" w:rsidR="008D6BC0" w:rsidRPr="008D6BC0" w:rsidRDefault="008D6BC0" w:rsidP="008D6BC0">
          <w:pPr>
            <w:spacing w:line="360" w:lineRule="auto"/>
            <w:rPr>
              <w:rFonts w:ascii="Times New Roman" w:hAnsi="Times New Roman" w:cs="Times New Roman"/>
            </w:rPr>
          </w:pPr>
          <w:r w:rsidRPr="008D6BC0">
            <w:rPr>
              <w:rFonts w:ascii="Times New Roman" w:hAnsi="Times New Roman" w:cs="Times New Roman"/>
              <w:noProof/>
            </w:rPr>
            <w:fldChar w:fldCharType="end"/>
          </w:r>
          <w:r w:rsidRPr="008D6BC0">
            <w:t xml:space="preserve"> </w:t>
          </w:r>
          <w:r>
            <w:t xml:space="preserve">                          </w:t>
          </w:r>
          <w:r w:rsidRPr="008D6BC0">
            <w:rPr>
              <w:rFonts w:ascii="Times New Roman" w:hAnsi="Times New Roman" w:cs="Times New Roman"/>
              <w:noProof/>
            </w:rPr>
            <w:t>6.</w:t>
          </w:r>
          <w:r w:rsidRPr="008D6BC0">
            <w:rPr>
              <w:rFonts w:ascii="Times New Roman" w:hAnsi="Times New Roman" w:cs="Times New Roman"/>
              <w:noProof/>
            </w:rPr>
            <w:tab/>
            <w:t>References</w:t>
          </w:r>
          <w:r>
            <w:rPr>
              <w:rFonts w:ascii="Times New Roman" w:hAnsi="Times New Roman" w:cs="Times New Roman"/>
              <w:noProof/>
            </w:rPr>
            <w:t xml:space="preserve"> ……..…………………………………………………….. 9</w:t>
          </w:r>
        </w:p>
      </w:sdtContent>
    </w:sdt>
    <w:p w14:paraId="166C58FF" w14:textId="77777777" w:rsidR="008D6BC0" w:rsidRDefault="008D6BC0" w:rsidP="008D6BC0">
      <w:pPr>
        <w:spacing w:line="360" w:lineRule="auto"/>
        <w:rPr>
          <w:rFonts w:ascii="Times New Roman" w:hAnsi="Times New Roman" w:cs="Times New Roman"/>
        </w:rPr>
      </w:pPr>
    </w:p>
    <w:p w14:paraId="49EF758F" w14:textId="77777777" w:rsidR="008D6BC0" w:rsidRPr="008D6BC0" w:rsidRDefault="008D6BC0" w:rsidP="008D6BC0">
      <w:pPr>
        <w:spacing w:line="360" w:lineRule="auto"/>
        <w:rPr>
          <w:rFonts w:ascii="Times New Roman" w:hAnsi="Times New Roman" w:cs="Times New Roman"/>
        </w:rPr>
      </w:pPr>
    </w:p>
    <w:p w14:paraId="7618A3AE" w14:textId="1F44AD4F" w:rsidR="00A95F0B" w:rsidRPr="008D6BC0" w:rsidRDefault="00A95F0B" w:rsidP="008D6BC0">
      <w:pPr>
        <w:pStyle w:val="ListParagraph"/>
        <w:numPr>
          <w:ilvl w:val="0"/>
          <w:numId w:val="1"/>
        </w:numPr>
        <w:spacing w:line="360" w:lineRule="auto"/>
        <w:jc w:val="both"/>
        <w:outlineLvl w:val="0"/>
        <w:rPr>
          <w:rFonts w:ascii="Times New Roman" w:hAnsi="Times New Roman" w:cs="Times New Roman"/>
        </w:rPr>
      </w:pPr>
      <w:bookmarkStart w:id="0" w:name="_Toc224979489"/>
      <w:r w:rsidRPr="008D6BC0">
        <w:rPr>
          <w:rFonts w:ascii="Times New Roman" w:hAnsi="Times New Roman" w:cs="Times New Roman"/>
        </w:rPr>
        <w:lastRenderedPageBreak/>
        <w:t>Introduction</w:t>
      </w:r>
      <w:bookmarkEnd w:id="0"/>
    </w:p>
    <w:p w14:paraId="48883C04" w14:textId="12A9718F" w:rsidR="00A95F0B" w:rsidRPr="008D6BC0" w:rsidRDefault="0028121B" w:rsidP="008D6BC0">
      <w:pPr>
        <w:spacing w:line="360" w:lineRule="auto"/>
        <w:jc w:val="both"/>
        <w:rPr>
          <w:rFonts w:ascii="Times New Roman" w:hAnsi="Times New Roman" w:cs="Times New Roman"/>
        </w:rPr>
      </w:pPr>
      <w:r w:rsidRPr="008D6BC0">
        <w:rPr>
          <w:rFonts w:ascii="Times New Roman" w:hAnsi="Times New Roman" w:cs="Times New Roman"/>
        </w:rPr>
        <w:t>In order to match people, capacity, and culture with organizational strategy, human resource (HR) managers are essential. Recruitment and selection, learning and development, performance management, and employee relations are core HR operations that influence how businesses attract essential skills, develop future capacities, boost productivity, and maintain engagement and trust.</w:t>
      </w:r>
      <w:r w:rsidR="00A95F0B" w:rsidRPr="008D6BC0">
        <w:rPr>
          <w:rFonts w:ascii="Times New Roman" w:hAnsi="Times New Roman" w:cs="Times New Roman"/>
        </w:rPr>
        <w:t xml:space="preserve"> </w:t>
      </w:r>
      <w:r w:rsidRPr="008D6BC0">
        <w:rPr>
          <w:rFonts w:ascii="Times New Roman" w:hAnsi="Times New Roman" w:cs="Times New Roman"/>
        </w:rPr>
        <w:t xml:space="preserve">Because these tasks must be carried out consistently but adaptably in a variety of institutional, cultural, and </w:t>
      </w:r>
      <w:r w:rsidRPr="008D6BC0">
        <w:rPr>
          <w:rFonts w:ascii="Times New Roman" w:hAnsi="Times New Roman" w:cs="Times New Roman"/>
        </w:rPr>
        <w:t>labour</w:t>
      </w:r>
      <w:r w:rsidRPr="008D6BC0">
        <w:rPr>
          <w:rFonts w:ascii="Times New Roman" w:hAnsi="Times New Roman" w:cs="Times New Roman"/>
        </w:rPr>
        <w:t xml:space="preserve"> market contexts in multinational businesses (MNEs), HR managers' efficacy is extremely susceptible to external factors (Briscoe et al., 2022).</w:t>
      </w:r>
    </w:p>
    <w:p w14:paraId="725BD175" w14:textId="77777777" w:rsidR="0028121B" w:rsidRPr="008D6BC0" w:rsidRDefault="0028121B" w:rsidP="008D6BC0">
      <w:pPr>
        <w:spacing w:line="360" w:lineRule="auto"/>
        <w:jc w:val="both"/>
        <w:rPr>
          <w:rFonts w:ascii="Times New Roman" w:hAnsi="Times New Roman" w:cs="Times New Roman"/>
        </w:rPr>
      </w:pPr>
      <w:r w:rsidRPr="008D6BC0">
        <w:rPr>
          <w:rFonts w:ascii="Times New Roman" w:hAnsi="Times New Roman" w:cs="Times New Roman"/>
        </w:rPr>
        <w:t>This report assesses the impact of both internal and external environmental factors on the performance of HR managers at the multinational consumer goods corporation Unilever. While acknowledging the limitations of the model and the significance of internal contingencies like strategy, structure, capabilities, digital maturity, and culture, it uses the PESTLE framework to organize external environmental analysis and connects these elements to important HR practices (Chang et al., 2023).</w:t>
      </w:r>
    </w:p>
    <w:p w14:paraId="7D069F5E" w14:textId="30817B16" w:rsidR="0028121B" w:rsidRPr="008D6BC0" w:rsidRDefault="0028121B" w:rsidP="008D6BC0">
      <w:pPr>
        <w:spacing w:line="360" w:lineRule="auto"/>
        <w:jc w:val="both"/>
        <w:rPr>
          <w:rFonts w:ascii="Times New Roman" w:hAnsi="Times New Roman" w:cs="Times New Roman"/>
        </w:rPr>
      </w:pPr>
      <w:r w:rsidRPr="008D6BC0">
        <w:rPr>
          <w:rFonts w:ascii="Times New Roman" w:hAnsi="Times New Roman" w:cs="Times New Roman"/>
        </w:rPr>
        <w:t>Report structure:</w:t>
      </w:r>
    </w:p>
    <w:p w14:paraId="1BC9FA6B" w14:textId="77777777" w:rsidR="0028121B" w:rsidRPr="008D6BC0" w:rsidRDefault="0028121B" w:rsidP="008D6BC0">
      <w:pPr>
        <w:spacing w:line="360" w:lineRule="auto"/>
        <w:jc w:val="both"/>
        <w:rPr>
          <w:rFonts w:ascii="Times New Roman" w:hAnsi="Times New Roman" w:cs="Times New Roman"/>
        </w:rPr>
      </w:pPr>
      <w:r w:rsidRPr="008D6BC0">
        <w:rPr>
          <w:rFonts w:ascii="Times New Roman" w:hAnsi="Times New Roman" w:cs="Times New Roman"/>
        </w:rPr>
        <w:t>Introduction: describes the goals and functions of HR.</w:t>
      </w:r>
    </w:p>
    <w:p w14:paraId="34EC5EF9" w14:textId="77777777" w:rsidR="0028121B" w:rsidRPr="008D6BC0" w:rsidRDefault="0028121B" w:rsidP="008D6BC0">
      <w:pPr>
        <w:spacing w:line="360" w:lineRule="auto"/>
        <w:jc w:val="both"/>
        <w:rPr>
          <w:rFonts w:ascii="Times New Roman" w:hAnsi="Times New Roman" w:cs="Times New Roman"/>
        </w:rPr>
      </w:pPr>
      <w:r w:rsidRPr="008D6BC0">
        <w:rPr>
          <w:rFonts w:ascii="Times New Roman" w:hAnsi="Times New Roman" w:cs="Times New Roman"/>
        </w:rPr>
        <w:t>Internal and External Environment: explains and evaluates PESTLE and links environmental aspects to human resources.</w:t>
      </w:r>
    </w:p>
    <w:p w14:paraId="2745F47F" w14:textId="010407A0" w:rsidR="0028121B" w:rsidRPr="008D6BC0" w:rsidRDefault="0028121B" w:rsidP="008D6BC0">
      <w:pPr>
        <w:spacing w:line="360" w:lineRule="auto"/>
        <w:jc w:val="both"/>
        <w:rPr>
          <w:rFonts w:ascii="Times New Roman" w:hAnsi="Times New Roman" w:cs="Times New Roman"/>
        </w:rPr>
      </w:pPr>
      <w:r w:rsidRPr="008D6BC0">
        <w:rPr>
          <w:rFonts w:ascii="Times New Roman" w:hAnsi="Times New Roman" w:cs="Times New Roman"/>
        </w:rPr>
        <w:t xml:space="preserve">Organizational Application: provides an overview of Unilever's international HR procedures for </w:t>
      </w:r>
      <w:r w:rsidRPr="008D6BC0">
        <w:rPr>
          <w:rFonts w:ascii="Times New Roman" w:hAnsi="Times New Roman" w:cs="Times New Roman"/>
        </w:rPr>
        <w:t>hiring</w:t>
      </w:r>
      <w:r w:rsidRPr="008D6BC0">
        <w:rPr>
          <w:rFonts w:ascii="Times New Roman" w:hAnsi="Times New Roman" w:cs="Times New Roman"/>
        </w:rPr>
        <w:t xml:space="preserve"> training, performance, and employee relations.</w:t>
      </w:r>
    </w:p>
    <w:p w14:paraId="5CED4387" w14:textId="69DB342A" w:rsidR="0028121B" w:rsidRPr="008D6BC0" w:rsidRDefault="0028121B" w:rsidP="008D6BC0">
      <w:pPr>
        <w:spacing w:line="360" w:lineRule="auto"/>
        <w:jc w:val="both"/>
        <w:rPr>
          <w:rFonts w:ascii="Times New Roman" w:hAnsi="Times New Roman" w:cs="Times New Roman"/>
        </w:rPr>
      </w:pPr>
      <w:r w:rsidRPr="008D6BC0">
        <w:rPr>
          <w:rFonts w:ascii="Times New Roman" w:hAnsi="Times New Roman" w:cs="Times New Roman"/>
        </w:rPr>
        <w:t xml:space="preserve">Application of </w:t>
      </w:r>
      <w:proofErr w:type="gramStart"/>
      <w:r w:rsidRPr="008D6BC0">
        <w:rPr>
          <w:rFonts w:ascii="Times New Roman" w:hAnsi="Times New Roman" w:cs="Times New Roman"/>
        </w:rPr>
        <w:t>Model:</w:t>
      </w:r>
      <w:proofErr w:type="gramEnd"/>
      <w:r w:rsidRPr="008D6BC0">
        <w:rPr>
          <w:rFonts w:ascii="Times New Roman" w:hAnsi="Times New Roman" w:cs="Times New Roman"/>
        </w:rPr>
        <w:t xml:space="preserve"> examines how Unilever's HR is shaped by PESTLE elements, </w:t>
      </w:r>
      <w:r w:rsidRPr="008D6BC0">
        <w:rPr>
          <w:rFonts w:ascii="Times New Roman" w:hAnsi="Times New Roman" w:cs="Times New Roman"/>
        </w:rPr>
        <w:t>considering</w:t>
      </w:r>
      <w:r w:rsidRPr="008D6BC0">
        <w:rPr>
          <w:rFonts w:ascii="Times New Roman" w:hAnsi="Times New Roman" w:cs="Times New Roman"/>
        </w:rPr>
        <w:t xml:space="preserve"> cross-national differences in institutions, culture, regulations, and economic circumstances.</w:t>
      </w:r>
    </w:p>
    <w:p w14:paraId="72ED6A3B" w14:textId="4FF2911E" w:rsidR="0028121B" w:rsidRPr="008D6BC0" w:rsidRDefault="0028121B" w:rsidP="008D6BC0">
      <w:pPr>
        <w:spacing w:line="360" w:lineRule="auto"/>
        <w:jc w:val="both"/>
        <w:rPr>
          <w:rFonts w:ascii="Times New Roman" w:hAnsi="Times New Roman" w:cs="Times New Roman"/>
        </w:rPr>
      </w:pPr>
      <w:r w:rsidRPr="008D6BC0">
        <w:rPr>
          <w:rFonts w:ascii="Times New Roman" w:hAnsi="Times New Roman" w:cs="Times New Roman"/>
        </w:rPr>
        <w:t>The conclusion summarizes findings and considers the implications of digitalization, artificial intelligence, sustainability, and changing worker expectations for HR directors in multinational corporations.</w:t>
      </w:r>
    </w:p>
    <w:p w14:paraId="42D019C6" w14:textId="2E58D8F9" w:rsidR="00A95F0B" w:rsidRPr="008D6BC0" w:rsidRDefault="00A95F0B" w:rsidP="008D6BC0">
      <w:pPr>
        <w:pStyle w:val="ListParagraph"/>
        <w:numPr>
          <w:ilvl w:val="0"/>
          <w:numId w:val="1"/>
        </w:numPr>
        <w:spacing w:line="360" w:lineRule="auto"/>
        <w:jc w:val="both"/>
        <w:outlineLvl w:val="1"/>
        <w:rPr>
          <w:rFonts w:ascii="Times New Roman" w:hAnsi="Times New Roman" w:cs="Times New Roman"/>
        </w:rPr>
      </w:pPr>
      <w:bookmarkStart w:id="1" w:name="_Toc224979490"/>
      <w:r w:rsidRPr="008D6BC0">
        <w:rPr>
          <w:rFonts w:ascii="Times New Roman" w:hAnsi="Times New Roman" w:cs="Times New Roman"/>
        </w:rPr>
        <w:t>Internal and External Environment</w:t>
      </w:r>
      <w:bookmarkEnd w:id="1"/>
    </w:p>
    <w:p w14:paraId="4479941A" w14:textId="77777777" w:rsidR="00A95F0B" w:rsidRPr="008D6BC0" w:rsidRDefault="00A95F0B" w:rsidP="008D6BC0">
      <w:pPr>
        <w:spacing w:line="360" w:lineRule="auto"/>
        <w:jc w:val="both"/>
        <w:rPr>
          <w:rFonts w:ascii="Times New Roman" w:hAnsi="Times New Roman" w:cs="Times New Roman"/>
        </w:rPr>
      </w:pPr>
      <w:r w:rsidRPr="008D6BC0">
        <w:rPr>
          <w:rFonts w:ascii="Times New Roman" w:hAnsi="Times New Roman" w:cs="Times New Roman"/>
        </w:rPr>
        <w:t>Business Environment Model: PESTLE</w:t>
      </w:r>
    </w:p>
    <w:p w14:paraId="4E57FD46" w14:textId="77777777" w:rsidR="00CB6302" w:rsidRPr="008D6BC0" w:rsidRDefault="00CB6302" w:rsidP="008D6BC0">
      <w:pPr>
        <w:spacing w:line="360" w:lineRule="auto"/>
        <w:jc w:val="both"/>
        <w:rPr>
          <w:rFonts w:ascii="Times New Roman" w:hAnsi="Times New Roman" w:cs="Times New Roman"/>
        </w:rPr>
      </w:pPr>
      <w:r w:rsidRPr="008D6BC0">
        <w:rPr>
          <w:rFonts w:ascii="Times New Roman" w:hAnsi="Times New Roman" w:cs="Times New Roman"/>
        </w:rPr>
        <w:lastRenderedPageBreak/>
        <w:t>The macroenvironmental factors that influence HR priorities and practices in MNEs can be mapped using PESTLE (Political, Economic, Social, Technological, Legal, and Environmental). PESTLE clarifies for HR:</w:t>
      </w:r>
    </w:p>
    <w:p w14:paraId="542E2CCC" w14:textId="4905CF57" w:rsidR="00CB6302" w:rsidRPr="008D6BC0" w:rsidRDefault="00CB6302" w:rsidP="008D6BC0">
      <w:pPr>
        <w:spacing w:line="360" w:lineRule="auto"/>
        <w:jc w:val="both"/>
        <w:rPr>
          <w:rFonts w:ascii="Times New Roman" w:hAnsi="Times New Roman" w:cs="Times New Roman"/>
        </w:rPr>
      </w:pPr>
      <w:r w:rsidRPr="008D6BC0">
        <w:rPr>
          <w:rFonts w:ascii="Times New Roman" w:hAnsi="Times New Roman" w:cs="Times New Roman"/>
        </w:rPr>
        <w:t xml:space="preserve">Political and legal issues include immigration, collective bargaining, </w:t>
      </w:r>
      <w:r w:rsidRPr="008D6BC0">
        <w:rPr>
          <w:rFonts w:ascii="Times New Roman" w:hAnsi="Times New Roman" w:cs="Times New Roman"/>
        </w:rPr>
        <w:t>labour</w:t>
      </w:r>
      <w:r w:rsidRPr="008D6BC0">
        <w:rPr>
          <w:rFonts w:ascii="Times New Roman" w:hAnsi="Times New Roman" w:cs="Times New Roman"/>
        </w:rPr>
        <w:t xml:space="preserve"> legislation, wage transparency, and data/AI governance (EU AI Act, 2024).</w:t>
      </w:r>
    </w:p>
    <w:p w14:paraId="47A87335" w14:textId="77777777" w:rsidR="00CB6302" w:rsidRPr="008D6BC0" w:rsidRDefault="00CB6302" w:rsidP="008D6BC0">
      <w:pPr>
        <w:spacing w:line="360" w:lineRule="auto"/>
        <w:jc w:val="both"/>
        <w:rPr>
          <w:rFonts w:ascii="Times New Roman" w:hAnsi="Times New Roman" w:cs="Times New Roman"/>
        </w:rPr>
      </w:pPr>
      <w:r w:rsidRPr="008D6BC0">
        <w:rPr>
          <w:rFonts w:ascii="Times New Roman" w:hAnsi="Times New Roman" w:cs="Times New Roman"/>
        </w:rPr>
        <w:t>Economic factors include productivity, pay dynamics, inflation, and cycles of supply and demand for skills (OECD, 2023).</w:t>
      </w:r>
    </w:p>
    <w:p w14:paraId="783DCD3F" w14:textId="77777777" w:rsidR="00CB6302" w:rsidRPr="008D6BC0" w:rsidRDefault="00CB6302" w:rsidP="008D6BC0">
      <w:pPr>
        <w:spacing w:line="360" w:lineRule="auto"/>
        <w:jc w:val="both"/>
        <w:rPr>
          <w:rFonts w:ascii="Times New Roman" w:hAnsi="Times New Roman" w:cs="Times New Roman"/>
        </w:rPr>
      </w:pPr>
      <w:r w:rsidRPr="008D6BC0">
        <w:rPr>
          <w:rFonts w:ascii="Times New Roman" w:hAnsi="Times New Roman" w:cs="Times New Roman"/>
        </w:rPr>
        <w:t>Social: demographic shifts, DEI expectations, wellbeing, changing worker preferences for flexibility and purpose (Brewster et al., 2024).</w:t>
      </w:r>
    </w:p>
    <w:p w14:paraId="143D8BE1" w14:textId="77777777" w:rsidR="00CB6302" w:rsidRPr="008D6BC0" w:rsidRDefault="00CB6302" w:rsidP="008D6BC0">
      <w:pPr>
        <w:spacing w:line="360" w:lineRule="auto"/>
        <w:jc w:val="both"/>
        <w:rPr>
          <w:rFonts w:ascii="Times New Roman" w:hAnsi="Times New Roman" w:cs="Times New Roman"/>
        </w:rPr>
      </w:pPr>
      <w:r w:rsidRPr="008D6BC0">
        <w:rPr>
          <w:rFonts w:ascii="Times New Roman" w:hAnsi="Times New Roman" w:cs="Times New Roman"/>
        </w:rPr>
        <w:t>Technological: digitalisation, AI in talent acquisition/performance, people analytics, cybersecurity (</w:t>
      </w:r>
      <w:proofErr w:type="spellStart"/>
      <w:r w:rsidRPr="008D6BC0">
        <w:rPr>
          <w:rFonts w:ascii="Times New Roman" w:hAnsi="Times New Roman" w:cs="Times New Roman"/>
        </w:rPr>
        <w:t>Meijerink</w:t>
      </w:r>
      <w:proofErr w:type="spellEnd"/>
      <w:r w:rsidRPr="008D6BC0">
        <w:rPr>
          <w:rFonts w:ascii="Times New Roman" w:hAnsi="Times New Roman" w:cs="Times New Roman"/>
        </w:rPr>
        <w:t xml:space="preserve"> et al., 2023).</w:t>
      </w:r>
    </w:p>
    <w:p w14:paraId="39656901" w14:textId="77777777" w:rsidR="00CB6302" w:rsidRPr="008D6BC0" w:rsidRDefault="00CB6302" w:rsidP="008D6BC0">
      <w:pPr>
        <w:spacing w:line="360" w:lineRule="auto"/>
        <w:jc w:val="both"/>
        <w:rPr>
          <w:rFonts w:ascii="Times New Roman" w:hAnsi="Times New Roman" w:cs="Times New Roman"/>
        </w:rPr>
      </w:pPr>
      <w:r w:rsidRPr="008D6BC0">
        <w:rPr>
          <w:rFonts w:ascii="Times New Roman" w:hAnsi="Times New Roman" w:cs="Times New Roman"/>
        </w:rPr>
        <w:t xml:space="preserve">Environmental: climate risk, just transition, green skills, sustainability reporting pressures (Kramar, 2022). </w:t>
      </w:r>
    </w:p>
    <w:p w14:paraId="55B79EB7" w14:textId="77777777" w:rsidR="00CB6302" w:rsidRPr="008D6BC0" w:rsidRDefault="00CB6302" w:rsidP="008D6BC0">
      <w:pPr>
        <w:spacing w:line="360" w:lineRule="auto"/>
        <w:jc w:val="both"/>
        <w:rPr>
          <w:rFonts w:ascii="Times New Roman" w:hAnsi="Times New Roman" w:cs="Times New Roman"/>
        </w:rPr>
      </w:pPr>
      <w:r w:rsidRPr="008D6BC0">
        <w:rPr>
          <w:rFonts w:ascii="Times New Roman" w:hAnsi="Times New Roman" w:cs="Times New Roman"/>
        </w:rPr>
        <w:t>PESTLE provides a holistic, easily communicable scaffold to scan external forces, anticipate HR risks/opportunities, and align people strategies with business needs across geographies (Briscoe et al., 2022).</w:t>
      </w:r>
    </w:p>
    <w:p w14:paraId="7130C88E" w14:textId="76FDCF49" w:rsidR="00A95F0B" w:rsidRPr="008D6BC0" w:rsidRDefault="00CB6302" w:rsidP="008D6BC0">
      <w:pPr>
        <w:spacing w:line="360" w:lineRule="auto"/>
        <w:jc w:val="both"/>
        <w:rPr>
          <w:rFonts w:ascii="Times New Roman" w:hAnsi="Times New Roman" w:cs="Times New Roman"/>
        </w:rPr>
      </w:pPr>
      <w:r w:rsidRPr="008D6BC0">
        <w:rPr>
          <w:rFonts w:ascii="Times New Roman" w:hAnsi="Times New Roman" w:cs="Times New Roman"/>
        </w:rPr>
        <w:t>It is descriptive, static, and may promote checklist thinking; it downplays industry dynamics (Porter forces) and internal variables (resources, leadership, culture), as well as interdependencies (e.g., technology–legal via AI regulation).</w:t>
      </w:r>
      <w:r w:rsidR="00A95F0B" w:rsidRPr="008D6BC0">
        <w:rPr>
          <w:rFonts w:ascii="Times New Roman" w:hAnsi="Times New Roman" w:cs="Times New Roman"/>
        </w:rPr>
        <w:t xml:space="preserve"> </w:t>
      </w:r>
      <w:r w:rsidRPr="008D6BC0">
        <w:rPr>
          <w:rFonts w:ascii="Times New Roman" w:hAnsi="Times New Roman" w:cs="Times New Roman"/>
        </w:rPr>
        <w:t>Additionally, it does not outline implementation options or rank concerns according to their readiness or significance (Boxall and Purcell, 2022). Therefore, HR directors should use internal diagnostics (capability audits, skills gap studies), scenario planning, and risk/materiality assessments in addition to PESTLE.</w:t>
      </w:r>
    </w:p>
    <w:p w14:paraId="23D0FB97" w14:textId="0206120B" w:rsidR="00A95F0B" w:rsidRPr="008D6BC0" w:rsidRDefault="00A95F0B" w:rsidP="008D6BC0">
      <w:pPr>
        <w:spacing w:line="360" w:lineRule="auto"/>
        <w:jc w:val="both"/>
        <w:rPr>
          <w:rFonts w:ascii="Times New Roman" w:hAnsi="Times New Roman" w:cs="Times New Roman"/>
        </w:rPr>
      </w:pPr>
      <w:r w:rsidRPr="008D6BC0">
        <w:rPr>
          <w:rFonts w:ascii="Times New Roman" w:hAnsi="Times New Roman" w:cs="Times New Roman"/>
        </w:rPr>
        <w:t>Link to HR Functions</w:t>
      </w:r>
    </w:p>
    <w:p w14:paraId="420980B8" w14:textId="77777777" w:rsidR="00CB6302" w:rsidRPr="008D6BC0" w:rsidRDefault="00CB6302" w:rsidP="008D6BC0">
      <w:pPr>
        <w:spacing w:line="360" w:lineRule="auto"/>
        <w:jc w:val="both"/>
        <w:rPr>
          <w:rFonts w:ascii="Times New Roman" w:hAnsi="Times New Roman" w:cs="Times New Roman"/>
        </w:rPr>
      </w:pPr>
      <w:r w:rsidRPr="008D6BC0">
        <w:rPr>
          <w:rFonts w:ascii="Times New Roman" w:hAnsi="Times New Roman" w:cs="Times New Roman"/>
        </w:rPr>
        <w:t>Mobility and diversity hiring are shaped by political and legal constraints; employer value propositions are impacted by economic cycles and competition; technology (AI/matching platforms) affects speed and fairness; social expectations drive inclusive and purpose-led recruitment; and environmental commitments draw green talent (Brewster et al., 2024).</w:t>
      </w:r>
    </w:p>
    <w:p w14:paraId="2DB5DA10" w14:textId="77777777" w:rsidR="00CB6302" w:rsidRPr="008D6BC0" w:rsidRDefault="00CB6302" w:rsidP="008D6BC0">
      <w:pPr>
        <w:spacing w:line="360" w:lineRule="auto"/>
        <w:jc w:val="both"/>
        <w:rPr>
          <w:rFonts w:ascii="Times New Roman" w:hAnsi="Times New Roman" w:cs="Times New Roman"/>
        </w:rPr>
      </w:pPr>
      <w:r w:rsidRPr="008D6BC0">
        <w:rPr>
          <w:rFonts w:ascii="Times New Roman" w:hAnsi="Times New Roman" w:cs="Times New Roman"/>
        </w:rPr>
        <w:t xml:space="preserve">Legal requirements (such as safety and AI governance) and environmental strategies (such as net-zero and circularity) necessitate targeted capability building; societal trends increase the </w:t>
      </w:r>
      <w:r w:rsidRPr="008D6BC0">
        <w:rPr>
          <w:rFonts w:ascii="Times New Roman" w:hAnsi="Times New Roman" w:cs="Times New Roman"/>
        </w:rPr>
        <w:lastRenderedPageBreak/>
        <w:t>need for inclusive leadership and wellness; and economic and technological transformation creates the need for reskilling and upskilling (OECD, 2023).</w:t>
      </w:r>
    </w:p>
    <w:p w14:paraId="03815BDF" w14:textId="77777777" w:rsidR="00CB6302" w:rsidRPr="008D6BC0" w:rsidRDefault="00CB6302" w:rsidP="008D6BC0">
      <w:pPr>
        <w:spacing w:line="360" w:lineRule="auto"/>
        <w:jc w:val="both"/>
        <w:rPr>
          <w:rFonts w:ascii="Times New Roman" w:hAnsi="Times New Roman" w:cs="Times New Roman"/>
        </w:rPr>
      </w:pPr>
      <w:r w:rsidRPr="008D6BC0">
        <w:rPr>
          <w:rFonts w:ascii="Times New Roman" w:hAnsi="Times New Roman" w:cs="Times New Roman"/>
        </w:rPr>
        <w:t>Continuous feedback and analytics are made possible by technology; data privacy and algorithmic transparency are governed by legal and political contexts; perceptions of fairness are shaped by social norms; and economic instability causes metrics to move toward productivity and adaptation (Yang et al., 2022).</w:t>
      </w:r>
    </w:p>
    <w:p w14:paraId="245B9AE6" w14:textId="77777777" w:rsidR="00CB6302" w:rsidRPr="008D6BC0" w:rsidRDefault="00CB6302" w:rsidP="008D6BC0">
      <w:pPr>
        <w:spacing w:line="360" w:lineRule="auto"/>
        <w:jc w:val="both"/>
        <w:rPr>
          <w:rFonts w:ascii="Times New Roman" w:hAnsi="Times New Roman" w:cs="Times New Roman"/>
        </w:rPr>
      </w:pPr>
      <w:r w:rsidRPr="008D6BC0">
        <w:rPr>
          <w:rFonts w:ascii="Times New Roman" w:hAnsi="Times New Roman" w:cs="Times New Roman"/>
        </w:rPr>
        <w:t>Environmental transitions require just transition discourse and change management; political/legal frameworks (works councils, collective bargaining) establish voice and consultation; and social expectations demand credible DEI and living wage pledges (ILO, 2021).</w:t>
      </w:r>
    </w:p>
    <w:p w14:paraId="29BFEF30" w14:textId="39562607" w:rsidR="00A95F0B" w:rsidRPr="008D6BC0" w:rsidRDefault="00A95F0B" w:rsidP="008D6BC0">
      <w:pPr>
        <w:pStyle w:val="ListParagraph"/>
        <w:numPr>
          <w:ilvl w:val="0"/>
          <w:numId w:val="1"/>
        </w:numPr>
        <w:spacing w:line="360" w:lineRule="auto"/>
        <w:jc w:val="both"/>
        <w:outlineLvl w:val="2"/>
        <w:rPr>
          <w:rFonts w:ascii="Times New Roman" w:hAnsi="Times New Roman" w:cs="Times New Roman"/>
        </w:rPr>
      </w:pPr>
      <w:bookmarkStart w:id="2" w:name="_Toc224979491"/>
      <w:r w:rsidRPr="008D6BC0">
        <w:rPr>
          <w:rFonts w:ascii="Times New Roman" w:hAnsi="Times New Roman" w:cs="Times New Roman"/>
        </w:rPr>
        <w:t>Organisation Application</w:t>
      </w:r>
      <w:bookmarkEnd w:id="2"/>
    </w:p>
    <w:p w14:paraId="4347BC56" w14:textId="77777777" w:rsidR="00A95F0B" w:rsidRPr="008D6BC0" w:rsidRDefault="00A95F0B" w:rsidP="008D6BC0">
      <w:pPr>
        <w:spacing w:line="360" w:lineRule="auto"/>
        <w:jc w:val="both"/>
        <w:rPr>
          <w:rFonts w:ascii="Times New Roman" w:hAnsi="Times New Roman" w:cs="Times New Roman"/>
        </w:rPr>
      </w:pPr>
      <w:r w:rsidRPr="008D6BC0">
        <w:rPr>
          <w:rFonts w:ascii="Times New Roman" w:hAnsi="Times New Roman" w:cs="Times New Roman"/>
        </w:rPr>
        <w:t>Organisation Introduction</w:t>
      </w:r>
    </w:p>
    <w:p w14:paraId="4FBC1D26" w14:textId="658ECF59" w:rsidR="00A95F0B" w:rsidRPr="008D6BC0" w:rsidRDefault="00CB6302" w:rsidP="008D6BC0">
      <w:pPr>
        <w:spacing w:line="360" w:lineRule="auto"/>
        <w:jc w:val="both"/>
        <w:rPr>
          <w:rFonts w:ascii="Times New Roman" w:hAnsi="Times New Roman" w:cs="Times New Roman"/>
        </w:rPr>
      </w:pPr>
      <w:r w:rsidRPr="008D6BC0">
        <w:rPr>
          <w:rFonts w:ascii="Times New Roman" w:hAnsi="Times New Roman" w:cs="Times New Roman"/>
        </w:rPr>
        <w:t>With products in Beauty &amp; Wellbeing, Personal Care, Home Care, and Nutrition, Unilever is a multinational consumer goods corporation with operations in more than 190 countries. With interconnected supply chains, substantial manufacturing footprints, and regional hubs and national organizations, it operates on a decentralized global operating model.</w:t>
      </w:r>
      <w:r w:rsidRPr="008D6BC0">
        <w:rPr>
          <w:rFonts w:ascii="Times New Roman" w:hAnsi="Times New Roman" w:cs="Times New Roman"/>
        </w:rPr>
        <w:t xml:space="preserve"> </w:t>
      </w:r>
      <w:r w:rsidRPr="008D6BC0">
        <w:rPr>
          <w:rFonts w:ascii="Times New Roman" w:hAnsi="Times New Roman" w:cs="Times New Roman"/>
        </w:rPr>
        <w:t>Knowledge workers, salespeople, R&amp;D personnel, and a large number of frontline manufacturing and logistics workers make up its workforce; hence, HR coordination across many institutional and cultural settings is essential to performance (Briscoe et al., 2022).</w:t>
      </w:r>
    </w:p>
    <w:p w14:paraId="52323D82" w14:textId="32B579E0" w:rsidR="00A95F0B" w:rsidRPr="008D6BC0" w:rsidRDefault="00A95F0B" w:rsidP="008D6BC0">
      <w:pPr>
        <w:spacing w:line="360" w:lineRule="auto"/>
        <w:jc w:val="both"/>
        <w:rPr>
          <w:rFonts w:ascii="Times New Roman" w:hAnsi="Times New Roman" w:cs="Times New Roman"/>
        </w:rPr>
      </w:pPr>
      <w:r w:rsidRPr="008D6BC0">
        <w:rPr>
          <w:rFonts w:ascii="Times New Roman" w:hAnsi="Times New Roman" w:cs="Times New Roman"/>
        </w:rPr>
        <w:t>HR Practices across countries</w:t>
      </w:r>
    </w:p>
    <w:p w14:paraId="228F1707" w14:textId="478491DA" w:rsidR="0066164C" w:rsidRPr="008D6BC0" w:rsidRDefault="0066164C" w:rsidP="008D6BC0">
      <w:pPr>
        <w:spacing w:line="360" w:lineRule="auto"/>
        <w:jc w:val="both"/>
        <w:rPr>
          <w:rFonts w:ascii="Times New Roman" w:hAnsi="Times New Roman" w:cs="Times New Roman"/>
        </w:rPr>
      </w:pPr>
      <w:r w:rsidRPr="008D6BC0">
        <w:rPr>
          <w:rFonts w:ascii="Times New Roman" w:hAnsi="Times New Roman" w:cs="Times New Roman"/>
        </w:rPr>
        <w:t xml:space="preserve">Unilever uses digital evaluation tools, structured campus and early career pipelines, and global employer branding (purpose, sustainability, inclusiveness); hiring is tailored to </w:t>
      </w:r>
      <w:r w:rsidRPr="008D6BC0">
        <w:rPr>
          <w:rFonts w:ascii="Times New Roman" w:hAnsi="Times New Roman" w:cs="Times New Roman"/>
        </w:rPr>
        <w:t>labour</w:t>
      </w:r>
      <w:r w:rsidRPr="008D6BC0">
        <w:rPr>
          <w:rFonts w:ascii="Times New Roman" w:hAnsi="Times New Roman" w:cs="Times New Roman"/>
        </w:rPr>
        <w:t xml:space="preserve"> markets and diversity objectives while adhering to legal restrictions (Brewster et al., 2024).</w:t>
      </w:r>
    </w:p>
    <w:p w14:paraId="52299A50" w14:textId="77777777" w:rsidR="0066164C" w:rsidRPr="008D6BC0" w:rsidRDefault="0066164C" w:rsidP="008D6BC0">
      <w:pPr>
        <w:spacing w:line="360" w:lineRule="auto"/>
        <w:jc w:val="both"/>
        <w:rPr>
          <w:rFonts w:ascii="Times New Roman" w:hAnsi="Times New Roman" w:cs="Times New Roman"/>
        </w:rPr>
      </w:pPr>
      <w:r w:rsidRPr="008D6BC0">
        <w:rPr>
          <w:rFonts w:ascii="Times New Roman" w:hAnsi="Times New Roman" w:cs="Times New Roman"/>
        </w:rPr>
        <w:t>Global learning platforms, leadership and functional academies, focused reskilling for digital, analytics, e-commerce, and sustainability skills, and localization for cultural and legal requirements are all examples of blended learning (Kramar, 2022).</w:t>
      </w:r>
    </w:p>
    <w:p w14:paraId="44BC506A" w14:textId="77777777" w:rsidR="0066164C" w:rsidRPr="008D6BC0" w:rsidRDefault="0066164C" w:rsidP="008D6BC0">
      <w:pPr>
        <w:spacing w:line="360" w:lineRule="auto"/>
        <w:jc w:val="both"/>
        <w:rPr>
          <w:rFonts w:ascii="Times New Roman" w:hAnsi="Times New Roman" w:cs="Times New Roman"/>
        </w:rPr>
      </w:pPr>
      <w:r w:rsidRPr="008D6BC0">
        <w:rPr>
          <w:rFonts w:ascii="Times New Roman" w:hAnsi="Times New Roman" w:cs="Times New Roman"/>
        </w:rPr>
        <w:t>A continuous performance approach that incorporates objectives, feedback, and development plans; selective use of people analytics; protections against bias and privacy; and adaptation to local data regulations (Yang et al., 2022).</w:t>
      </w:r>
    </w:p>
    <w:p w14:paraId="2E7FB6B2" w14:textId="77777777" w:rsidR="0066164C" w:rsidRPr="008D6BC0" w:rsidRDefault="0066164C" w:rsidP="008D6BC0">
      <w:pPr>
        <w:spacing w:line="360" w:lineRule="auto"/>
        <w:jc w:val="both"/>
        <w:rPr>
          <w:rFonts w:ascii="Times New Roman" w:hAnsi="Times New Roman" w:cs="Times New Roman"/>
        </w:rPr>
      </w:pPr>
      <w:r w:rsidRPr="008D6BC0">
        <w:rPr>
          <w:rFonts w:ascii="Times New Roman" w:hAnsi="Times New Roman" w:cs="Times New Roman"/>
        </w:rPr>
        <w:lastRenderedPageBreak/>
        <w:t>Employee voice through a variety of channels (forums, surveys), positive interactions with unions and works councils when they exist, promises to a decent wage and inclusiveness, wellness programs, and adjustment to national negotiating frameworks and consultation regulations (Brewster et al., 2024).</w:t>
      </w:r>
    </w:p>
    <w:p w14:paraId="7903578D" w14:textId="6E0025B9" w:rsidR="00A95F0B" w:rsidRPr="008D6BC0" w:rsidRDefault="00A95F0B" w:rsidP="008D6BC0">
      <w:pPr>
        <w:pStyle w:val="ListParagraph"/>
        <w:numPr>
          <w:ilvl w:val="0"/>
          <w:numId w:val="1"/>
        </w:numPr>
        <w:spacing w:line="360" w:lineRule="auto"/>
        <w:jc w:val="both"/>
        <w:outlineLvl w:val="3"/>
        <w:rPr>
          <w:rFonts w:ascii="Times New Roman" w:hAnsi="Times New Roman" w:cs="Times New Roman"/>
        </w:rPr>
      </w:pPr>
      <w:r w:rsidRPr="008D6BC0">
        <w:rPr>
          <w:rFonts w:ascii="Times New Roman" w:hAnsi="Times New Roman" w:cs="Times New Roman"/>
        </w:rPr>
        <w:t>Application of Model</w:t>
      </w:r>
    </w:p>
    <w:p w14:paraId="4609E56C" w14:textId="77777777" w:rsidR="0066164C" w:rsidRPr="008D6BC0" w:rsidRDefault="0066164C" w:rsidP="008D6BC0">
      <w:pPr>
        <w:spacing w:line="360" w:lineRule="auto"/>
        <w:jc w:val="both"/>
        <w:rPr>
          <w:rFonts w:ascii="Times New Roman" w:hAnsi="Times New Roman" w:cs="Times New Roman"/>
        </w:rPr>
      </w:pPr>
      <w:r w:rsidRPr="008D6BC0">
        <w:rPr>
          <w:rFonts w:ascii="Times New Roman" w:hAnsi="Times New Roman" w:cs="Times New Roman"/>
        </w:rPr>
        <w:t>Heatwaves and floods are examples of physical climatic threats that disrupt supply chains and locations, necessitating strong H&amp;S, backup staffing, and emotional support. HR must promote emergency rosters, climate resilience training, and location-specific wellbeing initiatives, frequently in collaboration with operations and EHS (Kramar, 2022).</w:t>
      </w:r>
    </w:p>
    <w:p w14:paraId="67863E7C" w14:textId="164010F5" w:rsidR="00A95F0B" w:rsidRPr="008D6BC0" w:rsidRDefault="0066164C" w:rsidP="008D6BC0">
      <w:pPr>
        <w:spacing w:line="360" w:lineRule="auto"/>
        <w:jc w:val="both"/>
        <w:rPr>
          <w:rFonts w:ascii="Times New Roman" w:hAnsi="Times New Roman" w:cs="Times New Roman"/>
        </w:rPr>
      </w:pPr>
      <w:r w:rsidRPr="008D6BC0">
        <w:rPr>
          <w:rFonts w:ascii="Times New Roman" w:hAnsi="Times New Roman" w:cs="Times New Roman"/>
        </w:rPr>
        <w:t>ESG analysis connects investor expectations with human outcomes (DEI, living wage, health, and safety). Credibility and capital access are impacted by HR's strategic measurement and disclosure capabilities (skills mapping, pay equity analytics, turnover by segment) (OECD, 2023).</w:t>
      </w:r>
    </w:p>
    <w:p w14:paraId="46CF91FD" w14:textId="32D757A1" w:rsidR="00A95F0B" w:rsidRPr="008D6BC0" w:rsidRDefault="00A95F0B" w:rsidP="008D6BC0">
      <w:pPr>
        <w:spacing w:line="360" w:lineRule="auto"/>
        <w:jc w:val="both"/>
        <w:rPr>
          <w:rFonts w:ascii="Times New Roman" w:hAnsi="Times New Roman" w:cs="Times New Roman"/>
        </w:rPr>
      </w:pPr>
      <w:r w:rsidRPr="008D6BC0">
        <w:rPr>
          <w:rFonts w:ascii="Times New Roman" w:hAnsi="Times New Roman" w:cs="Times New Roman"/>
        </w:rPr>
        <w:t>Internal contingencies shaping HR effectiveness</w:t>
      </w:r>
    </w:p>
    <w:p w14:paraId="13141399" w14:textId="77777777" w:rsidR="0066164C" w:rsidRPr="008D6BC0" w:rsidRDefault="0066164C" w:rsidP="008D6BC0">
      <w:pPr>
        <w:spacing w:line="360" w:lineRule="auto"/>
        <w:jc w:val="both"/>
        <w:rPr>
          <w:rFonts w:ascii="Times New Roman" w:hAnsi="Times New Roman" w:cs="Times New Roman"/>
        </w:rPr>
      </w:pPr>
      <w:r w:rsidRPr="008D6BC0">
        <w:rPr>
          <w:rFonts w:ascii="Times New Roman" w:hAnsi="Times New Roman" w:cs="Times New Roman"/>
        </w:rPr>
        <w:t>HR must redeploy or reskill at a rapid rate due to category adjustments (e-commerce acceleration, premiumization) that alter capability demand (Boxall and Purcell, 2022).</w:t>
      </w:r>
    </w:p>
    <w:p w14:paraId="1ECA4BF1" w14:textId="77777777" w:rsidR="0066164C" w:rsidRPr="008D6BC0" w:rsidRDefault="0066164C" w:rsidP="008D6BC0">
      <w:pPr>
        <w:spacing w:line="360" w:lineRule="auto"/>
        <w:jc w:val="both"/>
        <w:rPr>
          <w:rFonts w:ascii="Times New Roman" w:hAnsi="Times New Roman" w:cs="Times New Roman"/>
        </w:rPr>
      </w:pPr>
      <w:r w:rsidRPr="008D6BC0">
        <w:rPr>
          <w:rFonts w:ascii="Times New Roman" w:hAnsi="Times New Roman" w:cs="Times New Roman"/>
        </w:rPr>
        <w:t>Clear decision rights are necessary for both local adaptations (</w:t>
      </w:r>
      <w:proofErr w:type="spellStart"/>
      <w:r w:rsidRPr="008D6BC0">
        <w:rPr>
          <w:rFonts w:ascii="Times New Roman" w:hAnsi="Times New Roman" w:cs="Times New Roman"/>
        </w:rPr>
        <w:t>labor</w:t>
      </w:r>
      <w:proofErr w:type="spellEnd"/>
      <w:r w:rsidRPr="008D6BC0">
        <w:rPr>
          <w:rFonts w:ascii="Times New Roman" w:hAnsi="Times New Roman" w:cs="Times New Roman"/>
        </w:rPr>
        <w:t xml:space="preserve"> law, culture) and global process norms (e.g., job architecture) in a matrixed MNE. Clarifying operating models increases HR impact; ambiguity reduces cycle-time in hiring and ER outcomes (Briscoe et al., 2022).</w:t>
      </w:r>
    </w:p>
    <w:p w14:paraId="3EB66A6D" w14:textId="77777777" w:rsidR="0066164C" w:rsidRPr="008D6BC0" w:rsidRDefault="0066164C" w:rsidP="008D6BC0">
      <w:pPr>
        <w:spacing w:line="360" w:lineRule="auto"/>
        <w:jc w:val="both"/>
        <w:rPr>
          <w:rFonts w:ascii="Times New Roman" w:hAnsi="Times New Roman" w:cs="Times New Roman"/>
        </w:rPr>
      </w:pPr>
      <w:r w:rsidRPr="008D6BC0">
        <w:rPr>
          <w:rFonts w:ascii="Times New Roman" w:hAnsi="Times New Roman" w:cs="Times New Roman"/>
        </w:rPr>
        <w:t>Scale and consistency are made possible by the adoption of ATS, skills taxonomies, and learning platforms; gaps in data quality, interoperability, and analytics expertise impede development and increase compliance risk (</w:t>
      </w:r>
      <w:proofErr w:type="spellStart"/>
      <w:r w:rsidRPr="008D6BC0">
        <w:rPr>
          <w:rFonts w:ascii="Times New Roman" w:hAnsi="Times New Roman" w:cs="Times New Roman"/>
        </w:rPr>
        <w:t>Meijerinke</w:t>
      </w:r>
      <w:proofErr w:type="spellEnd"/>
      <w:r w:rsidRPr="008D6BC0">
        <w:rPr>
          <w:rFonts w:ascii="Times New Roman" w:hAnsi="Times New Roman" w:cs="Times New Roman"/>
        </w:rPr>
        <w:t xml:space="preserve"> et al., 2023).</w:t>
      </w:r>
    </w:p>
    <w:p w14:paraId="45D4D643" w14:textId="20A64F43" w:rsidR="00A95F0B" w:rsidRPr="008D6BC0" w:rsidRDefault="0066164C" w:rsidP="008D6BC0">
      <w:pPr>
        <w:spacing w:line="360" w:lineRule="auto"/>
        <w:jc w:val="both"/>
        <w:rPr>
          <w:rFonts w:ascii="Times New Roman" w:hAnsi="Times New Roman" w:cs="Times New Roman"/>
        </w:rPr>
      </w:pPr>
      <w:r w:rsidRPr="008D6BC0">
        <w:rPr>
          <w:rFonts w:ascii="Times New Roman" w:hAnsi="Times New Roman" w:cs="Times New Roman"/>
        </w:rPr>
        <w:t>Effectiveness is increasingly differentiated by HR business partners' consulting abilities, ER fluency, and literacy in AI, analytics, and sustainability (</w:t>
      </w:r>
      <w:proofErr w:type="spellStart"/>
      <w:r w:rsidRPr="008D6BC0">
        <w:rPr>
          <w:rFonts w:ascii="Times New Roman" w:hAnsi="Times New Roman" w:cs="Times New Roman"/>
        </w:rPr>
        <w:t>Minbaeva</w:t>
      </w:r>
      <w:proofErr w:type="spellEnd"/>
      <w:r w:rsidRPr="008D6BC0">
        <w:rPr>
          <w:rFonts w:ascii="Times New Roman" w:hAnsi="Times New Roman" w:cs="Times New Roman"/>
        </w:rPr>
        <w:t>, 2021).</w:t>
      </w:r>
    </w:p>
    <w:p w14:paraId="26AF7ED8" w14:textId="77777777" w:rsidR="0066164C" w:rsidRPr="008D6BC0" w:rsidRDefault="0066164C" w:rsidP="008D6BC0">
      <w:pPr>
        <w:spacing w:line="360" w:lineRule="auto"/>
        <w:jc w:val="both"/>
        <w:rPr>
          <w:rFonts w:ascii="Times New Roman" w:hAnsi="Times New Roman" w:cs="Times New Roman"/>
        </w:rPr>
      </w:pPr>
      <w:r w:rsidRPr="008D6BC0">
        <w:rPr>
          <w:rFonts w:ascii="Times New Roman" w:hAnsi="Times New Roman" w:cs="Times New Roman"/>
        </w:rPr>
        <w:t>HR must prioritize high-materiality efforts (such as safety and critical-skill pipelines) and phase lower-yield programs due to inflationary pressures and productivity targets (OECD, 2023).</w:t>
      </w:r>
    </w:p>
    <w:p w14:paraId="79D4DF2E" w14:textId="5E48B75E" w:rsidR="00A95F0B" w:rsidRPr="008D6BC0" w:rsidRDefault="00A95F0B" w:rsidP="008D6BC0">
      <w:pPr>
        <w:spacing w:line="360" w:lineRule="auto"/>
        <w:jc w:val="both"/>
        <w:rPr>
          <w:rFonts w:ascii="Times New Roman" w:hAnsi="Times New Roman" w:cs="Times New Roman"/>
        </w:rPr>
      </w:pPr>
      <w:r w:rsidRPr="008D6BC0">
        <w:rPr>
          <w:rFonts w:ascii="Times New Roman" w:hAnsi="Times New Roman" w:cs="Times New Roman"/>
        </w:rPr>
        <w:t>Linking PESTLE to HR practices at Unilever</w:t>
      </w:r>
    </w:p>
    <w:p w14:paraId="4CE244D5" w14:textId="77777777" w:rsidR="0066164C" w:rsidRPr="008D6BC0" w:rsidRDefault="0066164C" w:rsidP="008D6BC0">
      <w:pPr>
        <w:spacing w:line="360" w:lineRule="auto"/>
        <w:jc w:val="both"/>
        <w:rPr>
          <w:rFonts w:ascii="Times New Roman" w:hAnsi="Times New Roman" w:cs="Times New Roman"/>
        </w:rPr>
      </w:pPr>
      <w:r w:rsidRPr="008D6BC0">
        <w:rPr>
          <w:rFonts w:ascii="Times New Roman" w:hAnsi="Times New Roman" w:cs="Times New Roman"/>
        </w:rPr>
        <w:lastRenderedPageBreak/>
        <w:t>Transparent, bias-tested evaluations, skills-based recruiting, and localized EVPs are necessary due to strict digital/sustainability talent markets, AI-governance regulations, and DEI demands. HR makes investments in explainable AI and human-in-the-loop decision-making in highly regulated markets; in less regulated industries, reputational requirements remain in place (EU AI Act, 2024).</w:t>
      </w:r>
    </w:p>
    <w:p w14:paraId="38EB0702" w14:textId="77777777" w:rsidR="0066164C" w:rsidRPr="008D6BC0" w:rsidRDefault="0066164C" w:rsidP="008D6BC0">
      <w:pPr>
        <w:spacing w:line="360" w:lineRule="auto"/>
        <w:jc w:val="both"/>
        <w:rPr>
          <w:rFonts w:ascii="Times New Roman" w:hAnsi="Times New Roman" w:cs="Times New Roman"/>
        </w:rPr>
      </w:pPr>
      <w:r w:rsidRPr="008D6BC0">
        <w:rPr>
          <w:rFonts w:ascii="Times New Roman" w:hAnsi="Times New Roman" w:cs="Times New Roman"/>
        </w:rPr>
        <w:t>Modular reskilling (e.g., data literacy for marketers, scope 3 competence for procurement) with credentialing to support mobility is driven by green transition and digital commerce imperatives. HR strikes a mix between local regulatory modules (safety, data privacy), inclusive leadership content, and worldwide curriculum (OECD, 2023).</w:t>
      </w:r>
    </w:p>
    <w:p w14:paraId="217FDCE0" w14:textId="77777777" w:rsidR="0066164C" w:rsidRPr="008D6BC0" w:rsidRDefault="0066164C" w:rsidP="008D6BC0">
      <w:pPr>
        <w:spacing w:line="360" w:lineRule="auto"/>
        <w:jc w:val="both"/>
        <w:rPr>
          <w:rFonts w:ascii="Times New Roman" w:hAnsi="Times New Roman" w:cs="Times New Roman"/>
        </w:rPr>
      </w:pPr>
      <w:r w:rsidRPr="008D6BC0">
        <w:rPr>
          <w:rFonts w:ascii="Times New Roman" w:hAnsi="Times New Roman" w:cs="Times New Roman"/>
        </w:rPr>
        <w:t>The importance of adaptable goals, leading indicators, and coaching is increased by volatile markets and hybrid work. Data collection and processing are governed by legal contexts; in situations where monitoring is limited, HR prioritizes results and norms based on trust (Yang et al., 2022).</w:t>
      </w:r>
    </w:p>
    <w:p w14:paraId="267B5D58" w14:textId="77777777" w:rsidR="0066164C" w:rsidRPr="008D6BC0" w:rsidRDefault="0066164C" w:rsidP="008D6BC0">
      <w:pPr>
        <w:spacing w:line="360" w:lineRule="auto"/>
        <w:jc w:val="both"/>
        <w:rPr>
          <w:rFonts w:ascii="Times New Roman" w:hAnsi="Times New Roman" w:cs="Times New Roman"/>
        </w:rPr>
      </w:pPr>
      <w:r w:rsidRPr="008D6BC0">
        <w:rPr>
          <w:rFonts w:ascii="Times New Roman" w:hAnsi="Times New Roman" w:cs="Times New Roman"/>
        </w:rPr>
        <w:t>HR collaborates with unions and works councils to co-design change in areas where social discourse is robust; in areas where it is fragmented, HR selects alternate channels of expression and guarantees procedural justice to reduce risk. Strong job evaluations and equitable reviews are encouraged by pay transparency regulations (EU, 2023).</w:t>
      </w:r>
    </w:p>
    <w:p w14:paraId="17A53398" w14:textId="094F09B5" w:rsidR="00A95F0B" w:rsidRPr="008D6BC0" w:rsidRDefault="00A95F0B" w:rsidP="008D6BC0">
      <w:pPr>
        <w:spacing w:line="360" w:lineRule="auto"/>
        <w:jc w:val="both"/>
        <w:rPr>
          <w:rFonts w:ascii="Times New Roman" w:hAnsi="Times New Roman" w:cs="Times New Roman"/>
        </w:rPr>
      </w:pPr>
      <w:r w:rsidRPr="008D6BC0">
        <w:rPr>
          <w:rFonts w:ascii="Times New Roman" w:hAnsi="Times New Roman" w:cs="Times New Roman"/>
        </w:rPr>
        <w:t>Country differences</w:t>
      </w:r>
    </w:p>
    <w:p w14:paraId="77DEA103" w14:textId="77777777" w:rsidR="0066164C" w:rsidRPr="008D6BC0" w:rsidRDefault="00A95F0B" w:rsidP="008D6BC0">
      <w:pPr>
        <w:pStyle w:val="ListParagraph"/>
        <w:numPr>
          <w:ilvl w:val="0"/>
          <w:numId w:val="2"/>
        </w:numPr>
        <w:spacing w:line="360" w:lineRule="auto"/>
        <w:jc w:val="both"/>
        <w:rPr>
          <w:rFonts w:ascii="Times New Roman" w:hAnsi="Times New Roman" w:cs="Times New Roman"/>
        </w:rPr>
      </w:pPr>
      <w:r w:rsidRPr="008D6BC0">
        <w:rPr>
          <w:rFonts w:ascii="Times New Roman" w:hAnsi="Times New Roman" w:cs="Times New Roman"/>
        </w:rPr>
        <w:t xml:space="preserve">European Union </w:t>
      </w:r>
    </w:p>
    <w:p w14:paraId="37B91D58" w14:textId="1CBFF125" w:rsidR="00A95F0B" w:rsidRPr="008D6BC0" w:rsidRDefault="00560C5F" w:rsidP="008D6BC0">
      <w:pPr>
        <w:spacing w:line="360" w:lineRule="auto"/>
        <w:jc w:val="both"/>
        <w:rPr>
          <w:rFonts w:ascii="Times New Roman" w:hAnsi="Times New Roman" w:cs="Times New Roman"/>
        </w:rPr>
      </w:pPr>
      <w:r w:rsidRPr="008D6BC0">
        <w:rPr>
          <w:rFonts w:ascii="Times New Roman" w:hAnsi="Times New Roman" w:cs="Times New Roman"/>
        </w:rPr>
        <w:t>Early involvement in scheduling, technology, and restructuring is necessary for strong co-determination and consultative rights. Algorithmic HRM is limited by GDPR and the AI Act, requiring DPIAs, model risk management, and documentation. Increased workload for HR compliance, but frequently improved implementation quality and trust (EU AI Act, 2024</w:t>
      </w:r>
      <w:r w:rsidR="00A95F0B" w:rsidRPr="008D6BC0">
        <w:rPr>
          <w:rFonts w:ascii="Times New Roman" w:hAnsi="Times New Roman" w:cs="Times New Roman"/>
        </w:rPr>
        <w:t>).</w:t>
      </w:r>
    </w:p>
    <w:p w14:paraId="759D55C2" w14:textId="09E89E5A" w:rsidR="0066164C" w:rsidRPr="008D6BC0" w:rsidRDefault="00A95F0B" w:rsidP="008D6BC0">
      <w:pPr>
        <w:pStyle w:val="ListParagraph"/>
        <w:numPr>
          <w:ilvl w:val="0"/>
          <w:numId w:val="2"/>
        </w:numPr>
        <w:spacing w:line="360" w:lineRule="auto"/>
        <w:jc w:val="both"/>
        <w:rPr>
          <w:rFonts w:ascii="Times New Roman" w:hAnsi="Times New Roman" w:cs="Times New Roman"/>
        </w:rPr>
      </w:pPr>
      <w:r w:rsidRPr="008D6BC0">
        <w:rPr>
          <w:rFonts w:ascii="Times New Roman" w:hAnsi="Times New Roman" w:cs="Times New Roman"/>
        </w:rPr>
        <w:t>United States</w:t>
      </w:r>
    </w:p>
    <w:p w14:paraId="53A78B9D" w14:textId="100DF65E" w:rsidR="00A95F0B" w:rsidRDefault="00560C5F" w:rsidP="008D6BC0">
      <w:pPr>
        <w:spacing w:line="360" w:lineRule="auto"/>
        <w:jc w:val="both"/>
        <w:rPr>
          <w:rFonts w:ascii="Times New Roman" w:hAnsi="Times New Roman" w:cs="Times New Roman"/>
        </w:rPr>
      </w:pPr>
      <w:r w:rsidRPr="008D6BC0">
        <w:rPr>
          <w:rFonts w:ascii="Times New Roman" w:hAnsi="Times New Roman" w:cs="Times New Roman"/>
        </w:rPr>
        <w:t xml:space="preserve">Faster talent actions are made possible by more managerial discretion and at-will employment, but careful analysis, documentation, and inclusive policies are necessary due to growing state-level pay transparency regulations and DEI litigation threats. Total-reward competitiveness is heightened by competitive tech </w:t>
      </w:r>
      <w:r w:rsidRPr="008D6BC0">
        <w:rPr>
          <w:rFonts w:ascii="Times New Roman" w:hAnsi="Times New Roman" w:cs="Times New Roman"/>
        </w:rPr>
        <w:t>labour</w:t>
      </w:r>
      <w:r w:rsidRPr="008D6BC0">
        <w:rPr>
          <w:rFonts w:ascii="Times New Roman" w:hAnsi="Times New Roman" w:cs="Times New Roman"/>
        </w:rPr>
        <w:t xml:space="preserve"> markets (OECD, 2023</w:t>
      </w:r>
      <w:r w:rsidR="00A95F0B" w:rsidRPr="008D6BC0">
        <w:rPr>
          <w:rFonts w:ascii="Times New Roman" w:hAnsi="Times New Roman" w:cs="Times New Roman"/>
        </w:rPr>
        <w:t>).</w:t>
      </w:r>
    </w:p>
    <w:p w14:paraId="31724601" w14:textId="47B5ECBE" w:rsidR="008D6BC0" w:rsidRDefault="008D6BC0" w:rsidP="008D6BC0">
      <w:pPr>
        <w:spacing w:line="360" w:lineRule="auto"/>
        <w:jc w:val="both"/>
        <w:rPr>
          <w:rFonts w:ascii="Times New Roman" w:hAnsi="Times New Roman" w:cs="Times New Roman"/>
        </w:rPr>
      </w:pPr>
    </w:p>
    <w:p w14:paraId="4D521BBD" w14:textId="77777777" w:rsidR="008D6BC0" w:rsidRPr="008D6BC0" w:rsidRDefault="008D6BC0" w:rsidP="008D6BC0">
      <w:pPr>
        <w:spacing w:line="360" w:lineRule="auto"/>
        <w:jc w:val="both"/>
        <w:rPr>
          <w:rFonts w:ascii="Times New Roman" w:hAnsi="Times New Roman" w:cs="Times New Roman"/>
        </w:rPr>
      </w:pPr>
    </w:p>
    <w:p w14:paraId="0FEC38AA" w14:textId="084DE844" w:rsidR="0066164C" w:rsidRPr="008D6BC0" w:rsidRDefault="00A95F0B" w:rsidP="008D6BC0">
      <w:pPr>
        <w:pStyle w:val="ListParagraph"/>
        <w:numPr>
          <w:ilvl w:val="0"/>
          <w:numId w:val="2"/>
        </w:numPr>
        <w:spacing w:line="360" w:lineRule="auto"/>
        <w:jc w:val="both"/>
        <w:rPr>
          <w:rFonts w:ascii="Times New Roman" w:hAnsi="Times New Roman" w:cs="Times New Roman"/>
        </w:rPr>
      </w:pPr>
      <w:r w:rsidRPr="008D6BC0">
        <w:rPr>
          <w:rFonts w:ascii="Times New Roman" w:hAnsi="Times New Roman" w:cs="Times New Roman"/>
        </w:rPr>
        <w:lastRenderedPageBreak/>
        <w:t>India</w:t>
      </w:r>
    </w:p>
    <w:p w14:paraId="5DA3ED49" w14:textId="7CD481D8" w:rsidR="00A95F0B" w:rsidRPr="008D6BC0" w:rsidRDefault="00560C5F" w:rsidP="008D6BC0">
      <w:pPr>
        <w:spacing w:line="360" w:lineRule="auto"/>
        <w:jc w:val="both"/>
        <w:rPr>
          <w:rFonts w:ascii="Times New Roman" w:hAnsi="Times New Roman" w:cs="Times New Roman"/>
        </w:rPr>
      </w:pPr>
      <w:r w:rsidRPr="008D6BC0">
        <w:rPr>
          <w:rFonts w:ascii="Times New Roman" w:hAnsi="Times New Roman" w:cs="Times New Roman"/>
        </w:rPr>
        <w:t xml:space="preserve">Scaled recruiting in sales, IT, and shared services is supported by large, youthful talent pools, but strong early-career pipelines and extensive onboarding are required due to campus competitiveness and skills shortages. Infrastructure and heat stress necessitate targeted H&amp;S and benefits, and </w:t>
      </w:r>
      <w:r w:rsidRPr="008D6BC0">
        <w:rPr>
          <w:rFonts w:ascii="Times New Roman" w:hAnsi="Times New Roman" w:cs="Times New Roman"/>
        </w:rPr>
        <w:t>labour</w:t>
      </w:r>
      <w:r w:rsidRPr="008D6BC0">
        <w:rPr>
          <w:rFonts w:ascii="Times New Roman" w:hAnsi="Times New Roman" w:cs="Times New Roman"/>
        </w:rPr>
        <w:t xml:space="preserve"> rules are changing (Kramar, 2022</w:t>
      </w:r>
      <w:r w:rsidR="00A95F0B" w:rsidRPr="008D6BC0">
        <w:rPr>
          <w:rFonts w:ascii="Times New Roman" w:hAnsi="Times New Roman" w:cs="Times New Roman"/>
        </w:rPr>
        <w:t>).</w:t>
      </w:r>
    </w:p>
    <w:p w14:paraId="660BD6CF" w14:textId="7F696DC3" w:rsidR="0066164C" w:rsidRPr="008D6BC0" w:rsidRDefault="00A95F0B" w:rsidP="008D6BC0">
      <w:pPr>
        <w:pStyle w:val="ListParagraph"/>
        <w:numPr>
          <w:ilvl w:val="0"/>
          <w:numId w:val="2"/>
        </w:numPr>
        <w:spacing w:line="360" w:lineRule="auto"/>
        <w:jc w:val="both"/>
        <w:rPr>
          <w:rFonts w:ascii="Times New Roman" w:hAnsi="Times New Roman" w:cs="Times New Roman"/>
        </w:rPr>
      </w:pPr>
      <w:r w:rsidRPr="008D6BC0">
        <w:rPr>
          <w:rFonts w:ascii="Times New Roman" w:hAnsi="Times New Roman" w:cs="Times New Roman"/>
        </w:rPr>
        <w:t>China</w:t>
      </w:r>
    </w:p>
    <w:p w14:paraId="74D2EEE5" w14:textId="26021377" w:rsidR="00A95F0B" w:rsidRPr="008D6BC0" w:rsidRDefault="00560C5F" w:rsidP="008D6BC0">
      <w:pPr>
        <w:spacing w:line="360" w:lineRule="auto"/>
        <w:jc w:val="both"/>
        <w:rPr>
          <w:rFonts w:ascii="Times New Roman" w:hAnsi="Times New Roman" w:cs="Times New Roman"/>
        </w:rPr>
      </w:pPr>
      <w:r w:rsidRPr="008D6BC0">
        <w:rPr>
          <w:rFonts w:ascii="Times New Roman" w:hAnsi="Times New Roman" w:cs="Times New Roman"/>
        </w:rPr>
        <w:t>Data localisation and cybersecurity law shape HR systems and cross-border data flows. Labour law compliance in manufacturing hubs and evolving expectations of younger workers call for career development and wellbeing emphasis (</w:t>
      </w:r>
      <w:proofErr w:type="spellStart"/>
      <w:r w:rsidRPr="008D6BC0">
        <w:rPr>
          <w:rFonts w:ascii="Times New Roman" w:hAnsi="Times New Roman" w:cs="Times New Roman"/>
        </w:rPr>
        <w:t>Meijerink</w:t>
      </w:r>
      <w:proofErr w:type="spellEnd"/>
      <w:r w:rsidRPr="008D6BC0">
        <w:rPr>
          <w:rFonts w:ascii="Times New Roman" w:hAnsi="Times New Roman" w:cs="Times New Roman"/>
        </w:rPr>
        <w:t xml:space="preserve"> et al.</w:t>
      </w:r>
      <w:r w:rsidRPr="008D6BC0">
        <w:rPr>
          <w:rFonts w:ascii="Times New Roman" w:hAnsi="Times New Roman" w:cs="Times New Roman"/>
        </w:rPr>
        <w:t>, 2023</w:t>
      </w:r>
      <w:r w:rsidR="00A95F0B" w:rsidRPr="008D6BC0">
        <w:rPr>
          <w:rFonts w:ascii="Times New Roman" w:hAnsi="Times New Roman" w:cs="Times New Roman"/>
        </w:rPr>
        <w:t>).</w:t>
      </w:r>
    </w:p>
    <w:p w14:paraId="71300DF3" w14:textId="5475D4A3" w:rsidR="0066164C" w:rsidRPr="008D6BC0" w:rsidRDefault="00A95F0B" w:rsidP="008D6BC0">
      <w:pPr>
        <w:pStyle w:val="ListParagraph"/>
        <w:numPr>
          <w:ilvl w:val="0"/>
          <w:numId w:val="2"/>
        </w:numPr>
        <w:spacing w:line="360" w:lineRule="auto"/>
        <w:jc w:val="both"/>
        <w:rPr>
          <w:rFonts w:ascii="Times New Roman" w:hAnsi="Times New Roman" w:cs="Times New Roman"/>
        </w:rPr>
      </w:pPr>
      <w:r w:rsidRPr="008D6BC0">
        <w:rPr>
          <w:rFonts w:ascii="Times New Roman" w:hAnsi="Times New Roman" w:cs="Times New Roman"/>
        </w:rPr>
        <w:t>Brazil</w:t>
      </w:r>
    </w:p>
    <w:p w14:paraId="5B23BE2D" w14:textId="0E345F03" w:rsidR="00A95F0B" w:rsidRPr="008D6BC0" w:rsidRDefault="00560C5F" w:rsidP="008D6BC0">
      <w:pPr>
        <w:spacing w:line="360" w:lineRule="auto"/>
        <w:jc w:val="both"/>
        <w:rPr>
          <w:rFonts w:ascii="Times New Roman" w:hAnsi="Times New Roman" w:cs="Times New Roman"/>
        </w:rPr>
      </w:pPr>
      <w:r w:rsidRPr="008D6BC0">
        <w:rPr>
          <w:rFonts w:ascii="Times New Roman" w:hAnsi="Times New Roman" w:cs="Times New Roman"/>
        </w:rPr>
        <w:t>Union dynamics differ by industry; high inflation and economic volatility put pressure on pay measures. At manufacturing locations, HR must manage complicated taxes and benefits and make investments in community relations and safety (OECD, 2023</w:t>
      </w:r>
      <w:r w:rsidR="00A95F0B" w:rsidRPr="008D6BC0">
        <w:rPr>
          <w:rFonts w:ascii="Times New Roman" w:hAnsi="Times New Roman" w:cs="Times New Roman"/>
        </w:rPr>
        <w:t>).</w:t>
      </w:r>
    </w:p>
    <w:p w14:paraId="10A7CBA0" w14:textId="3AABC3D3" w:rsidR="00A95F0B" w:rsidRPr="008D6BC0" w:rsidRDefault="00560C5F" w:rsidP="008D6BC0">
      <w:pPr>
        <w:spacing w:line="360" w:lineRule="auto"/>
        <w:jc w:val="both"/>
        <w:rPr>
          <w:rFonts w:ascii="Times New Roman" w:hAnsi="Times New Roman" w:cs="Times New Roman"/>
        </w:rPr>
      </w:pPr>
      <w:r w:rsidRPr="008D6BC0">
        <w:rPr>
          <w:rFonts w:ascii="Times New Roman" w:hAnsi="Times New Roman" w:cs="Times New Roman"/>
        </w:rPr>
        <w:t xml:space="preserve">Practice is further shaped by cultural differences. Low power-distance situations anticipate participatory </w:t>
      </w:r>
      <w:r w:rsidRPr="008D6BC0">
        <w:rPr>
          <w:rFonts w:ascii="Times New Roman" w:hAnsi="Times New Roman" w:cs="Times New Roman"/>
        </w:rPr>
        <w:t>goal setting</w:t>
      </w:r>
      <w:r w:rsidRPr="008D6BC0">
        <w:rPr>
          <w:rFonts w:ascii="Times New Roman" w:hAnsi="Times New Roman" w:cs="Times New Roman"/>
        </w:rPr>
        <w:t xml:space="preserve"> and voice, while high power-distance contexts may </w:t>
      </w:r>
      <w:r w:rsidRPr="008D6BC0">
        <w:rPr>
          <w:rFonts w:ascii="Times New Roman" w:hAnsi="Times New Roman" w:cs="Times New Roman"/>
        </w:rPr>
        <w:t>favour</w:t>
      </w:r>
      <w:r w:rsidRPr="008D6BC0">
        <w:rPr>
          <w:rFonts w:ascii="Times New Roman" w:hAnsi="Times New Roman" w:cs="Times New Roman"/>
        </w:rPr>
        <w:t xml:space="preserve"> more directive performance feedback.</w:t>
      </w:r>
      <w:r w:rsidRPr="008D6BC0">
        <w:rPr>
          <w:rFonts w:ascii="Times New Roman" w:hAnsi="Times New Roman" w:cs="Times New Roman"/>
        </w:rPr>
        <w:t xml:space="preserve"> </w:t>
      </w:r>
      <w:r w:rsidRPr="008D6BC0">
        <w:rPr>
          <w:rFonts w:ascii="Times New Roman" w:hAnsi="Times New Roman" w:cs="Times New Roman"/>
        </w:rPr>
        <w:t>Individualist settings place more focus on individual incentives, while collectivist societies promote team-based recognition. HR managers modify frameworks without compromising global uniformity and fairness (Boxall and Purcell, 2022).</w:t>
      </w:r>
    </w:p>
    <w:p w14:paraId="559C40C4" w14:textId="246D5607" w:rsidR="00A95F0B" w:rsidRPr="008D6BC0" w:rsidRDefault="00A95F0B" w:rsidP="008D6BC0">
      <w:pPr>
        <w:spacing w:line="360" w:lineRule="auto"/>
        <w:jc w:val="both"/>
        <w:rPr>
          <w:rFonts w:ascii="Times New Roman" w:hAnsi="Times New Roman" w:cs="Times New Roman"/>
        </w:rPr>
      </w:pPr>
      <w:r w:rsidRPr="008D6BC0">
        <w:rPr>
          <w:rFonts w:ascii="Times New Roman" w:hAnsi="Times New Roman" w:cs="Times New Roman"/>
        </w:rPr>
        <w:t>Effectiveness enablers across contexts</w:t>
      </w:r>
    </w:p>
    <w:p w14:paraId="21DDE42D" w14:textId="77777777" w:rsidR="00560C5F" w:rsidRPr="008D6BC0" w:rsidRDefault="00560C5F" w:rsidP="008D6BC0">
      <w:pPr>
        <w:spacing w:line="360" w:lineRule="auto"/>
        <w:jc w:val="both"/>
        <w:rPr>
          <w:rFonts w:ascii="Times New Roman" w:hAnsi="Times New Roman" w:cs="Times New Roman"/>
        </w:rPr>
      </w:pPr>
      <w:r w:rsidRPr="008D6BC0">
        <w:rPr>
          <w:rFonts w:ascii="Times New Roman" w:hAnsi="Times New Roman" w:cs="Times New Roman"/>
        </w:rPr>
        <w:t>C</w:t>
      </w:r>
      <w:r w:rsidRPr="008D6BC0">
        <w:rPr>
          <w:rFonts w:ascii="Times New Roman" w:hAnsi="Times New Roman" w:cs="Times New Roman"/>
        </w:rPr>
        <w:t>o-creating with line managers and employee representatives to translate international standards into locally acceptable practices (ILO, 2021).</w:t>
      </w:r>
    </w:p>
    <w:p w14:paraId="048061AE" w14:textId="77777777" w:rsidR="00560C5F" w:rsidRPr="008D6BC0" w:rsidRDefault="00560C5F" w:rsidP="008D6BC0">
      <w:pPr>
        <w:spacing w:line="360" w:lineRule="auto"/>
        <w:jc w:val="both"/>
        <w:rPr>
          <w:rFonts w:ascii="Times New Roman" w:hAnsi="Times New Roman" w:cs="Times New Roman"/>
        </w:rPr>
      </w:pPr>
      <w:r w:rsidRPr="008D6BC0">
        <w:rPr>
          <w:rFonts w:ascii="Times New Roman" w:hAnsi="Times New Roman" w:cs="Times New Roman"/>
        </w:rPr>
        <w:t>P</w:t>
      </w:r>
      <w:r w:rsidRPr="008D6BC0">
        <w:rPr>
          <w:rFonts w:ascii="Times New Roman" w:hAnsi="Times New Roman" w:cs="Times New Roman"/>
        </w:rPr>
        <w:t>utting money into ethical AI and data governance to ensure compliance, foster trust, and maximize efficiency (</w:t>
      </w:r>
      <w:proofErr w:type="spellStart"/>
      <w:r w:rsidRPr="008D6BC0">
        <w:rPr>
          <w:rFonts w:ascii="Times New Roman" w:hAnsi="Times New Roman" w:cs="Times New Roman"/>
        </w:rPr>
        <w:t>Meijerink</w:t>
      </w:r>
      <w:proofErr w:type="spellEnd"/>
      <w:r w:rsidRPr="008D6BC0">
        <w:rPr>
          <w:rFonts w:ascii="Times New Roman" w:hAnsi="Times New Roman" w:cs="Times New Roman"/>
        </w:rPr>
        <w:t xml:space="preserve"> et al., 2023).</w:t>
      </w:r>
      <w:r w:rsidRPr="008D6BC0">
        <w:rPr>
          <w:rFonts w:ascii="Times New Roman" w:hAnsi="Times New Roman" w:cs="Times New Roman"/>
        </w:rPr>
        <w:t xml:space="preserve"> </w:t>
      </w:r>
    </w:p>
    <w:p w14:paraId="62D49CC5" w14:textId="77777777" w:rsidR="00560C5F" w:rsidRPr="008D6BC0" w:rsidRDefault="00560C5F" w:rsidP="008D6BC0">
      <w:pPr>
        <w:spacing w:line="360" w:lineRule="auto"/>
        <w:jc w:val="both"/>
        <w:rPr>
          <w:rFonts w:ascii="Times New Roman" w:hAnsi="Times New Roman" w:cs="Times New Roman"/>
        </w:rPr>
      </w:pPr>
      <w:r w:rsidRPr="008D6BC0">
        <w:rPr>
          <w:rFonts w:ascii="Times New Roman" w:hAnsi="Times New Roman" w:cs="Times New Roman"/>
        </w:rPr>
        <w:t>Creating career mobility-related green and digital skill pathways to lessen reliance on outside employment (Kramar, 2022).</w:t>
      </w:r>
    </w:p>
    <w:p w14:paraId="21CFC455" w14:textId="6A845269" w:rsidR="008D6BC0" w:rsidRDefault="00560C5F" w:rsidP="008D6BC0">
      <w:pPr>
        <w:spacing w:line="360" w:lineRule="auto"/>
        <w:jc w:val="both"/>
        <w:rPr>
          <w:rFonts w:ascii="Times New Roman" w:hAnsi="Times New Roman" w:cs="Times New Roman"/>
        </w:rPr>
      </w:pPr>
      <w:r w:rsidRPr="008D6BC0">
        <w:rPr>
          <w:rFonts w:ascii="Times New Roman" w:hAnsi="Times New Roman" w:cs="Times New Roman"/>
        </w:rPr>
        <w:t>To manage volatility, HR should improve its analytics, ER, and change capabilities (Boxall and Purcell, 2022).</w:t>
      </w:r>
    </w:p>
    <w:p w14:paraId="10E5EDF0" w14:textId="77777777" w:rsidR="008D6BC0" w:rsidRDefault="008D6BC0" w:rsidP="008D6BC0">
      <w:pPr>
        <w:spacing w:line="360" w:lineRule="auto"/>
        <w:jc w:val="both"/>
        <w:rPr>
          <w:rFonts w:ascii="Times New Roman" w:hAnsi="Times New Roman" w:cs="Times New Roman"/>
        </w:rPr>
      </w:pPr>
    </w:p>
    <w:p w14:paraId="0EC0A937" w14:textId="77777777" w:rsidR="008D6BC0" w:rsidRPr="008D6BC0" w:rsidRDefault="008D6BC0" w:rsidP="008D6BC0">
      <w:pPr>
        <w:spacing w:line="360" w:lineRule="auto"/>
        <w:jc w:val="both"/>
        <w:rPr>
          <w:rFonts w:ascii="Times New Roman" w:hAnsi="Times New Roman" w:cs="Times New Roman"/>
        </w:rPr>
      </w:pPr>
    </w:p>
    <w:p w14:paraId="4C766A84" w14:textId="0207C31E" w:rsidR="00A95F0B" w:rsidRPr="008D6BC0" w:rsidRDefault="00A95F0B" w:rsidP="008D6BC0">
      <w:pPr>
        <w:pStyle w:val="ListParagraph"/>
        <w:numPr>
          <w:ilvl w:val="0"/>
          <w:numId w:val="1"/>
        </w:numPr>
        <w:spacing w:line="360" w:lineRule="auto"/>
        <w:jc w:val="both"/>
        <w:outlineLvl w:val="4"/>
        <w:rPr>
          <w:rFonts w:ascii="Times New Roman" w:hAnsi="Times New Roman" w:cs="Times New Roman"/>
        </w:rPr>
      </w:pPr>
      <w:r w:rsidRPr="008D6BC0">
        <w:rPr>
          <w:rFonts w:ascii="Times New Roman" w:hAnsi="Times New Roman" w:cs="Times New Roman"/>
        </w:rPr>
        <w:lastRenderedPageBreak/>
        <w:t>Conclusion</w:t>
      </w:r>
    </w:p>
    <w:p w14:paraId="5AC201EC" w14:textId="0B0698B5" w:rsidR="00A95F0B" w:rsidRPr="008D6BC0" w:rsidRDefault="00560C5F" w:rsidP="008D6BC0">
      <w:pPr>
        <w:spacing w:line="360" w:lineRule="auto"/>
        <w:jc w:val="both"/>
        <w:rPr>
          <w:rFonts w:ascii="Times New Roman" w:hAnsi="Times New Roman" w:cs="Times New Roman"/>
        </w:rPr>
      </w:pPr>
      <w:r w:rsidRPr="008D6BC0">
        <w:rPr>
          <w:rFonts w:ascii="Times New Roman" w:hAnsi="Times New Roman" w:cs="Times New Roman"/>
        </w:rPr>
        <w:t>According to this analysis, the interaction between internal organizational enablers and external macro pressures determines how effective HR managers are in a multinational corporation like Unilever. Using PESTLE, we demonstrated how key HR functions are being reshaped by political-legal developments (AI governance, data privacy, pay transparency), economic volatility (inflation, skills shortages), social shifts (DEI, wellbeing, flexibility), technological advancements (AI, people analytics, hybrid work), and environmental imperatives (net-zero, climate resilience).</w:t>
      </w:r>
      <w:r w:rsidR="00A95F0B" w:rsidRPr="008D6BC0">
        <w:rPr>
          <w:rFonts w:ascii="Times New Roman" w:hAnsi="Times New Roman" w:cs="Times New Roman"/>
        </w:rPr>
        <w:t xml:space="preserve"> </w:t>
      </w:r>
      <w:r w:rsidRPr="008D6BC0">
        <w:rPr>
          <w:rFonts w:ascii="Times New Roman" w:hAnsi="Times New Roman" w:cs="Times New Roman"/>
        </w:rPr>
        <w:t>Additionally, we emphasized the internal factors—strategy, structure, digital maturity, capability depth, and culture—that influence HR's ability to convert international standards into locally acceptable and significant practices in the areas of hiring, development, performance, and employee relations (Briscoe et al., 2023).</w:t>
      </w:r>
    </w:p>
    <w:p w14:paraId="5FD0ACB3" w14:textId="7A5F33D3" w:rsidR="00A95F0B" w:rsidRPr="008D6BC0" w:rsidRDefault="00560C5F" w:rsidP="008D6BC0">
      <w:pPr>
        <w:spacing w:line="360" w:lineRule="auto"/>
        <w:jc w:val="both"/>
        <w:rPr>
          <w:rFonts w:ascii="Times New Roman" w:hAnsi="Times New Roman" w:cs="Times New Roman"/>
        </w:rPr>
      </w:pPr>
      <w:r w:rsidRPr="008D6BC0">
        <w:rPr>
          <w:rFonts w:ascii="Times New Roman" w:hAnsi="Times New Roman" w:cs="Times New Roman"/>
        </w:rPr>
        <w:t>Three implications are evident when looking ahead. In order to achieve efficiency and experience improvements, HR must operationalize AI and data governance by design. This is the first non-negotiable aspect of responsible digitalization (EU AI Act, 2024).</w:t>
      </w:r>
      <w:r w:rsidRPr="008D6BC0">
        <w:rPr>
          <w:rFonts w:ascii="Times New Roman" w:hAnsi="Times New Roman" w:cs="Times New Roman"/>
        </w:rPr>
        <w:t xml:space="preserve"> </w:t>
      </w:r>
      <w:r w:rsidRPr="008D6BC0">
        <w:rPr>
          <w:rFonts w:ascii="Times New Roman" w:hAnsi="Times New Roman" w:cs="Times New Roman"/>
        </w:rPr>
        <w:t xml:space="preserve">Second, HR should spearhead enterprise-wide skills taxonomies, </w:t>
      </w:r>
      <w:r w:rsidRPr="008D6BC0">
        <w:rPr>
          <w:rFonts w:ascii="Times New Roman" w:hAnsi="Times New Roman" w:cs="Times New Roman"/>
        </w:rPr>
        <w:t>learn</w:t>
      </w:r>
      <w:r w:rsidRPr="008D6BC0">
        <w:rPr>
          <w:rFonts w:ascii="Times New Roman" w:hAnsi="Times New Roman" w:cs="Times New Roman"/>
        </w:rPr>
        <w:t xml:space="preserve"> paths, and just transition strategies connected to ESG reporting because green transformation will be a people transformation (OECD, 2023). Third, competitiveness will be supported by resilience and inclusion: strong ER, reliable DEI, and management capacity for hybrid, cross-cultural leadership will distinguish performance, retention, and attractiveness (Collings et al., 2021).</w:t>
      </w:r>
      <w:r w:rsidRPr="008D6BC0">
        <w:rPr>
          <w:rFonts w:ascii="Times New Roman" w:hAnsi="Times New Roman" w:cs="Times New Roman"/>
        </w:rPr>
        <w:t xml:space="preserve"> </w:t>
      </w:r>
      <w:r w:rsidRPr="008D6BC0">
        <w:rPr>
          <w:rFonts w:ascii="Times New Roman" w:hAnsi="Times New Roman" w:cs="Times New Roman"/>
        </w:rPr>
        <w:t>In an increasingly complicated global world, HR professionals that integrate environmental scanning with data-driven prioritization, local co-creation, and ongoing competence building will be in the greatest position to support organizational strategy and stakeholder trust</w:t>
      </w:r>
      <w:r w:rsidR="00A95F0B" w:rsidRPr="008D6BC0">
        <w:rPr>
          <w:rFonts w:ascii="Times New Roman" w:hAnsi="Times New Roman" w:cs="Times New Roman"/>
        </w:rPr>
        <w:t>.</w:t>
      </w:r>
    </w:p>
    <w:p w14:paraId="637E336E" w14:textId="77777777" w:rsidR="00A95F0B" w:rsidRPr="008D6BC0" w:rsidRDefault="00A95F0B" w:rsidP="008D6BC0">
      <w:pPr>
        <w:spacing w:line="360" w:lineRule="auto"/>
        <w:rPr>
          <w:rFonts w:ascii="Times New Roman" w:hAnsi="Times New Roman" w:cs="Times New Roman"/>
        </w:rPr>
      </w:pPr>
    </w:p>
    <w:p w14:paraId="03EC97EE" w14:textId="77777777" w:rsidR="00560C5F" w:rsidRPr="008D6BC0" w:rsidRDefault="00560C5F" w:rsidP="008D6BC0">
      <w:pPr>
        <w:spacing w:line="360" w:lineRule="auto"/>
        <w:rPr>
          <w:rFonts w:ascii="Times New Roman" w:hAnsi="Times New Roman" w:cs="Times New Roman"/>
        </w:rPr>
      </w:pPr>
    </w:p>
    <w:p w14:paraId="13D3B518" w14:textId="77777777" w:rsidR="00560C5F" w:rsidRDefault="00560C5F" w:rsidP="008D6BC0">
      <w:pPr>
        <w:spacing w:line="360" w:lineRule="auto"/>
        <w:rPr>
          <w:rFonts w:ascii="Times New Roman" w:hAnsi="Times New Roman" w:cs="Times New Roman"/>
        </w:rPr>
      </w:pPr>
    </w:p>
    <w:p w14:paraId="31AEBAF9" w14:textId="77777777" w:rsidR="008D6BC0" w:rsidRDefault="008D6BC0" w:rsidP="008D6BC0">
      <w:pPr>
        <w:spacing w:line="360" w:lineRule="auto"/>
        <w:rPr>
          <w:rFonts w:ascii="Times New Roman" w:hAnsi="Times New Roman" w:cs="Times New Roman"/>
        </w:rPr>
      </w:pPr>
    </w:p>
    <w:p w14:paraId="63A6E120" w14:textId="77777777" w:rsidR="008D6BC0" w:rsidRDefault="008D6BC0" w:rsidP="008D6BC0">
      <w:pPr>
        <w:spacing w:line="360" w:lineRule="auto"/>
        <w:rPr>
          <w:rFonts w:ascii="Times New Roman" w:hAnsi="Times New Roman" w:cs="Times New Roman"/>
        </w:rPr>
      </w:pPr>
    </w:p>
    <w:p w14:paraId="64455191" w14:textId="77777777" w:rsidR="008D6BC0" w:rsidRDefault="008D6BC0" w:rsidP="008D6BC0">
      <w:pPr>
        <w:spacing w:line="360" w:lineRule="auto"/>
        <w:rPr>
          <w:rFonts w:ascii="Times New Roman" w:hAnsi="Times New Roman" w:cs="Times New Roman"/>
        </w:rPr>
      </w:pPr>
    </w:p>
    <w:p w14:paraId="72BECA22" w14:textId="77777777" w:rsidR="008D6BC0" w:rsidRDefault="008D6BC0" w:rsidP="008D6BC0">
      <w:pPr>
        <w:spacing w:line="360" w:lineRule="auto"/>
        <w:rPr>
          <w:rFonts w:ascii="Times New Roman" w:hAnsi="Times New Roman" w:cs="Times New Roman"/>
        </w:rPr>
      </w:pPr>
    </w:p>
    <w:p w14:paraId="49672901" w14:textId="77777777" w:rsidR="008D6BC0" w:rsidRPr="008D6BC0" w:rsidRDefault="008D6BC0" w:rsidP="008D6BC0">
      <w:pPr>
        <w:spacing w:line="360" w:lineRule="auto"/>
        <w:rPr>
          <w:rFonts w:ascii="Times New Roman" w:hAnsi="Times New Roman" w:cs="Times New Roman"/>
        </w:rPr>
      </w:pPr>
    </w:p>
    <w:p w14:paraId="7B87EC15" w14:textId="0320F368" w:rsidR="00A95F0B" w:rsidRPr="008D6BC0" w:rsidRDefault="00A95F0B" w:rsidP="008D6BC0">
      <w:pPr>
        <w:pStyle w:val="ListParagraph"/>
        <w:numPr>
          <w:ilvl w:val="0"/>
          <w:numId w:val="1"/>
        </w:numPr>
        <w:spacing w:line="360" w:lineRule="auto"/>
        <w:outlineLvl w:val="5"/>
        <w:rPr>
          <w:rFonts w:ascii="Times New Roman" w:hAnsi="Times New Roman" w:cs="Times New Roman"/>
        </w:rPr>
      </w:pPr>
      <w:r w:rsidRPr="008D6BC0">
        <w:rPr>
          <w:rFonts w:ascii="Times New Roman" w:hAnsi="Times New Roman" w:cs="Times New Roman"/>
        </w:rPr>
        <w:lastRenderedPageBreak/>
        <w:t>References</w:t>
      </w:r>
    </w:p>
    <w:p w14:paraId="2878DBC4" w14:textId="77777777" w:rsidR="00A95F0B" w:rsidRPr="008D6BC0" w:rsidRDefault="00A95F0B" w:rsidP="008D6BC0">
      <w:pPr>
        <w:spacing w:line="360" w:lineRule="auto"/>
        <w:rPr>
          <w:rFonts w:ascii="Times New Roman" w:hAnsi="Times New Roman" w:cs="Times New Roman"/>
        </w:rPr>
      </w:pPr>
    </w:p>
    <w:p w14:paraId="3F93A4AD" w14:textId="77777777" w:rsidR="00A95F0B" w:rsidRPr="008D6BC0" w:rsidRDefault="00A95F0B" w:rsidP="008D6BC0">
      <w:pPr>
        <w:spacing w:line="360" w:lineRule="auto"/>
        <w:rPr>
          <w:rFonts w:ascii="Times New Roman" w:hAnsi="Times New Roman" w:cs="Times New Roman"/>
        </w:rPr>
      </w:pPr>
      <w:r w:rsidRPr="008D6BC0">
        <w:rPr>
          <w:rFonts w:ascii="Times New Roman" w:hAnsi="Times New Roman" w:cs="Times New Roman"/>
        </w:rPr>
        <w:t xml:space="preserve">Boxall, P. and Purcell, J. (2022) Strategy and Human Resource Management. 5th </w:t>
      </w:r>
      <w:proofErr w:type="spellStart"/>
      <w:r w:rsidRPr="008D6BC0">
        <w:rPr>
          <w:rFonts w:ascii="Times New Roman" w:hAnsi="Times New Roman" w:cs="Times New Roman"/>
        </w:rPr>
        <w:t>edn</w:t>
      </w:r>
      <w:proofErr w:type="spellEnd"/>
      <w:r w:rsidRPr="008D6BC0">
        <w:rPr>
          <w:rFonts w:ascii="Times New Roman" w:hAnsi="Times New Roman" w:cs="Times New Roman"/>
        </w:rPr>
        <w:t>. Oxford: Oxford University Press.</w:t>
      </w:r>
    </w:p>
    <w:p w14:paraId="1E215CB6" w14:textId="77777777" w:rsidR="00A95F0B" w:rsidRPr="008D6BC0" w:rsidRDefault="00A95F0B" w:rsidP="008D6BC0">
      <w:pPr>
        <w:spacing w:line="360" w:lineRule="auto"/>
        <w:rPr>
          <w:rFonts w:ascii="Times New Roman" w:hAnsi="Times New Roman" w:cs="Times New Roman"/>
        </w:rPr>
      </w:pPr>
      <w:r w:rsidRPr="008D6BC0">
        <w:rPr>
          <w:rFonts w:ascii="Times New Roman" w:hAnsi="Times New Roman" w:cs="Times New Roman"/>
        </w:rPr>
        <w:t xml:space="preserve">Briscoe, D.R., Tarique, I. and Schuler, R.S. (2023) International Human Resource Management: Policies and Practices for Multinational Enterprises. 6th </w:t>
      </w:r>
      <w:proofErr w:type="spellStart"/>
      <w:r w:rsidRPr="008D6BC0">
        <w:rPr>
          <w:rFonts w:ascii="Times New Roman" w:hAnsi="Times New Roman" w:cs="Times New Roman"/>
        </w:rPr>
        <w:t>edn</w:t>
      </w:r>
      <w:proofErr w:type="spellEnd"/>
      <w:r w:rsidRPr="008D6BC0">
        <w:rPr>
          <w:rFonts w:ascii="Times New Roman" w:hAnsi="Times New Roman" w:cs="Times New Roman"/>
        </w:rPr>
        <w:t>. London: Routledge.</w:t>
      </w:r>
    </w:p>
    <w:p w14:paraId="00EE801F" w14:textId="77777777" w:rsidR="00A95F0B" w:rsidRPr="008D6BC0" w:rsidRDefault="00A95F0B" w:rsidP="008D6BC0">
      <w:pPr>
        <w:spacing w:line="360" w:lineRule="auto"/>
        <w:rPr>
          <w:rFonts w:ascii="Times New Roman" w:hAnsi="Times New Roman" w:cs="Times New Roman"/>
        </w:rPr>
      </w:pPr>
      <w:r w:rsidRPr="008D6BC0">
        <w:rPr>
          <w:rFonts w:ascii="Times New Roman" w:hAnsi="Times New Roman" w:cs="Times New Roman"/>
        </w:rPr>
        <w:t xml:space="preserve">Brewster, C., Farndale, E. and van </w:t>
      </w:r>
      <w:proofErr w:type="spellStart"/>
      <w:r w:rsidRPr="008D6BC0">
        <w:rPr>
          <w:rFonts w:ascii="Times New Roman" w:hAnsi="Times New Roman" w:cs="Times New Roman"/>
        </w:rPr>
        <w:t>Ruitenbeek</w:t>
      </w:r>
      <w:proofErr w:type="spellEnd"/>
      <w:r w:rsidRPr="008D6BC0">
        <w:rPr>
          <w:rFonts w:ascii="Times New Roman" w:hAnsi="Times New Roman" w:cs="Times New Roman"/>
        </w:rPr>
        <w:t>, G. (2024) International HRM in an age of turbulence: Institutions, inequalities and inclusion. The International Journal of Human Resource Management, 35(1), pp. 1–20.</w:t>
      </w:r>
    </w:p>
    <w:p w14:paraId="58B5DC1C" w14:textId="77777777" w:rsidR="00A95F0B" w:rsidRPr="008D6BC0" w:rsidRDefault="00A95F0B" w:rsidP="008D6BC0">
      <w:pPr>
        <w:spacing w:line="360" w:lineRule="auto"/>
        <w:rPr>
          <w:rFonts w:ascii="Times New Roman" w:hAnsi="Times New Roman" w:cs="Times New Roman"/>
        </w:rPr>
      </w:pPr>
      <w:r w:rsidRPr="008D6BC0">
        <w:rPr>
          <w:rFonts w:ascii="Times New Roman" w:hAnsi="Times New Roman" w:cs="Times New Roman"/>
        </w:rPr>
        <w:t xml:space="preserve">Collings, D.G., Scullion, H. and </w:t>
      </w:r>
      <w:proofErr w:type="spellStart"/>
      <w:r w:rsidRPr="008D6BC0">
        <w:rPr>
          <w:rFonts w:ascii="Times New Roman" w:hAnsi="Times New Roman" w:cs="Times New Roman"/>
        </w:rPr>
        <w:t>Vaiman</w:t>
      </w:r>
      <w:proofErr w:type="spellEnd"/>
      <w:r w:rsidRPr="008D6BC0">
        <w:rPr>
          <w:rFonts w:ascii="Times New Roman" w:hAnsi="Times New Roman" w:cs="Times New Roman"/>
        </w:rPr>
        <w:t>, V. (2021) Talent management: Progress and prospects. Human Resource Management Review, 31(4), 100790.</w:t>
      </w:r>
    </w:p>
    <w:p w14:paraId="53C9F683" w14:textId="77777777" w:rsidR="00A95F0B" w:rsidRPr="008D6BC0" w:rsidRDefault="00A95F0B" w:rsidP="008D6BC0">
      <w:pPr>
        <w:spacing w:line="360" w:lineRule="auto"/>
        <w:rPr>
          <w:rFonts w:ascii="Times New Roman" w:hAnsi="Times New Roman" w:cs="Times New Roman"/>
        </w:rPr>
      </w:pPr>
      <w:r w:rsidRPr="008D6BC0">
        <w:rPr>
          <w:rFonts w:ascii="Times New Roman" w:hAnsi="Times New Roman" w:cs="Times New Roman"/>
        </w:rPr>
        <w:t>European Union (2023) Directive (EU) 2023/970 on strengthening the application of the principle of equal pay between men and women through pay transparency. Official Journal of the European Union.</w:t>
      </w:r>
    </w:p>
    <w:p w14:paraId="0602EAD1" w14:textId="77777777" w:rsidR="00A95F0B" w:rsidRPr="008D6BC0" w:rsidRDefault="00A95F0B" w:rsidP="008D6BC0">
      <w:pPr>
        <w:spacing w:line="360" w:lineRule="auto"/>
        <w:rPr>
          <w:rFonts w:ascii="Times New Roman" w:hAnsi="Times New Roman" w:cs="Times New Roman"/>
        </w:rPr>
      </w:pPr>
      <w:r w:rsidRPr="008D6BC0">
        <w:rPr>
          <w:rFonts w:ascii="Times New Roman" w:hAnsi="Times New Roman" w:cs="Times New Roman"/>
        </w:rPr>
        <w:t>European Union (2024) Regulation (EU) 2024/… Artificial Intelligence Act. Official Journal of the European Union.</w:t>
      </w:r>
    </w:p>
    <w:p w14:paraId="38F704A1" w14:textId="77777777" w:rsidR="00A95F0B" w:rsidRPr="008D6BC0" w:rsidRDefault="00A95F0B" w:rsidP="008D6BC0">
      <w:pPr>
        <w:spacing w:line="360" w:lineRule="auto"/>
        <w:rPr>
          <w:rFonts w:ascii="Times New Roman" w:hAnsi="Times New Roman" w:cs="Times New Roman"/>
        </w:rPr>
      </w:pPr>
      <w:r w:rsidRPr="008D6BC0">
        <w:rPr>
          <w:rFonts w:ascii="Times New Roman" w:hAnsi="Times New Roman" w:cs="Times New Roman"/>
        </w:rPr>
        <w:t>International Labour Organization (ILO) (2021) World Employment and Social Outlook 2021: The role of social dialogue. Geneva: ILO.</w:t>
      </w:r>
    </w:p>
    <w:p w14:paraId="777970DF" w14:textId="77777777" w:rsidR="00A95F0B" w:rsidRPr="008D6BC0" w:rsidRDefault="00A95F0B" w:rsidP="008D6BC0">
      <w:pPr>
        <w:spacing w:line="360" w:lineRule="auto"/>
        <w:rPr>
          <w:rFonts w:ascii="Times New Roman" w:hAnsi="Times New Roman" w:cs="Times New Roman"/>
        </w:rPr>
      </w:pPr>
      <w:r w:rsidRPr="008D6BC0">
        <w:rPr>
          <w:rFonts w:ascii="Times New Roman" w:hAnsi="Times New Roman" w:cs="Times New Roman"/>
        </w:rPr>
        <w:t>Kramar, R. (2022) Sustainable human resource management: A conceptual and analytical framework. The International Journal of Human Resource Management, 33(1), pp. 1–30.</w:t>
      </w:r>
    </w:p>
    <w:p w14:paraId="08EC19CB" w14:textId="77777777" w:rsidR="00A95F0B" w:rsidRPr="008D6BC0" w:rsidRDefault="00A95F0B" w:rsidP="008D6BC0">
      <w:pPr>
        <w:spacing w:line="360" w:lineRule="auto"/>
        <w:rPr>
          <w:rFonts w:ascii="Times New Roman" w:hAnsi="Times New Roman" w:cs="Times New Roman"/>
        </w:rPr>
      </w:pPr>
      <w:proofErr w:type="spellStart"/>
      <w:r w:rsidRPr="008D6BC0">
        <w:rPr>
          <w:rFonts w:ascii="Times New Roman" w:hAnsi="Times New Roman" w:cs="Times New Roman"/>
        </w:rPr>
        <w:t>Meijerink</w:t>
      </w:r>
      <w:proofErr w:type="spellEnd"/>
      <w:r w:rsidRPr="008D6BC0">
        <w:rPr>
          <w:rFonts w:ascii="Times New Roman" w:hAnsi="Times New Roman" w:cs="Times New Roman"/>
        </w:rPr>
        <w:t xml:space="preserve">, J., </w:t>
      </w:r>
      <w:proofErr w:type="spellStart"/>
      <w:r w:rsidRPr="008D6BC0">
        <w:rPr>
          <w:rFonts w:ascii="Times New Roman" w:hAnsi="Times New Roman" w:cs="Times New Roman"/>
        </w:rPr>
        <w:t>Bondarouk</w:t>
      </w:r>
      <w:proofErr w:type="spellEnd"/>
      <w:r w:rsidRPr="008D6BC0">
        <w:rPr>
          <w:rFonts w:ascii="Times New Roman" w:hAnsi="Times New Roman" w:cs="Times New Roman"/>
        </w:rPr>
        <w:t>, T. and Lepak, D.P. (2023) When HRM meets artificial intelligence: A systematic review and research agenda. Human Resource Management Review, 33(2), 100947.</w:t>
      </w:r>
    </w:p>
    <w:p w14:paraId="64A6411C" w14:textId="77777777" w:rsidR="00A95F0B" w:rsidRPr="008D6BC0" w:rsidRDefault="00A95F0B" w:rsidP="008D6BC0">
      <w:pPr>
        <w:spacing w:line="360" w:lineRule="auto"/>
        <w:rPr>
          <w:rFonts w:ascii="Times New Roman" w:hAnsi="Times New Roman" w:cs="Times New Roman"/>
        </w:rPr>
      </w:pPr>
      <w:r w:rsidRPr="008D6BC0">
        <w:rPr>
          <w:rFonts w:ascii="Times New Roman" w:hAnsi="Times New Roman" w:cs="Times New Roman"/>
        </w:rPr>
        <w:t>Minbaeva, D. (2021) Disrupted HR? Human Resource Management in the digital age. Human Resource Management Review, 31(4), 100747.</w:t>
      </w:r>
    </w:p>
    <w:p w14:paraId="591CAA22" w14:textId="77777777" w:rsidR="00A95F0B" w:rsidRPr="008D6BC0" w:rsidRDefault="00A95F0B" w:rsidP="008D6BC0">
      <w:pPr>
        <w:spacing w:line="360" w:lineRule="auto"/>
        <w:rPr>
          <w:rFonts w:ascii="Times New Roman" w:hAnsi="Times New Roman" w:cs="Times New Roman"/>
        </w:rPr>
      </w:pPr>
      <w:r w:rsidRPr="008D6BC0">
        <w:rPr>
          <w:rFonts w:ascii="Times New Roman" w:hAnsi="Times New Roman" w:cs="Times New Roman"/>
        </w:rPr>
        <w:t>OECD (2023) OECD Employment Outlook 2023: Artificial Intelligence and the Labour Market. Paris: OECD Publishing.</w:t>
      </w:r>
    </w:p>
    <w:p w14:paraId="25F53CF1" w14:textId="3BB7C7D3" w:rsidR="00A672E8" w:rsidRPr="008D6BC0" w:rsidRDefault="00A95F0B" w:rsidP="008D6BC0">
      <w:pPr>
        <w:spacing w:line="360" w:lineRule="auto"/>
        <w:rPr>
          <w:rFonts w:ascii="Times New Roman" w:hAnsi="Times New Roman" w:cs="Times New Roman"/>
        </w:rPr>
      </w:pPr>
      <w:r w:rsidRPr="008D6BC0">
        <w:rPr>
          <w:rFonts w:ascii="Times New Roman" w:hAnsi="Times New Roman" w:cs="Times New Roman"/>
        </w:rPr>
        <w:lastRenderedPageBreak/>
        <w:t>Yang, L., Holtz, D., Jaffe, S., Suri, S., Sinha, S., Weston, J., et al. (2022) The effects of remote work on collaboration and performance. Organization Science, 33(6), pp. 1415–1439.</w:t>
      </w:r>
    </w:p>
    <w:sectPr w:rsidR="00A672E8" w:rsidRPr="008D6B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B96BA7"/>
    <w:multiLevelType w:val="hybridMultilevel"/>
    <w:tmpl w:val="802697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0F5EC1"/>
    <w:multiLevelType w:val="hybridMultilevel"/>
    <w:tmpl w:val="37F044C6"/>
    <w:lvl w:ilvl="0" w:tplc="4AA88D82">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9448282">
    <w:abstractNumId w:val="0"/>
  </w:num>
  <w:num w:numId="2" w16cid:durableId="7700540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F0B"/>
    <w:rsid w:val="0028121B"/>
    <w:rsid w:val="002E4846"/>
    <w:rsid w:val="00560C5F"/>
    <w:rsid w:val="0066164C"/>
    <w:rsid w:val="006F574A"/>
    <w:rsid w:val="008D6BC0"/>
    <w:rsid w:val="008E548E"/>
    <w:rsid w:val="00A672E8"/>
    <w:rsid w:val="00A95F0B"/>
    <w:rsid w:val="00CB6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B55C0"/>
  <w15:chartTrackingRefBased/>
  <w15:docId w15:val="{67A0E86A-A024-45D3-A6ED-F90445FEE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5F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5F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5F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5F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5F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5F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5F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5F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5F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5F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5F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5F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5F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5F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5F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5F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5F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5F0B"/>
    <w:rPr>
      <w:rFonts w:eastAsiaTheme="majorEastAsia" w:cstheme="majorBidi"/>
      <w:color w:val="272727" w:themeColor="text1" w:themeTint="D8"/>
    </w:rPr>
  </w:style>
  <w:style w:type="paragraph" w:styleId="Title">
    <w:name w:val="Title"/>
    <w:basedOn w:val="Normal"/>
    <w:next w:val="Normal"/>
    <w:link w:val="TitleChar"/>
    <w:uiPriority w:val="10"/>
    <w:qFormat/>
    <w:rsid w:val="00A95F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5F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5F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5F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5F0B"/>
    <w:pPr>
      <w:spacing w:before="160"/>
      <w:jc w:val="center"/>
    </w:pPr>
    <w:rPr>
      <w:i/>
      <w:iCs/>
      <w:color w:val="404040" w:themeColor="text1" w:themeTint="BF"/>
    </w:rPr>
  </w:style>
  <w:style w:type="character" w:customStyle="1" w:styleId="QuoteChar">
    <w:name w:val="Quote Char"/>
    <w:basedOn w:val="DefaultParagraphFont"/>
    <w:link w:val="Quote"/>
    <w:uiPriority w:val="29"/>
    <w:rsid w:val="00A95F0B"/>
    <w:rPr>
      <w:i/>
      <w:iCs/>
      <w:color w:val="404040" w:themeColor="text1" w:themeTint="BF"/>
    </w:rPr>
  </w:style>
  <w:style w:type="paragraph" w:styleId="ListParagraph">
    <w:name w:val="List Paragraph"/>
    <w:basedOn w:val="Normal"/>
    <w:uiPriority w:val="34"/>
    <w:qFormat/>
    <w:rsid w:val="00A95F0B"/>
    <w:pPr>
      <w:ind w:left="720"/>
      <w:contextualSpacing/>
    </w:pPr>
  </w:style>
  <w:style w:type="character" w:styleId="IntenseEmphasis">
    <w:name w:val="Intense Emphasis"/>
    <w:basedOn w:val="DefaultParagraphFont"/>
    <w:uiPriority w:val="21"/>
    <w:qFormat/>
    <w:rsid w:val="00A95F0B"/>
    <w:rPr>
      <w:i/>
      <w:iCs/>
      <w:color w:val="0F4761" w:themeColor="accent1" w:themeShade="BF"/>
    </w:rPr>
  </w:style>
  <w:style w:type="paragraph" w:styleId="IntenseQuote">
    <w:name w:val="Intense Quote"/>
    <w:basedOn w:val="Normal"/>
    <w:next w:val="Normal"/>
    <w:link w:val="IntenseQuoteChar"/>
    <w:uiPriority w:val="30"/>
    <w:qFormat/>
    <w:rsid w:val="00A95F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5F0B"/>
    <w:rPr>
      <w:i/>
      <w:iCs/>
      <w:color w:val="0F4761" w:themeColor="accent1" w:themeShade="BF"/>
    </w:rPr>
  </w:style>
  <w:style w:type="character" w:styleId="IntenseReference">
    <w:name w:val="Intense Reference"/>
    <w:basedOn w:val="DefaultParagraphFont"/>
    <w:uiPriority w:val="32"/>
    <w:qFormat/>
    <w:rsid w:val="00A95F0B"/>
    <w:rPr>
      <w:b/>
      <w:bCs/>
      <w:smallCaps/>
      <w:color w:val="0F4761" w:themeColor="accent1" w:themeShade="BF"/>
      <w:spacing w:val="5"/>
    </w:rPr>
  </w:style>
  <w:style w:type="paragraph" w:styleId="TOCHeading">
    <w:name w:val="TOC Heading"/>
    <w:basedOn w:val="Heading1"/>
    <w:next w:val="Normal"/>
    <w:uiPriority w:val="39"/>
    <w:unhideWhenUsed/>
    <w:qFormat/>
    <w:rsid w:val="008D6BC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D6BC0"/>
    <w:pPr>
      <w:spacing w:after="100"/>
    </w:pPr>
  </w:style>
  <w:style w:type="paragraph" w:styleId="TOC2">
    <w:name w:val="toc 2"/>
    <w:basedOn w:val="Normal"/>
    <w:next w:val="Normal"/>
    <w:autoRedefine/>
    <w:uiPriority w:val="39"/>
    <w:unhideWhenUsed/>
    <w:rsid w:val="008D6BC0"/>
    <w:pPr>
      <w:spacing w:after="100"/>
      <w:ind w:left="240"/>
    </w:pPr>
  </w:style>
  <w:style w:type="paragraph" w:styleId="TOC3">
    <w:name w:val="toc 3"/>
    <w:basedOn w:val="Normal"/>
    <w:next w:val="Normal"/>
    <w:autoRedefine/>
    <w:uiPriority w:val="39"/>
    <w:unhideWhenUsed/>
    <w:rsid w:val="008D6BC0"/>
    <w:pPr>
      <w:spacing w:after="100"/>
      <w:ind w:left="480"/>
    </w:pPr>
  </w:style>
  <w:style w:type="character" w:styleId="Hyperlink">
    <w:name w:val="Hyperlink"/>
    <w:basedOn w:val="DefaultParagraphFont"/>
    <w:uiPriority w:val="99"/>
    <w:unhideWhenUsed/>
    <w:rsid w:val="008D6BC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TotalTime>
  <Pages>11</Pages>
  <Words>2529</Words>
  <Characters>14418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Octavian-George Stoica (2330278)</dc:creator>
  <cp:keywords/>
  <dc:description/>
  <cp:lastModifiedBy>Octavian-George Stoica (2330278)</cp:lastModifiedBy>
  <cp:revision>1</cp:revision>
  <dcterms:created xsi:type="dcterms:W3CDTF">2026-03-21T09:02:00Z</dcterms:created>
  <dcterms:modified xsi:type="dcterms:W3CDTF">2026-03-21T10:01:00Z</dcterms:modified>
</cp:coreProperties>
</file>