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1D27" w:rsidP="69DAC171" w:rsidRDefault="00051D27" w14:paraId="41D922A8" w14:textId="71A618B3">
      <w:pPr>
        <w:pStyle w:val="Normal"/>
        <w:jc w:val="center"/>
        <w:rPr>
          <w:sz w:val="40"/>
          <w:szCs w:val="40"/>
          <w:u w:val="none"/>
        </w:rPr>
      </w:pPr>
      <w:r w:rsidRPr="69DAC171" w:rsidR="69DAC171">
        <w:rPr>
          <w:sz w:val="40"/>
          <w:szCs w:val="40"/>
          <w:u w:val="none"/>
        </w:rPr>
        <w:t>Anxiety and Phobic disorders</w:t>
      </w:r>
    </w:p>
    <w:p w:rsidR="00D05CB0" w:rsidP="5F4408F6" w:rsidRDefault="00D05CB0" w14:paraId="58DC071D" w14:textId="0F86C886">
      <w:pPr>
        <w:rPr>
          <w:sz w:val="24"/>
          <w:szCs w:val="24"/>
        </w:rPr>
      </w:pPr>
      <w:r w:rsidRPr="5F4408F6" w:rsidR="5F4408F6">
        <w:rPr>
          <w:sz w:val="24"/>
          <w:szCs w:val="24"/>
        </w:rPr>
        <w:t xml:space="preserve">Anxiety by all accounts, stems from fear. The feeling of anxiety can manifest ANY, time in life, and can impact on a patient’s life massively, or minorly, depending on how they try to address it, if at all. Not everyone suffers from the same level of anxiety, and people don’t always address their anxiety in the same ways, or even recognise that they are suffering from anxiety, therefore living life, sometimes struggling through life and not knowing why, or what they could do about it. Anxiety is usually triggered following an event, or maybe a series of events, causing distress or fear in the patient’s mind, therefore not allowing themselves to forget the way it made them feel, so when trying to go about their everyday lives, they find themselves second guessing their decisions, or rearranging plans, to try </w:t>
      </w:r>
      <w:r w:rsidRPr="5F4408F6" w:rsidR="5F4408F6">
        <w:rPr>
          <w:sz w:val="24"/>
          <w:szCs w:val="24"/>
        </w:rPr>
        <w:t xml:space="preserve">and </w:t>
      </w:r>
      <w:r w:rsidRPr="5F4408F6" w:rsidR="5F4408F6">
        <w:rPr>
          <w:sz w:val="24"/>
          <w:szCs w:val="24"/>
        </w:rPr>
        <w:t>avoid any possible scenario that could trigger that feeling of anxiousness. Unfortunately, in the process of them trying to avoid that feeling of anxiousness, and possibly rearranging or avoiding plans or events, they open themselves up to other possible feelings of guilt for doing so, or sometimes shame for feeling like they don’t have the courage to face there fears.</w:t>
      </w:r>
    </w:p>
    <w:p w:rsidR="00D9635D" w:rsidP="69DAC171" w:rsidRDefault="002F49A7" w14:paraId="66838B17" w14:textId="1B6C2710" w14:noSpellErr="1">
      <w:pPr>
        <w:rPr>
          <w:sz w:val="24"/>
          <w:szCs w:val="24"/>
        </w:rPr>
      </w:pPr>
      <w:r w:rsidRPr="69DAC171" w:rsidR="69DAC171">
        <w:rPr>
          <w:sz w:val="24"/>
          <w:szCs w:val="24"/>
        </w:rPr>
        <w:t>A prime example of an anxiety disorder is Phobias.</w:t>
      </w:r>
    </w:p>
    <w:p w:rsidRPr="00D05CB0" w:rsidR="001E068A" w:rsidP="470D203D" w:rsidRDefault="001E068A" w14:paraId="70B6750B" w14:textId="40350634">
      <w:pPr>
        <w:rPr>
          <w:sz w:val="24"/>
          <w:szCs w:val="24"/>
        </w:rPr>
      </w:pPr>
      <w:r w:rsidRPr="470D203D" w:rsidR="470D203D">
        <w:rPr>
          <w:sz w:val="24"/>
          <w:szCs w:val="24"/>
        </w:rPr>
        <w:t>Phobias being defined as “an extreme, irrational fear of some specific object or situation” (</w:t>
      </w:r>
      <w:r w:rsidRPr="470D203D" w:rsidR="470D203D">
        <w:rPr>
          <w:sz w:val="24"/>
          <w:szCs w:val="24"/>
        </w:rPr>
        <w:t>C</w:t>
      </w:r>
      <w:r w:rsidRPr="470D203D" w:rsidR="470D203D">
        <w:rPr>
          <w:sz w:val="24"/>
          <w:szCs w:val="24"/>
        </w:rPr>
        <w:t xml:space="preserve">hapter 44 Gross R. 2010 </w:t>
      </w:r>
      <w:r w:rsidRPr="470D203D" w:rsidR="470D203D">
        <w:rPr>
          <w:i w:val="1"/>
          <w:iCs w:val="1"/>
          <w:sz w:val="24"/>
          <w:szCs w:val="24"/>
        </w:rPr>
        <w:t>Psychology – The science of mind and behaviour</w:t>
      </w:r>
      <w:r w:rsidRPr="470D203D" w:rsidR="470D203D">
        <w:rPr>
          <w:sz w:val="24"/>
          <w:szCs w:val="24"/>
        </w:rPr>
        <w:t>. London Hodder).</w:t>
      </w:r>
    </w:p>
    <w:p w:rsidR="00BE5A4E" w:rsidP="5F4408F6" w:rsidRDefault="002A3FEF" w14:paraId="1BECAE70" w14:textId="3FC0F1BC">
      <w:pPr>
        <w:rPr>
          <w:sz w:val="24"/>
          <w:szCs w:val="24"/>
        </w:rPr>
      </w:pPr>
      <w:r w:rsidRPr="5F4408F6" w:rsidR="5F4408F6">
        <w:rPr>
          <w:sz w:val="24"/>
          <w:szCs w:val="24"/>
        </w:rPr>
        <w:t xml:space="preserve">There is a large and widespread variety of phobias. Typically, with anxiety, having a larger impact on some patients than others. However phobic disorders are more commonly diagnosed as </w:t>
      </w:r>
      <w:r w:rsidRPr="5F4408F6" w:rsidR="5F4408F6">
        <w:rPr>
          <w:sz w:val="24"/>
          <w:szCs w:val="24"/>
        </w:rPr>
        <w:t>o</w:t>
      </w:r>
      <w:r w:rsidRPr="5F4408F6" w:rsidR="5F4408F6">
        <w:rPr>
          <w:sz w:val="24"/>
          <w:szCs w:val="24"/>
        </w:rPr>
        <w:t xml:space="preserve">pposed to anxiety itself. Some of which being more common in children i.e. </w:t>
      </w:r>
      <w:proofErr w:type="spellStart"/>
      <w:r w:rsidRPr="5F4408F6" w:rsidR="5F4408F6">
        <w:rPr>
          <w:sz w:val="24"/>
          <w:szCs w:val="24"/>
        </w:rPr>
        <w:t>cynophobia</w:t>
      </w:r>
      <w:proofErr w:type="spellEnd"/>
      <w:r w:rsidRPr="5F4408F6" w:rsidR="5F4408F6">
        <w:rPr>
          <w:sz w:val="24"/>
          <w:szCs w:val="24"/>
        </w:rPr>
        <w:t xml:space="preserve"> (fear of dogs) or nyctophobia (fear of the dark), and others being more common in adults i.e. </w:t>
      </w:r>
      <w:proofErr w:type="spellStart"/>
      <w:r w:rsidRPr="5F4408F6" w:rsidR="5F4408F6">
        <w:rPr>
          <w:sz w:val="24"/>
          <w:szCs w:val="24"/>
        </w:rPr>
        <w:t>thanatophobia</w:t>
      </w:r>
      <w:proofErr w:type="spellEnd"/>
      <w:r w:rsidRPr="5F4408F6" w:rsidR="5F4408F6">
        <w:rPr>
          <w:sz w:val="24"/>
          <w:szCs w:val="24"/>
        </w:rPr>
        <w:t xml:space="preserve"> (fear of death). All the examples given, may be common, and may sound easily approachable or even silly to those that do not suffer from them, but to the patient, these fears/phobias are just the tip of the iceberg, and can cause a rippling effect, not just emotionally, or mentally, but also physically, in their daily routines and lively hood. The most common of all phobic disorders diagnosed is Agoraphobia, with it effecting around 60 percent of phobic disorder patients, most of which being women. Either way, agoraphobia is a prime example of how phobias can have an undeniably, massive, impact on people’s lives and even the people around those that are suffering from the disorder. </w:t>
      </w:r>
    </w:p>
    <w:p w:rsidR="002F49A7" w:rsidP="69DAC171" w:rsidRDefault="00471565" w14:paraId="433E363E" w14:textId="7A262DE5" w14:noSpellErr="1">
      <w:pPr>
        <w:rPr>
          <w:sz w:val="24"/>
          <w:szCs w:val="24"/>
        </w:rPr>
      </w:pPr>
      <w:r w:rsidRPr="69DAC171" w:rsidR="69DAC171">
        <w:rPr>
          <w:sz w:val="24"/>
          <w:szCs w:val="24"/>
        </w:rPr>
        <w:t>Agoraphobia consists two</w:t>
      </w:r>
      <w:r w:rsidRPr="69DAC171" w:rsidR="69DAC171">
        <w:rPr>
          <w:sz w:val="24"/>
          <w:szCs w:val="24"/>
        </w:rPr>
        <w:t xml:space="preserve"> key </w:t>
      </w:r>
      <w:r w:rsidRPr="69DAC171" w:rsidR="69DAC171">
        <w:rPr>
          <w:sz w:val="24"/>
          <w:szCs w:val="24"/>
        </w:rPr>
        <w:t>factors: -</w:t>
      </w:r>
    </w:p>
    <w:p w:rsidR="00AF25C4" w:rsidP="69DAC171" w:rsidRDefault="00AF25C4" w14:paraId="25BBB556" w14:textId="75E485CD" w14:noSpellErr="1">
      <w:pPr>
        <w:rPr>
          <w:sz w:val="24"/>
          <w:szCs w:val="24"/>
        </w:rPr>
      </w:pPr>
      <w:r w:rsidRPr="69DAC171" w:rsidR="69DAC171">
        <w:rPr>
          <w:sz w:val="24"/>
          <w:szCs w:val="24"/>
        </w:rPr>
        <w:t xml:space="preserve">One being the fear of </w:t>
      </w:r>
      <w:r w:rsidRPr="69DAC171" w:rsidR="69DAC171">
        <w:rPr>
          <w:sz w:val="24"/>
          <w:szCs w:val="24"/>
        </w:rPr>
        <w:t xml:space="preserve">leaving the safety </w:t>
      </w:r>
      <w:r w:rsidRPr="69DAC171" w:rsidR="69DAC171">
        <w:rPr>
          <w:sz w:val="24"/>
          <w:szCs w:val="24"/>
        </w:rPr>
        <w:t xml:space="preserve">and security of </w:t>
      </w:r>
      <w:r w:rsidRPr="69DAC171" w:rsidR="69DAC171">
        <w:rPr>
          <w:sz w:val="24"/>
          <w:szCs w:val="24"/>
        </w:rPr>
        <w:t>their home and/or companions.</w:t>
      </w:r>
    </w:p>
    <w:p w:rsidR="00593205" w:rsidP="69DAC171" w:rsidRDefault="00593205" w14:paraId="104B269F" w14:textId="7FB75887" w14:noSpellErr="1">
      <w:pPr>
        <w:rPr>
          <w:sz w:val="24"/>
          <w:szCs w:val="24"/>
        </w:rPr>
      </w:pPr>
      <w:r w:rsidRPr="69DAC171" w:rsidR="69DAC171">
        <w:rPr>
          <w:sz w:val="24"/>
          <w:szCs w:val="24"/>
        </w:rPr>
        <w:t>Second</w:t>
      </w:r>
      <w:r w:rsidRPr="69DAC171" w:rsidR="69DAC171">
        <w:rPr>
          <w:sz w:val="24"/>
          <w:szCs w:val="24"/>
        </w:rPr>
        <w:t xml:space="preserve">ly </w:t>
      </w:r>
      <w:r w:rsidRPr="69DAC171" w:rsidR="69DAC171">
        <w:rPr>
          <w:sz w:val="24"/>
          <w:szCs w:val="24"/>
        </w:rPr>
        <w:t>(but more noticeably to the patient</w:t>
      </w:r>
      <w:r w:rsidRPr="69DAC171" w:rsidR="69DAC171">
        <w:rPr>
          <w:sz w:val="24"/>
          <w:szCs w:val="24"/>
        </w:rPr>
        <w:t>) being the fear</w:t>
      </w:r>
      <w:r w:rsidRPr="69DAC171" w:rsidR="69DAC171">
        <w:rPr>
          <w:sz w:val="24"/>
          <w:szCs w:val="24"/>
        </w:rPr>
        <w:t xml:space="preserve"> </w:t>
      </w:r>
      <w:r w:rsidRPr="69DAC171" w:rsidR="69DAC171">
        <w:rPr>
          <w:sz w:val="24"/>
          <w:szCs w:val="24"/>
        </w:rPr>
        <w:t>of publi</w:t>
      </w:r>
      <w:r w:rsidRPr="69DAC171" w:rsidR="69DAC171">
        <w:rPr>
          <w:sz w:val="24"/>
          <w:szCs w:val="24"/>
        </w:rPr>
        <w:t>c places / open spaces.</w:t>
      </w:r>
    </w:p>
    <w:p w:rsidRPr="00D05CB0" w:rsidR="00BE5A4E" w:rsidP="1E4AC481" w:rsidRDefault="00E736BD" w14:paraId="4675C12B" w14:textId="6880F478">
      <w:pPr>
        <w:rPr>
          <w:sz w:val="24"/>
          <w:szCs w:val="24"/>
        </w:rPr>
      </w:pPr>
      <w:r w:rsidRPr="1E4AC481" w:rsidR="1E4AC481">
        <w:rPr>
          <w:sz w:val="24"/>
          <w:szCs w:val="24"/>
        </w:rPr>
        <w:t>According to research (</w:t>
      </w:r>
      <w:hyperlink r:id="Re2ca83954e14480c">
        <w:r w:rsidRPr="1E4AC481" w:rsidR="1E4AC481">
          <w:rPr>
            <w:rStyle w:val="Hyperlink"/>
            <w:sz w:val="24"/>
            <w:szCs w:val="24"/>
          </w:rPr>
          <w:t>www.psychologytoday.com</w:t>
        </w:r>
      </w:hyperlink>
      <w:r w:rsidRPr="1E4AC481" w:rsidR="1E4AC481">
        <w:rPr>
          <w:sz w:val="24"/>
          <w:szCs w:val="24"/>
        </w:rPr>
        <w:t xml:space="preserve">) “Approximately 1.7 percent of adolescents and adults are diagnosed with agoraphobia”  and I have no doubt that there are many more people in the world, undiagnosed, not knowing why they feel the way that they do, or what they can do to help themselves work towards a healthier and more nurturing lifestyle. </w:t>
      </w:r>
      <w:bookmarkStart w:name="_GoBack" w:id="0"/>
      <w:bookmarkEnd w:id="0"/>
    </w:p>
    <w:p w:rsidR="1E4AC481" w:rsidP="1E4AC481" w:rsidRDefault="1E4AC481" w14:paraId="693F2DDA" w14:textId="72744C8C">
      <w:pPr>
        <w:pStyle w:val="Normal"/>
        <w:rPr>
          <w:sz w:val="24"/>
          <w:szCs w:val="24"/>
        </w:rPr>
      </w:pPr>
    </w:p>
    <w:p w:rsidR="1E4AC481" w:rsidP="1E4AC481" w:rsidRDefault="1E4AC481" w14:paraId="44D42EBD" w14:textId="4D1EA998">
      <w:pPr>
        <w:pStyle w:val="Normal"/>
        <w:rPr>
          <w:sz w:val="24"/>
          <w:szCs w:val="24"/>
        </w:rPr>
      </w:pPr>
    </w:p>
    <w:p w:rsidR="1E4AC481" w:rsidP="1E4AC481" w:rsidRDefault="1E4AC481" w14:paraId="305652F4" w14:textId="67941DC7">
      <w:pPr>
        <w:pStyle w:val="Normal"/>
        <w:jc w:val="center"/>
        <w:rPr>
          <w:sz w:val="24"/>
          <w:szCs w:val="24"/>
        </w:rPr>
      </w:pPr>
      <w:r w:rsidRPr="1E4AC481" w:rsidR="1E4AC481">
        <w:rPr>
          <w:rFonts w:ascii="Times New Roman" w:hAnsi="Times New Roman" w:eastAsia="Times New Roman" w:cs="Times New Roman"/>
          <w:noProof w:val="0"/>
          <w:sz w:val="40"/>
          <w:szCs w:val="40"/>
          <w:lang w:val="en-GB"/>
        </w:rPr>
        <w:t>Is gambling an emerging public health issue in Wales, UK?</w:t>
      </w:r>
    </w:p>
    <w:p w:rsidR="1E4AC481" w:rsidRDefault="1E4AC481" w14:paraId="7183DCDA" w14:textId="357BF362">
      <w:r w:rsidRPr="1E4AC481" w:rsidR="1E4AC481">
        <w:rPr>
          <w:rFonts w:ascii="Times New Roman" w:hAnsi="Times New Roman" w:eastAsia="Times New Roman" w:cs="Times New Roman"/>
          <w:noProof w:val="0"/>
          <w:sz w:val="24"/>
          <w:szCs w:val="24"/>
          <w:lang w:val="en-GB"/>
        </w:rPr>
        <w:t>Gambling can be an addictive avenue, associated with mental health, drug and alcohol use, (Colishaw 2016) not always simply affecting the individual, but ‘friends and family around them in society’ (Browne 2017). Also, in the pro column, gambling benefits the economy with its job prospects and the socialism that comes with arcades, and betting shops. Also helping the tax revenue for example ‘in 2016/17 with £2.7biliion in the U.K. (hm revenue)’ But from a public point of view and gambling being known as an addiction, is it taken seriously? (Griffiths 2000) So, to try and shed some light on the matter in question, researchers have had a look through, and investigated archives and recorded information that within the welsh government that is related to gambling, finding 44 documents related to the topic of gambling, as well as other sources being used and finding 18 cases relating to public health issues. Amongst the findings being that, ‘the U.K has the 10th highest gambling capita’ (Thorley 2016) and via the gambling commission found that between 2015 and 2016 ‘1.5million (61% of Wales’ population of adults)’, had engaged in gambling, alongside the associations it has with mental health, and the damage it can cause to the people in ‘society’, it is certainly an emerging public health issue.</w:t>
      </w:r>
    </w:p>
    <w:p w:rsidR="1E4AC481" w:rsidRDefault="1E4AC481" w14:paraId="04D57631" w14:textId="43262222">
      <w:r w:rsidRPr="1E4AC481" w:rsidR="1E4AC481">
        <w:rPr>
          <w:rFonts w:ascii="Times New Roman" w:hAnsi="Times New Roman" w:eastAsia="Times New Roman" w:cs="Times New Roman"/>
          <w:noProof w:val="0"/>
          <w:sz w:val="24"/>
          <w:szCs w:val="24"/>
          <w:lang w:val="en-GB"/>
        </w:rPr>
        <w:t>Reference list:</w:t>
      </w:r>
    </w:p>
    <w:p w:rsidR="1E4AC481" w:rsidRDefault="1E4AC481" w14:paraId="53329A37" w14:textId="52813905">
      <w:r w:rsidRPr="1E4AC481" w:rsidR="1E4AC481">
        <w:rPr>
          <w:rFonts w:ascii="Times New Roman" w:hAnsi="Times New Roman" w:eastAsia="Times New Roman" w:cs="Times New Roman"/>
          <w:noProof w:val="0"/>
          <w:sz w:val="24"/>
          <w:szCs w:val="24"/>
          <w:lang w:val="en-GB"/>
        </w:rPr>
        <w:t>Atherton, F., &amp; Beynon, C. (2018). Is gambling an emerging public health issue for Wales, U.K ?. Journal of Public Health.</w:t>
      </w:r>
    </w:p>
    <w:p w:rsidR="1E4AC481" w:rsidRDefault="1E4AC481" w14:paraId="62FD7B05" w14:textId="1BBF7329">
      <w:r w:rsidRPr="1E4AC481" w:rsidR="1E4AC481">
        <w:rPr>
          <w:rFonts w:ascii="Times New Roman" w:hAnsi="Times New Roman" w:eastAsia="Times New Roman" w:cs="Times New Roman"/>
          <w:noProof w:val="0"/>
          <w:sz w:val="24"/>
          <w:szCs w:val="24"/>
          <w:lang w:val="en-GB"/>
        </w:rPr>
        <w:t>Browne, M., Bellringer, M., Greer, N., Kolandai-Matchett, K., Langham, E., Rockloff, M., ... &amp; Abbott, M. (2017). Measuring the burden of gambling harm in New Zealand.</w:t>
      </w:r>
    </w:p>
    <w:p w:rsidR="1E4AC481" w:rsidRDefault="1E4AC481" w14:paraId="36E63900" w14:textId="232BCAA7">
      <w:r w:rsidRPr="1E4AC481" w:rsidR="1E4AC481">
        <w:rPr>
          <w:rFonts w:ascii="Times New Roman" w:hAnsi="Times New Roman" w:eastAsia="Times New Roman" w:cs="Times New Roman"/>
          <w:noProof w:val="0"/>
          <w:sz w:val="24"/>
          <w:szCs w:val="24"/>
          <w:lang w:val="en-GB"/>
        </w:rPr>
        <w:t>Cowlishaw, S., &amp; Kessler, D. (2016). Problem gambling in the UK: implications for health, psychosocial adjustment and health care utilization. European Addiction Research, 22(2), 90-98.</w:t>
      </w:r>
    </w:p>
    <w:p w:rsidR="1E4AC481" w:rsidRDefault="1E4AC481" w14:paraId="5E486BBD" w14:textId="17DA31B1">
      <w:r w:rsidRPr="1E4AC481" w:rsidR="1E4AC481">
        <w:rPr>
          <w:rFonts w:ascii="Times New Roman" w:hAnsi="Times New Roman" w:eastAsia="Times New Roman" w:cs="Times New Roman"/>
          <w:noProof w:val="0"/>
          <w:sz w:val="24"/>
          <w:szCs w:val="24"/>
          <w:lang w:val="en-GB"/>
        </w:rPr>
        <w:t>Gambling Commission (2015-16) Participation in Gambling and Rates of Problem Gambling in Wales</w:t>
      </w:r>
    </w:p>
    <w:p w:rsidR="1E4AC481" w:rsidRDefault="1E4AC481" w14:paraId="3621E989" w14:textId="589DD733">
      <w:r w:rsidRPr="1E4AC481" w:rsidR="1E4AC481">
        <w:rPr>
          <w:rFonts w:ascii="Times New Roman" w:hAnsi="Times New Roman" w:eastAsia="Times New Roman" w:cs="Times New Roman"/>
          <w:noProof w:val="0"/>
          <w:sz w:val="24"/>
          <w:szCs w:val="24"/>
          <w:lang w:val="en-GB"/>
        </w:rPr>
        <w:t>Griffiths, M. (2000). Internet addiction-time to be taken seriously?. Addiction research, 8(5), 413-418.</w:t>
      </w:r>
    </w:p>
    <w:p w:rsidR="1E4AC481" w:rsidRDefault="1E4AC481" w14:paraId="208DEEC3" w14:textId="7B8D2F04">
      <w:r w:rsidRPr="1E4AC481" w:rsidR="1E4AC481">
        <w:rPr>
          <w:rFonts w:ascii="Times New Roman" w:hAnsi="Times New Roman" w:eastAsia="Times New Roman" w:cs="Times New Roman"/>
          <w:noProof w:val="0"/>
          <w:sz w:val="24"/>
          <w:szCs w:val="24"/>
          <w:lang w:val="en-GB"/>
        </w:rPr>
        <w:t>HM Revenue &amp; Customs. HRMC Annual Report and Accounts (2015–16. 2016, p.160).</w:t>
      </w:r>
    </w:p>
    <w:p w:rsidR="1E4AC481" w:rsidRDefault="1E4AC481" w14:paraId="5AF606E2" w14:textId="44F0C338">
      <w:r w:rsidRPr="1E4AC481" w:rsidR="1E4AC481">
        <w:rPr>
          <w:rFonts w:ascii="Times New Roman" w:hAnsi="Times New Roman" w:eastAsia="Times New Roman" w:cs="Times New Roman"/>
          <w:noProof w:val="0"/>
          <w:sz w:val="24"/>
          <w:szCs w:val="24"/>
          <w:lang w:val="en-GB"/>
        </w:rPr>
        <w:t>Thorley, C., Stirling, A., &amp; Huynh, E. (2016). Cards on the table: the cost to government associated with people who are problem gamblers in Britain. IPPR Report.</w:t>
      </w:r>
    </w:p>
    <w:p w:rsidR="1E4AC481" w:rsidP="1E4AC481" w:rsidRDefault="1E4AC481" w14:paraId="3B90A182" w14:textId="13A98A4E">
      <w:pPr>
        <w:pStyle w:val="Normal"/>
        <w:rPr>
          <w:sz w:val="24"/>
          <w:szCs w:val="24"/>
        </w:rPr>
      </w:pPr>
    </w:p>
    <w:p w:rsidR="1E4AC481" w:rsidP="1E4AC481" w:rsidRDefault="1E4AC481" w14:paraId="4D3F02C1" w14:textId="781FACFD">
      <w:pPr>
        <w:pStyle w:val="Normal"/>
        <w:rPr>
          <w:sz w:val="24"/>
          <w:szCs w:val="24"/>
        </w:rPr>
      </w:pPr>
    </w:p>
    <w:p w:rsidR="1E4AC481" w:rsidP="1E4AC481" w:rsidRDefault="1E4AC481" w14:paraId="6ED4ADEB" w14:textId="16FB2554">
      <w:pPr>
        <w:pStyle w:val="Normal"/>
        <w:rPr>
          <w:sz w:val="24"/>
          <w:szCs w:val="24"/>
        </w:rPr>
      </w:pPr>
    </w:p>
    <w:p w:rsidR="1E4AC481" w:rsidP="1E4AC481" w:rsidRDefault="1E4AC481" w14:paraId="39ACE476" w14:textId="290FD4CE">
      <w:pPr>
        <w:spacing w:after="160" w:line="259" w:lineRule="auto"/>
        <w:jc w:val="center"/>
        <w:rPr>
          <w:rFonts w:ascii="Calibri" w:hAnsi="Calibri" w:eastAsia="Calibri" w:cs="Calibri"/>
          <w:b w:val="1"/>
          <w:bCs w:val="1"/>
          <w:noProof w:val="0"/>
          <w:sz w:val="40"/>
          <w:szCs w:val="40"/>
          <w:lang w:val="en-GB"/>
        </w:rPr>
      </w:pPr>
    </w:p>
    <w:p w:rsidR="1E4AC481" w:rsidP="1E4AC481" w:rsidRDefault="1E4AC481" w14:paraId="42321380" w14:textId="42227081">
      <w:pPr>
        <w:pStyle w:val="Normal"/>
        <w:spacing w:after="160" w:line="259" w:lineRule="auto"/>
        <w:jc w:val="center"/>
        <w:rPr>
          <w:rFonts w:ascii="Calibri" w:hAnsi="Calibri" w:eastAsia="Calibri" w:cs="Calibri"/>
          <w:noProof w:val="0"/>
          <w:sz w:val="40"/>
          <w:szCs w:val="40"/>
          <w:lang w:val="en-GB"/>
        </w:rPr>
      </w:pPr>
      <w:r w:rsidRPr="1E4AC481" w:rsidR="1E4AC481">
        <w:rPr>
          <w:rFonts w:ascii="Calibri" w:hAnsi="Calibri" w:eastAsia="Calibri" w:cs="Calibri"/>
          <w:b w:val="1"/>
          <w:bCs w:val="1"/>
          <w:noProof w:val="0"/>
          <w:sz w:val="40"/>
          <w:szCs w:val="40"/>
          <w:lang w:val="en-GB"/>
        </w:rPr>
        <w:t>The Price of Sexy: Viewers’ Perceptions of a Sexualized Versus Non-sexualized Facebook Proﬁle Photograph</w:t>
      </w:r>
    </w:p>
    <w:p w:rsidR="1E4AC481" w:rsidP="1E4AC481" w:rsidRDefault="1E4AC481" w14:paraId="7E679107" w14:textId="5EDC28CA">
      <w:pPr>
        <w:spacing w:after="160" w:line="259" w:lineRule="auto"/>
        <w:jc w:val="center"/>
        <w:rPr>
          <w:rFonts w:ascii="Calibri" w:hAnsi="Calibri" w:eastAsia="Calibri" w:cs="Calibri"/>
          <w:noProof w:val="0"/>
          <w:sz w:val="40"/>
          <w:szCs w:val="40"/>
          <w:lang w:val="en-GB"/>
        </w:rPr>
      </w:pPr>
    </w:p>
    <w:p w:rsidR="1E4AC481" w:rsidP="1E4AC481" w:rsidRDefault="1E4AC481" w14:paraId="7228C551" w14:textId="05C94216">
      <w:pPr>
        <w:spacing w:after="160" w:line="259" w:lineRule="auto"/>
        <w:jc w:val="left"/>
        <w:rPr>
          <w:rFonts w:ascii="Calibri" w:hAnsi="Calibri" w:eastAsia="Calibri" w:cs="Calibri"/>
          <w:noProof w:val="0"/>
          <w:sz w:val="24"/>
          <w:szCs w:val="24"/>
          <w:lang w:val="en-GB"/>
        </w:rPr>
      </w:pPr>
      <w:r w:rsidRPr="1E4AC481" w:rsidR="1E4AC481">
        <w:rPr>
          <w:rFonts w:ascii="Calibri" w:hAnsi="Calibri" w:eastAsia="Calibri" w:cs="Calibri"/>
          <w:noProof w:val="0"/>
          <w:sz w:val="24"/>
          <w:szCs w:val="24"/>
          <w:lang w:val="en-GB"/>
        </w:rPr>
        <w:t xml:space="preserve">Social media, social networking and its general use is increasing, as is ‘objectification’, (Fredrickson and Roberts 1997) self-objectification and ‘self-sexualisation amongst adolescent and young women’ </w:t>
      </w:r>
    </w:p>
    <w:p w:rsidR="1E4AC481" w:rsidP="1E4AC481" w:rsidRDefault="1E4AC481" w14:paraId="506B8E6D" w14:textId="0E6C1E39">
      <w:pPr>
        <w:spacing w:after="160" w:line="259" w:lineRule="auto"/>
        <w:ind w:left="720" w:firstLine="0"/>
        <w:jc w:val="left"/>
        <w:rPr>
          <w:rFonts w:ascii="Calibri" w:hAnsi="Calibri" w:eastAsia="Calibri" w:cs="Calibri"/>
          <w:noProof w:val="0"/>
          <w:sz w:val="24"/>
          <w:szCs w:val="24"/>
          <w:lang w:val="en-GB"/>
        </w:rPr>
      </w:pPr>
      <w:r w:rsidRPr="1E4AC481" w:rsidR="1E4AC481">
        <w:rPr>
          <w:rFonts w:ascii="Calibri" w:hAnsi="Calibri" w:eastAsia="Calibri" w:cs="Calibri"/>
          <w:noProof w:val="0"/>
          <w:sz w:val="24"/>
          <w:szCs w:val="24"/>
          <w:lang w:val="en-GB"/>
        </w:rPr>
        <w:t>(Aubrey, 2006; Ferris, Smith, Greenberg, &amp; Smith, 2007; Kistler &amp; Lee, 2010;</w:t>
      </w:r>
      <w:r w:rsidRPr="1E4AC481" w:rsidR="1E4AC481">
        <w:rPr>
          <w:rFonts w:ascii="Calibri" w:hAnsi="Calibri" w:eastAsia="Calibri" w:cs="Calibri"/>
          <w:noProof w:val="0"/>
          <w:sz w:val="24"/>
          <w:szCs w:val="24"/>
          <w:lang w:val="en-GB"/>
        </w:rPr>
        <w:t xml:space="preserve"> </w:t>
      </w:r>
      <w:r w:rsidRPr="1E4AC481" w:rsidR="1E4AC481">
        <w:rPr>
          <w:rFonts w:ascii="Calibri" w:hAnsi="Calibri" w:eastAsia="Calibri" w:cs="Calibri"/>
          <w:noProof w:val="0"/>
          <w:sz w:val="24"/>
          <w:szCs w:val="24"/>
          <w:lang w:val="en-GB"/>
        </w:rPr>
        <w:t>Zurbriggen</w:t>
      </w:r>
      <w:r w:rsidRPr="1E4AC481" w:rsidR="1E4AC481">
        <w:rPr>
          <w:rFonts w:ascii="Calibri" w:hAnsi="Calibri" w:eastAsia="Calibri" w:cs="Calibri"/>
          <w:noProof w:val="0"/>
          <w:sz w:val="24"/>
          <w:szCs w:val="24"/>
          <w:lang w:val="en-GB"/>
        </w:rPr>
        <w:t xml:space="preserve"> </w:t>
      </w:r>
      <w:r w:rsidRPr="1E4AC481" w:rsidR="1E4AC481">
        <w:rPr>
          <w:rFonts w:ascii="Calibri" w:hAnsi="Calibri" w:eastAsia="Calibri" w:cs="Calibri"/>
          <w:noProof w:val="0"/>
          <w:sz w:val="24"/>
          <w:szCs w:val="24"/>
          <w:lang w:val="en-GB"/>
        </w:rPr>
        <w:t>&amp; Morgan, 2006; Zurbriggen, Ramsey, &amp; Jaworski, 2011; see Ward, 2003</w:t>
      </w:r>
      <w:r w:rsidRPr="1E4AC481" w:rsidR="1E4AC481">
        <w:rPr>
          <w:rFonts w:ascii="Calibri" w:hAnsi="Calibri" w:eastAsia="Calibri" w:cs="Calibri"/>
          <w:noProof w:val="0"/>
          <w:sz w:val="24"/>
          <w:szCs w:val="24"/>
          <w:lang w:val="en-GB"/>
        </w:rPr>
        <w:t xml:space="preserve"> </w:t>
      </w:r>
      <w:r w:rsidRPr="1E4AC481" w:rsidR="1E4AC481">
        <w:rPr>
          <w:rFonts w:ascii="Calibri" w:hAnsi="Calibri" w:eastAsia="Calibri" w:cs="Calibri"/>
          <w:noProof w:val="0"/>
          <w:sz w:val="24"/>
          <w:szCs w:val="24"/>
          <w:lang w:val="en-GB"/>
        </w:rPr>
        <w:t xml:space="preserve">for a review of media and sexual socialization) </w:t>
      </w:r>
    </w:p>
    <w:p w:rsidR="1E4AC481" w:rsidP="1E4AC481" w:rsidRDefault="1E4AC481" w14:paraId="0F51CEAF" w14:textId="282A72B6">
      <w:pPr>
        <w:spacing w:after="160" w:line="259" w:lineRule="auto"/>
        <w:jc w:val="left"/>
        <w:rPr>
          <w:rFonts w:ascii="Calibri" w:hAnsi="Calibri" w:eastAsia="Calibri" w:cs="Calibri"/>
          <w:noProof w:val="0"/>
          <w:sz w:val="24"/>
          <w:szCs w:val="24"/>
          <w:lang w:val="en-GB"/>
        </w:rPr>
      </w:pPr>
      <w:r w:rsidRPr="1E4AC481" w:rsidR="1E4AC481">
        <w:rPr>
          <w:rFonts w:ascii="Calibri" w:hAnsi="Calibri" w:eastAsia="Calibri" w:cs="Calibri"/>
          <w:noProof w:val="0"/>
          <w:sz w:val="24"/>
          <w:szCs w:val="24"/>
          <w:lang w:val="en-GB"/>
        </w:rPr>
        <w:t>Research conducted has hi-lighted that self-sexualisation, doesn’t only impact on their relationships with peers, but also how their ‘competence’ (Murnen and Smolak, 2013) is evaluated by the people around them. An experiment was conducted using two ‘mock’ facebook pages, but with real photographs volunteered by a participant in the experiment (one sexualized and one non-sexualized), created to try and grasp more of an insight into people's opinions. Unlike research continuing to show, or at least point out that television advertisements, music videos, magazines (Stankiewicz and Rosselli, 2008; Ward, 2003) and various other displays of objectification, are allowing self-objectification to become more sociocultural amongst adolescent girls and young women to display self-sexualizing pictures, this experiment actually concluded that peers and other viewers have a better opinion of, respect, and are more attracted to the non-sexualized displayed profile than the sexualized.</w:t>
      </w:r>
    </w:p>
    <w:p w:rsidR="1E4AC481" w:rsidP="1E4AC481" w:rsidRDefault="1E4AC481" w14:paraId="3D4E62E5" w14:textId="4CAC9A14">
      <w:pPr>
        <w:spacing w:after="160" w:line="259" w:lineRule="auto"/>
        <w:jc w:val="left"/>
        <w:rPr>
          <w:rFonts w:ascii="Calibri" w:hAnsi="Calibri" w:eastAsia="Calibri" w:cs="Calibri"/>
          <w:noProof w:val="0"/>
          <w:sz w:val="24"/>
          <w:szCs w:val="24"/>
          <w:lang w:val="en-GB"/>
        </w:rPr>
      </w:pPr>
      <w:r w:rsidRPr="1E4AC481" w:rsidR="1E4AC481">
        <w:rPr>
          <w:rFonts w:ascii="Calibri" w:hAnsi="Calibri" w:eastAsia="Calibri" w:cs="Calibri"/>
          <w:noProof w:val="0"/>
          <w:sz w:val="24"/>
          <w:szCs w:val="24"/>
          <w:lang w:val="en-GB"/>
        </w:rPr>
        <w:t>References:</w:t>
      </w:r>
    </w:p>
    <w:p w:rsidR="1E4AC481" w:rsidP="1E4AC481" w:rsidRDefault="1E4AC481" w14:paraId="747BCF44" w14:textId="24074496">
      <w:pPr>
        <w:spacing w:after="160" w:line="259" w:lineRule="auto"/>
        <w:jc w:val="left"/>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Aubrey, J. S. (2006). Effects of sexually objectifying media on self-objectification and body surveillance in undergraduates: Results of a 2-year panel study. </w:t>
      </w:r>
      <w:r w:rsidRPr="1E4AC481" w:rsidR="1E4AC481">
        <w:rPr>
          <w:rFonts w:ascii="Arial" w:hAnsi="Arial" w:eastAsia="Arial" w:cs="Arial"/>
          <w:i w:val="1"/>
          <w:iCs w:val="1"/>
          <w:noProof w:val="0"/>
          <w:color w:val="222222"/>
          <w:sz w:val="19"/>
          <w:szCs w:val="19"/>
          <w:lang w:val="en-GB"/>
        </w:rPr>
        <w:t>Journal of Communication</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56</w:t>
      </w:r>
      <w:r w:rsidRPr="1E4AC481" w:rsidR="1E4AC481">
        <w:rPr>
          <w:rFonts w:ascii="Arial" w:hAnsi="Arial" w:eastAsia="Arial" w:cs="Arial"/>
          <w:noProof w:val="0"/>
          <w:color w:val="222222"/>
          <w:sz w:val="19"/>
          <w:szCs w:val="19"/>
          <w:lang w:val="en-GB"/>
        </w:rPr>
        <w:t>(2), 366-386.</w:t>
      </w:r>
    </w:p>
    <w:p w:rsidR="1E4AC481" w:rsidP="1E4AC481" w:rsidRDefault="1E4AC481" w14:paraId="4B17FA9B" w14:textId="08C8F2E5">
      <w:pPr>
        <w:spacing w:after="160" w:line="259" w:lineRule="auto"/>
        <w:jc w:val="left"/>
        <w:rPr>
          <w:rFonts w:ascii="Calibri" w:hAnsi="Calibri" w:eastAsia="Calibri" w:cs="Calibri"/>
          <w:noProof w:val="0"/>
          <w:sz w:val="22"/>
          <w:szCs w:val="22"/>
          <w:lang w:val="en-GB"/>
        </w:rPr>
      </w:pPr>
      <w:r w:rsidRPr="1E4AC481" w:rsidR="1E4AC481">
        <w:rPr>
          <w:rFonts w:ascii="Calibri" w:hAnsi="Calibri" w:eastAsia="Calibri" w:cs="Calibri"/>
          <w:noProof w:val="0"/>
          <w:sz w:val="22"/>
          <w:szCs w:val="22"/>
          <w:lang w:val="en-GB"/>
        </w:rPr>
        <w:t xml:space="preserve">Daniels, E. A. (2012). Sexy versus strong: </w:t>
      </w:r>
      <w:r w:rsidRPr="1E4AC481" w:rsidR="1E4AC481">
        <w:rPr>
          <w:rFonts w:ascii="Calibri" w:hAnsi="Calibri" w:eastAsia="Calibri" w:cs="Calibri"/>
          <w:i w:val="1"/>
          <w:iCs w:val="1"/>
          <w:noProof w:val="0"/>
          <w:sz w:val="22"/>
          <w:szCs w:val="22"/>
          <w:lang w:val="en-GB"/>
        </w:rPr>
        <w:t>What girls and women think of female athletes.</w:t>
      </w:r>
      <w:r w:rsidRPr="1E4AC481" w:rsidR="1E4AC481">
        <w:rPr>
          <w:rFonts w:ascii="Calibri" w:hAnsi="Calibri" w:eastAsia="Calibri" w:cs="Calibri"/>
          <w:noProof w:val="0"/>
          <w:sz w:val="22"/>
          <w:szCs w:val="22"/>
          <w:lang w:val="en-GB"/>
        </w:rPr>
        <w:t xml:space="preserve"> Journal of Applied Developmental Psychology, 33, 79–90. doi:10.1016/j.appdev.2011.12.002 </w:t>
      </w:r>
    </w:p>
    <w:p w:rsidR="1E4AC481" w:rsidP="1E4AC481" w:rsidRDefault="1E4AC481" w14:paraId="46080A91" w14:textId="405DA9D6">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Ferris, A. L., Smith, S. W., Greenberg, B. S., &amp; Smith, S. L. (2007). The content of reality dating shows and viewer perceptions of dating. </w:t>
      </w:r>
      <w:r w:rsidRPr="1E4AC481" w:rsidR="1E4AC481">
        <w:rPr>
          <w:rFonts w:ascii="Arial" w:hAnsi="Arial" w:eastAsia="Arial" w:cs="Arial"/>
          <w:i w:val="1"/>
          <w:iCs w:val="1"/>
          <w:noProof w:val="0"/>
          <w:color w:val="222222"/>
          <w:sz w:val="19"/>
          <w:szCs w:val="19"/>
          <w:lang w:val="en-GB"/>
        </w:rPr>
        <w:t>Journal of Communication</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57</w:t>
      </w:r>
      <w:r w:rsidRPr="1E4AC481" w:rsidR="1E4AC481">
        <w:rPr>
          <w:rFonts w:ascii="Arial" w:hAnsi="Arial" w:eastAsia="Arial" w:cs="Arial"/>
          <w:noProof w:val="0"/>
          <w:color w:val="222222"/>
          <w:sz w:val="19"/>
          <w:szCs w:val="19"/>
          <w:lang w:val="en-GB"/>
        </w:rPr>
        <w:t>(3), 490-510.</w:t>
      </w:r>
    </w:p>
    <w:p w:rsidR="1E4AC481" w:rsidP="1E4AC481" w:rsidRDefault="1E4AC481" w14:paraId="02DD5A00" w14:textId="6D5D0589">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Fredrickson, B. L., &amp; Roberts, T. A. (1997). Objectification theory: Toward understanding women's lived experiences and mental health risks. </w:t>
      </w:r>
      <w:r w:rsidRPr="1E4AC481" w:rsidR="1E4AC481">
        <w:rPr>
          <w:rFonts w:ascii="Arial" w:hAnsi="Arial" w:eastAsia="Arial" w:cs="Arial"/>
          <w:i w:val="1"/>
          <w:iCs w:val="1"/>
          <w:noProof w:val="0"/>
          <w:color w:val="222222"/>
          <w:sz w:val="19"/>
          <w:szCs w:val="19"/>
          <w:lang w:val="en-GB"/>
        </w:rPr>
        <w:t>Psychology of women quarterly</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21</w:t>
      </w:r>
      <w:r w:rsidRPr="1E4AC481" w:rsidR="1E4AC481">
        <w:rPr>
          <w:rFonts w:ascii="Arial" w:hAnsi="Arial" w:eastAsia="Arial" w:cs="Arial"/>
          <w:noProof w:val="0"/>
          <w:color w:val="222222"/>
          <w:sz w:val="19"/>
          <w:szCs w:val="19"/>
          <w:lang w:val="en-GB"/>
        </w:rPr>
        <w:t>(2), 173-206.</w:t>
      </w:r>
    </w:p>
    <w:p w:rsidR="1E4AC481" w:rsidP="1E4AC481" w:rsidRDefault="1E4AC481" w14:paraId="1F3A5028" w14:textId="4F45F670">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Kistler, M. E., &amp; Lee, M. J. (2009). Does exposure to sexual hip-hop music videos influence the sexual attitudes of college students?. </w:t>
      </w:r>
      <w:r w:rsidRPr="1E4AC481" w:rsidR="1E4AC481">
        <w:rPr>
          <w:rFonts w:ascii="Arial" w:hAnsi="Arial" w:eastAsia="Arial" w:cs="Arial"/>
          <w:i w:val="1"/>
          <w:iCs w:val="1"/>
          <w:noProof w:val="0"/>
          <w:color w:val="222222"/>
          <w:sz w:val="19"/>
          <w:szCs w:val="19"/>
          <w:lang w:val="en-GB"/>
        </w:rPr>
        <w:t>Mass Communication and Society</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13</w:t>
      </w:r>
      <w:r w:rsidRPr="1E4AC481" w:rsidR="1E4AC481">
        <w:rPr>
          <w:rFonts w:ascii="Arial" w:hAnsi="Arial" w:eastAsia="Arial" w:cs="Arial"/>
          <w:noProof w:val="0"/>
          <w:color w:val="222222"/>
          <w:sz w:val="19"/>
          <w:szCs w:val="19"/>
          <w:lang w:val="en-GB"/>
        </w:rPr>
        <w:t>(1), 67-86.</w:t>
      </w:r>
    </w:p>
    <w:p w:rsidR="1E4AC481" w:rsidP="1E4AC481" w:rsidRDefault="1E4AC481" w14:paraId="0A293DC0" w14:textId="000A5BEB">
      <w:pPr>
        <w:spacing w:after="160" w:line="259" w:lineRule="auto"/>
        <w:rPr>
          <w:rFonts w:ascii="Arial" w:hAnsi="Arial" w:eastAsia="Arial" w:cs="Arial"/>
          <w:noProof w:val="0"/>
          <w:color w:val="222222"/>
          <w:sz w:val="19"/>
          <w:szCs w:val="19"/>
          <w:lang w:val="en-GB"/>
        </w:rPr>
      </w:pPr>
    </w:p>
    <w:p w:rsidR="1E4AC481" w:rsidP="1E4AC481" w:rsidRDefault="1E4AC481" w14:paraId="625DED56" w14:textId="79E0AA9C">
      <w:pPr>
        <w:spacing w:after="160" w:line="259" w:lineRule="auto"/>
        <w:rPr>
          <w:rFonts w:ascii="Arial" w:hAnsi="Arial" w:eastAsia="Arial" w:cs="Arial"/>
          <w:noProof w:val="0"/>
          <w:color w:val="222222"/>
          <w:sz w:val="19"/>
          <w:szCs w:val="19"/>
          <w:lang w:val="en-GB"/>
        </w:rPr>
      </w:pPr>
    </w:p>
    <w:p w:rsidR="1E4AC481" w:rsidP="1E4AC481" w:rsidRDefault="1E4AC481" w14:paraId="18896D55" w14:textId="37AADFE4">
      <w:pPr>
        <w:spacing w:after="160" w:line="259" w:lineRule="auto"/>
        <w:rPr>
          <w:rFonts w:ascii="Arial" w:hAnsi="Arial" w:eastAsia="Arial" w:cs="Arial"/>
          <w:noProof w:val="0"/>
          <w:color w:val="222222"/>
          <w:sz w:val="19"/>
          <w:szCs w:val="19"/>
          <w:lang w:val="en-GB"/>
        </w:rPr>
      </w:pPr>
    </w:p>
    <w:p w:rsidR="1E4AC481" w:rsidP="1E4AC481" w:rsidRDefault="1E4AC481" w14:paraId="05069777" w14:textId="79EECC0D">
      <w:pPr>
        <w:spacing w:after="160" w:line="259" w:lineRule="auto"/>
        <w:rPr>
          <w:rFonts w:ascii="Arial" w:hAnsi="Arial" w:eastAsia="Arial" w:cs="Arial"/>
          <w:noProof w:val="0"/>
          <w:color w:val="222222"/>
          <w:sz w:val="19"/>
          <w:szCs w:val="19"/>
          <w:lang w:val="en-GB"/>
        </w:rPr>
      </w:pPr>
    </w:p>
    <w:p w:rsidR="1E4AC481" w:rsidP="1E4AC481" w:rsidRDefault="1E4AC481" w14:paraId="42688CAE" w14:textId="7FCCB7BB">
      <w:pPr>
        <w:spacing w:after="160" w:line="259" w:lineRule="auto"/>
        <w:rPr>
          <w:rFonts w:ascii="Arial" w:hAnsi="Arial" w:eastAsia="Arial" w:cs="Arial"/>
          <w:noProof w:val="0"/>
          <w:color w:val="222222"/>
          <w:sz w:val="19"/>
          <w:szCs w:val="19"/>
          <w:lang w:val="en-GB"/>
        </w:rPr>
      </w:pPr>
    </w:p>
    <w:p w:rsidR="1E4AC481" w:rsidP="1E4AC481" w:rsidRDefault="1E4AC481" w14:paraId="5030BFA4" w14:textId="3E16AFDF">
      <w:pPr>
        <w:spacing w:after="160" w:line="259" w:lineRule="auto"/>
        <w:rPr>
          <w:rFonts w:ascii="Arial" w:hAnsi="Arial" w:eastAsia="Arial" w:cs="Arial"/>
          <w:noProof w:val="0"/>
          <w:color w:val="222222"/>
          <w:sz w:val="19"/>
          <w:szCs w:val="19"/>
          <w:lang w:val="en-GB"/>
        </w:rPr>
      </w:pPr>
    </w:p>
    <w:p w:rsidR="1E4AC481" w:rsidP="1E4AC481" w:rsidRDefault="1E4AC481" w14:paraId="27C1162A" w14:textId="1991E461">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Murnen, S. K., &amp; Smolak, L. (2013). I’d rather be a famous fashion model than a famous scientist: The rewards and costs of internalizing sexualization. </w:t>
      </w:r>
      <w:r w:rsidRPr="1E4AC481" w:rsidR="1E4AC481">
        <w:rPr>
          <w:rFonts w:ascii="Arial" w:hAnsi="Arial" w:eastAsia="Arial" w:cs="Arial"/>
          <w:i w:val="1"/>
          <w:iCs w:val="1"/>
          <w:noProof w:val="0"/>
          <w:color w:val="222222"/>
          <w:sz w:val="19"/>
          <w:szCs w:val="19"/>
          <w:lang w:val="en-GB"/>
        </w:rPr>
        <w:t>The sexualization of girls and girlhood: Causes, consequences, and resistance</w:t>
      </w:r>
      <w:r w:rsidRPr="1E4AC481" w:rsidR="1E4AC481">
        <w:rPr>
          <w:rFonts w:ascii="Arial" w:hAnsi="Arial" w:eastAsia="Arial" w:cs="Arial"/>
          <w:noProof w:val="0"/>
          <w:color w:val="222222"/>
          <w:sz w:val="19"/>
          <w:szCs w:val="19"/>
          <w:lang w:val="en-GB"/>
        </w:rPr>
        <w:t>, 235-253.</w:t>
      </w:r>
    </w:p>
    <w:p w:rsidR="1E4AC481" w:rsidP="1E4AC481" w:rsidRDefault="1E4AC481" w14:paraId="4835C961" w14:textId="6BA9A31D">
      <w:pPr>
        <w:pStyle w:val="Normal"/>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Stankiewicz, J. M., &amp; Rosselli, F. (2008). Women as sex objects and victims in print advertisements. </w:t>
      </w:r>
      <w:r w:rsidRPr="1E4AC481" w:rsidR="1E4AC481">
        <w:rPr>
          <w:rFonts w:ascii="Arial" w:hAnsi="Arial" w:eastAsia="Arial" w:cs="Arial"/>
          <w:i w:val="1"/>
          <w:iCs w:val="1"/>
          <w:noProof w:val="0"/>
          <w:color w:val="222222"/>
          <w:sz w:val="19"/>
          <w:szCs w:val="19"/>
          <w:lang w:val="en-GB"/>
        </w:rPr>
        <w:t>Sex Roles</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58</w:t>
      </w:r>
      <w:r w:rsidRPr="1E4AC481" w:rsidR="1E4AC481">
        <w:rPr>
          <w:rFonts w:ascii="Arial" w:hAnsi="Arial" w:eastAsia="Arial" w:cs="Arial"/>
          <w:noProof w:val="0"/>
          <w:color w:val="222222"/>
          <w:sz w:val="19"/>
          <w:szCs w:val="19"/>
          <w:lang w:val="en-GB"/>
        </w:rPr>
        <w:t>(7-8), 579-589.</w:t>
      </w:r>
    </w:p>
    <w:p w:rsidR="1E4AC481" w:rsidP="1E4AC481" w:rsidRDefault="1E4AC481" w14:paraId="4C7DCC84" w14:textId="2F6DA662">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Ward, L. M. (2003). Understanding the role of entertainment media in the sexual socialization of American youth: A review of empirical research. </w:t>
      </w:r>
      <w:r w:rsidRPr="1E4AC481" w:rsidR="1E4AC481">
        <w:rPr>
          <w:rFonts w:ascii="Arial" w:hAnsi="Arial" w:eastAsia="Arial" w:cs="Arial"/>
          <w:i w:val="1"/>
          <w:iCs w:val="1"/>
          <w:noProof w:val="0"/>
          <w:color w:val="222222"/>
          <w:sz w:val="19"/>
          <w:szCs w:val="19"/>
          <w:lang w:val="en-GB"/>
        </w:rPr>
        <w:t>Developmental review</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23</w:t>
      </w:r>
      <w:r w:rsidRPr="1E4AC481" w:rsidR="1E4AC481">
        <w:rPr>
          <w:rFonts w:ascii="Arial" w:hAnsi="Arial" w:eastAsia="Arial" w:cs="Arial"/>
          <w:noProof w:val="0"/>
          <w:color w:val="222222"/>
          <w:sz w:val="19"/>
          <w:szCs w:val="19"/>
          <w:lang w:val="en-GB"/>
        </w:rPr>
        <w:t>(3), 347-388.</w:t>
      </w:r>
    </w:p>
    <w:p w:rsidR="1E4AC481" w:rsidP="1E4AC481" w:rsidRDefault="1E4AC481" w14:paraId="31E93E13" w14:textId="2EA1EFB9">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Zurbriggen, E. L., &amp; Morgan, E. M. (2006). Who wants to marry a millionaire? Reality dating television programs, attitudes toward sex, and sexual behaviors. </w:t>
      </w:r>
      <w:r w:rsidRPr="1E4AC481" w:rsidR="1E4AC481">
        <w:rPr>
          <w:rFonts w:ascii="Arial" w:hAnsi="Arial" w:eastAsia="Arial" w:cs="Arial"/>
          <w:i w:val="1"/>
          <w:iCs w:val="1"/>
          <w:noProof w:val="0"/>
          <w:color w:val="222222"/>
          <w:sz w:val="19"/>
          <w:szCs w:val="19"/>
          <w:lang w:val="en-GB"/>
        </w:rPr>
        <w:t>Sex Roles</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54</w:t>
      </w:r>
      <w:r w:rsidRPr="1E4AC481" w:rsidR="1E4AC481">
        <w:rPr>
          <w:rFonts w:ascii="Arial" w:hAnsi="Arial" w:eastAsia="Arial" w:cs="Arial"/>
          <w:noProof w:val="0"/>
          <w:color w:val="222222"/>
          <w:sz w:val="19"/>
          <w:szCs w:val="19"/>
          <w:lang w:val="en-GB"/>
        </w:rPr>
        <w:t>(1-2), 1-17.</w:t>
      </w:r>
    </w:p>
    <w:p w:rsidR="1E4AC481" w:rsidP="1E4AC481" w:rsidRDefault="1E4AC481" w14:paraId="1B58CB71" w14:textId="1C4926CD">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Zurbriggen, E. L., Ramsey, L. R., &amp; Jaworski, B. K. (2011). Self-and partner-objectification in romantic relationships: Associations with media consumption and relationship satisfaction. </w:t>
      </w:r>
      <w:r w:rsidRPr="1E4AC481" w:rsidR="1E4AC481">
        <w:rPr>
          <w:rFonts w:ascii="Arial" w:hAnsi="Arial" w:eastAsia="Arial" w:cs="Arial"/>
          <w:i w:val="1"/>
          <w:iCs w:val="1"/>
          <w:noProof w:val="0"/>
          <w:color w:val="222222"/>
          <w:sz w:val="19"/>
          <w:szCs w:val="19"/>
          <w:lang w:val="en-GB"/>
        </w:rPr>
        <w:t>Sex Roles</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64</w:t>
      </w:r>
      <w:r w:rsidRPr="1E4AC481" w:rsidR="1E4AC481">
        <w:rPr>
          <w:rFonts w:ascii="Arial" w:hAnsi="Arial" w:eastAsia="Arial" w:cs="Arial"/>
          <w:noProof w:val="0"/>
          <w:color w:val="222222"/>
          <w:sz w:val="19"/>
          <w:szCs w:val="19"/>
          <w:lang w:val="en-GB"/>
        </w:rPr>
        <w:t>(7-8), 449-462.</w:t>
      </w:r>
    </w:p>
    <w:p w:rsidR="1E4AC481" w:rsidP="1E4AC481" w:rsidRDefault="1E4AC481" w14:paraId="28E27DBC" w14:textId="214E198B">
      <w:pPr>
        <w:pStyle w:val="Normal"/>
        <w:spacing w:after="160" w:line="259" w:lineRule="auto"/>
        <w:rPr>
          <w:rFonts w:ascii="Arial" w:hAnsi="Arial" w:eastAsia="Arial" w:cs="Arial"/>
          <w:noProof w:val="0"/>
          <w:color w:val="222222"/>
          <w:sz w:val="19"/>
          <w:szCs w:val="19"/>
          <w:lang w:val="en-GB"/>
        </w:rPr>
      </w:pPr>
    </w:p>
    <w:p w:rsidR="1E4AC481" w:rsidP="1E4AC481" w:rsidRDefault="1E4AC481" w14:paraId="15BD86AC" w14:textId="2DD97106">
      <w:pPr>
        <w:spacing w:before="460" w:after="120" w:line="259" w:lineRule="auto"/>
        <w:jc w:val="center"/>
        <w:rPr>
          <w:rFonts w:ascii="Arial" w:hAnsi="Arial" w:eastAsia="Arial" w:cs="Arial"/>
          <w:b w:val="1"/>
          <w:bCs w:val="1"/>
          <w:noProof w:val="0"/>
          <w:color w:val="262626" w:themeColor="text1" w:themeTint="D9" w:themeShade="FF"/>
          <w:sz w:val="40"/>
          <w:szCs w:val="40"/>
          <w:lang w:val="en-US"/>
        </w:rPr>
      </w:pPr>
    </w:p>
    <w:p w:rsidR="1E4AC481" w:rsidP="1E4AC481" w:rsidRDefault="1E4AC481" w14:paraId="1CE12356" w14:textId="382A2933">
      <w:pPr>
        <w:spacing w:before="460" w:after="120" w:line="259" w:lineRule="auto"/>
        <w:jc w:val="center"/>
        <w:rPr>
          <w:rFonts w:ascii="Arial" w:hAnsi="Arial" w:eastAsia="Arial" w:cs="Arial"/>
          <w:b w:val="1"/>
          <w:bCs w:val="1"/>
          <w:noProof w:val="0"/>
          <w:color w:val="262626" w:themeColor="text1" w:themeTint="D9" w:themeShade="FF"/>
          <w:sz w:val="40"/>
          <w:szCs w:val="40"/>
          <w:lang w:val="en-US"/>
        </w:rPr>
      </w:pPr>
    </w:p>
    <w:p w:rsidR="1E4AC481" w:rsidP="1E4AC481" w:rsidRDefault="1E4AC481" w14:paraId="1721E2DF" w14:textId="6C3AA2EB">
      <w:pPr>
        <w:spacing w:before="460" w:after="120" w:line="259" w:lineRule="auto"/>
        <w:jc w:val="center"/>
        <w:rPr>
          <w:rFonts w:ascii="Arial" w:hAnsi="Arial" w:eastAsia="Arial" w:cs="Arial"/>
          <w:b w:val="1"/>
          <w:bCs w:val="1"/>
          <w:noProof w:val="0"/>
          <w:color w:val="262626" w:themeColor="text1" w:themeTint="D9" w:themeShade="FF"/>
          <w:sz w:val="40"/>
          <w:szCs w:val="40"/>
          <w:lang w:val="en-US"/>
        </w:rPr>
      </w:pPr>
    </w:p>
    <w:p w:rsidR="1E4AC481" w:rsidP="1E4AC481" w:rsidRDefault="1E4AC481" w14:paraId="73C2882B" w14:textId="109BA09E">
      <w:pPr>
        <w:spacing w:before="460" w:after="120" w:line="259" w:lineRule="auto"/>
        <w:jc w:val="center"/>
        <w:rPr>
          <w:rFonts w:ascii="Arial" w:hAnsi="Arial" w:eastAsia="Arial" w:cs="Arial"/>
          <w:b w:val="1"/>
          <w:bCs w:val="1"/>
          <w:noProof w:val="0"/>
          <w:color w:val="262626" w:themeColor="text1" w:themeTint="D9" w:themeShade="FF"/>
          <w:sz w:val="40"/>
          <w:szCs w:val="40"/>
          <w:lang w:val="en-US"/>
        </w:rPr>
      </w:pPr>
    </w:p>
    <w:p w:rsidR="1E4AC481" w:rsidP="1E4AC481" w:rsidRDefault="1E4AC481" w14:paraId="6F0180F5" w14:textId="01D6EEE2">
      <w:pPr>
        <w:spacing w:before="460" w:after="120" w:line="259" w:lineRule="auto"/>
        <w:jc w:val="center"/>
        <w:rPr>
          <w:rFonts w:ascii="Arial" w:hAnsi="Arial" w:eastAsia="Arial" w:cs="Arial"/>
          <w:b w:val="1"/>
          <w:bCs w:val="1"/>
          <w:noProof w:val="0"/>
          <w:color w:val="262626" w:themeColor="text1" w:themeTint="D9" w:themeShade="FF"/>
          <w:sz w:val="40"/>
          <w:szCs w:val="40"/>
          <w:lang w:val="en-US"/>
        </w:rPr>
      </w:pPr>
    </w:p>
    <w:p w:rsidR="1E4AC481" w:rsidP="1E4AC481" w:rsidRDefault="1E4AC481" w14:paraId="187EB1BF" w14:textId="6B444B15">
      <w:pPr>
        <w:spacing w:before="460" w:after="120" w:line="259" w:lineRule="auto"/>
        <w:jc w:val="center"/>
        <w:rPr>
          <w:rFonts w:ascii="Arial" w:hAnsi="Arial" w:eastAsia="Arial" w:cs="Arial"/>
          <w:b w:val="1"/>
          <w:bCs w:val="1"/>
          <w:noProof w:val="0"/>
          <w:color w:val="262626" w:themeColor="text1" w:themeTint="D9" w:themeShade="FF"/>
          <w:sz w:val="40"/>
          <w:szCs w:val="40"/>
          <w:lang w:val="en-US"/>
        </w:rPr>
      </w:pPr>
    </w:p>
    <w:p w:rsidR="1E4AC481" w:rsidP="1E4AC481" w:rsidRDefault="1E4AC481" w14:paraId="5A5B1960" w14:textId="431EBC44">
      <w:pPr>
        <w:spacing w:before="460" w:after="120" w:line="259" w:lineRule="auto"/>
        <w:jc w:val="center"/>
        <w:rPr>
          <w:rFonts w:ascii="Arial" w:hAnsi="Arial" w:eastAsia="Arial" w:cs="Arial"/>
          <w:b w:val="1"/>
          <w:bCs w:val="1"/>
          <w:noProof w:val="0"/>
          <w:color w:val="262626" w:themeColor="text1" w:themeTint="D9" w:themeShade="FF"/>
          <w:sz w:val="40"/>
          <w:szCs w:val="40"/>
          <w:lang w:val="en-US"/>
        </w:rPr>
      </w:pPr>
    </w:p>
    <w:p w:rsidR="1E4AC481" w:rsidP="1E4AC481" w:rsidRDefault="1E4AC481" w14:paraId="4B9E8EB9" w14:textId="3571759F">
      <w:pPr>
        <w:spacing w:before="460" w:after="120" w:line="259" w:lineRule="auto"/>
        <w:jc w:val="center"/>
        <w:rPr>
          <w:rFonts w:ascii="Arial" w:hAnsi="Arial" w:eastAsia="Arial" w:cs="Arial"/>
          <w:b w:val="1"/>
          <w:bCs w:val="1"/>
          <w:noProof w:val="0"/>
          <w:color w:val="262626" w:themeColor="text1" w:themeTint="D9" w:themeShade="FF"/>
          <w:sz w:val="40"/>
          <w:szCs w:val="40"/>
          <w:lang w:val="en-US"/>
        </w:rPr>
      </w:pPr>
    </w:p>
    <w:p w:rsidR="1E4AC481" w:rsidP="1E4AC481" w:rsidRDefault="1E4AC481" w14:paraId="1CCA65FF" w14:textId="034B0BEC">
      <w:pPr>
        <w:spacing w:before="460" w:after="120" w:line="259" w:lineRule="auto"/>
        <w:jc w:val="center"/>
        <w:rPr>
          <w:rFonts w:ascii="Arial" w:hAnsi="Arial" w:eastAsia="Arial" w:cs="Arial"/>
          <w:b w:val="1"/>
          <w:bCs w:val="1"/>
          <w:noProof w:val="0"/>
          <w:color w:val="262626" w:themeColor="text1" w:themeTint="D9" w:themeShade="FF"/>
          <w:sz w:val="40"/>
          <w:szCs w:val="40"/>
          <w:lang w:val="en-US"/>
        </w:rPr>
      </w:pPr>
    </w:p>
    <w:p w:rsidR="1E4AC481" w:rsidP="1E4AC481" w:rsidRDefault="1E4AC481" w14:paraId="1E359968" w14:textId="3C7366D0">
      <w:pPr>
        <w:pStyle w:val="Normal"/>
        <w:spacing w:before="460" w:after="120" w:line="259" w:lineRule="auto"/>
        <w:jc w:val="center"/>
        <w:rPr>
          <w:rFonts w:ascii="Arial" w:hAnsi="Arial" w:eastAsia="Arial" w:cs="Arial"/>
          <w:b w:val="1"/>
          <w:bCs w:val="1"/>
          <w:noProof w:val="0"/>
          <w:color w:val="262626" w:themeColor="text1" w:themeTint="D9" w:themeShade="FF"/>
          <w:sz w:val="40"/>
          <w:szCs w:val="40"/>
          <w:lang w:val="en-US"/>
        </w:rPr>
      </w:pPr>
    </w:p>
    <w:p w:rsidR="1E4AC481" w:rsidP="1E4AC481" w:rsidRDefault="1E4AC481" w14:paraId="54780929" w14:textId="21FA69CF">
      <w:pPr>
        <w:pStyle w:val="Normal"/>
        <w:spacing w:before="460" w:after="120" w:line="259" w:lineRule="auto"/>
        <w:jc w:val="center"/>
        <w:rPr>
          <w:rFonts w:ascii="Arial" w:hAnsi="Arial" w:eastAsia="Arial" w:cs="Arial"/>
          <w:noProof w:val="0"/>
          <w:color w:val="262626" w:themeColor="text1" w:themeTint="D9" w:themeShade="FF"/>
          <w:sz w:val="40"/>
          <w:szCs w:val="40"/>
          <w:lang w:val="en-GB"/>
        </w:rPr>
      </w:pPr>
      <w:r w:rsidRPr="1E4AC481" w:rsidR="1E4AC481">
        <w:rPr>
          <w:rFonts w:ascii="Arial" w:hAnsi="Arial" w:eastAsia="Arial" w:cs="Arial"/>
          <w:b w:val="1"/>
          <w:bCs w:val="1"/>
          <w:noProof w:val="0"/>
          <w:color w:val="262626" w:themeColor="text1" w:themeTint="D9" w:themeShade="FF"/>
          <w:sz w:val="40"/>
          <w:szCs w:val="40"/>
          <w:lang w:val="en-US"/>
        </w:rPr>
        <w:t xml:space="preserve">The Role of Narcissism in Health-Risk and Health-Protective Behaviors </w:t>
      </w:r>
    </w:p>
    <w:p w:rsidR="1E4AC481" w:rsidP="1E4AC481" w:rsidRDefault="1E4AC481" w14:paraId="3B6A81F4" w14:textId="516573D1">
      <w:pPr>
        <w:spacing w:after="120" w:line="259" w:lineRule="auto"/>
        <w:rPr>
          <w:rFonts w:ascii="Arial" w:hAnsi="Arial" w:eastAsia="Arial" w:cs="Arial"/>
          <w:noProof w:val="0"/>
          <w:sz w:val="30"/>
          <w:szCs w:val="30"/>
          <w:lang w:val="en-GB"/>
        </w:rPr>
      </w:pPr>
    </w:p>
    <w:p w:rsidR="1E4AC481" w:rsidP="1E4AC481" w:rsidRDefault="1E4AC481" w14:paraId="2C942AEF" w14:textId="511BC15F">
      <w:pPr>
        <w:spacing w:after="120" w:line="259" w:lineRule="auto"/>
        <w:rPr>
          <w:rFonts w:ascii="Arial" w:hAnsi="Arial" w:eastAsia="Arial" w:cs="Arial"/>
          <w:noProof w:val="0"/>
          <w:sz w:val="24"/>
          <w:szCs w:val="24"/>
          <w:lang w:val="en-GB"/>
        </w:rPr>
      </w:pPr>
      <w:r w:rsidRPr="1E4AC481" w:rsidR="1E4AC481">
        <w:rPr>
          <w:rFonts w:ascii="Arial" w:hAnsi="Arial" w:eastAsia="Arial" w:cs="Arial"/>
          <w:noProof w:val="0"/>
          <w:color w:val="595959" w:themeColor="text1" w:themeTint="A6" w:themeShade="FF"/>
          <w:sz w:val="24"/>
          <w:szCs w:val="24"/>
          <w:lang w:val="en-US"/>
        </w:rPr>
        <w:t>Narcissism in previous studies, has been linked to mental health issues ‘anxiety, depression, and loneliness’ (Sedikides et al; 2004, Spano, 2001) as well as being ‘influential in drug and alcohol use’ (Luhaten and Crocker, 2005; Maclaren and Best, 2013) also ‘positively identified with subjective well-being' (Sedikides et al, 2004; Zukerman and O’laughlin, 2009). Researchers also finding ‘evidence that narcissism is associated with heightened activity of stress related physiological processes of the neuroendocrine and sympathetic nervous system’ (Cheng et al., 2013; Reinhard et al., 2012) prompts us into further researching the health-risk, and health-protective behaviors that are linked to narcissism. In hopes of finding some incite to help us understand a bit more the about the risks and behaviors , a large group of undergraduate students from a university in the United States, were given a ‘40-choice questionnaire to complete to measure narcissism as a personality trait’, (NPI; Raskin and Terry, 1988) which uses e.g. smoking, drug/alcohol use and risky driving questions to determine ‘health-risk behaviors’, and questions of e.g. healthy eating patterns, diet and physical activity to look at health-protective behaviors. Not every question asked indicated a direct link to narcissistic behavior but ones that did raise flags were, identified as having a well-balanced and healthy eating pattern, also physical activity (coming under the health-protective bracket) as well as there being narcissistic associated questions linked to drug and alcohol use which of course are health-risk behaviors. Therefore, with the findings of this experiment hi-lighting the complexity of the relationship between narcissism and health-risk behaviors, due to its being linked to both risk, and protective behaviors, it is clear, that further research is required to try and understand the depth, of narcissisms link to these separate, yet very important health factors.</w:t>
      </w:r>
    </w:p>
    <w:p w:rsidR="1E4AC481" w:rsidP="1E4AC481" w:rsidRDefault="1E4AC481" w14:paraId="2AC18814" w14:textId="25BF8D07">
      <w:pPr>
        <w:spacing w:after="120" w:line="259" w:lineRule="auto"/>
        <w:rPr>
          <w:rFonts w:ascii="Arial" w:hAnsi="Arial" w:eastAsia="Arial" w:cs="Arial"/>
          <w:noProof w:val="0"/>
          <w:color w:val="595959" w:themeColor="text1" w:themeTint="A6" w:themeShade="FF"/>
          <w:sz w:val="24"/>
          <w:szCs w:val="24"/>
          <w:lang w:val="en-US"/>
        </w:rPr>
      </w:pPr>
    </w:p>
    <w:p w:rsidR="1E4AC481" w:rsidP="1E4AC481" w:rsidRDefault="1E4AC481" w14:paraId="702AA855" w14:textId="66E1CE0C">
      <w:pPr>
        <w:pStyle w:val="Normal"/>
        <w:spacing w:after="120" w:line="259" w:lineRule="auto"/>
        <w:rPr>
          <w:rFonts w:ascii="Arial" w:hAnsi="Arial" w:eastAsia="Arial" w:cs="Arial"/>
          <w:noProof w:val="0"/>
          <w:sz w:val="24"/>
          <w:szCs w:val="24"/>
          <w:lang w:val="en-GB"/>
        </w:rPr>
      </w:pPr>
      <w:r w:rsidRPr="1E4AC481" w:rsidR="1E4AC481">
        <w:rPr>
          <w:rFonts w:ascii="Arial" w:hAnsi="Arial" w:eastAsia="Arial" w:cs="Arial"/>
          <w:noProof w:val="0"/>
          <w:color w:val="595959" w:themeColor="text1" w:themeTint="A6" w:themeShade="FF"/>
          <w:sz w:val="24"/>
          <w:szCs w:val="24"/>
          <w:lang w:val="en-US"/>
        </w:rPr>
        <w:t>Reference list:</w:t>
      </w:r>
    </w:p>
    <w:p w:rsidR="1E4AC481" w:rsidP="1E4AC481" w:rsidRDefault="1E4AC481" w14:paraId="5D4BC51F" w14:textId="0F984CA3">
      <w:pPr>
        <w:spacing w:after="12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US"/>
        </w:rPr>
        <w:t xml:space="preserve">Cheng, J. T., Tracy, J. L., &amp; Miller, G. E. (2013). Are narcissists hardy or vulnerable? The role of narcissism in the production of stress-related biomarkers in response to emotional distress. </w:t>
      </w:r>
      <w:r w:rsidRPr="1E4AC481" w:rsidR="1E4AC481">
        <w:rPr>
          <w:rFonts w:ascii="Arial" w:hAnsi="Arial" w:eastAsia="Arial" w:cs="Arial"/>
          <w:i w:val="1"/>
          <w:iCs w:val="1"/>
          <w:noProof w:val="0"/>
          <w:color w:val="222222"/>
          <w:sz w:val="19"/>
          <w:szCs w:val="19"/>
          <w:lang w:val="en-US"/>
        </w:rPr>
        <w:t>Emotion</w:t>
      </w:r>
      <w:r w:rsidRPr="1E4AC481" w:rsidR="1E4AC481">
        <w:rPr>
          <w:rFonts w:ascii="Arial" w:hAnsi="Arial" w:eastAsia="Arial" w:cs="Arial"/>
          <w:noProof w:val="0"/>
          <w:color w:val="222222"/>
          <w:sz w:val="19"/>
          <w:szCs w:val="19"/>
          <w:lang w:val="en-US"/>
        </w:rPr>
        <w:t xml:space="preserve">, </w:t>
      </w:r>
      <w:r w:rsidRPr="1E4AC481" w:rsidR="1E4AC481">
        <w:rPr>
          <w:rFonts w:ascii="Arial" w:hAnsi="Arial" w:eastAsia="Arial" w:cs="Arial"/>
          <w:i w:val="1"/>
          <w:iCs w:val="1"/>
          <w:noProof w:val="0"/>
          <w:color w:val="222222"/>
          <w:sz w:val="19"/>
          <w:szCs w:val="19"/>
          <w:lang w:val="en-US"/>
        </w:rPr>
        <w:t>13</w:t>
      </w:r>
      <w:r w:rsidRPr="1E4AC481" w:rsidR="1E4AC481">
        <w:rPr>
          <w:rFonts w:ascii="Arial" w:hAnsi="Arial" w:eastAsia="Arial" w:cs="Arial"/>
          <w:noProof w:val="0"/>
          <w:color w:val="222222"/>
          <w:sz w:val="19"/>
          <w:szCs w:val="19"/>
          <w:lang w:val="en-US"/>
        </w:rPr>
        <w:t>(6), 1004.</w:t>
      </w:r>
    </w:p>
    <w:p w:rsidR="1E4AC481" w:rsidP="1E4AC481" w:rsidRDefault="1E4AC481" w14:paraId="672264ED" w14:textId="4404EA93">
      <w:pPr>
        <w:spacing w:after="12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US"/>
        </w:rPr>
        <w:t xml:space="preserve">Hill, E. M. (2016). The role of narcissism in health-risk and health-protective behaviors. </w:t>
      </w:r>
      <w:r w:rsidRPr="1E4AC481" w:rsidR="1E4AC481">
        <w:rPr>
          <w:rFonts w:ascii="Arial" w:hAnsi="Arial" w:eastAsia="Arial" w:cs="Arial"/>
          <w:i w:val="1"/>
          <w:iCs w:val="1"/>
          <w:noProof w:val="0"/>
          <w:color w:val="222222"/>
          <w:sz w:val="19"/>
          <w:szCs w:val="19"/>
          <w:lang w:val="en-US"/>
        </w:rPr>
        <w:t>Journal of health psychology</w:t>
      </w:r>
      <w:r w:rsidRPr="1E4AC481" w:rsidR="1E4AC481">
        <w:rPr>
          <w:rFonts w:ascii="Arial" w:hAnsi="Arial" w:eastAsia="Arial" w:cs="Arial"/>
          <w:noProof w:val="0"/>
          <w:color w:val="222222"/>
          <w:sz w:val="19"/>
          <w:szCs w:val="19"/>
          <w:lang w:val="en-US"/>
        </w:rPr>
        <w:t xml:space="preserve">, </w:t>
      </w:r>
      <w:r w:rsidRPr="1E4AC481" w:rsidR="1E4AC481">
        <w:rPr>
          <w:rFonts w:ascii="Arial" w:hAnsi="Arial" w:eastAsia="Arial" w:cs="Arial"/>
          <w:i w:val="1"/>
          <w:iCs w:val="1"/>
          <w:noProof w:val="0"/>
          <w:color w:val="222222"/>
          <w:sz w:val="19"/>
          <w:szCs w:val="19"/>
          <w:lang w:val="en-US"/>
        </w:rPr>
        <w:t>21</w:t>
      </w:r>
      <w:r w:rsidRPr="1E4AC481" w:rsidR="1E4AC481">
        <w:rPr>
          <w:rFonts w:ascii="Arial" w:hAnsi="Arial" w:eastAsia="Arial" w:cs="Arial"/>
          <w:noProof w:val="0"/>
          <w:color w:val="222222"/>
          <w:sz w:val="19"/>
          <w:szCs w:val="19"/>
          <w:lang w:val="en-US"/>
        </w:rPr>
        <w:t>(9), 2021-2032.</w:t>
      </w:r>
    </w:p>
    <w:p w:rsidR="1E4AC481" w:rsidP="1E4AC481" w:rsidRDefault="1E4AC481" w14:paraId="2FD6B32F" w14:textId="713D907C">
      <w:pPr>
        <w:spacing w:after="12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US"/>
        </w:rPr>
        <w:t xml:space="preserve">Luhtanen, R. K., &amp; Crocker, J. (2005). Alcohol use in college students: effects of level of self-esteem, narcissism, and contingencies of self-worth. </w:t>
      </w:r>
      <w:r w:rsidRPr="1E4AC481" w:rsidR="1E4AC481">
        <w:rPr>
          <w:rFonts w:ascii="Arial" w:hAnsi="Arial" w:eastAsia="Arial" w:cs="Arial"/>
          <w:i w:val="1"/>
          <w:iCs w:val="1"/>
          <w:noProof w:val="0"/>
          <w:color w:val="222222"/>
          <w:sz w:val="19"/>
          <w:szCs w:val="19"/>
          <w:lang w:val="en-US"/>
        </w:rPr>
        <w:t>Psychology of Addictive Behaviors</w:t>
      </w:r>
      <w:r w:rsidRPr="1E4AC481" w:rsidR="1E4AC481">
        <w:rPr>
          <w:rFonts w:ascii="Arial" w:hAnsi="Arial" w:eastAsia="Arial" w:cs="Arial"/>
          <w:noProof w:val="0"/>
          <w:color w:val="222222"/>
          <w:sz w:val="19"/>
          <w:szCs w:val="19"/>
          <w:lang w:val="en-US"/>
        </w:rPr>
        <w:t xml:space="preserve">, </w:t>
      </w:r>
      <w:r w:rsidRPr="1E4AC481" w:rsidR="1E4AC481">
        <w:rPr>
          <w:rFonts w:ascii="Arial" w:hAnsi="Arial" w:eastAsia="Arial" w:cs="Arial"/>
          <w:i w:val="1"/>
          <w:iCs w:val="1"/>
          <w:noProof w:val="0"/>
          <w:color w:val="222222"/>
          <w:sz w:val="19"/>
          <w:szCs w:val="19"/>
          <w:lang w:val="en-US"/>
        </w:rPr>
        <w:t>19</w:t>
      </w:r>
      <w:r w:rsidRPr="1E4AC481" w:rsidR="1E4AC481">
        <w:rPr>
          <w:rFonts w:ascii="Arial" w:hAnsi="Arial" w:eastAsia="Arial" w:cs="Arial"/>
          <w:noProof w:val="0"/>
          <w:color w:val="222222"/>
          <w:sz w:val="19"/>
          <w:szCs w:val="19"/>
          <w:lang w:val="en-US"/>
        </w:rPr>
        <w:t>(1), 99.</w:t>
      </w:r>
    </w:p>
    <w:p w:rsidR="1E4AC481" w:rsidP="1E4AC481" w:rsidRDefault="1E4AC481" w14:paraId="1A290FF4" w14:textId="560BB37A">
      <w:pPr>
        <w:pStyle w:val="Normal"/>
        <w:spacing w:after="120" w:line="259" w:lineRule="auto"/>
        <w:rPr>
          <w:rFonts w:ascii="Arial" w:hAnsi="Arial" w:eastAsia="Arial" w:cs="Arial"/>
          <w:noProof w:val="0"/>
          <w:color w:val="222222"/>
          <w:sz w:val="19"/>
          <w:szCs w:val="19"/>
          <w:lang w:val="en-US"/>
        </w:rPr>
      </w:pPr>
    </w:p>
    <w:p w:rsidR="1E4AC481" w:rsidP="1E4AC481" w:rsidRDefault="1E4AC481" w14:paraId="42827164" w14:textId="63CA54F2">
      <w:pPr>
        <w:pStyle w:val="Normal"/>
        <w:spacing w:after="120" w:line="259" w:lineRule="auto"/>
        <w:rPr>
          <w:rFonts w:ascii="Arial" w:hAnsi="Arial" w:eastAsia="Arial" w:cs="Arial"/>
          <w:noProof w:val="0"/>
          <w:color w:val="222222"/>
          <w:sz w:val="19"/>
          <w:szCs w:val="19"/>
          <w:lang w:val="en-US"/>
        </w:rPr>
      </w:pPr>
    </w:p>
    <w:p w:rsidR="1E4AC481" w:rsidP="1E4AC481" w:rsidRDefault="1E4AC481" w14:paraId="11F8FAE7" w14:textId="640A0334">
      <w:pPr>
        <w:pStyle w:val="Normal"/>
        <w:spacing w:after="120" w:line="259" w:lineRule="auto"/>
        <w:rPr>
          <w:rFonts w:ascii="Arial" w:hAnsi="Arial" w:eastAsia="Arial" w:cs="Arial"/>
          <w:noProof w:val="0"/>
          <w:color w:val="222222"/>
          <w:sz w:val="19"/>
          <w:szCs w:val="19"/>
          <w:lang w:val="en-US"/>
        </w:rPr>
      </w:pPr>
    </w:p>
    <w:p w:rsidR="1E4AC481" w:rsidP="1E4AC481" w:rsidRDefault="1E4AC481" w14:paraId="449CE77F" w14:textId="67B9DD5B">
      <w:pPr>
        <w:pStyle w:val="Normal"/>
        <w:spacing w:after="120" w:line="259" w:lineRule="auto"/>
        <w:rPr>
          <w:rFonts w:ascii="Arial" w:hAnsi="Arial" w:eastAsia="Arial" w:cs="Arial"/>
          <w:noProof w:val="0"/>
          <w:color w:val="222222"/>
          <w:sz w:val="19"/>
          <w:szCs w:val="19"/>
          <w:lang w:val="en-US"/>
        </w:rPr>
      </w:pPr>
    </w:p>
    <w:p w:rsidR="1E4AC481" w:rsidP="1E4AC481" w:rsidRDefault="1E4AC481" w14:paraId="499B6511" w14:textId="75D71EEB">
      <w:pPr>
        <w:pStyle w:val="Normal"/>
        <w:spacing w:after="120" w:line="259" w:lineRule="auto"/>
        <w:rPr>
          <w:rFonts w:ascii="Arial" w:hAnsi="Arial" w:eastAsia="Arial" w:cs="Arial"/>
          <w:noProof w:val="0"/>
          <w:color w:val="222222"/>
          <w:sz w:val="19"/>
          <w:szCs w:val="19"/>
          <w:lang w:val="en-US"/>
        </w:rPr>
      </w:pPr>
    </w:p>
    <w:p w:rsidR="1E4AC481" w:rsidP="1E4AC481" w:rsidRDefault="1E4AC481" w14:paraId="3285E801" w14:textId="42CEBBF7">
      <w:pPr>
        <w:pStyle w:val="Normal"/>
        <w:spacing w:after="120" w:line="259" w:lineRule="auto"/>
        <w:rPr>
          <w:rFonts w:ascii="Arial" w:hAnsi="Arial" w:eastAsia="Arial" w:cs="Arial"/>
          <w:noProof w:val="0"/>
          <w:color w:val="222222"/>
          <w:sz w:val="19"/>
          <w:szCs w:val="19"/>
          <w:lang w:val="en-US"/>
        </w:rPr>
      </w:pPr>
    </w:p>
    <w:p w:rsidR="1E4AC481" w:rsidP="1E4AC481" w:rsidRDefault="1E4AC481" w14:paraId="388945F4" w14:textId="38C95DD2">
      <w:pPr>
        <w:pStyle w:val="Normal"/>
        <w:spacing w:after="12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US"/>
        </w:rPr>
        <w:t xml:space="preserve">MacLaren, V. V., &amp; Best, L. A. (2013). Disagreeable narcissism mediates an effect of BAS on addictive behaviors. </w:t>
      </w:r>
      <w:r w:rsidRPr="1E4AC481" w:rsidR="1E4AC481">
        <w:rPr>
          <w:rFonts w:ascii="Arial" w:hAnsi="Arial" w:eastAsia="Arial" w:cs="Arial"/>
          <w:i w:val="1"/>
          <w:iCs w:val="1"/>
          <w:noProof w:val="0"/>
          <w:color w:val="222222"/>
          <w:sz w:val="19"/>
          <w:szCs w:val="19"/>
          <w:lang w:val="en-US"/>
        </w:rPr>
        <w:t>Personality and Individual Differences</w:t>
      </w:r>
      <w:r w:rsidRPr="1E4AC481" w:rsidR="1E4AC481">
        <w:rPr>
          <w:rFonts w:ascii="Arial" w:hAnsi="Arial" w:eastAsia="Arial" w:cs="Arial"/>
          <w:noProof w:val="0"/>
          <w:color w:val="222222"/>
          <w:sz w:val="19"/>
          <w:szCs w:val="19"/>
          <w:lang w:val="en-US"/>
        </w:rPr>
        <w:t xml:space="preserve">, </w:t>
      </w:r>
      <w:r w:rsidRPr="1E4AC481" w:rsidR="1E4AC481">
        <w:rPr>
          <w:rFonts w:ascii="Arial" w:hAnsi="Arial" w:eastAsia="Arial" w:cs="Arial"/>
          <w:i w:val="1"/>
          <w:iCs w:val="1"/>
          <w:noProof w:val="0"/>
          <w:color w:val="222222"/>
          <w:sz w:val="19"/>
          <w:szCs w:val="19"/>
          <w:lang w:val="en-US"/>
        </w:rPr>
        <w:t>55</w:t>
      </w:r>
      <w:r w:rsidRPr="1E4AC481" w:rsidR="1E4AC481">
        <w:rPr>
          <w:rFonts w:ascii="Arial" w:hAnsi="Arial" w:eastAsia="Arial" w:cs="Arial"/>
          <w:noProof w:val="0"/>
          <w:color w:val="222222"/>
          <w:sz w:val="19"/>
          <w:szCs w:val="19"/>
          <w:lang w:val="en-US"/>
        </w:rPr>
        <w:t>(2), 101-105.</w:t>
      </w:r>
    </w:p>
    <w:p w:rsidR="1E4AC481" w:rsidP="1E4AC481" w:rsidRDefault="1E4AC481" w14:paraId="3F1F4DEE" w14:textId="37C76EAF">
      <w:pPr>
        <w:pStyle w:val="Normal"/>
        <w:spacing w:after="12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US"/>
        </w:rPr>
        <w:t xml:space="preserve">Raskin, R., &amp; Terry, H. (1988). A principal-components analysis of the Narcissistic Personality Inventory and further evidence of its construct validity. </w:t>
      </w:r>
      <w:r w:rsidRPr="1E4AC481" w:rsidR="1E4AC481">
        <w:rPr>
          <w:rFonts w:ascii="Arial" w:hAnsi="Arial" w:eastAsia="Arial" w:cs="Arial"/>
          <w:i w:val="1"/>
          <w:iCs w:val="1"/>
          <w:noProof w:val="0"/>
          <w:color w:val="222222"/>
          <w:sz w:val="19"/>
          <w:szCs w:val="19"/>
          <w:lang w:val="en-US"/>
        </w:rPr>
        <w:t>Journal of personality and social psychology</w:t>
      </w:r>
      <w:r w:rsidRPr="1E4AC481" w:rsidR="1E4AC481">
        <w:rPr>
          <w:rFonts w:ascii="Arial" w:hAnsi="Arial" w:eastAsia="Arial" w:cs="Arial"/>
          <w:noProof w:val="0"/>
          <w:color w:val="222222"/>
          <w:sz w:val="19"/>
          <w:szCs w:val="19"/>
          <w:lang w:val="en-US"/>
        </w:rPr>
        <w:t xml:space="preserve">, </w:t>
      </w:r>
      <w:r w:rsidRPr="1E4AC481" w:rsidR="1E4AC481">
        <w:rPr>
          <w:rFonts w:ascii="Arial" w:hAnsi="Arial" w:eastAsia="Arial" w:cs="Arial"/>
          <w:i w:val="1"/>
          <w:iCs w:val="1"/>
          <w:noProof w:val="0"/>
          <w:color w:val="222222"/>
          <w:sz w:val="19"/>
          <w:szCs w:val="19"/>
          <w:lang w:val="en-US"/>
        </w:rPr>
        <w:t>54</w:t>
      </w:r>
      <w:r w:rsidRPr="1E4AC481" w:rsidR="1E4AC481">
        <w:rPr>
          <w:rFonts w:ascii="Arial" w:hAnsi="Arial" w:eastAsia="Arial" w:cs="Arial"/>
          <w:noProof w:val="0"/>
          <w:color w:val="222222"/>
          <w:sz w:val="19"/>
          <w:szCs w:val="19"/>
          <w:lang w:val="en-US"/>
        </w:rPr>
        <w:t>(5), 890.</w:t>
      </w:r>
    </w:p>
    <w:p w:rsidR="1E4AC481" w:rsidP="1E4AC481" w:rsidRDefault="1E4AC481" w14:paraId="0C041187" w14:textId="06E69950">
      <w:pPr>
        <w:spacing w:after="12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US"/>
        </w:rPr>
        <w:t xml:space="preserve">Reinhard, D. A., Konrath, S. H., Lopez, W. D., &amp; Cameron, H. G. (2012). Expensive egos: narcissistic males have higher cortisol. </w:t>
      </w:r>
      <w:r w:rsidRPr="1E4AC481" w:rsidR="1E4AC481">
        <w:rPr>
          <w:rFonts w:ascii="Arial" w:hAnsi="Arial" w:eastAsia="Arial" w:cs="Arial"/>
          <w:i w:val="1"/>
          <w:iCs w:val="1"/>
          <w:noProof w:val="0"/>
          <w:color w:val="222222"/>
          <w:sz w:val="19"/>
          <w:szCs w:val="19"/>
          <w:lang w:val="en-US"/>
        </w:rPr>
        <w:t>PloS one</w:t>
      </w:r>
      <w:r w:rsidRPr="1E4AC481" w:rsidR="1E4AC481">
        <w:rPr>
          <w:rFonts w:ascii="Arial" w:hAnsi="Arial" w:eastAsia="Arial" w:cs="Arial"/>
          <w:noProof w:val="0"/>
          <w:color w:val="222222"/>
          <w:sz w:val="19"/>
          <w:szCs w:val="19"/>
          <w:lang w:val="en-US"/>
        </w:rPr>
        <w:t xml:space="preserve">, </w:t>
      </w:r>
      <w:r w:rsidRPr="1E4AC481" w:rsidR="1E4AC481">
        <w:rPr>
          <w:rFonts w:ascii="Arial" w:hAnsi="Arial" w:eastAsia="Arial" w:cs="Arial"/>
          <w:i w:val="1"/>
          <w:iCs w:val="1"/>
          <w:noProof w:val="0"/>
          <w:color w:val="222222"/>
          <w:sz w:val="19"/>
          <w:szCs w:val="19"/>
          <w:lang w:val="en-US"/>
        </w:rPr>
        <w:t>7</w:t>
      </w:r>
      <w:r w:rsidRPr="1E4AC481" w:rsidR="1E4AC481">
        <w:rPr>
          <w:rFonts w:ascii="Arial" w:hAnsi="Arial" w:eastAsia="Arial" w:cs="Arial"/>
          <w:noProof w:val="0"/>
          <w:color w:val="222222"/>
          <w:sz w:val="19"/>
          <w:szCs w:val="19"/>
          <w:lang w:val="en-US"/>
        </w:rPr>
        <w:t>(1), e30858.</w:t>
      </w:r>
    </w:p>
    <w:p w:rsidR="1E4AC481" w:rsidP="1E4AC481" w:rsidRDefault="1E4AC481" w14:paraId="5203A6B6" w14:textId="559F0CF0">
      <w:pPr>
        <w:spacing w:after="12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US"/>
        </w:rPr>
        <w:t xml:space="preserve">Sedikides, C., Rudich, E. A., Gregg, A. P., Kumashiro, M., &amp; Rusbult, C. (2004). Are normal narcissists psychologically healthy?: Self-esteem matters. </w:t>
      </w:r>
      <w:r w:rsidRPr="1E4AC481" w:rsidR="1E4AC481">
        <w:rPr>
          <w:rFonts w:ascii="Arial" w:hAnsi="Arial" w:eastAsia="Arial" w:cs="Arial"/>
          <w:i w:val="1"/>
          <w:iCs w:val="1"/>
          <w:noProof w:val="0"/>
          <w:color w:val="222222"/>
          <w:sz w:val="19"/>
          <w:szCs w:val="19"/>
          <w:lang w:val="en-US"/>
        </w:rPr>
        <w:t>Journal of personality and social psychology</w:t>
      </w:r>
      <w:r w:rsidRPr="1E4AC481" w:rsidR="1E4AC481">
        <w:rPr>
          <w:rFonts w:ascii="Arial" w:hAnsi="Arial" w:eastAsia="Arial" w:cs="Arial"/>
          <w:noProof w:val="0"/>
          <w:color w:val="222222"/>
          <w:sz w:val="19"/>
          <w:szCs w:val="19"/>
          <w:lang w:val="en-US"/>
        </w:rPr>
        <w:t xml:space="preserve">, </w:t>
      </w:r>
      <w:r w:rsidRPr="1E4AC481" w:rsidR="1E4AC481">
        <w:rPr>
          <w:rFonts w:ascii="Arial" w:hAnsi="Arial" w:eastAsia="Arial" w:cs="Arial"/>
          <w:i w:val="1"/>
          <w:iCs w:val="1"/>
          <w:noProof w:val="0"/>
          <w:color w:val="222222"/>
          <w:sz w:val="19"/>
          <w:szCs w:val="19"/>
          <w:lang w:val="en-US"/>
        </w:rPr>
        <w:t>87</w:t>
      </w:r>
      <w:r w:rsidRPr="1E4AC481" w:rsidR="1E4AC481">
        <w:rPr>
          <w:rFonts w:ascii="Arial" w:hAnsi="Arial" w:eastAsia="Arial" w:cs="Arial"/>
          <w:noProof w:val="0"/>
          <w:color w:val="222222"/>
          <w:sz w:val="19"/>
          <w:szCs w:val="19"/>
          <w:lang w:val="en-US"/>
        </w:rPr>
        <w:t>(3), 400.</w:t>
      </w:r>
    </w:p>
    <w:p w:rsidR="1E4AC481" w:rsidP="1E4AC481" w:rsidRDefault="1E4AC481" w14:paraId="68AED362" w14:textId="4C961BF4">
      <w:pPr>
        <w:spacing w:after="120" w:line="259" w:lineRule="auto"/>
        <w:rPr>
          <w:rFonts w:ascii="Arial" w:hAnsi="Arial" w:eastAsia="Arial" w:cs="Arial"/>
          <w:noProof w:val="0"/>
          <w:sz w:val="19"/>
          <w:szCs w:val="19"/>
          <w:lang w:val="en-GB"/>
        </w:rPr>
      </w:pPr>
      <w:r w:rsidRPr="1E4AC481" w:rsidR="1E4AC481">
        <w:rPr>
          <w:rFonts w:ascii="Arial" w:hAnsi="Arial" w:eastAsia="Arial" w:cs="Arial"/>
          <w:noProof w:val="0"/>
          <w:color w:val="595959" w:themeColor="text1" w:themeTint="A6" w:themeShade="FF"/>
          <w:sz w:val="19"/>
          <w:szCs w:val="19"/>
          <w:lang w:val="en-US"/>
        </w:rPr>
        <w:t xml:space="preserve">Zuckerman M and O’Loughlin RE (2009) Narcissism and well-being: </w:t>
      </w:r>
      <w:r w:rsidRPr="1E4AC481" w:rsidR="1E4AC481">
        <w:rPr>
          <w:rFonts w:ascii="Arial" w:hAnsi="Arial" w:eastAsia="Arial" w:cs="Arial"/>
          <w:i w:val="1"/>
          <w:iCs w:val="1"/>
          <w:noProof w:val="0"/>
          <w:color w:val="595959" w:themeColor="text1" w:themeTint="A6" w:themeShade="FF"/>
          <w:sz w:val="19"/>
          <w:szCs w:val="19"/>
          <w:lang w:val="en-US"/>
        </w:rPr>
        <w:t>A longitudinal perspective</w:t>
      </w:r>
      <w:r w:rsidRPr="1E4AC481" w:rsidR="1E4AC481">
        <w:rPr>
          <w:rFonts w:ascii="Arial" w:hAnsi="Arial" w:eastAsia="Arial" w:cs="Arial"/>
          <w:noProof w:val="0"/>
          <w:color w:val="595959" w:themeColor="text1" w:themeTint="A6" w:themeShade="FF"/>
          <w:sz w:val="19"/>
          <w:szCs w:val="19"/>
          <w:lang w:val="en-US"/>
        </w:rPr>
        <w:t>. European Journal of Social Psychology 39(6): 957–972.</w:t>
      </w:r>
    </w:p>
    <w:p w:rsidR="1E4AC481" w:rsidP="1E4AC481" w:rsidRDefault="1E4AC481" w14:paraId="72E85D24" w14:textId="1C98D1FF">
      <w:pPr>
        <w:pStyle w:val="Normal"/>
        <w:spacing w:after="160" w:line="259" w:lineRule="auto"/>
        <w:rPr>
          <w:rFonts w:ascii="Arial" w:hAnsi="Arial" w:eastAsia="Arial" w:cs="Arial"/>
          <w:noProof w:val="0"/>
          <w:color w:val="222222"/>
          <w:sz w:val="19"/>
          <w:szCs w:val="19"/>
          <w:lang w:val="en-GB"/>
        </w:rPr>
      </w:pPr>
    </w:p>
    <w:p w:rsidR="1E4AC481" w:rsidP="1E4AC481" w:rsidRDefault="1E4AC481" w14:paraId="02BB3305" w14:textId="06729E51">
      <w:pPr>
        <w:pStyle w:val="Normal"/>
        <w:rPr>
          <w:rFonts w:ascii="Times New Roman" w:hAnsi="Times New Roman" w:eastAsia="Times New Roman" w:cs="Times New Roman"/>
          <w:noProof w:val="0"/>
          <w:sz w:val="24"/>
          <w:szCs w:val="24"/>
          <w:lang w:val="en-GB"/>
        </w:rPr>
      </w:pPr>
    </w:p>
    <w:p w:rsidR="1E4AC481" w:rsidP="1E4AC481" w:rsidRDefault="1E4AC481" w14:paraId="2C062365" w14:textId="5E976373">
      <w:pPr>
        <w:pStyle w:val="Normal"/>
        <w:rPr>
          <w:rFonts w:ascii="Times New Roman" w:hAnsi="Times New Roman" w:eastAsia="Times New Roman" w:cs="Times New Roman"/>
          <w:noProof w:val="0"/>
          <w:sz w:val="24"/>
          <w:szCs w:val="24"/>
          <w:lang w:val="en-GB"/>
        </w:rPr>
      </w:pPr>
    </w:p>
    <w:p w:rsidR="1E4AC481" w:rsidP="1E4AC481" w:rsidRDefault="1E4AC481" w14:paraId="4D7B9A93" w14:textId="6AB24D20">
      <w:pPr>
        <w:pStyle w:val="Normal"/>
        <w:rPr>
          <w:rFonts w:ascii="Times New Roman" w:hAnsi="Times New Roman" w:eastAsia="Times New Roman" w:cs="Times New Roman"/>
          <w:noProof w:val="0"/>
          <w:sz w:val="24"/>
          <w:szCs w:val="24"/>
          <w:lang w:val="en-GB"/>
        </w:rPr>
      </w:pPr>
    </w:p>
    <w:p w:rsidR="1E4AC481" w:rsidP="1E4AC481" w:rsidRDefault="1E4AC481" w14:paraId="7A5BA021" w14:textId="0744D0FE">
      <w:pPr>
        <w:pStyle w:val="Normal"/>
        <w:rPr>
          <w:rFonts w:ascii="Times New Roman" w:hAnsi="Times New Roman" w:eastAsia="Times New Roman" w:cs="Times New Roman"/>
          <w:noProof w:val="0"/>
          <w:sz w:val="24"/>
          <w:szCs w:val="24"/>
          <w:lang w:val="en-GB"/>
        </w:rPr>
      </w:pPr>
    </w:p>
    <w:p w:rsidR="1E4AC481" w:rsidP="1E4AC481" w:rsidRDefault="1E4AC481" w14:paraId="2CC5B882" w14:textId="4341DEFA">
      <w:pPr>
        <w:pStyle w:val="Normal"/>
        <w:rPr>
          <w:rFonts w:ascii="Times New Roman" w:hAnsi="Times New Roman" w:eastAsia="Times New Roman" w:cs="Times New Roman"/>
          <w:noProof w:val="0"/>
          <w:sz w:val="24"/>
          <w:szCs w:val="24"/>
          <w:lang w:val="en-GB"/>
        </w:rPr>
      </w:pPr>
    </w:p>
    <w:p w:rsidR="1E4AC481" w:rsidP="1E4AC481" w:rsidRDefault="1E4AC481" w14:paraId="3E6826BB" w14:textId="210515D0">
      <w:pPr>
        <w:pStyle w:val="Normal"/>
        <w:rPr>
          <w:rFonts w:ascii="Times New Roman" w:hAnsi="Times New Roman" w:eastAsia="Times New Roman" w:cs="Times New Roman"/>
          <w:noProof w:val="0"/>
          <w:sz w:val="24"/>
          <w:szCs w:val="24"/>
          <w:lang w:val="en-GB"/>
        </w:rPr>
      </w:pPr>
    </w:p>
    <w:p w:rsidR="1E4AC481" w:rsidP="1E4AC481" w:rsidRDefault="1E4AC481" w14:paraId="6303BFFD" w14:textId="5EE5775D">
      <w:pPr>
        <w:pStyle w:val="Normal"/>
        <w:rPr>
          <w:rFonts w:ascii="Times New Roman" w:hAnsi="Times New Roman" w:eastAsia="Times New Roman" w:cs="Times New Roman"/>
          <w:noProof w:val="0"/>
          <w:sz w:val="24"/>
          <w:szCs w:val="24"/>
          <w:lang w:val="en-GB"/>
        </w:rPr>
      </w:pPr>
    </w:p>
    <w:p w:rsidR="1E4AC481" w:rsidP="1E4AC481" w:rsidRDefault="1E4AC481" w14:paraId="4DC59458" w14:textId="07A05A6E">
      <w:pPr>
        <w:pStyle w:val="Normal"/>
        <w:rPr>
          <w:rFonts w:ascii="Times New Roman" w:hAnsi="Times New Roman" w:eastAsia="Times New Roman" w:cs="Times New Roman"/>
          <w:noProof w:val="0"/>
          <w:sz w:val="24"/>
          <w:szCs w:val="24"/>
          <w:lang w:val="en-GB"/>
        </w:rPr>
      </w:pPr>
    </w:p>
    <w:p w:rsidR="1E4AC481" w:rsidP="1E4AC481" w:rsidRDefault="1E4AC481" w14:paraId="2F6BB46F" w14:textId="6254FC09">
      <w:pPr>
        <w:pStyle w:val="Normal"/>
        <w:rPr>
          <w:rFonts w:ascii="Times New Roman" w:hAnsi="Times New Roman" w:eastAsia="Times New Roman" w:cs="Times New Roman"/>
          <w:noProof w:val="0"/>
          <w:sz w:val="24"/>
          <w:szCs w:val="24"/>
          <w:lang w:val="en-GB"/>
        </w:rPr>
      </w:pPr>
    </w:p>
    <w:p w:rsidR="1E4AC481" w:rsidP="1E4AC481" w:rsidRDefault="1E4AC481" w14:paraId="29B1D646" w14:textId="1C88F9FB">
      <w:pPr>
        <w:pStyle w:val="Normal"/>
        <w:rPr>
          <w:rFonts w:ascii="Times New Roman" w:hAnsi="Times New Roman" w:eastAsia="Times New Roman" w:cs="Times New Roman"/>
          <w:noProof w:val="0"/>
          <w:sz w:val="24"/>
          <w:szCs w:val="24"/>
          <w:lang w:val="en-GB"/>
        </w:rPr>
      </w:pPr>
    </w:p>
    <w:p w:rsidR="1E4AC481" w:rsidP="1E4AC481" w:rsidRDefault="1E4AC481" w14:paraId="044081E5" w14:textId="24ABCEA1">
      <w:pPr>
        <w:pStyle w:val="Normal"/>
        <w:rPr>
          <w:rFonts w:ascii="Times New Roman" w:hAnsi="Times New Roman" w:eastAsia="Times New Roman" w:cs="Times New Roman"/>
          <w:noProof w:val="0"/>
          <w:sz w:val="24"/>
          <w:szCs w:val="24"/>
          <w:lang w:val="en-GB"/>
        </w:rPr>
      </w:pPr>
    </w:p>
    <w:p w:rsidR="1E4AC481" w:rsidP="1E4AC481" w:rsidRDefault="1E4AC481" w14:paraId="22DA40C4" w14:textId="4B915FD3">
      <w:pPr>
        <w:pStyle w:val="Normal"/>
        <w:rPr>
          <w:rFonts w:ascii="Times New Roman" w:hAnsi="Times New Roman" w:eastAsia="Times New Roman" w:cs="Times New Roman"/>
          <w:noProof w:val="0"/>
          <w:sz w:val="24"/>
          <w:szCs w:val="24"/>
          <w:lang w:val="en-GB"/>
        </w:rPr>
      </w:pPr>
    </w:p>
    <w:p w:rsidR="1E4AC481" w:rsidP="1E4AC481" w:rsidRDefault="1E4AC481" w14:paraId="08583AF0" w14:textId="5430076C">
      <w:pPr>
        <w:pStyle w:val="Normal"/>
        <w:rPr>
          <w:rFonts w:ascii="Times New Roman" w:hAnsi="Times New Roman" w:eastAsia="Times New Roman" w:cs="Times New Roman"/>
          <w:noProof w:val="0"/>
          <w:sz w:val="24"/>
          <w:szCs w:val="24"/>
          <w:lang w:val="en-GB"/>
        </w:rPr>
      </w:pPr>
    </w:p>
    <w:p w:rsidR="1E4AC481" w:rsidP="1E4AC481" w:rsidRDefault="1E4AC481" w14:paraId="14D795A7" w14:textId="204DF3BE">
      <w:pPr>
        <w:pStyle w:val="Normal"/>
        <w:rPr>
          <w:rFonts w:ascii="Times New Roman" w:hAnsi="Times New Roman" w:eastAsia="Times New Roman" w:cs="Times New Roman"/>
          <w:noProof w:val="0"/>
          <w:sz w:val="24"/>
          <w:szCs w:val="24"/>
          <w:lang w:val="en-GB"/>
        </w:rPr>
      </w:pPr>
    </w:p>
    <w:p w:rsidR="1E4AC481" w:rsidP="1E4AC481" w:rsidRDefault="1E4AC481" w14:paraId="48F488E4" w14:textId="5453D481">
      <w:pPr>
        <w:pStyle w:val="Normal"/>
        <w:rPr>
          <w:rFonts w:ascii="Times New Roman" w:hAnsi="Times New Roman" w:eastAsia="Times New Roman" w:cs="Times New Roman"/>
          <w:noProof w:val="0"/>
          <w:sz w:val="24"/>
          <w:szCs w:val="24"/>
          <w:lang w:val="en-GB"/>
        </w:rPr>
      </w:pPr>
    </w:p>
    <w:p w:rsidR="1E4AC481" w:rsidP="1E4AC481" w:rsidRDefault="1E4AC481" w14:paraId="528458EC" w14:textId="4FE235D7">
      <w:pPr>
        <w:pStyle w:val="Normal"/>
        <w:rPr>
          <w:rFonts w:ascii="Times New Roman" w:hAnsi="Times New Roman" w:eastAsia="Times New Roman" w:cs="Times New Roman"/>
          <w:noProof w:val="0"/>
          <w:sz w:val="24"/>
          <w:szCs w:val="24"/>
          <w:lang w:val="en-GB"/>
        </w:rPr>
      </w:pPr>
    </w:p>
    <w:p w:rsidR="1E4AC481" w:rsidP="1E4AC481" w:rsidRDefault="1E4AC481" w14:paraId="58F1EB6D" w14:textId="55D84ED7">
      <w:pPr>
        <w:pStyle w:val="Normal"/>
        <w:rPr>
          <w:rFonts w:ascii="Times New Roman" w:hAnsi="Times New Roman" w:eastAsia="Times New Roman" w:cs="Times New Roman"/>
          <w:noProof w:val="0"/>
          <w:sz w:val="24"/>
          <w:szCs w:val="24"/>
          <w:lang w:val="en-GB"/>
        </w:rPr>
      </w:pPr>
    </w:p>
    <w:p w:rsidR="1E4AC481" w:rsidP="1E4AC481" w:rsidRDefault="1E4AC481" w14:paraId="602836D5" w14:textId="25C5A20A">
      <w:pPr>
        <w:pStyle w:val="Normal"/>
        <w:rPr>
          <w:rFonts w:ascii="Times New Roman" w:hAnsi="Times New Roman" w:eastAsia="Times New Roman" w:cs="Times New Roman"/>
          <w:noProof w:val="0"/>
          <w:sz w:val="24"/>
          <w:szCs w:val="24"/>
          <w:lang w:val="en-GB"/>
        </w:rPr>
      </w:pPr>
    </w:p>
    <w:p w:rsidR="1E4AC481" w:rsidP="1E4AC481" w:rsidRDefault="1E4AC481" w14:paraId="7F59B0E5" w14:textId="5C034D84">
      <w:pPr>
        <w:pStyle w:val="Normal"/>
        <w:rPr>
          <w:rFonts w:ascii="Times New Roman" w:hAnsi="Times New Roman" w:eastAsia="Times New Roman" w:cs="Times New Roman"/>
          <w:noProof w:val="0"/>
          <w:sz w:val="24"/>
          <w:szCs w:val="24"/>
          <w:lang w:val="en-GB"/>
        </w:rPr>
      </w:pPr>
    </w:p>
    <w:p w:rsidR="1E4AC481" w:rsidP="1E4AC481" w:rsidRDefault="1E4AC481" w14:paraId="7608D17C" w14:textId="05B8E25C">
      <w:pPr>
        <w:pStyle w:val="Normal"/>
        <w:rPr>
          <w:rFonts w:ascii="Times New Roman" w:hAnsi="Times New Roman" w:eastAsia="Times New Roman" w:cs="Times New Roman"/>
          <w:noProof w:val="0"/>
          <w:sz w:val="24"/>
          <w:szCs w:val="24"/>
          <w:lang w:val="en-GB"/>
        </w:rPr>
      </w:pPr>
    </w:p>
    <w:p w:rsidR="1E4AC481" w:rsidP="1E4AC481" w:rsidRDefault="1E4AC481" w14:paraId="282369F2" w14:textId="50251A70">
      <w:pPr>
        <w:pStyle w:val="Normal"/>
        <w:rPr>
          <w:rFonts w:ascii="Times New Roman" w:hAnsi="Times New Roman" w:eastAsia="Times New Roman" w:cs="Times New Roman"/>
          <w:noProof w:val="0"/>
          <w:sz w:val="24"/>
          <w:szCs w:val="24"/>
          <w:lang w:val="en-GB"/>
        </w:rPr>
      </w:pPr>
    </w:p>
    <w:p w:rsidR="1E4AC481" w:rsidP="1E4AC481" w:rsidRDefault="1E4AC481" w14:paraId="29051934" w14:textId="26AC163A">
      <w:pPr>
        <w:pStyle w:val="Normal"/>
        <w:rPr>
          <w:rFonts w:ascii="Times New Roman" w:hAnsi="Times New Roman" w:eastAsia="Times New Roman" w:cs="Times New Roman"/>
          <w:noProof w:val="0"/>
          <w:sz w:val="24"/>
          <w:szCs w:val="24"/>
          <w:lang w:val="en-GB"/>
        </w:rPr>
      </w:pPr>
    </w:p>
    <w:p w:rsidR="1E4AC481" w:rsidP="1E4AC481" w:rsidRDefault="1E4AC481" w14:paraId="67F40652" w14:textId="4C36D215">
      <w:pPr>
        <w:pStyle w:val="Normal"/>
        <w:rPr>
          <w:rFonts w:ascii="Arial" w:hAnsi="Arial" w:eastAsia="Arial" w:cs="Arial"/>
          <w:noProof w:val="0"/>
          <w:color w:val="222222"/>
          <w:sz w:val="19"/>
          <w:szCs w:val="19"/>
          <w:lang w:val="en-GB"/>
        </w:rPr>
      </w:pPr>
    </w:p>
    <w:p w:rsidR="1E4AC481" w:rsidP="1E4AC481" w:rsidRDefault="1E4AC481" w14:paraId="5739358D" w14:textId="05E09A19">
      <w:pPr>
        <w:pStyle w:val="Normal"/>
        <w:jc w:val="center"/>
        <w:rPr>
          <w:rFonts w:ascii="Arial" w:hAnsi="Arial" w:eastAsia="Arial" w:cs="Arial"/>
          <w:b w:val="1"/>
          <w:bCs w:val="1"/>
          <w:noProof w:val="0"/>
          <w:color w:val="222222"/>
          <w:sz w:val="40"/>
          <w:szCs w:val="40"/>
          <w:lang w:val="en-GB"/>
        </w:rPr>
      </w:pPr>
      <w:r w:rsidRPr="1E4AC481" w:rsidR="1E4AC481">
        <w:rPr>
          <w:rFonts w:ascii="Arial" w:hAnsi="Arial" w:eastAsia="Arial" w:cs="Arial"/>
          <w:b w:val="1"/>
          <w:bCs w:val="1"/>
          <w:noProof w:val="0"/>
          <w:color w:val="222222"/>
          <w:sz w:val="40"/>
          <w:szCs w:val="40"/>
          <w:lang w:val="en-GB"/>
        </w:rPr>
        <w:t>Unjumbled reference list</w:t>
      </w:r>
    </w:p>
    <w:p w:rsidR="1E4AC481" w:rsidP="1E4AC481" w:rsidRDefault="1E4AC481" w14:paraId="4462E666" w14:textId="528F32C4">
      <w:pPr>
        <w:pStyle w:val="Normal"/>
        <w:rPr>
          <w:rFonts w:ascii="Arial" w:hAnsi="Arial" w:eastAsia="Arial" w:cs="Arial"/>
          <w:noProof w:val="0"/>
          <w:color w:val="222222"/>
          <w:sz w:val="19"/>
          <w:szCs w:val="19"/>
          <w:lang w:val="en-GB"/>
        </w:rPr>
      </w:pPr>
    </w:p>
    <w:p w:rsidR="1E4AC481" w:rsidP="1E4AC481" w:rsidRDefault="1E4AC481" w14:paraId="39A22FF8" w14:textId="7FBFB1CB">
      <w:pPr>
        <w:pStyle w:val="Normal"/>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Bennett, P. (2011). </w:t>
      </w:r>
      <w:r w:rsidRPr="1E4AC481" w:rsidR="1E4AC481">
        <w:rPr>
          <w:rFonts w:ascii="Arial" w:hAnsi="Arial" w:eastAsia="Arial" w:cs="Arial"/>
          <w:i w:val="1"/>
          <w:iCs w:val="1"/>
          <w:noProof w:val="0"/>
          <w:color w:val="222222"/>
          <w:sz w:val="19"/>
          <w:szCs w:val="19"/>
          <w:lang w:val="en-GB"/>
        </w:rPr>
        <w:t>Abnormal and clinical psychology: An introductory textbook</w:t>
      </w:r>
      <w:r w:rsidRPr="1E4AC481" w:rsidR="1E4AC481">
        <w:rPr>
          <w:rFonts w:ascii="Arial" w:hAnsi="Arial" w:eastAsia="Arial" w:cs="Arial"/>
          <w:noProof w:val="0"/>
          <w:color w:val="222222"/>
          <w:sz w:val="19"/>
          <w:szCs w:val="19"/>
          <w:lang w:val="en-GB"/>
        </w:rPr>
        <w:t>. McGraw-Hill Education (UK).</w:t>
      </w:r>
    </w:p>
    <w:p w:rsidR="1E4AC481" w:rsidP="1E4AC481" w:rsidRDefault="1E4AC481" w14:paraId="2CCC90BA" w14:textId="4E1A91F2">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Chakkalackal, L., Kandola, A., Tracy, D. (2017). Mental Health Foundation (Audio Podcast):</w:t>
      </w:r>
      <w:r w:rsidRPr="1E4AC481" w:rsidR="1E4AC481">
        <w:rPr>
          <w:rFonts w:ascii="Arial" w:hAnsi="Arial" w:eastAsia="Arial" w:cs="Arial"/>
          <w:i w:val="1"/>
          <w:iCs w:val="1"/>
          <w:noProof w:val="0"/>
          <w:color w:val="222222"/>
          <w:sz w:val="19"/>
          <w:szCs w:val="19"/>
          <w:lang w:val="en-GB"/>
        </w:rPr>
        <w:t xml:space="preserve"> Computerised Cognitive Behavioural Therapy.</w:t>
      </w:r>
      <w:r w:rsidRPr="1E4AC481" w:rsidR="1E4AC481">
        <w:rPr>
          <w:rFonts w:ascii="Arial" w:hAnsi="Arial" w:eastAsia="Arial" w:cs="Arial"/>
          <w:noProof w:val="0"/>
          <w:color w:val="222222"/>
          <w:sz w:val="19"/>
          <w:szCs w:val="19"/>
          <w:lang w:val="en-GB"/>
        </w:rPr>
        <w:t xml:space="preserve"> </w:t>
      </w:r>
      <w:hyperlink r:id="R199b035a6c054df5">
        <w:r w:rsidRPr="1E4AC481" w:rsidR="1E4AC481">
          <w:rPr>
            <w:rStyle w:val="Hyperlink"/>
            <w:rFonts w:ascii="Arial" w:hAnsi="Arial" w:eastAsia="Arial" w:cs="Arial"/>
            <w:noProof w:val="0"/>
            <w:color w:val="222222"/>
            <w:sz w:val="19"/>
            <w:szCs w:val="19"/>
            <w:u w:val="single"/>
            <w:lang w:val="en-GB"/>
          </w:rPr>
          <w:t>http://www.mentalhealth.org.uk/podcastsand-videos/computerised-cognitivebehavioural-therapy</w:t>
        </w:r>
      </w:hyperlink>
    </w:p>
    <w:p w:rsidR="1E4AC481" w:rsidP="1E4AC481" w:rsidRDefault="1E4AC481" w14:paraId="496C4FAB" w14:textId="3D29C4D3">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Davey, G. (2014). Psychopathology: Research. </w:t>
      </w:r>
      <w:r w:rsidRPr="1E4AC481" w:rsidR="1E4AC481">
        <w:rPr>
          <w:rFonts w:ascii="Arial" w:hAnsi="Arial" w:eastAsia="Arial" w:cs="Arial"/>
          <w:i w:val="1"/>
          <w:iCs w:val="1"/>
          <w:noProof w:val="0"/>
          <w:color w:val="222222"/>
          <w:sz w:val="19"/>
          <w:szCs w:val="19"/>
          <w:lang w:val="en-GB"/>
        </w:rPr>
        <w:t>Assessment and Treatment in Clinical Psychology</w:t>
      </w:r>
      <w:r w:rsidRPr="1E4AC481" w:rsidR="1E4AC481">
        <w:rPr>
          <w:rFonts w:ascii="Arial" w:hAnsi="Arial" w:eastAsia="Arial" w:cs="Arial"/>
          <w:noProof w:val="0"/>
          <w:color w:val="222222"/>
          <w:sz w:val="19"/>
          <w:szCs w:val="19"/>
          <w:lang w:val="en-GB"/>
        </w:rPr>
        <w:t>.</w:t>
      </w:r>
    </w:p>
    <w:p w:rsidR="1E4AC481" w:rsidP="1E4AC481" w:rsidRDefault="1E4AC481" w14:paraId="2EA9B695" w14:textId="0033B29F">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Davies, H. (2017). The Well-being of Future Generations (Wales) Act 2015—A Step Change in the Legal Protection of the Interests of Future Generations?. </w:t>
      </w:r>
      <w:r w:rsidRPr="1E4AC481" w:rsidR="1E4AC481">
        <w:rPr>
          <w:rFonts w:ascii="Arial" w:hAnsi="Arial" w:eastAsia="Arial" w:cs="Arial"/>
          <w:i w:val="1"/>
          <w:iCs w:val="1"/>
          <w:noProof w:val="0"/>
          <w:color w:val="222222"/>
          <w:sz w:val="19"/>
          <w:szCs w:val="19"/>
          <w:lang w:val="en-GB"/>
        </w:rPr>
        <w:t>Journal of Environmental Law</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29</w:t>
      </w:r>
      <w:r w:rsidRPr="1E4AC481" w:rsidR="1E4AC481">
        <w:rPr>
          <w:rFonts w:ascii="Arial" w:hAnsi="Arial" w:eastAsia="Arial" w:cs="Arial"/>
          <w:noProof w:val="0"/>
          <w:color w:val="222222"/>
          <w:sz w:val="19"/>
          <w:szCs w:val="19"/>
          <w:lang w:val="en-GB"/>
        </w:rPr>
        <w:t>(1), 165-175.</w:t>
      </w:r>
    </w:p>
    <w:p w:rsidR="1E4AC481" w:rsidP="1E4AC481" w:rsidRDefault="1E4AC481" w14:paraId="2A4A6C6A" w14:textId="7F42E7C1">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Evans, L., Mitchell, I., &amp; Jones, S. (2006). Psychological responses to sport injury: A review of current research. </w:t>
      </w:r>
      <w:r w:rsidRPr="1E4AC481" w:rsidR="1E4AC481">
        <w:rPr>
          <w:rFonts w:ascii="Arial" w:hAnsi="Arial" w:eastAsia="Arial" w:cs="Arial"/>
          <w:i w:val="1"/>
          <w:iCs w:val="1"/>
          <w:noProof w:val="0"/>
          <w:color w:val="222222"/>
          <w:sz w:val="19"/>
          <w:szCs w:val="19"/>
          <w:lang w:val="en-GB"/>
        </w:rPr>
        <w:t>Literature reviews in sport psychology</w:t>
      </w:r>
      <w:r w:rsidRPr="1E4AC481" w:rsidR="1E4AC481">
        <w:rPr>
          <w:rFonts w:ascii="Arial" w:hAnsi="Arial" w:eastAsia="Arial" w:cs="Arial"/>
          <w:noProof w:val="0"/>
          <w:color w:val="222222"/>
          <w:sz w:val="19"/>
          <w:szCs w:val="19"/>
          <w:lang w:val="en-GB"/>
        </w:rPr>
        <w:t>, 289-319.</w:t>
      </w:r>
    </w:p>
    <w:p w:rsidR="1E4AC481" w:rsidP="1E4AC481" w:rsidRDefault="1E4AC481" w14:paraId="6A70D58A" w14:textId="350EB866">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Geekie, J., &amp; Read, J. (2009). </w:t>
      </w:r>
      <w:r w:rsidRPr="1E4AC481" w:rsidR="1E4AC481">
        <w:rPr>
          <w:rFonts w:ascii="Arial" w:hAnsi="Arial" w:eastAsia="Arial" w:cs="Arial"/>
          <w:i w:val="1"/>
          <w:iCs w:val="1"/>
          <w:noProof w:val="0"/>
          <w:color w:val="222222"/>
          <w:sz w:val="19"/>
          <w:szCs w:val="19"/>
          <w:lang w:val="en-GB"/>
        </w:rPr>
        <w:t>Making sense of madness: Contesting the meaning of schizophrenia</w:t>
      </w:r>
      <w:r w:rsidRPr="1E4AC481" w:rsidR="1E4AC481">
        <w:rPr>
          <w:rFonts w:ascii="Arial" w:hAnsi="Arial" w:eastAsia="Arial" w:cs="Arial"/>
          <w:noProof w:val="0"/>
          <w:color w:val="222222"/>
          <w:sz w:val="19"/>
          <w:szCs w:val="19"/>
          <w:lang w:val="en-GB"/>
        </w:rPr>
        <w:t>. Routledge.</w:t>
      </w:r>
    </w:p>
    <w:p w:rsidR="1E4AC481" w:rsidP="1E4AC481" w:rsidRDefault="1E4AC481" w14:paraId="4F997996" w14:textId="4CE9AAF7">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Hefferon, K., &amp; Boniwell, I. (2011). </w:t>
      </w:r>
      <w:r w:rsidRPr="1E4AC481" w:rsidR="1E4AC481">
        <w:rPr>
          <w:rFonts w:ascii="Arial" w:hAnsi="Arial" w:eastAsia="Arial" w:cs="Arial"/>
          <w:i w:val="1"/>
          <w:iCs w:val="1"/>
          <w:noProof w:val="0"/>
          <w:color w:val="222222"/>
          <w:sz w:val="19"/>
          <w:szCs w:val="19"/>
          <w:lang w:val="en-GB"/>
        </w:rPr>
        <w:t>Positive psychology: Theory, research and applications</w:t>
      </w:r>
      <w:r w:rsidRPr="1E4AC481" w:rsidR="1E4AC481">
        <w:rPr>
          <w:rFonts w:ascii="Arial" w:hAnsi="Arial" w:eastAsia="Arial" w:cs="Arial"/>
          <w:noProof w:val="0"/>
          <w:color w:val="222222"/>
          <w:sz w:val="19"/>
          <w:szCs w:val="19"/>
          <w:lang w:val="en-GB"/>
        </w:rPr>
        <w:t>. McGraw-Hill Education (UK).</w:t>
      </w:r>
    </w:p>
    <w:p w:rsidR="1E4AC481" w:rsidP="1E4AC481" w:rsidRDefault="1E4AC481" w14:paraId="36CAA731" w14:textId="4DEDA59E">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Hill, E. M. (2016). The role of narcissism in health-risk and health-protective behaviors. </w:t>
      </w:r>
      <w:r w:rsidRPr="1E4AC481" w:rsidR="1E4AC481">
        <w:rPr>
          <w:rFonts w:ascii="Arial" w:hAnsi="Arial" w:eastAsia="Arial" w:cs="Arial"/>
          <w:i w:val="1"/>
          <w:iCs w:val="1"/>
          <w:noProof w:val="0"/>
          <w:color w:val="222222"/>
          <w:sz w:val="19"/>
          <w:szCs w:val="19"/>
          <w:lang w:val="en-GB"/>
        </w:rPr>
        <w:t>Journal of health psychology</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21</w:t>
      </w:r>
      <w:r w:rsidRPr="1E4AC481" w:rsidR="1E4AC481">
        <w:rPr>
          <w:rFonts w:ascii="Arial" w:hAnsi="Arial" w:eastAsia="Arial" w:cs="Arial"/>
          <w:noProof w:val="0"/>
          <w:color w:val="222222"/>
          <w:sz w:val="19"/>
          <w:szCs w:val="19"/>
          <w:lang w:val="en-GB"/>
        </w:rPr>
        <w:t xml:space="preserve">(9), 2021-2032. </w:t>
      </w:r>
    </w:p>
    <w:p w:rsidR="1E4AC481" w:rsidP="1E4AC481" w:rsidRDefault="1E4AC481" w14:paraId="2A6170E3" w14:textId="7F50AFD7">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Mazzetti, G., Schaufeli, W. B., &amp; Guglielmi, D. (2014). Are workaholics born or made? Relations of workaholism with person characteristics and overwork climate. </w:t>
      </w:r>
      <w:r w:rsidRPr="1E4AC481" w:rsidR="1E4AC481">
        <w:rPr>
          <w:rFonts w:ascii="Arial" w:hAnsi="Arial" w:eastAsia="Arial" w:cs="Arial"/>
          <w:i w:val="1"/>
          <w:iCs w:val="1"/>
          <w:noProof w:val="0"/>
          <w:color w:val="222222"/>
          <w:sz w:val="19"/>
          <w:szCs w:val="19"/>
          <w:lang w:val="en-GB"/>
        </w:rPr>
        <w:t>International Journal of Stress Management</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21</w:t>
      </w:r>
      <w:r w:rsidRPr="1E4AC481" w:rsidR="1E4AC481">
        <w:rPr>
          <w:rFonts w:ascii="Arial" w:hAnsi="Arial" w:eastAsia="Arial" w:cs="Arial"/>
          <w:noProof w:val="0"/>
          <w:color w:val="222222"/>
          <w:sz w:val="19"/>
          <w:szCs w:val="19"/>
          <w:lang w:val="en-GB"/>
        </w:rPr>
        <w:t>(3), 227.</w:t>
      </w:r>
    </w:p>
    <w:p w:rsidR="1E4AC481" w:rsidP="1E4AC481" w:rsidRDefault="1E4AC481" w14:paraId="28A9E81A" w14:textId="65F0F82B">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Mohamed, S. (2011). </w:t>
      </w:r>
      <w:r w:rsidRPr="1E4AC481" w:rsidR="1E4AC481">
        <w:rPr>
          <w:rFonts w:ascii="Arial" w:hAnsi="Arial" w:eastAsia="Arial" w:cs="Arial"/>
          <w:i w:val="1"/>
          <w:iCs w:val="1"/>
          <w:noProof w:val="0"/>
          <w:color w:val="222222"/>
          <w:sz w:val="19"/>
          <w:szCs w:val="19"/>
          <w:lang w:val="en-GB"/>
        </w:rPr>
        <w:t>Stigma and mental illness: are there cultural differences?</w:t>
      </w:r>
      <w:r w:rsidRPr="1E4AC481" w:rsidR="1E4AC481">
        <w:rPr>
          <w:rFonts w:ascii="Arial" w:hAnsi="Arial" w:eastAsia="Arial" w:cs="Arial"/>
          <w:noProof w:val="0"/>
          <w:color w:val="222222"/>
          <w:sz w:val="19"/>
          <w:szCs w:val="19"/>
          <w:lang w:val="en-GB"/>
        </w:rPr>
        <w:t xml:space="preserve"> (Doctoral dissertation, University of East Anglia).</w:t>
      </w:r>
    </w:p>
    <w:p w:rsidR="1E4AC481" w:rsidP="1E4AC481" w:rsidRDefault="1E4AC481" w14:paraId="468A12E8" w14:textId="06C725D8">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Office for National Statistics. (2017). Adult drinking habits in Great Britain: 2005 to 2016. </w:t>
      </w:r>
      <w:r w:rsidRPr="1E4AC481" w:rsidR="1E4AC481">
        <w:rPr>
          <w:rFonts w:ascii="Arial" w:hAnsi="Arial" w:eastAsia="Arial" w:cs="Arial"/>
          <w:i w:val="1"/>
          <w:iCs w:val="1"/>
          <w:noProof w:val="0"/>
          <w:color w:val="222222"/>
          <w:sz w:val="19"/>
          <w:szCs w:val="19"/>
          <w:lang w:val="en-GB"/>
        </w:rPr>
        <w:t>OFFICE FOR NATIONAL STATISTICS</w:t>
      </w:r>
      <w:r w:rsidRPr="1E4AC481" w:rsidR="1E4AC481">
        <w:rPr>
          <w:rFonts w:ascii="Arial" w:hAnsi="Arial" w:eastAsia="Arial" w:cs="Arial"/>
          <w:noProof w:val="0"/>
          <w:color w:val="222222"/>
          <w:sz w:val="19"/>
          <w:szCs w:val="19"/>
          <w:lang w:val="en-GB"/>
        </w:rPr>
        <w:t>.</w:t>
      </w:r>
    </w:p>
    <w:p w:rsidR="1E4AC481" w:rsidP="1E4AC481" w:rsidRDefault="1E4AC481" w14:paraId="1F80805B" w14:textId="3AA69176">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Phelps, C., Minou, M., Baker, A., Hughes, C., French, H., Hawkins, W., ... &amp; Hutchings, P. B. (2017). Necessary but not sufficient? Engaging young people in the development of an avatar‐based online intervention designed to provide psychosocial support to young people affected by their own or a family member's cancer diagnosis. </w:t>
      </w:r>
      <w:r w:rsidRPr="1E4AC481" w:rsidR="1E4AC481">
        <w:rPr>
          <w:rFonts w:ascii="Arial" w:hAnsi="Arial" w:eastAsia="Arial" w:cs="Arial"/>
          <w:i w:val="1"/>
          <w:iCs w:val="1"/>
          <w:noProof w:val="0"/>
          <w:color w:val="222222"/>
          <w:sz w:val="19"/>
          <w:szCs w:val="19"/>
          <w:lang w:val="en-GB"/>
        </w:rPr>
        <w:t>Health Expectations</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20</w:t>
      </w:r>
      <w:r w:rsidRPr="1E4AC481" w:rsidR="1E4AC481">
        <w:rPr>
          <w:rFonts w:ascii="Arial" w:hAnsi="Arial" w:eastAsia="Arial" w:cs="Arial"/>
          <w:noProof w:val="0"/>
          <w:color w:val="222222"/>
          <w:sz w:val="19"/>
          <w:szCs w:val="19"/>
          <w:lang w:val="en-GB"/>
        </w:rPr>
        <w:t>(3), 459-470.</w:t>
      </w:r>
    </w:p>
    <w:p w:rsidR="1E4AC481" w:rsidP="1E4AC481" w:rsidRDefault="1E4AC481" w14:paraId="15E333F0" w14:textId="5210FFC7">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Tarrier, N., Liversidge, T., &amp; Gregg, L. (2006). The acceptability and preference for the psychological treatment of PTSD. </w:t>
      </w:r>
      <w:r w:rsidRPr="1E4AC481" w:rsidR="1E4AC481">
        <w:rPr>
          <w:rFonts w:ascii="Arial" w:hAnsi="Arial" w:eastAsia="Arial" w:cs="Arial"/>
          <w:i w:val="1"/>
          <w:iCs w:val="1"/>
          <w:noProof w:val="0"/>
          <w:color w:val="222222"/>
          <w:sz w:val="19"/>
          <w:szCs w:val="19"/>
          <w:lang w:val="en-GB"/>
        </w:rPr>
        <w:t>Behaviour Research and Therapy</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44</w:t>
      </w:r>
      <w:r w:rsidRPr="1E4AC481" w:rsidR="1E4AC481">
        <w:rPr>
          <w:rFonts w:ascii="Arial" w:hAnsi="Arial" w:eastAsia="Arial" w:cs="Arial"/>
          <w:noProof w:val="0"/>
          <w:color w:val="222222"/>
          <w:sz w:val="19"/>
          <w:szCs w:val="19"/>
          <w:lang w:val="en-GB"/>
        </w:rPr>
        <w:t>(11), 1643-1656.</w:t>
      </w:r>
    </w:p>
    <w:p w:rsidR="1E4AC481" w:rsidP="1E4AC481" w:rsidRDefault="1E4AC481" w14:paraId="40910D1B" w14:textId="345CCFD9">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Ulleberg, P., &amp; Rundmo, T. (2003). Personality, attitudes and risk perception as predictors of risky driving behaviour among young drivers. </w:t>
      </w:r>
      <w:r w:rsidRPr="1E4AC481" w:rsidR="1E4AC481">
        <w:rPr>
          <w:rFonts w:ascii="Arial" w:hAnsi="Arial" w:eastAsia="Arial" w:cs="Arial"/>
          <w:i w:val="1"/>
          <w:iCs w:val="1"/>
          <w:noProof w:val="0"/>
          <w:color w:val="222222"/>
          <w:sz w:val="19"/>
          <w:szCs w:val="19"/>
          <w:lang w:val="en-GB"/>
        </w:rPr>
        <w:t>Safety science</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41</w:t>
      </w:r>
      <w:r w:rsidRPr="1E4AC481" w:rsidR="1E4AC481">
        <w:rPr>
          <w:rFonts w:ascii="Arial" w:hAnsi="Arial" w:eastAsia="Arial" w:cs="Arial"/>
          <w:noProof w:val="0"/>
          <w:color w:val="222222"/>
          <w:sz w:val="19"/>
          <w:szCs w:val="19"/>
          <w:lang w:val="en-GB"/>
        </w:rPr>
        <w:t>(5), 427-443.</w:t>
      </w:r>
    </w:p>
    <w:p w:rsidR="1E4AC481" w:rsidP="1E4AC481" w:rsidRDefault="1E4AC481" w14:paraId="482C4BF2" w14:textId="24B36B74">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Van Hasselt, V. B., Romano, S. J., &amp; Vecchi, G. M. (2008). Role playing: Applications in hostage and crisis negotiation skills training. </w:t>
      </w:r>
      <w:r w:rsidRPr="1E4AC481" w:rsidR="1E4AC481">
        <w:rPr>
          <w:rFonts w:ascii="Arial" w:hAnsi="Arial" w:eastAsia="Arial" w:cs="Arial"/>
          <w:i w:val="1"/>
          <w:iCs w:val="1"/>
          <w:noProof w:val="0"/>
          <w:color w:val="222222"/>
          <w:sz w:val="19"/>
          <w:szCs w:val="19"/>
          <w:lang w:val="en-GB"/>
        </w:rPr>
        <w:t>Behavior modification</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32</w:t>
      </w:r>
      <w:r w:rsidRPr="1E4AC481" w:rsidR="1E4AC481">
        <w:rPr>
          <w:rFonts w:ascii="Arial" w:hAnsi="Arial" w:eastAsia="Arial" w:cs="Arial"/>
          <w:noProof w:val="0"/>
          <w:color w:val="222222"/>
          <w:sz w:val="19"/>
          <w:szCs w:val="19"/>
          <w:lang w:val="en-GB"/>
        </w:rPr>
        <w:t>(2), 248-263.</w:t>
      </w:r>
    </w:p>
    <w:p w:rsidR="1E4AC481" w:rsidP="1E4AC481" w:rsidRDefault="1E4AC481" w14:paraId="7F0D69EA" w14:textId="7681B1FE">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Vartanian, L. R., Trewartha, T., &amp; Vanman, E. J. (2016). Disgust predicts prejudice and discrimination toward individuals with obesity. </w:t>
      </w:r>
      <w:r w:rsidRPr="1E4AC481" w:rsidR="1E4AC481">
        <w:rPr>
          <w:rFonts w:ascii="Arial" w:hAnsi="Arial" w:eastAsia="Arial" w:cs="Arial"/>
          <w:i w:val="1"/>
          <w:iCs w:val="1"/>
          <w:noProof w:val="0"/>
          <w:color w:val="222222"/>
          <w:sz w:val="19"/>
          <w:szCs w:val="19"/>
          <w:lang w:val="en-GB"/>
        </w:rPr>
        <w:t>Journal of Applied Social Psychology</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46</w:t>
      </w:r>
      <w:r w:rsidRPr="1E4AC481" w:rsidR="1E4AC481">
        <w:rPr>
          <w:rFonts w:ascii="Arial" w:hAnsi="Arial" w:eastAsia="Arial" w:cs="Arial"/>
          <w:noProof w:val="0"/>
          <w:color w:val="222222"/>
          <w:sz w:val="19"/>
          <w:szCs w:val="19"/>
          <w:lang w:val="en-GB"/>
        </w:rPr>
        <w:t>(6), 369-375.</w:t>
      </w:r>
    </w:p>
    <w:p w:rsidR="1E4AC481" w:rsidP="1E4AC481" w:rsidRDefault="1E4AC481" w14:paraId="6D225417" w14:textId="4ECFAD3B">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Voigt, D. C., Dillard, J. P., Braddock, K. H., Anderson, J. W., Sopory, P., &amp; Stephenson, M. T. (2009). BIS/BAS scales and their relationship to risky health behaviours. </w:t>
      </w:r>
      <w:r w:rsidRPr="1E4AC481" w:rsidR="1E4AC481">
        <w:rPr>
          <w:rFonts w:ascii="Arial" w:hAnsi="Arial" w:eastAsia="Arial" w:cs="Arial"/>
          <w:i w:val="1"/>
          <w:iCs w:val="1"/>
          <w:noProof w:val="0"/>
          <w:color w:val="222222"/>
          <w:sz w:val="19"/>
          <w:szCs w:val="19"/>
          <w:lang w:val="en-GB"/>
        </w:rPr>
        <w:t>Personality and Individual Differences</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47</w:t>
      </w:r>
      <w:r w:rsidRPr="1E4AC481" w:rsidR="1E4AC481">
        <w:rPr>
          <w:rFonts w:ascii="Arial" w:hAnsi="Arial" w:eastAsia="Arial" w:cs="Arial"/>
          <w:noProof w:val="0"/>
          <w:color w:val="222222"/>
          <w:sz w:val="19"/>
          <w:szCs w:val="19"/>
          <w:lang w:val="en-GB"/>
        </w:rPr>
        <w:t>(2), 89-93.</w:t>
      </w:r>
    </w:p>
    <w:p w:rsidR="1E4AC481" w:rsidP="1E4AC481" w:rsidRDefault="1E4AC481" w14:paraId="280EBBDB" w14:textId="5D0E06CE">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Wacker, R., Bölte, S., &amp; Dziobek, I. (2017). Women know better what other women think and feel: Gender effects on mindreading across the adult life span. </w:t>
      </w:r>
      <w:r w:rsidRPr="1E4AC481" w:rsidR="1E4AC481">
        <w:rPr>
          <w:rFonts w:ascii="Arial" w:hAnsi="Arial" w:eastAsia="Arial" w:cs="Arial"/>
          <w:i w:val="1"/>
          <w:iCs w:val="1"/>
          <w:noProof w:val="0"/>
          <w:color w:val="222222"/>
          <w:sz w:val="19"/>
          <w:szCs w:val="19"/>
          <w:lang w:val="en-GB"/>
        </w:rPr>
        <w:t>Frontiers in psychology</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8</w:t>
      </w:r>
      <w:r w:rsidRPr="1E4AC481" w:rsidR="1E4AC481">
        <w:rPr>
          <w:rFonts w:ascii="Arial" w:hAnsi="Arial" w:eastAsia="Arial" w:cs="Arial"/>
          <w:noProof w:val="0"/>
          <w:color w:val="222222"/>
          <w:sz w:val="19"/>
          <w:szCs w:val="19"/>
          <w:lang w:val="en-GB"/>
        </w:rPr>
        <w:t>, 1324.</w:t>
      </w:r>
    </w:p>
    <w:p w:rsidR="1E4AC481" w:rsidP="1E4AC481" w:rsidRDefault="1E4AC481" w14:paraId="2563DE2F" w14:textId="0C84A35F">
      <w:pPr>
        <w:spacing w:after="160" w:line="259" w:lineRule="auto"/>
        <w:rPr>
          <w:rFonts w:ascii="Arial" w:hAnsi="Arial" w:eastAsia="Arial" w:cs="Arial"/>
          <w:noProof w:val="0"/>
          <w:sz w:val="19"/>
          <w:szCs w:val="19"/>
          <w:lang w:val="en-GB"/>
        </w:rPr>
      </w:pPr>
      <w:r w:rsidRPr="1E4AC481" w:rsidR="1E4AC481">
        <w:rPr>
          <w:rFonts w:ascii="Arial" w:hAnsi="Arial" w:eastAsia="Arial" w:cs="Arial"/>
          <w:noProof w:val="0"/>
          <w:color w:val="222222"/>
          <w:sz w:val="19"/>
          <w:szCs w:val="19"/>
          <w:lang w:val="en-GB"/>
        </w:rPr>
        <w:t xml:space="preserve">Williamson, H., Hamlet, C., White, P., Marques, E. M., Cadogan, J., Perera, R., ... &amp; Harcourt, D. (2016). Study protocol of the YP Face IT feasibility study: comparing an online psychosocial intervention versus treatment as usual for adolescents distressed by appearance-altering conditions/injuries. </w:t>
      </w:r>
      <w:r w:rsidRPr="1E4AC481" w:rsidR="1E4AC481">
        <w:rPr>
          <w:rFonts w:ascii="Arial" w:hAnsi="Arial" w:eastAsia="Arial" w:cs="Arial"/>
          <w:i w:val="1"/>
          <w:iCs w:val="1"/>
          <w:noProof w:val="0"/>
          <w:color w:val="222222"/>
          <w:sz w:val="19"/>
          <w:szCs w:val="19"/>
          <w:lang w:val="en-GB"/>
        </w:rPr>
        <w:t>BMJ open</w:t>
      </w:r>
      <w:r w:rsidRPr="1E4AC481" w:rsidR="1E4AC481">
        <w:rPr>
          <w:rFonts w:ascii="Arial" w:hAnsi="Arial" w:eastAsia="Arial" w:cs="Arial"/>
          <w:noProof w:val="0"/>
          <w:color w:val="222222"/>
          <w:sz w:val="19"/>
          <w:szCs w:val="19"/>
          <w:lang w:val="en-GB"/>
        </w:rPr>
        <w:t xml:space="preserve">, </w:t>
      </w:r>
      <w:r w:rsidRPr="1E4AC481" w:rsidR="1E4AC481">
        <w:rPr>
          <w:rFonts w:ascii="Arial" w:hAnsi="Arial" w:eastAsia="Arial" w:cs="Arial"/>
          <w:i w:val="1"/>
          <w:iCs w:val="1"/>
          <w:noProof w:val="0"/>
          <w:color w:val="222222"/>
          <w:sz w:val="19"/>
          <w:szCs w:val="19"/>
          <w:lang w:val="en-GB"/>
        </w:rPr>
        <w:t>6</w:t>
      </w:r>
      <w:r w:rsidRPr="1E4AC481" w:rsidR="1E4AC481">
        <w:rPr>
          <w:rFonts w:ascii="Arial" w:hAnsi="Arial" w:eastAsia="Arial" w:cs="Arial"/>
          <w:noProof w:val="0"/>
          <w:color w:val="222222"/>
          <w:sz w:val="19"/>
          <w:szCs w:val="19"/>
          <w:lang w:val="en-GB"/>
        </w:rPr>
        <w:t>(10), e012423.</w:t>
      </w:r>
    </w:p>
    <w:p w:rsidR="1E4AC481" w:rsidP="1E4AC481" w:rsidRDefault="1E4AC481" w14:paraId="06596189" w14:textId="49D2783B">
      <w:pPr>
        <w:pStyle w:val="Normal"/>
        <w:rPr>
          <w:rFonts w:ascii="Times New Roman" w:hAnsi="Times New Roman" w:eastAsia="Times New Roman" w:cs="Times New Roman"/>
          <w:noProof w:val="0"/>
          <w:sz w:val="24"/>
          <w:szCs w:val="24"/>
          <w:lang w:val="en-GB"/>
        </w:rPr>
      </w:pPr>
    </w:p>
    <w:sectPr w:rsidRPr="00D05CB0" w:rsidR="00BE5A4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0C5"/>
    <w:rsid w:val="00024B10"/>
    <w:rsid w:val="00051D27"/>
    <w:rsid w:val="000525D0"/>
    <w:rsid w:val="00086F7F"/>
    <w:rsid w:val="000902B8"/>
    <w:rsid w:val="000A7A9E"/>
    <w:rsid w:val="000B3C0C"/>
    <w:rsid w:val="000B4B69"/>
    <w:rsid w:val="000C2229"/>
    <w:rsid w:val="000D58AD"/>
    <w:rsid w:val="000D67D5"/>
    <w:rsid w:val="000F0CA5"/>
    <w:rsid w:val="00113104"/>
    <w:rsid w:val="001320D2"/>
    <w:rsid w:val="001331A3"/>
    <w:rsid w:val="00162B53"/>
    <w:rsid w:val="00172C9B"/>
    <w:rsid w:val="001A317B"/>
    <w:rsid w:val="001A441C"/>
    <w:rsid w:val="001C25F5"/>
    <w:rsid w:val="001D1E5D"/>
    <w:rsid w:val="001D7340"/>
    <w:rsid w:val="001E068A"/>
    <w:rsid w:val="001F536F"/>
    <w:rsid w:val="001F6F0A"/>
    <w:rsid w:val="002013A2"/>
    <w:rsid w:val="00201F03"/>
    <w:rsid w:val="00217C90"/>
    <w:rsid w:val="002277A3"/>
    <w:rsid w:val="0024141F"/>
    <w:rsid w:val="00251E9F"/>
    <w:rsid w:val="00263FB3"/>
    <w:rsid w:val="002959D5"/>
    <w:rsid w:val="002A0AA0"/>
    <w:rsid w:val="002A3FEF"/>
    <w:rsid w:val="002F1240"/>
    <w:rsid w:val="002F49A7"/>
    <w:rsid w:val="0030612B"/>
    <w:rsid w:val="003229B4"/>
    <w:rsid w:val="003518B8"/>
    <w:rsid w:val="00383917"/>
    <w:rsid w:val="00386E7B"/>
    <w:rsid w:val="003A27B5"/>
    <w:rsid w:val="003D5AA6"/>
    <w:rsid w:val="004020D4"/>
    <w:rsid w:val="0043391E"/>
    <w:rsid w:val="00437328"/>
    <w:rsid w:val="00437C09"/>
    <w:rsid w:val="00471565"/>
    <w:rsid w:val="004770DA"/>
    <w:rsid w:val="004A29DD"/>
    <w:rsid w:val="004B127F"/>
    <w:rsid w:val="004B4A28"/>
    <w:rsid w:val="004E0312"/>
    <w:rsid w:val="005315EB"/>
    <w:rsid w:val="00543BC2"/>
    <w:rsid w:val="0057073B"/>
    <w:rsid w:val="00570C0D"/>
    <w:rsid w:val="00593205"/>
    <w:rsid w:val="005B74F7"/>
    <w:rsid w:val="005C5F7A"/>
    <w:rsid w:val="005D6D31"/>
    <w:rsid w:val="005E41FC"/>
    <w:rsid w:val="005F21E0"/>
    <w:rsid w:val="005F74DA"/>
    <w:rsid w:val="0060370B"/>
    <w:rsid w:val="0061177F"/>
    <w:rsid w:val="00627F9A"/>
    <w:rsid w:val="00644794"/>
    <w:rsid w:val="00650FB7"/>
    <w:rsid w:val="00654AB4"/>
    <w:rsid w:val="006620C5"/>
    <w:rsid w:val="00663C73"/>
    <w:rsid w:val="00666340"/>
    <w:rsid w:val="00682869"/>
    <w:rsid w:val="00686666"/>
    <w:rsid w:val="006953E8"/>
    <w:rsid w:val="006B56A0"/>
    <w:rsid w:val="006D1350"/>
    <w:rsid w:val="00715E90"/>
    <w:rsid w:val="00721C7C"/>
    <w:rsid w:val="00745129"/>
    <w:rsid w:val="00761D25"/>
    <w:rsid w:val="00794475"/>
    <w:rsid w:val="007B6342"/>
    <w:rsid w:val="007D42E0"/>
    <w:rsid w:val="007F6B1F"/>
    <w:rsid w:val="00800D0D"/>
    <w:rsid w:val="008067D9"/>
    <w:rsid w:val="008201CB"/>
    <w:rsid w:val="0083463F"/>
    <w:rsid w:val="00856154"/>
    <w:rsid w:val="008A06CC"/>
    <w:rsid w:val="008E6F70"/>
    <w:rsid w:val="008F1EBD"/>
    <w:rsid w:val="009063D0"/>
    <w:rsid w:val="009148F7"/>
    <w:rsid w:val="00920626"/>
    <w:rsid w:val="009458A3"/>
    <w:rsid w:val="00970E5F"/>
    <w:rsid w:val="00977EE6"/>
    <w:rsid w:val="009C6134"/>
    <w:rsid w:val="009D34E6"/>
    <w:rsid w:val="00A46FF6"/>
    <w:rsid w:val="00A516A6"/>
    <w:rsid w:val="00A666AB"/>
    <w:rsid w:val="00A70B19"/>
    <w:rsid w:val="00AA55AB"/>
    <w:rsid w:val="00AB09C1"/>
    <w:rsid w:val="00AF25C4"/>
    <w:rsid w:val="00B16B4D"/>
    <w:rsid w:val="00B30A70"/>
    <w:rsid w:val="00B333AF"/>
    <w:rsid w:val="00B61CE4"/>
    <w:rsid w:val="00B7792D"/>
    <w:rsid w:val="00B80BB3"/>
    <w:rsid w:val="00B901B6"/>
    <w:rsid w:val="00BA399D"/>
    <w:rsid w:val="00BB2EF9"/>
    <w:rsid w:val="00BB3895"/>
    <w:rsid w:val="00BC1311"/>
    <w:rsid w:val="00BC3490"/>
    <w:rsid w:val="00BD5184"/>
    <w:rsid w:val="00BE47AB"/>
    <w:rsid w:val="00BE5A4E"/>
    <w:rsid w:val="00C2512A"/>
    <w:rsid w:val="00C37B06"/>
    <w:rsid w:val="00CA01DA"/>
    <w:rsid w:val="00CC1256"/>
    <w:rsid w:val="00CF3C9A"/>
    <w:rsid w:val="00CF7E27"/>
    <w:rsid w:val="00D05CB0"/>
    <w:rsid w:val="00D3132E"/>
    <w:rsid w:val="00D510E0"/>
    <w:rsid w:val="00D54520"/>
    <w:rsid w:val="00D72324"/>
    <w:rsid w:val="00D94935"/>
    <w:rsid w:val="00D9635D"/>
    <w:rsid w:val="00DC1351"/>
    <w:rsid w:val="00DD6163"/>
    <w:rsid w:val="00DE194E"/>
    <w:rsid w:val="00DE39B1"/>
    <w:rsid w:val="00E26B4D"/>
    <w:rsid w:val="00E736BD"/>
    <w:rsid w:val="00EB50A1"/>
    <w:rsid w:val="00EB610E"/>
    <w:rsid w:val="00EC53C7"/>
    <w:rsid w:val="00ED2FFC"/>
    <w:rsid w:val="00F26C61"/>
    <w:rsid w:val="00F33766"/>
    <w:rsid w:val="00F434C3"/>
    <w:rsid w:val="00F451B6"/>
    <w:rsid w:val="00F45D29"/>
    <w:rsid w:val="00F53221"/>
    <w:rsid w:val="00F77993"/>
    <w:rsid w:val="00F837DC"/>
    <w:rsid w:val="00FA51CB"/>
    <w:rsid w:val="00FC1AF9"/>
    <w:rsid w:val="00FC2C73"/>
    <w:rsid w:val="00FD7CAF"/>
    <w:rsid w:val="1E4AC481"/>
    <w:rsid w:val="470D203D"/>
    <w:rsid w:val="5F4408F6"/>
    <w:rsid w:val="69DAC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EA30B"/>
  <w15:chartTrackingRefBased/>
  <w15:docId w15:val="{779CEBD8-E7FD-40A5-BA42-EBDBF4DA6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9458A3"/>
    <w:rPr>
      <w:color w:val="0563C1" w:themeColor="hyperlink"/>
      <w:u w:val="single"/>
    </w:rPr>
  </w:style>
  <w:style w:type="character" w:styleId="UnresolvedMention">
    <w:name w:val="Unresolved Mention"/>
    <w:basedOn w:val="DefaultParagraphFont"/>
    <w:uiPriority w:val="99"/>
    <w:semiHidden/>
    <w:unhideWhenUsed/>
    <w:rsid w:val="009458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hyperlink" Target="http://www.psychologytoday.com" TargetMode="External" Id="Re2ca83954e14480c" /><Relationship Type="http://schemas.openxmlformats.org/officeDocument/2006/relationships/hyperlink" Target="http://www.mentalhealth.org.uk/podcastsand-videos/computerised-cognitivebehavioural-therapy" TargetMode="External" Id="R199b035a6c054d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kizzie bagshaw-wray</dc:creator>
  <keywords/>
  <dc:description/>
  <lastModifiedBy>Anthony Morris (1909164)</lastModifiedBy>
  <revision>7</revision>
  <dcterms:created xsi:type="dcterms:W3CDTF">2019-10-09T15:16:00.0000000Z</dcterms:created>
  <dcterms:modified xsi:type="dcterms:W3CDTF">2019-11-08T14:53:20.5233083Z</dcterms:modified>
</coreProperties>
</file>