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DB64ED" w14:textId="77777777" w:rsidR="004538F6" w:rsidRDefault="004538F6" w:rsidP="004538F6">
      <w:pPr>
        <w:rPr>
          <w:lang w:val="en-US"/>
        </w:rPr>
      </w:pPr>
    </w:p>
    <w:p w14:paraId="67770B58" w14:textId="77777777" w:rsidR="004538F6" w:rsidRPr="004538F6" w:rsidRDefault="004538F6" w:rsidP="004538F6">
      <w:pPr>
        <w:rPr>
          <w:b/>
          <w:bCs/>
          <w:u w:val="single"/>
          <w:lang w:val="en-US"/>
        </w:rPr>
      </w:pPr>
      <w:r w:rsidRPr="004538F6">
        <w:rPr>
          <w:b/>
          <w:bCs/>
          <w:u w:val="single"/>
          <w:lang w:val="en-US"/>
        </w:rPr>
        <w:t xml:space="preserve">Personal reflection </w:t>
      </w:r>
    </w:p>
    <w:p w14:paraId="3DA6FFEF" w14:textId="154732DD" w:rsidR="004538F6" w:rsidRPr="004538F6" w:rsidRDefault="004538F6" w:rsidP="004538F6">
      <w:pPr>
        <w:spacing w:line="360" w:lineRule="auto"/>
        <w:rPr>
          <w:rFonts w:ascii="Calibri" w:hAnsi="Calibri" w:cs="Calibri"/>
          <w:sz w:val="24"/>
          <w:szCs w:val="24"/>
        </w:rPr>
      </w:pPr>
      <w:r w:rsidRPr="004538F6">
        <w:rPr>
          <w:rFonts w:ascii="Calibri" w:hAnsi="Calibri" w:cs="Calibri"/>
          <w:sz w:val="24"/>
          <w:szCs w:val="24"/>
          <w:lang w:val="en-US"/>
        </w:rPr>
        <w:t xml:space="preserve">During Safeguarding it is important to </w:t>
      </w:r>
      <w:proofErr w:type="spellStart"/>
      <w:r w:rsidRPr="004538F6">
        <w:rPr>
          <w:rFonts w:ascii="Calibri" w:hAnsi="Calibri" w:cs="Calibri"/>
          <w:sz w:val="24"/>
          <w:szCs w:val="24"/>
          <w:lang w:val="en-US"/>
        </w:rPr>
        <w:t>recognise</w:t>
      </w:r>
      <w:proofErr w:type="spellEnd"/>
      <w:r w:rsidRPr="004538F6">
        <w:rPr>
          <w:rFonts w:ascii="Calibri" w:hAnsi="Calibri" w:cs="Calibri"/>
          <w:sz w:val="24"/>
          <w:szCs w:val="24"/>
          <w:lang w:val="en-US"/>
        </w:rPr>
        <w:t xml:space="preserve">, record, report, refer and </w:t>
      </w:r>
      <w:proofErr w:type="gramStart"/>
      <w:r w:rsidRPr="004538F6">
        <w:rPr>
          <w:rFonts w:ascii="Calibri" w:hAnsi="Calibri" w:cs="Calibri"/>
          <w:sz w:val="24"/>
          <w:szCs w:val="24"/>
          <w:lang w:val="en-US"/>
        </w:rPr>
        <w:t>to take</w:t>
      </w:r>
      <w:proofErr w:type="gramEnd"/>
      <w:r w:rsidRPr="004538F6">
        <w:rPr>
          <w:rFonts w:ascii="MS Gothic" w:eastAsia="MS Gothic" w:hAnsi="MS Gothic" w:cs="MS Gothic" w:hint="eastAsia"/>
          <w:sz w:val="24"/>
          <w:szCs w:val="24"/>
          <w:lang w:val="en-US"/>
        </w:rPr>
        <w:t> </w:t>
      </w:r>
      <w:r w:rsidRPr="004538F6">
        <w:rPr>
          <w:rFonts w:ascii="Calibri" w:hAnsi="Calibri" w:cs="Calibri"/>
          <w:sz w:val="24"/>
          <w:szCs w:val="24"/>
          <w:lang w:val="en-US"/>
        </w:rPr>
        <w:t>responsibility for the signs of a symptom if a child suffers from abuse. </w:t>
      </w:r>
      <w:r w:rsidRPr="004538F6">
        <w:rPr>
          <w:rFonts w:ascii="Calibri" w:hAnsi="Calibri" w:cs="Calibri"/>
          <w:sz w:val="24"/>
          <w:szCs w:val="24"/>
        </w:rPr>
        <w:t> </w:t>
      </w:r>
    </w:p>
    <w:p w14:paraId="4AB53A7B" w14:textId="77777777" w:rsidR="004538F6" w:rsidRPr="004538F6" w:rsidRDefault="004538F6" w:rsidP="004538F6">
      <w:pPr>
        <w:spacing w:line="360" w:lineRule="auto"/>
        <w:rPr>
          <w:rFonts w:ascii="Calibri" w:hAnsi="Calibri" w:cs="Calibri"/>
          <w:sz w:val="24"/>
          <w:szCs w:val="24"/>
        </w:rPr>
      </w:pPr>
      <w:r w:rsidRPr="004538F6">
        <w:rPr>
          <w:rFonts w:ascii="Calibri" w:hAnsi="Calibri" w:cs="Calibri"/>
          <w:sz w:val="24"/>
          <w:szCs w:val="24"/>
          <w:lang w:val="en-US"/>
        </w:rPr>
        <w:t xml:space="preserve">The meaning of </w:t>
      </w:r>
      <w:proofErr w:type="spellStart"/>
      <w:r w:rsidRPr="004538F6">
        <w:rPr>
          <w:rFonts w:ascii="Calibri" w:hAnsi="Calibri" w:cs="Calibri"/>
          <w:sz w:val="24"/>
          <w:szCs w:val="24"/>
          <w:lang w:val="en-US"/>
        </w:rPr>
        <w:t>recognising</w:t>
      </w:r>
      <w:proofErr w:type="spellEnd"/>
      <w:r w:rsidRPr="004538F6">
        <w:rPr>
          <w:rFonts w:ascii="Calibri" w:hAnsi="Calibri" w:cs="Calibri"/>
          <w:sz w:val="24"/>
          <w:szCs w:val="24"/>
          <w:lang w:val="en-US"/>
        </w:rPr>
        <w:t xml:space="preserve"> in safeguarding is to ensure practitioners have the knowledge and understanding of the signs and symptoms of abuse and will prevent children from more harm (NCVO, No Date). According to the safeguarding app (No Date), the Social Services and Wellbeing for Wales Act (2014) have procedures and guidance that will support practitioners in practice when dealing with safeguarding. </w:t>
      </w:r>
      <w:r w:rsidRPr="004538F6">
        <w:rPr>
          <w:rFonts w:ascii="Calibri" w:hAnsi="Calibri" w:cs="Calibri"/>
          <w:sz w:val="24"/>
          <w:szCs w:val="24"/>
        </w:rPr>
        <w:t> </w:t>
      </w:r>
    </w:p>
    <w:p w14:paraId="2591658A" w14:textId="77777777" w:rsidR="004538F6" w:rsidRPr="004538F6" w:rsidRDefault="004538F6" w:rsidP="004538F6">
      <w:pPr>
        <w:spacing w:line="360" w:lineRule="auto"/>
        <w:rPr>
          <w:rFonts w:ascii="Calibri" w:hAnsi="Calibri" w:cs="Calibri"/>
          <w:sz w:val="24"/>
          <w:szCs w:val="24"/>
        </w:rPr>
      </w:pPr>
      <w:r w:rsidRPr="004538F6">
        <w:rPr>
          <w:rFonts w:ascii="Calibri" w:hAnsi="Calibri" w:cs="Calibri"/>
          <w:sz w:val="24"/>
          <w:szCs w:val="24"/>
          <w:lang w:val="en-US"/>
        </w:rPr>
        <w:t>Recording information is important during safeguarding. The National Assembly for Wales (2018), states that contacting the safeguarding officer and understanding the policies and procedures will enable practitioners to record correctly. As a practitioner it is important to keep a record of any evidence as the court may contact you personally (Fowler, 2022). </w:t>
      </w:r>
      <w:r w:rsidRPr="004538F6">
        <w:rPr>
          <w:rFonts w:ascii="Calibri" w:hAnsi="Calibri" w:cs="Calibri"/>
          <w:sz w:val="24"/>
          <w:szCs w:val="24"/>
        </w:rPr>
        <w:t> </w:t>
      </w:r>
    </w:p>
    <w:p w14:paraId="55F12557" w14:textId="77777777" w:rsidR="004538F6" w:rsidRPr="004538F6" w:rsidRDefault="004538F6" w:rsidP="004538F6">
      <w:pPr>
        <w:spacing w:line="360" w:lineRule="auto"/>
        <w:rPr>
          <w:rFonts w:ascii="Calibri" w:hAnsi="Calibri" w:cs="Calibri"/>
          <w:sz w:val="24"/>
          <w:szCs w:val="24"/>
        </w:rPr>
      </w:pPr>
      <w:r w:rsidRPr="004538F6">
        <w:rPr>
          <w:rFonts w:ascii="Calibri" w:hAnsi="Calibri" w:cs="Calibri"/>
          <w:sz w:val="24"/>
          <w:szCs w:val="24"/>
          <w:lang w:val="en-US"/>
        </w:rPr>
        <w:t xml:space="preserve">When reporting it is important to report to the appropriate person and to follow relevant policies and procedures (Vain 2024). Another important concept is that reporting immediately will prevent </w:t>
      </w:r>
      <w:proofErr w:type="gramStart"/>
      <w:r w:rsidRPr="004538F6">
        <w:rPr>
          <w:rFonts w:ascii="Calibri" w:hAnsi="Calibri" w:cs="Calibri"/>
          <w:sz w:val="24"/>
          <w:szCs w:val="24"/>
          <w:lang w:val="en-US"/>
        </w:rPr>
        <w:t>the neglect</w:t>
      </w:r>
      <w:proofErr w:type="gramEnd"/>
      <w:r w:rsidRPr="004538F6">
        <w:rPr>
          <w:rFonts w:ascii="Calibri" w:hAnsi="Calibri" w:cs="Calibri"/>
          <w:sz w:val="24"/>
          <w:szCs w:val="24"/>
          <w:lang w:val="en-US"/>
        </w:rPr>
        <w:t xml:space="preserve"> from escalating. According to NSPCC (2023) everyone has a duty to report any signs of abuse even if it is a small matter. </w:t>
      </w:r>
      <w:r w:rsidRPr="004538F6">
        <w:rPr>
          <w:rFonts w:ascii="Calibri" w:hAnsi="Calibri" w:cs="Calibri"/>
          <w:sz w:val="24"/>
          <w:szCs w:val="24"/>
        </w:rPr>
        <w:t> </w:t>
      </w:r>
    </w:p>
    <w:p w14:paraId="1F325C04" w14:textId="77777777" w:rsidR="004538F6" w:rsidRPr="004538F6" w:rsidRDefault="004538F6" w:rsidP="004538F6">
      <w:pPr>
        <w:spacing w:line="360" w:lineRule="auto"/>
        <w:rPr>
          <w:rFonts w:ascii="Calibri" w:hAnsi="Calibri" w:cs="Calibri"/>
          <w:sz w:val="24"/>
          <w:szCs w:val="24"/>
        </w:rPr>
      </w:pPr>
      <w:r w:rsidRPr="004538F6">
        <w:rPr>
          <w:rFonts w:ascii="Calibri" w:hAnsi="Calibri" w:cs="Calibri"/>
          <w:sz w:val="24"/>
          <w:szCs w:val="24"/>
          <w:lang w:val="en-US"/>
        </w:rPr>
        <w:t>Referring is an important concept in safeguarding. When referring a child to a social worker they have twenty-four hours to decide on a plan that will protect the child from any type of abuse escalating (Child Law Advice, 2023). According to the Working together to safeguard children Act (2018), when a practitioner is unsure about the policies and producers of the safeguarding process, guidance and advice should be given. </w:t>
      </w:r>
      <w:r w:rsidRPr="004538F6">
        <w:rPr>
          <w:rFonts w:ascii="Calibri" w:hAnsi="Calibri" w:cs="Calibri"/>
          <w:sz w:val="24"/>
          <w:szCs w:val="24"/>
        </w:rPr>
        <w:t> </w:t>
      </w:r>
    </w:p>
    <w:p w14:paraId="6A00BE06" w14:textId="77777777" w:rsidR="004538F6" w:rsidRPr="004538F6" w:rsidRDefault="004538F6" w:rsidP="004538F6">
      <w:pPr>
        <w:spacing w:line="360" w:lineRule="auto"/>
        <w:rPr>
          <w:rFonts w:ascii="Calibri" w:hAnsi="Calibri" w:cs="Calibri"/>
          <w:sz w:val="24"/>
          <w:szCs w:val="24"/>
        </w:rPr>
      </w:pPr>
      <w:r w:rsidRPr="004538F6">
        <w:rPr>
          <w:rFonts w:ascii="Calibri" w:hAnsi="Calibri" w:cs="Calibri"/>
          <w:sz w:val="24"/>
          <w:szCs w:val="24"/>
          <w:lang w:val="en-US"/>
        </w:rPr>
        <w:t>According to the National Assembly for Wales (2018), every local authority, multi-agency and practitioner has a duty of care to protect children from safeguarding. To ensure practitioners understand these responsibilities they should undertake courses which will provide them with up-to-date information (NSPCC, 2023). </w:t>
      </w:r>
      <w:r w:rsidRPr="004538F6">
        <w:rPr>
          <w:rFonts w:ascii="Calibri" w:hAnsi="Calibri" w:cs="Calibri"/>
          <w:sz w:val="24"/>
          <w:szCs w:val="24"/>
        </w:rPr>
        <w:t> </w:t>
      </w:r>
    </w:p>
    <w:p w14:paraId="24D7D327" w14:textId="77777777" w:rsidR="004538F6" w:rsidRPr="004538F6" w:rsidRDefault="004538F6" w:rsidP="004538F6">
      <w:pPr>
        <w:spacing w:line="360" w:lineRule="auto"/>
        <w:rPr>
          <w:rFonts w:ascii="Calibri" w:hAnsi="Calibri" w:cs="Calibri"/>
          <w:sz w:val="24"/>
          <w:szCs w:val="24"/>
        </w:rPr>
      </w:pPr>
      <w:proofErr w:type="gramStart"/>
      <w:r w:rsidRPr="004538F6">
        <w:rPr>
          <w:rFonts w:ascii="Calibri" w:hAnsi="Calibri" w:cs="Calibri"/>
          <w:sz w:val="24"/>
          <w:szCs w:val="24"/>
          <w:lang w:val="en-US"/>
        </w:rPr>
        <w:t>During one’s</w:t>
      </w:r>
      <w:proofErr w:type="gramEnd"/>
      <w:r w:rsidRPr="004538F6">
        <w:rPr>
          <w:rFonts w:ascii="Calibri" w:hAnsi="Calibri" w:cs="Calibri"/>
          <w:sz w:val="24"/>
          <w:szCs w:val="24"/>
          <w:lang w:val="en-US"/>
        </w:rPr>
        <w:t xml:space="preserve"> time studying early year’s education, I was able to expand my knowledge by completing a safeguarding course through a teaching agency. I believe this provided me with the correct knowledge on how to safeguard children in practice. Before </w:t>
      </w:r>
      <w:proofErr w:type="gramStart"/>
      <w:r w:rsidRPr="004538F6">
        <w:rPr>
          <w:rFonts w:ascii="Calibri" w:hAnsi="Calibri" w:cs="Calibri"/>
          <w:sz w:val="24"/>
          <w:szCs w:val="24"/>
          <w:lang w:val="en-US"/>
        </w:rPr>
        <w:t>university</w:t>
      </w:r>
      <w:proofErr w:type="gramEnd"/>
      <w:r w:rsidRPr="004538F6">
        <w:rPr>
          <w:rFonts w:ascii="Calibri" w:hAnsi="Calibri" w:cs="Calibri"/>
          <w:sz w:val="24"/>
          <w:szCs w:val="24"/>
          <w:lang w:val="en-US"/>
        </w:rPr>
        <w:t xml:space="preserve"> one </w:t>
      </w:r>
      <w:r w:rsidRPr="004538F6">
        <w:rPr>
          <w:rFonts w:ascii="Calibri" w:hAnsi="Calibri" w:cs="Calibri"/>
          <w:sz w:val="24"/>
          <w:szCs w:val="24"/>
          <w:lang w:val="en-US"/>
        </w:rPr>
        <w:lastRenderedPageBreak/>
        <w:t>studied Childcare in college, in my opinion, this supported my role in understanding the importance of following school policy and procedures. </w:t>
      </w:r>
      <w:r w:rsidRPr="004538F6">
        <w:rPr>
          <w:rFonts w:ascii="Calibri" w:hAnsi="Calibri" w:cs="Calibri"/>
          <w:sz w:val="24"/>
          <w:szCs w:val="24"/>
        </w:rPr>
        <w:t> </w:t>
      </w:r>
    </w:p>
    <w:p w14:paraId="06CC4C7F" w14:textId="77777777" w:rsidR="004538F6" w:rsidRPr="004538F6" w:rsidRDefault="004538F6" w:rsidP="004538F6">
      <w:pPr>
        <w:spacing w:line="360" w:lineRule="auto"/>
        <w:rPr>
          <w:rFonts w:ascii="Calibri" w:hAnsi="Calibri" w:cs="Calibri"/>
          <w:sz w:val="24"/>
          <w:szCs w:val="24"/>
        </w:rPr>
      </w:pPr>
      <w:r w:rsidRPr="004538F6">
        <w:rPr>
          <w:rFonts w:ascii="Calibri" w:hAnsi="Calibri" w:cs="Calibri"/>
          <w:sz w:val="24"/>
          <w:szCs w:val="24"/>
          <w:lang w:val="en-US"/>
        </w:rPr>
        <w:t>During my time studying the module, I learnt about the safeguarding app and how the app is beneficial for local authorities, multi-agencies, practitioners and people in the outside world. One will use this app throughout my career to best support my practice. I also learnt about the Munro report which spoke about the importance of a child centered approach during safeguarding. After the Munro report, multi-agency and local authorities had a duty to review all safeguarding practice and how they could improve practice to best support a child. </w:t>
      </w:r>
      <w:r w:rsidRPr="004538F6">
        <w:rPr>
          <w:rFonts w:ascii="Calibri" w:hAnsi="Calibri" w:cs="Calibri"/>
          <w:sz w:val="24"/>
          <w:szCs w:val="24"/>
        </w:rPr>
        <w:t> </w:t>
      </w:r>
    </w:p>
    <w:p w14:paraId="669F68FE" w14:textId="77777777" w:rsidR="004538F6" w:rsidRPr="004538F6" w:rsidRDefault="004538F6" w:rsidP="004538F6">
      <w:pPr>
        <w:spacing w:line="360" w:lineRule="auto"/>
        <w:rPr>
          <w:rFonts w:ascii="Calibri" w:hAnsi="Calibri" w:cs="Calibri"/>
          <w:sz w:val="24"/>
          <w:szCs w:val="24"/>
        </w:rPr>
      </w:pPr>
      <w:r w:rsidRPr="004538F6">
        <w:rPr>
          <w:rFonts w:ascii="Calibri" w:hAnsi="Calibri" w:cs="Calibri"/>
          <w:sz w:val="24"/>
          <w:szCs w:val="24"/>
          <w:lang w:val="en-US"/>
        </w:rPr>
        <w:t>After completing this module, I had a better understanding of the legislation and act that provided important information about safeguarding when working with children. Furthermore, Section130 of the Social Services and Wellbeing Act in Wales (2014), provided me with information about the importance of recording any safeguarding concerns and the correct way to record and to store information.</w:t>
      </w:r>
      <w:r w:rsidRPr="004538F6">
        <w:rPr>
          <w:rFonts w:ascii="Calibri" w:hAnsi="Calibri" w:cs="Calibri"/>
          <w:sz w:val="24"/>
          <w:szCs w:val="24"/>
        </w:rPr>
        <w:t> </w:t>
      </w:r>
    </w:p>
    <w:p w14:paraId="0C8BD5B5" w14:textId="77777777" w:rsidR="004538F6" w:rsidRPr="004538F6" w:rsidRDefault="004538F6" w:rsidP="004538F6">
      <w:r w:rsidRPr="004538F6">
        <w:t> </w:t>
      </w:r>
    </w:p>
    <w:p w14:paraId="6B9236C6" w14:textId="77777777" w:rsidR="004538F6" w:rsidRPr="004538F6" w:rsidRDefault="004538F6" w:rsidP="004538F6">
      <w:r w:rsidRPr="004538F6">
        <w:t> </w:t>
      </w:r>
    </w:p>
    <w:p w14:paraId="634C48B5" w14:textId="77777777" w:rsidR="004538F6" w:rsidRPr="004538F6" w:rsidRDefault="004538F6" w:rsidP="004538F6">
      <w:r w:rsidRPr="004538F6">
        <w:rPr>
          <w:b/>
          <w:bCs/>
          <w:u w:val="single"/>
          <w:lang w:val="en-US"/>
        </w:rPr>
        <w:t>References: </w:t>
      </w:r>
      <w:r w:rsidRPr="004538F6">
        <w:t> </w:t>
      </w:r>
    </w:p>
    <w:p w14:paraId="6F100EDD" w14:textId="77777777" w:rsidR="004538F6" w:rsidRPr="004538F6" w:rsidRDefault="004538F6" w:rsidP="004538F6">
      <w:r w:rsidRPr="004538F6">
        <w:t> </w:t>
      </w:r>
    </w:p>
    <w:p w14:paraId="56171BC0" w14:textId="77777777" w:rsidR="004538F6" w:rsidRPr="004538F6" w:rsidRDefault="004538F6" w:rsidP="004538F6">
      <w:r w:rsidRPr="004538F6">
        <w:rPr>
          <w:lang w:val="en-US"/>
        </w:rPr>
        <w:t xml:space="preserve">Child Law Advice (2023) </w:t>
      </w:r>
      <w:r w:rsidRPr="004538F6">
        <w:rPr>
          <w:i/>
          <w:iCs/>
          <w:lang w:val="en-US"/>
        </w:rPr>
        <w:t>Children’s Services referral and assessment.</w:t>
      </w:r>
      <w:r w:rsidRPr="004538F6">
        <w:rPr>
          <w:lang w:val="en-US"/>
        </w:rPr>
        <w:t xml:space="preserve"> Available at: </w:t>
      </w:r>
      <w:hyperlink r:id="rId6" w:tgtFrame="_blank" w:history="1">
        <w:r w:rsidRPr="004538F6">
          <w:rPr>
            <w:rStyle w:val="Hyperlink"/>
            <w:lang w:val="en-US"/>
          </w:rPr>
          <w:t>Children's services referral and assessment - childlawadvice.org.uk</w:t>
        </w:r>
      </w:hyperlink>
      <w:r w:rsidRPr="004538F6">
        <w:rPr>
          <w:lang w:val="en-US"/>
        </w:rPr>
        <w:t xml:space="preserve"> (Accessed: 20 November 2024). </w:t>
      </w:r>
      <w:r w:rsidRPr="004538F6">
        <w:t> </w:t>
      </w:r>
    </w:p>
    <w:p w14:paraId="4F907FD2" w14:textId="77777777" w:rsidR="004538F6" w:rsidRPr="004538F6" w:rsidRDefault="004538F6" w:rsidP="004538F6">
      <w:r w:rsidRPr="004538F6">
        <w:rPr>
          <w:lang w:val="en-US"/>
        </w:rPr>
        <w:t xml:space="preserve">Flower, H. (2022) </w:t>
      </w:r>
      <w:r w:rsidRPr="004538F6">
        <w:rPr>
          <w:i/>
          <w:iCs/>
          <w:lang w:val="en-US"/>
        </w:rPr>
        <w:t>Building a bigger picture- effective recording.</w:t>
      </w:r>
      <w:r w:rsidRPr="004538F6">
        <w:rPr>
          <w:lang w:val="en-US"/>
        </w:rPr>
        <w:t xml:space="preserve"> Available at: </w:t>
      </w:r>
      <w:hyperlink r:id="rId7" w:tgtFrame="_blank" w:history="1">
        <w:r w:rsidRPr="004538F6">
          <w:rPr>
            <w:rStyle w:val="Hyperlink"/>
            <w:lang w:val="en-US"/>
          </w:rPr>
          <w:t>Building a bigger picture – effective recording – Safeguarding Network</w:t>
        </w:r>
      </w:hyperlink>
      <w:r w:rsidRPr="004538F6">
        <w:rPr>
          <w:lang w:val="en-US"/>
        </w:rPr>
        <w:t xml:space="preserve"> (Accessed: 20 November 2024). </w:t>
      </w:r>
      <w:r w:rsidRPr="004538F6">
        <w:t> </w:t>
      </w:r>
    </w:p>
    <w:p w14:paraId="75848AC8" w14:textId="77777777" w:rsidR="004538F6" w:rsidRPr="004538F6" w:rsidRDefault="004538F6" w:rsidP="004538F6">
      <w:r w:rsidRPr="004538F6">
        <w:rPr>
          <w:lang w:val="en-US"/>
        </w:rPr>
        <w:t xml:space="preserve">National Assembly for Wales (2018) </w:t>
      </w:r>
      <w:r w:rsidRPr="004538F6">
        <w:rPr>
          <w:i/>
          <w:iCs/>
          <w:lang w:val="en-US"/>
        </w:rPr>
        <w:t>Safeguarding Guidance for Children and Young People.</w:t>
      </w:r>
      <w:r w:rsidRPr="004538F6">
        <w:rPr>
          <w:lang w:val="en-US"/>
        </w:rPr>
        <w:t xml:space="preserve"> Available </w:t>
      </w:r>
      <w:proofErr w:type="spellStart"/>
      <w:r w:rsidRPr="004538F6">
        <w:rPr>
          <w:lang w:val="en-US"/>
        </w:rPr>
        <w:t>at:</w:t>
      </w:r>
      <w:hyperlink r:id="rId8" w:tgtFrame="_blank" w:history="1">
        <w:r w:rsidRPr="004538F6">
          <w:rPr>
            <w:rStyle w:val="Hyperlink"/>
            <w:lang w:val="en-US"/>
          </w:rPr>
          <w:t>Safeguarding-Guidance</w:t>
        </w:r>
        <w:proofErr w:type="spellEnd"/>
        <w:r w:rsidRPr="004538F6">
          <w:rPr>
            <w:rStyle w:val="Hyperlink"/>
            <w:lang w:val="en-US"/>
          </w:rPr>
          <w:t>- English.pdf</w:t>
        </w:r>
      </w:hyperlink>
      <w:r w:rsidRPr="004538F6">
        <w:rPr>
          <w:lang w:val="en-US"/>
        </w:rPr>
        <w:t xml:space="preserve"> (Accessed: 23 November 2024).   </w:t>
      </w:r>
      <w:r w:rsidRPr="004538F6">
        <w:t> </w:t>
      </w:r>
    </w:p>
    <w:p w14:paraId="78CCFF48" w14:textId="77777777" w:rsidR="004538F6" w:rsidRPr="004538F6" w:rsidRDefault="004538F6" w:rsidP="004538F6">
      <w:r w:rsidRPr="004538F6">
        <w:rPr>
          <w:lang w:val="en-US"/>
        </w:rPr>
        <w:t xml:space="preserve">NCVO (No Date) </w:t>
      </w:r>
      <w:proofErr w:type="spellStart"/>
      <w:r w:rsidRPr="004538F6">
        <w:rPr>
          <w:i/>
          <w:iCs/>
          <w:lang w:val="en-US"/>
        </w:rPr>
        <w:t>Recognise</w:t>
      </w:r>
      <w:proofErr w:type="spellEnd"/>
      <w:r w:rsidRPr="004538F6">
        <w:rPr>
          <w:i/>
          <w:iCs/>
          <w:lang w:val="en-US"/>
        </w:rPr>
        <w:t xml:space="preserve">, respond and report. </w:t>
      </w:r>
      <w:r w:rsidRPr="004538F6">
        <w:rPr>
          <w:lang w:val="en-US"/>
        </w:rPr>
        <w:t xml:space="preserve">Available at: </w:t>
      </w:r>
      <w:hyperlink r:id="rId9" w:tgtFrame="_blank" w:history="1">
        <w:proofErr w:type="spellStart"/>
        <w:r w:rsidRPr="004538F6">
          <w:rPr>
            <w:rStyle w:val="Hyperlink"/>
            <w:lang w:val="en-US"/>
          </w:rPr>
          <w:t>Recognise</w:t>
        </w:r>
        <w:proofErr w:type="spellEnd"/>
        <w:r w:rsidRPr="004538F6">
          <w:rPr>
            <w:rStyle w:val="Hyperlink"/>
            <w:lang w:val="en-US"/>
          </w:rPr>
          <w:t>, respond and report | NCVO</w:t>
        </w:r>
      </w:hyperlink>
      <w:r w:rsidRPr="004538F6">
        <w:rPr>
          <w:lang w:val="en-US"/>
        </w:rPr>
        <w:t xml:space="preserve"> (Accessed: 20 November 2024). </w:t>
      </w:r>
      <w:r w:rsidRPr="004538F6">
        <w:t> </w:t>
      </w:r>
    </w:p>
    <w:p w14:paraId="6B6A6B42" w14:textId="77777777" w:rsidR="004538F6" w:rsidRPr="004538F6" w:rsidRDefault="004538F6" w:rsidP="004538F6">
      <w:r w:rsidRPr="004538F6">
        <w:rPr>
          <w:lang w:val="en-US"/>
        </w:rPr>
        <w:t xml:space="preserve">NSPCC Learning (2023) </w:t>
      </w:r>
      <w:r w:rsidRPr="004538F6">
        <w:rPr>
          <w:i/>
          <w:iCs/>
          <w:lang w:val="en-US"/>
        </w:rPr>
        <w:t>Duty of care and safeguarding</w:t>
      </w:r>
      <w:r w:rsidRPr="004538F6">
        <w:rPr>
          <w:lang w:val="en-US"/>
        </w:rPr>
        <w:t xml:space="preserve">. Available at: </w:t>
      </w:r>
      <w:hyperlink r:id="rId10" w:tgtFrame="_blank" w:history="1">
        <w:r w:rsidRPr="004538F6">
          <w:rPr>
            <w:rStyle w:val="Hyperlink"/>
            <w:lang w:val="en-US"/>
          </w:rPr>
          <w:t>Duty of care and safeguarding | NSPCC Learning</w:t>
        </w:r>
      </w:hyperlink>
      <w:r w:rsidRPr="004538F6">
        <w:rPr>
          <w:lang w:val="en-US"/>
        </w:rPr>
        <w:t xml:space="preserve"> (Accessed: 23 November 2024).   </w:t>
      </w:r>
      <w:r w:rsidRPr="004538F6">
        <w:t> </w:t>
      </w:r>
    </w:p>
    <w:p w14:paraId="6CA1B7CA" w14:textId="77777777" w:rsidR="004538F6" w:rsidRPr="004538F6" w:rsidRDefault="004538F6" w:rsidP="004538F6">
      <w:r w:rsidRPr="004538F6">
        <w:rPr>
          <w:lang w:val="en-US"/>
        </w:rPr>
        <w:t xml:space="preserve">Safeguarding app (No Date) </w:t>
      </w:r>
      <w:r w:rsidRPr="004538F6">
        <w:rPr>
          <w:i/>
          <w:iCs/>
          <w:lang w:val="en-US"/>
        </w:rPr>
        <w:t>Wales Safeguarding Procedures.</w:t>
      </w:r>
      <w:r w:rsidRPr="004538F6">
        <w:rPr>
          <w:lang w:val="en-US"/>
        </w:rPr>
        <w:t xml:space="preserve">  Available at:  </w:t>
      </w:r>
      <w:hyperlink r:id="rId11" w:tgtFrame="_blank" w:history="1">
        <w:r w:rsidRPr="004538F6">
          <w:rPr>
            <w:rStyle w:val="Hyperlink"/>
            <w:lang w:val="en-US"/>
          </w:rPr>
          <w:t>Safeguarding Wales</w:t>
        </w:r>
      </w:hyperlink>
      <w:r w:rsidRPr="004538F6">
        <w:rPr>
          <w:lang w:val="en-US"/>
        </w:rPr>
        <w:t xml:space="preserve"> (Accessed: 23 November 2024).   </w:t>
      </w:r>
      <w:r w:rsidRPr="004538F6">
        <w:t> </w:t>
      </w:r>
    </w:p>
    <w:p w14:paraId="1314A11E" w14:textId="77777777" w:rsidR="004538F6" w:rsidRPr="004538F6" w:rsidRDefault="004538F6" w:rsidP="004538F6">
      <w:r w:rsidRPr="004538F6">
        <w:rPr>
          <w:lang w:val="en-US"/>
        </w:rPr>
        <w:t xml:space="preserve">Vain, C. (2024) </w:t>
      </w:r>
      <w:r w:rsidRPr="004538F6">
        <w:rPr>
          <w:i/>
          <w:iCs/>
          <w:lang w:val="en-US"/>
        </w:rPr>
        <w:t>Strategies for Reporting and Intervening in Cases of Child Neglect.</w:t>
      </w:r>
      <w:r w:rsidRPr="004538F6">
        <w:rPr>
          <w:lang w:val="en-US"/>
        </w:rPr>
        <w:t xml:space="preserve"> Available at: </w:t>
      </w:r>
      <w:hyperlink r:id="rId12" w:tgtFrame="_blank" w:history="1">
        <w:r w:rsidRPr="004538F6">
          <w:rPr>
            <w:rStyle w:val="Hyperlink"/>
            <w:lang w:val="en-US"/>
          </w:rPr>
          <w:t>Cases of Child Neglect | Reporting, Intervening &amp; Preventing</w:t>
        </w:r>
      </w:hyperlink>
      <w:r w:rsidRPr="004538F6">
        <w:rPr>
          <w:lang w:val="en-US"/>
        </w:rPr>
        <w:t xml:space="preserve"> (Accessed: 21 November 2024).</w:t>
      </w:r>
      <w:r w:rsidRPr="004538F6">
        <w:t> </w:t>
      </w:r>
    </w:p>
    <w:p w14:paraId="1A5CD8F6" w14:textId="77777777" w:rsidR="006B2316" w:rsidRDefault="006B2316"/>
    <w:sectPr w:rsidR="006B231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5D308" w14:textId="77777777" w:rsidR="004538F6" w:rsidRDefault="004538F6" w:rsidP="004538F6">
      <w:pPr>
        <w:spacing w:after="0" w:line="240" w:lineRule="auto"/>
      </w:pPr>
      <w:r>
        <w:separator/>
      </w:r>
    </w:p>
  </w:endnote>
  <w:endnote w:type="continuationSeparator" w:id="0">
    <w:p w14:paraId="2791B7F0" w14:textId="77777777" w:rsidR="004538F6" w:rsidRDefault="004538F6" w:rsidP="00453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0EA0B6" w14:textId="77777777" w:rsidR="004538F6" w:rsidRDefault="004538F6" w:rsidP="004538F6">
      <w:pPr>
        <w:spacing w:after="0" w:line="240" w:lineRule="auto"/>
      </w:pPr>
      <w:r>
        <w:separator/>
      </w:r>
    </w:p>
  </w:footnote>
  <w:footnote w:type="continuationSeparator" w:id="0">
    <w:p w14:paraId="6C280569" w14:textId="77777777" w:rsidR="004538F6" w:rsidRDefault="004538F6" w:rsidP="00453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EE788" w14:textId="55230C62" w:rsidR="004538F6" w:rsidRDefault="004538F6">
    <w:pPr>
      <w:pStyle w:val="Header"/>
    </w:pPr>
    <w:r>
      <w:t>Beca Hiscocks                                                    Module ECEY5011                                                     2305222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8F6"/>
    <w:rsid w:val="00094960"/>
    <w:rsid w:val="004538F6"/>
    <w:rsid w:val="006B2316"/>
    <w:rsid w:val="00752263"/>
    <w:rsid w:val="00997F6A"/>
    <w:rsid w:val="00D17236"/>
    <w:rsid w:val="00EE1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174471"/>
  <w15:chartTrackingRefBased/>
  <w15:docId w15:val="{773B990D-B29B-4F7D-AA39-160F62B0B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8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8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8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8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8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8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8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8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8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8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8F6"/>
    <w:rPr>
      <w:rFonts w:eastAsiaTheme="majorEastAsia" w:cstheme="majorBidi"/>
      <w:color w:val="272727" w:themeColor="text1" w:themeTint="D8"/>
    </w:rPr>
  </w:style>
  <w:style w:type="paragraph" w:styleId="Title">
    <w:name w:val="Title"/>
    <w:basedOn w:val="Normal"/>
    <w:next w:val="Normal"/>
    <w:link w:val="TitleChar"/>
    <w:uiPriority w:val="10"/>
    <w:qFormat/>
    <w:rsid w:val="00453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8F6"/>
    <w:pPr>
      <w:spacing w:before="160"/>
      <w:jc w:val="center"/>
    </w:pPr>
    <w:rPr>
      <w:i/>
      <w:iCs/>
      <w:color w:val="404040" w:themeColor="text1" w:themeTint="BF"/>
    </w:rPr>
  </w:style>
  <w:style w:type="character" w:customStyle="1" w:styleId="QuoteChar">
    <w:name w:val="Quote Char"/>
    <w:basedOn w:val="DefaultParagraphFont"/>
    <w:link w:val="Quote"/>
    <w:uiPriority w:val="29"/>
    <w:rsid w:val="004538F6"/>
    <w:rPr>
      <w:i/>
      <w:iCs/>
      <w:color w:val="404040" w:themeColor="text1" w:themeTint="BF"/>
    </w:rPr>
  </w:style>
  <w:style w:type="paragraph" w:styleId="ListParagraph">
    <w:name w:val="List Paragraph"/>
    <w:basedOn w:val="Normal"/>
    <w:uiPriority w:val="34"/>
    <w:qFormat/>
    <w:rsid w:val="004538F6"/>
    <w:pPr>
      <w:ind w:left="720"/>
      <w:contextualSpacing/>
    </w:pPr>
  </w:style>
  <w:style w:type="character" w:styleId="IntenseEmphasis">
    <w:name w:val="Intense Emphasis"/>
    <w:basedOn w:val="DefaultParagraphFont"/>
    <w:uiPriority w:val="21"/>
    <w:qFormat/>
    <w:rsid w:val="004538F6"/>
    <w:rPr>
      <w:i/>
      <w:iCs/>
      <w:color w:val="0F4761" w:themeColor="accent1" w:themeShade="BF"/>
    </w:rPr>
  </w:style>
  <w:style w:type="paragraph" w:styleId="IntenseQuote">
    <w:name w:val="Intense Quote"/>
    <w:basedOn w:val="Normal"/>
    <w:next w:val="Normal"/>
    <w:link w:val="IntenseQuoteChar"/>
    <w:uiPriority w:val="30"/>
    <w:qFormat/>
    <w:rsid w:val="004538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8F6"/>
    <w:rPr>
      <w:i/>
      <w:iCs/>
      <w:color w:val="0F4761" w:themeColor="accent1" w:themeShade="BF"/>
    </w:rPr>
  </w:style>
  <w:style w:type="character" w:styleId="IntenseReference">
    <w:name w:val="Intense Reference"/>
    <w:basedOn w:val="DefaultParagraphFont"/>
    <w:uiPriority w:val="32"/>
    <w:qFormat/>
    <w:rsid w:val="004538F6"/>
    <w:rPr>
      <w:b/>
      <w:bCs/>
      <w:smallCaps/>
      <w:color w:val="0F4761" w:themeColor="accent1" w:themeShade="BF"/>
      <w:spacing w:val="5"/>
    </w:rPr>
  </w:style>
  <w:style w:type="character" w:styleId="Hyperlink">
    <w:name w:val="Hyperlink"/>
    <w:basedOn w:val="DefaultParagraphFont"/>
    <w:uiPriority w:val="99"/>
    <w:unhideWhenUsed/>
    <w:rsid w:val="004538F6"/>
    <w:rPr>
      <w:color w:val="467886" w:themeColor="hyperlink"/>
      <w:u w:val="single"/>
    </w:rPr>
  </w:style>
  <w:style w:type="character" w:styleId="UnresolvedMention">
    <w:name w:val="Unresolved Mention"/>
    <w:basedOn w:val="DefaultParagraphFont"/>
    <w:uiPriority w:val="99"/>
    <w:semiHidden/>
    <w:unhideWhenUsed/>
    <w:rsid w:val="004538F6"/>
    <w:rPr>
      <w:color w:val="605E5C"/>
      <w:shd w:val="clear" w:color="auto" w:fill="E1DFDD"/>
    </w:rPr>
  </w:style>
  <w:style w:type="paragraph" w:styleId="Header">
    <w:name w:val="header"/>
    <w:basedOn w:val="Normal"/>
    <w:link w:val="HeaderChar"/>
    <w:uiPriority w:val="99"/>
    <w:unhideWhenUsed/>
    <w:rsid w:val="00453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8F6"/>
  </w:style>
  <w:style w:type="paragraph" w:styleId="Footer">
    <w:name w:val="footer"/>
    <w:basedOn w:val="Normal"/>
    <w:link w:val="FooterChar"/>
    <w:uiPriority w:val="99"/>
    <w:unhideWhenUsed/>
    <w:rsid w:val="00453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118741">
      <w:bodyDiv w:val="1"/>
      <w:marLeft w:val="0"/>
      <w:marRight w:val="0"/>
      <w:marTop w:val="0"/>
      <w:marBottom w:val="0"/>
      <w:divBdr>
        <w:top w:val="none" w:sz="0" w:space="0" w:color="auto"/>
        <w:left w:val="none" w:sz="0" w:space="0" w:color="auto"/>
        <w:bottom w:val="none" w:sz="0" w:space="0" w:color="auto"/>
        <w:right w:val="none" w:sz="0" w:space="0" w:color="auto"/>
      </w:divBdr>
      <w:divsChild>
        <w:div w:id="1382941074">
          <w:marLeft w:val="0"/>
          <w:marRight w:val="0"/>
          <w:marTop w:val="0"/>
          <w:marBottom w:val="0"/>
          <w:divBdr>
            <w:top w:val="none" w:sz="0" w:space="0" w:color="auto"/>
            <w:left w:val="none" w:sz="0" w:space="0" w:color="auto"/>
            <w:bottom w:val="none" w:sz="0" w:space="0" w:color="auto"/>
            <w:right w:val="none" w:sz="0" w:space="0" w:color="auto"/>
          </w:divBdr>
        </w:div>
        <w:div w:id="981234863">
          <w:marLeft w:val="0"/>
          <w:marRight w:val="0"/>
          <w:marTop w:val="0"/>
          <w:marBottom w:val="0"/>
          <w:divBdr>
            <w:top w:val="none" w:sz="0" w:space="0" w:color="auto"/>
            <w:left w:val="none" w:sz="0" w:space="0" w:color="auto"/>
            <w:bottom w:val="none" w:sz="0" w:space="0" w:color="auto"/>
            <w:right w:val="none" w:sz="0" w:space="0" w:color="auto"/>
          </w:divBdr>
        </w:div>
        <w:div w:id="285082093">
          <w:marLeft w:val="0"/>
          <w:marRight w:val="0"/>
          <w:marTop w:val="0"/>
          <w:marBottom w:val="0"/>
          <w:divBdr>
            <w:top w:val="none" w:sz="0" w:space="0" w:color="auto"/>
            <w:left w:val="none" w:sz="0" w:space="0" w:color="auto"/>
            <w:bottom w:val="none" w:sz="0" w:space="0" w:color="auto"/>
            <w:right w:val="none" w:sz="0" w:space="0" w:color="auto"/>
          </w:divBdr>
        </w:div>
        <w:div w:id="1637101828">
          <w:marLeft w:val="0"/>
          <w:marRight w:val="0"/>
          <w:marTop w:val="0"/>
          <w:marBottom w:val="0"/>
          <w:divBdr>
            <w:top w:val="none" w:sz="0" w:space="0" w:color="auto"/>
            <w:left w:val="none" w:sz="0" w:space="0" w:color="auto"/>
            <w:bottom w:val="none" w:sz="0" w:space="0" w:color="auto"/>
            <w:right w:val="none" w:sz="0" w:space="0" w:color="auto"/>
          </w:divBdr>
        </w:div>
        <w:div w:id="2021079857">
          <w:marLeft w:val="0"/>
          <w:marRight w:val="0"/>
          <w:marTop w:val="0"/>
          <w:marBottom w:val="0"/>
          <w:divBdr>
            <w:top w:val="none" w:sz="0" w:space="0" w:color="auto"/>
            <w:left w:val="none" w:sz="0" w:space="0" w:color="auto"/>
            <w:bottom w:val="none" w:sz="0" w:space="0" w:color="auto"/>
            <w:right w:val="none" w:sz="0" w:space="0" w:color="auto"/>
          </w:divBdr>
        </w:div>
        <w:div w:id="1336304751">
          <w:marLeft w:val="0"/>
          <w:marRight w:val="0"/>
          <w:marTop w:val="0"/>
          <w:marBottom w:val="0"/>
          <w:divBdr>
            <w:top w:val="none" w:sz="0" w:space="0" w:color="auto"/>
            <w:left w:val="none" w:sz="0" w:space="0" w:color="auto"/>
            <w:bottom w:val="none" w:sz="0" w:space="0" w:color="auto"/>
            <w:right w:val="none" w:sz="0" w:space="0" w:color="auto"/>
          </w:divBdr>
        </w:div>
      </w:divsChild>
    </w:div>
    <w:div w:id="1193226418">
      <w:bodyDiv w:val="1"/>
      <w:marLeft w:val="0"/>
      <w:marRight w:val="0"/>
      <w:marTop w:val="0"/>
      <w:marBottom w:val="0"/>
      <w:divBdr>
        <w:top w:val="none" w:sz="0" w:space="0" w:color="auto"/>
        <w:left w:val="none" w:sz="0" w:space="0" w:color="auto"/>
        <w:bottom w:val="none" w:sz="0" w:space="0" w:color="auto"/>
        <w:right w:val="none" w:sz="0" w:space="0" w:color="auto"/>
      </w:divBdr>
      <w:divsChild>
        <w:div w:id="612133756">
          <w:marLeft w:val="0"/>
          <w:marRight w:val="0"/>
          <w:marTop w:val="0"/>
          <w:marBottom w:val="0"/>
          <w:divBdr>
            <w:top w:val="none" w:sz="0" w:space="0" w:color="auto"/>
            <w:left w:val="none" w:sz="0" w:space="0" w:color="auto"/>
            <w:bottom w:val="none" w:sz="0" w:space="0" w:color="auto"/>
            <w:right w:val="none" w:sz="0" w:space="0" w:color="auto"/>
          </w:divBdr>
        </w:div>
        <w:div w:id="508376308">
          <w:marLeft w:val="0"/>
          <w:marRight w:val="0"/>
          <w:marTop w:val="0"/>
          <w:marBottom w:val="0"/>
          <w:divBdr>
            <w:top w:val="none" w:sz="0" w:space="0" w:color="auto"/>
            <w:left w:val="none" w:sz="0" w:space="0" w:color="auto"/>
            <w:bottom w:val="none" w:sz="0" w:space="0" w:color="auto"/>
            <w:right w:val="none" w:sz="0" w:space="0" w:color="auto"/>
          </w:divBdr>
        </w:div>
        <w:div w:id="39939274">
          <w:marLeft w:val="0"/>
          <w:marRight w:val="0"/>
          <w:marTop w:val="0"/>
          <w:marBottom w:val="0"/>
          <w:divBdr>
            <w:top w:val="none" w:sz="0" w:space="0" w:color="auto"/>
            <w:left w:val="none" w:sz="0" w:space="0" w:color="auto"/>
            <w:bottom w:val="none" w:sz="0" w:space="0" w:color="auto"/>
            <w:right w:val="none" w:sz="0" w:space="0" w:color="auto"/>
          </w:divBdr>
        </w:div>
        <w:div w:id="977343969">
          <w:marLeft w:val="0"/>
          <w:marRight w:val="0"/>
          <w:marTop w:val="0"/>
          <w:marBottom w:val="0"/>
          <w:divBdr>
            <w:top w:val="none" w:sz="0" w:space="0" w:color="auto"/>
            <w:left w:val="none" w:sz="0" w:space="0" w:color="auto"/>
            <w:bottom w:val="none" w:sz="0" w:space="0" w:color="auto"/>
            <w:right w:val="none" w:sz="0" w:space="0" w:color="auto"/>
          </w:divBdr>
        </w:div>
        <w:div w:id="1868905439">
          <w:marLeft w:val="0"/>
          <w:marRight w:val="0"/>
          <w:marTop w:val="0"/>
          <w:marBottom w:val="0"/>
          <w:divBdr>
            <w:top w:val="none" w:sz="0" w:space="0" w:color="auto"/>
            <w:left w:val="none" w:sz="0" w:space="0" w:color="auto"/>
            <w:bottom w:val="none" w:sz="0" w:space="0" w:color="auto"/>
            <w:right w:val="none" w:sz="0" w:space="0" w:color="auto"/>
          </w:divBdr>
        </w:div>
        <w:div w:id="1991058013">
          <w:marLeft w:val="0"/>
          <w:marRight w:val="0"/>
          <w:marTop w:val="0"/>
          <w:marBottom w:val="0"/>
          <w:divBdr>
            <w:top w:val="none" w:sz="0" w:space="0" w:color="auto"/>
            <w:left w:val="none" w:sz="0" w:space="0" w:color="auto"/>
            <w:bottom w:val="none" w:sz="0" w:space="0" w:color="auto"/>
            <w:right w:val="none" w:sz="0" w:space="0" w:color="auto"/>
          </w:divBdr>
        </w:div>
        <w:div w:id="1245412088">
          <w:marLeft w:val="0"/>
          <w:marRight w:val="0"/>
          <w:marTop w:val="0"/>
          <w:marBottom w:val="0"/>
          <w:divBdr>
            <w:top w:val="none" w:sz="0" w:space="0" w:color="auto"/>
            <w:left w:val="none" w:sz="0" w:space="0" w:color="auto"/>
            <w:bottom w:val="none" w:sz="0" w:space="0" w:color="auto"/>
            <w:right w:val="none" w:sz="0" w:space="0" w:color="auto"/>
          </w:divBdr>
        </w:div>
        <w:div w:id="797258941">
          <w:marLeft w:val="0"/>
          <w:marRight w:val="0"/>
          <w:marTop w:val="0"/>
          <w:marBottom w:val="0"/>
          <w:divBdr>
            <w:top w:val="none" w:sz="0" w:space="0" w:color="auto"/>
            <w:left w:val="none" w:sz="0" w:space="0" w:color="auto"/>
            <w:bottom w:val="none" w:sz="0" w:space="0" w:color="auto"/>
            <w:right w:val="none" w:sz="0" w:space="0" w:color="auto"/>
          </w:divBdr>
        </w:div>
        <w:div w:id="1406803562">
          <w:marLeft w:val="0"/>
          <w:marRight w:val="0"/>
          <w:marTop w:val="0"/>
          <w:marBottom w:val="0"/>
          <w:divBdr>
            <w:top w:val="none" w:sz="0" w:space="0" w:color="auto"/>
            <w:left w:val="none" w:sz="0" w:space="0" w:color="auto"/>
            <w:bottom w:val="none" w:sz="0" w:space="0" w:color="auto"/>
            <w:right w:val="none" w:sz="0" w:space="0" w:color="auto"/>
          </w:divBdr>
        </w:div>
        <w:div w:id="1303660215">
          <w:marLeft w:val="0"/>
          <w:marRight w:val="0"/>
          <w:marTop w:val="0"/>
          <w:marBottom w:val="0"/>
          <w:divBdr>
            <w:top w:val="none" w:sz="0" w:space="0" w:color="auto"/>
            <w:left w:val="none" w:sz="0" w:space="0" w:color="auto"/>
            <w:bottom w:val="none" w:sz="0" w:space="0" w:color="auto"/>
            <w:right w:val="none" w:sz="0" w:space="0" w:color="auto"/>
          </w:divBdr>
        </w:div>
        <w:div w:id="1717509929">
          <w:marLeft w:val="0"/>
          <w:marRight w:val="0"/>
          <w:marTop w:val="0"/>
          <w:marBottom w:val="0"/>
          <w:divBdr>
            <w:top w:val="none" w:sz="0" w:space="0" w:color="auto"/>
            <w:left w:val="none" w:sz="0" w:space="0" w:color="auto"/>
            <w:bottom w:val="none" w:sz="0" w:space="0" w:color="auto"/>
            <w:right w:val="none" w:sz="0" w:space="0" w:color="auto"/>
          </w:divBdr>
        </w:div>
        <w:div w:id="39326214">
          <w:marLeft w:val="0"/>
          <w:marRight w:val="0"/>
          <w:marTop w:val="0"/>
          <w:marBottom w:val="0"/>
          <w:divBdr>
            <w:top w:val="none" w:sz="0" w:space="0" w:color="auto"/>
            <w:left w:val="none" w:sz="0" w:space="0" w:color="auto"/>
            <w:bottom w:val="none" w:sz="0" w:space="0" w:color="auto"/>
            <w:right w:val="none" w:sz="0" w:space="0" w:color="auto"/>
          </w:divBdr>
        </w:div>
        <w:div w:id="160194241">
          <w:marLeft w:val="0"/>
          <w:marRight w:val="0"/>
          <w:marTop w:val="0"/>
          <w:marBottom w:val="0"/>
          <w:divBdr>
            <w:top w:val="none" w:sz="0" w:space="0" w:color="auto"/>
            <w:left w:val="none" w:sz="0" w:space="0" w:color="auto"/>
            <w:bottom w:val="none" w:sz="0" w:space="0" w:color="auto"/>
            <w:right w:val="none" w:sz="0" w:space="0" w:color="auto"/>
          </w:divBdr>
        </w:div>
        <w:div w:id="956377413">
          <w:marLeft w:val="0"/>
          <w:marRight w:val="0"/>
          <w:marTop w:val="0"/>
          <w:marBottom w:val="0"/>
          <w:divBdr>
            <w:top w:val="none" w:sz="0" w:space="0" w:color="auto"/>
            <w:left w:val="none" w:sz="0" w:space="0" w:color="auto"/>
            <w:bottom w:val="none" w:sz="0" w:space="0" w:color="auto"/>
            <w:right w:val="none" w:sz="0" w:space="0" w:color="auto"/>
          </w:divBdr>
        </w:div>
      </w:divsChild>
    </w:div>
    <w:div w:id="1390807996">
      <w:bodyDiv w:val="1"/>
      <w:marLeft w:val="0"/>
      <w:marRight w:val="0"/>
      <w:marTop w:val="0"/>
      <w:marBottom w:val="0"/>
      <w:divBdr>
        <w:top w:val="none" w:sz="0" w:space="0" w:color="auto"/>
        <w:left w:val="none" w:sz="0" w:space="0" w:color="auto"/>
        <w:bottom w:val="none" w:sz="0" w:space="0" w:color="auto"/>
        <w:right w:val="none" w:sz="0" w:space="0" w:color="auto"/>
      </w:divBdr>
      <w:divsChild>
        <w:div w:id="1768188243">
          <w:marLeft w:val="0"/>
          <w:marRight w:val="0"/>
          <w:marTop w:val="0"/>
          <w:marBottom w:val="0"/>
          <w:divBdr>
            <w:top w:val="none" w:sz="0" w:space="0" w:color="auto"/>
            <w:left w:val="none" w:sz="0" w:space="0" w:color="auto"/>
            <w:bottom w:val="none" w:sz="0" w:space="0" w:color="auto"/>
            <w:right w:val="none" w:sz="0" w:space="0" w:color="auto"/>
          </w:divBdr>
        </w:div>
        <w:div w:id="700010588">
          <w:marLeft w:val="0"/>
          <w:marRight w:val="0"/>
          <w:marTop w:val="0"/>
          <w:marBottom w:val="0"/>
          <w:divBdr>
            <w:top w:val="none" w:sz="0" w:space="0" w:color="auto"/>
            <w:left w:val="none" w:sz="0" w:space="0" w:color="auto"/>
            <w:bottom w:val="none" w:sz="0" w:space="0" w:color="auto"/>
            <w:right w:val="none" w:sz="0" w:space="0" w:color="auto"/>
          </w:divBdr>
        </w:div>
        <w:div w:id="208614935">
          <w:marLeft w:val="0"/>
          <w:marRight w:val="0"/>
          <w:marTop w:val="0"/>
          <w:marBottom w:val="0"/>
          <w:divBdr>
            <w:top w:val="none" w:sz="0" w:space="0" w:color="auto"/>
            <w:left w:val="none" w:sz="0" w:space="0" w:color="auto"/>
            <w:bottom w:val="none" w:sz="0" w:space="0" w:color="auto"/>
            <w:right w:val="none" w:sz="0" w:space="0" w:color="auto"/>
          </w:divBdr>
        </w:div>
        <w:div w:id="368334766">
          <w:marLeft w:val="0"/>
          <w:marRight w:val="0"/>
          <w:marTop w:val="0"/>
          <w:marBottom w:val="0"/>
          <w:divBdr>
            <w:top w:val="none" w:sz="0" w:space="0" w:color="auto"/>
            <w:left w:val="none" w:sz="0" w:space="0" w:color="auto"/>
            <w:bottom w:val="none" w:sz="0" w:space="0" w:color="auto"/>
            <w:right w:val="none" w:sz="0" w:space="0" w:color="auto"/>
          </w:divBdr>
        </w:div>
        <w:div w:id="1492790677">
          <w:marLeft w:val="0"/>
          <w:marRight w:val="0"/>
          <w:marTop w:val="0"/>
          <w:marBottom w:val="0"/>
          <w:divBdr>
            <w:top w:val="none" w:sz="0" w:space="0" w:color="auto"/>
            <w:left w:val="none" w:sz="0" w:space="0" w:color="auto"/>
            <w:bottom w:val="none" w:sz="0" w:space="0" w:color="auto"/>
            <w:right w:val="none" w:sz="0" w:space="0" w:color="auto"/>
          </w:divBdr>
        </w:div>
        <w:div w:id="1340932291">
          <w:marLeft w:val="0"/>
          <w:marRight w:val="0"/>
          <w:marTop w:val="0"/>
          <w:marBottom w:val="0"/>
          <w:divBdr>
            <w:top w:val="none" w:sz="0" w:space="0" w:color="auto"/>
            <w:left w:val="none" w:sz="0" w:space="0" w:color="auto"/>
            <w:bottom w:val="none" w:sz="0" w:space="0" w:color="auto"/>
            <w:right w:val="none" w:sz="0" w:space="0" w:color="auto"/>
          </w:divBdr>
        </w:div>
        <w:div w:id="1080520302">
          <w:marLeft w:val="0"/>
          <w:marRight w:val="0"/>
          <w:marTop w:val="0"/>
          <w:marBottom w:val="0"/>
          <w:divBdr>
            <w:top w:val="none" w:sz="0" w:space="0" w:color="auto"/>
            <w:left w:val="none" w:sz="0" w:space="0" w:color="auto"/>
            <w:bottom w:val="none" w:sz="0" w:space="0" w:color="auto"/>
            <w:right w:val="none" w:sz="0" w:space="0" w:color="auto"/>
          </w:divBdr>
        </w:div>
        <w:div w:id="450325601">
          <w:marLeft w:val="0"/>
          <w:marRight w:val="0"/>
          <w:marTop w:val="0"/>
          <w:marBottom w:val="0"/>
          <w:divBdr>
            <w:top w:val="none" w:sz="0" w:space="0" w:color="auto"/>
            <w:left w:val="none" w:sz="0" w:space="0" w:color="auto"/>
            <w:bottom w:val="none" w:sz="0" w:space="0" w:color="auto"/>
            <w:right w:val="none" w:sz="0" w:space="0" w:color="auto"/>
          </w:divBdr>
        </w:div>
        <w:div w:id="2146317335">
          <w:marLeft w:val="0"/>
          <w:marRight w:val="0"/>
          <w:marTop w:val="0"/>
          <w:marBottom w:val="0"/>
          <w:divBdr>
            <w:top w:val="none" w:sz="0" w:space="0" w:color="auto"/>
            <w:left w:val="none" w:sz="0" w:space="0" w:color="auto"/>
            <w:bottom w:val="none" w:sz="0" w:space="0" w:color="auto"/>
            <w:right w:val="none" w:sz="0" w:space="0" w:color="auto"/>
          </w:divBdr>
        </w:div>
        <w:div w:id="1758479857">
          <w:marLeft w:val="0"/>
          <w:marRight w:val="0"/>
          <w:marTop w:val="0"/>
          <w:marBottom w:val="0"/>
          <w:divBdr>
            <w:top w:val="none" w:sz="0" w:space="0" w:color="auto"/>
            <w:left w:val="none" w:sz="0" w:space="0" w:color="auto"/>
            <w:bottom w:val="none" w:sz="0" w:space="0" w:color="auto"/>
            <w:right w:val="none" w:sz="0" w:space="0" w:color="auto"/>
          </w:divBdr>
        </w:div>
        <w:div w:id="1114637951">
          <w:marLeft w:val="0"/>
          <w:marRight w:val="0"/>
          <w:marTop w:val="0"/>
          <w:marBottom w:val="0"/>
          <w:divBdr>
            <w:top w:val="none" w:sz="0" w:space="0" w:color="auto"/>
            <w:left w:val="none" w:sz="0" w:space="0" w:color="auto"/>
            <w:bottom w:val="none" w:sz="0" w:space="0" w:color="auto"/>
            <w:right w:val="none" w:sz="0" w:space="0" w:color="auto"/>
          </w:divBdr>
        </w:div>
        <w:div w:id="1043216366">
          <w:marLeft w:val="0"/>
          <w:marRight w:val="0"/>
          <w:marTop w:val="0"/>
          <w:marBottom w:val="0"/>
          <w:divBdr>
            <w:top w:val="none" w:sz="0" w:space="0" w:color="auto"/>
            <w:left w:val="none" w:sz="0" w:space="0" w:color="auto"/>
            <w:bottom w:val="none" w:sz="0" w:space="0" w:color="auto"/>
            <w:right w:val="none" w:sz="0" w:space="0" w:color="auto"/>
          </w:divBdr>
        </w:div>
        <w:div w:id="1113790689">
          <w:marLeft w:val="0"/>
          <w:marRight w:val="0"/>
          <w:marTop w:val="0"/>
          <w:marBottom w:val="0"/>
          <w:divBdr>
            <w:top w:val="none" w:sz="0" w:space="0" w:color="auto"/>
            <w:left w:val="none" w:sz="0" w:space="0" w:color="auto"/>
            <w:bottom w:val="none" w:sz="0" w:space="0" w:color="auto"/>
            <w:right w:val="none" w:sz="0" w:space="0" w:color="auto"/>
          </w:divBdr>
        </w:div>
        <w:div w:id="66267925">
          <w:marLeft w:val="0"/>
          <w:marRight w:val="0"/>
          <w:marTop w:val="0"/>
          <w:marBottom w:val="0"/>
          <w:divBdr>
            <w:top w:val="none" w:sz="0" w:space="0" w:color="auto"/>
            <w:left w:val="none" w:sz="0" w:space="0" w:color="auto"/>
            <w:bottom w:val="none" w:sz="0" w:space="0" w:color="auto"/>
            <w:right w:val="none" w:sz="0" w:space="0" w:color="auto"/>
          </w:divBdr>
        </w:div>
      </w:divsChild>
    </w:div>
    <w:div w:id="1640185775">
      <w:bodyDiv w:val="1"/>
      <w:marLeft w:val="0"/>
      <w:marRight w:val="0"/>
      <w:marTop w:val="0"/>
      <w:marBottom w:val="0"/>
      <w:divBdr>
        <w:top w:val="none" w:sz="0" w:space="0" w:color="auto"/>
        <w:left w:val="none" w:sz="0" w:space="0" w:color="auto"/>
        <w:bottom w:val="none" w:sz="0" w:space="0" w:color="auto"/>
        <w:right w:val="none" w:sz="0" w:space="0" w:color="auto"/>
      </w:divBdr>
      <w:divsChild>
        <w:div w:id="427699910">
          <w:marLeft w:val="0"/>
          <w:marRight w:val="0"/>
          <w:marTop w:val="0"/>
          <w:marBottom w:val="0"/>
          <w:divBdr>
            <w:top w:val="none" w:sz="0" w:space="0" w:color="auto"/>
            <w:left w:val="none" w:sz="0" w:space="0" w:color="auto"/>
            <w:bottom w:val="none" w:sz="0" w:space="0" w:color="auto"/>
            <w:right w:val="none" w:sz="0" w:space="0" w:color="auto"/>
          </w:divBdr>
        </w:div>
        <w:div w:id="1965505902">
          <w:marLeft w:val="0"/>
          <w:marRight w:val="0"/>
          <w:marTop w:val="0"/>
          <w:marBottom w:val="0"/>
          <w:divBdr>
            <w:top w:val="none" w:sz="0" w:space="0" w:color="auto"/>
            <w:left w:val="none" w:sz="0" w:space="0" w:color="auto"/>
            <w:bottom w:val="none" w:sz="0" w:space="0" w:color="auto"/>
            <w:right w:val="none" w:sz="0" w:space="0" w:color="auto"/>
          </w:divBdr>
        </w:div>
        <w:div w:id="1332028840">
          <w:marLeft w:val="0"/>
          <w:marRight w:val="0"/>
          <w:marTop w:val="0"/>
          <w:marBottom w:val="0"/>
          <w:divBdr>
            <w:top w:val="none" w:sz="0" w:space="0" w:color="auto"/>
            <w:left w:val="none" w:sz="0" w:space="0" w:color="auto"/>
            <w:bottom w:val="none" w:sz="0" w:space="0" w:color="auto"/>
            <w:right w:val="none" w:sz="0" w:space="0" w:color="auto"/>
          </w:divBdr>
        </w:div>
        <w:div w:id="965812999">
          <w:marLeft w:val="0"/>
          <w:marRight w:val="0"/>
          <w:marTop w:val="0"/>
          <w:marBottom w:val="0"/>
          <w:divBdr>
            <w:top w:val="none" w:sz="0" w:space="0" w:color="auto"/>
            <w:left w:val="none" w:sz="0" w:space="0" w:color="auto"/>
            <w:bottom w:val="none" w:sz="0" w:space="0" w:color="auto"/>
            <w:right w:val="none" w:sz="0" w:space="0" w:color="auto"/>
          </w:divBdr>
        </w:div>
        <w:div w:id="1584489225">
          <w:marLeft w:val="0"/>
          <w:marRight w:val="0"/>
          <w:marTop w:val="0"/>
          <w:marBottom w:val="0"/>
          <w:divBdr>
            <w:top w:val="none" w:sz="0" w:space="0" w:color="auto"/>
            <w:left w:val="none" w:sz="0" w:space="0" w:color="auto"/>
            <w:bottom w:val="none" w:sz="0" w:space="0" w:color="auto"/>
            <w:right w:val="none" w:sz="0" w:space="0" w:color="auto"/>
          </w:divBdr>
        </w:div>
        <w:div w:id="1726565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edd.wales/NAfW%20Documents/About%20the%20Assembly%20section%20documents/Safeguarding-Guidance-%20English.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safeguarding.network/content-delivery/building-a-bigger-picture-effective-recording/" TargetMode="External"/><Relationship Id="rId12" Type="http://schemas.openxmlformats.org/officeDocument/2006/relationships/hyperlink" Target="https://cpdonline.co.uk/knowledge-base/safeguarding/reporting-intervening-cases-child-neglec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hildlawadvice.org.uk/information-pages/child-protection-referral-assessments-and-outcomes/" TargetMode="External"/><Relationship Id="rId11" Type="http://schemas.openxmlformats.org/officeDocument/2006/relationships/hyperlink" Target="https://safeguarding.wales/e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earning.nspcc.org.uk/safeguarding-child-protection/duty-of-care-and-safeguarding" TargetMode="External"/><Relationship Id="rId4" Type="http://schemas.openxmlformats.org/officeDocument/2006/relationships/footnotes" Target="footnotes.xml"/><Relationship Id="rId9" Type="http://schemas.openxmlformats.org/officeDocument/2006/relationships/hyperlink" Target="https://www.ncvo.org.uk/help-and-guidance/safeguarding/steps-safer-organisation/recognise-respond-and-repo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667</Words>
  <Characters>4700</Characters>
  <Application>Microsoft Office Word</Application>
  <DocSecurity>0</DocSecurity>
  <Lines>75</Lines>
  <Paragraphs>25</Paragraphs>
  <ScaleCrop>false</ScaleCrop>
  <Company/>
  <LinksUpToDate>false</LinksUpToDate>
  <CharactersWithSpaces>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Beca Hiscocks</cp:lastModifiedBy>
  <cp:revision>1</cp:revision>
  <dcterms:created xsi:type="dcterms:W3CDTF">2024-11-29T19:05:00Z</dcterms:created>
  <dcterms:modified xsi:type="dcterms:W3CDTF">2024-11-29T19:10:00Z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a4d22259-e153-4ec7-a0e3-10c1f5a828f5</vt:lpwstr>
  </property>
</Properties>
</file>