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E5651DB" w14:textId="77777777" w:rsidR="008F3CE8" w:rsidRDefault="009B4C2E" w:rsidP="009B4C2E">
      <w:pPr>
        <w:jc w:val="center"/>
        <w:rPr>
          <w:b/>
          <w:sz w:val="28"/>
          <w:u w:val="single"/>
        </w:rPr>
      </w:pPr>
      <w:r>
        <w:rPr>
          <w:b/>
          <w:sz w:val="28"/>
          <w:u w:val="single"/>
        </w:rPr>
        <w:t>Discuss the significance of Dionysos and Herakles in the integration of India into Graeco-Roman myth/history.</w:t>
      </w:r>
    </w:p>
    <w:p w14:paraId="108F12A2" w14:textId="77777777" w:rsidR="009B4C2E" w:rsidRDefault="009B4C2E" w:rsidP="009B4C2E">
      <w:pPr>
        <w:jc w:val="center"/>
        <w:rPr>
          <w:b/>
          <w:sz w:val="28"/>
          <w:u w:val="single"/>
        </w:rPr>
      </w:pPr>
    </w:p>
    <w:p w14:paraId="5BCA7CAF" w14:textId="3FC2A669" w:rsidR="009B4C2E" w:rsidRDefault="009B4C2E" w:rsidP="009B4C2E">
      <w:r>
        <w:t>All myths have their foundation in reality. Herakles and Dionysos were important deities throughout the Graeco-Roman world, this can clearly be seen via the medium of Literature, architecture and, numismatics. In this essay, I will discuss how India and the deities: Herakles and Dionysos are clearly connected with each other during the Graeco-Roman period and how it contributes to its myth and history.</w:t>
      </w:r>
      <w:r w:rsidR="008074B3">
        <w:t xml:space="preserve"> Dionysos was one of the twelve Olympians and was the god of wine, pleasure, and festivity</w:t>
      </w:r>
      <w:r w:rsidR="00E70525">
        <w:t xml:space="preserve"> and was an important deity in Graeco-Roman culture and was supposedly born out of Zeus thigh in a mountain between the Choes and Kunar valley</w:t>
      </w:r>
      <w:r w:rsidR="00E70525">
        <w:rPr>
          <w:rStyle w:val="FootnoteReference"/>
        </w:rPr>
        <w:footnoteReference w:id="1"/>
      </w:r>
      <w:r w:rsidR="00E70525">
        <w:t xml:space="preserve">. </w:t>
      </w:r>
      <w:r w:rsidR="00C124B3">
        <w:t>Herakles, was also a son (there are many…) of Zeus, and thus a demigod and was seen as the protector of mankind, Herakles was often depicted as muscular, with a club and wearing a lion’s skull cap this is often seen on coinage to link a King or emperor to the demigod.</w:t>
      </w:r>
      <w:r>
        <w:t xml:space="preserve"> Myths of Herakles’ and Dionysos’, or deities with similar attributes in Indian myth, are evident before Alexander’s attempted conquest of the country in 327 BCE.</w:t>
      </w:r>
      <w:r w:rsidR="00CA5876">
        <w:t xml:space="preserve"> The Macedonians would have, to an extent known about India, its people and its territory through Herodotus and his </w:t>
      </w:r>
      <w:r w:rsidR="00CA5876">
        <w:rPr>
          <w:i/>
        </w:rPr>
        <w:t>Histories</w:t>
      </w:r>
      <w:r w:rsidR="00CA5876">
        <w:t xml:space="preserve"> and also the </w:t>
      </w:r>
      <w:r w:rsidR="00CA5876">
        <w:rPr>
          <w:i/>
        </w:rPr>
        <w:t xml:space="preserve">History of India </w:t>
      </w:r>
      <w:r w:rsidR="00CA5876">
        <w:t>by Ctesias, however we now know that these historians’ accounts were partially incorrect, fragmentary, and regarding Ctesias in particular nothing that can be attributed to him has survived, only accounts of other authors who used Ctesias as a source</w:t>
      </w:r>
      <w:r w:rsidR="00CA5876">
        <w:rPr>
          <w:rStyle w:val="FootnoteReference"/>
        </w:rPr>
        <w:footnoteReference w:id="2"/>
      </w:r>
      <w:r w:rsidR="000E4B8B">
        <w:t>. It is unlikely that there were Greeks in India before Alexander’s invasion, or evidence detailing t</w:t>
      </w:r>
      <w:r w:rsidR="00955EAC">
        <w:t>his has not survived, but India, or a part of India was likely apart of the Persian empire, whether under Cyrus the Great, or King Darius.</w:t>
      </w:r>
      <w:r w:rsidR="00B05840">
        <w:t xml:space="preserve"> India was never formally pacified under any Graeco-Roman king or emperor, but many wanted, or attempted to replicate Alexander’s ‘</w:t>
      </w:r>
      <w:r w:rsidR="00913AC6">
        <w:t>successes’</w:t>
      </w:r>
      <w:r w:rsidR="00B05840">
        <w:t xml:space="preserve"> on the continent. </w:t>
      </w:r>
      <w:r w:rsidR="00913AC6">
        <w:t xml:space="preserve">Roman relations with India </w:t>
      </w:r>
      <w:r w:rsidR="001A6C09">
        <w:t>relied heavily on</w:t>
      </w:r>
      <w:r w:rsidR="00913AC6">
        <w:t xml:space="preserve"> trade which began under the emperor Augustus after the conquest of Egypt</w:t>
      </w:r>
      <w:r w:rsidR="00913AC6">
        <w:rPr>
          <w:rStyle w:val="FootnoteReference"/>
        </w:rPr>
        <w:footnoteReference w:id="3"/>
      </w:r>
      <w:r w:rsidR="00913AC6">
        <w:t>.</w:t>
      </w:r>
      <w:r w:rsidR="001A6C09">
        <w:t xml:space="preserve"> The integration of India into Graeco-Roman</w:t>
      </w:r>
      <w:r w:rsidR="00A9262D">
        <w:t xml:space="preserve"> myth and history is arguably a result of Alexander’s and Seleucus’ campaigns into India and then their finding, or creating</w:t>
      </w:r>
      <w:r w:rsidR="00A9262D">
        <w:rPr>
          <w:rStyle w:val="FootnoteReference"/>
        </w:rPr>
        <w:footnoteReference w:id="4"/>
      </w:r>
      <w:r w:rsidR="00A9262D">
        <w:t xml:space="preserve"> of evidence that Herakles and Dionysos had been there. It is more likely than not that they found local deities that the natives worshipped with similar attributes of Herakles and Dionysos and thus named them so they were easier to integrate into Graeco-Roman society and culture.</w:t>
      </w:r>
    </w:p>
    <w:p w14:paraId="663F099C" w14:textId="2B0E36DF" w:rsidR="0079342F" w:rsidRDefault="006566EB" w:rsidP="009B4C2E">
      <w:r>
        <w:t xml:space="preserve">The existence of Dionysos in Graeco-Roman myth and history is clear as one of the Olympians, but his existence spans further into Egypt, Bactria, Asia, and the Indian subcontinent because of our Graeco-Roman authors. </w:t>
      </w:r>
      <w:r w:rsidR="00196E8A">
        <w:t xml:space="preserve">Dionysos had a festival, the </w:t>
      </w:r>
      <w:r w:rsidR="00A26D7A">
        <w:t>Dionysia, dedicated to him (described as a writer’s competition by some) and explores one of the origin stories for Dionysos and being the god of extremes – kind and cruel, generous and vengeful. These attributes were also used to describe Alexander, he also blamed Dionysos for the death of Cleitus after destroying Thebes, Dionysos’ sacred city</w:t>
      </w:r>
      <w:r w:rsidR="00A26D7A">
        <w:rPr>
          <w:rStyle w:val="FootnoteReference"/>
        </w:rPr>
        <w:footnoteReference w:id="5"/>
      </w:r>
      <w:r w:rsidR="00A26D7A">
        <w:t>.</w:t>
      </w:r>
      <w:r w:rsidR="00887ED2">
        <w:t xml:space="preserve"> Alexander was first exposed to Dionysos as a child through the Cult of Dionysos as his mother, Olympias was initiated into it</w:t>
      </w:r>
      <w:r w:rsidR="003673AD">
        <w:rPr>
          <w:rStyle w:val="FootnoteReference"/>
        </w:rPr>
        <w:footnoteReference w:id="6"/>
      </w:r>
      <w:r w:rsidR="003673AD">
        <w:t xml:space="preserve">. </w:t>
      </w:r>
      <w:r w:rsidR="00C87993">
        <w:t>Before Alexander reached India there was a legend in Graeco-Roman myth that Dionysos had started his tri</w:t>
      </w:r>
      <w:r w:rsidR="004033B7">
        <w:t xml:space="preserve">umphal campaign in the Indian subcontinent. Arguably one of Alexander’s motivations for his campaign into India was the divine precedent set by </w:t>
      </w:r>
      <w:r w:rsidR="004033B7">
        <w:lastRenderedPageBreak/>
        <w:t>Herakles and Dionysos</w:t>
      </w:r>
      <w:r w:rsidR="00843029">
        <w:rPr>
          <w:rStyle w:val="FootnoteReference"/>
        </w:rPr>
        <w:footnoteReference w:id="7"/>
      </w:r>
      <w:r w:rsidR="004033B7">
        <w:t xml:space="preserve"> centuries before him</w:t>
      </w:r>
      <w:r w:rsidR="00843029">
        <w:t>, Pausanias argues that Dionysos was the first to reach India in his opinion</w:t>
      </w:r>
      <w:r w:rsidR="00843029">
        <w:rPr>
          <w:rStyle w:val="FootnoteReference"/>
        </w:rPr>
        <w:footnoteReference w:id="8"/>
      </w:r>
      <w:r w:rsidR="004033B7">
        <w:t xml:space="preserve">. Dionysos is </w:t>
      </w:r>
      <w:r w:rsidR="00843029">
        <w:t>said to have brought wine and taught many Asian cu</w:t>
      </w:r>
      <w:r w:rsidR="006330C1">
        <w:t>ltures the skill of wine-making</w:t>
      </w:r>
      <w:r w:rsidR="00C90119">
        <w:t>, sowing the land, and building cities</w:t>
      </w:r>
      <w:r w:rsidR="006330C1">
        <w:t>, as well as traversing the entire country to erect pillars that were said to hold up the sky</w:t>
      </w:r>
      <w:r w:rsidR="006330C1">
        <w:rPr>
          <w:rStyle w:val="FootnoteReference"/>
        </w:rPr>
        <w:footnoteReference w:id="9"/>
      </w:r>
      <w:r w:rsidR="00E71D99">
        <w:t>. However, whether these pillars were built or not we cannot tell, but Strabo says when the Macedonians reached India they were not standing but they found signs of this story, this account would be evidence for Bosworth’s claim that Alexander’s staff were ready to find and create evidence for Herakles’ and Dionysos’ existence in India.</w:t>
      </w:r>
      <w:r w:rsidR="003673AD">
        <w:t xml:space="preserve"> </w:t>
      </w:r>
      <w:r w:rsidR="0047340E">
        <w:t xml:space="preserve"> The appearance that Alexander adopted during his campaigns</w:t>
      </w:r>
      <w:r w:rsidR="007947AD">
        <w:t xml:space="preserve"> in Asia</w:t>
      </w:r>
      <w:r w:rsidR="003B3CA6">
        <w:t>, especially a diadem most likely to signify royalty</w:t>
      </w:r>
      <w:r w:rsidR="0047340E">
        <w:t xml:space="preserve"> draws upon similarities with Dionysos</w:t>
      </w:r>
      <w:r w:rsidR="007947AD">
        <w:t xml:space="preserve"> and would further the significance of the deity within Graeco-Roman culture.</w:t>
      </w:r>
      <w:r w:rsidR="003B3CA6">
        <w:t xml:space="preserve"> It is unclear whether his dress promoting similarities between Alexander and Dionysos was accidental or was on purpose, historians have varied views on this  </w:t>
      </w:r>
      <w:r w:rsidR="007947AD">
        <w:t xml:space="preserve"> </w:t>
      </w:r>
      <w:r w:rsidR="00A73050">
        <w:t>Fox says that “Both in art and literature parallels were drawn between Alexander and Dionysos”</w:t>
      </w:r>
      <w:r w:rsidR="00A73050">
        <w:rPr>
          <w:rStyle w:val="FootnoteReference"/>
        </w:rPr>
        <w:footnoteReference w:id="10"/>
      </w:r>
      <w:r w:rsidR="00A73050">
        <w:t xml:space="preserve"> This theme seemed to occur predominantly after Alexander’s death and when the Ptolemies began saying they were descended from Dionysos through Phillip II.</w:t>
      </w:r>
      <w:r w:rsidR="00544D8A">
        <w:t xml:space="preserve"> </w:t>
      </w:r>
      <w:r w:rsidR="00544D8A">
        <w:t>Ptolemy would go on to mint a coin of the deified Alexander and the horn of Ammon on the obverse and Dionysos on the reverse</w:t>
      </w:r>
      <w:r w:rsidR="00544D8A">
        <w:rPr>
          <w:rStyle w:val="FootnoteReference"/>
        </w:rPr>
        <w:footnoteReference w:id="11"/>
      </w:r>
      <w:r w:rsidR="00544D8A">
        <w:t>.</w:t>
      </w:r>
      <w:r w:rsidR="00544D8A">
        <w:t xml:space="preserve"> </w:t>
      </w:r>
      <w:r w:rsidR="001666C1">
        <w:t>Fredericksmeyer says that the tradition of Dionysos’ campaign in India would have been well known in Macedonia with their being Homeric tradition reinforcing it and “Dionysos would have served Alexander and his men as their heroic model for conquest of the East”</w:t>
      </w:r>
      <w:r w:rsidR="001666C1">
        <w:rPr>
          <w:rStyle w:val="FootnoteReference"/>
        </w:rPr>
        <w:footnoteReference w:id="12"/>
      </w:r>
      <w:r w:rsidR="001666C1">
        <w:t xml:space="preserve"> this would have been important to Macedonian kings and people </w:t>
      </w:r>
      <w:r w:rsidR="00F92EFC">
        <w:t>alike and</w:t>
      </w:r>
      <w:r w:rsidR="004A67DB">
        <w:t xml:space="preserve"> would go on to show that his kingship was unique in that it would take on forms from Greece, Macedon, Persia, India and the East.</w:t>
      </w:r>
      <w:r w:rsidR="0079342F">
        <w:t xml:space="preserve"> Furthermore, Collins commented that “We could not possibly know that Alexander knew of a connection between Dionysos and the Diadem.</w:t>
      </w:r>
      <w:r w:rsidR="0079342F">
        <w:rPr>
          <w:rStyle w:val="FootnoteReference"/>
        </w:rPr>
        <w:footnoteReference w:id="13"/>
      </w:r>
      <w:r w:rsidR="00544D8A">
        <w:t>” While Dionysos certainly spurred Alexander’s conquest in the East it is clear that a connection between the two were already evident and thus Alexander would have used and furthered the significance of Dionysos in India to help integrate the deity into the Graeco-Roman conception of the subcontinent.</w:t>
      </w:r>
    </w:p>
    <w:p w14:paraId="5FBC9F01" w14:textId="1C517EF3" w:rsidR="001A6C09" w:rsidRDefault="00707828" w:rsidP="009B4C2E">
      <w:r>
        <w:t>Herakles is discussed in Graeco-Roman history as their most famous hero and demigod as a son of Zeus. In relation to his connection to India, there is not much literary or other evidence to go off whether it has not survived or never existed</w:t>
      </w:r>
      <w:r w:rsidR="00C90119">
        <w:t xml:space="preserve"> and especially his invasion of India.</w:t>
      </w:r>
      <w:r w:rsidR="00985011">
        <w:t xml:space="preserve"> Herakles’ campaign is mainly but briefly described during Alexander’s conquest of India whilst sieging the mountain fortress of Aornus, and how even Herakles could not capture it, whereas Alexander could with an army and modern siege equipment (seems fair)</w:t>
      </w:r>
      <w:r w:rsidR="00985011">
        <w:rPr>
          <w:rStyle w:val="FootnoteReference"/>
        </w:rPr>
        <w:footnoteReference w:id="14"/>
      </w:r>
      <w:r w:rsidR="00674562">
        <w:t>, this is most likely a forced reference to Herakles and most definitely a Macedonian boast</w:t>
      </w:r>
      <w:r w:rsidR="001B21ED">
        <w:t xml:space="preserve"> but Arrian also mentions a practical element to the taking of the fortress. Arrian also states that he is not inclined to say that none of the Herakles</w:t>
      </w:r>
      <w:r w:rsidR="00470381">
        <w:t>’ went to India and that Herakles was mentioned to make the achievement seem more impressive</w:t>
      </w:r>
      <w:r w:rsidR="00470381">
        <w:rPr>
          <w:rStyle w:val="FootnoteReference"/>
        </w:rPr>
        <w:footnoteReference w:id="15"/>
      </w:r>
      <w:r w:rsidR="00470381">
        <w:t>.</w:t>
      </w:r>
      <w:r w:rsidR="001B21ED">
        <w:t xml:space="preserve"> </w:t>
      </w:r>
      <w:r w:rsidR="00674562">
        <w:t xml:space="preserve">Megasthenes mentions an Indian Herakles in his </w:t>
      </w:r>
      <w:r w:rsidR="00674562">
        <w:rPr>
          <w:i/>
        </w:rPr>
        <w:t>Indika</w:t>
      </w:r>
      <w:r w:rsidR="00674562">
        <w:t xml:space="preserve"> however this has been lost over time and we hear about it only through other sources</w:t>
      </w:r>
      <w:r w:rsidR="00DB11E4">
        <w:t>, which would most likely not be an accurate account of what he would have wrote.</w:t>
      </w:r>
      <w:r w:rsidR="00FB14EB">
        <w:t xml:space="preserve"> However, the visual description of the Indian Herakles is similar to that of the Greeks (club and lion skull cap) but most historians often describe the Indian Herakles as </w:t>
      </w:r>
      <w:r w:rsidR="00FB14EB">
        <w:lastRenderedPageBreak/>
        <w:t>Krishna and upon the Greeks seeing a god of similar characteristics as the Theban Herakles they re-named him so to easier integrate him into the common conception of Indian deities.</w:t>
      </w:r>
      <w:r w:rsidR="00D868B1">
        <w:t xml:space="preserve"> The two also share very similar origin stories of great strength and smarts for a child by killing the snakes sent into his bed.</w:t>
      </w:r>
      <w:r w:rsidR="00D05C62">
        <w:t xml:space="preserve"> This is not the only time a Greek or Roman author mentions more than one Herakles as Diodorus mentions three of them: Egyptian, Cretan, and the third is not given a nationality just he lived before the Trojan war and is mentioned with the same accomplishments as the Theban Herakles</w:t>
      </w:r>
      <w:r w:rsidR="00D05C62">
        <w:rPr>
          <w:rStyle w:val="FootnoteReference"/>
        </w:rPr>
        <w:footnoteReference w:id="16"/>
      </w:r>
      <w:r w:rsidR="00D868B1">
        <w:t>.</w:t>
      </w:r>
      <w:r w:rsidR="000B096C">
        <w:t xml:space="preserve"> </w:t>
      </w:r>
    </w:p>
    <w:p w14:paraId="513CAE22" w14:textId="652634CC" w:rsidR="000B096C" w:rsidRDefault="000B096C" w:rsidP="000B096C">
      <w:r>
        <w:t>Alexander sought divine ancestry to Herakles and Zeus</w:t>
      </w:r>
      <w:r>
        <w:rPr>
          <w:rStyle w:val="FootnoteReference"/>
        </w:rPr>
        <w:footnoteReference w:id="17"/>
      </w:r>
      <w:r>
        <w:t xml:space="preserve"> through the Argead dynasty of Argos as many Greek Kings and Roman emperors would go on to do. Diodorus mentions that when Alexander met the Thessalonians that he reminded them of their common ancestor, Herakles</w:t>
      </w:r>
      <w:r>
        <w:rPr>
          <w:rStyle w:val="FootnoteReference"/>
        </w:rPr>
        <w:footnoteReference w:id="18"/>
      </w:r>
      <w:r>
        <w:t xml:space="preserve">, although it is likely many would have claimed divine ancestry from Herakles. </w:t>
      </w:r>
      <w:r w:rsidR="00686E02">
        <w:t>Alexander was also minted onto coins which showed him wearing the lion skin headdress and club on the obverse and Zeus with a sceptre and eagle on the reverse</w:t>
      </w:r>
      <w:r w:rsidR="00686E02">
        <w:rPr>
          <w:rStyle w:val="FootnoteReference"/>
        </w:rPr>
        <w:footnoteReference w:id="19"/>
      </w:r>
      <w:r w:rsidR="00686E02">
        <w:t xml:space="preserve"> further connecting Alexander with Herakles and Zeus which would have been distributed throughout his now fractured empire but none the less an example of posthumous propaganda.</w:t>
      </w:r>
      <w:r w:rsidR="00B05DC5">
        <w:t xml:space="preserve"> During Alexander’s campaign in India </w:t>
      </w:r>
      <w:r w:rsidR="001B21ED">
        <w:t>he is said to have been greeted by local rulers as the “third son of Jupiter (Zeus) to have reached them”</w:t>
      </w:r>
      <w:r w:rsidR="001B21ED">
        <w:rPr>
          <w:rStyle w:val="FootnoteReference"/>
        </w:rPr>
        <w:footnoteReference w:id="20"/>
      </w:r>
      <w:r w:rsidR="001B21ED">
        <w:t xml:space="preserve"> a clear reference to Herakles, this may have been mere rumour so to further connect India and Herakles. Before battle during his Eastern campaign Curtius says that Alexander told his troops that “they would traverse the bounds set by Herakles and Dionysos to subdue not only the Persians but all races of the earth”</w:t>
      </w:r>
      <w:r w:rsidR="001B21ED">
        <w:rPr>
          <w:rStyle w:val="FootnoteReference"/>
        </w:rPr>
        <w:footnoteReference w:id="21"/>
      </w:r>
      <w:r w:rsidR="001B21ED">
        <w:t>.</w:t>
      </w:r>
      <w:r w:rsidR="00B44684">
        <w:t xml:space="preserve"> </w:t>
      </w:r>
      <w:r w:rsidR="00F20D30">
        <w:t>Furthermore, Alexander references Herakles after defeating Porus in battle and at the Hyphasis River</w:t>
      </w:r>
      <w:r w:rsidR="00F20D30">
        <w:rPr>
          <w:rStyle w:val="FootnoteReference"/>
        </w:rPr>
        <w:footnoteReference w:id="22"/>
      </w:r>
      <w:r w:rsidR="00F20D30">
        <w:t>. Porus’ appearance in battle was said to be similar of Herakles and that the banner that he carried during the battle contained an image of Herakles with a club and lion skin skull cap. This may be a fabrication of Alexander or his staff to make his defeat of Porus seem like an even greater achievement to the people and also to connect India and Herakles.</w:t>
      </w:r>
    </w:p>
    <w:p w14:paraId="53E49D4A" w14:textId="249B00D6" w:rsidR="00F20D30" w:rsidRDefault="00F20D30" w:rsidP="000B096C">
      <w:r>
        <w:t xml:space="preserve">In conclusion, the deities of Dionysos and Herakles were already well established in India before Alexander’s invasion, whether they were the Graeco-Roman Dionysos and Herakles or Indian deities of the same attributes is impossible to tell. It is most likely that Alexander set about creating a bigger connection between the deities and India through his campaign on the subcontinent. Most accounts from historians that have survived cannot always be taken at face value as it is likely that they did not travel </w:t>
      </w:r>
      <w:r w:rsidR="00056379">
        <w:t>to India and those close to Alexander would be biased and thus his conquest would appear to be a bigger accomplishment than the fact.</w:t>
      </w:r>
    </w:p>
    <w:p w14:paraId="697BD301" w14:textId="1B1A5A76" w:rsidR="00056379" w:rsidRDefault="00056379" w:rsidP="000B096C"/>
    <w:p w14:paraId="5D0D0EB9" w14:textId="68ED9075" w:rsidR="00056379" w:rsidRDefault="00056379" w:rsidP="000B096C"/>
    <w:p w14:paraId="7CCBD388" w14:textId="6D442BDF" w:rsidR="00056379" w:rsidRDefault="00056379" w:rsidP="000B096C"/>
    <w:p w14:paraId="6B540830" w14:textId="5EBDD003" w:rsidR="00056379" w:rsidRDefault="00056379" w:rsidP="000B096C"/>
    <w:p w14:paraId="32E1F163" w14:textId="287387B5" w:rsidR="00056379" w:rsidRDefault="00056379" w:rsidP="000B096C">
      <w:pPr>
        <w:rPr>
          <w:b/>
          <w:sz w:val="24"/>
          <w:u w:val="single"/>
        </w:rPr>
      </w:pPr>
      <w:r w:rsidRPr="00056379">
        <w:rPr>
          <w:b/>
          <w:sz w:val="24"/>
          <w:u w:val="single"/>
        </w:rPr>
        <w:lastRenderedPageBreak/>
        <w:t>Bibliography:</w:t>
      </w:r>
    </w:p>
    <w:p w14:paraId="732A0557" w14:textId="520E03CB" w:rsidR="00056379" w:rsidRDefault="00056379" w:rsidP="000B096C">
      <w:pPr>
        <w:rPr>
          <w:b/>
          <w:sz w:val="24"/>
          <w:u w:val="single"/>
        </w:rPr>
      </w:pPr>
      <w:r>
        <w:rPr>
          <w:b/>
          <w:sz w:val="24"/>
          <w:u w:val="single"/>
        </w:rPr>
        <w:t>Ancient Sources:</w:t>
      </w:r>
    </w:p>
    <w:p w14:paraId="6E315D89" w14:textId="383E2B6D" w:rsidR="00056379" w:rsidRPr="00056379" w:rsidRDefault="00056379" w:rsidP="00056379">
      <w:pPr>
        <w:spacing w:line="480" w:lineRule="auto"/>
        <w:rPr>
          <w:rFonts w:cstheme="minorHAnsi"/>
        </w:rPr>
      </w:pPr>
      <w:r w:rsidRPr="00056379">
        <w:rPr>
          <w:rFonts w:cstheme="minorHAnsi"/>
        </w:rPr>
        <w:t xml:space="preserve">Arrian. </w:t>
      </w:r>
      <w:r w:rsidRPr="00056379">
        <w:rPr>
          <w:rFonts w:cstheme="minorHAnsi"/>
          <w:i/>
        </w:rPr>
        <w:t>The campaigns of Alexander</w:t>
      </w:r>
      <w:r w:rsidRPr="00056379">
        <w:rPr>
          <w:rFonts w:cstheme="minorHAnsi"/>
        </w:rPr>
        <w:t xml:space="preserve">. </w:t>
      </w:r>
      <w:r w:rsidRPr="00056379">
        <w:rPr>
          <w:rFonts w:cstheme="minorHAnsi"/>
        </w:rPr>
        <w:t>A. de Sélincourt (</w:t>
      </w:r>
      <w:proofErr w:type="gramStart"/>
      <w:r w:rsidRPr="00056379">
        <w:rPr>
          <w:rFonts w:cstheme="minorHAnsi"/>
        </w:rPr>
        <w:t>trans</w:t>
      </w:r>
      <w:proofErr w:type="gramEnd"/>
      <w:r w:rsidRPr="00056379">
        <w:rPr>
          <w:rFonts w:cstheme="minorHAnsi"/>
        </w:rPr>
        <w:t>.).</w:t>
      </w:r>
      <w:r w:rsidRPr="00056379">
        <w:rPr>
          <w:rFonts w:cstheme="minorHAnsi"/>
        </w:rPr>
        <w:t xml:space="preserve"> 1976. London: Penguin Classics.</w:t>
      </w:r>
    </w:p>
    <w:p w14:paraId="5DA31769" w14:textId="613CA275" w:rsidR="00056379" w:rsidRPr="00056379" w:rsidRDefault="00056379" w:rsidP="00056379">
      <w:pPr>
        <w:spacing w:line="480" w:lineRule="auto"/>
        <w:rPr>
          <w:rFonts w:cstheme="minorHAnsi"/>
        </w:rPr>
      </w:pPr>
      <w:r w:rsidRPr="00056379">
        <w:rPr>
          <w:rFonts w:cstheme="minorHAnsi"/>
        </w:rPr>
        <w:t xml:space="preserve">Diodorus Siculus. </w:t>
      </w:r>
      <w:r w:rsidRPr="00056379">
        <w:rPr>
          <w:rFonts w:cstheme="minorHAnsi"/>
          <w:i/>
        </w:rPr>
        <w:t xml:space="preserve">Diodorus of Sicily in twelve volumes. </w:t>
      </w:r>
      <w:r w:rsidRPr="00056379">
        <w:rPr>
          <w:rFonts w:cstheme="minorHAnsi"/>
        </w:rPr>
        <w:t>C.H. Oldfather (</w:t>
      </w:r>
      <w:proofErr w:type="gramStart"/>
      <w:r w:rsidRPr="00056379">
        <w:rPr>
          <w:rFonts w:cstheme="minorHAnsi"/>
        </w:rPr>
        <w:t>trans</w:t>
      </w:r>
      <w:proofErr w:type="gramEnd"/>
      <w:r w:rsidRPr="00056379">
        <w:rPr>
          <w:rFonts w:cstheme="minorHAnsi"/>
        </w:rPr>
        <w:t>.). 1989. London: William Heinemann, Ltd.</w:t>
      </w:r>
    </w:p>
    <w:p w14:paraId="54C6019E" w14:textId="77777777" w:rsidR="00056379" w:rsidRPr="00056379" w:rsidRDefault="00056379" w:rsidP="00056379">
      <w:pPr>
        <w:spacing w:line="480" w:lineRule="auto"/>
        <w:rPr>
          <w:rFonts w:cstheme="minorHAnsi"/>
        </w:rPr>
      </w:pPr>
      <w:r w:rsidRPr="00056379">
        <w:rPr>
          <w:rFonts w:cstheme="minorHAnsi"/>
        </w:rPr>
        <w:t xml:space="preserve">Herodotus. </w:t>
      </w:r>
      <w:r w:rsidRPr="00056379">
        <w:rPr>
          <w:rFonts w:cstheme="minorHAnsi"/>
          <w:i/>
        </w:rPr>
        <w:t>The Histories.</w:t>
      </w:r>
      <w:r w:rsidRPr="00056379">
        <w:rPr>
          <w:rFonts w:cstheme="minorHAnsi"/>
        </w:rPr>
        <w:t xml:space="preserve"> A. de Sélincourt (</w:t>
      </w:r>
      <w:proofErr w:type="gramStart"/>
      <w:r w:rsidRPr="00056379">
        <w:rPr>
          <w:rFonts w:cstheme="minorHAnsi"/>
        </w:rPr>
        <w:t>trans</w:t>
      </w:r>
      <w:proofErr w:type="gramEnd"/>
      <w:r w:rsidRPr="00056379">
        <w:rPr>
          <w:rFonts w:cstheme="minorHAnsi"/>
        </w:rPr>
        <w:t xml:space="preserve">.). 2003. London: Penguin Classics. </w:t>
      </w:r>
    </w:p>
    <w:p w14:paraId="27CEE430" w14:textId="26D23651" w:rsidR="00776AAF" w:rsidRPr="00776AAF" w:rsidRDefault="00776AAF" w:rsidP="00056379">
      <w:pPr>
        <w:spacing w:line="480" w:lineRule="auto"/>
        <w:rPr>
          <w:rFonts w:cstheme="minorHAnsi"/>
        </w:rPr>
      </w:pPr>
      <w:r>
        <w:rPr>
          <w:rFonts w:cstheme="minorHAnsi"/>
        </w:rPr>
        <w:t xml:space="preserve">Pausanias. </w:t>
      </w:r>
      <w:r>
        <w:rPr>
          <w:rFonts w:cstheme="minorHAnsi"/>
          <w:i/>
        </w:rPr>
        <w:t xml:space="preserve">The description of Greece. </w:t>
      </w:r>
      <w:r>
        <w:rPr>
          <w:rFonts w:cstheme="minorHAnsi"/>
        </w:rPr>
        <w:t>W.H.S. Jones (</w:t>
      </w:r>
      <w:proofErr w:type="gramStart"/>
      <w:r>
        <w:rPr>
          <w:rFonts w:cstheme="minorHAnsi"/>
        </w:rPr>
        <w:t>trans</w:t>
      </w:r>
      <w:proofErr w:type="gramEnd"/>
      <w:r>
        <w:rPr>
          <w:rFonts w:cstheme="minorHAnsi"/>
        </w:rPr>
        <w:t>.). 1918. London: William Heinemann, Ltd.</w:t>
      </w:r>
    </w:p>
    <w:p w14:paraId="64FC1F1A" w14:textId="2EA91672" w:rsidR="00056379" w:rsidRPr="00056379" w:rsidRDefault="00056379" w:rsidP="00056379">
      <w:pPr>
        <w:spacing w:line="480" w:lineRule="auto"/>
        <w:rPr>
          <w:rFonts w:cstheme="minorHAnsi"/>
        </w:rPr>
      </w:pPr>
      <w:r w:rsidRPr="00056379">
        <w:rPr>
          <w:rFonts w:cstheme="minorHAnsi"/>
        </w:rPr>
        <w:t xml:space="preserve">Pliny the Elder. </w:t>
      </w:r>
      <w:r w:rsidRPr="00056379">
        <w:rPr>
          <w:rFonts w:cstheme="minorHAnsi"/>
          <w:i/>
        </w:rPr>
        <w:t>Natural history</w:t>
      </w:r>
      <w:r w:rsidRPr="00056379">
        <w:rPr>
          <w:rFonts w:cstheme="minorHAnsi"/>
        </w:rPr>
        <w:t>. J. Healey (</w:t>
      </w:r>
      <w:proofErr w:type="gramStart"/>
      <w:r w:rsidRPr="00056379">
        <w:rPr>
          <w:rFonts w:cstheme="minorHAnsi"/>
        </w:rPr>
        <w:t>trans</w:t>
      </w:r>
      <w:proofErr w:type="gramEnd"/>
      <w:r w:rsidRPr="00056379">
        <w:rPr>
          <w:rFonts w:cstheme="minorHAnsi"/>
        </w:rPr>
        <w:t>.). 1991. London: Penguin Classics.</w:t>
      </w:r>
    </w:p>
    <w:p w14:paraId="37421D8F" w14:textId="77777777" w:rsidR="00056379" w:rsidRPr="00056379" w:rsidRDefault="00056379" w:rsidP="00056379">
      <w:pPr>
        <w:spacing w:line="480" w:lineRule="auto"/>
        <w:rPr>
          <w:rFonts w:cstheme="minorHAnsi"/>
        </w:rPr>
      </w:pPr>
      <w:r w:rsidRPr="00056379">
        <w:rPr>
          <w:rFonts w:cstheme="minorHAnsi"/>
        </w:rPr>
        <w:t xml:space="preserve">Plutarch. </w:t>
      </w:r>
      <w:r w:rsidRPr="00056379">
        <w:rPr>
          <w:rFonts w:cstheme="minorHAnsi"/>
          <w:i/>
        </w:rPr>
        <w:t>Hellenistic Lives including Alexander the Great.</w:t>
      </w:r>
      <w:r w:rsidRPr="00056379">
        <w:rPr>
          <w:rFonts w:cstheme="minorHAnsi"/>
        </w:rPr>
        <w:t xml:space="preserve"> R. Waterfield (</w:t>
      </w:r>
      <w:proofErr w:type="gramStart"/>
      <w:r w:rsidRPr="00056379">
        <w:rPr>
          <w:rFonts w:cstheme="minorHAnsi"/>
        </w:rPr>
        <w:t>trans</w:t>
      </w:r>
      <w:proofErr w:type="gramEnd"/>
      <w:r w:rsidRPr="00056379">
        <w:rPr>
          <w:rFonts w:cstheme="minorHAnsi"/>
        </w:rPr>
        <w:t>.). 2016. Oxford: Oxford University Press.</w:t>
      </w:r>
    </w:p>
    <w:p w14:paraId="7E74CD1D" w14:textId="77777777" w:rsidR="00056379" w:rsidRPr="00056379" w:rsidRDefault="00056379" w:rsidP="00056379">
      <w:pPr>
        <w:spacing w:line="480" w:lineRule="auto"/>
        <w:rPr>
          <w:rFonts w:cstheme="minorHAnsi"/>
        </w:rPr>
      </w:pPr>
      <w:r w:rsidRPr="00056379">
        <w:rPr>
          <w:rFonts w:cstheme="minorHAnsi"/>
        </w:rPr>
        <w:t xml:space="preserve">Quintus Curtius Rufus. </w:t>
      </w:r>
      <w:r w:rsidRPr="00056379">
        <w:rPr>
          <w:rFonts w:cstheme="minorHAnsi"/>
          <w:i/>
        </w:rPr>
        <w:t xml:space="preserve">Life of Alexander the Great. </w:t>
      </w:r>
      <w:r w:rsidRPr="00056379">
        <w:rPr>
          <w:rFonts w:cstheme="minorHAnsi"/>
        </w:rPr>
        <w:t>J. Yardley (</w:t>
      </w:r>
      <w:proofErr w:type="gramStart"/>
      <w:r w:rsidRPr="00056379">
        <w:rPr>
          <w:rFonts w:cstheme="minorHAnsi"/>
        </w:rPr>
        <w:t>trans</w:t>
      </w:r>
      <w:proofErr w:type="gramEnd"/>
      <w:r w:rsidRPr="00056379">
        <w:rPr>
          <w:rFonts w:cstheme="minorHAnsi"/>
        </w:rPr>
        <w:t>.). 1984. Middlesex: England Penguin Books.</w:t>
      </w:r>
    </w:p>
    <w:p w14:paraId="61EDCD64" w14:textId="77777777" w:rsidR="00056379" w:rsidRPr="00056379" w:rsidRDefault="00056379" w:rsidP="00056379">
      <w:pPr>
        <w:spacing w:line="480" w:lineRule="auto"/>
        <w:rPr>
          <w:rFonts w:cstheme="minorHAnsi"/>
        </w:rPr>
      </w:pPr>
      <w:r w:rsidRPr="00056379">
        <w:rPr>
          <w:rFonts w:cstheme="minorHAnsi"/>
        </w:rPr>
        <w:t xml:space="preserve">Strabo. </w:t>
      </w:r>
      <w:r w:rsidRPr="00056379">
        <w:rPr>
          <w:rFonts w:cstheme="minorHAnsi"/>
          <w:i/>
        </w:rPr>
        <w:t>The Geography</w:t>
      </w:r>
      <w:r w:rsidRPr="00056379">
        <w:rPr>
          <w:rFonts w:cstheme="minorHAnsi"/>
        </w:rPr>
        <w:t>. H.L. Jones (</w:t>
      </w:r>
      <w:proofErr w:type="gramStart"/>
      <w:r w:rsidRPr="00056379">
        <w:rPr>
          <w:rFonts w:cstheme="minorHAnsi"/>
        </w:rPr>
        <w:t>trans</w:t>
      </w:r>
      <w:proofErr w:type="gramEnd"/>
      <w:r w:rsidRPr="00056379">
        <w:rPr>
          <w:rFonts w:cstheme="minorHAnsi"/>
        </w:rPr>
        <w:t>.). 1924. London: William Heinemann, Ltd.</w:t>
      </w:r>
    </w:p>
    <w:p w14:paraId="7AED58E8" w14:textId="4414BDBA" w:rsidR="00056379" w:rsidRPr="00056379" w:rsidRDefault="00056379" w:rsidP="00056379">
      <w:pPr>
        <w:spacing w:line="480" w:lineRule="auto"/>
        <w:rPr>
          <w:rFonts w:cstheme="minorHAnsi"/>
        </w:rPr>
      </w:pPr>
      <w:r w:rsidRPr="00056379">
        <w:rPr>
          <w:rFonts w:cstheme="minorHAnsi"/>
        </w:rPr>
        <w:t xml:space="preserve">Suetonius. </w:t>
      </w:r>
      <w:r w:rsidRPr="00056379">
        <w:rPr>
          <w:rFonts w:cstheme="minorHAnsi"/>
          <w:i/>
        </w:rPr>
        <w:t>The Twelve Caesars</w:t>
      </w:r>
      <w:r w:rsidRPr="00056379">
        <w:rPr>
          <w:rFonts w:cstheme="minorHAnsi"/>
        </w:rPr>
        <w:t>. R. Graves (</w:t>
      </w:r>
      <w:proofErr w:type="gramStart"/>
      <w:r w:rsidRPr="00056379">
        <w:rPr>
          <w:rFonts w:cstheme="minorHAnsi"/>
        </w:rPr>
        <w:t>trans</w:t>
      </w:r>
      <w:proofErr w:type="gramEnd"/>
      <w:r w:rsidRPr="00056379">
        <w:rPr>
          <w:rFonts w:cstheme="minorHAnsi"/>
        </w:rPr>
        <w:t xml:space="preserve">.). 2007. London: Penguin Classics.   </w:t>
      </w:r>
    </w:p>
    <w:p w14:paraId="6ABF6D32" w14:textId="0AC9403E" w:rsidR="00056379" w:rsidRDefault="00056379" w:rsidP="00056379">
      <w:pPr>
        <w:spacing w:line="480" w:lineRule="auto"/>
        <w:rPr>
          <w:rFonts w:cstheme="minorHAnsi"/>
          <w:b/>
          <w:sz w:val="24"/>
          <w:u w:val="single"/>
        </w:rPr>
      </w:pPr>
      <w:r>
        <w:rPr>
          <w:rFonts w:cstheme="minorHAnsi"/>
          <w:b/>
          <w:sz w:val="24"/>
          <w:u w:val="single"/>
        </w:rPr>
        <w:t>Modern Sources:</w:t>
      </w:r>
    </w:p>
    <w:p w14:paraId="2463F4FE" w14:textId="77777777" w:rsidR="00B671A6" w:rsidRDefault="00B671A6" w:rsidP="00056379">
      <w:pPr>
        <w:spacing w:line="480" w:lineRule="auto"/>
        <w:rPr>
          <w:rFonts w:cstheme="minorHAnsi"/>
          <w:color w:val="000000"/>
        </w:rPr>
      </w:pPr>
      <w:r>
        <w:rPr>
          <w:rFonts w:cstheme="minorHAnsi"/>
          <w:color w:val="000000"/>
        </w:rPr>
        <w:t>Carney, E. 2006. Olympias: Mother of Alexander the Great (Women of the Ancient World). London: Routeledge.</w:t>
      </w:r>
    </w:p>
    <w:p w14:paraId="29BA7CF5" w14:textId="77777777" w:rsidR="00B671A6" w:rsidRDefault="00B671A6" w:rsidP="00056379">
      <w:pPr>
        <w:spacing w:line="480" w:lineRule="auto"/>
        <w:rPr>
          <w:rFonts w:cstheme="minorHAnsi"/>
        </w:rPr>
      </w:pPr>
      <w:r>
        <w:rPr>
          <w:rFonts w:cstheme="minorHAnsi"/>
        </w:rPr>
        <w:t xml:space="preserve">Collins, A.W. 2012. ‘The Royal Costume and Insignia of Alexander the Great’ in </w:t>
      </w:r>
      <w:r>
        <w:rPr>
          <w:rFonts w:cstheme="minorHAnsi"/>
          <w:i/>
        </w:rPr>
        <w:t xml:space="preserve">American Journal of Philology. </w:t>
      </w:r>
      <w:r>
        <w:rPr>
          <w:rFonts w:cstheme="minorHAnsi"/>
        </w:rPr>
        <w:t>133.3: P. 371-402.</w:t>
      </w:r>
    </w:p>
    <w:p w14:paraId="72587DD2" w14:textId="77777777" w:rsidR="00B671A6" w:rsidRDefault="00B671A6" w:rsidP="00056379">
      <w:pPr>
        <w:spacing w:line="480" w:lineRule="auto"/>
        <w:rPr>
          <w:rFonts w:cstheme="minorHAnsi"/>
          <w:color w:val="000000"/>
        </w:rPr>
      </w:pPr>
      <w:r>
        <w:rPr>
          <w:rFonts w:cstheme="minorHAnsi"/>
          <w:color w:val="000000"/>
        </w:rPr>
        <w:t xml:space="preserve">Fox, R.L. 2004. </w:t>
      </w:r>
      <w:r>
        <w:rPr>
          <w:rFonts w:cstheme="minorHAnsi"/>
          <w:i/>
          <w:color w:val="000000"/>
        </w:rPr>
        <w:t>Alexander the Great</w:t>
      </w:r>
      <w:r>
        <w:rPr>
          <w:rFonts w:cstheme="minorHAnsi"/>
          <w:color w:val="000000"/>
        </w:rPr>
        <w:t>. London: Penguin Publisher Ltd.</w:t>
      </w:r>
    </w:p>
    <w:p w14:paraId="47DFD1AE" w14:textId="77777777" w:rsidR="00B671A6" w:rsidRDefault="00B671A6" w:rsidP="00056379">
      <w:pPr>
        <w:spacing w:line="480" w:lineRule="auto"/>
        <w:rPr>
          <w:rFonts w:cstheme="minorHAnsi"/>
        </w:rPr>
      </w:pPr>
      <w:r>
        <w:rPr>
          <w:rFonts w:cstheme="minorHAnsi"/>
        </w:rPr>
        <w:t xml:space="preserve">Fredericksmeyer, E.A. 1997. ‘The Origin of Alexander’s Royal Insignia’ in </w:t>
      </w:r>
      <w:r>
        <w:rPr>
          <w:rFonts w:cstheme="minorHAnsi"/>
          <w:i/>
        </w:rPr>
        <w:t>Transactions of the American Philological Association</w:t>
      </w:r>
      <w:r>
        <w:rPr>
          <w:rFonts w:cstheme="minorHAnsi"/>
        </w:rPr>
        <w:t>. 127: P. 97-109.</w:t>
      </w:r>
      <w:bookmarkStart w:id="0" w:name="_GoBack"/>
      <w:bookmarkEnd w:id="0"/>
    </w:p>
    <w:p w14:paraId="707BEBBB" w14:textId="77777777" w:rsidR="00B671A6" w:rsidRDefault="00B671A6" w:rsidP="00056379">
      <w:pPr>
        <w:spacing w:line="480" w:lineRule="auto"/>
        <w:rPr>
          <w:rFonts w:cstheme="minorHAnsi"/>
          <w:color w:val="000000"/>
        </w:rPr>
      </w:pPr>
      <w:r>
        <w:rPr>
          <w:rFonts w:cstheme="minorHAnsi"/>
          <w:color w:val="000000"/>
        </w:rPr>
        <w:lastRenderedPageBreak/>
        <w:t>Fulkerson, L. 2013. No regrets: Remorse in Classical Antiquity. Oxford: Oxford University Press.</w:t>
      </w:r>
    </w:p>
    <w:p w14:paraId="5D0F57DF" w14:textId="77777777" w:rsidR="00B671A6" w:rsidRDefault="00B671A6" w:rsidP="00056379">
      <w:pPr>
        <w:spacing w:line="480" w:lineRule="auto"/>
        <w:rPr>
          <w:rFonts w:cstheme="minorHAnsi"/>
          <w:color w:val="000000"/>
        </w:rPr>
      </w:pPr>
      <w:hyperlink r:id="rId7" w:history="1">
        <w:r w:rsidRPr="00CD1F4D">
          <w:rPr>
            <w:rStyle w:val="Hyperlink"/>
            <w:rFonts w:cstheme="minorHAnsi"/>
          </w:rPr>
          <w:t>http://www.wildwinds.com/coins/greece/macedonia/kings/alexander_III/BlackSeaHoard_024.txt</w:t>
        </w:r>
      </w:hyperlink>
      <w:r>
        <w:rPr>
          <w:rFonts w:cstheme="minorHAnsi"/>
          <w:color w:val="000000"/>
        </w:rPr>
        <w:t>.</w:t>
      </w:r>
    </w:p>
    <w:p w14:paraId="30AAF86E" w14:textId="77777777" w:rsidR="00B671A6" w:rsidRDefault="00B671A6" w:rsidP="00056379">
      <w:pPr>
        <w:spacing w:line="480" w:lineRule="auto"/>
        <w:rPr>
          <w:rFonts w:cstheme="minorHAnsi"/>
        </w:rPr>
      </w:pPr>
      <w:hyperlink r:id="rId8" w:history="1">
        <w:r w:rsidRPr="00CD1F4D">
          <w:rPr>
            <w:rStyle w:val="Hyperlink"/>
            <w:rFonts w:cstheme="minorHAnsi"/>
          </w:rPr>
          <w:t>https://www.theoi.com/Cult/HeraklesCult.html</w:t>
        </w:r>
      </w:hyperlink>
    </w:p>
    <w:p w14:paraId="2A095573" w14:textId="77777777" w:rsidR="00B671A6" w:rsidRDefault="00B671A6" w:rsidP="00056379">
      <w:pPr>
        <w:spacing w:line="480" w:lineRule="auto"/>
        <w:rPr>
          <w:rFonts w:cstheme="minorHAnsi"/>
        </w:rPr>
      </w:pPr>
      <w:hyperlink r:id="rId9" w:history="1">
        <w:r w:rsidRPr="00CD1F4D">
          <w:rPr>
            <w:rStyle w:val="Hyperlink"/>
            <w:rFonts w:cstheme="minorHAnsi"/>
          </w:rPr>
          <w:t>https://www.theoi.com/Olympios/DionysosMyths3.html#Pillars</w:t>
        </w:r>
      </w:hyperlink>
    </w:p>
    <w:p w14:paraId="431FED2D" w14:textId="77777777" w:rsidR="00B671A6" w:rsidRPr="00B671A6" w:rsidRDefault="00B671A6" w:rsidP="00056379">
      <w:pPr>
        <w:spacing w:line="480" w:lineRule="auto"/>
        <w:rPr>
          <w:rFonts w:cstheme="minorHAnsi"/>
          <w:i/>
        </w:rPr>
      </w:pPr>
      <w:proofErr w:type="spellStart"/>
      <w:r>
        <w:rPr>
          <w:rFonts w:cstheme="minorHAnsi"/>
        </w:rPr>
        <w:t>Mosse</w:t>
      </w:r>
      <w:proofErr w:type="spellEnd"/>
      <w:r>
        <w:rPr>
          <w:rFonts w:cstheme="minorHAnsi"/>
        </w:rPr>
        <w:t>, C. 2004. Alexander: Destiny and Myth. Edinburgh: Edinburgh University Press.</w:t>
      </w:r>
      <w:r>
        <w:rPr>
          <w:rFonts w:cstheme="minorHAnsi"/>
          <w:i/>
        </w:rPr>
        <w:t xml:space="preserve"> </w:t>
      </w:r>
    </w:p>
    <w:p w14:paraId="3ADAAD5E" w14:textId="77777777" w:rsidR="00B671A6" w:rsidRDefault="00B671A6" w:rsidP="00056379">
      <w:pPr>
        <w:spacing w:line="480" w:lineRule="auto"/>
        <w:rPr>
          <w:rFonts w:cstheme="minorHAnsi"/>
        </w:rPr>
      </w:pPr>
      <w:r>
        <w:rPr>
          <w:rFonts w:cstheme="minorHAnsi"/>
        </w:rPr>
        <w:t xml:space="preserve">Stronk, J.P. 2007. ‘Ctesias of Cnidus’ in </w:t>
      </w:r>
      <w:r>
        <w:rPr>
          <w:rFonts w:cstheme="minorHAnsi"/>
          <w:i/>
        </w:rPr>
        <w:t xml:space="preserve">Mnemosyne. </w:t>
      </w:r>
      <w:r>
        <w:rPr>
          <w:rFonts w:cstheme="minorHAnsi"/>
        </w:rPr>
        <w:t>60.1: P.25-58.</w:t>
      </w:r>
    </w:p>
    <w:p w14:paraId="7239B6B4" w14:textId="77777777" w:rsidR="00B671A6" w:rsidRDefault="00B671A6" w:rsidP="00056379">
      <w:pPr>
        <w:spacing w:line="480" w:lineRule="auto"/>
        <w:rPr>
          <w:rFonts w:cstheme="minorHAnsi"/>
          <w:color w:val="000000"/>
        </w:rPr>
      </w:pPr>
      <w:r>
        <w:rPr>
          <w:rFonts w:cstheme="minorHAnsi"/>
          <w:color w:val="000000"/>
        </w:rPr>
        <w:t xml:space="preserve">Worthington, I. 2014. </w:t>
      </w:r>
      <w:r>
        <w:rPr>
          <w:rFonts w:cstheme="minorHAnsi"/>
          <w:i/>
          <w:color w:val="000000"/>
        </w:rPr>
        <w:t>By the Spear: Alexander the Great, and the rise and fall of the Macedonian Empire.</w:t>
      </w:r>
      <w:r>
        <w:rPr>
          <w:rFonts w:cstheme="minorHAnsi"/>
          <w:color w:val="000000"/>
        </w:rPr>
        <w:t xml:space="preserve"> Oxford: Oxford University Press.</w:t>
      </w:r>
    </w:p>
    <w:p w14:paraId="1DA96824" w14:textId="77777777" w:rsidR="00776AAF" w:rsidRDefault="00776AAF" w:rsidP="00056379">
      <w:pPr>
        <w:spacing w:line="480" w:lineRule="auto"/>
        <w:rPr>
          <w:rFonts w:cstheme="minorHAnsi"/>
        </w:rPr>
      </w:pPr>
    </w:p>
    <w:p w14:paraId="50AD54A1" w14:textId="77777777" w:rsidR="00776AAF" w:rsidRPr="00776AAF" w:rsidRDefault="00776AAF" w:rsidP="00056379">
      <w:pPr>
        <w:spacing w:line="480" w:lineRule="auto"/>
        <w:rPr>
          <w:rFonts w:cstheme="minorHAnsi"/>
        </w:rPr>
      </w:pPr>
    </w:p>
    <w:p w14:paraId="7EB46BA4" w14:textId="77777777" w:rsidR="00056379" w:rsidRPr="00056379" w:rsidRDefault="00056379" w:rsidP="000B096C">
      <w:pPr>
        <w:rPr>
          <w:b/>
          <w:sz w:val="24"/>
          <w:u w:val="single"/>
        </w:rPr>
      </w:pPr>
    </w:p>
    <w:p w14:paraId="24193ABB" w14:textId="77777777" w:rsidR="0093155D" w:rsidRPr="00CA5876" w:rsidRDefault="0093155D" w:rsidP="009B4C2E"/>
    <w:p w14:paraId="021E2962" w14:textId="77777777" w:rsidR="009B4C2E" w:rsidRPr="009B4C2E" w:rsidRDefault="009B4C2E" w:rsidP="009B4C2E"/>
    <w:sectPr w:rsidR="009B4C2E" w:rsidRPr="009B4C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768F070" w14:textId="77777777" w:rsidR="00CA5876" w:rsidRDefault="00CA5876" w:rsidP="00CA5876">
      <w:pPr>
        <w:spacing w:after="0" w:line="240" w:lineRule="auto"/>
      </w:pPr>
      <w:r>
        <w:separator/>
      </w:r>
    </w:p>
  </w:endnote>
  <w:endnote w:type="continuationSeparator" w:id="0">
    <w:p w14:paraId="40EDAB9C" w14:textId="77777777" w:rsidR="00CA5876" w:rsidRDefault="00CA5876" w:rsidP="00CA58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3E54EA8" w14:textId="77777777" w:rsidR="00CA5876" w:rsidRDefault="00CA5876" w:rsidP="00CA5876">
      <w:pPr>
        <w:spacing w:after="0" w:line="240" w:lineRule="auto"/>
      </w:pPr>
      <w:r>
        <w:separator/>
      </w:r>
    </w:p>
  </w:footnote>
  <w:footnote w:type="continuationSeparator" w:id="0">
    <w:p w14:paraId="24C573C0" w14:textId="77777777" w:rsidR="00CA5876" w:rsidRDefault="00CA5876" w:rsidP="00CA5876">
      <w:pPr>
        <w:spacing w:after="0" w:line="240" w:lineRule="auto"/>
      </w:pPr>
      <w:r>
        <w:continuationSeparator/>
      </w:r>
    </w:p>
  </w:footnote>
  <w:footnote w:id="1">
    <w:p w14:paraId="678DE0E7" w14:textId="3EEA7FED" w:rsidR="00E70525" w:rsidRDefault="00E70525">
      <w:pPr>
        <w:pStyle w:val="FootnoteText"/>
      </w:pPr>
      <w:r>
        <w:rPr>
          <w:rStyle w:val="FootnoteReference"/>
        </w:rPr>
        <w:footnoteRef/>
      </w:r>
      <w:r w:rsidR="006330C1">
        <w:t xml:space="preserve"> Bosworth, A. B. 2002: P.159; Pliny. 6. 78.</w:t>
      </w:r>
    </w:p>
  </w:footnote>
  <w:footnote w:id="2">
    <w:p w14:paraId="31B86A12" w14:textId="77777777" w:rsidR="00CA5876" w:rsidRDefault="00CA5876">
      <w:pPr>
        <w:pStyle w:val="FootnoteText"/>
      </w:pPr>
      <w:r>
        <w:rPr>
          <w:rStyle w:val="FootnoteReference"/>
        </w:rPr>
        <w:footnoteRef/>
      </w:r>
      <w:r>
        <w:t xml:space="preserve"> Stronk, J.P. 2007: P.25.</w:t>
      </w:r>
    </w:p>
  </w:footnote>
  <w:footnote w:id="3">
    <w:p w14:paraId="0138DC58" w14:textId="52AD9F99" w:rsidR="00913AC6" w:rsidRDefault="00913AC6">
      <w:pPr>
        <w:pStyle w:val="FootnoteText"/>
      </w:pPr>
      <w:r>
        <w:rPr>
          <w:rStyle w:val="FootnoteReference"/>
        </w:rPr>
        <w:footnoteRef/>
      </w:r>
      <w:r>
        <w:t xml:space="preserve"> Strabo. II. 5. 12.</w:t>
      </w:r>
    </w:p>
  </w:footnote>
  <w:footnote w:id="4">
    <w:p w14:paraId="23D17696" w14:textId="48BD6F41" w:rsidR="00A9262D" w:rsidRDefault="00A9262D">
      <w:pPr>
        <w:pStyle w:val="FootnoteText"/>
      </w:pPr>
      <w:r>
        <w:rPr>
          <w:rStyle w:val="FootnoteReference"/>
        </w:rPr>
        <w:footnoteRef/>
      </w:r>
      <w:r>
        <w:t xml:space="preserve"> Bosworth, A. B. 2002: P.159.</w:t>
      </w:r>
      <w:r w:rsidR="00843029">
        <w:t xml:space="preserve"> Bosworth states that Alexander’s staff was ready to find and create evidence for the precedent of Dionysos and Herakles on the Indian subcontinent. </w:t>
      </w:r>
    </w:p>
  </w:footnote>
  <w:footnote w:id="5">
    <w:p w14:paraId="0A279E78" w14:textId="6FE468BA" w:rsidR="00A26D7A" w:rsidRPr="00A26D7A" w:rsidRDefault="00A26D7A">
      <w:pPr>
        <w:pStyle w:val="FootnoteText"/>
      </w:pPr>
      <w:r>
        <w:rPr>
          <w:rStyle w:val="FootnoteReference"/>
        </w:rPr>
        <w:footnoteRef/>
      </w:r>
      <w:r>
        <w:t xml:space="preserve"> Plutarch. </w:t>
      </w:r>
      <w:r>
        <w:rPr>
          <w:i/>
        </w:rPr>
        <w:t>Alexander</w:t>
      </w:r>
      <w:r>
        <w:t>. 13.3, 50.1; Hoffman. 1907: P.23.</w:t>
      </w:r>
    </w:p>
  </w:footnote>
  <w:footnote w:id="6">
    <w:p w14:paraId="638624F2" w14:textId="1F263E5D" w:rsidR="003673AD" w:rsidRDefault="003673AD">
      <w:pPr>
        <w:pStyle w:val="FootnoteText"/>
      </w:pPr>
      <w:r>
        <w:rPr>
          <w:rStyle w:val="FootnoteReference"/>
        </w:rPr>
        <w:footnoteRef/>
      </w:r>
      <w:r>
        <w:t xml:space="preserve"> Carney, E. 2006: P.99.</w:t>
      </w:r>
    </w:p>
  </w:footnote>
  <w:footnote w:id="7">
    <w:p w14:paraId="00E69AF8" w14:textId="40A8C7CF" w:rsidR="00843029" w:rsidRDefault="00843029">
      <w:pPr>
        <w:pStyle w:val="FootnoteText"/>
      </w:pPr>
      <w:r>
        <w:rPr>
          <w:rStyle w:val="FootnoteReference"/>
        </w:rPr>
        <w:footnoteRef/>
      </w:r>
      <w:r>
        <w:t xml:space="preserve"> Strabo. XI. 5. 5.</w:t>
      </w:r>
    </w:p>
  </w:footnote>
  <w:footnote w:id="8">
    <w:p w14:paraId="594EB211" w14:textId="6787C94E" w:rsidR="00843029" w:rsidRDefault="00843029">
      <w:pPr>
        <w:pStyle w:val="FootnoteText"/>
      </w:pPr>
      <w:r>
        <w:rPr>
          <w:rStyle w:val="FootnoteReference"/>
        </w:rPr>
        <w:footnoteRef/>
      </w:r>
      <w:r>
        <w:t xml:space="preserve"> Pausanias. 10. 29. 4.</w:t>
      </w:r>
    </w:p>
  </w:footnote>
  <w:footnote w:id="9">
    <w:p w14:paraId="06F89181" w14:textId="1F5C7C10" w:rsidR="006330C1" w:rsidRPr="00E71D99" w:rsidRDefault="006330C1">
      <w:pPr>
        <w:pStyle w:val="FootnoteText"/>
      </w:pPr>
      <w:r>
        <w:rPr>
          <w:rStyle w:val="FootnoteReference"/>
        </w:rPr>
        <w:footnoteRef/>
      </w:r>
      <w:r>
        <w:t xml:space="preserve"> Strabo. III. 5. </w:t>
      </w:r>
      <w:r w:rsidR="00E71D99">
        <w:t>6;</w:t>
      </w:r>
      <w:r>
        <w:t xml:space="preserve"> Pseudo Apollodorus. </w:t>
      </w:r>
      <w:r w:rsidR="00E71D99">
        <w:rPr>
          <w:i/>
        </w:rPr>
        <w:t xml:space="preserve">Bibliotheca. </w:t>
      </w:r>
      <w:r w:rsidR="00E71D99">
        <w:t>2.29.</w:t>
      </w:r>
    </w:p>
  </w:footnote>
  <w:footnote w:id="10">
    <w:p w14:paraId="33DAF9E0" w14:textId="0ADA18F4" w:rsidR="00A73050" w:rsidRDefault="00A73050">
      <w:pPr>
        <w:pStyle w:val="FootnoteText"/>
      </w:pPr>
      <w:r>
        <w:rPr>
          <w:rStyle w:val="FootnoteReference"/>
        </w:rPr>
        <w:footnoteRef/>
      </w:r>
      <w:r>
        <w:t xml:space="preserve"> Fox, R. L. 1973: P.443. </w:t>
      </w:r>
    </w:p>
  </w:footnote>
  <w:footnote w:id="11">
    <w:p w14:paraId="6552589C" w14:textId="77777777" w:rsidR="00544D8A" w:rsidRDefault="00544D8A" w:rsidP="00544D8A">
      <w:pPr>
        <w:pStyle w:val="FootnoteText"/>
      </w:pPr>
      <w:r>
        <w:rPr>
          <w:rStyle w:val="FootnoteReference"/>
        </w:rPr>
        <w:footnoteRef/>
      </w:r>
      <w:r>
        <w:t xml:space="preserve"> </w:t>
      </w:r>
      <w:r w:rsidRPr="0079342F">
        <w:rPr>
          <w:rFonts w:cstheme="minorHAnsi"/>
          <w:color w:val="000000"/>
        </w:rPr>
        <w:t>AR Tetradrachm. Alexandria, ca 313/12 BC</w:t>
      </w:r>
      <w:r>
        <w:rPr>
          <w:rFonts w:cstheme="minorHAnsi"/>
          <w:color w:val="000000"/>
        </w:rPr>
        <w:t xml:space="preserve">. Accessed through: </w:t>
      </w:r>
      <w:r w:rsidRPr="0079342F">
        <w:rPr>
          <w:rFonts w:cstheme="minorHAnsi"/>
          <w:color w:val="000000"/>
        </w:rPr>
        <w:t>http://www.wildwinds.com/coins/greece/egypt/ptolemy_I/Svoronos_033.txt</w:t>
      </w:r>
      <w:r>
        <w:rPr>
          <w:rFonts w:cstheme="minorHAnsi"/>
          <w:color w:val="000000"/>
        </w:rPr>
        <w:t>.</w:t>
      </w:r>
    </w:p>
  </w:footnote>
  <w:footnote w:id="12">
    <w:p w14:paraId="1011C1A6" w14:textId="2E3394E6" w:rsidR="001666C1" w:rsidRDefault="001666C1">
      <w:pPr>
        <w:pStyle w:val="FootnoteText"/>
      </w:pPr>
      <w:r>
        <w:rPr>
          <w:rStyle w:val="FootnoteReference"/>
        </w:rPr>
        <w:footnoteRef/>
      </w:r>
      <w:r>
        <w:t xml:space="preserve"> Fredericksmeyer, E. A.</w:t>
      </w:r>
    </w:p>
  </w:footnote>
  <w:footnote w:id="13">
    <w:p w14:paraId="208F1002" w14:textId="63DFD51F" w:rsidR="0079342F" w:rsidRDefault="0079342F">
      <w:pPr>
        <w:pStyle w:val="FootnoteText"/>
      </w:pPr>
      <w:r>
        <w:rPr>
          <w:rStyle w:val="FootnoteReference"/>
        </w:rPr>
        <w:footnoteRef/>
      </w:r>
      <w:r>
        <w:t xml:space="preserve"> Collins, A. W.</w:t>
      </w:r>
    </w:p>
  </w:footnote>
  <w:footnote w:id="14">
    <w:p w14:paraId="667ECC6A" w14:textId="15F353D8" w:rsidR="00985011" w:rsidRDefault="00985011">
      <w:pPr>
        <w:pStyle w:val="FootnoteText"/>
      </w:pPr>
      <w:r>
        <w:rPr>
          <w:rStyle w:val="FootnoteReference"/>
        </w:rPr>
        <w:footnoteRef/>
      </w:r>
      <w:r>
        <w:t xml:space="preserve"> Arrian. 4.28-30; </w:t>
      </w:r>
      <w:r w:rsidRPr="00985011">
        <w:t>Diod. 17.85.1</w:t>
      </w:r>
      <w:r>
        <w:t>.</w:t>
      </w:r>
    </w:p>
  </w:footnote>
  <w:footnote w:id="15">
    <w:p w14:paraId="3087F5A3" w14:textId="6750A832" w:rsidR="00470381" w:rsidRDefault="00470381">
      <w:pPr>
        <w:pStyle w:val="FootnoteText"/>
      </w:pPr>
      <w:r>
        <w:rPr>
          <w:rStyle w:val="FootnoteReference"/>
        </w:rPr>
        <w:footnoteRef/>
      </w:r>
      <w:r>
        <w:t xml:space="preserve"> Arrian. 249.</w:t>
      </w:r>
    </w:p>
  </w:footnote>
  <w:footnote w:id="16">
    <w:p w14:paraId="77435B4A" w14:textId="64077B94" w:rsidR="00D05C62" w:rsidRDefault="00D05C62">
      <w:pPr>
        <w:pStyle w:val="FootnoteText"/>
      </w:pPr>
      <w:r>
        <w:rPr>
          <w:rStyle w:val="FootnoteReference"/>
        </w:rPr>
        <w:footnoteRef/>
      </w:r>
      <w:r>
        <w:t xml:space="preserve"> Diodorus. 1.24, 5.64, 76.</w:t>
      </w:r>
    </w:p>
  </w:footnote>
  <w:footnote w:id="17">
    <w:p w14:paraId="50AC3975" w14:textId="3B03BC4B" w:rsidR="000B096C" w:rsidRDefault="000B096C">
      <w:pPr>
        <w:pStyle w:val="FootnoteText"/>
      </w:pPr>
      <w:r>
        <w:rPr>
          <w:rStyle w:val="FootnoteReference"/>
        </w:rPr>
        <w:footnoteRef/>
      </w:r>
      <w:r>
        <w:t xml:space="preserve"> Worthington, I. 2014.</w:t>
      </w:r>
    </w:p>
  </w:footnote>
  <w:footnote w:id="18">
    <w:p w14:paraId="2B3597EA" w14:textId="6650F937" w:rsidR="000B096C" w:rsidRDefault="000B096C">
      <w:pPr>
        <w:pStyle w:val="FootnoteText"/>
      </w:pPr>
      <w:r>
        <w:rPr>
          <w:rStyle w:val="FootnoteReference"/>
        </w:rPr>
        <w:footnoteRef/>
      </w:r>
      <w:r>
        <w:t xml:space="preserve"> Diodorus. 17.4.1.</w:t>
      </w:r>
    </w:p>
  </w:footnote>
  <w:footnote w:id="19">
    <w:p w14:paraId="5901C0D5" w14:textId="12FDF549" w:rsidR="00686E02" w:rsidRPr="00686E02" w:rsidRDefault="00686E02" w:rsidP="00686E02">
      <w:pPr>
        <w:pStyle w:val="HTMLPreformatted"/>
        <w:rPr>
          <w:color w:val="000000"/>
        </w:rPr>
      </w:pPr>
      <w:r>
        <w:rPr>
          <w:rStyle w:val="FootnoteReference"/>
        </w:rPr>
        <w:footnoteRef/>
      </w:r>
      <w:r>
        <w:t xml:space="preserve"> </w:t>
      </w:r>
      <w:r w:rsidRPr="00686E02">
        <w:rPr>
          <w:rFonts w:asciiTheme="minorHAnsi" w:hAnsiTheme="minorHAnsi" w:cstheme="minorHAnsi"/>
          <w:color w:val="000000"/>
        </w:rPr>
        <w:t xml:space="preserve">Alexander III, AR tetradrachm, </w:t>
      </w:r>
      <w:proofErr w:type="spellStart"/>
      <w:r w:rsidRPr="00686E02">
        <w:rPr>
          <w:rFonts w:asciiTheme="minorHAnsi" w:hAnsiTheme="minorHAnsi" w:cstheme="minorHAnsi"/>
          <w:color w:val="000000"/>
        </w:rPr>
        <w:t>Kallatis</w:t>
      </w:r>
      <w:proofErr w:type="spellEnd"/>
      <w:r w:rsidRPr="00686E02">
        <w:rPr>
          <w:rFonts w:asciiTheme="minorHAnsi" w:hAnsiTheme="minorHAnsi" w:cstheme="minorHAnsi"/>
          <w:color w:val="000000"/>
        </w:rPr>
        <w:t xml:space="preserve"> mint. Posthumous issue. 16.78 g.</w:t>
      </w:r>
      <w:r>
        <w:rPr>
          <w:rFonts w:asciiTheme="minorHAnsi" w:hAnsiTheme="minorHAnsi" w:cstheme="minorHAnsi"/>
          <w:color w:val="000000"/>
        </w:rPr>
        <w:t xml:space="preserve"> Accessed through: </w:t>
      </w:r>
      <w:r w:rsidRPr="00686E02">
        <w:rPr>
          <w:rFonts w:asciiTheme="minorHAnsi" w:hAnsiTheme="minorHAnsi" w:cstheme="minorHAnsi"/>
          <w:color w:val="000000"/>
        </w:rPr>
        <w:t>http://www.wildwinds.com/coins/greece/macedonia/kings/alexander_III/BlackSeaHoard_024.txt</w:t>
      </w:r>
      <w:r>
        <w:rPr>
          <w:rFonts w:asciiTheme="minorHAnsi" w:hAnsiTheme="minorHAnsi" w:cstheme="minorHAnsi"/>
          <w:color w:val="000000"/>
        </w:rPr>
        <w:t>.</w:t>
      </w:r>
    </w:p>
    <w:p w14:paraId="4CC69FD9" w14:textId="4161C6E0" w:rsidR="00686E02" w:rsidRDefault="00686E02">
      <w:pPr>
        <w:pStyle w:val="FootnoteText"/>
      </w:pPr>
    </w:p>
  </w:footnote>
  <w:footnote w:id="20">
    <w:p w14:paraId="1356027D" w14:textId="3A7C2167" w:rsidR="001B21ED" w:rsidRDefault="001B21ED">
      <w:pPr>
        <w:pStyle w:val="FootnoteText"/>
      </w:pPr>
      <w:r>
        <w:rPr>
          <w:rStyle w:val="FootnoteReference"/>
        </w:rPr>
        <w:footnoteRef/>
      </w:r>
      <w:r>
        <w:t xml:space="preserve"> Curtius. 8.10.1.</w:t>
      </w:r>
    </w:p>
  </w:footnote>
  <w:footnote w:id="21">
    <w:p w14:paraId="210D75A0" w14:textId="3FE5D115" w:rsidR="001B21ED" w:rsidRDefault="001B21ED">
      <w:pPr>
        <w:pStyle w:val="FootnoteText"/>
      </w:pPr>
      <w:r>
        <w:rPr>
          <w:rStyle w:val="FootnoteReference"/>
        </w:rPr>
        <w:footnoteRef/>
      </w:r>
      <w:r>
        <w:t xml:space="preserve"> Curtius. 3.12.27.</w:t>
      </w:r>
    </w:p>
  </w:footnote>
  <w:footnote w:id="22">
    <w:p w14:paraId="6EB05956" w14:textId="54943705" w:rsidR="00F20D30" w:rsidRDefault="00F20D30">
      <w:pPr>
        <w:pStyle w:val="FootnoteText"/>
      </w:pPr>
      <w:r>
        <w:rPr>
          <w:rStyle w:val="FootnoteReference"/>
        </w:rPr>
        <w:footnoteRef/>
      </w:r>
      <w:r>
        <w:t xml:space="preserve"> </w:t>
      </w:r>
      <w:r w:rsidR="00056379">
        <w:t xml:space="preserve">Curtius. </w:t>
      </w:r>
      <w:r>
        <w:t>9.2.29; 9.4.21.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4C2E"/>
    <w:rsid w:val="00056379"/>
    <w:rsid w:val="000B096C"/>
    <w:rsid w:val="000E4B8B"/>
    <w:rsid w:val="00156173"/>
    <w:rsid w:val="001666C1"/>
    <w:rsid w:val="00196E8A"/>
    <w:rsid w:val="001A6C09"/>
    <w:rsid w:val="001B21ED"/>
    <w:rsid w:val="003673AD"/>
    <w:rsid w:val="003B3CA6"/>
    <w:rsid w:val="004033B7"/>
    <w:rsid w:val="00470381"/>
    <w:rsid w:val="0047340E"/>
    <w:rsid w:val="004A67DB"/>
    <w:rsid w:val="004D6681"/>
    <w:rsid w:val="00544D8A"/>
    <w:rsid w:val="006330C1"/>
    <w:rsid w:val="006566EB"/>
    <w:rsid w:val="00674562"/>
    <w:rsid w:val="00686E02"/>
    <w:rsid w:val="00707828"/>
    <w:rsid w:val="00776AAF"/>
    <w:rsid w:val="0079342F"/>
    <w:rsid w:val="007947AD"/>
    <w:rsid w:val="007D078F"/>
    <w:rsid w:val="008074B3"/>
    <w:rsid w:val="00843029"/>
    <w:rsid w:val="00865D67"/>
    <w:rsid w:val="008873A6"/>
    <w:rsid w:val="00887ED2"/>
    <w:rsid w:val="008F3CE8"/>
    <w:rsid w:val="00913AC6"/>
    <w:rsid w:val="0093155D"/>
    <w:rsid w:val="00955EAC"/>
    <w:rsid w:val="00985011"/>
    <w:rsid w:val="009B4C2E"/>
    <w:rsid w:val="00A26D7A"/>
    <w:rsid w:val="00A73050"/>
    <w:rsid w:val="00A9262D"/>
    <w:rsid w:val="00AE14F0"/>
    <w:rsid w:val="00B05840"/>
    <w:rsid w:val="00B05DC5"/>
    <w:rsid w:val="00B37409"/>
    <w:rsid w:val="00B44684"/>
    <w:rsid w:val="00B671A6"/>
    <w:rsid w:val="00C124B3"/>
    <w:rsid w:val="00C87993"/>
    <w:rsid w:val="00C90119"/>
    <w:rsid w:val="00CA5876"/>
    <w:rsid w:val="00D05C62"/>
    <w:rsid w:val="00D868B1"/>
    <w:rsid w:val="00DB11E4"/>
    <w:rsid w:val="00E70525"/>
    <w:rsid w:val="00E71D99"/>
    <w:rsid w:val="00E91AA8"/>
    <w:rsid w:val="00F20D30"/>
    <w:rsid w:val="00F500D6"/>
    <w:rsid w:val="00F92EFC"/>
    <w:rsid w:val="00FB14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62622"/>
  <w15:chartTrackingRefBased/>
  <w15:docId w15:val="{526CDABF-3E3D-4A7E-8B2D-871340A0F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A587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A5876"/>
    <w:rPr>
      <w:sz w:val="20"/>
      <w:szCs w:val="20"/>
    </w:rPr>
  </w:style>
  <w:style w:type="character" w:styleId="FootnoteReference">
    <w:name w:val="footnote reference"/>
    <w:basedOn w:val="DefaultParagraphFont"/>
    <w:uiPriority w:val="99"/>
    <w:semiHidden/>
    <w:unhideWhenUsed/>
    <w:rsid w:val="00CA5876"/>
    <w:rPr>
      <w:vertAlign w:val="superscript"/>
    </w:rPr>
  </w:style>
  <w:style w:type="paragraph" w:styleId="HTMLPreformatted">
    <w:name w:val="HTML Preformatted"/>
    <w:basedOn w:val="Normal"/>
    <w:link w:val="HTMLPreformattedChar"/>
    <w:uiPriority w:val="99"/>
    <w:semiHidden/>
    <w:unhideWhenUsed/>
    <w:rsid w:val="00686E0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686E02"/>
    <w:rPr>
      <w:rFonts w:ascii="Courier New" w:eastAsia="Times New Roman" w:hAnsi="Courier New" w:cs="Courier New"/>
      <w:sz w:val="20"/>
      <w:szCs w:val="20"/>
      <w:lang w:eastAsia="en-GB"/>
    </w:rPr>
  </w:style>
  <w:style w:type="character" w:styleId="Hyperlink">
    <w:name w:val="Hyperlink"/>
    <w:basedOn w:val="DefaultParagraphFont"/>
    <w:uiPriority w:val="99"/>
    <w:unhideWhenUsed/>
    <w:rsid w:val="0005637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0760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oi.com/Cult/HeraklesCult.html" TargetMode="External"/><Relationship Id="rId3" Type="http://schemas.openxmlformats.org/officeDocument/2006/relationships/settings" Target="settings.xml"/><Relationship Id="rId7" Type="http://schemas.openxmlformats.org/officeDocument/2006/relationships/hyperlink" Target="http://www.wildwinds.com/coins/greece/macedonia/kings/alexander_III/BlackSeaHoard_024.tx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oi.com/Olympios/DionysosMyths3.html#Pilla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EACE9D-FBD7-4694-AB64-CBC3EA8F81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1823</Words>
  <Characters>10397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Mills (1500425)</dc:creator>
  <cp:keywords/>
  <dc:description/>
  <cp:lastModifiedBy>James Mills (1500425)</cp:lastModifiedBy>
  <cp:revision>2</cp:revision>
  <dcterms:created xsi:type="dcterms:W3CDTF">2018-12-20T16:59:00Z</dcterms:created>
  <dcterms:modified xsi:type="dcterms:W3CDTF">2018-12-20T16:59:00Z</dcterms:modified>
</cp:coreProperties>
</file>