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sz w:val="24"/>
          <w:szCs w:val="24"/>
          <w:u w:val="single"/>
        </w:rPr>
      </w:pPr>
      <w:r>
        <w:rPr>
          <w:b w:val="1"/>
          <w:bCs w:val="1"/>
          <w:sz w:val="24"/>
          <w:szCs w:val="24"/>
          <w:u w:val="single"/>
          <w:rtl w:val="0"/>
          <w:lang w:val="en-US"/>
        </w:rPr>
        <w:t>Briefing Paper: All Means All</w:t>
      </w:r>
    </w:p>
    <w:p>
      <w:pPr>
        <w:pStyle w:val="Body"/>
        <w:jc w:val="center"/>
        <w:rPr>
          <w:b w:val="1"/>
          <w:bCs w:val="1"/>
          <w:sz w:val="24"/>
          <w:szCs w:val="24"/>
          <w:u w:val="single"/>
        </w:rPr>
      </w:pPr>
    </w:p>
    <w:p>
      <w:pPr>
        <w:pStyle w:val="Body"/>
        <w:jc w:val="left"/>
        <w:rPr>
          <w:sz w:val="24"/>
          <w:szCs w:val="24"/>
          <w:u w:val="single"/>
        </w:rPr>
      </w:pPr>
      <w:r>
        <w:rPr>
          <w:sz w:val="24"/>
          <w:szCs w:val="24"/>
          <w:u w:val="single"/>
          <w:rtl w:val="0"/>
          <w:lang w:val="en-US"/>
        </w:rPr>
        <w:t>Rationale</w:t>
      </w:r>
    </w:p>
    <w:p>
      <w:pPr>
        <w:pStyle w:val="Body"/>
        <w:jc w:val="left"/>
        <w:rPr>
          <w:sz w:val="24"/>
          <w:szCs w:val="24"/>
          <w:u w:val="single"/>
        </w:rPr>
      </w:pPr>
    </w:p>
    <w:p>
      <w:pPr>
        <w:pStyle w:val="Body"/>
        <w:jc w:val="left"/>
        <w:rPr>
          <w:sz w:val="24"/>
          <w:szCs w:val="24"/>
        </w:rPr>
      </w:pPr>
      <w:r>
        <w:rPr>
          <w:sz w:val="24"/>
          <w:szCs w:val="24"/>
          <w:rtl w:val="0"/>
          <w:lang w:val="en-US"/>
        </w:rPr>
        <w:t>This paper has been produced to examine how the Local Education Authority approach inclusive practice. Within there will be discussions on what inclusive practice means, and what policies the Local Education Authority are actually implementing in order to obey current legislation. The current approach will no doubt be in compliance with the Special Education Needs code of practice, however with the upcoming implementation of the Additional Learning Needs code of practice, the current approach may need to change. This will naturally include all ways in which pupils in Wales are currently supported, and how the ALN reform could change, and possibly improve those means.</w:t>
      </w:r>
    </w:p>
    <w:p>
      <w:pPr>
        <w:pStyle w:val="Body"/>
        <w:jc w:val="left"/>
        <w:rPr>
          <w:sz w:val="24"/>
          <w:szCs w:val="24"/>
        </w:rPr>
      </w:pPr>
      <w:r>
        <w:rPr>
          <w:sz w:val="24"/>
          <w:szCs w:val="24"/>
          <w:rtl w:val="0"/>
          <w:lang w:val="en-US"/>
        </w:rPr>
        <w:t>By the conclusion of this paper, there should be a greater understanding of what the LEA are currently doing to meet the needs and definitions of inclusive practice and how, if at all, they can improve upon. The upcoming ALN reform will also be considered to ensure the coming change will be keenly observed in comparison to the current state.</w:t>
      </w:r>
    </w:p>
    <w:p>
      <w:pPr>
        <w:pStyle w:val="Body"/>
        <w:jc w:val="left"/>
        <w:rPr>
          <w:sz w:val="24"/>
          <w:szCs w:val="24"/>
        </w:rPr>
      </w:pPr>
    </w:p>
    <w:p>
      <w:pPr>
        <w:pStyle w:val="Body"/>
        <w:jc w:val="left"/>
        <w:rPr>
          <w:sz w:val="24"/>
          <w:szCs w:val="24"/>
          <w:u w:val="single"/>
        </w:rPr>
      </w:pPr>
      <w:r>
        <w:rPr>
          <w:sz w:val="24"/>
          <w:szCs w:val="24"/>
          <w:u w:val="single"/>
          <w:rtl w:val="0"/>
          <w:lang w:val="en-US"/>
        </w:rPr>
        <w:t>Defining Inclusive Practice</w:t>
      </w:r>
    </w:p>
    <w:p>
      <w:pPr>
        <w:pStyle w:val="Body"/>
        <w:jc w:val="left"/>
        <w:rPr>
          <w:sz w:val="24"/>
          <w:szCs w:val="24"/>
          <w:u w:val="single"/>
        </w:rPr>
      </w:pPr>
    </w:p>
    <w:p>
      <w:pPr>
        <w:pStyle w:val="Body"/>
        <w:jc w:val="left"/>
        <w:rPr>
          <w:sz w:val="24"/>
          <w:szCs w:val="24"/>
        </w:rPr>
      </w:pPr>
      <w:r>
        <w:rPr>
          <w:sz w:val="24"/>
          <w:szCs w:val="24"/>
          <w:rtl w:val="0"/>
          <w:lang w:val="en-US"/>
        </w:rPr>
        <w:t>It is fairly simple to look up inclusive practice in a dictionary and receive a blunt and closed answer. However in education inclusive practice can be observed in different, more open minded ways. Swansea Council</w:t>
      </w:r>
      <w:r>
        <w:rPr>
          <w:sz w:val="24"/>
          <w:szCs w:val="24"/>
          <w:rtl w:val="0"/>
          <w:lang w:val="en-US"/>
        </w:rPr>
        <w:t>’</w:t>
      </w:r>
      <w:r>
        <w:rPr>
          <w:sz w:val="24"/>
          <w:szCs w:val="24"/>
          <w:rtl w:val="0"/>
          <w:lang w:val="en-US"/>
        </w:rPr>
        <w:t xml:space="preserve">s Inclusion Policy, defines inclusive education as </w:t>
      </w:r>
      <w:r>
        <w:rPr>
          <w:sz w:val="24"/>
          <w:szCs w:val="24"/>
          <w:rtl w:val="0"/>
          <w:lang w:val="en-US"/>
        </w:rPr>
        <w:t>“</w:t>
      </w:r>
      <w:r>
        <w:rPr>
          <w:sz w:val="24"/>
          <w:szCs w:val="24"/>
          <w:rtl w:val="0"/>
          <w:lang w:val="en-US"/>
        </w:rPr>
        <w:t>an ongoing process concerned with ensuring equality of opportunity by accounting for and addressing the diversity present in schools.</w:t>
      </w:r>
      <w:r>
        <w:rPr>
          <w:sz w:val="24"/>
          <w:szCs w:val="24"/>
          <w:rtl w:val="0"/>
          <w:lang w:val="en-US"/>
        </w:rPr>
        <w:t xml:space="preserve">” </w:t>
      </w:r>
      <w:r>
        <w:rPr>
          <w:sz w:val="24"/>
          <w:szCs w:val="24"/>
          <w:rtl w:val="0"/>
          <w:lang w:val="en-US"/>
        </w:rPr>
        <w:t>(Swansea Council, 2012, pp. 3).</w:t>
      </w:r>
    </w:p>
    <w:p>
      <w:pPr>
        <w:pStyle w:val="Body"/>
        <w:jc w:val="left"/>
        <w:rPr>
          <w:sz w:val="24"/>
          <w:szCs w:val="24"/>
        </w:rPr>
      </w:pPr>
      <w:r>
        <w:rPr>
          <w:sz w:val="24"/>
          <w:szCs w:val="24"/>
          <w:rtl w:val="0"/>
          <w:lang w:val="en-US"/>
        </w:rPr>
        <w:t xml:space="preserve">This all encompassing attitude does somewhat define what inclusive practice is. However with such broad spectrum of wording, it is certainly plausible for there to be variations on the definition of inclusive practice. </w:t>
      </w:r>
    </w:p>
    <w:p>
      <w:pPr>
        <w:pStyle w:val="Body"/>
        <w:jc w:val="left"/>
        <w:rPr>
          <w:sz w:val="24"/>
          <w:szCs w:val="24"/>
        </w:rPr>
      </w:pPr>
      <w:r>
        <w:rPr>
          <w:sz w:val="24"/>
          <w:szCs w:val="24"/>
          <w:rtl w:val="0"/>
          <w:lang w:val="en-US"/>
        </w:rPr>
        <w:t>The Education Challenge Unit (2013) offer a more in depth view, allowing for all students to feel able to access the full content of their course, and be able to participate in learning activities. They go so far to call diversity in the student body a resource: a viewpoint perhaps that many more of us could consider.</w:t>
      </w:r>
    </w:p>
    <w:p>
      <w:pPr>
        <w:pStyle w:val="Body"/>
        <w:jc w:val="left"/>
        <w:rPr>
          <w:sz w:val="24"/>
          <w:szCs w:val="24"/>
        </w:rPr>
      </w:pPr>
      <w:r>
        <w:rPr>
          <w:sz w:val="24"/>
          <w:szCs w:val="24"/>
          <w:rtl w:val="0"/>
          <w:lang w:val="en-US"/>
        </w:rPr>
        <w:t>ECU present a beautiful argument for what inclusive practice is, and make a learner feel more valued regardless of any learning difficulties they may or may not experience in the classroom. This considerate definition could be viewed in a total contrast to the definition given by Swansea Council, allowing for the latter to be seen almost like a dinosaur in comparison, outdated and cold-blooded.</w:t>
      </w:r>
    </w:p>
    <w:p>
      <w:pPr>
        <w:pStyle w:val="Body"/>
        <w:jc w:val="left"/>
        <w:rPr>
          <w:sz w:val="24"/>
          <w:szCs w:val="24"/>
        </w:rPr>
      </w:pPr>
    </w:p>
    <w:p>
      <w:pPr>
        <w:pStyle w:val="Body"/>
        <w:jc w:val="left"/>
        <w:rPr>
          <w:sz w:val="24"/>
          <w:szCs w:val="24"/>
          <w:u w:val="single"/>
        </w:rPr>
      </w:pPr>
      <w:r>
        <w:rPr>
          <w:sz w:val="24"/>
          <w:szCs w:val="24"/>
          <w:u w:val="single"/>
          <w:rtl w:val="0"/>
          <w:lang w:val="en-US"/>
        </w:rPr>
        <w:t xml:space="preserve">Supporting Inclusive Practice: Legislations and Policies </w:t>
      </w:r>
    </w:p>
    <w:p>
      <w:pPr>
        <w:pStyle w:val="Body"/>
        <w:jc w:val="left"/>
        <w:rPr>
          <w:sz w:val="24"/>
          <w:szCs w:val="24"/>
          <w:u w:val="single"/>
        </w:rPr>
      </w:pPr>
    </w:p>
    <w:p>
      <w:pPr>
        <w:pStyle w:val="Body"/>
        <w:jc w:val="left"/>
        <w:rPr>
          <w:sz w:val="24"/>
          <w:szCs w:val="24"/>
        </w:rPr>
      </w:pPr>
      <w:r>
        <w:rPr>
          <w:sz w:val="24"/>
          <w:szCs w:val="24"/>
          <w:rtl w:val="0"/>
          <w:lang w:val="en-US"/>
        </w:rPr>
        <w:t>The first policy this paper will examine is the Local Authority</w:t>
      </w:r>
      <w:r>
        <w:rPr>
          <w:sz w:val="24"/>
          <w:szCs w:val="24"/>
          <w:rtl w:val="0"/>
          <w:lang w:val="en-US"/>
        </w:rPr>
        <w:t>’</w:t>
      </w:r>
      <w:r>
        <w:rPr>
          <w:sz w:val="24"/>
          <w:szCs w:val="24"/>
          <w:rtl w:val="0"/>
          <w:lang w:val="en-US"/>
        </w:rPr>
        <w:t>s own inclusion policy. Revised in 2012, the inclusion policy available on Swansea Council</w:t>
      </w:r>
      <w:r>
        <w:rPr>
          <w:sz w:val="24"/>
          <w:szCs w:val="24"/>
          <w:rtl w:val="0"/>
          <w:lang w:val="en-US"/>
        </w:rPr>
        <w:t>’</w:t>
      </w:r>
      <w:r>
        <w:rPr>
          <w:sz w:val="24"/>
          <w:szCs w:val="24"/>
          <w:rtl w:val="0"/>
          <w:lang w:val="en-US"/>
        </w:rPr>
        <w:t>s website is a brief five pages, this does exclude all appendixes and cover pages. This seemingly small document is disappointingly concise, for a topic that can be so vast in its reach.</w:t>
      </w:r>
    </w:p>
    <w:p>
      <w:pPr>
        <w:pStyle w:val="Body"/>
        <w:jc w:val="left"/>
        <w:rPr>
          <w:sz w:val="24"/>
          <w:szCs w:val="24"/>
        </w:rPr>
      </w:pPr>
      <w:r>
        <w:rPr>
          <w:sz w:val="24"/>
          <w:szCs w:val="24"/>
          <w:rtl w:val="0"/>
          <w:lang w:val="en-US"/>
        </w:rPr>
        <w:t xml:space="preserve">If we take a look at the latest population numbers available to us, the Mid-Year Estimates of Population 2018 (2019) roughly 41,600 residents of the Swansea area are capable of being in education. This translates to 16.8% of the total population who could be in education, and therefore directly affected by the inclusive education policy the council have in place. This is a total of residents aged 5-19, so it would be unfair to take this as solid numbers, given compulsory education affects ages 3-16, but it is reasonable to assume a fair number of students will remain in education past 16. </w:t>
      </w:r>
    </w:p>
    <w:p>
      <w:pPr>
        <w:pStyle w:val="Body"/>
        <w:jc w:val="left"/>
        <w:rPr>
          <w:sz w:val="24"/>
          <w:szCs w:val="24"/>
        </w:rPr>
      </w:pPr>
      <w:r>
        <w:rPr>
          <w:sz w:val="24"/>
          <w:szCs w:val="24"/>
          <w:rtl w:val="0"/>
          <w:lang w:val="en-US"/>
        </w:rPr>
        <w:t>Consequently, a significant portion of the population are being aided with just five pages of policy, some of which is taken directly from the National Assembly for Wales circular: Inclusion and Pupil Support (2006). Another example of seemingly outdated views on a subject that is prominent in modern education. One of the principles taken from the circular discusses the fact that mainstream education is not always the right method of education for some pupils, and they should therefore be removed from mainstream. Although it continues to say that any pupils removed from the mainstream should continue to see their peers.</w:t>
      </w:r>
    </w:p>
    <w:p>
      <w:pPr>
        <w:pStyle w:val="Body"/>
        <w:jc w:val="left"/>
        <w:rPr>
          <w:sz w:val="24"/>
          <w:szCs w:val="24"/>
        </w:rPr>
      </w:pPr>
      <w:r>
        <w:rPr>
          <w:sz w:val="24"/>
          <w:szCs w:val="24"/>
          <w:rtl w:val="0"/>
          <w:lang w:val="en-US"/>
        </w:rPr>
        <w:t>At first read this can seem like a fair and valid point, some children with certain accessibility difficulties, or even some behavioural difficulties, may struggle to get along with, and effectively learn within the mainstream education system. However, it is not impossible to have procedures or equipment in place to help pupils overcome these barriers. For example, a child or young person with ADHD is likely to disrupt a standard classroom setting. Educating their peers on why the pupil with ADHD behaves a certain way would allow for more understanding from the others. Another child may be quick to anger over seemingly small issues, potentially as a result of Autism Spectrum Disorder. These sudden outbursts may force teachers to believe exclusion, either permanently or fixed term to be the only solution, but a room where the pupil could let out their frustrations in safety may be a simpler, and more inclusive answer.</w:t>
      </w:r>
    </w:p>
    <w:p>
      <w:pPr>
        <w:pStyle w:val="Body"/>
        <w:jc w:val="left"/>
        <w:rPr>
          <w:sz w:val="24"/>
          <w:szCs w:val="24"/>
        </w:rPr>
      </w:pPr>
    </w:p>
    <w:p>
      <w:pPr>
        <w:pStyle w:val="Body"/>
        <w:jc w:val="left"/>
        <w:rPr>
          <w:sz w:val="24"/>
          <w:szCs w:val="24"/>
        </w:rPr>
      </w:pPr>
      <w:r>
        <w:rPr>
          <w:sz w:val="24"/>
          <w:szCs w:val="24"/>
          <w:rtl w:val="0"/>
          <w:lang w:val="en-US"/>
        </w:rPr>
        <w:t xml:space="preserve">We can also look to the Education Reform Act 1988 for a much older version of what inclusive practice may be. It rather brilliantly manages to be almost completely exclusive, whilst feigning an air of inclusion. </w:t>
      </w:r>
      <w:r>
        <w:rPr>
          <w:sz w:val="24"/>
          <w:szCs w:val="24"/>
          <w:rtl w:val="0"/>
          <w:lang w:val="en-US"/>
        </w:rPr>
        <w:t>“</w:t>
      </w:r>
      <w:r>
        <w:rPr>
          <w:sz w:val="24"/>
          <w:szCs w:val="24"/>
          <w:rtl w:val="0"/>
          <w:lang w:val="en-US"/>
        </w:rPr>
        <w:t>excluding the application of the provisions of the National Curriculum</w:t>
      </w:r>
      <w:r>
        <w:rPr>
          <w:sz w:val="24"/>
          <w:szCs w:val="24"/>
          <w:rtl w:val="0"/>
          <w:lang w:val="en-US"/>
        </w:rPr>
        <w:t xml:space="preserve">” </w:t>
      </w:r>
      <w:r>
        <w:rPr>
          <w:sz w:val="24"/>
          <w:szCs w:val="24"/>
          <w:rtl w:val="0"/>
          <w:lang w:val="en-US"/>
        </w:rPr>
        <w:t>Education Reform Act 1988 (1991) this is the first point in response to a child having a statement of special education needs. It is a poor and worrisome view of how to cope with pupils not equipped to fully participate and deal with mainstream education. The second response on how to include a pupil with an SEN is slightly better, it talks about modifications in order to suit the pupil, along the lines of the statement of their SEN. Therefore this still feels like it is excluding more pupils than including, as if the school were unable to modify the National Curriculum in accordance with a particular SEN, they could simply refuse to teach it, having a potentially detrimental effect on the pupil</w:t>
      </w:r>
      <w:r>
        <w:rPr>
          <w:sz w:val="24"/>
          <w:szCs w:val="24"/>
          <w:rtl w:val="0"/>
          <w:lang w:val="en-US"/>
        </w:rPr>
        <w:t>’</w:t>
      </w:r>
      <w:r>
        <w:rPr>
          <w:sz w:val="24"/>
          <w:szCs w:val="24"/>
          <w:rtl w:val="0"/>
          <w:lang w:val="en-US"/>
        </w:rPr>
        <w:t xml:space="preserve">s education. </w:t>
      </w:r>
    </w:p>
    <w:p>
      <w:pPr>
        <w:pStyle w:val="Body"/>
        <w:jc w:val="left"/>
        <w:rPr>
          <w:sz w:val="24"/>
          <w:szCs w:val="24"/>
        </w:rPr>
      </w:pPr>
    </w:p>
    <w:p>
      <w:pPr>
        <w:pStyle w:val="Body"/>
        <w:jc w:val="left"/>
        <w:rPr>
          <w:sz w:val="24"/>
          <w:szCs w:val="24"/>
        </w:rPr>
      </w:pPr>
      <w:r>
        <w:rPr>
          <w:sz w:val="24"/>
          <w:szCs w:val="24"/>
          <w:rtl w:val="0"/>
          <w:lang w:val="en-US"/>
        </w:rPr>
        <w:t>If we return to the present day, and look forward to the future, children and young people in Wales with any kind of ALN may have some light at the end of this dark tunnel. An 11 aim Act, pointedly made to ensure a reshaping of the way in which ALNs are handled in the mainstream education system, is set to come in to force in September 2020. (ALN Transformation Programme, 2018, pp. 6).</w:t>
      </w:r>
    </w:p>
    <w:p>
      <w:pPr>
        <w:pStyle w:val="Body"/>
        <w:jc w:val="left"/>
        <w:rPr>
          <w:sz w:val="24"/>
          <w:szCs w:val="24"/>
        </w:rPr>
      </w:pPr>
      <w:r>
        <w:rPr>
          <w:sz w:val="24"/>
          <w:szCs w:val="24"/>
          <w:rtl w:val="0"/>
          <w:lang w:val="en-US"/>
        </w:rPr>
        <w:t>Perhaps the most significant change is the age range. The SEN Code of Practice 2001 covered pupils ages 3-18 years, whereas the new ALN Code of Practice will extend to learners aged 0-25 years. (ALN Transformation Programme, 2018, pp. 3). This expanded age range serves to prove that the earliest possible action can allow learners with an ALN to progress through mainstream education, alongside their peers.</w:t>
      </w:r>
    </w:p>
    <w:p>
      <w:pPr>
        <w:pStyle w:val="Body"/>
        <w:jc w:val="left"/>
        <w:rPr>
          <w:sz w:val="24"/>
          <w:szCs w:val="24"/>
        </w:rPr>
      </w:pPr>
      <w:r>
        <w:rPr>
          <w:sz w:val="24"/>
          <w:szCs w:val="24"/>
          <w:rtl w:val="0"/>
          <w:lang w:val="en-US"/>
        </w:rPr>
        <w:t>“</w:t>
      </w:r>
      <w:r>
        <w:rPr>
          <w:sz w:val="24"/>
          <w:szCs w:val="24"/>
          <w:rtl w:val="0"/>
          <w:lang w:val="en-US"/>
        </w:rPr>
        <w:t>The Act requires that learners</w:t>
      </w:r>
      <w:r>
        <w:rPr>
          <w:sz w:val="24"/>
          <w:szCs w:val="24"/>
          <w:rtl w:val="0"/>
          <w:lang w:val="en-US"/>
        </w:rPr>
        <w:t xml:space="preserve">’ </w:t>
      </w:r>
      <w:r>
        <w:rPr>
          <w:sz w:val="24"/>
          <w:szCs w:val="24"/>
          <w:rtl w:val="0"/>
          <w:lang w:val="en-US"/>
        </w:rPr>
        <w:t>views should always be considered as part of the planning process</w:t>
      </w:r>
      <w:r>
        <w:rPr>
          <w:sz w:val="24"/>
          <w:szCs w:val="24"/>
          <w:rtl w:val="0"/>
          <w:lang w:val="en-US"/>
        </w:rPr>
        <w:t xml:space="preserve">” </w:t>
      </w:r>
      <w:r>
        <w:rPr>
          <w:sz w:val="24"/>
          <w:szCs w:val="24"/>
          <w:rtl w:val="0"/>
          <w:lang w:val="en-US"/>
        </w:rPr>
        <w:t>(ALN Transformation Programme, 2018, pp. 3). This statement has the potential to positively impact those with an ALN. It means they actively get a say in how they are educated, allowing for them to feel more comfortable, and most importantly in control of their education. It is important to add, the Act will also take into consideration the views of the parents and/or carers, this is fundamental as it is impractical to expect a younger child to be able to sensibly give a reasonable outlook on their education.</w:t>
      </w:r>
    </w:p>
    <w:p>
      <w:pPr>
        <w:pStyle w:val="Body"/>
        <w:jc w:val="left"/>
        <w:rPr>
          <w:sz w:val="24"/>
          <w:szCs w:val="24"/>
        </w:rPr>
      </w:pPr>
    </w:p>
    <w:p>
      <w:pPr>
        <w:pStyle w:val="Body"/>
        <w:jc w:val="left"/>
        <w:rPr>
          <w:sz w:val="24"/>
          <w:szCs w:val="24"/>
          <w:u w:val="single"/>
        </w:rPr>
      </w:pPr>
    </w:p>
    <w:p>
      <w:pPr>
        <w:pStyle w:val="Body"/>
        <w:jc w:val="left"/>
        <w:rPr>
          <w:sz w:val="24"/>
          <w:szCs w:val="24"/>
          <w:u w:val="single"/>
        </w:rPr>
      </w:pPr>
      <w:r>
        <w:rPr>
          <w:sz w:val="24"/>
          <w:szCs w:val="24"/>
          <w:u w:val="single"/>
          <w:rtl w:val="0"/>
          <w:lang w:val="en-US"/>
        </w:rPr>
        <w:t>Supporting our Children: How Are Children Being Supported in Wales?</w:t>
      </w:r>
    </w:p>
    <w:p>
      <w:pPr>
        <w:pStyle w:val="Body"/>
        <w:jc w:val="left"/>
        <w:rPr>
          <w:sz w:val="24"/>
          <w:szCs w:val="24"/>
          <w:u w:val="single"/>
        </w:rPr>
      </w:pPr>
    </w:p>
    <w:p>
      <w:pPr>
        <w:pStyle w:val="Body"/>
        <w:jc w:val="left"/>
        <w:rPr>
          <w:sz w:val="24"/>
          <w:szCs w:val="24"/>
        </w:rPr>
      </w:pPr>
      <w:r>
        <w:rPr>
          <w:sz w:val="24"/>
          <w:szCs w:val="24"/>
          <w:rtl w:val="0"/>
          <w:lang w:val="en-US"/>
        </w:rPr>
        <w:t>To accurately talk about how children are being supported in Wales, we first need to consider what systems are actually in place.</w:t>
      </w:r>
    </w:p>
    <w:p>
      <w:pPr>
        <w:pStyle w:val="Body"/>
        <w:jc w:val="left"/>
        <w:rPr>
          <w:sz w:val="24"/>
          <w:szCs w:val="24"/>
        </w:rPr>
      </w:pPr>
      <w:r>
        <w:rPr>
          <w:sz w:val="24"/>
          <w:szCs w:val="24"/>
          <w:rtl w:val="0"/>
          <w:lang w:val="en-US"/>
        </w:rPr>
        <w:t>The most obvious one to talk about is a lady named Sally Holland. Her position as Children</w:t>
      </w:r>
      <w:r>
        <w:rPr>
          <w:sz w:val="24"/>
          <w:szCs w:val="24"/>
          <w:rtl w:val="0"/>
          <w:lang w:val="en-US"/>
        </w:rPr>
        <w:t>’</w:t>
      </w:r>
      <w:r>
        <w:rPr>
          <w:sz w:val="24"/>
          <w:szCs w:val="24"/>
          <w:rtl w:val="0"/>
          <w:lang w:val="en-US"/>
        </w:rPr>
        <w:t>s Commissioner for Wales makes her the primary contact for children and young people in Wales. Of course she is not just one woman, she has an entire team around her, creating an entire office of people able to assist the young people of Wales. Whilst it is fair to say ensuring the correct enforcement of the United Nations Convention on the Rights of the Child, is one of the Commissioner</w:t>
      </w:r>
      <w:r>
        <w:rPr>
          <w:sz w:val="24"/>
          <w:szCs w:val="24"/>
          <w:rtl w:val="0"/>
          <w:lang w:val="en-US"/>
        </w:rPr>
        <w:t>’</w:t>
      </w:r>
      <w:r>
        <w:rPr>
          <w:sz w:val="24"/>
          <w:szCs w:val="24"/>
          <w:rtl w:val="0"/>
          <w:lang w:val="en-US"/>
        </w:rPr>
        <w:t>s main tasks, according to the website, they are also here to ensure children</w:t>
      </w:r>
      <w:r>
        <w:rPr>
          <w:sz w:val="24"/>
          <w:szCs w:val="24"/>
          <w:rtl w:val="0"/>
          <w:lang w:val="en-US"/>
        </w:rPr>
        <w:t>’</w:t>
      </w:r>
      <w:r>
        <w:rPr>
          <w:sz w:val="24"/>
          <w:szCs w:val="24"/>
          <w:rtl w:val="0"/>
          <w:lang w:val="en-US"/>
        </w:rPr>
        <w:t>s rights and safety are promoted and secured.</w:t>
      </w:r>
    </w:p>
    <w:p>
      <w:pPr>
        <w:pStyle w:val="Body"/>
        <w:jc w:val="left"/>
        <w:rPr>
          <w:sz w:val="24"/>
          <w:szCs w:val="24"/>
        </w:rPr>
      </w:pPr>
    </w:p>
    <w:p>
      <w:pPr>
        <w:pStyle w:val="Body"/>
        <w:jc w:val="left"/>
        <w:rPr>
          <w:sz w:val="24"/>
          <w:szCs w:val="24"/>
        </w:rPr>
      </w:pPr>
      <w:r>
        <w:rPr>
          <w:sz w:val="24"/>
          <w:szCs w:val="24"/>
          <w:rtl w:val="0"/>
          <w:lang w:val="en-US"/>
        </w:rPr>
        <w:t xml:space="preserve">Another way in which children and young people are supported is through SNAP Cymru. According to their homepage, they provide </w:t>
      </w:r>
      <w:r>
        <w:rPr>
          <w:sz w:val="24"/>
          <w:szCs w:val="24"/>
          <w:rtl w:val="0"/>
          <w:lang w:val="en-US"/>
        </w:rPr>
        <w:t>“</w:t>
      </w:r>
      <w:r>
        <w:rPr>
          <w:sz w:val="24"/>
          <w:szCs w:val="24"/>
          <w:rtl w:val="0"/>
          <w:lang w:val="en-US"/>
        </w:rPr>
        <w:t>information, advice and support for parents, children and young people who have, or may have, special educational needs or disabilities.</w:t>
      </w:r>
      <w:r>
        <w:rPr>
          <w:sz w:val="24"/>
          <w:szCs w:val="24"/>
          <w:rtl w:val="0"/>
          <w:lang w:val="en-US"/>
        </w:rPr>
        <w:t xml:space="preserve">” </w:t>
      </w:r>
      <w:r>
        <w:rPr>
          <w:sz w:val="24"/>
          <w:szCs w:val="24"/>
          <w:rtl w:val="0"/>
          <w:lang w:val="en-US"/>
        </w:rPr>
        <w:t>(SNAP Cymru, 2019). This is a fantastic service dedicated to helping young people with ALNs, and their families. In other words, it is a perfect portal into inclusive practice. Admittedly the homepage is a little deceiving, it appears to be a charity established only to help young people in Wales with ALNs or disabilities, however this is not the case. SNAP Cymru will help and child or young person experiencing barriers to education. They also offer help to train parents and carers of young people to better support their charges.</w:t>
      </w:r>
    </w:p>
    <w:p>
      <w:pPr>
        <w:pStyle w:val="Body"/>
        <w:jc w:val="left"/>
        <w:rPr>
          <w:sz w:val="24"/>
          <w:szCs w:val="24"/>
        </w:rPr>
      </w:pPr>
      <w:r>
        <w:rPr>
          <w:sz w:val="24"/>
          <w:szCs w:val="24"/>
          <w:rtl w:val="0"/>
          <w:lang w:val="en-US"/>
        </w:rPr>
        <w:t xml:space="preserve">The easy to browse website allows children and young people, as well as their families to find all the relevant support and information. SNAP also offer a list in their </w:t>
      </w:r>
      <w:r>
        <w:rPr>
          <w:sz w:val="24"/>
          <w:szCs w:val="24"/>
          <w:rtl w:val="0"/>
          <w:lang w:val="en-US"/>
        </w:rPr>
        <w:t>‘</w:t>
      </w:r>
      <w:r>
        <w:rPr>
          <w:sz w:val="24"/>
          <w:szCs w:val="24"/>
          <w:rtl w:val="0"/>
          <w:lang w:val="en-US"/>
        </w:rPr>
        <w:t>Young People</w:t>
      </w:r>
      <w:r>
        <w:rPr>
          <w:sz w:val="24"/>
          <w:szCs w:val="24"/>
          <w:rtl w:val="0"/>
          <w:lang w:val="en-US"/>
        </w:rPr>
        <w:t xml:space="preserve">’ </w:t>
      </w:r>
      <w:r>
        <w:rPr>
          <w:sz w:val="24"/>
          <w:szCs w:val="24"/>
          <w:rtl w:val="0"/>
          <w:lang w:val="en-US"/>
        </w:rPr>
        <w:t>page, of all the varying ways they can help children and young people. This includes exclusion from school, and being the victim of bullying, two factors that can have a major impact on a child</w:t>
      </w:r>
      <w:r>
        <w:rPr>
          <w:sz w:val="24"/>
          <w:szCs w:val="24"/>
          <w:rtl w:val="0"/>
          <w:lang w:val="en-US"/>
        </w:rPr>
        <w:t>’</w:t>
      </w:r>
      <w:r>
        <w:rPr>
          <w:sz w:val="24"/>
          <w:szCs w:val="24"/>
          <w:rtl w:val="0"/>
          <w:lang w:val="en-US"/>
        </w:rPr>
        <w:t>s social inclusion.</w:t>
      </w:r>
    </w:p>
    <w:p>
      <w:pPr>
        <w:pStyle w:val="Body"/>
        <w:jc w:val="left"/>
        <w:rPr>
          <w:sz w:val="24"/>
          <w:szCs w:val="24"/>
          <w:u w:val="single"/>
        </w:rPr>
      </w:pPr>
    </w:p>
    <w:p>
      <w:pPr>
        <w:pStyle w:val="Body"/>
        <w:jc w:val="left"/>
        <w:rPr>
          <w:sz w:val="24"/>
          <w:szCs w:val="24"/>
        </w:rPr>
      </w:pPr>
      <w:r>
        <w:rPr>
          <w:sz w:val="24"/>
          <w:szCs w:val="24"/>
          <w:rtl w:val="0"/>
          <w:lang w:val="en-US"/>
        </w:rPr>
        <w:t>Returning to a more local level, we can look at how children are being supported in Swansea, with further examination of the local council</w:t>
      </w:r>
      <w:r>
        <w:rPr>
          <w:sz w:val="24"/>
          <w:szCs w:val="24"/>
          <w:rtl w:val="0"/>
          <w:lang w:val="en-US"/>
        </w:rPr>
        <w:t>’</w:t>
      </w:r>
      <w:r>
        <w:rPr>
          <w:sz w:val="24"/>
          <w:szCs w:val="24"/>
          <w:rtl w:val="0"/>
          <w:lang w:val="en-US"/>
        </w:rPr>
        <w:t xml:space="preserve">s inclusion policy. </w:t>
      </w:r>
    </w:p>
    <w:p>
      <w:pPr>
        <w:pStyle w:val="Body"/>
        <w:jc w:val="left"/>
        <w:rPr>
          <w:sz w:val="24"/>
          <w:szCs w:val="24"/>
        </w:rPr>
      </w:pPr>
      <w:r>
        <w:rPr>
          <w:sz w:val="24"/>
          <w:szCs w:val="24"/>
          <w:rtl w:val="0"/>
          <w:lang w:val="en-US"/>
        </w:rPr>
        <w:t xml:space="preserve">Something worth noting about this document, is its age. Towards the end of the document, it talks about its evaluation and how the policy will be </w:t>
      </w:r>
      <w:r>
        <w:rPr>
          <w:sz w:val="24"/>
          <w:szCs w:val="24"/>
          <w:rtl w:val="0"/>
          <w:lang w:val="en-US"/>
        </w:rPr>
        <w:t>‘“</w:t>
      </w:r>
      <w:r>
        <w:rPr>
          <w:sz w:val="24"/>
          <w:szCs w:val="24"/>
          <w:rtl w:val="0"/>
          <w:lang w:val="en-US"/>
        </w:rPr>
        <w:t>regularly reviewed and revised</w:t>
      </w:r>
      <w:r>
        <w:rPr>
          <w:sz w:val="24"/>
          <w:szCs w:val="24"/>
          <w:rtl w:val="0"/>
          <w:lang w:val="en-US"/>
        </w:rPr>
        <w:t xml:space="preserve">” </w:t>
      </w:r>
      <w:r>
        <w:rPr>
          <w:sz w:val="24"/>
          <w:szCs w:val="24"/>
          <w:rtl w:val="0"/>
          <w:lang w:val="en-US"/>
        </w:rPr>
        <w:t>(Inclusion Policy, 2012, pp. 6). Despite this, the police was last revised in July 2012, leaving us to question just how committed the LEA have been to ensuring a fully inclusive learning environment has been available to the children and young people of Swansea.</w:t>
      </w:r>
    </w:p>
    <w:p>
      <w:pPr>
        <w:pStyle w:val="Body"/>
        <w:jc w:val="left"/>
        <w:rPr>
          <w:sz w:val="24"/>
          <w:szCs w:val="24"/>
        </w:rPr>
      </w:pPr>
      <w:r>
        <w:rPr>
          <w:sz w:val="24"/>
          <w:szCs w:val="24"/>
          <w:rtl w:val="0"/>
          <w:lang w:val="en-US"/>
        </w:rPr>
        <w:t>We should however recognise the LEA, as their policy does tell of their aim to reduce the number of exclusions within the area (Inclusion Policy, 2012, pp. 5). According to the latest statistics available to us from Stats Wales, there was a small drop in exclusions around the time the policy was last revised. In 2011/12 the LEA for Swansea reported a total of 767 exclusions of five days or less (SCHS0141: Exclusions from Schools, Accessed 21st October 2019). This number dropped to 626 for the period of 2012/13, showing at least some effort. The number of exclusions lasting more than six days does not see so much of a drop, starting at 91 for 2011/12 and dropping to just 84 for 2012/13. Although these are only minor drops in terms of pure numbers, it does show the LEA for Swansea are indeed following through on their aim.</w:t>
      </w:r>
    </w:p>
    <w:p>
      <w:pPr>
        <w:pStyle w:val="Body"/>
        <w:jc w:val="left"/>
        <w:rPr>
          <w:sz w:val="24"/>
          <w:szCs w:val="24"/>
        </w:rPr>
      </w:pPr>
    </w:p>
    <w:p>
      <w:pPr>
        <w:pStyle w:val="Body"/>
        <w:jc w:val="left"/>
        <w:rPr>
          <w:sz w:val="24"/>
          <w:szCs w:val="24"/>
          <w:u w:val="single"/>
        </w:rPr>
      </w:pPr>
    </w:p>
    <w:p>
      <w:pPr>
        <w:pStyle w:val="Body"/>
        <w:jc w:val="left"/>
        <w:rPr>
          <w:sz w:val="24"/>
          <w:szCs w:val="24"/>
          <w:u w:val="single"/>
        </w:rPr>
      </w:pPr>
      <w:r>
        <w:rPr>
          <w:sz w:val="24"/>
          <w:szCs w:val="24"/>
          <w:u w:val="single"/>
          <w:rtl w:val="0"/>
          <w:lang w:val="en-US"/>
        </w:rPr>
        <w:t>Conclusion:</w:t>
      </w:r>
    </w:p>
    <w:p>
      <w:pPr>
        <w:pStyle w:val="Body"/>
        <w:jc w:val="left"/>
        <w:rPr>
          <w:sz w:val="24"/>
          <w:szCs w:val="24"/>
          <w:u w:val="single"/>
        </w:rPr>
      </w:pPr>
    </w:p>
    <w:p>
      <w:pPr>
        <w:pStyle w:val="Body"/>
        <w:jc w:val="left"/>
        <w:rPr>
          <w:sz w:val="24"/>
          <w:szCs w:val="24"/>
        </w:rPr>
      </w:pPr>
      <w:r>
        <w:rPr>
          <w:sz w:val="24"/>
          <w:szCs w:val="24"/>
          <w:rtl w:val="0"/>
          <w:lang w:val="en-US"/>
        </w:rPr>
        <w:t>As we conclude on this paper, we must reflect on the topics discussed, and the points made.</w:t>
      </w:r>
    </w:p>
    <w:p>
      <w:pPr>
        <w:pStyle w:val="Body"/>
        <w:jc w:val="left"/>
        <w:rPr>
          <w:sz w:val="24"/>
          <w:szCs w:val="24"/>
        </w:rPr>
      </w:pPr>
      <w:r>
        <w:rPr>
          <w:sz w:val="24"/>
          <w:szCs w:val="24"/>
          <w:rtl w:val="0"/>
          <w:lang w:val="en-US"/>
        </w:rPr>
        <w:t>We have established that inclusive practice cannot simply be defined by looking in a dictionary, and that we must celebrate the diversity a classroom can offer. And whilst we can have a definition that covers all the necessary bases, that does not necessarily make the definition itself feel particularly inclusive. Therefore the LEA must consider making its own definition more inclusive, or rather more invitingly inclusive.</w:t>
      </w:r>
    </w:p>
    <w:p>
      <w:pPr>
        <w:pStyle w:val="Body"/>
        <w:jc w:val="left"/>
        <w:rPr>
          <w:sz w:val="24"/>
          <w:szCs w:val="24"/>
        </w:rPr>
      </w:pPr>
      <w:r>
        <w:rPr>
          <w:sz w:val="24"/>
          <w:szCs w:val="24"/>
          <w:rtl w:val="0"/>
          <w:lang w:val="en-US"/>
        </w:rPr>
        <w:t>We have also looked at the varying legislation that is in place in order to help with inclusive practice. Looking back to 1988, we can see a shift in inclusion. Whilst the original reform act can seem to be almost exclusive, the SEN Code of Practice made significant changes to the way in which LEAs can include learners with an SEN.</w:t>
      </w:r>
    </w:p>
    <w:p>
      <w:pPr>
        <w:pStyle w:val="Body"/>
        <w:jc w:val="left"/>
        <w:rPr>
          <w:sz w:val="24"/>
          <w:szCs w:val="24"/>
        </w:rPr>
      </w:pPr>
      <w:r>
        <w:rPr>
          <w:sz w:val="24"/>
          <w:szCs w:val="24"/>
          <w:rtl w:val="0"/>
          <w:lang w:val="en-US"/>
        </w:rPr>
        <w:t>The LEA for Swansea have their own inclusion policy, which it would not be unfair to say is slightly outdated at this point. Whilst it has managed to succeed in some ways, particularly with dropping the number of exclusions from schools in the area, the outdated statistics leave us wondering if the trend continued.</w:t>
      </w:r>
    </w:p>
    <w:p>
      <w:pPr>
        <w:pStyle w:val="Body"/>
        <w:jc w:val="left"/>
        <w:rPr>
          <w:sz w:val="24"/>
          <w:szCs w:val="24"/>
        </w:rPr>
      </w:pPr>
    </w:p>
    <w:p>
      <w:pPr>
        <w:pStyle w:val="Body"/>
        <w:jc w:val="left"/>
        <w:rPr>
          <w:sz w:val="24"/>
          <w:szCs w:val="24"/>
        </w:rPr>
      </w:pPr>
      <w:r>
        <w:rPr>
          <w:sz w:val="24"/>
          <w:szCs w:val="24"/>
          <w:rtl w:val="0"/>
          <w:lang w:val="en-US"/>
        </w:rPr>
        <w:t>Reference list:</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Education Challenge Unit. (2013)  </w:t>
      </w:r>
      <w:r>
        <w:rPr>
          <w:i w:val="1"/>
          <w:iCs w:val="1"/>
          <w:sz w:val="24"/>
          <w:szCs w:val="24"/>
          <w:rtl w:val="0"/>
          <w:lang w:val="en-US"/>
        </w:rPr>
        <w:t xml:space="preserve">Equality and Diversity for Academics. </w:t>
      </w: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"https://www.ecu.ac.uk/wp-content/uploads/external/e-and-d-for-academics-factsheet-inclusive-practice.pdf"</w:instrText>
      </w:r>
      <w:r>
        <w:rPr>
          <w:rStyle w:val="Hyperlink.0"/>
          <w:sz w:val="24"/>
          <w:szCs w:val="24"/>
        </w:rPr>
        <w:fldChar w:fldCharType="separate" w:fldLock="0"/>
      </w:r>
      <w:r>
        <w:rPr>
          <w:rStyle w:val="Hyperlink.0"/>
          <w:sz w:val="24"/>
          <w:szCs w:val="24"/>
          <w:rtl w:val="0"/>
          <w:lang w:val="en-US"/>
        </w:rPr>
        <w:t>https://www.ecu.ac.uk/wp-content/uploads/external/e-and-d-for-academics-factsheet-inclusive-practice.pdf</w:t>
      </w:r>
      <w:r>
        <w:rPr>
          <w:sz w:val="24"/>
          <w:szCs w:val="24"/>
        </w:rPr>
        <w:fldChar w:fldCharType="end" w:fldLock="0"/>
      </w:r>
      <w:r>
        <w:rPr>
          <w:sz w:val="24"/>
          <w:szCs w:val="24"/>
          <w:rtl w:val="0"/>
          <w:lang w:val="en-US"/>
        </w:rPr>
        <w:t xml:space="preserve"> (Accessed: 21 October 2019)</w:t>
      </w:r>
    </w:p>
    <w:p>
      <w:pPr>
        <w:pStyle w:val="Body"/>
        <w:jc w:val="left"/>
        <w:rPr>
          <w:sz w:val="24"/>
          <w:szCs w:val="24"/>
        </w:rPr>
      </w:pPr>
    </w:p>
    <w:p>
      <w:pPr>
        <w:pStyle w:val="Body"/>
        <w:jc w:val="left"/>
        <w:rPr>
          <w:sz w:val="24"/>
          <w:szCs w:val="24"/>
        </w:rPr>
      </w:pPr>
      <w:r>
        <w:rPr>
          <w:sz w:val="24"/>
          <w:szCs w:val="24"/>
          <w:rtl w:val="0"/>
          <w:lang w:val="en-US"/>
        </w:rPr>
        <w:t xml:space="preserve">Education in the City and County of Swansea. (2012) </w:t>
      </w:r>
      <w:r>
        <w:rPr>
          <w:i w:val="1"/>
          <w:iCs w:val="1"/>
          <w:sz w:val="24"/>
          <w:szCs w:val="24"/>
          <w:rtl w:val="0"/>
          <w:lang w:val="en-US"/>
        </w:rPr>
        <w:t>Inclusion Policy.</w:t>
      </w:r>
      <w:r>
        <w:rPr>
          <w:sz w:val="24"/>
          <w:szCs w:val="24"/>
          <w:rtl w:val="0"/>
          <w:lang w:val="en-US"/>
        </w:rPr>
        <w:t xml:space="preserve"> Available at: </w:t>
      </w:r>
      <w:r>
        <w:rPr>
          <w:rStyle w:val="Hyperlink.0"/>
          <w:sz w:val="24"/>
          <w:szCs w:val="24"/>
        </w:rPr>
        <w:fldChar w:fldCharType="begin" w:fldLock="0"/>
      </w:r>
      <w:r>
        <w:rPr>
          <w:rStyle w:val="Hyperlink.0"/>
          <w:sz w:val="24"/>
          <w:szCs w:val="24"/>
        </w:rPr>
        <w:instrText xml:space="preserve"> HYPERLINK "https://www.swansea.gov.uk/article/2646/SEN---Inclusion-policy-and-strategy"</w:instrText>
      </w:r>
      <w:r>
        <w:rPr>
          <w:rStyle w:val="Hyperlink.0"/>
          <w:sz w:val="24"/>
          <w:szCs w:val="24"/>
        </w:rPr>
        <w:fldChar w:fldCharType="separate" w:fldLock="0"/>
      </w:r>
      <w:r>
        <w:rPr>
          <w:rStyle w:val="Hyperlink.0"/>
          <w:sz w:val="24"/>
          <w:szCs w:val="24"/>
          <w:rtl w:val="0"/>
          <w:lang w:val="en-US"/>
        </w:rPr>
        <w:t>https://www.swansea.gov.uk/article/2646/SEN---Inclusion-policy-and-strategy</w:t>
      </w:r>
      <w:r>
        <w:rPr>
          <w:sz w:val="24"/>
          <w:szCs w:val="24"/>
        </w:rPr>
        <w:fldChar w:fldCharType="end" w:fldLock="0"/>
      </w:r>
      <w:r>
        <w:rPr>
          <w:sz w:val="24"/>
          <w:szCs w:val="24"/>
          <w:rtl w:val="0"/>
          <w:lang w:val="en-US"/>
        </w:rPr>
        <w:t xml:space="preserve"> (Accessed: 21 October 2019)</w:t>
      </w:r>
    </w:p>
    <w:p>
      <w:pPr>
        <w:pStyle w:val="Body"/>
        <w:jc w:val="left"/>
        <w:rPr>
          <w:sz w:val="24"/>
          <w:szCs w:val="24"/>
        </w:rPr>
      </w:pPr>
    </w:p>
    <w:p>
      <w:pPr>
        <w:pStyle w:val="Body"/>
        <w:jc w:val="left"/>
        <w:rPr>
          <w:sz w:val="24"/>
          <w:szCs w:val="24"/>
        </w:rPr>
      </w:pPr>
      <w:r>
        <w:rPr>
          <w:sz w:val="24"/>
          <w:szCs w:val="24"/>
          <w:rtl w:val="0"/>
          <w:lang w:val="en-US"/>
        </w:rPr>
        <w:t xml:space="preserve">Education Reform Act 1988, c. 2. Available at: </w:t>
      </w:r>
      <w:r>
        <w:rPr>
          <w:rStyle w:val="Hyperlink.0"/>
          <w:sz w:val="24"/>
          <w:szCs w:val="24"/>
        </w:rPr>
        <w:fldChar w:fldCharType="begin" w:fldLock="0"/>
      </w:r>
      <w:r>
        <w:rPr>
          <w:rStyle w:val="Hyperlink.0"/>
          <w:sz w:val="24"/>
          <w:szCs w:val="24"/>
        </w:rPr>
        <w:instrText xml:space="preserve"> HYPERLINK "http://www.legislation.gov.uk/ukpga/1988/40/section/18/1991-02-01"</w:instrText>
      </w:r>
      <w:r>
        <w:rPr>
          <w:rStyle w:val="Hyperlink.0"/>
          <w:sz w:val="24"/>
          <w:szCs w:val="24"/>
        </w:rPr>
        <w:fldChar w:fldCharType="separate" w:fldLock="0"/>
      </w:r>
      <w:r>
        <w:rPr>
          <w:rStyle w:val="Hyperlink.0"/>
          <w:sz w:val="24"/>
          <w:szCs w:val="24"/>
          <w:rtl w:val="0"/>
          <w:lang w:val="en-US"/>
        </w:rPr>
        <w:t>http://www.legislation.gov.uk/ukpga/1988/40/section/18/1991-02-01</w:t>
      </w:r>
      <w:r>
        <w:rPr>
          <w:sz w:val="24"/>
          <w:szCs w:val="24"/>
        </w:rPr>
        <w:fldChar w:fldCharType="end" w:fldLock="0"/>
      </w:r>
      <w:r>
        <w:rPr>
          <w:sz w:val="24"/>
          <w:szCs w:val="24"/>
          <w:rtl w:val="0"/>
          <w:lang w:val="en-US"/>
        </w:rPr>
        <w:t xml:space="preserve"> (Accessed: 21 October 2019)</w:t>
      </w:r>
    </w:p>
    <w:p>
      <w:pPr>
        <w:pStyle w:val="Body"/>
        <w:jc w:val="left"/>
        <w:rPr>
          <w:sz w:val="24"/>
          <w:szCs w:val="24"/>
        </w:rPr>
      </w:pPr>
    </w:p>
    <w:p>
      <w:pPr>
        <w:pStyle w:val="Body"/>
        <w:jc w:val="left"/>
        <w:rPr>
          <w:sz w:val="24"/>
          <w:szCs w:val="24"/>
        </w:rPr>
      </w:pPr>
      <w:r>
        <w:rPr>
          <w:sz w:val="24"/>
          <w:szCs w:val="24"/>
          <w:rtl w:val="0"/>
          <w:lang w:val="en-US"/>
        </w:rPr>
        <w:t xml:space="preserve">SNAP Cymru (2019) Homepage. Available at: </w:t>
      </w:r>
      <w:r>
        <w:rPr>
          <w:rStyle w:val="Hyperlink.0"/>
          <w:sz w:val="24"/>
          <w:szCs w:val="24"/>
        </w:rPr>
        <w:fldChar w:fldCharType="begin" w:fldLock="0"/>
      </w:r>
      <w:r>
        <w:rPr>
          <w:rStyle w:val="Hyperlink.0"/>
          <w:sz w:val="24"/>
          <w:szCs w:val="24"/>
        </w:rPr>
        <w:instrText xml:space="preserve"> HYPERLINK "http://www.snapcymru.org"</w:instrText>
      </w:r>
      <w:r>
        <w:rPr>
          <w:rStyle w:val="Hyperlink.0"/>
          <w:sz w:val="24"/>
          <w:szCs w:val="24"/>
        </w:rPr>
        <w:fldChar w:fldCharType="separate" w:fldLock="0"/>
      </w:r>
      <w:r>
        <w:rPr>
          <w:rStyle w:val="Hyperlink.0"/>
          <w:sz w:val="24"/>
          <w:szCs w:val="24"/>
          <w:rtl w:val="0"/>
        </w:rPr>
        <w:t>http://www.snapcymru.org</w:t>
      </w:r>
      <w:r>
        <w:rPr>
          <w:sz w:val="24"/>
          <w:szCs w:val="24"/>
        </w:rPr>
        <w:fldChar w:fldCharType="end" w:fldLock="0"/>
      </w:r>
      <w:r>
        <w:rPr>
          <w:sz w:val="24"/>
          <w:szCs w:val="24"/>
          <w:rtl w:val="0"/>
          <w:lang w:val="en-US"/>
        </w:rPr>
        <w:t xml:space="preserve"> (Accessed: 21 October 2019)</w:t>
      </w:r>
    </w:p>
    <w:p>
      <w:pPr>
        <w:pStyle w:val="Body"/>
        <w:jc w:val="left"/>
        <w:rPr>
          <w:sz w:val="24"/>
          <w:szCs w:val="24"/>
        </w:rPr>
      </w:pPr>
    </w:p>
    <w:p>
      <w:pPr>
        <w:pStyle w:val="Body"/>
        <w:jc w:val="left"/>
        <w:rPr>
          <w:sz w:val="24"/>
          <w:szCs w:val="24"/>
        </w:rPr>
      </w:pPr>
      <w:r>
        <w:rPr>
          <w:sz w:val="24"/>
          <w:szCs w:val="24"/>
          <w:rtl w:val="0"/>
          <w:lang w:val="en-US"/>
        </w:rPr>
        <w:t xml:space="preserve">StatsWales. </w:t>
      </w:r>
      <w:r>
        <w:rPr>
          <w:i w:val="1"/>
          <w:iCs w:val="1"/>
          <w:sz w:val="24"/>
          <w:szCs w:val="24"/>
          <w:rtl w:val="0"/>
          <w:lang w:val="en-US"/>
        </w:rPr>
        <w:t>SCHS0141: Exclusions from Schools.</w:t>
      </w:r>
      <w:r>
        <w:rPr>
          <w:sz w:val="24"/>
          <w:szCs w:val="24"/>
          <w:rtl w:val="0"/>
          <w:lang w:val="en-US"/>
        </w:rPr>
        <w:t xml:space="preserve"> Available at: </w:t>
      </w:r>
      <w:r>
        <w:rPr>
          <w:rStyle w:val="Hyperlink.0"/>
          <w:sz w:val="24"/>
          <w:szCs w:val="24"/>
        </w:rPr>
        <w:fldChar w:fldCharType="begin" w:fldLock="0"/>
      </w:r>
      <w:r>
        <w:rPr>
          <w:rStyle w:val="Hyperlink.0"/>
          <w:sz w:val="24"/>
          <w:szCs w:val="24"/>
        </w:rPr>
        <w:instrText xml:space="preserve"> HYPERLINK "https://statswales.gov.wales/Catalogue/Education-and-Skills/Schools-and-Teachers/Exclusions/FixedTermExclusions-by-LocalAuthority-ExclusionType-Year"</w:instrText>
      </w:r>
      <w:r>
        <w:rPr>
          <w:rStyle w:val="Hyperlink.0"/>
          <w:sz w:val="24"/>
          <w:szCs w:val="24"/>
        </w:rPr>
        <w:fldChar w:fldCharType="separate" w:fldLock="0"/>
      </w:r>
      <w:r>
        <w:rPr>
          <w:rStyle w:val="Hyperlink.0"/>
          <w:sz w:val="24"/>
          <w:szCs w:val="24"/>
          <w:rtl w:val="0"/>
          <w:lang w:val="en-US"/>
        </w:rPr>
        <w:t>https://statswales.gov.wales/Catalogue/Education-and-Skills/Schools-and-Teachers/Exclusions/FixedTermExclusions-by-LocalAuthority-ExclusionType-Year</w:t>
      </w:r>
      <w:r>
        <w:rPr>
          <w:sz w:val="24"/>
          <w:szCs w:val="24"/>
        </w:rPr>
        <w:fldChar w:fldCharType="end" w:fldLock="0"/>
      </w:r>
      <w:r>
        <w:rPr>
          <w:sz w:val="24"/>
          <w:szCs w:val="24"/>
          <w:rtl w:val="0"/>
          <w:lang w:val="en-US"/>
        </w:rPr>
        <w:t xml:space="preserve"> (Accessed: 21 October 2019)</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Swansea Council - Information, Research &amp; GIS (Strategic Delivery Unit). (2019) </w:t>
      </w:r>
      <w:r>
        <w:rPr>
          <w:i w:val="1"/>
          <w:iCs w:val="1"/>
          <w:sz w:val="24"/>
          <w:szCs w:val="24"/>
          <w:rtl w:val="0"/>
          <w:lang w:val="en-US"/>
        </w:rPr>
        <w:t xml:space="preserve">Mid-Year Estimates of Population 2018. </w:t>
      </w: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"https://www.swansea.gov.uk/population"</w:instrText>
      </w:r>
      <w:r>
        <w:rPr>
          <w:rStyle w:val="Hyperlink.0"/>
          <w:sz w:val="24"/>
          <w:szCs w:val="24"/>
        </w:rPr>
        <w:fldChar w:fldCharType="separate" w:fldLock="0"/>
      </w:r>
      <w:r>
        <w:rPr>
          <w:rStyle w:val="Hyperlink.0"/>
          <w:sz w:val="24"/>
          <w:szCs w:val="24"/>
          <w:rtl w:val="0"/>
          <w:lang w:val="en-US"/>
        </w:rPr>
        <w:t>https://www.swansea.gov.uk/population</w:t>
      </w:r>
      <w:r>
        <w:rPr>
          <w:sz w:val="24"/>
          <w:szCs w:val="24"/>
        </w:rPr>
        <w:fldChar w:fldCharType="end" w:fldLock="0"/>
      </w:r>
      <w:r>
        <w:rPr>
          <w:sz w:val="24"/>
          <w:szCs w:val="24"/>
          <w:rtl w:val="0"/>
          <w:lang w:val="en-US"/>
        </w:rPr>
        <w:t xml:space="preserve"> (Accessed: 21 October 2019)</w:t>
      </w:r>
    </w:p>
    <w:p>
      <w:pPr>
        <w:pStyle w:val="Body"/>
        <w:jc w:val="left"/>
        <w:rPr>
          <w:sz w:val="24"/>
          <w:szCs w:val="24"/>
        </w:rPr>
      </w:pPr>
    </w:p>
    <w:p>
      <w:pPr>
        <w:pStyle w:val="Body"/>
        <w:jc w:val="left"/>
        <w:rPr>
          <w:sz w:val="24"/>
          <w:szCs w:val="24"/>
        </w:rPr>
      </w:pPr>
    </w:p>
    <w:p>
      <w:pPr>
        <w:pStyle w:val="Body"/>
        <w:jc w:val="left"/>
      </w:pPr>
      <w:r>
        <w:rPr>
          <w:sz w:val="24"/>
          <w:szCs w:val="24"/>
          <w:rtl w:val="0"/>
          <w:lang w:val="en-US"/>
        </w:rPr>
        <w:t xml:space="preserve">Welsh Government. (2018) </w:t>
      </w:r>
      <w:r>
        <w:rPr>
          <w:i w:val="1"/>
          <w:iCs w:val="1"/>
          <w:sz w:val="24"/>
          <w:szCs w:val="24"/>
          <w:rtl w:val="0"/>
          <w:lang w:val="en-US"/>
        </w:rPr>
        <w:t xml:space="preserve">ALN Transformation Programme 2018. </w:t>
      </w: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"https://gov.wales/sites/default/files/publications/2018-09/additional-learning-needs-aln-transformation-programme-v2.pdf"</w:instrText>
      </w:r>
      <w:r>
        <w:rPr>
          <w:rStyle w:val="Hyperlink.0"/>
          <w:sz w:val="24"/>
          <w:szCs w:val="24"/>
        </w:rPr>
        <w:fldChar w:fldCharType="separate" w:fldLock="0"/>
      </w:r>
      <w:r>
        <w:rPr>
          <w:rStyle w:val="Hyperlink.0"/>
          <w:sz w:val="24"/>
          <w:szCs w:val="24"/>
          <w:rtl w:val="0"/>
          <w:lang w:val="en-US"/>
        </w:rPr>
        <w:t>https://gov.wales/sites/default/files/publications/2018-09/additional-learning-needs-aln-transformation-programme-v2.pdf</w:t>
      </w:r>
      <w:r>
        <w:rPr>
          <w:sz w:val="24"/>
          <w:szCs w:val="24"/>
        </w:rPr>
        <w:fldChar w:fldCharType="end" w:fldLock="0"/>
      </w:r>
      <w:r>
        <w:rPr>
          <w:sz w:val="24"/>
          <w:szCs w:val="24"/>
          <w:rtl w:val="0"/>
          <w:lang w:val="en-US"/>
        </w:rPr>
        <w:t xml:space="preserve"> (Accessed: 21 October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