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Pr>
        <w:drawing>
          <wp:inline distB="114300" distT="114300" distL="114300" distR="114300">
            <wp:extent cx="4386263" cy="1450437"/>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386263" cy="145043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12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IUMW EXCHANGE PROGRAMME</w:t>
      </w:r>
    </w:p>
    <w:p w:rsidR="00000000" w:rsidDel="00000000" w:rsidP="00000000" w:rsidRDefault="00000000" w:rsidRPr="00000000" w14:paraId="00000006">
      <w:pPr>
        <w:spacing w:after="12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CONTRACT LAW (BMLW5009)</w:t>
      </w:r>
    </w:p>
    <w:p w:rsidR="00000000" w:rsidDel="00000000" w:rsidP="00000000" w:rsidRDefault="00000000" w:rsidRPr="00000000" w14:paraId="00000007">
      <w:pPr>
        <w:spacing w:after="12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LAURA KNIGHT</w:t>
      </w:r>
    </w:p>
    <w:p w:rsidR="00000000" w:rsidDel="00000000" w:rsidP="00000000" w:rsidRDefault="00000000" w:rsidRPr="00000000" w14:paraId="00000008">
      <w:pPr>
        <w:spacing w:after="12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after="12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after="12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after="120" w:lineRule="auto"/>
        <w:jc w:val="center"/>
        <w:rPr>
          <w:rFonts w:ascii="Times New Roman" w:cs="Times New Roman" w:eastAsia="Times New Roman" w:hAnsi="Times New Roman"/>
          <w:b w:val="1"/>
          <w:sz w:val="24"/>
          <w:szCs w:val="24"/>
        </w:rPr>
      </w:pPr>
      <w:r w:rsidDel="00000000" w:rsidR="00000000" w:rsidRPr="00000000">
        <w:rPr>
          <w:rtl w:val="0"/>
        </w:rPr>
      </w:r>
    </w:p>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NELLY ARYSA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2225952</w:t>
            </w:r>
          </w:p>
        </w:tc>
      </w:tr>
    </w:tbl>
    <w:p w:rsidR="00000000" w:rsidDel="00000000" w:rsidP="00000000" w:rsidRDefault="00000000" w:rsidRPr="00000000" w14:paraId="00000010">
      <w:pPr>
        <w:spacing w:after="12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2">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3">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4">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5">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6">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7">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8">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9">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B">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C">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1.0 Introduction</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Khan (2019) other than offer, acceptance and consideration, the last element that needs to be included would be intention to create legal relations, as without it there would not be a binding agreement. An agreement supported by consideration is not sufficient without the intention to create legal relations. The court requires to determine whether a party did intend to create legal relations it will consider a reasonable person that made an offer to him, while in the case of family, domestic or social agreements such as offer and acceptance there is no intention to create legal relations. This shows that when there is a presumption of absence of intention to create legal relations in the context of social or domestic agreement, the reasonable expectation that there are no legal consequences. </w:t>
      </w:r>
      <w:r w:rsidDel="00000000" w:rsidR="00000000" w:rsidRPr="00000000">
        <w:rPr>
          <w:rtl w:val="0"/>
        </w:rPr>
      </w:r>
    </w:p>
    <w:p w:rsidR="00000000" w:rsidDel="00000000" w:rsidP="00000000" w:rsidRDefault="00000000" w:rsidRPr="00000000" w14:paraId="0000001E">
      <w:pPr>
        <w:spacing w:after="240" w:before="240"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after="240" w:before="240"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after="240" w:before="240" w:line="36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2">
      <w:pPr>
        <w:spacing w:after="240" w:before="240" w:line="36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3">
      <w:pPr>
        <w:spacing w:after="240" w:before="240" w:line="36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4">
      <w:pPr>
        <w:spacing w:after="240" w:before="240" w:line="36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5">
      <w:pPr>
        <w:spacing w:after="240" w:before="240" w:line="36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6">
      <w:pPr>
        <w:spacing w:after="240" w:before="240" w:line="36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7">
      <w:pPr>
        <w:spacing w:after="240" w:before="240" w:line="36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8">
      <w:pPr>
        <w:spacing w:after="240" w:before="240" w:line="36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9">
      <w:pPr>
        <w:spacing w:after="240" w:before="240" w:line="36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A">
      <w:pPr>
        <w:spacing w:after="240" w:before="240" w:line="36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B">
      <w:pPr>
        <w:spacing w:after="240" w:before="240"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2.0 Approach of the Courts </w:t>
      </w:r>
    </w:p>
    <w:p w:rsidR="00000000" w:rsidDel="00000000" w:rsidP="00000000" w:rsidRDefault="00000000" w:rsidRPr="00000000" w14:paraId="0000002C">
      <w:pPr>
        <w:numPr>
          <w:ilvl w:val="0"/>
          <w:numId w:val="1"/>
        </w:numPr>
        <w:spacing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Agreement made in Social or Domestic Context </w:t>
      </w:r>
    </w:p>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Majority of the social and domestic arrangement is not a binding contract as they are not intended for it to be. When it comes to social and domestic arrangement it is divided into two which are family arrangement and other social arrangement. </w:t>
      </w:r>
      <w:r w:rsidDel="00000000" w:rsidR="00000000" w:rsidRPr="00000000">
        <w:rPr>
          <w:rtl w:val="0"/>
        </w:rPr>
      </w:r>
    </w:p>
    <w:p w:rsidR="00000000" w:rsidDel="00000000" w:rsidP="00000000" w:rsidRDefault="00000000" w:rsidRPr="00000000" w14:paraId="0000002F">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case in family arrangement would be under Balfour v Balfour (1919). In this case a married couple living in Ceylon in 1915. The woman was brought to England by her husband, a civil servant based in Sri Lanka. He agreed to give his wife £30 per month as maintenance if necessary because he would eventually return, but she had to remain in England due to medical reasons. The wife eventually filed a lawsuit against him when he didn't pay the sum. Her attempt failed for two reasons: first, there was no consideration given for the £30 each month, and second, neither party intended for the arrangement to be legally binding. According to the court, it is more up to the plaintiff, the wife tto disprove the assumption that a contract wasn't intended to be created.(Richards, 2009). </w:t>
      </w:r>
    </w:p>
    <w:p w:rsidR="00000000" w:rsidDel="00000000" w:rsidP="00000000" w:rsidRDefault="00000000" w:rsidRPr="00000000" w14:paraId="00000031">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tab/>
        <w:t xml:space="preserve"> </w:t>
        <w:tab/>
        <w:t xml:space="preserve"> </w:t>
        <w:tab/>
        <w:t xml:space="preserve"> </w:t>
        <w:tab/>
        <w:tab/>
        <w:tab/>
        <w:tab/>
      </w:r>
      <w:r w:rsidDel="00000000" w:rsidR="00000000" w:rsidRPr="00000000">
        <w:rPr>
          <w:rtl w:val="0"/>
        </w:rPr>
      </w:r>
    </w:p>
    <w:p w:rsidR="00000000" w:rsidDel="00000000" w:rsidP="00000000" w:rsidRDefault="00000000" w:rsidRPr="00000000" w14:paraId="00000032">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family arrangement, it does not necessarily mean marriage problems but it could also be between parents and children. In the case of Jones v Padavatton (1969), a mother had given a suggestion to her daughter that if she would quit her job in the United States and went to London to study for the bar, she would pay her $200 per month. The daughter was still reluctant as she had a well paid job with pension rights, nevertheless the mother still persuaded the daughter to join her in Trinidad as a lawyer (Poole, 2014). This agreement was not happening as the daughter thought that she would be receiving $200 but instead her mother meant Trinidad dollars. The daughter later got married and didn't finish college, which forced the mother to take over the house. The court ultimately determined that the arrangement was a domestic one, and because there was no evidence, it raised the possibility that the parties did not intend to be legally bound by the agreement..</w:t>
      </w:r>
    </w:p>
    <w:p w:rsidR="00000000" w:rsidDel="00000000" w:rsidP="00000000" w:rsidRDefault="00000000" w:rsidRPr="00000000" w14:paraId="00000033">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According to Richards (2009, pg 86) in the case of Merritt v Merritt (1970), the husband abandoned the marital residence to live with another woman. He later consented in writing at a meeting to give his wife £40 per month, which she was required to use to pay off the mortgage before she could turn the property over to her sole ownership.The husband then disagreed to transfer the house to the wife despite her paying off the house’s mortgage. The Court of Appeal held that there was no intention to create a legal relationship, </w:t>
      </w:r>
      <w:r w:rsidDel="00000000" w:rsidR="00000000" w:rsidRPr="00000000">
        <w:rPr>
          <w:rFonts w:ascii="Times New Roman" w:cs="Times New Roman" w:eastAsia="Times New Roman" w:hAnsi="Times New Roman"/>
          <w:sz w:val="24"/>
          <w:szCs w:val="24"/>
          <w:highlight w:val="white"/>
          <w:rtl w:val="0"/>
        </w:rPr>
        <w:t xml:space="preserve">the reasoning being the agreement took place in response to the marital breakdown. The Meritt case illustrates a point where the courts consider the existence or absence of intention to create a legal relationship, in contrast to Balfour, where the agreement was made on the basis of a mutual agreement.</w:t>
      </w:r>
    </w:p>
    <w:p w:rsidR="00000000" w:rsidDel="00000000" w:rsidP="00000000" w:rsidRDefault="00000000" w:rsidRPr="00000000" w14:paraId="00000035">
      <w:pPr>
        <w:spacing w:line="36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spacing w:line="36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As above, cases illustrate agreements between husband and wife and parent and child which are everyday social agreements. There are also presumptions against finding intention to create a legal relationship even though this may be rebutted by evidence, in this case of Simpkins v Pays (1955) it shows mutuality. The defendant, who is the granddaughter and a plaintiff, a paying lodger all contributed in taking part in a newspaper competition. However they entered in the defendant’s name, which they did not set any boundaries in terms of postage. When the entry successfully won the competition, the defendant refused to share with the plaintiff making the plaintiff sued for his share. The plaintiff then was entitled to his share as the judge stated that there was a mutual agreement between both parties to establish a legally binding agreement</w:t>
      </w:r>
      <w:r w:rsidDel="00000000" w:rsidR="00000000" w:rsidRPr="00000000">
        <w:rPr>
          <w:rFonts w:ascii="Times New Roman" w:cs="Times New Roman" w:eastAsia="Times New Roman" w:hAnsi="Times New Roman"/>
          <w:sz w:val="24"/>
          <w:szCs w:val="24"/>
          <w:shd w:fill="c8e6c9" w:val="clear"/>
          <w:rtl w:val="0"/>
        </w:rPr>
        <w:t xml:space="preserve"> </w:t>
      </w:r>
      <w:r w:rsidDel="00000000" w:rsidR="00000000" w:rsidRPr="00000000">
        <w:rPr>
          <w:rFonts w:ascii="Times New Roman" w:cs="Times New Roman" w:eastAsia="Times New Roman" w:hAnsi="Times New Roman"/>
          <w:sz w:val="24"/>
          <w:szCs w:val="24"/>
          <w:highlight w:val="white"/>
          <w:rtl w:val="0"/>
        </w:rPr>
        <w:t xml:space="preserve">(Stone, 2013).</w:t>
      </w:r>
      <w:r w:rsidDel="00000000" w:rsidR="00000000" w:rsidRPr="00000000">
        <w:rPr>
          <w:rtl w:val="0"/>
        </w:rPr>
      </w:r>
    </w:p>
    <w:p w:rsidR="00000000" w:rsidDel="00000000" w:rsidP="00000000" w:rsidRDefault="00000000" w:rsidRPr="00000000" w14:paraId="00000037">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numPr>
          <w:ilvl w:val="0"/>
          <w:numId w:val="1"/>
        </w:numPr>
        <w:spacing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Agreement made in Commercial/Business Context</w:t>
      </w:r>
    </w:p>
    <w:p w:rsidR="00000000" w:rsidDel="00000000" w:rsidP="00000000" w:rsidRDefault="00000000" w:rsidRPr="00000000" w14:paraId="00000042">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In order for an agreement to be legally binding while also having an intention to create legal relations the law shows a contrast between the social and domestic agreement and agreements that are made in a commercial context.</w:t>
      </w:r>
      <w:r w:rsidDel="00000000" w:rsidR="00000000" w:rsidRPr="00000000">
        <w:rPr>
          <w:rFonts w:ascii="Times New Roman" w:cs="Times New Roman" w:eastAsia="Times New Roman" w:hAnsi="Times New Roman"/>
          <w:sz w:val="24"/>
          <w:szCs w:val="24"/>
          <w:rtl w:val="0"/>
        </w:rPr>
        <w:t xml:space="preserve"> W</w:t>
      </w:r>
      <w:r w:rsidDel="00000000" w:rsidR="00000000" w:rsidRPr="00000000">
        <w:rPr>
          <w:rFonts w:ascii="Times New Roman" w:cs="Times New Roman" w:eastAsia="Times New Roman" w:hAnsi="Times New Roman"/>
          <w:sz w:val="24"/>
          <w:szCs w:val="24"/>
          <w:rtl w:val="0"/>
        </w:rPr>
        <w:t xml:space="preserve">hen a married couple separates, the agreement is a writing that is made in a business context. While for the commercial agreements would be the opposite as there would be a strong presumption where there is an intention to create legal relations. </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first case in Commercial and Business context is the Esso v Commissioners of Customs and Excise (1975) , the company had prepared a promotion due to the 1970 World Cup which was by purchasing four gallons of petrol would receive free coin from the World Cup Coins Collection. To recover purchase tax on the grounds they would produce it for general sale as Esso is liable to pay £200,000, This had caused an argument in the House of Lords as selling the coins only if there was an intention to create legal relations. Esso disagreed and argued that the coins were free gifts. Lord Simons and Wilberforce considered the intention was in terms of business context and the large commercial advantage that Esso expected to gain from. As there was an intention to create legal relations, the coins were offered in a commercial context which raised presumption (Elliott and Quinn, 2011).</w:t>
      </w:r>
    </w:p>
    <w:p w:rsidR="00000000" w:rsidDel="00000000" w:rsidP="00000000" w:rsidRDefault="00000000" w:rsidRPr="00000000" w14:paraId="00000046">
      <w:pPr>
        <w:spacing w:line="36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on, Edward v Skyways (1964), The defendants, who were the plaintiff's employers, agreed to pay ex gratia payments to redundant personnel with a specific amount. The plaintiff was employed as an airline pilot. The plaintiff had two options because he was one of the contributory pension fund members of the defendant. One of the choices was to withdraw his contributions from the funds, and another was to receive a pension that would have an impact on him once he becomes 50. In the event that the plaintiff selects the first choice, the defendants will pay him "ex gratia" a sum equal to their financial contribution to the fund. His entire contribution was paid by the defendant, but he declined to make an "ex gratia" payment. The judgment states "ex gratia" did not pay to raise a bad agreement after the plaintiff successfully sued for breaching contract and won. This did not succeed in removing the assumption that a legal connection was intended, making the payer responsible for the payment (Richards, 2009). </w:t>
      </w:r>
    </w:p>
    <w:p w:rsidR="00000000" w:rsidDel="00000000" w:rsidP="00000000" w:rsidRDefault="00000000" w:rsidRPr="00000000" w14:paraId="00000048">
      <w:pPr>
        <w:spacing w:line="36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Elliott and Quinn (2011, pg 64) Rose &amp; Frank v Crompton Bros (1925) An English corporation entered into a written agreement to sell a carbon copy to a New York-based company in the United States; the plaintiffs were then granted the exclusive right to market such items for three years in the USA and Canada</w:t>
      </w:r>
      <w:r w:rsidDel="00000000" w:rsidR="00000000" w:rsidRPr="00000000">
        <w:rPr>
          <w:rFonts w:ascii="Times New Roman" w:cs="Times New Roman" w:eastAsia="Times New Roman" w:hAnsi="Times New Roman"/>
          <w:sz w:val="24"/>
          <w:szCs w:val="24"/>
          <w:rtl w:val="0"/>
        </w:rPr>
        <w:t xml:space="preserve">. The clause that is described </w:t>
      </w:r>
      <w:r w:rsidDel="00000000" w:rsidR="00000000" w:rsidRPr="00000000">
        <w:rPr>
          <w:rFonts w:ascii="Times New Roman" w:cs="Times New Roman" w:eastAsia="Times New Roman" w:hAnsi="Times New Roman"/>
          <w:sz w:val="24"/>
          <w:szCs w:val="24"/>
          <w:highlight w:val="white"/>
          <w:rtl w:val="0"/>
        </w:rPr>
        <w:t xml:space="preserve">as the Honourable Pledge C</w:t>
      </w:r>
      <w:r w:rsidDel="00000000" w:rsidR="00000000" w:rsidRPr="00000000">
        <w:rPr>
          <w:rFonts w:ascii="Times New Roman" w:cs="Times New Roman" w:eastAsia="Times New Roman" w:hAnsi="Times New Roman"/>
          <w:sz w:val="24"/>
          <w:szCs w:val="24"/>
          <w:rtl w:val="0"/>
        </w:rPr>
        <w:t xml:space="preserve">lause. The original agreement in the year 1913, however at the end of the three year period the option to extend. In the year of 1919, The arrangement was cancelled by the English defendants because it was not properly notified. This case results in a fair outcome while providing the parties with the effect they requested in the written memorandum. In the end, there would continue to be a strong presumption in business agreements that the goal is to create a legally enforceable contract, despite the ruling in the Rose and Frank case.</w:t>
      </w:r>
      <w:r w:rsidDel="00000000" w:rsidR="00000000" w:rsidRPr="00000000">
        <w:rPr>
          <w:rtl w:val="0"/>
        </w:rPr>
      </w:r>
    </w:p>
    <w:p w:rsidR="00000000" w:rsidDel="00000000" w:rsidP="00000000" w:rsidRDefault="00000000" w:rsidRPr="00000000" w14:paraId="0000004A">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Poole (2014, pg 171) </w:t>
      </w:r>
      <w:r w:rsidDel="00000000" w:rsidR="00000000" w:rsidRPr="00000000">
        <w:rPr>
          <w:rFonts w:ascii="Times New Roman" w:cs="Times New Roman" w:eastAsia="Times New Roman" w:hAnsi="Times New Roman"/>
          <w:sz w:val="24"/>
          <w:szCs w:val="24"/>
          <w:rtl w:val="0"/>
        </w:rPr>
        <w:t xml:space="preserve">the case of Kleinwort Benson v Malaysia Mining Corp (1989)  the plaintiff, which was the bank that approved a loan facility to MMC Metals LTD, a fully owned subsidiary of MMC that trades tin on the London Metal Exchange. The bank requested that MMC Metals guarantee its own loan since it was unwilling to grant money based on MMC Metals' creditworthiness. Negotiations between the two sides, MMC agreed to provide a letter of comfort but would impose a higher rate of interest. In response to its own proposal, MMC then stated that it was against its policy to guarantee the debts of its subsidiaries. The defendant parent business is the defendant, and the plaintiff claimed ownership of the remaining funds. A letter of consolation was written. It is a letter of memoranda that is typically produced by a business to lend some money to one of its subsidiaries.</w:t>
      </w:r>
    </w:p>
    <w:p w:rsidR="00000000" w:rsidDel="00000000" w:rsidP="00000000" w:rsidRDefault="00000000" w:rsidRPr="00000000" w14:paraId="0000004C">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Richards (2009, pg 88) stated that, since it was a highly commercial agreement with a contractual duty on the part of the defendants, the judge determined that the case dealt with an intention to establish a legal connection. The judge made the ruling based on the Edward v Skyways (1964) case, which claims that the purpose of the commercial environment was to establish a legal relationship. The Skyways case had a promise that was supported by a consideration, therefore it had no application, according to the court of appeals, which later disagreed with the judge. The court then found that it is merely a statement as to present intention and it was carefully drafted so it does not contain any statement to future conduct. </w:t>
      </w:r>
    </w:p>
    <w:p w:rsidR="00000000" w:rsidDel="00000000" w:rsidP="00000000" w:rsidRDefault="00000000" w:rsidRPr="00000000" w14:paraId="0000004E">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case from ERDC Group Ltd v Brunel University (2006), the respondents, Brunel, wanted to build a new sports facility. The claimants, ERDC had submitted a tender for works on JCT standard form with the contractor design. Brunel decided to appoint ERDC, until a fully planned permission was obtained it was postponed due to the execution of the formal contract. To design their work under a letter of appointment, the first letter was issued then two other letters were issued and the three letters were returned countersigned by ERDC. Eventually another two letters were sent later on but ERDC did not countersign or return those letters, causing ERDC to continue working until the athletics track was completed. The "quantum meruit basis" should be used to value the job. From the first three letters by official countersignature by ERDC, there was a clear aim to establish legal ties in this matter. The rights and duties of the parties who intend for the agreement to be legally binding.</w:t>
      </w:r>
    </w:p>
    <w:p w:rsidR="00000000" w:rsidDel="00000000" w:rsidP="00000000" w:rsidRDefault="00000000" w:rsidRPr="00000000" w14:paraId="00000050">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numPr>
          <w:ilvl w:val="0"/>
          <w:numId w:val="1"/>
        </w:numPr>
        <w:spacing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Agreement in Public Bodies Context </w:t>
      </w:r>
      <w:r w:rsidDel="00000000" w:rsidR="00000000" w:rsidRPr="00000000">
        <w:rPr>
          <w:rtl w:val="0"/>
        </w:rPr>
      </w:r>
    </w:p>
    <w:p w:rsidR="00000000" w:rsidDel="00000000" w:rsidP="00000000" w:rsidRDefault="00000000" w:rsidRPr="00000000" w14:paraId="00000052">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Triefus Case v Post Office (1957), the appellants had posted a package where the Post Office accepted, the packages contained diamonds for conveyance to New Zealand. The compensation will not be paid for any loss or damage of the contents. The packages were in fact stolen by one of the servants in the Post Office during the transit, the diamonds were uninsured, hence why he appellants attempt to recover their losses by bringing legal action against the Post Office for negligence, breach of the contract of carriage, and payment of damages. The claim in negligence was eventually barred from the Crown Proceedings Act 1947, this forbids any proceeding torts that is against the Crown or any officer. The post offices of both countries would seem to be in an almost impregnable position until a set time or the court's judgment, however the Post Office Act does provide tort actions against the crown in specific instances for loss or any damages aside from this.. </w:t>
      </w:r>
    </w:p>
    <w:p w:rsidR="00000000" w:rsidDel="00000000" w:rsidP="00000000" w:rsidRDefault="00000000" w:rsidRPr="00000000" w14:paraId="00000054">
      <w:pPr>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5">
      <w:pPr>
        <w:spacing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in another case of Robinson v HM Customs &amp; Excise (2000), the claimant, Mr Peter Robinson had bought a claim in the Watford County Court against the Commissioners of Customs and Excise due to the damages in breaching the contract and arising interest from an agreement. Both of the parties emphasized 2 issues at the hearing, which was that the parties had intentions to create legal relations. The claimant brought proceedings without any request for his identity to not be revealed and the case was heard in an open court. The custom offered reward for any information but the offer was not a certainty and there was no intention to create legal or contractual relation making the informant to clearly make his decision therefore no legal binding offer to make any payments. </w:t>
      </w:r>
    </w:p>
    <w:p w:rsidR="00000000" w:rsidDel="00000000" w:rsidP="00000000" w:rsidRDefault="00000000" w:rsidRPr="00000000" w14:paraId="00000056">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9">
      <w:pPr>
        <w:spacing w:line="36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69">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6A">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6B">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6C">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6D">
      <w:pPr>
        <w:pBdr>
          <w:left w:color="auto" w:space="0" w:sz="0" w:val="none"/>
        </w:pBdr>
        <w:spacing w:line="48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6E">
      <w:pPr>
        <w:pBdr>
          <w:left w:color="auto" w:space="0" w:sz="0" w:val="none"/>
        </w:pBdr>
        <w:spacing w:line="48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6F">
      <w:pPr>
        <w:pBdr>
          <w:left w:color="auto" w:space="0" w:sz="0" w:val="none"/>
        </w:pBdr>
        <w:spacing w:line="48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 list</w:t>
      </w:r>
    </w:p>
    <w:p w:rsidR="00000000" w:rsidDel="00000000" w:rsidP="00000000" w:rsidRDefault="00000000" w:rsidRPr="00000000" w14:paraId="00000070">
      <w:pPr>
        <w:pBdr>
          <w:left w:color="auto" w:space="0" w:sz="0" w:val="none"/>
        </w:pBdr>
        <w:spacing w:line="480" w:lineRule="auto"/>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Legislation</w:t>
      </w:r>
    </w:p>
    <w:p w:rsidR="00000000" w:rsidDel="00000000" w:rsidP="00000000" w:rsidRDefault="00000000" w:rsidRPr="00000000" w14:paraId="00000071">
      <w:pPr>
        <w:pBdr>
          <w:left w:color="auto" w:space="0" w:sz="0" w:val="none"/>
        </w:pBd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Trade Union and Labor Relations (Consolidation) Act 1992</w:t>
      </w:r>
      <w:r w:rsidDel="00000000" w:rsidR="00000000" w:rsidRPr="00000000">
        <w:rPr>
          <w:rtl w:val="0"/>
        </w:rPr>
      </w:r>
    </w:p>
    <w:p w:rsidR="00000000" w:rsidDel="00000000" w:rsidP="00000000" w:rsidRDefault="00000000" w:rsidRPr="00000000" w14:paraId="00000072">
      <w:pPr>
        <w:pBdr>
          <w:left w:color="auto" w:space="0" w:sz="0" w:val="none"/>
        </w:pBdr>
        <w:spacing w:line="480" w:lineRule="auto"/>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Case law</w:t>
      </w:r>
    </w:p>
    <w:p w:rsidR="00000000" w:rsidDel="00000000" w:rsidP="00000000" w:rsidRDefault="00000000" w:rsidRPr="00000000" w14:paraId="00000073">
      <w:pPr>
        <w:numPr>
          <w:ilvl w:val="0"/>
          <w:numId w:val="2"/>
        </w:numPr>
        <w:pBdr>
          <w:left w:color="auto" w:space="0" w:sz="0" w:val="none"/>
        </w:pBdr>
        <w:spacing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Balfour v Balfour (1919) 2 KB 571 </w:t>
      </w:r>
    </w:p>
    <w:p w:rsidR="00000000" w:rsidDel="00000000" w:rsidP="00000000" w:rsidRDefault="00000000" w:rsidRPr="00000000" w14:paraId="00000074">
      <w:pPr>
        <w:numPr>
          <w:ilvl w:val="0"/>
          <w:numId w:val="2"/>
        </w:numPr>
        <w:pBdr>
          <w:left w:color="auto" w:space="0" w:sz="0" w:val="none"/>
        </w:pBdr>
        <w:spacing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Jones v Padavatton (1969) 1 WLR 328</w:t>
      </w:r>
    </w:p>
    <w:p w:rsidR="00000000" w:rsidDel="00000000" w:rsidP="00000000" w:rsidRDefault="00000000" w:rsidRPr="00000000" w14:paraId="00000075">
      <w:pPr>
        <w:numPr>
          <w:ilvl w:val="0"/>
          <w:numId w:val="2"/>
        </w:numPr>
        <w:pBdr>
          <w:left w:color="auto" w:space="0" w:sz="0" w:val="none"/>
        </w:pBdr>
        <w:spacing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Meritt v Meritt (1970) 1 WLR 1211</w:t>
      </w:r>
    </w:p>
    <w:p w:rsidR="00000000" w:rsidDel="00000000" w:rsidP="00000000" w:rsidRDefault="00000000" w:rsidRPr="00000000" w14:paraId="00000076">
      <w:pPr>
        <w:numPr>
          <w:ilvl w:val="0"/>
          <w:numId w:val="2"/>
        </w:numPr>
        <w:pBdr>
          <w:left w:color="auto" w:space="0" w:sz="0" w:val="none"/>
        </w:pBdr>
        <w:spacing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Simpkins v Pays (1955) 1 WLR 975</w:t>
      </w:r>
    </w:p>
    <w:p w:rsidR="00000000" w:rsidDel="00000000" w:rsidP="00000000" w:rsidRDefault="00000000" w:rsidRPr="00000000" w14:paraId="00000077">
      <w:pPr>
        <w:numPr>
          <w:ilvl w:val="0"/>
          <w:numId w:val="2"/>
        </w:numPr>
        <w:pBdr>
          <w:left w:color="auto" w:space="0" w:sz="0" w:val="none"/>
        </w:pBdr>
        <w:spacing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Esso Petroleum v Commissioners of Customs &amp; Excise (1976) 1 WLR</w:t>
      </w:r>
    </w:p>
    <w:p w:rsidR="00000000" w:rsidDel="00000000" w:rsidP="00000000" w:rsidRDefault="00000000" w:rsidRPr="00000000" w14:paraId="00000078">
      <w:pPr>
        <w:numPr>
          <w:ilvl w:val="0"/>
          <w:numId w:val="2"/>
        </w:numPr>
        <w:pBdr>
          <w:left w:color="auto" w:space="0" w:sz="0" w:val="none"/>
        </w:pBdr>
        <w:spacing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Edwards v Skyways Ltd (1964) 1 WLR 349</w:t>
      </w:r>
    </w:p>
    <w:p w:rsidR="00000000" w:rsidDel="00000000" w:rsidP="00000000" w:rsidRDefault="00000000" w:rsidRPr="00000000" w14:paraId="00000079">
      <w:pPr>
        <w:numPr>
          <w:ilvl w:val="0"/>
          <w:numId w:val="2"/>
        </w:numPr>
        <w:pBdr>
          <w:left w:color="auto" w:space="0" w:sz="0" w:val="none"/>
        </w:pBdr>
        <w:spacing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Rose &amp; Frank v Crompton Bros (1925) AC 445 </w:t>
      </w:r>
    </w:p>
    <w:p w:rsidR="00000000" w:rsidDel="00000000" w:rsidP="00000000" w:rsidRDefault="00000000" w:rsidRPr="00000000" w14:paraId="0000007A">
      <w:pPr>
        <w:numPr>
          <w:ilvl w:val="0"/>
          <w:numId w:val="2"/>
        </w:numPr>
        <w:pBdr>
          <w:left w:color="auto" w:space="0" w:sz="0" w:val="none"/>
        </w:pBdr>
        <w:spacing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Kleinwort Benson Ltd v Malaysia Mining Corporation Berhad (1989) 1 WLR 379</w:t>
      </w:r>
    </w:p>
    <w:p w:rsidR="00000000" w:rsidDel="00000000" w:rsidP="00000000" w:rsidRDefault="00000000" w:rsidRPr="00000000" w14:paraId="0000007B">
      <w:pPr>
        <w:numPr>
          <w:ilvl w:val="0"/>
          <w:numId w:val="2"/>
        </w:numPr>
        <w:pBdr>
          <w:left w:color="auto" w:space="0" w:sz="0" w:val="none"/>
        </w:pBdr>
        <w:spacing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ERDC Group Ltd v Brunei University (2006) EWHC 687</w:t>
      </w:r>
    </w:p>
    <w:p w:rsidR="00000000" w:rsidDel="00000000" w:rsidP="00000000" w:rsidRDefault="00000000" w:rsidRPr="00000000" w14:paraId="0000007C">
      <w:pPr>
        <w:numPr>
          <w:ilvl w:val="0"/>
          <w:numId w:val="2"/>
        </w:numPr>
        <w:pBdr>
          <w:left w:color="auto" w:space="0" w:sz="0" w:val="none"/>
        </w:pBdr>
        <w:spacing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Triefus &amp; Co Ltd v Post Office (1957) 2 QB 352</w:t>
      </w:r>
    </w:p>
    <w:p w:rsidR="00000000" w:rsidDel="00000000" w:rsidP="00000000" w:rsidRDefault="00000000" w:rsidRPr="00000000" w14:paraId="0000007D">
      <w:pPr>
        <w:numPr>
          <w:ilvl w:val="0"/>
          <w:numId w:val="2"/>
        </w:numPr>
        <w:pBdr>
          <w:left w:color="auto" w:space="0" w:sz="0" w:val="none"/>
        </w:pBdr>
        <w:spacing w:line="48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Robinsons v Commissioners of Customs and Excise QBD (28 Apr 2000)  </w:t>
      </w:r>
      <w:r w:rsidDel="00000000" w:rsidR="00000000" w:rsidRPr="00000000">
        <w:rPr>
          <w:rtl w:val="0"/>
        </w:rPr>
      </w:r>
    </w:p>
    <w:p w:rsidR="00000000" w:rsidDel="00000000" w:rsidP="00000000" w:rsidRDefault="00000000" w:rsidRPr="00000000" w14:paraId="0000007E">
      <w:pPr>
        <w:pBdr>
          <w:left w:color="auto" w:space="0" w:sz="0" w:val="none"/>
        </w:pBd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pBdr>
          <w:left w:color="auto" w:space="0" w:sz="0" w:val="none"/>
        </w:pBdr>
        <w:spacing w:line="480" w:lineRule="auto"/>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Academic literature</w:t>
      </w:r>
    </w:p>
    <w:p w:rsidR="00000000" w:rsidDel="00000000" w:rsidP="00000000" w:rsidRDefault="00000000" w:rsidRPr="00000000" w14:paraId="00000080">
      <w:pPr>
        <w:numPr>
          <w:ilvl w:val="0"/>
          <w:numId w:val="3"/>
        </w:numPr>
        <w:spacing w:after="0" w:afterAutospacing="0" w:line="360" w:lineRule="auto"/>
        <w:ind w:left="5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Elliott, C. and Quinn, F. (2011). Contract law. 8th ed. Harlow ; London ; Paris: Pearson Longman.</w:t>
      </w:r>
    </w:p>
    <w:p w:rsidR="00000000" w:rsidDel="00000000" w:rsidP="00000000" w:rsidRDefault="00000000" w:rsidRPr="00000000" w14:paraId="00000081">
      <w:pPr>
        <w:numPr>
          <w:ilvl w:val="0"/>
          <w:numId w:val="3"/>
        </w:numPr>
        <w:spacing w:after="0" w:afterAutospacing="0" w:line="360" w:lineRule="auto"/>
        <w:ind w:left="5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Khan, A. (2019). Intention to Create Legal Relationship. Supremo Amicus, [online] 11(2456-9704), p.30. Available at: https://heinonline.org/HOL/LandingPage?handle=hein.journals/supami11&amp;div=9&amp;id=&amp;page= [Accessed 10 Mar. 2023].</w:t>
      </w:r>
    </w:p>
    <w:p w:rsidR="00000000" w:rsidDel="00000000" w:rsidP="00000000" w:rsidRDefault="00000000" w:rsidRPr="00000000" w14:paraId="00000082">
      <w:pPr>
        <w:numPr>
          <w:ilvl w:val="0"/>
          <w:numId w:val="3"/>
        </w:numPr>
        <w:spacing w:after="0" w:afterAutospacing="0" w:line="360" w:lineRule="auto"/>
        <w:ind w:left="5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Poole, J. (2014). Textbook on contract law. 12th ed. Oxford: Oxford University Press.</w:t>
      </w:r>
    </w:p>
    <w:p w:rsidR="00000000" w:rsidDel="00000000" w:rsidP="00000000" w:rsidRDefault="00000000" w:rsidRPr="00000000" w14:paraId="00000083">
      <w:pPr>
        <w:numPr>
          <w:ilvl w:val="0"/>
          <w:numId w:val="3"/>
        </w:numPr>
        <w:spacing w:after="0" w:afterAutospacing="0" w:line="360" w:lineRule="auto"/>
        <w:ind w:left="5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Richards, P. (2009). Law of contract. 9th ed. Harlow: Pearson Longman.</w:t>
      </w:r>
    </w:p>
    <w:p w:rsidR="00000000" w:rsidDel="00000000" w:rsidP="00000000" w:rsidRDefault="00000000" w:rsidRPr="00000000" w14:paraId="00000084">
      <w:pPr>
        <w:numPr>
          <w:ilvl w:val="0"/>
          <w:numId w:val="3"/>
        </w:numPr>
        <w:spacing w:after="240" w:line="360" w:lineRule="auto"/>
        <w:ind w:left="5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Stone, R. (2013). The modern law of contract. 10th ed. Abingdon,: Routledge.</w:t>
      </w:r>
    </w:p>
    <w:p w:rsidR="00000000" w:rsidDel="00000000" w:rsidP="00000000" w:rsidRDefault="00000000" w:rsidRPr="00000000" w14:paraId="00000085">
      <w:pPr>
        <w:spacing w:after="240" w:line="360" w:lineRule="auto"/>
        <w:ind w:left="720" w:firstLine="0"/>
        <w:rPr>
          <w:rFonts w:ascii="Times New Roman" w:cs="Times New Roman" w:eastAsia="Times New Roman" w:hAnsi="Times New Roman"/>
          <w:sz w:val="24"/>
          <w:szCs w:val="24"/>
        </w:rPr>
      </w:pPr>
      <w:r w:rsidDel="00000000" w:rsidR="00000000" w:rsidRPr="00000000">
        <w:rPr>
          <w:rtl w:val="0"/>
        </w:rPr>
      </w:r>
    </w:p>
    <w:sectPr>
      <w:footerReference r:id="rId7" w:type="default"/>
      <w:footerReference r:id="rId8"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